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Product</w:t>
      </w:r>
      <w:r>
        <w:t xml:space="preserve"> </w:t>
      </w:r>
      <w:r>
        <w:t xml:space="preserve">Technical</w:t>
      </w:r>
      <w:r>
        <w:t xml:space="preserve"> </w:t>
      </w:r>
      <w:r>
        <w:t xml:space="preserve">Appendix</w:t>
      </w:r>
    </w:p>
    <w:p>
      <w:pPr>
        <w:pStyle w:val="Subtitle"/>
      </w:pPr>
      <w:r>
        <w:t xml:space="preserve">Enterprise</w:t>
      </w:r>
      <w:r>
        <w:t xml:space="preserve"> </w:t>
      </w:r>
      <w:r>
        <w:t xml:space="preserve">GenAI</w:t>
      </w:r>
      <w:r>
        <w:t xml:space="preserve"> </w:t>
      </w:r>
      <w:r>
        <w:t xml:space="preserve">Full-Stack</w:t>
      </w:r>
      <w:r>
        <w:t xml:space="preserve"> </w:t>
      </w:r>
      <w:r>
        <w:t xml:space="preserve">Architecture,</w:t>
      </w:r>
      <w:r>
        <w:t xml:space="preserve"> </w:t>
      </w:r>
      <w:r>
        <w:t xml:space="preserve">October</w:t>
      </w:r>
      <w:r>
        <w:t xml:space="preserve"> </w:t>
      </w:r>
      <w:r>
        <w:t xml:space="preserve">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FirstParagraph"/>
      </w:pPr>
      <w:r>
        <w:t xml:space="preserve">This appendix holds the full record for every product assessed: current facts with their claim labels and source IDs (resolve in</w:t>
      </w:r>
      <w:r>
        <w:t xml:space="preserve"> </w:t>
      </w:r>
      <w:r>
        <w:rPr>
          <w:rStyle w:val="VerbatimChar"/>
        </w:rPr>
        <w:t xml:space="preserve">06_References/bibliography.xlsx</w:t>
      </w:r>
      <w:r>
        <w:t xml:space="preserve">), the assessment, the classification and the scorecard (generic and regulated-FS weights). Fact cells marked</w:t>
      </w:r>
      <w:r>
        <w:t xml:space="preserve"> </w:t>
      </w:r>
      <w:r>
        <w:rPr>
          <w:iCs/>
          <w:i/>
        </w:rPr>
        <w:t xml:space="preserve">Not publicly verified</w:t>
      </w:r>
      <w:r>
        <w:t xml:space="preserve"> </w:t>
      </w:r>
      <w:r>
        <w:t xml:space="preserve">could not be confirmed from a public source and were never guessed. Disclosure: researched and drafted by an Anthropic model; Anthropic-related items were scored on the same rubric, and tiers set by the reader at checkpoints are noted in the relevant chapter.</w:t>
      </w:r>
    </w:p>
    <w:bookmarkStart w:id="197" w:name="l9-evaluation-and-observability"/>
    <w:p>
      <w:pPr>
        <w:pStyle w:val="Heading1"/>
      </w:pPr>
      <w:r>
        <w:t xml:space="preserve">L9: Evaluation and observability</w:t>
      </w:r>
    </w:p>
    <w:bookmarkStart w:id="30" w:name="X1852a3243a874268224d7d792f5b80128cefa51"/>
    <w:p>
      <w:pPr>
        <w:pStyle w:val="Heading2"/>
      </w:pPr>
      <w:r>
        <w:t xml:space="preserve">MLflow (GenAI capabilities: tracing, evaluation, prompt registry, AI Gateway) (</w:t>
      </w:r>
      <w:r>
        <w:rPr>
          <w:rStyle w:val="VerbatimChar"/>
        </w:rPr>
        <w:t xml:space="preserve">L9-mlflow-genai</w:t>
      </w:r>
      <w:r>
        <w:t xml:space="preserve">)</w:t>
      </w:r>
    </w:p>
    <w:p>
      <w:pPr>
        <w:pStyle w:val="FirstParagraph"/>
      </w:pPr>
      <w:r>
        <w:rPr>
          <w:bCs/>
          <w:b/>
        </w:rPr>
        <w:t xml:space="preserve">Tier:</w:t>
      </w:r>
      <w:r>
        <w:t xml:space="preserve"> </w:t>
      </w:r>
      <w:r>
        <w:t xml:space="preserve">Strategic ·</w:t>
      </w:r>
      <w:r>
        <w:t xml:space="preserve"> </w:t>
      </w:r>
      <w:r>
        <w:rPr>
          <w:bCs/>
          <w:b/>
        </w:rPr>
        <w:t xml:space="preserve">Flags:</w:t>
      </w:r>
      <w:r>
        <w:t xml:space="preserve"> </w:t>
      </w:r>
      <w:r>
        <w:t xml:space="preserve">none ·</w:t>
      </w:r>
      <w:r>
        <w:t xml:space="preserve"> </w:t>
      </w:r>
      <w:r>
        <w:rPr>
          <w:bCs/>
          <w:b/>
        </w:rPr>
        <w:t xml:space="preserve">Original graphic label:</w:t>
      </w:r>
      <w:r>
        <w:t xml:space="preserve"> </w:t>
      </w:r>
      <w:r>
        <w:t xml:space="preserve">not in graphic</w:t>
      </w:r>
    </w:p>
    <w:p>
      <w:pPr>
        <w:pStyle w:val="BodyText"/>
      </w:pPr>
      <w:r>
        <w:rPr>
          <w:iCs/>
          <w:i/>
        </w:rPr>
        <w:t xml:space="preserve">Rationale:</w:t>
      </w:r>
      <w:r>
        <w:t xml:space="preserve"> </w:t>
      </w:r>
      <w:r>
        <w:t xml:space="preserve">Apache-2.0, Linux Foundation-hosted and OTel-native, with managed options on the major clouds; the most portable platform of record where an ML platform already exists</w:t>
      </w:r>
      <w:r>
        <w:t xml:space="preserve"> </w:t>
      </w:r>
      <w:r>
        <w:rPr>
          <w:rStyle w:val="ClaimLabel"/>
        </w:rPr>
        <w:t xml:space="preserve">AJ</w:t>
      </w:r>
      <w:r>
        <w:t xml:space="preserve">.</w:t>
      </w:r>
    </w:p>
    <w:tbl>
      <w:tblPr>
        <w:tblStyle w:val="Table"/>
        <w:tblW w:type="pct" w:w="5000"/>
        <w:tblLook w:firstRow="1" w:lastRow="0" w:firstColumn="0" w:lastColumn="0" w:noHBand="0" w:noVBand="0" w:val="0020"/>
        <w:jc w:val="start"/>
      </w:tblPr>
      <w:tblGrid>
        <w:gridCol w:w="1545"/>
        <w:gridCol w:w="579"/>
        <w:gridCol w:w="5795"/>
      </w:tblGrid>
      <w:tr>
        <w:trPr>
          <w:tblHeader w:val="true"/>
        </w:trPr>
        <w:tc>
          <w:tcPr/>
          <w:p>
            <w:pPr>
              <w:pStyle w:val="Compact"/>
              <w:jc w:val="left"/>
            </w:pPr>
            <w:r>
              <w:t xml:space="preserve">Criterion</w:t>
            </w:r>
          </w:p>
        </w:tc>
        <w:tc>
          <w:tcPr/>
          <w:p>
            <w:pPr>
              <w:pStyle w:val="Compact"/>
              <w:jc w:val="right"/>
            </w:pPr>
            <w:r>
              <w:t xml:space="preserve">Score</w:t>
            </w:r>
          </w:p>
        </w:tc>
        <w:tc>
          <w:tcPr/>
          <w:p>
            <w:pPr>
              <w:pStyle w:val="Compact"/>
              <w:jc w:val="left"/>
            </w:pPr>
            <w:r>
              <w:t xml:space="preserve">Rationale</w:t>
            </w:r>
          </w:p>
        </w:tc>
      </w:tr>
      <w:tr>
        <w:tc>
          <w:tcPr/>
          <w:p>
            <w:pPr>
              <w:pStyle w:val="Compact"/>
              <w:jc w:val="left"/>
            </w:pPr>
            <w:r>
              <w:t xml:space="preserve">Technical</w:t>
            </w:r>
          </w:p>
        </w:tc>
        <w:tc>
          <w:tcPr/>
          <w:p>
            <w:pPr>
              <w:pStyle w:val="Compact"/>
              <w:jc w:val="right"/>
            </w:pPr>
            <w:r>
              <w:t xml:space="preserve">4</w:t>
            </w:r>
          </w:p>
        </w:tc>
        <w:tc>
          <w:tcPr/>
          <w:p>
            <w:pPr>
              <w:pStyle w:val="Compact"/>
              <w:jc w:val="left"/>
            </w:pPr>
            <w:r>
              <w:t xml:space="preserve">Tracing, evaluation, monitoring, prompt registry and gateway; red-teaming not native.</w:t>
            </w:r>
          </w:p>
        </w:tc>
      </w:tr>
      <w:tr>
        <w:tc>
          <w:tcPr/>
          <w:p>
            <w:pPr>
              <w:pStyle w:val="Compact"/>
              <w:jc w:val="left"/>
            </w:pPr>
            <w:r>
              <w:t xml:space="preserve">Enterprise readiness</w:t>
            </w:r>
          </w:p>
        </w:tc>
        <w:tc>
          <w:tcPr/>
          <w:p>
            <w:pPr>
              <w:pStyle w:val="Compact"/>
              <w:jc w:val="right"/>
            </w:pPr>
            <w:r>
              <w:t xml:space="preserve">4</w:t>
            </w:r>
          </w:p>
        </w:tc>
        <w:tc>
          <w:tcPr/>
          <w:p>
            <w:pPr>
              <w:pStyle w:val="Compact"/>
              <w:jc w:val="left"/>
            </w:pPr>
            <w:r>
              <w:t xml:space="preserve">Scored on the managed route the decision tree recommends. On Amazon SageMaker and Azure ML (A1-S103), platform IAM, SSO and audit logging are presumed under rule 6 (CP2 Q1), so 4 (within the rule 2 cap of 4); platform controls presumed (CP2 Q1); confirm per service. The Databricks, Nebius and OpenShift AI routes are not covered by the presumption, and the open-source tracking server’s own controls remain NPV.</w:t>
            </w:r>
          </w:p>
        </w:tc>
      </w:tr>
      <w:tr>
        <w:tc>
          <w:tcPr/>
          <w:p>
            <w:pPr>
              <w:pStyle w:val="Compact"/>
              <w:jc w:val="left"/>
            </w:pPr>
            <w:r>
              <w:t xml:space="preserve">Security and compliance</w:t>
            </w:r>
          </w:p>
        </w:tc>
        <w:tc>
          <w:tcPr/>
          <w:p>
            <w:pPr>
              <w:pStyle w:val="Compact"/>
              <w:jc w:val="right"/>
            </w:pPr>
            <w:r>
              <w:t xml:space="preserve">3</w:t>
            </w:r>
          </w:p>
        </w:tc>
        <w:tc>
          <w:tcPr/>
          <w:p>
            <w:pPr>
              <w:pStyle w:val="Compact"/>
              <w:jc w:val="left"/>
            </w:pPr>
            <w:r>
              <w:t xml:space="preserve">Inherits host controls; clear Apache-2.0 licence and foundation hosting; managed-service certifications must be checked per provider.</w:t>
            </w:r>
          </w:p>
        </w:tc>
      </w:tr>
      <w:tr>
        <w:tc>
          <w:tcPr/>
          <w:p>
            <w:pPr>
              <w:pStyle w:val="Compact"/>
              <w:jc w:val="left"/>
            </w:pPr>
            <w:r>
              <w:t xml:space="preserve">Deployment flexibility</w:t>
            </w:r>
          </w:p>
        </w:tc>
        <w:tc>
          <w:tcPr/>
          <w:p>
            <w:pPr>
              <w:pStyle w:val="Compact"/>
              <w:jc w:val="right"/>
            </w:pPr>
            <w:r>
              <w:t xml:space="preserve">5</w:t>
            </w:r>
          </w:p>
        </w:tc>
        <w:tc>
          <w:tcPr/>
          <w:p>
            <w:pPr>
              <w:pStyle w:val="Compact"/>
              <w:jc w:val="left"/>
            </w:pPr>
            <w:r>
              <w:t xml:space="preserve">Five managed services, self-host and on-premises clusters.</w:t>
            </w:r>
          </w:p>
        </w:tc>
      </w:tr>
      <w:tr>
        <w:tc>
          <w:tcPr/>
          <w:p>
            <w:pPr>
              <w:pStyle w:val="Compact"/>
              <w:jc w:val="left"/>
            </w:pPr>
            <w:r>
              <w:t xml:space="preserve">Ecosystem</w:t>
            </w:r>
          </w:p>
        </w:tc>
        <w:tc>
          <w:tcPr/>
          <w:p>
            <w:pPr>
              <w:pStyle w:val="Compact"/>
              <w:jc w:val="right"/>
            </w:pPr>
            <w:r>
              <w:t xml:space="preserve">5</w:t>
            </w:r>
          </w:p>
        </w:tc>
        <w:tc>
          <w:tcPr/>
          <w:p>
            <w:pPr>
              <w:pStyle w:val="Compact"/>
              <w:jc w:val="left"/>
            </w:pPr>
            <w:r>
              <w:t xml:space="preserve">OTel- and MCP-native; managed by multiple clouds; integrated by other L9 tools (Langfuse guide).</w:t>
            </w:r>
          </w:p>
        </w:tc>
      </w:tr>
      <w:tr>
        <w:tc>
          <w:tcPr/>
          <w:p>
            <w:pPr>
              <w:pStyle w:val="Compact"/>
              <w:jc w:val="left"/>
            </w:pPr>
            <w:r>
              <w:t xml:space="preserve">Reliability and maturity</w:t>
            </w:r>
          </w:p>
        </w:tc>
        <w:tc>
          <w:tcPr/>
          <w:p>
            <w:pPr>
              <w:pStyle w:val="Compact"/>
              <w:jc w:val="right"/>
            </w:pPr>
            <w:r>
              <w:t xml:space="preserve">5</w:t>
            </w:r>
          </w:p>
        </w:tc>
        <w:tc>
          <w:tcPr/>
          <w:p>
            <w:pPr>
              <w:pStyle w:val="Compact"/>
              <w:jc w:val="left"/>
            </w:pPr>
            <w:r>
              <w:t xml:space="preserve">Since 2018, foundation-hosted.</w:t>
            </w:r>
          </w:p>
        </w:tc>
      </w:tr>
      <w:tr>
        <w:tc>
          <w:tcPr/>
          <w:p>
            <w:pPr>
              <w:pStyle w:val="Compact"/>
              <w:jc w:val="left"/>
            </w:pPr>
            <w:r>
              <w:t xml:space="preserve">Cost / TCO</w:t>
            </w:r>
          </w:p>
        </w:tc>
        <w:tc>
          <w:tcPr/>
          <w:p>
            <w:pPr>
              <w:pStyle w:val="Compact"/>
              <w:jc w:val="right"/>
            </w:pPr>
            <w:r>
              <w:t xml:space="preserve">4</w:t>
            </w:r>
          </w:p>
        </w:tc>
        <w:tc>
          <w:tcPr/>
          <w:p>
            <w:pPr>
              <w:pStyle w:val="Compact"/>
              <w:jc w:val="left"/>
            </w:pPr>
            <w:r>
              <w:t xml:space="preserve">Free; managed pricing per provider; tracking-server operations if self-hosted.</w:t>
            </w:r>
          </w:p>
        </w:tc>
      </w:tr>
      <w:tr>
        <w:tc>
          <w:tcPr/>
          <w:p>
            <w:pPr>
              <w:pStyle w:val="Compact"/>
              <w:jc w:val="left"/>
            </w:pPr>
            <w:r>
              <w:t xml:space="preserve">Lock-in / portability</w:t>
            </w:r>
          </w:p>
        </w:tc>
        <w:tc>
          <w:tcPr/>
          <w:p>
            <w:pPr>
              <w:pStyle w:val="Compact"/>
              <w:jc w:val="right"/>
            </w:pPr>
            <w:r>
              <w:t xml:space="preserve">5</w:t>
            </w:r>
          </w:p>
        </w:tc>
        <w:tc>
          <w:tcPr/>
          <w:p>
            <w:pPr>
              <w:pStyle w:val="Compact"/>
              <w:jc w:val="left"/>
            </w:pPr>
            <w:r>
              <w:t xml:space="preserve">Apache-2.0, Linux Foundation governance, OTel.</w:t>
            </w:r>
          </w:p>
        </w:tc>
      </w:tr>
      <w:tr>
        <w:tc>
          <w:tcPr/>
          <w:p>
            <w:pPr>
              <w:pStyle w:val="Compact"/>
              <w:jc w:val="left"/>
            </w:pPr>
            <w:r>
              <w:rPr>
                <w:bCs/>
                <w:b/>
              </w:rPr>
              <w:t xml:space="preserve">Total (generic / FS)</w:t>
            </w:r>
          </w:p>
        </w:tc>
        <w:tc>
          <w:tcPr/>
          <w:p>
            <w:pPr>
              <w:pStyle w:val="Compact"/>
              <w:jc w:val="right"/>
            </w:pPr>
            <w:r>
              <w:rPr>
                <w:bCs/>
                <w:b/>
              </w:rPr>
              <w:t xml:space="preserve">4.25 / 4.25</w:t>
            </w:r>
          </w:p>
        </w:tc>
        <w:tc>
          <w:tcPr/>
          <w:p>
            <w:pPr>
              <w:pStyle w:val="Compact"/>
            </w:pPr>
          </w:p>
        </w:tc>
      </w:tr>
    </w:tbl>
    <w:p>
      <w:pPr>
        <w:pStyle w:val="BodyText"/>
      </w:pPr>
      <w:r>
        <w:rPr>
          <w:iCs/>
          <w:i/>
        </w:rPr>
        <w:t xml:space="preserve">Evidence rules applied:</w:t>
      </w:r>
      <w:r>
        <w:t xml:space="preserve"> </w:t>
      </w:r>
      <w:r>
        <w:t xml:space="preserve">Rule 2 (self-hosted software) applied: NPV cap not applied; enterprise_readiness and security_compliance scored on what the software enables and on project hygiene, capped at 4; inherits host controls; Rule 6 (CP2 Q1, hyperscaler presumption) applied at CP2 rework (8 October 2026) to the SageMaker and Azure ML managed routes: enterprise_readiness 3 -&gt; 4; platform controls presumed (CP2 Q1); confirm per service</w:t>
      </w:r>
    </w:p>
    <w:p>
      <w:pPr>
        <w:pStyle w:val="BodyText"/>
      </w:pPr>
      <w:r>
        <w:rPr>
          <w:bCs/>
          <w:b/>
        </w:rPr>
        <w:t xml:space="preserve">Capabilities.</w:t>
      </w:r>
      <w:r>
        <w:t xml:space="preserve"> </w:t>
      </w:r>
      <w:r>
        <w:t xml:space="preserve">Apache-2.0 AI engineering platform: OTel-based tracing of LLM applications and agents, evaluation and quality monitoring, prompt registry and optimisation, and an AI Gateway, alongside the classic ML lifecycle</w:t>
      </w:r>
      <w:r>
        <w:t xml:space="preserve"> </w:t>
      </w:r>
      <w:r>
        <w:rPr>
          <w:rStyle w:val="ClaimLabel"/>
        </w:rPr>
        <w:t xml:space="preserve">VF</w:t>
      </w:r>
      <w:r>
        <w:rPr>
          <w:rStyle w:val="FootnoteReference"/>
        </w:rPr>
        <w:footnoteReference w:id="20"/>
      </w:r>
      <w:r>
        <w:t xml:space="preserve">.</w:t>
      </w:r>
    </w:p>
    <w:p>
      <w:pPr>
        <w:pStyle w:val="BodyText"/>
      </w:pPr>
      <w:r>
        <w:rPr>
          <w:bCs/>
          <w:b/>
        </w:rPr>
        <w:t xml:space="preserve">Strengths</w:t>
      </w:r>
    </w:p>
    <w:p>
      <w:pPr>
        <w:numPr>
          <w:ilvl w:val="0"/>
          <w:numId w:val="1001"/>
        </w:numPr>
        <w:pStyle w:val="Compact"/>
      </w:pPr>
      <w:r>
        <w:t xml:space="preserve">Managed offerings on Databricks, Amazon SageMaker, Azure ML, Nebius and Red Hat OpenShift AI, plus self-hosting and on-premises clusters</w:t>
      </w:r>
      <w:r>
        <w:t xml:space="preserve"> </w:t>
      </w:r>
      <w:r>
        <w:rPr>
          <w:rStyle w:val="ClaimLabel"/>
        </w:rPr>
        <w:t xml:space="preserve">VF</w:t>
      </w:r>
      <w:r>
        <w:rPr>
          <w:rStyle w:val="FootnoteReference"/>
        </w:rPr>
        <w:footnoteReference w:id="22"/>
      </w:r>
    </w:p>
    <w:p>
      <w:pPr>
        <w:numPr>
          <w:ilvl w:val="0"/>
          <w:numId w:val="1001"/>
        </w:numPr>
        <w:pStyle w:val="Compact"/>
      </w:pPr>
      <w:r>
        <w:t xml:space="preserve">Tracing built on OpenTelemetry; native MCP integration</w:t>
      </w:r>
      <w:r>
        <w:t xml:space="preserve"> </w:t>
      </w:r>
      <w:r>
        <w:rPr>
          <w:rStyle w:val="ClaimLabel"/>
        </w:rPr>
        <w:t xml:space="preserve">VF</w:t>
      </w:r>
      <w:r>
        <w:rPr>
          <w:rStyle w:val="FootnoteReference"/>
        </w:rPr>
        <w:footnoteReference w:id="23"/>
      </w:r>
    </w:p>
    <w:p>
      <w:pPr>
        <w:numPr>
          <w:ilvl w:val="0"/>
          <w:numId w:val="1001"/>
        </w:numPr>
        <w:pStyle w:val="Compact"/>
      </w:pPr>
      <w:r>
        <w:t xml:space="preserve">Hosted by the Linux Foundation since 2020 under a vendor-neutral open governance model</w:t>
      </w:r>
      <w:r>
        <w:t xml:space="preserve"> </w:t>
      </w:r>
      <w:r>
        <w:rPr>
          <w:rStyle w:val="ClaimLabel"/>
        </w:rPr>
        <w:t xml:space="preserve">VF</w:t>
      </w:r>
      <w:r>
        <w:rPr>
          <w:rStyle w:val="FootnoteReference"/>
        </w:rPr>
        <w:footnoteReference w:id="24"/>
      </w:r>
    </w:p>
    <w:p>
      <w:pPr>
        <w:numPr>
          <w:ilvl w:val="0"/>
          <w:numId w:val="1001"/>
        </w:numPr>
        <w:pStyle w:val="Compact"/>
      </w:pPr>
      <w:r>
        <w:t xml:space="preserve">Years of production use; first release June 2018</w:t>
      </w:r>
      <w:r>
        <w:t xml:space="preserve"> </w:t>
      </w:r>
      <w:r>
        <w:rPr>
          <w:rStyle w:val="ClaimLabel"/>
        </w:rPr>
        <w:t xml:space="preserve">VF</w:t>
      </w:r>
      <w:r>
        <w:rPr>
          <w:rStyle w:val="FootnoteReference"/>
        </w:rPr>
        <w:footnoteReference w:id="26"/>
      </w:r>
    </w:p>
    <w:p>
      <w:pPr>
        <w:pStyle w:val="FirstParagraph"/>
      </w:pPr>
      <w:r>
        <w:rPr>
          <w:bCs/>
          <w:b/>
        </w:rPr>
        <w:t xml:space="preserve">Limitations and risks</w:t>
      </w:r>
    </w:p>
    <w:p>
      <w:pPr>
        <w:numPr>
          <w:ilvl w:val="0"/>
          <w:numId w:val="1002"/>
        </w:numPr>
        <w:pStyle w:val="Compact"/>
      </w:pPr>
      <w:r>
        <w:t xml:space="preserve">Strong Databricks association; code copyright Databricks</w:t>
      </w:r>
      <w:r>
        <w:t xml:space="preserve"> </w:t>
      </w:r>
      <w:r>
        <w:rPr>
          <w:rStyle w:val="ClaimLabel"/>
        </w:rPr>
        <w:t xml:space="preserve">VF</w:t>
      </w:r>
      <w:r>
        <w:rPr>
          <w:rStyle w:val="FootnoteReference"/>
        </w:rPr>
        <w:footnoteReference w:id="28"/>
      </w:r>
    </w:p>
    <w:p>
      <w:pPr>
        <w:numPr>
          <w:ilvl w:val="0"/>
          <w:numId w:val="1002"/>
        </w:numPr>
        <w:pStyle w:val="Compact"/>
      </w:pPr>
      <w:r>
        <w:t xml:space="preserve">Security and access-control features of the open-source tracking server not verified in the fact base</w:t>
      </w:r>
      <w:r>
        <w:t xml:space="preserve"> </w:t>
      </w:r>
      <w:r>
        <w:rPr>
          <w:rStyle w:val="ClaimLabel"/>
        </w:rPr>
        <w:t xml:space="preserve">NPV</w:t>
      </w:r>
    </w:p>
    <w:p>
      <w:pPr>
        <w:numPr>
          <w:ilvl w:val="0"/>
          <w:numId w:val="1002"/>
        </w:numPr>
        <w:pStyle w:val="Compact"/>
      </w:pPr>
      <w:r>
        <w:t xml:space="preserve">GenAI evaluation depth relative to specialist tools not assessed in primary sources</w:t>
      </w:r>
      <w:r>
        <w:t xml:space="preserve"> </w:t>
      </w:r>
      <w:r>
        <w:rPr>
          <w:rStyle w:val="ClaimLabel"/>
        </w:rPr>
        <w:t xml:space="preserve">NPV</w:t>
      </w:r>
    </w:p>
    <w:p>
      <w:pPr>
        <w:numPr>
          <w:ilvl w:val="0"/>
          <w:numId w:val="1002"/>
        </w:numPr>
        <w:pStyle w:val="Compact"/>
      </w:pPr>
      <w:r>
        <w:t xml:space="preserve">Spans gateway (C1) and prompt management (C5), which can blur ownership boundaries</w:t>
      </w:r>
      <w:r>
        <w:t xml:space="preserve"> </w:t>
      </w:r>
      <w:r>
        <w:rPr>
          <w:rStyle w:val="ClaimLabel"/>
        </w:rPr>
        <w:t xml:space="preserve">VF</w:t>
      </w:r>
      <w:r>
        <w:rPr>
          <w:rStyle w:val="FootnoteReference"/>
        </w:rPr>
        <w:footnoteReference w:id="29"/>
      </w:r>
    </w:p>
    <w:p>
      <w:pPr>
        <w:pStyle w:val="FirstParagraph"/>
      </w:pPr>
      <w:r>
        <w:rPr>
          <w:bCs/>
          <w:b/>
        </w:rPr>
        <w:t xml:space="preserve">Choose when</w:t>
      </w:r>
    </w:p>
    <w:p>
      <w:pPr>
        <w:numPr>
          <w:ilvl w:val="0"/>
          <w:numId w:val="1003"/>
        </w:numPr>
        <w:pStyle w:val="Compact"/>
      </w:pPr>
      <w:r>
        <w:t xml:space="preserve">MLflow already holds the firm’s model inventory and lifecycle on Databricks, SageMaker or Azure ML, so GenAI evidence lands beside classic model evidence</w:t>
      </w:r>
      <w:r>
        <w:t xml:space="preserve"> </w:t>
      </w:r>
      <w:r>
        <w:rPr>
          <w:rStyle w:val="ClaimLabel"/>
        </w:rPr>
        <w:t xml:space="preserve">AJ</w:t>
      </w:r>
    </w:p>
    <w:p>
      <w:pPr>
        <w:numPr>
          <w:ilvl w:val="0"/>
          <w:numId w:val="1003"/>
        </w:numPr>
        <w:pStyle w:val="Compact"/>
      </w:pPr>
      <w:r>
        <w:t xml:space="preserve">You want the most neutral governance and licence in the layer</w:t>
      </w:r>
      <w:r>
        <w:t xml:space="preserve"> </w:t>
      </w:r>
      <w:r>
        <w:rPr>
          <w:rStyle w:val="ClaimLabel"/>
        </w:rPr>
        <w:t xml:space="preserve">AJ</w:t>
      </w:r>
    </w:p>
    <w:p>
      <w:pPr>
        <w:pStyle w:val="FirstParagraph"/>
      </w:pPr>
      <w:r>
        <w:rPr>
          <w:bCs/>
          <w:b/>
        </w:rPr>
        <w:t xml:space="preserve">Avoid when</w:t>
      </w:r>
    </w:p>
    <w:p>
      <w:pPr>
        <w:numPr>
          <w:ilvl w:val="0"/>
          <w:numId w:val="1004"/>
        </w:numPr>
        <w:pStyle w:val="Compact"/>
      </w:pPr>
      <w:r>
        <w:t xml:space="preserve">You would self-host the open-source server without putting it behind the firm’s identity and access controls</w:t>
      </w:r>
      <w:r>
        <w:t xml:space="preserve"> </w:t>
      </w:r>
      <w:r>
        <w:rPr>
          <w:rStyle w:val="ClaimLabel"/>
        </w:rPr>
        <w:t xml:space="preserve">AJ</w:t>
      </w:r>
    </w:p>
    <w:p>
      <w:pPr>
        <w:numPr>
          <w:ilvl w:val="0"/>
          <w:numId w:val="1004"/>
        </w:numPr>
        <w:pStyle w:val="Compact"/>
      </w:pPr>
      <w:r>
        <w:t xml:space="preserve">Teams need richer agent-debugging UX than the platform offers and will not run a second tool</w:t>
      </w:r>
      <w:r>
        <w:t xml:space="preserve"> </w:t>
      </w:r>
      <w:r>
        <w:rPr>
          <w:rStyle w:val="ClaimLabel"/>
        </w:rPr>
        <w:t xml:space="preserve">AJ</w:t>
      </w:r>
    </w:p>
    <w:p>
      <w:pPr>
        <w:pStyle w:val="FirstParagraph"/>
      </w:pPr>
      <w:r>
        <w:rPr>
          <w:bCs/>
          <w:b/>
        </w:rPr>
        <w:t xml:space="preserve">Nearest competitors:</w:t>
      </w:r>
      <w:r>
        <w:t xml:space="preserve"> </w:t>
      </w:r>
      <w:r>
        <w:t xml:space="preserve">L9-langfuse, L9-wandb-weave, L9-opik</w:t>
      </w:r>
    </w:p>
    <w:p>
      <w:pPr>
        <w:pStyle w:val="BodyText"/>
      </w:pPr>
      <w:r>
        <w:rPr>
          <w:bCs/>
          <w:b/>
        </w:rPr>
        <w:t xml:space="preserve">Regulated-FS note.</w:t>
      </w:r>
      <w:r>
        <w:t xml:space="preserve"> </w:t>
      </w:r>
      <w:r>
        <w:t xml:space="preserve">For firms whose model risk inventory already lives in MLflow, this is the shortest path to SS1/23-style monitoring evidence for LLM components; on SageMaker or Azure ML the platform’s IAM, SSO and audit logging are presumed under CP2 Q1 but must be confirmed per service, and certifications and residency must be verified per provider</w:t>
      </w:r>
      <w:r>
        <w:t xml:space="preserve"> </w:t>
      </w:r>
      <w:r>
        <w:rPr>
          <w:rStyle w:val="ClaimLabel"/>
        </w:rPr>
        <w:t xml:space="preserve">AJ</w:t>
      </w:r>
      <w:r>
        <w:t xml:space="preserve">.</w:t>
      </w:r>
    </w:p>
    <w:p>
      <w:pPr>
        <w:pStyle w:val="BodyText"/>
      </w:pPr>
      <w:r>
        <w:rPr>
          <w:bCs/>
          <w:b/>
        </w:rPr>
        <w:t xml:space="preserve">Facts (as of 2026-10-07)</w:t>
      </w:r>
    </w:p>
    <w:tbl>
      <w:tblPr>
        <w:tblStyle w:val="Table"/>
        <w:tblW w:type="pct" w:w="5000"/>
        <w:tblLook w:firstRow="1" w:lastRow="0" w:firstColumn="0" w:lastColumn="0" w:noHBand="0" w:noVBand="0" w:val="0020"/>
        <w:jc w:val="start"/>
      </w:tblPr>
      <w:tblGrid>
        <w:gridCol w:w="1485"/>
        <w:gridCol w:w="4290"/>
        <w:gridCol w:w="1320"/>
        <w:gridCol w:w="825"/>
      </w:tblGrid>
      <w:tr>
        <w:trPr>
          <w:tblHeader w:val="true"/>
        </w:trPr>
        <w:tc>
          <w:tcPr/>
          <w:p>
            <w:pPr>
              <w:pStyle w:val="Compact"/>
              <w:jc w:val="left"/>
            </w:pPr>
            <w:r>
              <w:t xml:space="preserve">Field</w:t>
            </w:r>
          </w:p>
        </w:tc>
        <w:tc>
          <w:tcPr/>
          <w:p>
            <w:pPr>
              <w:pStyle w:val="Compact"/>
              <w:jc w:val="left"/>
            </w:pPr>
            <w:r>
              <w:t xml:space="preserve">Value</w:t>
            </w:r>
          </w:p>
        </w:tc>
        <w:tc>
          <w:tcPr/>
          <w:p>
            <w:pPr>
              <w:pStyle w:val="Compact"/>
              <w:jc w:val="left"/>
            </w:pPr>
            <w:r>
              <w:t xml:space="preserve">Label</w:t>
            </w:r>
          </w:p>
        </w:tc>
        <w:tc>
          <w:tcPr/>
          <w:p>
            <w:pPr>
              <w:pStyle w:val="Compact"/>
              <w:jc w:val="left"/>
            </w:pPr>
            <w:r>
              <w:t xml:space="preserve">Sources</w:t>
            </w:r>
          </w:p>
        </w:tc>
      </w:tr>
      <w:tr>
        <w:tc>
          <w:tcPr/>
          <w:p>
            <w:pPr>
              <w:pStyle w:val="Compact"/>
              <w:jc w:val="left"/>
            </w:pPr>
            <w:r>
              <w:t xml:space="preserve">Company</w:t>
            </w:r>
          </w:p>
        </w:tc>
        <w:tc>
          <w:tcPr/>
          <w:p>
            <w:pPr>
              <w:pStyle w:val="Compact"/>
              <w:jc w:val="left"/>
            </w:pPr>
            <w:r>
              <w:t xml:space="preserve">MLflow open-source project; code copyright Databricks, Inc.</w:t>
            </w:r>
          </w:p>
        </w:tc>
        <w:tc>
          <w:tcPr/>
          <w:p>
            <w:pPr>
              <w:pStyle w:val="Compact"/>
              <w:jc w:val="left"/>
            </w:pPr>
            <w:r>
              <w:t xml:space="preserve">Verified fact</w:t>
            </w:r>
          </w:p>
        </w:tc>
        <w:tc>
          <w:tcPr/>
          <w:p>
            <w:pPr>
              <w:pStyle w:val="Compact"/>
              <w:jc w:val="left"/>
            </w:pPr>
            <w:r>
              <w:t xml:space="preserve">A1-S019, A1-S103</w:t>
            </w:r>
          </w:p>
        </w:tc>
      </w:tr>
      <w:tr>
        <w:tc>
          <w:tcPr/>
          <w:p>
            <w:pPr>
              <w:pStyle w:val="Compact"/>
              <w:jc w:val="left"/>
            </w:pPr>
            <w:r>
              <w:t xml:space="preserve">Category</w:t>
            </w:r>
          </w:p>
        </w:tc>
        <w:tc>
          <w:tcPr/>
          <w:p>
            <w:pPr>
              <w:pStyle w:val="Compact"/>
              <w:jc w:val="left"/>
            </w:pPr>
            <w:r>
              <w:t xml:space="preserve">Open-source AI engineering platform for agents, LLMs and ML models</w:t>
            </w:r>
          </w:p>
        </w:tc>
        <w:tc>
          <w:tcPr/>
          <w:p>
            <w:pPr>
              <w:pStyle w:val="Compact"/>
              <w:jc w:val="left"/>
            </w:pPr>
            <w:r>
              <w:t xml:space="preserve">Verified fact</w:t>
            </w:r>
          </w:p>
        </w:tc>
        <w:tc>
          <w:tcPr/>
          <w:p>
            <w:pPr>
              <w:pStyle w:val="Compact"/>
              <w:jc w:val="left"/>
            </w:pPr>
            <w:r>
              <w:t xml:space="preserve">A1-S103</w:t>
            </w:r>
          </w:p>
        </w:tc>
      </w:tr>
      <w:tr>
        <w:tc>
          <w:tcPr/>
          <w:p>
            <w:pPr>
              <w:pStyle w:val="Compact"/>
              <w:jc w:val="left"/>
            </w:pPr>
            <w:r>
              <w:t xml:space="preserve">Version / lineup</w:t>
            </w:r>
          </w:p>
        </w:tc>
        <w:tc>
          <w:tcPr/>
          <w:p>
            <w:pPr>
              <w:pStyle w:val="Compact"/>
              <w:jc w:val="left"/>
            </w:pPr>
            <w:r>
              <w:t xml:space="preserve">mlflow 3.17.0, released 7 October 2026</w:t>
            </w:r>
          </w:p>
        </w:tc>
        <w:tc>
          <w:tcPr/>
          <w:p>
            <w:pPr>
              <w:pStyle w:val="Compact"/>
              <w:jc w:val="left"/>
            </w:pPr>
            <w:r>
              <w:t xml:space="preserve">Verified fact</w:t>
            </w:r>
          </w:p>
        </w:tc>
        <w:tc>
          <w:tcPr/>
          <w:p>
            <w:pPr>
              <w:pStyle w:val="Compact"/>
              <w:jc w:val="left"/>
            </w:pPr>
            <w:r>
              <w:t xml:space="preserve">A1-S019</w:t>
            </w:r>
          </w:p>
        </w:tc>
      </w:tr>
      <w:tr>
        <w:tc>
          <w:tcPr/>
          <w:p>
            <w:pPr>
              <w:pStyle w:val="Compact"/>
              <w:jc w:val="left"/>
            </w:pPr>
            <w:r>
              <w:t xml:space="preserve">Licence</w:t>
            </w:r>
          </w:p>
        </w:tc>
        <w:tc>
          <w:tcPr/>
          <w:p>
            <w:pPr>
              <w:pStyle w:val="Compact"/>
              <w:jc w:val="left"/>
            </w:pPr>
            <w:r>
              <w:t xml:space="preserve">Apache-2.0</w:t>
            </w:r>
          </w:p>
        </w:tc>
        <w:tc>
          <w:tcPr/>
          <w:p>
            <w:pPr>
              <w:pStyle w:val="Compact"/>
              <w:jc w:val="left"/>
            </w:pPr>
            <w:r>
              <w:t xml:space="preserve">Verified fact</w:t>
            </w:r>
          </w:p>
        </w:tc>
        <w:tc>
          <w:tcPr/>
          <w:p>
            <w:pPr>
              <w:pStyle w:val="Compact"/>
              <w:jc w:val="left"/>
            </w:pPr>
            <w:r>
              <w:t xml:space="preserve">A1-S019</w:t>
            </w:r>
          </w:p>
        </w:tc>
      </w:tr>
      <w:tr>
        <w:tc>
          <w:tcPr/>
          <w:p>
            <w:pPr>
              <w:pStyle w:val="Compact"/>
              <w:jc w:val="left"/>
            </w:pPr>
            <w:r>
              <w:t xml:space="preserve">Strategic direction</w:t>
            </w:r>
          </w:p>
        </w:tc>
        <w:tc>
          <w:tcPr/>
          <w:p>
            <w:pPr>
              <w:pStyle w:val="Compact"/>
              <w:jc w:val="left"/>
            </w:pPr>
            <w:r>
              <w:t xml:space="preserve">Repositioned as</w:t>
            </w:r>
            <w:r>
              <w:t xml:space="preserve"> </w:t>
            </w:r>
            <w:r>
              <w:t xml:space="preserve">‘</w:t>
            </w:r>
            <w:r>
              <w:t xml:space="preserve">The Open Source AI Engineering Platform for Agents, LLMs &amp; Models</w:t>
            </w:r>
            <w:r>
              <w:t xml:space="preserve">’</w:t>
            </w:r>
            <w:r>
              <w:t xml:space="preserve"> </w:t>
            </w:r>
            <w:r>
              <w:t xml:space="preserve">with OTel-based tracing, evaluation and monitoring, prompt optimisation and an AI Gateway</w:t>
            </w:r>
          </w:p>
        </w:tc>
        <w:tc>
          <w:tcPr/>
          <w:p>
            <w:pPr>
              <w:pStyle w:val="Compact"/>
              <w:jc w:val="left"/>
            </w:pPr>
            <w:r>
              <w:t xml:space="preserve">Verified fact</w:t>
            </w:r>
          </w:p>
        </w:tc>
        <w:tc>
          <w:tcPr/>
          <w:p>
            <w:pPr>
              <w:pStyle w:val="Compact"/>
              <w:jc w:val="left"/>
            </w:pPr>
            <w:r>
              <w:t xml:space="preserve">A1-S103</w:t>
            </w:r>
          </w:p>
        </w:tc>
      </w:tr>
      <w:tr>
        <w:tc>
          <w:tcPr/>
          <w:p>
            <w:pPr>
              <w:pStyle w:val="Compact"/>
              <w:jc w:val="left"/>
            </w:pPr>
            <w:r>
              <w:t xml:space="preserve">What it does</w:t>
            </w:r>
          </w:p>
        </w:tc>
        <w:tc>
          <w:tcPr/>
          <w:p>
            <w:pPr>
              <w:pStyle w:val="Compact"/>
              <w:jc w:val="left"/>
            </w:pPr>
            <w:r>
              <w:t xml:space="preserve">Captures traces of LLM applications and agents (built on OpenTelemetry), evaluates and monitors quality, manages and optimises prompts, and offers an AI Gateway for cost and model access control, alongside classic ML lifecycle features.</w:t>
            </w:r>
          </w:p>
        </w:tc>
        <w:tc>
          <w:tcPr/>
          <w:p>
            <w:pPr>
              <w:pStyle w:val="Compact"/>
              <w:jc w:val="left"/>
            </w:pPr>
            <w:r>
              <w:t xml:space="preserve">Verified fact</w:t>
            </w:r>
          </w:p>
        </w:tc>
        <w:tc>
          <w:tcPr/>
          <w:p>
            <w:pPr>
              <w:pStyle w:val="Compact"/>
              <w:jc w:val="left"/>
            </w:pPr>
            <w:r>
              <w:t xml:space="preserve">A1-S103</w:t>
            </w:r>
          </w:p>
        </w:tc>
      </w:tr>
      <w:tr>
        <w:tc>
          <w:tcPr/>
          <w:p>
            <w:pPr>
              <w:pStyle w:val="Compact"/>
              <w:jc w:val="left"/>
            </w:pPr>
            <w:r>
              <w:t xml:space="preserve">Stack position</w:t>
            </w:r>
          </w:p>
        </w:tc>
        <w:tc>
          <w:tcPr/>
          <w:p>
            <w:pPr>
              <w:pStyle w:val="Compact"/>
              <w:jc w:val="left"/>
            </w:pPr>
            <w:r>
              <w:t xml:space="preserve">Cross-cutting L9 plus gateway (C1) and prompt management (C5) functions</w:t>
            </w:r>
          </w:p>
        </w:tc>
        <w:tc>
          <w:tcPr/>
          <w:p>
            <w:pPr>
              <w:pStyle w:val="Compact"/>
              <w:jc w:val="left"/>
            </w:pPr>
            <w:r>
              <w:t xml:space="preserve">Verified fact</w:t>
            </w:r>
          </w:p>
        </w:tc>
        <w:tc>
          <w:tcPr/>
          <w:p>
            <w:pPr>
              <w:pStyle w:val="Compact"/>
              <w:jc w:val="left"/>
            </w:pPr>
            <w:r>
              <w:t xml:space="preserve">A1-S103</w:t>
            </w:r>
          </w:p>
        </w:tc>
      </w:tr>
      <w:tr>
        <w:tc>
          <w:tcPr/>
          <w:p>
            <w:pPr>
              <w:pStyle w:val="Compact"/>
              <w:jc w:val="left"/>
            </w:pPr>
            <w:r>
              <w:t xml:space="preserve">Integration</w:t>
            </w:r>
          </w:p>
        </w:tc>
        <w:tc>
          <w:tcPr/>
          <w:p>
            <w:pPr>
              <w:pStyle w:val="Compact"/>
              <w:jc w:val="left"/>
            </w:pPr>
            <w:r>
              <w:t xml:space="preserve">Python, TypeScript/JavaScript, Java SDKs; natively integrates with OpenTelemetry and MCP</w:t>
            </w:r>
          </w:p>
        </w:tc>
        <w:tc>
          <w:tcPr/>
          <w:p>
            <w:pPr>
              <w:pStyle w:val="Compact"/>
              <w:jc w:val="left"/>
            </w:pPr>
            <w:r>
              <w:t xml:space="preserve">Verified fact</w:t>
            </w:r>
          </w:p>
        </w:tc>
        <w:tc>
          <w:tcPr/>
          <w:p>
            <w:pPr>
              <w:pStyle w:val="Compact"/>
              <w:jc w:val="left"/>
            </w:pPr>
            <w:r>
              <w:t xml:space="preserve">A1-S103</w:t>
            </w:r>
          </w:p>
        </w:tc>
      </w:tr>
      <w:tr>
        <w:tc>
          <w:tcPr/>
          <w:p>
            <w:pPr>
              <w:pStyle w:val="Compact"/>
              <w:jc w:val="left"/>
            </w:pPr>
            <w:r>
              <w:t xml:space="preserve">Dependencies</w:t>
            </w:r>
          </w:p>
        </w:tc>
        <w:tc>
          <w:tcPr/>
          <w:p>
            <w:pPr>
              <w:pStyle w:val="Compact"/>
              <w:jc w:val="left"/>
            </w:pPr>
            <w:r>
              <w:t xml:space="preserve">Tracking server (local or managed); deployable on Docker, Kubernetes, Azure ML, SageMaker</w:t>
            </w:r>
          </w:p>
        </w:tc>
        <w:tc>
          <w:tcPr/>
          <w:p>
            <w:pPr>
              <w:pStyle w:val="Compact"/>
              <w:jc w:val="left"/>
            </w:pPr>
            <w:r>
              <w:t xml:space="preserve">Verified fact</w:t>
            </w:r>
          </w:p>
        </w:tc>
        <w:tc>
          <w:tcPr/>
          <w:p>
            <w:pPr>
              <w:pStyle w:val="Compact"/>
              <w:jc w:val="left"/>
            </w:pPr>
            <w:r>
              <w:t xml:space="preserve">A1-S103</w:t>
            </w:r>
          </w:p>
        </w:tc>
      </w:tr>
      <w:tr>
        <w:tc>
          <w:tcPr/>
          <w:p>
            <w:pPr>
              <w:pStyle w:val="Compact"/>
              <w:jc w:val="left"/>
            </w:pPr>
            <w:r>
              <w:t xml:space="preserve">Certifications</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GDPR / residency</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Security features</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Access controls</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Enterprise support</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Pricing</w:t>
            </w:r>
          </w:p>
        </w:tc>
        <w:tc>
          <w:tcPr/>
          <w:p>
            <w:pPr>
              <w:pStyle w:val="Compact"/>
              <w:jc w:val="left"/>
            </w:pPr>
            <w:r>
              <w:t xml:space="preserve">Open source free; managed pricing set by each cloud provider</w:t>
            </w:r>
          </w:p>
        </w:tc>
        <w:tc>
          <w:tcPr/>
          <w:p>
            <w:pPr>
              <w:pStyle w:val="Compact"/>
              <w:jc w:val="left"/>
            </w:pPr>
            <w:r>
              <w:t xml:space="preserve">Verified fact</w:t>
            </w:r>
          </w:p>
        </w:tc>
        <w:tc>
          <w:tcPr/>
          <w:p>
            <w:pPr>
              <w:pStyle w:val="Compact"/>
              <w:jc w:val="left"/>
            </w:pPr>
            <w:r>
              <w:t xml:space="preserve">A1-S019, A1-S103</w:t>
            </w:r>
          </w:p>
        </w:tc>
      </w:tr>
      <w:tr>
        <w:tc>
          <w:tcPr/>
          <w:p>
            <w:pPr>
              <w:pStyle w:val="Compact"/>
              <w:jc w:val="left"/>
            </w:pPr>
            <w:r>
              <w:t xml:space="preserve">Infrastructure cost</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Ecosystem</w:t>
            </w:r>
          </w:p>
        </w:tc>
        <w:tc>
          <w:tcPr/>
          <w:p>
            <w:pPr>
              <w:pStyle w:val="Compact"/>
              <w:jc w:val="left"/>
            </w:pPr>
            <w:r>
              <w:t xml:space="preserve">Managed offerings on Databricks, SageMaker, Azure ML, Nebius, Red Hat OpenShift AI; tracing integrations incl. Databricks AI Gateway</w:t>
            </w:r>
          </w:p>
        </w:tc>
        <w:tc>
          <w:tcPr/>
          <w:p>
            <w:pPr>
              <w:pStyle w:val="Compact"/>
              <w:jc w:val="left"/>
            </w:pPr>
            <w:r>
              <w:t xml:space="preserve">Verified fact</w:t>
            </w:r>
          </w:p>
        </w:tc>
        <w:tc>
          <w:tcPr/>
          <w:p>
            <w:pPr>
              <w:pStyle w:val="Compact"/>
              <w:jc w:val="left"/>
            </w:pPr>
            <w:r>
              <w:t xml:space="preserve">A1-S103</w:t>
            </w:r>
          </w:p>
        </w:tc>
      </w:tr>
      <w:tr>
        <w:tc>
          <w:tcPr/>
          <w:p>
            <w:pPr>
              <w:pStyle w:val="Compact"/>
              <w:jc w:val="left"/>
            </w:pPr>
            <w:r>
              <w:t xml:space="preserve">Adoption signals</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Maturity</w:t>
            </w:r>
          </w:p>
        </w:tc>
        <w:tc>
          <w:tcPr/>
          <w:p>
            <w:pPr>
              <w:pStyle w:val="Compact"/>
              <w:jc w:val="left"/>
            </w:pPr>
            <w:r>
              <w:t xml:space="preserve">First PyPI release 4 June 2018; 190 releases</w:t>
            </w:r>
          </w:p>
        </w:tc>
        <w:tc>
          <w:tcPr/>
          <w:p>
            <w:pPr>
              <w:pStyle w:val="Compact"/>
              <w:jc w:val="left"/>
            </w:pPr>
            <w:r>
              <w:t xml:space="preserve">Verified fact</w:t>
            </w:r>
          </w:p>
        </w:tc>
        <w:tc>
          <w:tcPr/>
          <w:p>
            <w:pPr>
              <w:pStyle w:val="Compact"/>
              <w:jc w:val="left"/>
            </w:pPr>
            <w:r>
              <w:t xml:space="preserve">A1-S019</w:t>
            </w:r>
          </w:p>
        </w:tc>
      </w:tr>
      <w:tr>
        <w:tc>
          <w:tcPr/>
          <w:p>
            <w:pPr>
              <w:pStyle w:val="Compact"/>
              <w:jc w:val="left"/>
            </w:pPr>
            <w:r>
              <w:t xml:space="preserve">Deployment</w:t>
            </w:r>
          </w:p>
        </w:tc>
        <w:tc>
          <w:tcPr/>
          <w:p>
            <w:pPr>
              <w:pStyle w:val="Compact"/>
              <w:jc w:val="left"/>
            </w:pPr>
            <w:r>
              <w:t xml:space="preserve">saas: Yes (managed by Databricks, Amazon SageMaker, Azure ML, Nebius, Red Hat OpenShift AI); managed_cloud: Yes; vpc_byoc: Not publicly verified; private_cloud: Yes; self_hosted: Yes; on_prem: Yes (on-premises clusters)</w:t>
            </w:r>
          </w:p>
        </w:tc>
        <w:tc>
          <w:tcPr/>
          <w:p>
            <w:pPr>
              <w:pStyle w:val="Compact"/>
            </w:pPr>
          </w:p>
        </w:tc>
        <w:tc>
          <w:tcPr/>
          <w:p>
            <w:pPr>
              <w:pStyle w:val="Compact"/>
            </w:pPr>
          </w:p>
        </w:tc>
      </w:tr>
    </w:tbl>
    <w:bookmarkEnd w:id="30"/>
    <w:bookmarkStart w:id="50" w:name="langfuse-l9-langfuse"/>
    <w:p>
      <w:pPr>
        <w:pStyle w:val="Heading2"/>
      </w:pPr>
      <w:r>
        <w:t xml:space="preserve">Langfuse (</w:t>
      </w:r>
      <w:r>
        <w:rPr>
          <w:rStyle w:val="VerbatimChar"/>
        </w:rPr>
        <w:t xml:space="preserve">L9-langfuse</w:t>
      </w:r>
      <w:r>
        <w:t xml:space="preserve">)</w:t>
      </w:r>
    </w:p>
    <w:p>
      <w:pPr>
        <w:pStyle w:val="FirstParagraph"/>
      </w:pPr>
      <w:r>
        <w:rPr>
          <w:bCs/>
          <w:b/>
        </w:rPr>
        <w:t xml:space="preserve">Tier:</w:t>
      </w:r>
      <w:r>
        <w:t xml:space="preserve"> </w:t>
      </w:r>
      <w:r>
        <w:t xml:space="preserve">Strategic ·</w:t>
      </w:r>
      <w:r>
        <w:t xml:space="preserve"> </w:t>
      </w:r>
      <w:r>
        <w:rPr>
          <w:bCs/>
          <w:b/>
        </w:rPr>
        <w:t xml:space="preserve">Flags:</w:t>
      </w:r>
      <w:r>
        <w:t xml:space="preserve"> </w:t>
      </w:r>
      <w:r>
        <w:t xml:space="preserve">Acquired ·</w:t>
      </w:r>
      <w:r>
        <w:t xml:space="preserve"> </w:t>
      </w:r>
      <w:r>
        <w:rPr>
          <w:bCs/>
          <w:b/>
        </w:rPr>
        <w:t xml:space="preserve">Original graphic label:</w:t>
      </w:r>
      <w:r>
        <w:t xml:space="preserve"> </w:t>
      </w:r>
      <w:r>
        <w:t xml:space="preserve">Langfuse – open source</w:t>
      </w:r>
    </w:p>
    <w:p>
      <w:pPr>
        <w:pStyle w:val="BodyText"/>
      </w:pPr>
      <w:r>
        <w:rPr>
          <w:iCs/>
          <w:i/>
        </w:rPr>
        <w:t xml:space="preserve">Rationale:</w:t>
      </w:r>
      <w:r>
        <w:t xml:space="preserve"> </w:t>
      </w:r>
      <w:r>
        <w:t xml:space="preserve">MIT core, OTel ingestion, self-hosting and certified EU Cloud make it a credible platform of record; ClickHouse ownership and the enterprise-gated audit/RBAC modules are the caveats</w:t>
      </w:r>
      <w:r>
        <w:t xml:space="preserve"> </w:t>
      </w:r>
      <w:r>
        <w:rPr>
          <w:rStyle w:val="ClaimLabel"/>
        </w:rPr>
        <w:t xml:space="preserve">AJ</w:t>
      </w:r>
      <w:r>
        <w:t xml:space="preserve">.</w:t>
      </w:r>
    </w:p>
    <w:tbl>
      <w:tblPr>
        <w:tblStyle w:val="Table"/>
        <w:tblW w:type="pct" w:w="5000"/>
        <w:tblLook w:firstRow="1" w:lastRow="0" w:firstColumn="0" w:lastColumn="0" w:noHBand="0" w:noVBand="0" w:val="0020"/>
        <w:jc w:val="start"/>
      </w:tblPr>
      <w:tblGrid>
        <w:gridCol w:w="1545"/>
        <w:gridCol w:w="579"/>
        <w:gridCol w:w="5795"/>
      </w:tblGrid>
      <w:tr>
        <w:trPr>
          <w:tblHeader w:val="true"/>
        </w:trPr>
        <w:tc>
          <w:tcPr/>
          <w:p>
            <w:pPr>
              <w:pStyle w:val="Compact"/>
              <w:jc w:val="left"/>
            </w:pPr>
            <w:r>
              <w:t xml:space="preserve">Criterion</w:t>
            </w:r>
          </w:p>
        </w:tc>
        <w:tc>
          <w:tcPr/>
          <w:p>
            <w:pPr>
              <w:pStyle w:val="Compact"/>
              <w:jc w:val="right"/>
            </w:pPr>
            <w:r>
              <w:t xml:space="preserve">Score</w:t>
            </w:r>
          </w:p>
        </w:tc>
        <w:tc>
          <w:tcPr/>
          <w:p>
            <w:pPr>
              <w:pStyle w:val="Compact"/>
              <w:jc w:val="left"/>
            </w:pPr>
            <w:r>
              <w:t xml:space="preserve">Rationale</w:t>
            </w:r>
          </w:p>
        </w:tc>
      </w:tr>
      <w:tr>
        <w:tc>
          <w:tcPr/>
          <w:p>
            <w:pPr>
              <w:pStyle w:val="Compact"/>
              <w:jc w:val="left"/>
            </w:pPr>
            <w:r>
              <w:t xml:space="preserve">Technical</w:t>
            </w:r>
          </w:p>
        </w:tc>
        <w:tc>
          <w:tcPr/>
          <w:p>
            <w:pPr>
              <w:pStyle w:val="Compact"/>
              <w:jc w:val="right"/>
            </w:pPr>
            <w:r>
              <w:t xml:space="preserve">4</w:t>
            </w:r>
          </w:p>
        </w:tc>
        <w:tc>
          <w:tcPr/>
          <w:p>
            <w:pPr>
              <w:pStyle w:val="Compact"/>
              <w:jc w:val="left"/>
            </w:pPr>
            <w:r>
              <w:t xml:space="preserve">Covers tracing, prompts, LLM-as-a-judge, datasets, experiments and annotation; no native red-teaming or documented trajectory metrics.</w:t>
            </w:r>
          </w:p>
        </w:tc>
      </w:tr>
      <w:tr>
        <w:tc>
          <w:tcPr/>
          <w:p>
            <w:pPr>
              <w:pStyle w:val="Compact"/>
              <w:jc w:val="left"/>
            </w:pPr>
            <w:r>
              <w:t xml:space="preserve">Enterprise readiness</w:t>
            </w:r>
          </w:p>
        </w:tc>
        <w:tc>
          <w:tcPr/>
          <w:p>
            <w:pPr>
              <w:pStyle w:val="Compact"/>
              <w:jc w:val="right"/>
            </w:pPr>
            <w:r>
              <w:t xml:space="preserve">4</w:t>
            </w:r>
          </w:p>
        </w:tc>
        <w:tc>
          <w:tcPr/>
          <w:p>
            <w:pPr>
              <w:pStyle w:val="Compact"/>
              <w:jc w:val="left"/>
            </w:pPr>
            <w:r>
              <w:t xml:space="preserve">SSO, project-level RBAC, audit logs and SCIM are documented, with SCIM, audit logs and project RBAC Enterprise-licensed when self-hosted (A1-S033): all three controls plus SCIM reach 4 under rule 7 (CP2 Q2). Not 5: SLA terms are not published and pages disagree on which tier carries SSO.</w:t>
            </w:r>
          </w:p>
        </w:tc>
      </w:tr>
      <w:tr>
        <w:tc>
          <w:tcPr/>
          <w:p>
            <w:pPr>
              <w:pStyle w:val="Compact"/>
              <w:jc w:val="left"/>
            </w:pPr>
            <w:r>
              <w:t xml:space="preserve">Security and compliance</w:t>
            </w:r>
          </w:p>
        </w:tc>
        <w:tc>
          <w:tcPr/>
          <w:p>
            <w:pPr>
              <w:pStyle w:val="Compact"/>
              <w:jc w:val="right"/>
            </w:pPr>
            <w:r>
              <w:t xml:space="preserve">4</w:t>
            </w:r>
          </w:p>
        </w:tc>
        <w:tc>
          <w:tcPr/>
          <w:p>
            <w:pPr>
              <w:pStyle w:val="Compact"/>
              <w:jc w:val="left"/>
            </w:pPr>
            <w:r>
              <w:t xml:space="preserve">SOC 2 Type II, ISO 27001, HIPAA BAA and isolated EU region on Cloud; no CMK/BYOK documented, so not 5 under the layer calibration.</w:t>
            </w:r>
          </w:p>
        </w:tc>
      </w:tr>
      <w:tr>
        <w:tc>
          <w:tcPr/>
          <w:p>
            <w:pPr>
              <w:pStyle w:val="Compact"/>
              <w:jc w:val="left"/>
            </w:pPr>
            <w:r>
              <w:t xml:space="preserve">Deployment flexibility</w:t>
            </w:r>
          </w:p>
        </w:tc>
        <w:tc>
          <w:tcPr/>
          <w:p>
            <w:pPr>
              <w:pStyle w:val="Compact"/>
              <w:jc w:val="right"/>
            </w:pPr>
            <w:r>
              <w:t xml:space="preserve">4</w:t>
            </w:r>
          </w:p>
        </w:tc>
        <w:tc>
          <w:tcPr/>
          <w:p>
            <w:pPr>
              <w:pStyle w:val="Compact"/>
              <w:jc w:val="left"/>
            </w:pPr>
            <w:r>
              <w:t xml:space="preserve">SaaS, private cloud, self-host and on-prem; BYOC not verified; air-gap not documented.</w:t>
            </w:r>
          </w:p>
        </w:tc>
      </w:tr>
      <w:tr>
        <w:tc>
          <w:tcPr/>
          <w:p>
            <w:pPr>
              <w:pStyle w:val="Compact"/>
              <w:jc w:val="left"/>
            </w:pPr>
            <w:r>
              <w:t xml:space="preserve">Ecosystem</w:t>
            </w:r>
          </w:p>
        </w:tc>
        <w:tc>
          <w:tcPr/>
          <w:p>
            <w:pPr>
              <w:pStyle w:val="Compact"/>
              <w:jc w:val="right"/>
            </w:pPr>
            <w:r>
              <w:t xml:space="preserve">4</w:t>
            </w:r>
          </w:p>
        </w:tc>
        <w:tc>
          <w:tcPr/>
          <w:p>
            <w:pPr>
              <w:pStyle w:val="Compact"/>
              <w:jc w:val="left"/>
            </w:pPr>
            <w:r>
              <w:t xml:space="preserve">OTel-native with broad integration guides; HTTP-only OTLP.</w:t>
            </w:r>
          </w:p>
        </w:tc>
      </w:tr>
      <w:tr>
        <w:tc>
          <w:tcPr/>
          <w:p>
            <w:pPr>
              <w:pStyle w:val="Compact"/>
              <w:jc w:val="left"/>
            </w:pPr>
            <w:r>
              <w:t xml:space="preserve">Reliability and maturity</w:t>
            </w:r>
          </w:p>
        </w:tc>
        <w:tc>
          <w:tcPr/>
          <w:p>
            <w:pPr>
              <w:pStyle w:val="Compact"/>
              <w:jc w:val="right"/>
            </w:pPr>
            <w:r>
              <w:t xml:space="preserve">4</w:t>
            </w:r>
          </w:p>
        </w:tc>
        <w:tc>
          <w:tcPr/>
          <w:p>
            <w:pPr>
              <w:pStyle w:val="Compact"/>
              <w:jc w:val="left"/>
            </w:pPr>
            <w:r>
              <w:t xml:space="preserve">GA, 555 PyPI releases since July 2023; ownership changed to ClickHouse in January 2026 with a stated unchanged roadmap.</w:t>
            </w:r>
          </w:p>
        </w:tc>
      </w:tr>
      <w:tr>
        <w:tc>
          <w:tcPr/>
          <w:p>
            <w:pPr>
              <w:pStyle w:val="Compact"/>
              <w:jc w:val="left"/>
            </w:pPr>
            <w:r>
              <w:t xml:space="preserve">Cost / TCO</w:t>
            </w:r>
          </w:p>
        </w:tc>
        <w:tc>
          <w:tcPr/>
          <w:p>
            <w:pPr>
              <w:pStyle w:val="Compact"/>
              <w:jc w:val="right"/>
            </w:pPr>
            <w:r>
              <w:t xml:space="preserve">4</w:t>
            </w:r>
          </w:p>
        </w:tc>
        <w:tc>
          <w:tcPr/>
          <w:p>
            <w:pPr>
              <w:pStyle w:val="Compact"/>
              <w:jc w:val="left"/>
            </w:pPr>
            <w:r>
              <w:t xml:space="preserve">Free MIT core and transparent Cloud pricing; ClickHouse operations and additive Enterprise pricing when self-hosted.</w:t>
            </w:r>
          </w:p>
        </w:tc>
      </w:tr>
      <w:tr>
        <w:tc>
          <w:tcPr/>
          <w:p>
            <w:pPr>
              <w:pStyle w:val="Compact"/>
              <w:jc w:val="left"/>
            </w:pPr>
            <w:r>
              <w:t xml:space="preserve">Lock-in / portability</w:t>
            </w:r>
          </w:p>
        </w:tc>
        <w:tc>
          <w:tcPr/>
          <w:p>
            <w:pPr>
              <w:pStyle w:val="Compact"/>
              <w:jc w:val="right"/>
            </w:pPr>
            <w:r>
              <w:t xml:space="preserve">3</w:t>
            </w:r>
          </w:p>
        </w:tc>
        <w:tc>
          <w:tcPr/>
          <w:p>
            <w:pPr>
              <w:pStyle w:val="Compact"/>
              <w:jc w:val="left"/>
            </w:pPr>
            <w:r>
              <w:t xml:space="preserve">Base 4 (MIT core, OTel ingest, own data model) reduced by 1 for the 2026 ownership change; governance is company-controlled.</w:t>
            </w:r>
          </w:p>
        </w:tc>
      </w:tr>
      <w:tr>
        <w:tc>
          <w:tcPr/>
          <w:p>
            <w:pPr>
              <w:pStyle w:val="Compact"/>
              <w:jc w:val="left"/>
            </w:pPr>
            <w:r>
              <w:rPr>
                <w:bCs/>
                <w:b/>
              </w:rPr>
              <w:t xml:space="preserve">Total (generic / FS)</w:t>
            </w:r>
          </w:p>
        </w:tc>
        <w:tc>
          <w:tcPr/>
          <w:p>
            <w:pPr>
              <w:pStyle w:val="Compact"/>
              <w:jc w:val="right"/>
            </w:pPr>
            <w:r>
              <w:rPr>
                <w:bCs/>
                <w:b/>
              </w:rPr>
              <w:t xml:space="preserve">3.95 / 3.85</w:t>
            </w:r>
          </w:p>
        </w:tc>
        <w:tc>
          <w:tcPr/>
          <w:p>
            <w:pPr>
              <w:pStyle w:val="Compact"/>
            </w:pPr>
          </w:p>
        </w:tc>
      </w:tr>
    </w:tbl>
    <w:p>
      <w:pPr>
        <w:pStyle w:val="BodyText"/>
      </w:pPr>
      <w:r>
        <w:rPr>
          <w:iCs/>
          <w:i/>
        </w:rPr>
        <w:t xml:space="preserve">Evidence rules applied:</w:t>
      </w:r>
      <w:r>
        <w:t xml:space="preserve"> </w:t>
      </w:r>
      <w:r>
        <w:t xml:space="preserve">Rule 7 (CP2 Q2) applied at CP2 rework (8 October 2026): SSO, RBAC and audit logs plus SCIM verified (A1-S033); enterprise_readiness 3 -&gt; 4</w:t>
      </w:r>
    </w:p>
    <w:p>
      <w:pPr>
        <w:pStyle w:val="BodyText"/>
      </w:pPr>
      <w:r>
        <w:rPr>
          <w:bCs/>
          <w:b/>
        </w:rPr>
        <w:t xml:space="preserve">Capabilities.</w:t>
      </w:r>
      <w:r>
        <w:t xml:space="preserve"> </w:t>
      </w:r>
      <w:r>
        <w:t xml:space="preserve">Open-core LLM engineering platform: OTel-based tracing of LLM calls, retrieval and agent actions; prompt versioning; LLM-as-a-judge and code evaluators over ingested traces; user feedback and manual labelling; datasets, experiments and a playground; public API</w:t>
      </w:r>
      <w:r>
        <w:t xml:space="preserve"> </w:t>
      </w:r>
      <w:r>
        <w:rPr>
          <w:rStyle w:val="ClaimLabel"/>
        </w:rPr>
        <w:t xml:space="preserve">VF</w:t>
      </w:r>
      <w:r>
        <w:rPr>
          <w:rStyle w:val="FootnoteReference"/>
        </w:rPr>
        <w:footnoteReference w:id="31"/>
      </w:r>
      <w:r>
        <w:t xml:space="preserve">.</w:t>
      </w:r>
    </w:p>
    <w:p>
      <w:pPr>
        <w:pStyle w:val="BodyText"/>
      </w:pPr>
      <w:r>
        <w:rPr>
          <w:bCs/>
          <w:b/>
        </w:rPr>
        <w:t xml:space="preserve">Strengths</w:t>
      </w:r>
    </w:p>
    <w:p>
      <w:pPr>
        <w:numPr>
          <w:ilvl w:val="0"/>
          <w:numId w:val="1005"/>
        </w:numPr>
        <w:pStyle w:val="Compact"/>
      </w:pPr>
      <w:r>
        <w:t xml:space="preserve">MIT core covers tracing, evals, prompt management, experiments and annotation; self-hosting on Docker, Kubernetes (Helm) or Terraform templates for AWS, Azure and GCP</w:t>
      </w:r>
      <w:r>
        <w:t xml:space="preserve"> </w:t>
      </w:r>
      <w:r>
        <w:rPr>
          <w:rStyle w:val="ClaimLabel"/>
        </w:rPr>
        <w:t xml:space="preserve">VF</w:t>
      </w:r>
      <w:r>
        <w:rPr>
          <w:rStyle w:val="FootnoteReference"/>
        </w:rPr>
        <w:footnoteReference w:id="34"/>
      </w:r>
    </w:p>
    <w:p>
      <w:pPr>
        <w:numPr>
          <w:ilvl w:val="0"/>
          <w:numId w:val="1005"/>
        </w:numPr>
        <w:pStyle w:val="Compact"/>
      </w:pPr>
      <w:r>
        <w:t xml:space="preserve">Native OTLP/HTTP endpoint and OTel-based SDKs, so instrumentation is not proprietary</w:t>
      </w:r>
      <w:r>
        <w:t xml:space="preserve"> </w:t>
      </w:r>
      <w:r>
        <w:rPr>
          <w:rStyle w:val="ClaimLabel"/>
        </w:rPr>
        <w:t xml:space="preserve">VF</w:t>
      </w:r>
      <w:r>
        <w:rPr>
          <w:rStyle w:val="FootnoteReference"/>
        </w:rPr>
        <w:footnoteReference w:id="37"/>
      </w:r>
    </w:p>
    <w:p>
      <w:pPr>
        <w:numPr>
          <w:ilvl w:val="0"/>
          <w:numId w:val="1005"/>
        </w:numPr>
        <w:pStyle w:val="Compact"/>
      </w:pPr>
      <w:r>
        <w:t xml:space="preserve">Langfuse Cloud has SOC 2 Type II and ISO 27001, isolated EU, US, HIPAA and Japan regions, and a DPA</w:t>
      </w:r>
      <w:r>
        <w:t xml:space="preserve"> </w:t>
      </w:r>
      <w:r>
        <w:rPr>
          <w:rStyle w:val="ClaimLabel"/>
        </w:rPr>
        <w:t xml:space="preserve">VF</w:t>
      </w:r>
      <w:r>
        <w:rPr>
          <w:rStyle w:val="FootnoteReference"/>
        </w:rPr>
        <w:footnoteReference w:id="38"/>
      </w:r>
    </w:p>
    <w:p>
      <w:pPr>
        <w:numPr>
          <w:ilvl w:val="0"/>
          <w:numId w:val="1005"/>
        </w:numPr>
        <w:pStyle w:val="Compact"/>
      </w:pPr>
      <w:r>
        <w:t xml:space="preserve">Published, unit-based Cloud pricing</w:t>
      </w:r>
      <w:r>
        <w:t xml:space="preserve"> </w:t>
      </w:r>
      <w:r>
        <w:rPr>
          <w:rStyle w:val="ClaimLabel"/>
        </w:rPr>
        <w:t xml:space="preserve">VF</w:t>
      </w:r>
      <w:r>
        <w:rPr>
          <w:rStyle w:val="FootnoteReference"/>
        </w:rPr>
        <w:footnoteReference w:id="41"/>
      </w:r>
    </w:p>
    <w:p>
      <w:pPr>
        <w:pStyle w:val="FirstParagraph"/>
      </w:pPr>
      <w:r>
        <w:rPr>
          <w:bCs/>
          <w:b/>
        </w:rPr>
        <w:t xml:space="preserve">Limitations and risks</w:t>
      </w:r>
    </w:p>
    <w:p>
      <w:pPr>
        <w:numPr>
          <w:ilvl w:val="0"/>
          <w:numId w:val="1006"/>
        </w:numPr>
        <w:pStyle w:val="Compact"/>
      </w:pPr>
      <w:r>
        <w:t xml:space="preserve">Owned by ClickHouse, Inc. (announced 16 January 2026); self-hosted Enterprise tier is bundled with ClickHouse commercial offerings</w:t>
      </w:r>
      <w:r>
        <w:t xml:space="preserve"> </w:t>
      </w:r>
      <w:r>
        <w:rPr>
          <w:rStyle w:val="ClaimLabel"/>
        </w:rPr>
        <w:t xml:space="preserve">VF</w:t>
      </w:r>
      <w:r>
        <w:rPr>
          <w:rStyle w:val="FootnoteReference"/>
        </w:rPr>
        <w:footnoteReference w:id="43"/>
      </w:r>
    </w:p>
    <w:p>
      <w:pPr>
        <w:numPr>
          <w:ilvl w:val="0"/>
          <w:numId w:val="1006"/>
        </w:numPr>
        <w:pStyle w:val="Compact"/>
      </w:pPr>
      <w:r>
        <w:t xml:space="preserve">SCIM, audit logging, retention policies, project-level RBAC and server-side ingestion masking need an Enterprise licence key when self-hosted</w:t>
      </w:r>
      <w:r>
        <w:t xml:space="preserve"> </w:t>
      </w:r>
      <w:r>
        <w:rPr>
          <w:rStyle w:val="ClaimLabel"/>
        </w:rPr>
        <w:t xml:space="preserve">VF</w:t>
      </w:r>
      <w:r>
        <w:rPr>
          <w:rStyle w:val="FootnoteReference"/>
        </w:rPr>
        <w:footnoteReference w:id="46"/>
      </w:r>
    </w:p>
    <w:p>
      <w:pPr>
        <w:numPr>
          <w:ilvl w:val="0"/>
          <w:numId w:val="1006"/>
        </w:numPr>
        <w:pStyle w:val="Compact"/>
      </w:pPr>
      <w:r>
        <w:t xml:space="preserve">OTLP over HTTP only (no gRPC); Langfuse-specific attributes take precedence over gen_ai.*</w:t>
      </w:r>
      <w:r>
        <w:t xml:space="preserve"> </w:t>
      </w:r>
      <w:r>
        <w:rPr>
          <w:rStyle w:val="ClaimLabel"/>
        </w:rPr>
        <w:t xml:space="preserve">VF</w:t>
      </w:r>
      <w:r>
        <w:rPr>
          <w:rStyle w:val="FootnoteReference"/>
        </w:rPr>
        <w:footnoteReference w:id="47"/>
      </w:r>
    </w:p>
    <w:p>
      <w:pPr>
        <w:numPr>
          <w:ilvl w:val="0"/>
          <w:numId w:val="1006"/>
        </w:numPr>
        <w:pStyle w:val="Compact"/>
      </w:pPr>
      <w:r>
        <w:t xml:space="preserve">Self-hosted telemetry is on by default (opt-out)</w:t>
      </w:r>
      <w:r>
        <w:t xml:space="preserve"> </w:t>
      </w:r>
      <w:r>
        <w:rPr>
          <w:rStyle w:val="ClaimLabel"/>
        </w:rPr>
        <w:t xml:space="preserve">VF</w:t>
      </w:r>
      <w:r>
        <w:rPr>
          <w:rStyle w:val="FootnoteReference"/>
        </w:rPr>
        <w:footnoteReference w:id="48"/>
      </w:r>
    </w:p>
    <w:p>
      <w:pPr>
        <w:numPr>
          <w:ilvl w:val="0"/>
          <w:numId w:val="1006"/>
        </w:numPr>
        <w:pStyle w:val="Compact"/>
      </w:pPr>
      <w:r>
        <w:t xml:space="preserve">SLA terms not published in sources reviewed</w:t>
      </w:r>
      <w:r>
        <w:t xml:space="preserve"> </w:t>
      </w:r>
      <w:r>
        <w:rPr>
          <w:rStyle w:val="ClaimLabel"/>
        </w:rPr>
        <w:t xml:space="preserve">VF</w:t>
      </w:r>
      <w:r>
        <w:rPr>
          <w:rStyle w:val="FootnoteReference"/>
        </w:rPr>
        <w:footnoteReference w:id="49"/>
      </w:r>
    </w:p>
    <w:p>
      <w:pPr>
        <w:pStyle w:val="FirstParagraph"/>
      </w:pPr>
      <w:r>
        <w:rPr>
          <w:bCs/>
          <w:b/>
        </w:rPr>
        <w:t xml:space="preserve">Choose when</w:t>
      </w:r>
    </w:p>
    <w:p>
      <w:pPr>
        <w:numPr>
          <w:ilvl w:val="0"/>
          <w:numId w:val="1007"/>
        </w:numPr>
        <w:pStyle w:val="Compact"/>
      </w:pPr>
      <w:r>
        <w:t xml:space="preserve">You want a self-hosted platform of record for traces, evals and prompts inside your own estate, with an MIT core and an enterprise licence for the audit and RBAC modules</w:t>
      </w:r>
      <w:r>
        <w:t xml:space="preserve"> </w:t>
      </w:r>
      <w:r>
        <w:rPr>
          <w:rStyle w:val="ClaimLabel"/>
        </w:rPr>
        <w:t xml:space="preserve">AJ</w:t>
      </w:r>
    </w:p>
    <w:p>
      <w:pPr>
        <w:numPr>
          <w:ilvl w:val="0"/>
          <w:numId w:val="1007"/>
        </w:numPr>
        <w:pStyle w:val="Compact"/>
      </w:pPr>
      <w:r>
        <w:t xml:space="preserve">Framework-neutral instrumentation through OTel matters more than deep integration with one agent framework</w:t>
      </w:r>
      <w:r>
        <w:t xml:space="preserve"> </w:t>
      </w:r>
      <w:r>
        <w:rPr>
          <w:rStyle w:val="ClaimLabel"/>
        </w:rPr>
        <w:t xml:space="preserve">AJ</w:t>
      </w:r>
    </w:p>
    <w:p>
      <w:pPr>
        <w:pStyle w:val="FirstParagraph"/>
      </w:pPr>
      <w:r>
        <w:rPr>
          <w:bCs/>
          <w:b/>
        </w:rPr>
        <w:t xml:space="preserve">Avoid when</w:t>
      </w:r>
    </w:p>
    <w:p>
      <w:pPr>
        <w:numPr>
          <w:ilvl w:val="0"/>
          <w:numId w:val="1008"/>
        </w:numPr>
        <w:pStyle w:val="Compact"/>
      </w:pPr>
      <w:r>
        <w:t xml:space="preserve">You need SCIM, audit logs and project RBAC but will not buy the Enterprise licence</w:t>
      </w:r>
      <w:r>
        <w:t xml:space="preserve"> </w:t>
      </w:r>
      <w:r>
        <w:rPr>
          <w:rStyle w:val="ClaimLabel"/>
        </w:rPr>
        <w:t xml:space="preserve">AJ</w:t>
      </w:r>
    </w:p>
    <w:p>
      <w:pPr>
        <w:numPr>
          <w:ilvl w:val="0"/>
          <w:numId w:val="1008"/>
        </w:numPr>
        <w:pStyle w:val="Compact"/>
      </w:pPr>
      <w:r>
        <w:t xml:space="preserve">You cannot operate a ClickHouse-backed service and do not want Langfuse Cloud</w:t>
      </w:r>
      <w:r>
        <w:t xml:space="preserve"> </w:t>
      </w:r>
      <w:r>
        <w:rPr>
          <w:rStyle w:val="ClaimLabel"/>
        </w:rPr>
        <w:t xml:space="preserve">AJ</w:t>
      </w:r>
    </w:p>
    <w:p>
      <w:pPr>
        <w:pStyle w:val="FirstParagraph"/>
      </w:pPr>
      <w:r>
        <w:rPr>
          <w:bCs/>
          <w:b/>
        </w:rPr>
        <w:t xml:space="preserve">Nearest competitors:</w:t>
      </w:r>
      <w:r>
        <w:t xml:space="preserve"> </w:t>
      </w:r>
      <w:r>
        <w:t xml:space="preserve">L9-langsmith, L9-opik, L9-arize-phoenix, L9-mlflow-genai</w:t>
      </w:r>
    </w:p>
    <w:p>
      <w:pPr>
        <w:pStyle w:val="BodyText"/>
      </w:pPr>
      <w:r>
        <w:rPr>
          <w:bCs/>
          <w:b/>
        </w:rPr>
        <w:t xml:space="preserve">Regulated-FS note.</w:t>
      </w:r>
      <w:r>
        <w:t xml:space="preserve"> </w:t>
      </w:r>
      <w:r>
        <w:t xml:space="preserve">Best fit for a UK/EU manager that must keep traces (which contain client data) in-region or in-estate; budget for the Enterprise licence because audit logs and project RBAC are evidence controls, not extras; disable default telemetry</w:t>
      </w:r>
      <w:r>
        <w:t xml:space="preserve"> </w:t>
      </w:r>
      <w:r>
        <w:rPr>
          <w:rStyle w:val="ClaimLabel"/>
        </w:rPr>
        <w:t xml:space="preserve">AJ</w:t>
      </w:r>
      <w:r>
        <w:t xml:space="preserve">.</w:t>
      </w:r>
    </w:p>
    <w:p>
      <w:pPr>
        <w:pStyle w:val="BodyText"/>
      </w:pPr>
      <w:r>
        <w:rPr>
          <w:bCs/>
          <w:b/>
        </w:rPr>
        <w:t xml:space="preserve">Facts (as of 2026-10-08)</w:t>
      </w:r>
    </w:p>
    <w:tbl>
      <w:tblPr>
        <w:tblStyle w:val="Table"/>
        <w:tblW w:type="pct" w:w="5000"/>
        <w:tblLook w:firstRow="1" w:lastRow="0" w:firstColumn="0" w:lastColumn="0" w:noHBand="0" w:noVBand="0" w:val="0020"/>
        <w:jc w:val="start"/>
      </w:tblPr>
      <w:tblGrid>
        <w:gridCol w:w="1485"/>
        <w:gridCol w:w="4290"/>
        <w:gridCol w:w="1320"/>
        <w:gridCol w:w="825"/>
      </w:tblGrid>
      <w:tr>
        <w:trPr>
          <w:tblHeader w:val="true"/>
        </w:trPr>
        <w:tc>
          <w:tcPr/>
          <w:p>
            <w:pPr>
              <w:pStyle w:val="Compact"/>
              <w:jc w:val="left"/>
            </w:pPr>
            <w:r>
              <w:t xml:space="preserve">Field</w:t>
            </w:r>
          </w:p>
        </w:tc>
        <w:tc>
          <w:tcPr/>
          <w:p>
            <w:pPr>
              <w:pStyle w:val="Compact"/>
              <w:jc w:val="left"/>
            </w:pPr>
            <w:r>
              <w:t xml:space="preserve">Value</w:t>
            </w:r>
          </w:p>
        </w:tc>
        <w:tc>
          <w:tcPr/>
          <w:p>
            <w:pPr>
              <w:pStyle w:val="Compact"/>
              <w:jc w:val="left"/>
            </w:pPr>
            <w:r>
              <w:t xml:space="preserve">Label</w:t>
            </w:r>
          </w:p>
        </w:tc>
        <w:tc>
          <w:tcPr/>
          <w:p>
            <w:pPr>
              <w:pStyle w:val="Compact"/>
              <w:jc w:val="left"/>
            </w:pPr>
            <w:r>
              <w:t xml:space="preserve">Sources</w:t>
            </w:r>
          </w:p>
        </w:tc>
      </w:tr>
      <w:tr>
        <w:tc>
          <w:tcPr/>
          <w:p>
            <w:pPr>
              <w:pStyle w:val="Compact"/>
              <w:jc w:val="left"/>
            </w:pPr>
            <w:r>
              <w:t xml:space="preserve">Company</w:t>
            </w:r>
          </w:p>
        </w:tc>
        <w:tc>
          <w:tcPr/>
          <w:p>
            <w:pPr>
              <w:pStyle w:val="Compact"/>
              <w:jc w:val="left"/>
            </w:pPr>
            <w:r>
              <w:t xml:space="preserve">Langfuse, acquired by ClickHouse, Inc. (announced January 2026); repository copyright now</w:t>
            </w:r>
            <w:r>
              <w:t xml:space="preserve"> </w:t>
            </w:r>
            <w:r>
              <w:t xml:space="preserve">‘</w:t>
            </w:r>
            <w:r>
              <w:t xml:space="preserve">ClickHouse, Inc.</w:t>
            </w:r>
            <w:r>
              <w:t xml:space="preserve">’</w:t>
            </w:r>
          </w:p>
        </w:tc>
        <w:tc>
          <w:tcPr/>
          <w:p>
            <w:pPr>
              <w:pStyle w:val="Compact"/>
              <w:jc w:val="left"/>
            </w:pPr>
            <w:r>
              <w:t xml:space="preserve">Verified fact</w:t>
            </w:r>
          </w:p>
        </w:tc>
        <w:tc>
          <w:tcPr/>
          <w:p>
            <w:pPr>
              <w:pStyle w:val="Compact"/>
              <w:jc w:val="left"/>
            </w:pPr>
            <w:r>
              <w:t xml:space="preserve">A1-S021, A1-S022, A1-S023, A1-S073, V1-S007</w:t>
            </w:r>
          </w:p>
        </w:tc>
      </w:tr>
      <w:tr>
        <w:tc>
          <w:tcPr/>
          <w:p>
            <w:pPr>
              <w:pStyle w:val="Compact"/>
              <w:jc w:val="left"/>
            </w:pPr>
            <w:r>
              <w:t xml:space="preserve">Category</w:t>
            </w:r>
          </w:p>
        </w:tc>
        <w:tc>
          <w:tcPr/>
          <w:p>
            <w:pPr>
              <w:pStyle w:val="Compact"/>
              <w:jc w:val="left"/>
            </w:pPr>
            <w:r>
              <w:t xml:space="preserve">Open-core LLM engineering platform: tracing/observability, prompt management, evaluations, datasets and playground</w:t>
            </w:r>
          </w:p>
        </w:tc>
        <w:tc>
          <w:tcPr/>
          <w:p>
            <w:pPr>
              <w:pStyle w:val="Compact"/>
              <w:jc w:val="left"/>
            </w:pPr>
            <w:r>
              <w:t xml:space="preserve">Verified fact</w:t>
            </w:r>
          </w:p>
        </w:tc>
        <w:tc>
          <w:tcPr/>
          <w:p>
            <w:pPr>
              <w:pStyle w:val="Compact"/>
              <w:jc w:val="left"/>
            </w:pPr>
            <w:r>
              <w:t xml:space="preserve">A1-S073</w:t>
            </w:r>
          </w:p>
        </w:tc>
      </w:tr>
      <w:tr>
        <w:tc>
          <w:tcPr/>
          <w:p>
            <w:pPr>
              <w:pStyle w:val="Compact"/>
              <w:jc w:val="left"/>
            </w:pPr>
            <w:r>
              <w:t xml:space="preserve">Version / lineup</w:t>
            </w:r>
          </w:p>
        </w:tc>
        <w:tc>
          <w:tcPr/>
          <w:p>
            <w:pPr>
              <w:pStyle w:val="Compact"/>
              <w:jc w:val="left"/>
            </w:pPr>
            <w:r>
              <w:t xml:space="preserve">Python SDK langfuse 4.17.0, released 5 October 2026 (server release number not verified)</w:t>
            </w:r>
          </w:p>
        </w:tc>
        <w:tc>
          <w:tcPr/>
          <w:p>
            <w:pPr>
              <w:pStyle w:val="Compact"/>
              <w:jc w:val="left"/>
            </w:pPr>
            <w:r>
              <w:t xml:space="preserve">Verified fact</w:t>
            </w:r>
          </w:p>
        </w:tc>
        <w:tc>
          <w:tcPr/>
          <w:p>
            <w:pPr>
              <w:pStyle w:val="Compact"/>
              <w:jc w:val="left"/>
            </w:pPr>
            <w:r>
              <w:t xml:space="preserve">A1-S001</w:t>
            </w:r>
          </w:p>
        </w:tc>
      </w:tr>
      <w:tr>
        <w:tc>
          <w:tcPr/>
          <w:p>
            <w:pPr>
              <w:pStyle w:val="Compact"/>
              <w:jc w:val="left"/>
            </w:pPr>
            <w:r>
              <w:t xml:space="preserve">Licence</w:t>
            </w:r>
          </w:p>
        </w:tc>
        <w:tc>
          <w:tcPr/>
          <w:p>
            <w:pPr>
              <w:pStyle w:val="Compact"/>
              <w:jc w:val="left"/>
            </w:pPr>
            <w:r>
              <w:t xml:space="preserve">Open core: MIT for all product capabilities (tracing, evals, prompt management, experiments, annotation, playground); code under ee/ directories needs a commercial licence key when self-hosted (SCIM, audit logging, data-retention policies, project-level RBAC, server-side ingestion masking)</w:t>
            </w:r>
          </w:p>
        </w:tc>
        <w:tc>
          <w:tcPr/>
          <w:p>
            <w:pPr>
              <w:pStyle w:val="Compact"/>
              <w:jc w:val="left"/>
            </w:pPr>
            <w:r>
              <w:t xml:space="preserve">Verified fact</w:t>
            </w:r>
          </w:p>
        </w:tc>
        <w:tc>
          <w:tcPr/>
          <w:p>
            <w:pPr>
              <w:pStyle w:val="Compact"/>
              <w:jc w:val="left"/>
            </w:pPr>
            <w:r>
              <w:t xml:space="preserve">A1-S023, A1-S033</w:t>
            </w:r>
          </w:p>
        </w:tc>
      </w:tr>
      <w:tr>
        <w:tc>
          <w:tcPr/>
          <w:p>
            <w:pPr>
              <w:pStyle w:val="Compact"/>
              <w:jc w:val="left"/>
            </w:pPr>
            <w:r>
              <w:t xml:space="preserve">Status events</w:t>
            </w:r>
          </w:p>
        </w:tc>
        <w:tc>
          <w:tcPr/>
          <w:p>
            <w:pPr>
              <w:pStyle w:val="Compact"/>
              <w:jc w:val="left"/>
            </w:pPr>
            <w:r>
              <w:t xml:space="preserve">Acquired by ClickHouse, Inc.; announced with ClickHouse’s US$400M Series D (announced 16 January 2026 per the ClickHouse blog); terms undisclosed</w:t>
            </w:r>
          </w:p>
        </w:tc>
        <w:tc>
          <w:tcPr/>
          <w:p>
            <w:pPr>
              <w:pStyle w:val="Compact"/>
              <w:jc w:val="left"/>
            </w:pPr>
            <w:r>
              <w:t xml:space="preserve">Verified fact</w:t>
            </w:r>
          </w:p>
        </w:tc>
        <w:tc>
          <w:tcPr/>
          <w:p>
            <w:pPr>
              <w:pStyle w:val="Compact"/>
              <w:jc w:val="left"/>
            </w:pPr>
            <w:r>
              <w:t xml:space="preserve">A1-S021, A1-S022, A1-S073, V1-S007</w:t>
            </w:r>
          </w:p>
        </w:tc>
      </w:tr>
      <w:tr>
        <w:tc>
          <w:tcPr/>
          <w:p>
            <w:pPr>
              <w:pStyle w:val="Compact"/>
              <w:jc w:val="left"/>
            </w:pPr>
            <w:r>
              <w:t xml:space="preserve">Strategic direction</w:t>
            </w:r>
          </w:p>
        </w:tc>
        <w:tc>
          <w:tcPr/>
          <w:p>
            <w:pPr>
              <w:pStyle w:val="Compact"/>
              <w:jc w:val="left"/>
            </w:pPr>
            <w:r>
              <w:t xml:space="preserve">Joined ClickHouse in January 2026; founders state the roadmap is unchanged and the commitment to open source and self-hosting remains; self-hosted Enterprise tier is now bundled with ClickHouse Cloud, BYOC or Private and priced additively</w:t>
            </w:r>
          </w:p>
        </w:tc>
        <w:tc>
          <w:tcPr/>
          <w:p>
            <w:pPr>
              <w:pStyle w:val="Compact"/>
              <w:jc w:val="left"/>
            </w:pPr>
            <w:r>
              <w:t xml:space="preserve">Verified fact</w:t>
            </w:r>
          </w:p>
        </w:tc>
        <w:tc>
          <w:tcPr/>
          <w:p>
            <w:pPr>
              <w:pStyle w:val="Compact"/>
              <w:jc w:val="left"/>
            </w:pPr>
            <w:r>
              <w:t xml:space="preserve">A1-S021, A1-S022, A1-S033</w:t>
            </w:r>
          </w:p>
        </w:tc>
      </w:tr>
      <w:tr>
        <w:tc>
          <w:tcPr/>
          <w:p>
            <w:pPr>
              <w:pStyle w:val="Compact"/>
              <w:jc w:val="left"/>
            </w:pPr>
            <w:r>
              <w:t xml:space="preserve">What it does</w:t>
            </w:r>
          </w:p>
        </w:tc>
        <w:tc>
          <w:tcPr/>
          <w:p>
            <w:pPr>
              <w:pStyle w:val="Compact"/>
              <w:jc w:val="left"/>
            </w:pPr>
            <w:r>
              <w:t xml:space="preserve">Instruments LLM applications and ingests traces of LLM calls, retrieval, embedding and agent actions; provides prompt versioning, LLM-as-a-judge and code evaluators, user feedback and manual labelling, datasets and experiments, a playground and a public API.</w:t>
            </w:r>
          </w:p>
        </w:tc>
        <w:tc>
          <w:tcPr/>
          <w:p>
            <w:pPr>
              <w:pStyle w:val="Compact"/>
              <w:jc w:val="left"/>
            </w:pPr>
            <w:r>
              <w:t xml:space="preserve">Verified fact</w:t>
            </w:r>
          </w:p>
        </w:tc>
        <w:tc>
          <w:tcPr/>
          <w:p>
            <w:pPr>
              <w:pStyle w:val="Compact"/>
              <w:jc w:val="left"/>
            </w:pPr>
            <w:r>
              <w:t xml:space="preserve">A1-S073</w:t>
            </w:r>
          </w:p>
        </w:tc>
      </w:tr>
      <w:tr>
        <w:tc>
          <w:tcPr/>
          <w:p>
            <w:pPr>
              <w:pStyle w:val="Compact"/>
              <w:jc w:val="left"/>
            </w:pPr>
            <w:r>
              <w:t xml:space="preserve">Stack position</w:t>
            </w:r>
          </w:p>
        </w:tc>
        <w:tc>
          <w:tcPr/>
          <w:p>
            <w:pPr>
              <w:pStyle w:val="Compact"/>
              <w:jc w:val="left"/>
            </w:pPr>
            <w:r>
              <w:t xml:space="preserve">Cross-cutting observability and evaluation platform spanning development and production; graphic places it in L9 as</w:t>
            </w:r>
            <w:r>
              <w:t xml:space="preserve"> </w:t>
            </w:r>
            <w:r>
              <w:t xml:space="preserve">‘</w:t>
            </w:r>
            <w:r>
              <w:t xml:space="preserve">open source</w:t>
            </w:r>
            <w:r>
              <w:t xml:space="preserve">’</w:t>
            </w:r>
            <w:r>
              <w:t xml:space="preserve">, which is accurate for the core but omits the open-core split</w:t>
            </w:r>
          </w:p>
        </w:tc>
        <w:tc>
          <w:tcPr/>
          <w:p>
            <w:pPr>
              <w:pStyle w:val="Compact"/>
              <w:jc w:val="left"/>
            </w:pPr>
            <w:r>
              <w:t xml:space="preserve">Verified fact</w:t>
            </w:r>
          </w:p>
        </w:tc>
        <w:tc>
          <w:tcPr/>
          <w:p>
            <w:pPr>
              <w:pStyle w:val="Compact"/>
              <w:jc w:val="left"/>
            </w:pPr>
            <w:r>
              <w:t xml:space="preserve">A1-S073, A1-S033</w:t>
            </w:r>
          </w:p>
        </w:tc>
      </w:tr>
      <w:tr>
        <w:tc>
          <w:tcPr/>
          <w:p>
            <w:pPr>
              <w:pStyle w:val="Compact"/>
              <w:jc w:val="left"/>
            </w:pPr>
            <w:r>
              <w:t xml:space="preserve">Integration</w:t>
            </w:r>
          </w:p>
        </w:tc>
        <w:tc>
          <w:tcPr/>
          <w:p>
            <w:pPr>
              <w:pStyle w:val="Compact"/>
              <w:jc w:val="left"/>
            </w:pPr>
            <w:r>
              <w:t xml:space="preserve">Native OTLP/HTTP endpoint (/api/public/otel, JSON and protobuf; no gRPC); Python SDK v3+ and JS SDK v4+ built on OpenTelemetry; maps gen_ai.* attributes to generations but Langfuse-specific attributes take precedence; OpenAPI spec and typed SDKs</w:t>
            </w:r>
          </w:p>
        </w:tc>
        <w:tc>
          <w:tcPr/>
          <w:p>
            <w:pPr>
              <w:pStyle w:val="Compact"/>
              <w:jc w:val="left"/>
            </w:pPr>
            <w:r>
              <w:t xml:space="preserve">Verified fact</w:t>
            </w:r>
          </w:p>
        </w:tc>
        <w:tc>
          <w:tcPr/>
          <w:p>
            <w:pPr>
              <w:pStyle w:val="Compact"/>
              <w:jc w:val="left"/>
            </w:pPr>
            <w:r>
              <w:t xml:space="preserve">A1-S032, A1-S073</w:t>
            </w:r>
          </w:p>
        </w:tc>
      </w:tr>
      <w:tr>
        <w:tc>
          <w:tcPr/>
          <w:p>
            <w:pPr>
              <w:pStyle w:val="Compact"/>
              <w:jc w:val="left"/>
            </w:pPr>
            <w:r>
              <w:t xml:space="preserve">Dependencies</w:t>
            </w:r>
          </w:p>
        </w:tc>
        <w:tc>
          <w:tcPr/>
          <w:p>
            <w:pPr>
              <w:pStyle w:val="Compact"/>
              <w:jc w:val="left"/>
            </w:pPr>
            <w:r>
              <w:t xml:space="preserve">Built on ClickHouse (analytics store); self-hosted via Docker Compose, Kubernetes (Helm, preferred for production) or Terraform templates for AWS, Azure and GCP</w:t>
            </w:r>
          </w:p>
        </w:tc>
        <w:tc>
          <w:tcPr/>
          <w:p>
            <w:pPr>
              <w:pStyle w:val="Compact"/>
              <w:jc w:val="left"/>
            </w:pPr>
            <w:r>
              <w:t xml:space="preserve">Verified fact</w:t>
            </w:r>
          </w:p>
        </w:tc>
        <w:tc>
          <w:tcPr/>
          <w:p>
            <w:pPr>
              <w:pStyle w:val="Compact"/>
              <w:jc w:val="left"/>
            </w:pPr>
            <w:r>
              <w:t xml:space="preserve">A1-S073</w:t>
            </w:r>
          </w:p>
        </w:tc>
      </w:tr>
      <w:tr>
        <w:tc>
          <w:tcPr/>
          <w:p>
            <w:pPr>
              <w:pStyle w:val="Compact"/>
              <w:jc w:val="left"/>
            </w:pPr>
            <w:r>
              <w:t xml:space="preserve">Certifications</w:t>
            </w:r>
          </w:p>
        </w:tc>
        <w:tc>
          <w:tcPr/>
          <w:p>
            <w:pPr>
              <w:pStyle w:val="Compact"/>
              <w:jc w:val="left"/>
            </w:pPr>
            <w:r>
              <w:t xml:space="preserve">Langfuse Cloud: SOC 2 Type II and ISO 27001 (reports on request, Pro/Team/Enterprise); HIPAA-ready region with BAA on eligible plans; annual third-party penetration tests</w:t>
            </w:r>
          </w:p>
        </w:tc>
        <w:tc>
          <w:tcPr/>
          <w:p>
            <w:pPr>
              <w:pStyle w:val="Compact"/>
              <w:jc w:val="left"/>
            </w:pPr>
            <w:r>
              <w:t xml:space="preserve">Verified fact</w:t>
            </w:r>
          </w:p>
        </w:tc>
        <w:tc>
          <w:tcPr/>
          <w:p>
            <w:pPr>
              <w:pStyle w:val="Compact"/>
              <w:jc w:val="left"/>
            </w:pPr>
            <w:r>
              <w:t xml:space="preserve">A1-S029</w:t>
            </w:r>
          </w:p>
        </w:tc>
      </w:tr>
      <w:tr>
        <w:tc>
          <w:tcPr/>
          <w:p>
            <w:pPr>
              <w:pStyle w:val="Compact"/>
              <w:jc w:val="left"/>
            </w:pPr>
            <w:r>
              <w:t xml:space="preserve">GDPR / residency</w:t>
            </w:r>
          </w:p>
        </w:tc>
        <w:tc>
          <w:tcPr/>
          <w:p>
            <w:pPr>
              <w:pStyle w:val="Compact"/>
              <w:jc w:val="left"/>
            </w:pPr>
            <w:r>
              <w:t xml:space="preserve">Isolated regions: EU (AWS eu-west-1, Ireland), US (us-west-2), HIPAA (us-west-2) and Japan (ap-northeast-1); DPA available; Postgres backups copied within the same jurisdiction; self-hosting for full isolation</w:t>
            </w:r>
          </w:p>
        </w:tc>
        <w:tc>
          <w:tcPr/>
          <w:p>
            <w:pPr>
              <w:pStyle w:val="Compact"/>
              <w:jc w:val="left"/>
            </w:pPr>
            <w:r>
              <w:t xml:space="preserve">Verified fact</w:t>
            </w:r>
          </w:p>
        </w:tc>
        <w:tc>
          <w:tcPr/>
          <w:p>
            <w:pPr>
              <w:pStyle w:val="Compact"/>
              <w:jc w:val="left"/>
            </w:pPr>
            <w:r>
              <w:t xml:space="preserve">A1-S029, A1-S030</w:t>
            </w:r>
          </w:p>
        </w:tc>
      </w:tr>
      <w:tr>
        <w:tc>
          <w:tcPr/>
          <w:p>
            <w:pPr>
              <w:pStyle w:val="Compact"/>
              <w:jc w:val="left"/>
            </w:pPr>
            <w:r>
              <w:t xml:space="preserve">Security features</w:t>
            </w:r>
          </w:p>
        </w:tc>
        <w:tc>
          <w:tcPr/>
          <w:p>
            <w:pPr>
              <w:pStyle w:val="Compact"/>
              <w:jc w:val="left"/>
            </w:pPr>
            <w:r>
              <w:t xml:space="preserve">Annual third-party penetration tests (Cloud); server-side ingestion masking (Enterprise module); self-hosted telemetry on by default (opt-out, but always on with an EE licence key)</w:t>
            </w:r>
          </w:p>
        </w:tc>
        <w:tc>
          <w:tcPr/>
          <w:p>
            <w:pPr>
              <w:pStyle w:val="Compact"/>
              <w:jc w:val="left"/>
            </w:pPr>
            <w:r>
              <w:t xml:space="preserve">Verified fact</w:t>
            </w:r>
          </w:p>
        </w:tc>
        <w:tc>
          <w:tcPr/>
          <w:p>
            <w:pPr>
              <w:pStyle w:val="Compact"/>
              <w:jc w:val="left"/>
            </w:pPr>
            <w:r>
              <w:t xml:space="preserve">A1-S029, A1-S033</w:t>
            </w:r>
          </w:p>
        </w:tc>
      </w:tr>
      <w:tr>
        <w:tc>
          <w:tcPr/>
          <w:p>
            <w:pPr>
              <w:pStyle w:val="Compact"/>
              <w:jc w:val="left"/>
            </w:pPr>
            <w:r>
              <w:t xml:space="preserve">Access controls</w:t>
            </w:r>
          </w:p>
        </w:tc>
        <w:tc>
          <w:tcPr/>
          <w:p>
            <w:pPr>
              <w:pStyle w:val="Compact"/>
              <w:jc w:val="left"/>
            </w:pPr>
            <w:r>
              <w:t xml:space="preserve">SCIM, audit logs, project-level RBAC and retention policies are Enterprise modules when self-hosted; pages are inconsistent on whether SSO/RBAC sit in the open-source tier</w:t>
            </w:r>
          </w:p>
        </w:tc>
        <w:tc>
          <w:tcPr/>
          <w:p>
            <w:pPr>
              <w:pStyle w:val="Compact"/>
              <w:jc w:val="left"/>
            </w:pPr>
            <w:r>
              <w:t xml:space="preserve">Verified fact</w:t>
            </w:r>
          </w:p>
        </w:tc>
        <w:tc>
          <w:tcPr/>
          <w:p>
            <w:pPr>
              <w:pStyle w:val="Compact"/>
              <w:jc w:val="left"/>
            </w:pPr>
            <w:r>
              <w:t xml:space="preserve">A1-S033</w:t>
            </w:r>
          </w:p>
        </w:tc>
      </w:tr>
      <w:tr>
        <w:tc>
          <w:tcPr/>
          <w:p>
            <w:pPr>
              <w:pStyle w:val="Compact"/>
              <w:jc w:val="left"/>
            </w:pPr>
            <w:r>
              <w:t xml:space="preserve">Enterprise support</w:t>
            </w:r>
          </w:p>
        </w:tc>
        <w:tc>
          <w:tcPr/>
          <w:p>
            <w:pPr>
              <w:pStyle w:val="Compact"/>
              <w:jc w:val="left"/>
            </w:pPr>
            <w:r>
              <w:t xml:space="preserve">Enterprise plan (US$2,499/month on Cloud); SLA terms not published in sources reviewed</w:t>
            </w:r>
          </w:p>
        </w:tc>
        <w:tc>
          <w:tcPr/>
          <w:p>
            <w:pPr>
              <w:pStyle w:val="Compact"/>
              <w:jc w:val="left"/>
            </w:pPr>
            <w:r>
              <w:t xml:space="preserve">Verified fact</w:t>
            </w:r>
          </w:p>
        </w:tc>
        <w:tc>
          <w:tcPr/>
          <w:p>
            <w:pPr>
              <w:pStyle w:val="Compact"/>
              <w:jc w:val="left"/>
            </w:pPr>
            <w:r>
              <w:t xml:space="preserve">A1-S031</w:t>
            </w:r>
          </w:p>
        </w:tc>
      </w:tr>
      <w:tr>
        <w:tc>
          <w:tcPr/>
          <w:p>
            <w:pPr>
              <w:pStyle w:val="Compact"/>
              <w:jc w:val="left"/>
            </w:pPr>
            <w:r>
              <w:t xml:space="preserve">Pricing</w:t>
            </w:r>
          </w:p>
        </w:tc>
        <w:tc>
          <w:tcPr/>
          <w:p>
            <w:pPr>
              <w:pStyle w:val="Compact"/>
              <w:jc w:val="left"/>
            </w:pPr>
            <w:r>
              <w:t xml:space="preserve">Cloud: Hobby free (50k units/month, 30 days, 2 users); Core US$29/month; Pro US$199/month; Enterprise US$2,499/month; 100k units included on paid plans, then US$8 per 100k units, falling to US$6 per 100k above 50M; unit = trace + observation + score</w:t>
            </w:r>
          </w:p>
        </w:tc>
        <w:tc>
          <w:tcPr/>
          <w:p>
            <w:pPr>
              <w:pStyle w:val="Compact"/>
              <w:jc w:val="left"/>
            </w:pPr>
            <w:r>
              <w:t xml:space="preserve">Verified fact</w:t>
            </w:r>
          </w:p>
        </w:tc>
        <w:tc>
          <w:tcPr/>
          <w:p>
            <w:pPr>
              <w:pStyle w:val="Compact"/>
              <w:jc w:val="left"/>
            </w:pPr>
            <w:r>
              <w:t xml:space="preserve">A1-S031</w:t>
            </w:r>
          </w:p>
        </w:tc>
      </w:tr>
      <w:tr>
        <w:tc>
          <w:tcPr/>
          <w:p>
            <w:pPr>
              <w:pStyle w:val="Compact"/>
              <w:jc w:val="left"/>
            </w:pPr>
            <w:r>
              <w:t xml:space="preserve">Infrastructure cost</w:t>
            </w:r>
          </w:p>
        </w:tc>
        <w:tc>
          <w:tcPr/>
          <w:p>
            <w:pPr>
              <w:pStyle w:val="Compact"/>
              <w:jc w:val="left"/>
            </w:pPr>
            <w:r>
              <w:t xml:space="preserve">Self-hosted Enterprise pricing is additive to a ClickHouse commercial plan; infrastructure sizing not verified</w:t>
            </w:r>
          </w:p>
        </w:tc>
        <w:tc>
          <w:tcPr/>
          <w:p>
            <w:pPr>
              <w:pStyle w:val="Compact"/>
              <w:jc w:val="left"/>
            </w:pPr>
            <w:r>
              <w:t xml:space="preserve">Verified fact</w:t>
            </w:r>
          </w:p>
        </w:tc>
        <w:tc>
          <w:tcPr/>
          <w:p>
            <w:pPr>
              <w:pStyle w:val="Compact"/>
              <w:jc w:val="left"/>
            </w:pPr>
            <w:r>
              <w:t xml:space="preserve">A1-S033</w:t>
            </w:r>
          </w:p>
        </w:tc>
      </w:tr>
      <w:tr>
        <w:tc>
          <w:tcPr/>
          <w:p>
            <w:pPr>
              <w:pStyle w:val="Compact"/>
              <w:jc w:val="left"/>
            </w:pPr>
            <w:r>
              <w:t xml:space="preserve">Ecosystem</w:t>
            </w:r>
          </w:p>
        </w:tc>
        <w:tc>
          <w:tcPr/>
          <w:p>
            <w:pPr>
              <w:pStyle w:val="Compact"/>
              <w:jc w:val="left"/>
            </w:pPr>
            <w:r>
              <w:t xml:space="preserve">OpenTelemetry-based; integration guides for OpenLLMetry, MLflow, vLLM, Spring AI, GitHub Copilot and Go/Java/C#/Ruby via OTel</w:t>
            </w:r>
          </w:p>
        </w:tc>
        <w:tc>
          <w:tcPr/>
          <w:p>
            <w:pPr>
              <w:pStyle w:val="Compact"/>
              <w:jc w:val="left"/>
            </w:pPr>
            <w:r>
              <w:t xml:space="preserve">Verified fact</w:t>
            </w:r>
          </w:p>
        </w:tc>
        <w:tc>
          <w:tcPr/>
          <w:p>
            <w:pPr>
              <w:pStyle w:val="Compact"/>
              <w:jc w:val="left"/>
            </w:pPr>
            <w:r>
              <w:t xml:space="preserve">A1-S032</w:t>
            </w:r>
          </w:p>
        </w:tc>
      </w:tr>
      <w:tr>
        <w:tc>
          <w:tcPr/>
          <w:p>
            <w:pPr>
              <w:pStyle w:val="Compact"/>
              <w:jc w:val="left"/>
            </w:pPr>
            <w:r>
              <w:t xml:space="preserve">Adoption signals</w:t>
            </w:r>
          </w:p>
        </w:tc>
        <w:tc>
          <w:tcPr/>
          <w:p>
            <w:pPr>
              <w:pStyle w:val="Compact"/>
              <w:jc w:val="left"/>
            </w:pPr>
            <w:r>
              <w:t xml:space="preserve">Over 20K GitHub stars and more than 26M SDK installs per month at end of 2025 (ClickHouse figures)</w:t>
            </w:r>
          </w:p>
        </w:tc>
        <w:tc>
          <w:tcPr/>
          <w:p>
            <w:pPr>
              <w:pStyle w:val="Compact"/>
              <w:jc w:val="left"/>
            </w:pPr>
            <w:r>
              <w:t xml:space="preserve">Verified fact</w:t>
            </w:r>
          </w:p>
        </w:tc>
        <w:tc>
          <w:tcPr/>
          <w:p>
            <w:pPr>
              <w:pStyle w:val="Compact"/>
              <w:jc w:val="left"/>
            </w:pPr>
            <w:r>
              <w:t xml:space="preserve">A1-S021</w:t>
            </w:r>
          </w:p>
        </w:tc>
      </w:tr>
      <w:tr>
        <w:tc>
          <w:tcPr/>
          <w:p>
            <w:pPr>
              <w:pStyle w:val="Compact"/>
              <w:jc w:val="left"/>
            </w:pPr>
            <w:r>
              <w:t xml:space="preserve">Maturity</w:t>
            </w:r>
          </w:p>
        </w:tc>
        <w:tc>
          <w:tcPr/>
          <w:p>
            <w:pPr>
              <w:pStyle w:val="Compact"/>
              <w:jc w:val="left"/>
            </w:pPr>
            <w:r>
              <w:t xml:space="preserve">First PyPI release 12 July 2023; 555 PyPI releases to 5 October 2026 (frequent cadence)</w:t>
            </w:r>
          </w:p>
        </w:tc>
        <w:tc>
          <w:tcPr/>
          <w:p>
            <w:pPr>
              <w:pStyle w:val="Compact"/>
              <w:jc w:val="left"/>
            </w:pPr>
            <w:r>
              <w:t xml:space="preserve">Verified fact</w:t>
            </w:r>
          </w:p>
        </w:tc>
        <w:tc>
          <w:tcPr/>
          <w:p>
            <w:pPr>
              <w:pStyle w:val="Compact"/>
              <w:jc w:val="left"/>
            </w:pPr>
            <w:r>
              <w:t xml:space="preserve">A1-S001</w:t>
            </w:r>
          </w:p>
        </w:tc>
      </w:tr>
      <w:tr>
        <w:tc>
          <w:tcPr/>
          <w:p>
            <w:pPr>
              <w:pStyle w:val="Compact"/>
              <w:jc w:val="left"/>
            </w:pPr>
            <w:r>
              <w:t xml:space="preserve">Deployment</w:t>
            </w:r>
          </w:p>
        </w:tc>
        <w:tc>
          <w:tcPr/>
          <w:p>
            <w:pPr>
              <w:pStyle w:val="Compact"/>
              <w:jc w:val="left"/>
            </w:pPr>
            <w:r>
              <w:t xml:space="preserve">saas: Yes; managed_cloud: Not publicly verified; vpc_byoc: Not publicly verified; private_cloud: Yes; self_hosted: Yes; on_prem: Yes</w:t>
            </w:r>
          </w:p>
        </w:tc>
        <w:tc>
          <w:tcPr/>
          <w:p>
            <w:pPr>
              <w:pStyle w:val="Compact"/>
            </w:pPr>
          </w:p>
        </w:tc>
        <w:tc>
          <w:tcPr/>
          <w:p>
            <w:pPr>
              <w:pStyle w:val="Compact"/>
            </w:pPr>
          </w:p>
        </w:tc>
      </w:tr>
    </w:tbl>
    <w:bookmarkEnd w:id="50"/>
    <w:bookmarkStart w:id="68" w:name="langsmith-l9-langsmith"/>
    <w:p>
      <w:pPr>
        <w:pStyle w:val="Heading2"/>
      </w:pPr>
      <w:r>
        <w:t xml:space="preserve">LangSmith (</w:t>
      </w:r>
      <w:r>
        <w:rPr>
          <w:rStyle w:val="VerbatimChar"/>
        </w:rPr>
        <w:t xml:space="preserve">L9-langsmith</w:t>
      </w:r>
      <w:r>
        <w:t xml:space="preserve">)</w:t>
      </w:r>
    </w:p>
    <w:p>
      <w:pPr>
        <w:pStyle w:val="FirstParagraph"/>
      </w:pPr>
      <w:r>
        <w:rPr>
          <w:bCs/>
          <w:b/>
        </w:rPr>
        <w:t xml:space="preserve">Tier:</w:t>
      </w:r>
      <w:r>
        <w:t xml:space="preserve"> </w:t>
      </w:r>
      <w:r>
        <w:t xml:space="preserve">Strategic ·</w:t>
      </w:r>
      <w:r>
        <w:t xml:space="preserve"> </w:t>
      </w:r>
      <w:r>
        <w:rPr>
          <w:bCs/>
          <w:b/>
        </w:rPr>
        <w:t xml:space="preserve">Flags:</w:t>
      </w:r>
      <w:r>
        <w:t xml:space="preserve"> </w:t>
      </w:r>
      <w:r>
        <w:t xml:space="preserve">none ·</w:t>
      </w:r>
      <w:r>
        <w:t xml:space="preserve"> </w:t>
      </w:r>
      <w:r>
        <w:rPr>
          <w:bCs/>
          <w:b/>
        </w:rPr>
        <w:t xml:space="preserve">Original graphic label:</w:t>
      </w:r>
      <w:r>
        <w:t xml:space="preserve"> </w:t>
      </w:r>
      <w:r>
        <w:t xml:space="preserve">LangSmith – trace &amp; eval</w:t>
      </w:r>
    </w:p>
    <w:p>
      <w:pPr>
        <w:pStyle w:val="BodyText"/>
      </w:pPr>
      <w:r>
        <w:rPr>
          <w:iCs/>
          <w:i/>
        </w:rPr>
        <w:t xml:space="preserve">Rationale:</w:t>
      </w:r>
      <w:r>
        <w:t xml:space="preserve"> </w:t>
      </w:r>
      <w:r>
        <w:t xml:space="preserve">Strongest commercial option for LangGraph estates with the certifications and deployment options FS needs. Strategic is conditional: only inside a LangGraph estate, and only with OTel dual-instrumentation as the exit route, because lock-in scores 2</w:t>
      </w:r>
      <w:r>
        <w:t xml:space="preserve"> </w:t>
      </w:r>
      <w:r>
        <w:rPr>
          <w:rStyle w:val="ClaimLabel"/>
        </w:rPr>
        <w:t xml:space="preserve">AJ</w:t>
      </w:r>
      <w:r>
        <w:t xml:space="preserve">.</w:t>
      </w:r>
    </w:p>
    <w:tbl>
      <w:tblPr>
        <w:tblStyle w:val="Table"/>
        <w:tblW w:type="pct" w:w="5000"/>
        <w:tblLook w:firstRow="1" w:lastRow="0" w:firstColumn="0" w:lastColumn="0" w:noHBand="0" w:noVBand="0" w:val="0020"/>
        <w:jc w:val="start"/>
      </w:tblPr>
      <w:tblGrid>
        <w:gridCol w:w="1545"/>
        <w:gridCol w:w="579"/>
        <w:gridCol w:w="5795"/>
      </w:tblGrid>
      <w:tr>
        <w:trPr>
          <w:tblHeader w:val="true"/>
        </w:trPr>
        <w:tc>
          <w:tcPr/>
          <w:p>
            <w:pPr>
              <w:pStyle w:val="Compact"/>
              <w:jc w:val="left"/>
            </w:pPr>
            <w:r>
              <w:t xml:space="preserve">Criterion</w:t>
            </w:r>
          </w:p>
        </w:tc>
        <w:tc>
          <w:tcPr/>
          <w:p>
            <w:pPr>
              <w:pStyle w:val="Compact"/>
              <w:jc w:val="right"/>
            </w:pPr>
            <w:r>
              <w:t xml:space="preserve">Score</w:t>
            </w:r>
          </w:p>
        </w:tc>
        <w:tc>
          <w:tcPr/>
          <w:p>
            <w:pPr>
              <w:pStyle w:val="Compact"/>
              <w:jc w:val="left"/>
            </w:pPr>
            <w:r>
              <w:t xml:space="preserve">Rationale</w:t>
            </w:r>
          </w:p>
        </w:tc>
      </w:tr>
      <w:tr>
        <w:tc>
          <w:tcPr/>
          <w:p>
            <w:pPr>
              <w:pStyle w:val="Compact"/>
              <w:jc w:val="left"/>
            </w:pPr>
            <w:r>
              <w:t xml:space="preserve">Technical</w:t>
            </w:r>
          </w:p>
        </w:tc>
        <w:tc>
          <w:tcPr/>
          <w:p>
            <w:pPr>
              <w:pStyle w:val="Compact"/>
              <w:jc w:val="right"/>
            </w:pPr>
            <w:r>
              <w:t xml:space="preserve">4</w:t>
            </w:r>
          </w:p>
        </w:tc>
        <w:tc>
          <w:tcPr/>
          <w:p>
            <w:pPr>
              <w:pStyle w:val="Compact"/>
              <w:jc w:val="left"/>
            </w:pPr>
            <w:r>
              <w:t xml:space="preserve">Offline and online evals, pytest plugin, prompt management and failure clustering; Engine still beta; red-teaming not native.</w:t>
            </w:r>
          </w:p>
        </w:tc>
      </w:tr>
      <w:tr>
        <w:tc>
          <w:tcPr/>
          <w:p>
            <w:pPr>
              <w:pStyle w:val="Compact"/>
              <w:jc w:val="left"/>
            </w:pPr>
            <w:r>
              <w:t xml:space="preserve">Enterprise readiness</w:t>
            </w:r>
          </w:p>
        </w:tc>
        <w:tc>
          <w:tcPr/>
          <w:p>
            <w:pPr>
              <w:pStyle w:val="Compact"/>
              <w:jc w:val="right"/>
            </w:pPr>
            <w:r>
              <w:t xml:space="preserve">4</w:t>
            </w:r>
          </w:p>
        </w:tc>
        <w:tc>
          <w:tcPr/>
          <w:p>
            <w:pPr>
              <w:pStyle w:val="Compact"/>
              <w:jc w:val="left"/>
            </w:pPr>
            <w:r>
              <w:t xml:space="preserve">SSO, RBAC, ABAC, gateway audit logging and support SLA on Enterprise; SCIM not documented in the fact base.</w:t>
            </w:r>
          </w:p>
        </w:tc>
      </w:tr>
      <w:tr>
        <w:tc>
          <w:tcPr/>
          <w:p>
            <w:pPr>
              <w:pStyle w:val="Compact"/>
              <w:jc w:val="left"/>
            </w:pPr>
            <w:r>
              <w:t xml:space="preserve">Security and compliance</w:t>
            </w:r>
          </w:p>
        </w:tc>
        <w:tc>
          <w:tcPr/>
          <w:p>
            <w:pPr>
              <w:pStyle w:val="Compact"/>
              <w:jc w:val="right"/>
            </w:pPr>
            <w:r>
              <w:t xml:space="preserve">4</w:t>
            </w:r>
          </w:p>
        </w:tc>
        <w:tc>
          <w:tcPr/>
          <w:p>
            <w:pPr>
              <w:pStyle w:val="Compact"/>
              <w:jc w:val="left"/>
            </w:pPr>
            <w:r>
              <w:t xml:space="preserve">SOC 2 Type II, ISO 27001:2022, HIPAA BAA, EU region; no CMK/BYOK documented, so not 5 under the layer calibration.</w:t>
            </w:r>
          </w:p>
        </w:tc>
      </w:tr>
      <w:tr>
        <w:tc>
          <w:tcPr/>
          <w:p>
            <w:pPr>
              <w:pStyle w:val="Compact"/>
              <w:jc w:val="left"/>
            </w:pPr>
            <w:r>
              <w:t xml:space="preserve">Deployment flexibility</w:t>
            </w:r>
          </w:p>
        </w:tc>
        <w:tc>
          <w:tcPr/>
          <w:p>
            <w:pPr>
              <w:pStyle w:val="Compact"/>
              <w:jc w:val="right"/>
            </w:pPr>
            <w:r>
              <w:t xml:space="preserve">5</w:t>
            </w:r>
          </w:p>
        </w:tc>
        <w:tc>
          <w:tcPr/>
          <w:p>
            <w:pPr>
              <w:pStyle w:val="Compact"/>
              <w:jc w:val="left"/>
            </w:pPr>
            <w:r>
              <w:t xml:space="preserve">SaaS (US/EU), BYOC (AWS), self-hosted and air-gapped self-host on Enterprise.</w:t>
            </w:r>
          </w:p>
        </w:tc>
      </w:tr>
      <w:tr>
        <w:tc>
          <w:tcPr/>
          <w:p>
            <w:pPr>
              <w:pStyle w:val="Compact"/>
              <w:jc w:val="left"/>
            </w:pPr>
            <w:r>
              <w:t xml:space="preserve">Ecosystem</w:t>
            </w:r>
          </w:p>
        </w:tc>
        <w:tc>
          <w:tcPr/>
          <w:p>
            <w:pPr>
              <w:pStyle w:val="Compact"/>
              <w:jc w:val="right"/>
            </w:pPr>
            <w:r>
              <w:t xml:space="preserve">4</w:t>
            </w:r>
          </w:p>
        </w:tc>
        <w:tc>
          <w:tcPr/>
          <w:p>
            <w:pPr>
              <w:pStyle w:val="Compact"/>
              <w:jc w:val="left"/>
            </w:pPr>
            <w:r>
              <w:t xml:space="preserve">Large LangChain ecosystem plus OTLP ingest; native format preferred.</w:t>
            </w:r>
          </w:p>
        </w:tc>
      </w:tr>
      <w:tr>
        <w:tc>
          <w:tcPr/>
          <w:p>
            <w:pPr>
              <w:pStyle w:val="Compact"/>
              <w:jc w:val="left"/>
            </w:pPr>
            <w:r>
              <w:t xml:space="preserve">Reliability and maturity</w:t>
            </w:r>
          </w:p>
        </w:tc>
        <w:tc>
          <w:tcPr/>
          <w:p>
            <w:pPr>
              <w:pStyle w:val="Compact"/>
              <w:jc w:val="right"/>
            </w:pPr>
            <w:r>
              <w:t xml:space="preserve">4</w:t>
            </w:r>
          </w:p>
        </w:tc>
        <w:tc>
          <w:tcPr/>
          <w:p>
            <w:pPr>
              <w:pStyle w:val="Compact"/>
              <w:jc w:val="left"/>
            </w:pPr>
            <w:r>
              <w:t xml:space="preserve">GA since 2023, 536 SDK releases, independent and funded (US$125M Series B, October 2025).</w:t>
            </w:r>
          </w:p>
        </w:tc>
      </w:tr>
      <w:tr>
        <w:tc>
          <w:tcPr/>
          <w:p>
            <w:pPr>
              <w:pStyle w:val="Compact"/>
              <w:jc w:val="left"/>
            </w:pPr>
            <w:r>
              <w:t xml:space="preserve">Cost / TCO</w:t>
            </w:r>
          </w:p>
        </w:tc>
        <w:tc>
          <w:tcPr/>
          <w:p>
            <w:pPr>
              <w:pStyle w:val="Compact"/>
              <w:jc w:val="right"/>
            </w:pPr>
            <w:r>
              <w:t xml:space="preserve">3</w:t>
            </w:r>
          </w:p>
        </w:tc>
        <w:tc>
          <w:tcPr/>
          <w:p>
            <w:pPr>
              <w:pStyle w:val="Compact"/>
              <w:jc w:val="left"/>
            </w:pPr>
            <w:r>
              <w:t xml:space="preserve">Transparent but per-seat plus per-trace; heavy self-host footprint.</w:t>
            </w:r>
          </w:p>
        </w:tc>
      </w:tr>
      <w:tr>
        <w:tc>
          <w:tcPr/>
          <w:p>
            <w:pPr>
              <w:pStyle w:val="Compact"/>
              <w:jc w:val="left"/>
            </w:pPr>
            <w:r>
              <w:t xml:space="preserve">Lock-in / portability</w:t>
            </w:r>
          </w:p>
        </w:tc>
        <w:tc>
          <w:tcPr/>
          <w:p>
            <w:pPr>
              <w:pStyle w:val="Compact"/>
              <w:jc w:val="right"/>
            </w:pPr>
            <w:r>
              <w:t xml:space="preserve">2</w:t>
            </w:r>
          </w:p>
        </w:tc>
        <w:tc>
          <w:tcPr/>
          <w:p>
            <w:pPr>
              <w:pStyle w:val="Compact"/>
              <w:jc w:val="left"/>
            </w:pPr>
            <w:r>
              <w:t xml:space="preserve">Proprietary platform, native format recommended, growing bundling with the agent runtime.</w:t>
            </w:r>
          </w:p>
        </w:tc>
      </w:tr>
      <w:tr>
        <w:tc>
          <w:tcPr/>
          <w:p>
            <w:pPr>
              <w:pStyle w:val="Compact"/>
              <w:jc w:val="left"/>
            </w:pPr>
            <w:r>
              <w:rPr>
                <w:bCs/>
                <w:b/>
              </w:rPr>
              <w:t xml:space="preserve">Total (generic / FS)</w:t>
            </w:r>
          </w:p>
        </w:tc>
        <w:tc>
          <w:tcPr/>
          <w:p>
            <w:pPr>
              <w:pStyle w:val="Compact"/>
              <w:jc w:val="right"/>
            </w:pPr>
            <w:r>
              <w:rPr>
                <w:bCs/>
                <w:b/>
              </w:rPr>
              <w:t xml:space="preserve">3.95 / 3.80</w:t>
            </w:r>
          </w:p>
        </w:tc>
        <w:tc>
          <w:tcPr/>
          <w:p>
            <w:pPr>
              <w:pStyle w:val="Compact"/>
            </w:pPr>
          </w:p>
        </w:tc>
      </w:tr>
    </w:tbl>
    <w:p>
      <w:pPr>
        <w:pStyle w:val="BodyText"/>
      </w:pPr>
      <w:r>
        <w:rPr>
          <w:bCs/>
          <w:b/>
        </w:rPr>
        <w:t xml:space="preserve">Capabilities.</w:t>
      </w:r>
      <w:r>
        <w:t xml:space="preserve"> </w:t>
      </w:r>
      <w:r>
        <w:t xml:space="preserve">Proprietary observability, evaluation and deployment platform: native and OTel trace ingest, offline and online evaluation on datasets, prompt management, pytest plugin, and hosted agent deployment; now also Engine (beta), Fleet, Sandboxes and an LLM Gateway</w:t>
      </w:r>
      <w:r>
        <w:t xml:space="preserve"> </w:t>
      </w:r>
      <w:r>
        <w:rPr>
          <w:rStyle w:val="ClaimLabel"/>
        </w:rPr>
        <w:t xml:space="preserve">VF</w:t>
      </w:r>
      <w:r>
        <w:rPr>
          <w:rStyle w:val="FootnoteReference"/>
        </w:rPr>
        <w:footnoteReference w:id="51"/>
      </w:r>
      <w:r>
        <w:t xml:space="preserve">.</w:t>
      </w:r>
    </w:p>
    <w:p>
      <w:pPr>
        <w:pStyle w:val="BodyText"/>
      </w:pPr>
      <w:r>
        <w:rPr>
          <w:bCs/>
          <w:b/>
        </w:rPr>
        <w:t xml:space="preserve">Strengths</w:t>
      </w:r>
    </w:p>
    <w:p>
      <w:pPr>
        <w:numPr>
          <w:ilvl w:val="0"/>
          <w:numId w:val="1009"/>
        </w:numPr>
        <w:pStyle w:val="Compact"/>
      </w:pPr>
      <w:r>
        <w:t xml:space="preserve">Deepest coupling to LangGraph/LangChain, the orchestration framework many teams already use</w:t>
      </w:r>
      <w:r>
        <w:t xml:space="preserve"> </w:t>
      </w:r>
      <w:r>
        <w:rPr>
          <w:rStyle w:val="ClaimLabel"/>
        </w:rPr>
        <w:t xml:space="preserve">VF</w:t>
      </w:r>
      <w:r>
        <w:rPr>
          <w:rStyle w:val="FootnoteReference"/>
        </w:rPr>
        <w:footnoteReference w:id="56"/>
      </w:r>
    </w:p>
    <w:p>
      <w:pPr>
        <w:numPr>
          <w:ilvl w:val="0"/>
          <w:numId w:val="1009"/>
        </w:numPr>
        <w:pStyle w:val="Compact"/>
      </w:pPr>
      <w:r>
        <w:t xml:space="preserve">SOC 2 Type II, ISO 27001:2022, HIPAA (BAA on Enterprise) and GDPR; US or EU managed regions on all tiers</w:t>
      </w:r>
      <w:r>
        <w:t xml:space="preserve"> </w:t>
      </w:r>
      <w:r>
        <w:rPr>
          <w:rStyle w:val="ClaimLabel"/>
        </w:rPr>
        <w:t xml:space="preserve">VF</w:t>
      </w:r>
      <w:r>
        <w:rPr>
          <w:rStyle w:val="FootnoteReference"/>
        </w:rPr>
        <w:footnoteReference w:id="57"/>
      </w:r>
    </w:p>
    <w:p>
      <w:pPr>
        <w:numPr>
          <w:ilvl w:val="0"/>
          <w:numId w:val="1009"/>
        </w:numPr>
        <w:pStyle w:val="Compact"/>
      </w:pPr>
      <w:r>
        <w:t xml:space="preserve">SaaS, BYOC on AWS, self-hosted and air-gapped self-host on Enterprise</w:t>
      </w:r>
      <w:r>
        <w:t xml:space="preserve"> </w:t>
      </w:r>
      <w:r>
        <w:rPr>
          <w:rStyle w:val="ClaimLabel"/>
        </w:rPr>
        <w:t xml:space="preserve">VF</w:t>
      </w:r>
      <w:r>
        <w:rPr>
          <w:rStyle w:val="FootnoteReference"/>
        </w:rPr>
        <w:footnoteReference w:id="60"/>
      </w:r>
    </w:p>
    <w:p>
      <w:pPr>
        <w:numPr>
          <w:ilvl w:val="0"/>
          <w:numId w:val="1009"/>
        </w:numPr>
        <w:pStyle w:val="Compact"/>
      </w:pPr>
      <w:r>
        <w:t xml:space="preserve">Enterprise SSO, RBAC and ABAC; support SLA</w:t>
      </w:r>
      <w:r>
        <w:t xml:space="preserve"> </w:t>
      </w:r>
      <w:r>
        <w:rPr>
          <w:rStyle w:val="ClaimLabel"/>
        </w:rPr>
        <w:t xml:space="preserve">VF</w:t>
      </w:r>
      <w:r>
        <w:rPr>
          <w:rStyle w:val="FootnoteReference"/>
        </w:rPr>
        <w:footnoteReference w:id="61"/>
      </w:r>
    </w:p>
    <w:p>
      <w:pPr>
        <w:pStyle w:val="FirstParagraph"/>
      </w:pPr>
      <w:r>
        <w:rPr>
          <w:bCs/>
          <w:b/>
        </w:rPr>
        <w:t xml:space="preserve">Limitations and risks</w:t>
      </w:r>
    </w:p>
    <w:p>
      <w:pPr>
        <w:numPr>
          <w:ilvl w:val="0"/>
          <w:numId w:val="1010"/>
        </w:numPr>
        <w:pStyle w:val="Compact"/>
      </w:pPr>
      <w:r>
        <w:t xml:space="preserve">Native tracing format is recommended over OTel for performance, which pulls instrumentation towards a proprietary format</w:t>
      </w:r>
      <w:r>
        <w:t xml:space="preserve"> </w:t>
      </w:r>
      <w:r>
        <w:rPr>
          <w:rStyle w:val="ClaimLabel"/>
        </w:rPr>
        <w:t xml:space="preserve">VF</w:t>
      </w:r>
      <w:r>
        <w:rPr>
          <w:rStyle w:val="FootnoteReference"/>
        </w:rPr>
        <w:footnoteReference w:id="63"/>
      </w:r>
    </w:p>
    <w:p>
      <w:pPr>
        <w:numPr>
          <w:ilvl w:val="0"/>
          <w:numId w:val="1010"/>
        </w:numPr>
        <w:pStyle w:val="Compact"/>
      </w:pPr>
      <w:r>
        <w:t xml:space="preserve">Platform increasingly bundles the LangChain agent runtime (Fleet, Deployment), widening the blast radius of a vendor change</w:t>
      </w:r>
      <w:r>
        <w:t xml:space="preserve"> </w:t>
      </w:r>
      <w:r>
        <w:rPr>
          <w:rStyle w:val="ClaimLabel"/>
        </w:rPr>
        <w:t xml:space="preserve">VF</w:t>
      </w:r>
      <w:r>
        <w:rPr>
          <w:rStyle w:val="FootnoteReference"/>
        </w:rPr>
        <w:footnoteReference w:id="64"/>
      </w:r>
    </w:p>
    <w:p>
      <w:pPr>
        <w:numPr>
          <w:ilvl w:val="0"/>
          <w:numId w:val="1010"/>
        </w:numPr>
        <w:pStyle w:val="Compact"/>
      </w:pPr>
      <w:r>
        <w:t xml:space="preserve">Self-hosting needs at least 16 vCPU / 64 GB plus PostgreSQL, Redis and ClickHouse</w:t>
      </w:r>
      <w:r>
        <w:t xml:space="preserve"> </w:t>
      </w:r>
      <w:r>
        <w:rPr>
          <w:rStyle w:val="ClaimLabel"/>
        </w:rPr>
        <w:t xml:space="preserve">VF</w:t>
      </w:r>
      <w:r>
        <w:rPr>
          <w:rStyle w:val="FootnoteReference"/>
        </w:rPr>
        <w:footnoteReference w:id="65"/>
      </w:r>
    </w:p>
    <w:p>
      <w:pPr>
        <w:numPr>
          <w:ilvl w:val="0"/>
          <w:numId w:val="1010"/>
        </w:numPr>
        <w:pStyle w:val="Compact"/>
      </w:pPr>
      <w:r>
        <w:t xml:space="preserve">Per-seat Plus pricing plus per-trace overage</w:t>
      </w:r>
      <w:r>
        <w:t xml:space="preserve"> </w:t>
      </w:r>
      <w:r>
        <w:rPr>
          <w:rStyle w:val="ClaimLabel"/>
        </w:rPr>
        <w:t xml:space="preserve">VF</w:t>
      </w:r>
      <w:r>
        <w:rPr>
          <w:rStyle w:val="FootnoteReference"/>
        </w:rPr>
        <w:footnoteReference w:id="66"/>
      </w:r>
    </w:p>
    <w:p>
      <w:pPr>
        <w:numPr>
          <w:ilvl w:val="0"/>
          <w:numId w:val="1010"/>
        </w:numPr>
        <w:pStyle w:val="Compact"/>
      </w:pPr>
      <w:r>
        <w:t xml:space="preserve">LangSmith Engine is public beta</w:t>
      </w:r>
      <w:r>
        <w:t xml:space="preserve"> </w:t>
      </w:r>
      <w:r>
        <w:rPr>
          <w:rStyle w:val="ClaimLabel"/>
        </w:rPr>
        <w:t xml:space="preserve">VF</w:t>
      </w:r>
      <w:r>
        <w:rPr>
          <w:rStyle w:val="FootnoteReference"/>
        </w:rPr>
        <w:footnoteReference w:id="67"/>
      </w:r>
    </w:p>
    <w:p>
      <w:pPr>
        <w:pStyle w:val="FirstParagraph"/>
      </w:pPr>
      <w:r>
        <w:rPr>
          <w:bCs/>
          <w:b/>
        </w:rPr>
        <w:t xml:space="preserve">Choose when</w:t>
      </w:r>
    </w:p>
    <w:p>
      <w:pPr>
        <w:numPr>
          <w:ilvl w:val="0"/>
          <w:numId w:val="1011"/>
        </w:numPr>
        <w:pStyle w:val="Compact"/>
      </w:pPr>
      <w:r>
        <w:t xml:space="preserve">LangGraph is your orchestration standard and you want one supported platform for traces, evals and deployment</w:t>
      </w:r>
      <w:r>
        <w:t xml:space="preserve"> </w:t>
      </w:r>
      <w:r>
        <w:rPr>
          <w:rStyle w:val="ClaimLabel"/>
        </w:rPr>
        <w:t xml:space="preserve">AJ</w:t>
      </w:r>
    </w:p>
    <w:p>
      <w:pPr>
        <w:numPr>
          <w:ilvl w:val="0"/>
          <w:numId w:val="1011"/>
        </w:numPr>
        <w:pStyle w:val="Compact"/>
      </w:pPr>
      <w:r>
        <w:t xml:space="preserve">You need a commercial vendor with SOC 2, ISO 27001 and an EU region, or BYOC/self-host for residency</w:t>
      </w:r>
      <w:r>
        <w:t xml:space="preserve"> </w:t>
      </w:r>
      <w:r>
        <w:rPr>
          <w:rStyle w:val="ClaimLabel"/>
        </w:rPr>
        <w:t xml:space="preserve">AJ</w:t>
      </w:r>
    </w:p>
    <w:p>
      <w:pPr>
        <w:pStyle w:val="FirstParagraph"/>
      </w:pPr>
      <w:r>
        <w:rPr>
          <w:bCs/>
          <w:b/>
        </w:rPr>
        <w:t xml:space="preserve">Avoid when</w:t>
      </w:r>
    </w:p>
    <w:p>
      <w:pPr>
        <w:numPr>
          <w:ilvl w:val="0"/>
          <w:numId w:val="1012"/>
        </w:numPr>
        <w:pStyle w:val="Compact"/>
      </w:pPr>
      <w:r>
        <w:t xml:space="preserve">Your agents are framework-heterogeneous and you want a neutral trace store</w:t>
      </w:r>
      <w:r>
        <w:t xml:space="preserve"> </w:t>
      </w:r>
      <w:r>
        <w:rPr>
          <w:rStyle w:val="ClaimLabel"/>
        </w:rPr>
        <w:t xml:space="preserve">AJ</w:t>
      </w:r>
    </w:p>
    <w:p>
      <w:pPr>
        <w:numPr>
          <w:ilvl w:val="0"/>
          <w:numId w:val="1012"/>
        </w:numPr>
        <w:pStyle w:val="Compact"/>
      </w:pPr>
      <w:r>
        <w:t xml:space="preserve">You do not want the observability vendor to also be your agent runtime vendor</w:t>
      </w:r>
      <w:r>
        <w:t xml:space="preserve"> </w:t>
      </w:r>
      <w:r>
        <w:rPr>
          <w:rStyle w:val="ClaimLabel"/>
        </w:rPr>
        <w:t xml:space="preserve">AJ</w:t>
      </w:r>
    </w:p>
    <w:p>
      <w:pPr>
        <w:pStyle w:val="FirstParagraph"/>
      </w:pPr>
      <w:r>
        <w:rPr>
          <w:bCs/>
          <w:b/>
        </w:rPr>
        <w:t xml:space="preserve">Nearest competitors:</w:t>
      </w:r>
      <w:r>
        <w:t xml:space="preserve"> </w:t>
      </w:r>
      <w:r>
        <w:t xml:space="preserve">L9-langfuse, L9-braintrust, L9-arize-ax</w:t>
      </w:r>
    </w:p>
    <w:p>
      <w:pPr>
        <w:pStyle w:val="BodyText"/>
      </w:pPr>
      <w:r>
        <w:rPr>
          <w:bCs/>
          <w:b/>
        </w:rPr>
        <w:t xml:space="preserve">Regulated-FS note.</w:t>
      </w:r>
      <w:r>
        <w:t xml:space="preserve"> </w:t>
      </w:r>
      <w:r>
        <w:t xml:space="preserve">Use the EU region or self-host for client data; instrument with OTel GenAI conventions even if native SDKs are also used, so the evidence trail survives a platform exit; keep Engine-proposed fixes behind change control</w:t>
      </w:r>
      <w:r>
        <w:t xml:space="preserve"> </w:t>
      </w:r>
      <w:r>
        <w:rPr>
          <w:rStyle w:val="ClaimLabel"/>
        </w:rPr>
        <w:t xml:space="preserve">AJ</w:t>
      </w:r>
      <w:r>
        <w:t xml:space="preserve">.</w:t>
      </w:r>
    </w:p>
    <w:p>
      <w:pPr>
        <w:pStyle w:val="BodyText"/>
      </w:pPr>
      <w:r>
        <w:rPr>
          <w:bCs/>
          <w:b/>
        </w:rPr>
        <w:t xml:space="preserve">Facts (as of 2026-10-08)</w:t>
      </w:r>
    </w:p>
    <w:tbl>
      <w:tblPr>
        <w:tblStyle w:val="Table"/>
        <w:tblW w:type="pct" w:w="5000"/>
        <w:tblLook w:firstRow="1" w:lastRow="0" w:firstColumn="0" w:lastColumn="0" w:noHBand="0" w:noVBand="0" w:val="0020"/>
        <w:jc w:val="start"/>
      </w:tblPr>
      <w:tblGrid>
        <w:gridCol w:w="1485"/>
        <w:gridCol w:w="4290"/>
        <w:gridCol w:w="1320"/>
        <w:gridCol w:w="825"/>
      </w:tblGrid>
      <w:tr>
        <w:trPr>
          <w:tblHeader w:val="true"/>
        </w:trPr>
        <w:tc>
          <w:tcPr/>
          <w:p>
            <w:pPr>
              <w:pStyle w:val="Compact"/>
              <w:jc w:val="left"/>
            </w:pPr>
            <w:r>
              <w:t xml:space="preserve">Field</w:t>
            </w:r>
          </w:p>
        </w:tc>
        <w:tc>
          <w:tcPr/>
          <w:p>
            <w:pPr>
              <w:pStyle w:val="Compact"/>
              <w:jc w:val="left"/>
            </w:pPr>
            <w:r>
              <w:t xml:space="preserve">Value</w:t>
            </w:r>
          </w:p>
        </w:tc>
        <w:tc>
          <w:tcPr/>
          <w:p>
            <w:pPr>
              <w:pStyle w:val="Compact"/>
              <w:jc w:val="left"/>
            </w:pPr>
            <w:r>
              <w:t xml:space="preserve">Label</w:t>
            </w:r>
          </w:p>
        </w:tc>
        <w:tc>
          <w:tcPr/>
          <w:p>
            <w:pPr>
              <w:pStyle w:val="Compact"/>
              <w:jc w:val="left"/>
            </w:pPr>
            <w:r>
              <w:t xml:space="preserve">Sources</w:t>
            </w:r>
          </w:p>
        </w:tc>
      </w:tr>
      <w:tr>
        <w:tc>
          <w:tcPr/>
          <w:p>
            <w:pPr>
              <w:pStyle w:val="Compact"/>
              <w:jc w:val="left"/>
            </w:pPr>
            <w:r>
              <w:t xml:space="preserve">Company</w:t>
            </w:r>
          </w:p>
        </w:tc>
        <w:tc>
          <w:tcPr/>
          <w:p>
            <w:pPr>
              <w:pStyle w:val="Compact"/>
              <w:jc w:val="left"/>
            </w:pPr>
            <w:r>
              <w:t xml:space="preserve">LangChain, Inc. (independent; US$125M Series B at US$1.25B valuation, 20 October 2025)</w:t>
            </w:r>
          </w:p>
        </w:tc>
        <w:tc>
          <w:tcPr/>
          <w:p>
            <w:pPr>
              <w:pStyle w:val="Compact"/>
              <w:jc w:val="left"/>
            </w:pPr>
            <w:r>
              <w:t xml:space="preserve">Verified fact</w:t>
            </w:r>
          </w:p>
        </w:tc>
        <w:tc>
          <w:tcPr/>
          <w:p>
            <w:pPr>
              <w:pStyle w:val="Compact"/>
              <w:jc w:val="left"/>
            </w:pPr>
            <w:r>
              <w:t xml:space="preserve">A1-S038</w:t>
            </w:r>
          </w:p>
        </w:tc>
      </w:tr>
      <w:tr>
        <w:tc>
          <w:tcPr/>
          <w:p>
            <w:pPr>
              <w:pStyle w:val="Compact"/>
              <w:jc w:val="left"/>
            </w:pPr>
            <w:r>
              <w:t xml:space="preserve">Category</w:t>
            </w:r>
          </w:p>
        </w:tc>
        <w:tc>
          <w:tcPr/>
          <w:p>
            <w:pPr>
              <w:pStyle w:val="Compact"/>
              <w:jc w:val="left"/>
            </w:pPr>
            <w:r>
              <w:t xml:space="preserve">Proprietary agent and LLM observability, evaluation and deployment platform (now also hosting LangSmith Fleet, Engine, Sandboxes and an LLM Gateway)</w:t>
            </w:r>
          </w:p>
        </w:tc>
        <w:tc>
          <w:tcPr/>
          <w:p>
            <w:pPr>
              <w:pStyle w:val="Compact"/>
              <w:jc w:val="left"/>
            </w:pPr>
            <w:r>
              <w:t xml:space="preserve">Verified fact</w:t>
            </w:r>
          </w:p>
        </w:tc>
        <w:tc>
          <w:tcPr/>
          <w:p>
            <w:pPr>
              <w:pStyle w:val="Compact"/>
              <w:jc w:val="left"/>
            </w:pPr>
            <w:r>
              <w:t xml:space="preserve">A1-S034, A1-S039</w:t>
            </w:r>
          </w:p>
        </w:tc>
      </w:tr>
      <w:tr>
        <w:tc>
          <w:tcPr/>
          <w:p>
            <w:pPr>
              <w:pStyle w:val="Compact"/>
              <w:jc w:val="left"/>
            </w:pPr>
            <w:r>
              <w:t xml:space="preserve">Version / lineup</w:t>
            </w:r>
          </w:p>
        </w:tc>
        <w:tc>
          <w:tcPr/>
          <w:p>
            <w:pPr>
              <w:pStyle w:val="Compact"/>
              <w:jc w:val="left"/>
            </w:pPr>
            <w:r>
              <w:t xml:space="preserve">SaaS (continuously released); Python SDK langsmith 0.14.4, released 2 October 2026</w:t>
            </w:r>
          </w:p>
        </w:tc>
        <w:tc>
          <w:tcPr/>
          <w:p>
            <w:pPr>
              <w:pStyle w:val="Compact"/>
              <w:jc w:val="left"/>
            </w:pPr>
            <w:r>
              <w:t xml:space="preserve">Verified fact</w:t>
            </w:r>
          </w:p>
        </w:tc>
        <w:tc>
          <w:tcPr/>
          <w:p>
            <w:pPr>
              <w:pStyle w:val="Compact"/>
              <w:jc w:val="left"/>
            </w:pPr>
            <w:r>
              <w:t xml:space="preserve">A1-S002</w:t>
            </w:r>
          </w:p>
        </w:tc>
      </w:tr>
      <w:tr>
        <w:tc>
          <w:tcPr/>
          <w:p>
            <w:pPr>
              <w:pStyle w:val="Compact"/>
              <w:jc w:val="left"/>
            </w:pPr>
            <w:r>
              <w:t xml:space="preserve">Licence</w:t>
            </w:r>
          </w:p>
        </w:tc>
        <w:tc>
          <w:tcPr/>
          <w:p>
            <w:pPr>
              <w:pStyle w:val="Compact"/>
              <w:jc w:val="left"/>
            </w:pPr>
            <w:r>
              <w:t xml:space="preserve">Proprietary platform; SDK MIT-licensed</w:t>
            </w:r>
          </w:p>
        </w:tc>
        <w:tc>
          <w:tcPr/>
          <w:p>
            <w:pPr>
              <w:pStyle w:val="Compact"/>
              <w:jc w:val="left"/>
            </w:pPr>
            <w:r>
              <w:t xml:space="preserve">Verified fact</w:t>
            </w:r>
          </w:p>
        </w:tc>
        <w:tc>
          <w:tcPr/>
          <w:p>
            <w:pPr>
              <w:pStyle w:val="Compact"/>
              <w:jc w:val="left"/>
            </w:pPr>
            <w:r>
              <w:t xml:space="preserve">A1-S002, A1-S108</w:t>
            </w:r>
          </w:p>
        </w:tc>
      </w:tr>
      <w:tr>
        <w:tc>
          <w:tcPr/>
          <w:p>
            <w:pPr>
              <w:pStyle w:val="Compact"/>
              <w:jc w:val="left"/>
            </w:pPr>
            <w:r>
              <w:t xml:space="preserve">Status events</w:t>
            </w:r>
          </w:p>
        </w:tc>
        <w:tc>
          <w:tcPr/>
          <w:p>
            <w:pPr>
              <w:pStyle w:val="Compact"/>
              <w:jc w:val="left"/>
            </w:pPr>
            <w:r>
              <w:t xml:space="preserve">Agent Builder renamed LangSmith Fleet (2026); LangSmith Deployment billing moved to usage-based model; existing customers migrated 1 October 2026</w:t>
            </w:r>
          </w:p>
        </w:tc>
        <w:tc>
          <w:tcPr/>
          <w:p>
            <w:pPr>
              <w:pStyle w:val="Compact"/>
              <w:jc w:val="left"/>
            </w:pPr>
            <w:r>
              <w:t xml:space="preserve">Verified fact</w:t>
            </w:r>
          </w:p>
        </w:tc>
        <w:tc>
          <w:tcPr/>
          <w:p>
            <w:pPr>
              <w:pStyle w:val="Compact"/>
              <w:jc w:val="left"/>
            </w:pPr>
            <w:r>
              <w:t xml:space="preserve">A1-S035, A1-S039, V1-S016</w:t>
            </w:r>
          </w:p>
        </w:tc>
      </w:tr>
      <w:tr>
        <w:tc>
          <w:tcPr/>
          <w:p>
            <w:pPr>
              <w:pStyle w:val="Compact"/>
              <w:jc w:val="left"/>
            </w:pPr>
            <w:r>
              <w:t xml:space="preserve">Strategic direction</w:t>
            </w:r>
          </w:p>
        </w:tc>
        <w:tc>
          <w:tcPr/>
          <w:p>
            <w:pPr>
              <w:pStyle w:val="Compact"/>
              <w:jc w:val="left"/>
            </w:pPr>
            <w:r>
              <w:t xml:space="preserve">Interrupt 2026 (13-14 May): LangSmith Engine (public beta; clusters production failures and proposes fixes, can open PRs), SmithDB (claimed up to 15x faster; simpler self-hosting), Sandboxes GA, LLM Gateway with audit logging; Agent Builder renamed LangSmith Fleet; new Fleet pricing from 15 July 2026</w:t>
            </w:r>
          </w:p>
        </w:tc>
        <w:tc>
          <w:tcPr/>
          <w:p>
            <w:pPr>
              <w:pStyle w:val="Compact"/>
              <w:jc w:val="left"/>
            </w:pPr>
            <w:r>
              <w:t xml:space="preserve">Verified fact</w:t>
            </w:r>
          </w:p>
        </w:tc>
        <w:tc>
          <w:tcPr/>
          <w:p>
            <w:pPr>
              <w:pStyle w:val="Compact"/>
              <w:jc w:val="left"/>
            </w:pPr>
            <w:r>
              <w:t xml:space="preserve">A1-S039</w:t>
            </w:r>
          </w:p>
        </w:tc>
      </w:tr>
      <w:tr>
        <w:tc>
          <w:tcPr/>
          <w:p>
            <w:pPr>
              <w:pStyle w:val="Compact"/>
              <w:jc w:val="left"/>
            </w:pPr>
            <w:r>
              <w:t xml:space="preserve">What it does</w:t>
            </w:r>
          </w:p>
        </w:tc>
        <w:tc>
          <w:tcPr/>
          <w:p>
            <w:pPr>
              <w:pStyle w:val="Compact"/>
              <w:jc w:val="left"/>
            </w:pPr>
            <w:r>
              <w:t xml:space="preserve">Captures traces of LLM and agent runs, runs offline and online evaluations on datasets, manages prompts and hosts agent deployments; ingests native and OpenTelemetry traces.</w:t>
            </w:r>
          </w:p>
        </w:tc>
        <w:tc>
          <w:tcPr/>
          <w:p>
            <w:pPr>
              <w:pStyle w:val="Compact"/>
              <w:jc w:val="left"/>
            </w:pPr>
            <w:r>
              <w:t xml:space="preserve">Verified fact</w:t>
            </w:r>
          </w:p>
        </w:tc>
        <w:tc>
          <w:tcPr/>
          <w:p>
            <w:pPr>
              <w:pStyle w:val="Compact"/>
              <w:jc w:val="left"/>
            </w:pPr>
            <w:r>
              <w:t xml:space="preserve">A1-S034, A1-S037, A1-S108</w:t>
            </w:r>
          </w:p>
        </w:tc>
      </w:tr>
      <w:tr>
        <w:tc>
          <w:tcPr/>
          <w:p>
            <w:pPr>
              <w:pStyle w:val="Compact"/>
              <w:jc w:val="left"/>
            </w:pPr>
            <w:r>
              <w:t xml:space="preserve">Stack position</w:t>
            </w:r>
          </w:p>
        </w:tc>
        <w:tc>
          <w:tcPr/>
          <w:p>
            <w:pPr>
              <w:pStyle w:val="Compact"/>
              <w:jc w:val="left"/>
            </w:pPr>
            <w:r>
              <w:t xml:space="preserve">Cross-cutting observability/evaluation plus agent deployment runtime; broader than the graphic’s</w:t>
            </w:r>
            <w:r>
              <w:t xml:space="preserve"> </w:t>
            </w:r>
            <w:r>
              <w:t xml:space="preserve">‘</w:t>
            </w:r>
            <w:r>
              <w:t xml:space="preserve">trace &amp; eval</w:t>
            </w:r>
            <w:r>
              <w:t xml:space="preserve">’</w:t>
            </w:r>
            <w:r>
              <w:t xml:space="preserve"> </w:t>
            </w:r>
            <w:r>
              <w:t xml:space="preserve">label</w:t>
            </w:r>
          </w:p>
        </w:tc>
        <w:tc>
          <w:tcPr/>
          <w:p>
            <w:pPr>
              <w:pStyle w:val="Compact"/>
              <w:jc w:val="left"/>
            </w:pPr>
            <w:r>
              <w:t xml:space="preserve">Verified fact</w:t>
            </w:r>
          </w:p>
        </w:tc>
        <w:tc>
          <w:tcPr/>
          <w:p>
            <w:pPr>
              <w:pStyle w:val="Compact"/>
              <w:jc w:val="left"/>
            </w:pPr>
            <w:r>
              <w:t xml:space="preserve">A1-S034, A1-S039</w:t>
            </w:r>
          </w:p>
        </w:tc>
      </w:tr>
      <w:tr>
        <w:tc>
          <w:tcPr/>
          <w:p>
            <w:pPr>
              <w:pStyle w:val="Compact"/>
              <w:jc w:val="left"/>
            </w:pPr>
            <w:r>
              <w:t xml:space="preserve">Integration</w:t>
            </w:r>
          </w:p>
        </w:tc>
        <w:tc>
          <w:tcPr/>
          <w:p>
            <w:pPr>
              <w:pStyle w:val="Compact"/>
              <w:jc w:val="left"/>
            </w:pPr>
            <w:r>
              <w:t xml:space="preserve">Native SDKs (Python/JS); OTLP endpoint for any OTel exporter (x-api-key header); original OTel launch required OpenLLMetry conventions, newer guides use OTel GenAI conventions; native format recommended when LangSmith is sole backend; pytest plugin in SDK</w:t>
            </w:r>
          </w:p>
        </w:tc>
        <w:tc>
          <w:tcPr/>
          <w:p>
            <w:pPr>
              <w:pStyle w:val="Compact"/>
              <w:jc w:val="left"/>
            </w:pPr>
            <w:r>
              <w:t xml:space="preserve">Verified fact</w:t>
            </w:r>
          </w:p>
        </w:tc>
        <w:tc>
          <w:tcPr/>
          <w:p>
            <w:pPr>
              <w:pStyle w:val="Compact"/>
              <w:jc w:val="left"/>
            </w:pPr>
            <w:r>
              <w:t xml:space="preserve">A1-S037, A1-S108</w:t>
            </w:r>
          </w:p>
        </w:tc>
      </w:tr>
      <w:tr>
        <w:tc>
          <w:tcPr/>
          <w:p>
            <w:pPr>
              <w:pStyle w:val="Compact"/>
              <w:jc w:val="left"/>
            </w:pPr>
            <w:r>
              <w:t xml:space="preserve">Dependencies</w:t>
            </w:r>
          </w:p>
        </w:tc>
        <w:tc>
          <w:tcPr/>
          <w:p>
            <w:pPr>
              <w:pStyle w:val="Compact"/>
              <w:jc w:val="left"/>
            </w:pPr>
            <w:r>
              <w:t xml:space="preserve">Self-hosted: Kubernetes (min. 16 vCPU, 64 GB) or Docker, PostgreSQL, Redis, ClickHouse, optional blob storage</w:t>
            </w:r>
          </w:p>
        </w:tc>
        <w:tc>
          <w:tcPr/>
          <w:p>
            <w:pPr>
              <w:pStyle w:val="Compact"/>
              <w:jc w:val="left"/>
            </w:pPr>
            <w:r>
              <w:t xml:space="preserve">Verified fact</w:t>
            </w:r>
          </w:p>
        </w:tc>
        <w:tc>
          <w:tcPr/>
          <w:p>
            <w:pPr>
              <w:pStyle w:val="Compact"/>
              <w:jc w:val="left"/>
            </w:pPr>
            <w:r>
              <w:t xml:space="preserve">A1-S034</w:t>
            </w:r>
          </w:p>
        </w:tc>
      </w:tr>
      <w:tr>
        <w:tc>
          <w:tcPr/>
          <w:p>
            <w:pPr>
              <w:pStyle w:val="Compact"/>
              <w:jc w:val="left"/>
            </w:pPr>
            <w:r>
              <w:t xml:space="preserve">Certifications</w:t>
            </w:r>
          </w:p>
        </w:tc>
        <w:tc>
          <w:tcPr/>
          <w:p>
            <w:pPr>
              <w:pStyle w:val="Compact"/>
              <w:jc w:val="left"/>
            </w:pPr>
            <w:r>
              <w:t xml:space="preserve">SOC 2 Type II; ISO 27001:2022 (stated in LangChain resource page and LangSmith Engine security docs); HIPAA (BAA on Enterprise plan only); GDPR; reports via trust.langchain.com</w:t>
            </w:r>
          </w:p>
        </w:tc>
        <w:tc>
          <w:tcPr/>
          <w:p>
            <w:pPr>
              <w:pStyle w:val="Compact"/>
              <w:jc w:val="left"/>
            </w:pPr>
            <w:r>
              <w:t xml:space="preserve">Verified fact</w:t>
            </w:r>
          </w:p>
        </w:tc>
        <w:tc>
          <w:tcPr/>
          <w:p>
            <w:pPr>
              <w:pStyle w:val="Compact"/>
              <w:jc w:val="left"/>
            </w:pPr>
            <w:r>
              <w:t xml:space="preserve">A1-S036, A1-S126, V1-S068</w:t>
            </w:r>
          </w:p>
        </w:tc>
      </w:tr>
      <w:tr>
        <w:tc>
          <w:tcPr/>
          <w:p>
            <w:pPr>
              <w:pStyle w:val="Compact"/>
              <w:jc w:val="left"/>
            </w:pPr>
            <w:r>
              <w:t xml:space="preserve">GDPR / residency</w:t>
            </w:r>
          </w:p>
        </w:tc>
        <w:tc>
          <w:tcPr/>
          <w:p>
            <w:pPr>
              <w:pStyle w:val="Compact"/>
              <w:jc w:val="left"/>
            </w:pPr>
            <w:r>
              <w:t xml:space="preserve">Managed cloud in US or EU (EU data stored in the Netherlands per academy page) on all tiers at no extra cost; DPA on request; trust centre trust.langchain.com</w:t>
            </w:r>
          </w:p>
        </w:tc>
        <w:tc>
          <w:tcPr/>
          <w:p>
            <w:pPr>
              <w:pStyle w:val="Compact"/>
              <w:jc w:val="left"/>
            </w:pPr>
            <w:r>
              <w:t xml:space="preserve">Verified fact</w:t>
            </w:r>
          </w:p>
        </w:tc>
        <w:tc>
          <w:tcPr/>
          <w:p>
            <w:pPr>
              <w:pStyle w:val="Compact"/>
              <w:jc w:val="left"/>
            </w:pPr>
            <w:r>
              <w:t xml:space="preserve">A1-S036</w:t>
            </w:r>
          </w:p>
        </w:tc>
      </w:tr>
      <w:tr>
        <w:tc>
          <w:tcPr/>
          <w:p>
            <w:pPr>
              <w:pStyle w:val="Compact"/>
              <w:jc w:val="left"/>
            </w:pPr>
            <w:r>
              <w:t xml:space="preserve">Security features</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Access controls</w:t>
            </w:r>
          </w:p>
        </w:tc>
        <w:tc>
          <w:tcPr/>
          <w:p>
            <w:pPr>
              <w:pStyle w:val="Compact"/>
              <w:jc w:val="left"/>
            </w:pPr>
            <w:r>
              <w:t xml:space="preserve">Enterprise: custom SSO, ABAC and RBAC; audit logging for LLM Gateway administrative actions</w:t>
            </w:r>
          </w:p>
        </w:tc>
        <w:tc>
          <w:tcPr/>
          <w:p>
            <w:pPr>
              <w:pStyle w:val="Compact"/>
              <w:jc w:val="left"/>
            </w:pPr>
            <w:r>
              <w:t xml:space="preserve">Verified fact</w:t>
            </w:r>
          </w:p>
        </w:tc>
        <w:tc>
          <w:tcPr/>
          <w:p>
            <w:pPr>
              <w:pStyle w:val="Compact"/>
              <w:jc w:val="left"/>
            </w:pPr>
            <w:r>
              <w:t xml:space="preserve">A1-S035, A1-S039</w:t>
            </w:r>
          </w:p>
        </w:tc>
      </w:tr>
      <w:tr>
        <w:tc>
          <w:tcPr/>
          <w:p>
            <w:pPr>
              <w:pStyle w:val="Compact"/>
              <w:jc w:val="left"/>
            </w:pPr>
            <w:r>
              <w:t xml:space="preserve">Enterprise support</w:t>
            </w:r>
          </w:p>
        </w:tc>
        <w:tc>
          <w:tcPr/>
          <w:p>
            <w:pPr>
              <w:pStyle w:val="Compact"/>
              <w:jc w:val="left"/>
            </w:pPr>
            <w:r>
              <w:t xml:space="preserve">Enterprise plan with support SLA, custom seats and workspaces</w:t>
            </w:r>
          </w:p>
        </w:tc>
        <w:tc>
          <w:tcPr/>
          <w:p>
            <w:pPr>
              <w:pStyle w:val="Compact"/>
              <w:jc w:val="left"/>
            </w:pPr>
            <w:r>
              <w:t xml:space="preserve">Verified fact</w:t>
            </w:r>
          </w:p>
        </w:tc>
        <w:tc>
          <w:tcPr/>
          <w:p>
            <w:pPr>
              <w:pStyle w:val="Compact"/>
              <w:jc w:val="left"/>
            </w:pPr>
            <w:r>
              <w:t xml:space="preserve">A1-S035</w:t>
            </w:r>
          </w:p>
        </w:tc>
      </w:tr>
      <w:tr>
        <w:tc>
          <w:tcPr/>
          <w:p>
            <w:pPr>
              <w:pStyle w:val="Compact"/>
              <w:jc w:val="left"/>
            </w:pPr>
            <w:r>
              <w:t xml:space="preserve">Pricing</w:t>
            </w:r>
          </w:p>
        </w:tc>
        <w:tc>
          <w:tcPr/>
          <w:p>
            <w:pPr>
              <w:pStyle w:val="Compact"/>
              <w:jc w:val="left"/>
            </w:pPr>
            <w:r>
              <w:t xml:space="preserve">Developer US$0 (1 seat, 5k base traces/month); Plus US$39 per seat/month with 10k traces included, overage per trace; Enterprise custom, invoiced annually</w:t>
            </w:r>
          </w:p>
        </w:tc>
        <w:tc>
          <w:tcPr/>
          <w:p>
            <w:pPr>
              <w:pStyle w:val="Compact"/>
              <w:jc w:val="left"/>
            </w:pPr>
            <w:r>
              <w:t xml:space="preserve">Verified fact</w:t>
            </w:r>
          </w:p>
        </w:tc>
        <w:tc>
          <w:tcPr/>
          <w:p>
            <w:pPr>
              <w:pStyle w:val="Compact"/>
              <w:jc w:val="left"/>
            </w:pPr>
            <w:r>
              <w:t xml:space="preserve">A1-S035</w:t>
            </w:r>
          </w:p>
        </w:tc>
      </w:tr>
      <w:tr>
        <w:tc>
          <w:tcPr/>
          <w:p>
            <w:pPr>
              <w:pStyle w:val="Compact"/>
              <w:jc w:val="left"/>
            </w:pPr>
            <w:r>
              <w:t xml:space="preserve">Infrastructure cost</w:t>
            </w:r>
          </w:p>
        </w:tc>
        <w:tc>
          <w:tcPr/>
          <w:p>
            <w:pPr>
              <w:pStyle w:val="Compact"/>
              <w:jc w:val="left"/>
            </w:pPr>
            <w:r>
              <w:t xml:space="preserve">Self-hosting requires a Kubernetes cluster of at least 16 vCPU / 64 GB plus PostgreSQL, Redis and ClickHouse</w:t>
            </w:r>
          </w:p>
        </w:tc>
        <w:tc>
          <w:tcPr/>
          <w:p>
            <w:pPr>
              <w:pStyle w:val="Compact"/>
              <w:jc w:val="left"/>
            </w:pPr>
            <w:r>
              <w:t xml:space="preserve">Verified fact</w:t>
            </w:r>
          </w:p>
        </w:tc>
        <w:tc>
          <w:tcPr/>
          <w:p>
            <w:pPr>
              <w:pStyle w:val="Compact"/>
              <w:jc w:val="left"/>
            </w:pPr>
            <w:r>
              <w:t xml:space="preserve">A1-S034</w:t>
            </w:r>
          </w:p>
        </w:tc>
      </w:tr>
      <w:tr>
        <w:tc>
          <w:tcPr/>
          <w:p>
            <w:pPr>
              <w:pStyle w:val="Compact"/>
              <w:jc w:val="left"/>
            </w:pPr>
            <w:r>
              <w:t xml:space="preserve">Ecosystem</w:t>
            </w:r>
          </w:p>
        </w:tc>
        <w:tc>
          <w:tcPr/>
          <w:p>
            <w:pPr>
              <w:pStyle w:val="Compact"/>
              <w:jc w:val="left"/>
            </w:pPr>
            <w:r>
              <w:t xml:space="preserve">Works with LangChain/LangGraph and any framework via SDK or OTel; guides for Temporal, VS Code Copilot Chat and Microsoft Agent Framework</w:t>
            </w:r>
          </w:p>
        </w:tc>
        <w:tc>
          <w:tcPr/>
          <w:p>
            <w:pPr>
              <w:pStyle w:val="Compact"/>
              <w:jc w:val="left"/>
            </w:pPr>
            <w:r>
              <w:t xml:space="preserve">Verified fact</w:t>
            </w:r>
          </w:p>
        </w:tc>
        <w:tc>
          <w:tcPr/>
          <w:p>
            <w:pPr>
              <w:pStyle w:val="Compact"/>
              <w:jc w:val="left"/>
            </w:pPr>
            <w:r>
              <w:t xml:space="preserve">A1-S037</w:t>
            </w:r>
          </w:p>
        </w:tc>
      </w:tr>
      <w:tr>
        <w:tc>
          <w:tcPr/>
          <w:p>
            <w:pPr>
              <w:pStyle w:val="Compact"/>
              <w:jc w:val="left"/>
            </w:pPr>
            <w:r>
              <w:t xml:space="preserve">Adoption signals</w:t>
            </w:r>
          </w:p>
        </w:tc>
        <w:tc>
          <w:tcPr/>
          <w:p>
            <w:pPr>
              <w:pStyle w:val="Compact"/>
              <w:jc w:val="left"/>
            </w:pPr>
            <w:r>
              <w:t xml:space="preserve">LangChain Series B investors include IVP (lead), Sequoia, Benchmark, CapitalG, Sapphire, ServiceNow, Workday, Cisco, Datadog and Databricks</w:t>
            </w:r>
          </w:p>
        </w:tc>
        <w:tc>
          <w:tcPr/>
          <w:p>
            <w:pPr>
              <w:pStyle w:val="Compact"/>
              <w:jc w:val="left"/>
            </w:pPr>
            <w:r>
              <w:t xml:space="preserve">Verified fact</w:t>
            </w:r>
          </w:p>
        </w:tc>
        <w:tc>
          <w:tcPr/>
          <w:p>
            <w:pPr>
              <w:pStyle w:val="Compact"/>
              <w:jc w:val="left"/>
            </w:pPr>
            <w:r>
              <w:t xml:space="preserve">A1-S038</w:t>
            </w:r>
          </w:p>
        </w:tc>
      </w:tr>
      <w:tr>
        <w:tc>
          <w:tcPr/>
          <w:p>
            <w:pPr>
              <w:pStyle w:val="Compact"/>
              <w:jc w:val="left"/>
            </w:pPr>
            <w:r>
              <w:t xml:space="preserve">Maturity</w:t>
            </w:r>
          </w:p>
        </w:tc>
        <w:tc>
          <w:tcPr/>
          <w:p>
            <w:pPr>
              <w:pStyle w:val="Compact"/>
              <w:jc w:val="left"/>
            </w:pPr>
            <w:r>
              <w:t xml:space="preserve">First langsmith SDK release on PyPI 26 June 2023; 536 releases to 2 October 2026</w:t>
            </w:r>
          </w:p>
        </w:tc>
        <w:tc>
          <w:tcPr/>
          <w:p>
            <w:pPr>
              <w:pStyle w:val="Compact"/>
              <w:jc w:val="left"/>
            </w:pPr>
            <w:r>
              <w:t xml:space="preserve">Verified fact</w:t>
            </w:r>
          </w:p>
        </w:tc>
        <w:tc>
          <w:tcPr/>
          <w:p>
            <w:pPr>
              <w:pStyle w:val="Compact"/>
              <w:jc w:val="left"/>
            </w:pPr>
            <w:r>
              <w:t xml:space="preserve">A1-S002</w:t>
            </w:r>
          </w:p>
        </w:tc>
      </w:tr>
      <w:tr>
        <w:tc>
          <w:tcPr/>
          <w:p>
            <w:pPr>
              <w:pStyle w:val="Compact"/>
              <w:jc w:val="left"/>
            </w:pPr>
            <w:r>
              <w:t xml:space="preserve">Deployment</w:t>
            </w:r>
          </w:p>
        </w:tc>
        <w:tc>
          <w:tcPr/>
          <w:p>
            <w:pPr>
              <w:pStyle w:val="Compact"/>
              <w:jc w:val="left"/>
            </w:pPr>
            <w:r>
              <w:t xml:space="preserve">saas: Yes; managed_cloud: Not publicly verified; vpc_byoc: Yes (BYOC on AWS, Enterprise only); private_cloud: Yes (self-hosted in own cloud, Enterprise); self_hosted: Yes (Enterprise); on_prem: Yes (air-gapped self-host positioned)</w:t>
            </w:r>
          </w:p>
        </w:tc>
        <w:tc>
          <w:tcPr/>
          <w:p>
            <w:pPr>
              <w:pStyle w:val="Compact"/>
            </w:pPr>
          </w:p>
        </w:tc>
        <w:tc>
          <w:tcPr/>
          <w:p>
            <w:pPr>
              <w:pStyle w:val="Compact"/>
            </w:pPr>
          </w:p>
        </w:tc>
      </w:tr>
    </w:tbl>
    <w:bookmarkEnd w:id="68"/>
    <w:bookmarkStart w:id="87" w:name="opik-l9-opik"/>
    <w:p>
      <w:pPr>
        <w:pStyle w:val="Heading2"/>
      </w:pPr>
      <w:r>
        <w:t xml:space="preserve">Opik (</w:t>
      </w:r>
      <w:r>
        <w:rPr>
          <w:rStyle w:val="VerbatimChar"/>
        </w:rPr>
        <w:t xml:space="preserve">L9-opik</w:t>
      </w:r>
      <w:r>
        <w:t xml:space="preserve">)</w:t>
      </w:r>
    </w:p>
    <w:p>
      <w:pPr>
        <w:pStyle w:val="FirstParagraph"/>
      </w:pPr>
      <w:r>
        <w:rPr>
          <w:bCs/>
          <w:b/>
        </w:rPr>
        <w:t xml:space="preserve">Tier:</w:t>
      </w:r>
      <w:r>
        <w:t xml:space="preserve"> </w:t>
      </w:r>
      <w:r>
        <w:t xml:space="preserve">Tactical ·</w:t>
      </w:r>
      <w:r>
        <w:t xml:space="preserve"> </w:t>
      </w:r>
      <w:r>
        <w:rPr>
          <w:bCs/>
          <w:b/>
        </w:rPr>
        <w:t xml:space="preserve">Flags:</w:t>
      </w:r>
      <w:r>
        <w:t xml:space="preserve"> </w:t>
      </w:r>
      <w:r>
        <w:t xml:space="preserve">none ·</w:t>
      </w:r>
      <w:r>
        <w:t xml:space="preserve"> </w:t>
      </w:r>
      <w:r>
        <w:rPr>
          <w:bCs/>
          <w:b/>
        </w:rPr>
        <w:t xml:space="preserve">Original graphic label:</w:t>
      </w:r>
      <w:r>
        <w:t xml:space="preserve"> </w:t>
      </w:r>
      <w:r>
        <w:t xml:space="preserve">Opik – comet</w:t>
      </w:r>
    </w:p>
    <w:p>
      <w:pPr>
        <w:pStyle w:val="BodyText"/>
      </w:pPr>
      <w:r>
        <w:rPr>
          <w:iCs/>
          <w:i/>
        </w:rPr>
        <w:t xml:space="preserve">Rationale:</w:t>
      </w:r>
      <w:r>
        <w:t xml:space="preserve"> </w:t>
      </w:r>
      <w:r>
        <w:t xml:space="preserve">Most permissive full-platform licence in the layer, but missing user management in the open edition and a young codebase keep it below the foundational tier</w:t>
      </w:r>
      <w:r>
        <w:t xml:space="preserve"> </w:t>
      </w:r>
      <w:r>
        <w:rPr>
          <w:rStyle w:val="ClaimLabel"/>
        </w:rPr>
        <w:t xml:space="preserve">AJ</w:t>
      </w:r>
      <w:r>
        <w:t xml:space="preserve">.</w:t>
      </w:r>
    </w:p>
    <w:tbl>
      <w:tblPr>
        <w:tblStyle w:val="Table"/>
        <w:tblW w:type="pct" w:w="5000"/>
        <w:tblLook w:firstRow="1" w:lastRow="0" w:firstColumn="0" w:lastColumn="0" w:noHBand="0" w:noVBand="0" w:val="0020"/>
        <w:jc w:val="start"/>
      </w:tblPr>
      <w:tblGrid>
        <w:gridCol w:w="1545"/>
        <w:gridCol w:w="579"/>
        <w:gridCol w:w="5795"/>
      </w:tblGrid>
      <w:tr>
        <w:trPr>
          <w:tblHeader w:val="true"/>
        </w:trPr>
        <w:tc>
          <w:tcPr/>
          <w:p>
            <w:pPr>
              <w:pStyle w:val="Compact"/>
              <w:jc w:val="left"/>
            </w:pPr>
            <w:r>
              <w:t xml:space="preserve">Criterion</w:t>
            </w:r>
          </w:p>
        </w:tc>
        <w:tc>
          <w:tcPr/>
          <w:p>
            <w:pPr>
              <w:pStyle w:val="Compact"/>
              <w:jc w:val="right"/>
            </w:pPr>
            <w:r>
              <w:t xml:space="preserve">Score</w:t>
            </w:r>
          </w:p>
        </w:tc>
        <w:tc>
          <w:tcPr/>
          <w:p>
            <w:pPr>
              <w:pStyle w:val="Compact"/>
              <w:jc w:val="left"/>
            </w:pPr>
            <w:r>
              <w:t xml:space="preserve">Rationale</w:t>
            </w:r>
          </w:p>
        </w:tc>
      </w:tr>
      <w:tr>
        <w:tc>
          <w:tcPr/>
          <w:p>
            <w:pPr>
              <w:pStyle w:val="Compact"/>
              <w:jc w:val="left"/>
            </w:pPr>
            <w:r>
              <w:t xml:space="preserve">Technical</w:t>
            </w:r>
          </w:p>
        </w:tc>
        <w:tc>
          <w:tcPr/>
          <w:p>
            <w:pPr>
              <w:pStyle w:val="Compact"/>
              <w:jc w:val="right"/>
            </w:pPr>
            <w:r>
              <w:t xml:space="preserve">4</w:t>
            </w:r>
          </w:p>
        </w:tc>
        <w:tc>
          <w:tcPr/>
          <w:p>
            <w:pPr>
              <w:pStyle w:val="Compact"/>
              <w:jc w:val="left"/>
            </w:pPr>
            <w:r>
              <w:t xml:space="preserve">Tracing, offline and online evals, guardrails and optimiser; red-teaming not native.</w:t>
            </w:r>
          </w:p>
        </w:tc>
      </w:tr>
      <w:tr>
        <w:tc>
          <w:tcPr/>
          <w:p>
            <w:pPr>
              <w:pStyle w:val="Compact"/>
              <w:jc w:val="left"/>
            </w:pPr>
            <w:r>
              <w:t xml:space="preserve">Enterprise readiness</w:t>
            </w:r>
          </w:p>
        </w:tc>
        <w:tc>
          <w:tcPr/>
          <w:p>
            <w:pPr>
              <w:pStyle w:val="Compact"/>
              <w:jc w:val="right"/>
            </w:pPr>
            <w:r>
              <w:t xml:space="preserve">3</w:t>
            </w:r>
          </w:p>
        </w:tc>
        <w:tc>
          <w:tcPr/>
          <w:p>
            <w:pPr>
              <w:pStyle w:val="Compact"/>
              <w:jc w:val="left"/>
            </w:pPr>
            <w:r>
              <w:t xml:space="preserve">Enterprise SAML/OIDC SSO, organisation and workspace roles with Enterprise custom roles (B-REV-S022); audit logs only on marketing pages; open edition has no user management.</w:t>
            </w:r>
          </w:p>
        </w:tc>
      </w:tr>
      <w:tr>
        <w:tc>
          <w:tcPr/>
          <w:p>
            <w:pPr>
              <w:pStyle w:val="Compact"/>
              <w:jc w:val="left"/>
            </w:pPr>
            <w:r>
              <w:t xml:space="preserve">Security and compliance</w:t>
            </w:r>
          </w:p>
        </w:tc>
        <w:tc>
          <w:tcPr/>
          <w:p>
            <w:pPr>
              <w:pStyle w:val="Compact"/>
              <w:jc w:val="right"/>
            </w:pPr>
            <w:r>
              <w:t xml:space="preserve">4</w:t>
            </w:r>
          </w:p>
        </w:tc>
        <w:tc>
          <w:tcPr/>
          <w:p>
            <w:pPr>
              <w:pStyle w:val="Compact"/>
              <w:jc w:val="left"/>
            </w:pPr>
            <w:r>
              <w:t xml:space="preserve">SOC 2 Type 2 and ISO 27001:2022 at Comet level; residency NPV; no CMK documented.</w:t>
            </w:r>
          </w:p>
        </w:tc>
      </w:tr>
      <w:tr>
        <w:tc>
          <w:tcPr/>
          <w:p>
            <w:pPr>
              <w:pStyle w:val="Compact"/>
              <w:jc w:val="left"/>
            </w:pPr>
            <w:r>
              <w:t xml:space="preserve">Deployment flexibility</w:t>
            </w:r>
          </w:p>
        </w:tc>
        <w:tc>
          <w:tcPr/>
          <w:p>
            <w:pPr>
              <w:pStyle w:val="Compact"/>
              <w:jc w:val="right"/>
            </w:pPr>
            <w:r>
              <w:t xml:space="preserve">4</w:t>
            </w:r>
          </w:p>
        </w:tc>
        <w:tc>
          <w:tcPr/>
          <w:p>
            <w:pPr>
              <w:pStyle w:val="Compact"/>
              <w:jc w:val="left"/>
            </w:pPr>
            <w:r>
              <w:t xml:space="preserve">Comet SaaS, self-host on Kubernetes, on-prem as part of Comet; BYOC not verified.</w:t>
            </w:r>
          </w:p>
        </w:tc>
      </w:tr>
      <w:tr>
        <w:tc>
          <w:tcPr/>
          <w:p>
            <w:pPr>
              <w:pStyle w:val="Compact"/>
              <w:jc w:val="left"/>
            </w:pPr>
            <w:r>
              <w:t xml:space="preserve">Ecosystem</w:t>
            </w:r>
          </w:p>
        </w:tc>
        <w:tc>
          <w:tcPr/>
          <w:p>
            <w:pPr>
              <w:pStyle w:val="Compact"/>
              <w:jc w:val="right"/>
            </w:pPr>
            <w:r>
              <w:t xml:space="preserve">3</w:t>
            </w:r>
          </w:p>
        </w:tc>
        <w:tc>
          <w:tcPr/>
          <w:p>
            <w:pPr>
              <w:pStyle w:val="Compact"/>
              <w:jc w:val="left"/>
            </w:pPr>
            <w:r>
              <w:t xml:space="preserve">OTel HTTP, PyTest, MCP and a moderate integration list.</w:t>
            </w:r>
          </w:p>
        </w:tc>
      </w:tr>
      <w:tr>
        <w:tc>
          <w:tcPr/>
          <w:p>
            <w:pPr>
              <w:pStyle w:val="Compact"/>
              <w:jc w:val="left"/>
            </w:pPr>
            <w:r>
              <w:t xml:space="preserve">Reliability and maturity</w:t>
            </w:r>
          </w:p>
        </w:tc>
        <w:tc>
          <w:tcPr/>
          <w:p>
            <w:pPr>
              <w:pStyle w:val="Compact"/>
              <w:jc w:val="right"/>
            </w:pPr>
            <w:r>
              <w:t xml:space="preserve">3</w:t>
            </w:r>
          </w:p>
        </w:tc>
        <w:tc>
          <w:tcPr/>
          <w:p>
            <w:pPr>
              <w:pStyle w:val="Compact"/>
              <w:jc w:val="left"/>
            </w:pPr>
            <w:r>
              <w:t xml:space="preserve">635 releases since September 2024; young and fast-moving.</w:t>
            </w:r>
          </w:p>
        </w:tc>
      </w:tr>
      <w:tr>
        <w:tc>
          <w:tcPr/>
          <w:p>
            <w:pPr>
              <w:pStyle w:val="Compact"/>
              <w:jc w:val="left"/>
            </w:pPr>
            <w:r>
              <w:t xml:space="preserve">Cost / TCO</w:t>
            </w:r>
          </w:p>
        </w:tc>
        <w:tc>
          <w:tcPr/>
          <w:p>
            <w:pPr>
              <w:pStyle w:val="Compact"/>
              <w:jc w:val="right"/>
            </w:pPr>
            <w:r>
              <w:t xml:space="preserve">5</w:t>
            </w:r>
          </w:p>
        </w:tc>
        <w:tc>
          <w:tcPr/>
          <w:p>
            <w:pPr>
              <w:pStyle w:val="Compact"/>
              <w:jc w:val="left"/>
            </w:pPr>
            <w:r>
              <w:t xml:space="preserve">Free full-platform self-hosting and low cloud entry price.</w:t>
            </w:r>
          </w:p>
        </w:tc>
      </w:tr>
      <w:tr>
        <w:tc>
          <w:tcPr/>
          <w:p>
            <w:pPr>
              <w:pStyle w:val="Compact"/>
              <w:jc w:val="left"/>
            </w:pPr>
            <w:r>
              <w:t xml:space="preserve">Lock-in / portability</w:t>
            </w:r>
          </w:p>
        </w:tc>
        <w:tc>
          <w:tcPr/>
          <w:p>
            <w:pPr>
              <w:pStyle w:val="Compact"/>
              <w:jc w:val="right"/>
            </w:pPr>
            <w:r>
              <w:t xml:space="preserve">4</w:t>
            </w:r>
          </w:p>
        </w:tc>
        <w:tc>
          <w:tcPr/>
          <w:p>
            <w:pPr>
              <w:pStyle w:val="Compact"/>
              <w:jc w:val="left"/>
            </w:pPr>
            <w:r>
              <w:t xml:space="preserve">Apache-2.0 platform with OTel ingest; company-governed, so not 5.</w:t>
            </w:r>
          </w:p>
        </w:tc>
      </w:tr>
      <w:tr>
        <w:tc>
          <w:tcPr/>
          <w:p>
            <w:pPr>
              <w:pStyle w:val="Compact"/>
              <w:jc w:val="left"/>
            </w:pPr>
            <w:r>
              <w:rPr>
                <w:bCs/>
                <w:b/>
              </w:rPr>
              <w:t xml:space="preserve">Total (generic / FS)</w:t>
            </w:r>
          </w:p>
        </w:tc>
        <w:tc>
          <w:tcPr/>
          <w:p>
            <w:pPr>
              <w:pStyle w:val="Compact"/>
              <w:jc w:val="right"/>
            </w:pPr>
            <w:r>
              <w:rPr>
                <w:bCs/>
                <w:b/>
              </w:rPr>
              <w:t xml:space="preserve">3.75 / 3.75</w:t>
            </w:r>
          </w:p>
        </w:tc>
        <w:tc>
          <w:tcPr/>
          <w:p>
            <w:pPr>
              <w:pStyle w:val="Compact"/>
            </w:pPr>
          </w:p>
        </w:tc>
      </w:tr>
    </w:tbl>
    <w:p>
      <w:pPr>
        <w:pStyle w:val="BodyText"/>
      </w:pPr>
      <w:r>
        <w:rPr>
          <w:iCs/>
          <w:i/>
        </w:rPr>
        <w:t xml:space="preserve">Evidence rules applied:</w:t>
      </w:r>
      <w:r>
        <w:t xml:space="preserve"> </w:t>
      </w:r>
      <w:r>
        <w:t xml:space="preserve">Rule 8 (CP2 Q4) checked at CP2 rework (8 October 2026): SOC 2 Type 2 and ISO 27001 are listed against the Opik Enterprise plan (A1-S122), so product scope is stated; security_compliance 4 kept</w:t>
      </w:r>
    </w:p>
    <w:p>
      <w:pPr>
        <w:pStyle w:val="BodyText"/>
      </w:pPr>
      <w:r>
        <w:rPr>
          <w:bCs/>
          <w:b/>
        </w:rPr>
        <w:t xml:space="preserve">Capabilities.</w:t>
      </w:r>
      <w:r>
        <w:t xml:space="preserve"> </w:t>
      </w:r>
      <w:r>
        <w:t xml:space="preserve">Apache-2.0 platform from Comet for tracing LLM calls and agents, datasets and experiments with LLM-as-a-judge metrics (hallucination, moderation, RAG), online evaluation rules on production traces, dashboards, guardrails and an agent/prompt optimiser; PyTest integration, OTel over HTTP, MCP server</w:t>
      </w:r>
      <w:r>
        <w:t xml:space="preserve"> </w:t>
      </w:r>
      <w:r>
        <w:rPr>
          <w:rStyle w:val="ClaimLabel"/>
        </w:rPr>
        <w:t xml:space="preserve">VF</w:t>
      </w:r>
      <w:r>
        <w:rPr>
          <w:rStyle w:val="FootnoteReference"/>
        </w:rPr>
        <w:footnoteReference w:id="69"/>
      </w:r>
      <w:r>
        <w:t xml:space="preserve">.</w:t>
      </w:r>
    </w:p>
    <w:p>
      <w:pPr>
        <w:pStyle w:val="BodyText"/>
      </w:pPr>
      <w:r>
        <w:rPr>
          <w:bCs/>
          <w:b/>
        </w:rPr>
        <w:t xml:space="preserve">Strengths</w:t>
      </w:r>
    </w:p>
    <w:p>
      <w:pPr>
        <w:numPr>
          <w:ilvl w:val="0"/>
          <w:numId w:val="1013"/>
        </w:numPr>
        <w:pStyle w:val="Compact"/>
      </w:pPr>
      <w:r>
        <w:t xml:space="preserve">The whole platform, including online evaluation and the optimiser, is Apache-2.0</w:t>
      </w:r>
      <w:r>
        <w:t xml:space="preserve"> </w:t>
      </w:r>
      <w:r>
        <w:rPr>
          <w:rStyle w:val="ClaimLabel"/>
        </w:rPr>
        <w:t xml:space="preserve">VF</w:t>
      </w:r>
      <w:r>
        <w:rPr>
          <w:rStyle w:val="FootnoteReference"/>
        </w:rPr>
        <w:footnoteReference w:id="73"/>
      </w:r>
    </w:p>
    <w:p>
      <w:pPr>
        <w:numPr>
          <w:ilvl w:val="0"/>
          <w:numId w:val="1013"/>
        </w:numPr>
        <w:pStyle w:val="Compact"/>
      </w:pPr>
      <w:r>
        <w:t xml:space="preserve">Online evaluation rules apply LLM-as-a-judge to production traces</w:t>
      </w:r>
      <w:r>
        <w:t xml:space="preserve"> </w:t>
      </w:r>
      <w:r>
        <w:rPr>
          <w:rStyle w:val="ClaimLabel"/>
        </w:rPr>
        <w:t xml:space="preserve">VF</w:t>
      </w:r>
      <w:r>
        <w:rPr>
          <w:rStyle w:val="FootnoteReference"/>
        </w:rPr>
        <w:footnoteReference w:id="75"/>
      </w:r>
    </w:p>
    <w:p>
      <w:pPr>
        <w:numPr>
          <w:ilvl w:val="0"/>
          <w:numId w:val="1013"/>
        </w:numPr>
        <w:pStyle w:val="Compact"/>
      </w:pPr>
      <w:r>
        <w:t xml:space="preserve">Comet Trust Center lists SOC 2 Type 2 and ISO/IEC 27001:2022</w:t>
      </w:r>
      <w:r>
        <w:t xml:space="preserve"> </w:t>
      </w:r>
      <w:r>
        <w:rPr>
          <w:rStyle w:val="ClaimLabel"/>
        </w:rPr>
        <w:t xml:space="preserve">VF</w:t>
      </w:r>
      <w:r>
        <w:rPr>
          <w:rStyle w:val="FootnoteReference"/>
        </w:rPr>
        <w:footnoteReference w:id="76"/>
      </w:r>
    </w:p>
    <w:p>
      <w:pPr>
        <w:numPr>
          <w:ilvl w:val="0"/>
          <w:numId w:val="1013"/>
        </w:numPr>
        <w:pStyle w:val="Compact"/>
      </w:pPr>
      <w:r>
        <w:t xml:space="preserve">Low published cloud pricing and free self-hosting</w:t>
      </w:r>
      <w:r>
        <w:t xml:space="preserve"> </w:t>
      </w:r>
      <w:r>
        <w:rPr>
          <w:rStyle w:val="ClaimLabel"/>
        </w:rPr>
        <w:t xml:space="preserve">VF</w:t>
      </w:r>
      <w:r>
        <w:rPr>
          <w:rStyle w:val="FootnoteReference"/>
        </w:rPr>
        <w:footnoteReference w:id="78"/>
      </w:r>
    </w:p>
    <w:p>
      <w:pPr>
        <w:pStyle w:val="FirstParagraph"/>
      </w:pPr>
      <w:r>
        <w:rPr>
          <w:bCs/>
          <w:b/>
        </w:rPr>
        <w:t xml:space="preserve">Limitations and risks</w:t>
      </w:r>
    </w:p>
    <w:p>
      <w:pPr>
        <w:numPr>
          <w:ilvl w:val="0"/>
          <w:numId w:val="1014"/>
        </w:numPr>
        <w:pStyle w:val="Compact"/>
      </w:pPr>
      <w:r>
        <w:t xml:space="preserve">Self-hosted open source has no user management; SSO, custom roles and service accounts come with Enterprise</w:t>
      </w:r>
      <w:r>
        <w:t xml:space="preserve"> </w:t>
      </w:r>
      <w:r>
        <w:rPr>
          <w:rStyle w:val="ClaimLabel"/>
        </w:rPr>
        <w:t xml:space="preserve">VF</w:t>
      </w:r>
      <w:r>
        <w:rPr>
          <w:rStyle w:val="FootnoteReference"/>
        </w:rPr>
        <w:footnoteReference w:id="80"/>
      </w:r>
    </w:p>
    <w:p>
      <w:pPr>
        <w:numPr>
          <w:ilvl w:val="0"/>
          <w:numId w:val="1014"/>
        </w:numPr>
        <w:pStyle w:val="Compact"/>
      </w:pPr>
      <w:r>
        <w:t xml:space="preserve">Local Docker install is not production-ready; Kubernetes/Helm required</w:t>
      </w:r>
      <w:r>
        <w:t xml:space="preserve"> </w:t>
      </w:r>
      <w:r>
        <w:rPr>
          <w:rStyle w:val="ClaimLabel"/>
        </w:rPr>
        <w:t xml:space="preserve">VF</w:t>
      </w:r>
      <w:r>
        <w:rPr>
          <w:rStyle w:val="FootnoteReference"/>
        </w:rPr>
        <w:footnoteReference w:id="83"/>
      </w:r>
    </w:p>
    <w:p>
      <w:pPr>
        <w:numPr>
          <w:ilvl w:val="0"/>
          <w:numId w:val="1014"/>
        </w:numPr>
        <w:pStyle w:val="Compact"/>
      </w:pPr>
      <w:r>
        <w:t xml:space="preserve">OTel over HTTP only</w:t>
      </w:r>
      <w:r>
        <w:t xml:space="preserve"> </w:t>
      </w:r>
      <w:r>
        <w:rPr>
          <w:rStyle w:val="ClaimLabel"/>
        </w:rPr>
        <w:t xml:space="preserve">VF</w:t>
      </w:r>
      <w:r>
        <w:rPr>
          <w:rStyle w:val="FootnoteReference"/>
        </w:rPr>
        <w:footnoteReference w:id="84"/>
      </w:r>
    </w:p>
    <w:p>
      <w:pPr>
        <w:numPr>
          <w:ilvl w:val="0"/>
          <w:numId w:val="1014"/>
        </w:numPr>
        <w:pStyle w:val="Compact"/>
      </w:pPr>
      <w:r>
        <w:t xml:space="preserve">EU region and data residency not publicly verified</w:t>
      </w:r>
      <w:r>
        <w:t xml:space="preserve"> </w:t>
      </w:r>
      <w:r>
        <w:rPr>
          <w:rStyle w:val="ClaimLabel"/>
        </w:rPr>
        <w:t xml:space="preserve">NPV</w:t>
      </w:r>
    </w:p>
    <w:p>
      <w:pPr>
        <w:numPr>
          <w:ilvl w:val="0"/>
          <w:numId w:val="1014"/>
        </w:numPr>
        <w:pStyle w:val="Compact"/>
      </w:pPr>
      <w:r>
        <w:t xml:space="preserve">About two years old with very frequent releases</w:t>
      </w:r>
      <w:r>
        <w:t xml:space="preserve"> </w:t>
      </w:r>
      <w:r>
        <w:rPr>
          <w:rStyle w:val="ClaimLabel"/>
        </w:rPr>
        <w:t xml:space="preserve">VF</w:t>
      </w:r>
      <w:r>
        <w:rPr>
          <w:rStyle w:val="FootnoteReference"/>
        </w:rPr>
        <w:footnoteReference w:id="85"/>
      </w:r>
    </w:p>
    <w:p>
      <w:pPr>
        <w:pStyle w:val="FirstParagraph"/>
      </w:pPr>
      <w:r>
        <w:rPr>
          <w:bCs/>
          <w:b/>
        </w:rPr>
        <w:t xml:space="preserve">Choose when</w:t>
      </w:r>
    </w:p>
    <w:p>
      <w:pPr>
        <w:numPr>
          <w:ilvl w:val="0"/>
          <w:numId w:val="1015"/>
        </w:numPr>
        <w:pStyle w:val="Compact"/>
      </w:pPr>
      <w:r>
        <w:t xml:space="preserve">You want a fully Apache-2.0 platform with online evaluation and are willing to buy Comet Enterprise for user management</w:t>
      </w:r>
      <w:r>
        <w:t xml:space="preserve"> </w:t>
      </w:r>
      <w:r>
        <w:rPr>
          <w:rStyle w:val="ClaimLabel"/>
        </w:rPr>
        <w:t xml:space="preserve">AJ</w:t>
      </w:r>
    </w:p>
    <w:p>
      <w:pPr>
        <w:numPr>
          <w:ilvl w:val="0"/>
          <w:numId w:val="1015"/>
        </w:numPr>
        <w:pStyle w:val="Compact"/>
      </w:pPr>
      <w:r>
        <w:t xml:space="preserve">You already run Comet for ML experiment tracking</w:t>
      </w:r>
      <w:r>
        <w:t xml:space="preserve"> </w:t>
      </w:r>
      <w:r>
        <w:rPr>
          <w:rStyle w:val="ClaimLabel"/>
        </w:rPr>
        <w:t xml:space="preserve">AJ</w:t>
      </w:r>
    </w:p>
    <w:p>
      <w:pPr>
        <w:pStyle w:val="FirstParagraph"/>
      </w:pPr>
      <w:r>
        <w:rPr>
          <w:bCs/>
          <w:b/>
        </w:rPr>
        <w:t xml:space="preserve">Avoid when</w:t>
      </w:r>
    </w:p>
    <w:p>
      <w:pPr>
        <w:numPr>
          <w:ilvl w:val="0"/>
          <w:numId w:val="1016"/>
        </w:numPr>
        <w:pStyle w:val="Compact"/>
      </w:pPr>
      <w:r>
        <w:t xml:space="preserve">You plan to self-host the open-source edition for multiple teams without an identity layer</w:t>
      </w:r>
      <w:r>
        <w:t xml:space="preserve"> </w:t>
      </w:r>
      <w:r>
        <w:rPr>
          <w:rStyle w:val="ClaimLabel"/>
        </w:rPr>
        <w:t xml:space="preserve">AJ</w:t>
      </w:r>
    </w:p>
    <w:p>
      <w:pPr>
        <w:numPr>
          <w:ilvl w:val="0"/>
          <w:numId w:val="1016"/>
        </w:numPr>
        <w:pStyle w:val="Compact"/>
      </w:pPr>
      <w:r>
        <w:t xml:space="preserve">You need a verified EU SaaS region</w:t>
      </w:r>
      <w:r>
        <w:t xml:space="preserve"> </w:t>
      </w:r>
      <w:r>
        <w:rPr>
          <w:rStyle w:val="ClaimLabel"/>
        </w:rPr>
        <w:t xml:space="preserve">AJ</w:t>
      </w:r>
    </w:p>
    <w:p>
      <w:pPr>
        <w:pStyle w:val="FirstParagraph"/>
      </w:pPr>
      <w:r>
        <w:rPr>
          <w:bCs/>
          <w:b/>
        </w:rPr>
        <w:t xml:space="preserve">Nearest competitors:</w:t>
      </w:r>
      <w:r>
        <w:t xml:space="preserve"> </w:t>
      </w:r>
      <w:r>
        <w:t xml:space="preserve">L9-langfuse, L9-arize-phoenix, L9-mlflow-genai</w:t>
      </w:r>
    </w:p>
    <w:p>
      <w:pPr>
        <w:pStyle w:val="BodyText"/>
      </w:pPr>
      <w:r>
        <w:rPr>
          <w:bCs/>
          <w:b/>
        </w:rPr>
        <w:t xml:space="preserve">Regulated-FS note.</w:t>
      </w:r>
      <w:r>
        <w:t xml:space="preserve"> </w:t>
      </w:r>
      <w:r>
        <w:t xml:space="preserve">Self-host for residency, but only with Enterprise user management or a fronting identity proxy; without it the trace store has no access control or attribution</w:t>
      </w:r>
      <w:r>
        <w:t xml:space="preserve"> </w:t>
      </w:r>
      <w:r>
        <w:rPr>
          <w:rStyle w:val="ClaimLabel"/>
        </w:rPr>
        <w:t xml:space="preserve">AJ</w:t>
      </w:r>
      <w:r>
        <w:t xml:space="preserve">.</w:t>
      </w:r>
    </w:p>
    <w:p>
      <w:pPr>
        <w:pStyle w:val="BodyText"/>
      </w:pPr>
      <w:r>
        <w:rPr>
          <w:bCs/>
          <w:b/>
        </w:rPr>
        <w:t xml:space="preserve">Facts (as of 2026-10-07)</w:t>
      </w:r>
    </w:p>
    <w:tbl>
      <w:tblPr>
        <w:tblStyle w:val="Table"/>
        <w:tblW w:type="pct" w:w="5000"/>
        <w:tblLook w:firstRow="1" w:lastRow="0" w:firstColumn="0" w:lastColumn="0" w:noHBand="0" w:noVBand="0" w:val="0020"/>
        <w:jc w:val="start"/>
      </w:tblPr>
      <w:tblGrid>
        <w:gridCol w:w="1485"/>
        <w:gridCol w:w="4290"/>
        <w:gridCol w:w="1320"/>
        <w:gridCol w:w="825"/>
      </w:tblGrid>
      <w:tr>
        <w:trPr>
          <w:tblHeader w:val="true"/>
        </w:trPr>
        <w:tc>
          <w:tcPr/>
          <w:p>
            <w:pPr>
              <w:pStyle w:val="Compact"/>
              <w:jc w:val="left"/>
            </w:pPr>
            <w:r>
              <w:t xml:space="preserve">Field</w:t>
            </w:r>
          </w:p>
        </w:tc>
        <w:tc>
          <w:tcPr/>
          <w:p>
            <w:pPr>
              <w:pStyle w:val="Compact"/>
              <w:jc w:val="left"/>
            </w:pPr>
            <w:r>
              <w:t xml:space="preserve">Value</w:t>
            </w:r>
          </w:p>
        </w:tc>
        <w:tc>
          <w:tcPr/>
          <w:p>
            <w:pPr>
              <w:pStyle w:val="Compact"/>
              <w:jc w:val="left"/>
            </w:pPr>
            <w:r>
              <w:t xml:space="preserve">Label</w:t>
            </w:r>
          </w:p>
        </w:tc>
        <w:tc>
          <w:tcPr/>
          <w:p>
            <w:pPr>
              <w:pStyle w:val="Compact"/>
              <w:jc w:val="left"/>
            </w:pPr>
            <w:r>
              <w:t xml:space="preserve">Sources</w:t>
            </w:r>
          </w:p>
        </w:tc>
      </w:tr>
      <w:tr>
        <w:tc>
          <w:tcPr/>
          <w:p>
            <w:pPr>
              <w:pStyle w:val="Compact"/>
              <w:jc w:val="left"/>
            </w:pPr>
            <w:r>
              <w:t xml:space="preserve">Company</w:t>
            </w:r>
          </w:p>
        </w:tc>
        <w:tc>
          <w:tcPr/>
          <w:p>
            <w:pPr>
              <w:pStyle w:val="Compact"/>
              <w:jc w:val="left"/>
            </w:pPr>
            <w:r>
              <w:t xml:space="preserve">Comet ML, Inc. (Comet)</w:t>
            </w:r>
          </w:p>
        </w:tc>
        <w:tc>
          <w:tcPr/>
          <w:p>
            <w:pPr>
              <w:pStyle w:val="Compact"/>
              <w:jc w:val="left"/>
            </w:pPr>
            <w:r>
              <w:t xml:space="preserve">Verified fact</w:t>
            </w:r>
          </w:p>
        </w:tc>
        <w:tc>
          <w:tcPr/>
          <w:p>
            <w:pPr>
              <w:pStyle w:val="Compact"/>
              <w:jc w:val="left"/>
            </w:pPr>
            <w:r>
              <w:t xml:space="preserve">A1-S050, A1-S071, A1-S006</w:t>
            </w:r>
          </w:p>
        </w:tc>
      </w:tr>
      <w:tr>
        <w:tc>
          <w:tcPr/>
          <w:p>
            <w:pPr>
              <w:pStyle w:val="Compact"/>
              <w:jc w:val="left"/>
            </w:pPr>
            <w:r>
              <w:t xml:space="preserve">Category</w:t>
            </w:r>
          </w:p>
        </w:tc>
        <w:tc>
          <w:tcPr/>
          <w:p>
            <w:pPr>
              <w:pStyle w:val="Compact"/>
              <w:jc w:val="left"/>
            </w:pPr>
            <w:r>
              <w:t xml:space="preserve">Open-source LLM observability, evaluation, prompt/agent optimisation and guardrails platform</w:t>
            </w:r>
          </w:p>
        </w:tc>
        <w:tc>
          <w:tcPr/>
          <w:p>
            <w:pPr>
              <w:pStyle w:val="Compact"/>
              <w:jc w:val="left"/>
            </w:pPr>
            <w:r>
              <w:t xml:space="preserve">Verified fact</w:t>
            </w:r>
          </w:p>
        </w:tc>
        <w:tc>
          <w:tcPr/>
          <w:p>
            <w:pPr>
              <w:pStyle w:val="Compact"/>
              <w:jc w:val="left"/>
            </w:pPr>
            <w:r>
              <w:t xml:space="preserve">A1-S067</w:t>
            </w:r>
          </w:p>
        </w:tc>
      </w:tr>
      <w:tr>
        <w:tc>
          <w:tcPr/>
          <w:p>
            <w:pPr>
              <w:pStyle w:val="Compact"/>
              <w:jc w:val="left"/>
            </w:pPr>
            <w:r>
              <w:t xml:space="preserve">Version / lineup</w:t>
            </w:r>
          </w:p>
        </w:tc>
        <w:tc>
          <w:tcPr/>
          <w:p>
            <w:pPr>
              <w:pStyle w:val="Compact"/>
              <w:jc w:val="left"/>
            </w:pPr>
            <w:r>
              <w:t xml:space="preserve">opik 2.2.94 (Python SDK), released 7 October 2026</w:t>
            </w:r>
          </w:p>
        </w:tc>
        <w:tc>
          <w:tcPr/>
          <w:p>
            <w:pPr>
              <w:pStyle w:val="Compact"/>
              <w:jc w:val="left"/>
            </w:pPr>
            <w:r>
              <w:t xml:space="preserve">Verified fact</w:t>
            </w:r>
          </w:p>
        </w:tc>
        <w:tc>
          <w:tcPr/>
          <w:p>
            <w:pPr>
              <w:pStyle w:val="Compact"/>
              <w:jc w:val="left"/>
            </w:pPr>
            <w:r>
              <w:t xml:space="preserve">A1-S006</w:t>
            </w:r>
          </w:p>
        </w:tc>
      </w:tr>
      <w:tr>
        <w:tc>
          <w:tcPr/>
          <w:p>
            <w:pPr>
              <w:pStyle w:val="Compact"/>
              <w:jc w:val="left"/>
            </w:pPr>
            <w:r>
              <w:t xml:space="preserve">Licence</w:t>
            </w:r>
          </w:p>
        </w:tc>
        <w:tc>
          <w:tcPr/>
          <w:p>
            <w:pPr>
              <w:pStyle w:val="Compact"/>
              <w:jc w:val="left"/>
            </w:pPr>
            <w:r>
              <w:t xml:space="preserve">Apache-2.0 for the full platform (backend, UI, evaluation, online evaluation, optimiser)</w:t>
            </w:r>
          </w:p>
        </w:tc>
        <w:tc>
          <w:tcPr/>
          <w:p>
            <w:pPr>
              <w:pStyle w:val="Compact"/>
              <w:jc w:val="left"/>
            </w:pPr>
            <w:r>
              <w:t xml:space="preserve">Verified fact</w:t>
            </w:r>
          </w:p>
        </w:tc>
        <w:tc>
          <w:tcPr/>
          <w:p>
            <w:pPr>
              <w:pStyle w:val="Compact"/>
              <w:jc w:val="left"/>
            </w:pPr>
            <w:r>
              <w:t xml:space="preserve">A1-S050, A1-S067</w:t>
            </w:r>
          </w:p>
        </w:tc>
      </w:tr>
      <w:tr>
        <w:tc>
          <w:tcPr/>
          <w:p>
            <w:pPr>
              <w:pStyle w:val="Compact"/>
              <w:jc w:val="left"/>
            </w:pPr>
            <w:r>
              <w:t xml:space="preserve">Strategic direction</w:t>
            </w:r>
          </w:p>
        </w:tc>
        <w:tc>
          <w:tcPr/>
          <w:p>
            <w:pPr>
              <w:pStyle w:val="Compact"/>
              <w:jc w:val="left"/>
            </w:pPr>
            <w:r>
              <w:t xml:space="preserve">Agent Optimizer SDK, Opik Guardrails, online evaluation rules, MCP server; positioned as free-to-self-host alternative to platforms gating self-hosting behind Enterprise plans</w:t>
            </w:r>
          </w:p>
        </w:tc>
        <w:tc>
          <w:tcPr/>
          <w:p>
            <w:pPr>
              <w:pStyle w:val="Compact"/>
              <w:jc w:val="left"/>
            </w:pPr>
            <w:r>
              <w:t xml:space="preserve">Verified fact</w:t>
            </w:r>
          </w:p>
        </w:tc>
        <w:tc>
          <w:tcPr/>
          <w:p>
            <w:pPr>
              <w:pStyle w:val="Compact"/>
              <w:jc w:val="left"/>
            </w:pPr>
            <w:r>
              <w:t xml:space="preserve">A1-S067, A1-S072</w:t>
            </w:r>
          </w:p>
        </w:tc>
      </w:tr>
      <w:tr>
        <w:tc>
          <w:tcPr/>
          <w:p>
            <w:pPr>
              <w:pStyle w:val="Compact"/>
              <w:jc w:val="left"/>
            </w:pPr>
            <w:r>
              <w:t xml:space="preserve">What it does</w:t>
            </w:r>
          </w:p>
        </w:tc>
        <w:tc>
          <w:tcPr/>
          <w:p>
            <w:pPr>
              <w:pStyle w:val="Compact"/>
              <w:jc w:val="left"/>
            </w:pPr>
            <w:r>
              <w:t xml:space="preserve">Traces LLM calls and agent activity, runs datasets/experiments with LLM-as-a-judge metrics (hallucination, moderation, RAG), scores production traces with online evaluation rules, and provides dashboards, guardrails and prompt optimisation.</w:t>
            </w:r>
          </w:p>
        </w:tc>
        <w:tc>
          <w:tcPr/>
          <w:p>
            <w:pPr>
              <w:pStyle w:val="Compact"/>
              <w:jc w:val="left"/>
            </w:pPr>
            <w:r>
              <w:t xml:space="preserve">Verified fact</w:t>
            </w:r>
          </w:p>
        </w:tc>
        <w:tc>
          <w:tcPr/>
          <w:p>
            <w:pPr>
              <w:pStyle w:val="Compact"/>
              <w:jc w:val="left"/>
            </w:pPr>
            <w:r>
              <w:t xml:space="preserve">A1-S067, A1-S072</w:t>
            </w:r>
          </w:p>
        </w:tc>
      </w:tr>
      <w:tr>
        <w:tc>
          <w:tcPr/>
          <w:p>
            <w:pPr>
              <w:pStyle w:val="Compact"/>
              <w:jc w:val="left"/>
            </w:pPr>
            <w:r>
              <w:t xml:space="preserve">Stack position</w:t>
            </w:r>
          </w:p>
        </w:tc>
        <w:tc>
          <w:tcPr/>
          <w:p>
            <w:pPr>
              <w:pStyle w:val="Compact"/>
              <w:jc w:val="left"/>
            </w:pPr>
            <w:r>
              <w:t xml:space="preserve">Cross-cutting observability and evaluation; can run standalone or inside the Comet MLOps platform</w:t>
            </w:r>
          </w:p>
        </w:tc>
        <w:tc>
          <w:tcPr/>
          <w:p>
            <w:pPr>
              <w:pStyle w:val="Compact"/>
              <w:jc w:val="left"/>
            </w:pPr>
            <w:r>
              <w:t xml:space="preserve">Verified fact</w:t>
            </w:r>
          </w:p>
        </w:tc>
        <w:tc>
          <w:tcPr/>
          <w:p>
            <w:pPr>
              <w:pStyle w:val="Compact"/>
              <w:jc w:val="left"/>
            </w:pPr>
            <w:r>
              <w:t xml:space="preserve">A1-S071</w:t>
            </w:r>
          </w:p>
        </w:tc>
      </w:tr>
      <w:tr>
        <w:tc>
          <w:tcPr/>
          <w:p>
            <w:pPr>
              <w:pStyle w:val="Compact"/>
              <w:jc w:val="left"/>
            </w:pPr>
            <w:r>
              <w:t xml:space="preserve">Integration</w:t>
            </w:r>
          </w:p>
        </w:tc>
        <w:tc>
          <w:tcPr/>
          <w:p>
            <w:pPr>
              <w:pStyle w:val="Compact"/>
              <w:jc w:val="left"/>
            </w:pPr>
            <w:r>
              <w:t xml:space="preserve">Python and TypeScript SDKs, REST API, OpenTelemetry (HTTP transport only), PyTest integration for CI, MCP server</w:t>
            </w:r>
          </w:p>
        </w:tc>
        <w:tc>
          <w:tcPr/>
          <w:p>
            <w:pPr>
              <w:pStyle w:val="Compact"/>
              <w:jc w:val="left"/>
            </w:pPr>
            <w:r>
              <w:t xml:space="preserve">Verified fact</w:t>
            </w:r>
          </w:p>
        </w:tc>
        <w:tc>
          <w:tcPr/>
          <w:p>
            <w:pPr>
              <w:pStyle w:val="Compact"/>
              <w:jc w:val="left"/>
            </w:pPr>
            <w:r>
              <w:t xml:space="preserve">A1-S067, A1-S070</w:t>
            </w:r>
          </w:p>
        </w:tc>
      </w:tr>
      <w:tr>
        <w:tc>
          <w:tcPr/>
          <w:p>
            <w:pPr>
              <w:pStyle w:val="Compact"/>
              <w:jc w:val="left"/>
            </w:pPr>
            <w:r>
              <w:t xml:space="preserve">Dependencies</w:t>
            </w:r>
          </w:p>
        </w:tc>
        <w:tc>
          <w:tcPr/>
          <w:p>
            <w:pPr>
              <w:pStyle w:val="Compact"/>
              <w:jc w:val="left"/>
            </w:pPr>
            <w:r>
              <w:t xml:space="preserve">Self-host via local Docker install (not production-ready) or Kubernetes/Helm; ClickHouse cold-tier and backup guides exist</w:t>
            </w:r>
          </w:p>
        </w:tc>
        <w:tc>
          <w:tcPr/>
          <w:p>
            <w:pPr>
              <w:pStyle w:val="Compact"/>
              <w:jc w:val="left"/>
            </w:pPr>
            <w:r>
              <w:t xml:space="preserve">Verified fact</w:t>
            </w:r>
          </w:p>
        </w:tc>
        <w:tc>
          <w:tcPr/>
          <w:p>
            <w:pPr>
              <w:pStyle w:val="Compact"/>
              <w:jc w:val="left"/>
            </w:pPr>
            <w:r>
              <w:t xml:space="preserve">A1-S069, A1-S067</w:t>
            </w:r>
          </w:p>
        </w:tc>
      </w:tr>
      <w:tr>
        <w:tc>
          <w:tcPr/>
          <w:p>
            <w:pPr>
              <w:pStyle w:val="Compact"/>
              <w:jc w:val="left"/>
            </w:pPr>
            <w:r>
              <w:t xml:space="preserve">Certifications</w:t>
            </w:r>
          </w:p>
        </w:tc>
        <w:tc>
          <w:tcPr/>
          <w:p>
            <w:pPr>
              <w:pStyle w:val="Compact"/>
              <w:jc w:val="left"/>
            </w:pPr>
            <w:r>
              <w:t xml:space="preserve">Comet Trust Center: SOC 2 Type 2, ISO/IEC 27001:2022, ISO 9001:2015; HIPAA and GDPR listed as Enterprise-plan features (not certifications)</w:t>
            </w:r>
          </w:p>
        </w:tc>
        <w:tc>
          <w:tcPr/>
          <w:p>
            <w:pPr>
              <w:pStyle w:val="Compact"/>
              <w:jc w:val="left"/>
            </w:pPr>
            <w:r>
              <w:t xml:space="preserve">Verified fact</w:t>
            </w:r>
          </w:p>
        </w:tc>
        <w:tc>
          <w:tcPr/>
          <w:p>
            <w:pPr>
              <w:pStyle w:val="Compact"/>
              <w:jc w:val="left"/>
            </w:pPr>
            <w:r>
              <w:t xml:space="preserve">A1-S122</w:t>
            </w:r>
          </w:p>
        </w:tc>
      </w:tr>
      <w:tr>
        <w:tc>
          <w:tcPr/>
          <w:p>
            <w:pPr>
              <w:pStyle w:val="Compact"/>
              <w:jc w:val="left"/>
            </w:pPr>
            <w:r>
              <w:t xml:space="preserve">GDPR / residency</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Security features</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Access controls</w:t>
            </w:r>
          </w:p>
        </w:tc>
        <w:tc>
          <w:tcPr/>
          <w:p>
            <w:pPr>
              <w:pStyle w:val="Compact"/>
              <w:jc w:val="left"/>
            </w:pPr>
            <w:r>
              <w:t xml:space="preserve">Self-hosted open source has no user management; Enterprise adds SSO and service accounts</w:t>
            </w:r>
          </w:p>
        </w:tc>
        <w:tc>
          <w:tcPr/>
          <w:p>
            <w:pPr>
              <w:pStyle w:val="Compact"/>
              <w:jc w:val="left"/>
            </w:pPr>
            <w:r>
              <w:t xml:space="preserve">Verified fact</w:t>
            </w:r>
          </w:p>
        </w:tc>
        <w:tc>
          <w:tcPr/>
          <w:p>
            <w:pPr>
              <w:pStyle w:val="Compact"/>
              <w:jc w:val="left"/>
            </w:pPr>
            <w:r>
              <w:t xml:space="preserve">A1-S069, A1-S122, A1-S123</w:t>
            </w:r>
          </w:p>
        </w:tc>
      </w:tr>
      <w:tr>
        <w:tc>
          <w:tcPr/>
          <w:p>
            <w:pPr>
              <w:pStyle w:val="Compact"/>
              <w:jc w:val="left"/>
            </w:pPr>
            <w:r>
              <w:t xml:space="preserve">Enterprise support</w:t>
            </w:r>
          </w:p>
        </w:tc>
        <w:tc>
          <w:tcPr/>
          <w:p>
            <w:pPr>
              <w:pStyle w:val="Compact"/>
              <w:jc w:val="left"/>
            </w:pPr>
            <w:r>
              <w:t xml:space="preserve">Enterprise plan: dedicated support and SLAs, flexible deployments</w:t>
            </w:r>
          </w:p>
        </w:tc>
        <w:tc>
          <w:tcPr/>
          <w:p>
            <w:pPr>
              <w:pStyle w:val="Compact"/>
              <w:jc w:val="left"/>
            </w:pPr>
            <w:r>
              <w:t xml:space="preserve">Verified fact</w:t>
            </w:r>
          </w:p>
        </w:tc>
        <w:tc>
          <w:tcPr/>
          <w:p>
            <w:pPr>
              <w:pStyle w:val="Compact"/>
              <w:jc w:val="left"/>
            </w:pPr>
            <w:r>
              <w:t xml:space="preserve">A1-S122, A1-S123</w:t>
            </w:r>
          </w:p>
        </w:tc>
      </w:tr>
      <w:tr>
        <w:tc>
          <w:tcPr/>
          <w:p>
            <w:pPr>
              <w:pStyle w:val="Compact"/>
              <w:jc w:val="left"/>
            </w:pPr>
            <w:r>
              <w:t xml:space="preserve">Pricing</w:t>
            </w:r>
          </w:p>
        </w:tc>
        <w:tc>
          <w:tcPr/>
          <w:p>
            <w:pPr>
              <w:pStyle w:val="Compact"/>
              <w:jc w:val="left"/>
            </w:pPr>
            <w:r>
              <w:t xml:space="preserve">Self-hosted free; Free cloud (25k spans/month, 10 members, 60-day retention); Pro Cloud US$19/month (100k spans, 50 members); Enterprise custom</w:t>
            </w:r>
          </w:p>
        </w:tc>
        <w:tc>
          <w:tcPr/>
          <w:p>
            <w:pPr>
              <w:pStyle w:val="Compact"/>
              <w:jc w:val="left"/>
            </w:pPr>
            <w:r>
              <w:t xml:space="preserve">Verified fact</w:t>
            </w:r>
          </w:p>
        </w:tc>
        <w:tc>
          <w:tcPr/>
          <w:p>
            <w:pPr>
              <w:pStyle w:val="Compact"/>
              <w:jc w:val="left"/>
            </w:pPr>
            <w:r>
              <w:t xml:space="preserve">A1-S123, A1-S067</w:t>
            </w:r>
          </w:p>
        </w:tc>
      </w:tr>
      <w:tr>
        <w:tc>
          <w:tcPr/>
          <w:p>
            <w:pPr>
              <w:pStyle w:val="Compact"/>
              <w:jc w:val="left"/>
            </w:pPr>
            <w:r>
              <w:t xml:space="preserve">Infrastructure cost</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Ecosystem</w:t>
            </w:r>
          </w:p>
        </w:tc>
        <w:tc>
          <w:tcPr/>
          <w:p>
            <w:pPr>
              <w:pStyle w:val="Compact"/>
              <w:jc w:val="left"/>
            </w:pPr>
            <w:r>
              <w:t xml:space="preserve">Integrations incl. Google ADK, Autogen, Flowise AI, Cloudflare Workers AI and OpenTelemetry</w:t>
            </w:r>
          </w:p>
        </w:tc>
        <w:tc>
          <w:tcPr/>
          <w:p>
            <w:pPr>
              <w:pStyle w:val="Compact"/>
              <w:jc w:val="left"/>
            </w:pPr>
            <w:r>
              <w:t xml:space="preserve">Verified fact</w:t>
            </w:r>
          </w:p>
        </w:tc>
        <w:tc>
          <w:tcPr/>
          <w:p>
            <w:pPr>
              <w:pStyle w:val="Compact"/>
              <w:jc w:val="left"/>
            </w:pPr>
            <w:r>
              <w:t xml:space="preserve">A1-S067</w:t>
            </w:r>
          </w:p>
        </w:tc>
      </w:tr>
      <w:tr>
        <w:tc>
          <w:tcPr/>
          <w:p>
            <w:pPr>
              <w:pStyle w:val="Compact"/>
              <w:jc w:val="left"/>
            </w:pPr>
            <w:r>
              <w:t xml:space="preserve">Adoption signals</w:t>
            </w:r>
          </w:p>
        </w:tc>
        <w:tc>
          <w:tcPr/>
          <w:p>
            <w:pPr>
              <w:pStyle w:val="Compact"/>
              <w:jc w:val="left"/>
            </w:pPr>
            <w:r>
              <w:t xml:space="preserve">20,000+ GitHub stars (vendor README); claims scale of 40M+ traces/day</w:t>
            </w:r>
          </w:p>
        </w:tc>
        <w:tc>
          <w:tcPr/>
          <w:p>
            <w:pPr>
              <w:pStyle w:val="Compact"/>
              <w:jc w:val="left"/>
            </w:pPr>
            <w:r>
              <w:t xml:space="preserve">Verified fact</w:t>
            </w:r>
          </w:p>
        </w:tc>
        <w:tc>
          <w:tcPr/>
          <w:p>
            <w:pPr>
              <w:pStyle w:val="Compact"/>
              <w:jc w:val="left"/>
            </w:pPr>
            <w:r>
              <w:t xml:space="preserve">A1-S067</w:t>
            </w:r>
          </w:p>
        </w:tc>
      </w:tr>
      <w:tr>
        <w:tc>
          <w:tcPr/>
          <w:p>
            <w:pPr>
              <w:pStyle w:val="Compact"/>
              <w:jc w:val="left"/>
            </w:pPr>
            <w:r>
              <w:t xml:space="preserve">Maturity</w:t>
            </w:r>
          </w:p>
        </w:tc>
        <w:tc>
          <w:tcPr/>
          <w:p>
            <w:pPr>
              <w:pStyle w:val="Compact"/>
              <w:jc w:val="left"/>
            </w:pPr>
            <w:r>
              <w:t xml:space="preserve">First PyPI release 2 September 2024; 635 releases to 7 October 2026</w:t>
            </w:r>
          </w:p>
        </w:tc>
        <w:tc>
          <w:tcPr/>
          <w:p>
            <w:pPr>
              <w:pStyle w:val="Compact"/>
              <w:jc w:val="left"/>
            </w:pPr>
            <w:r>
              <w:t xml:space="preserve">Verified fact</w:t>
            </w:r>
          </w:p>
        </w:tc>
        <w:tc>
          <w:tcPr/>
          <w:p>
            <w:pPr>
              <w:pStyle w:val="Compact"/>
              <w:jc w:val="left"/>
            </w:pPr>
            <w:r>
              <w:t xml:space="preserve">A1-S006</w:t>
            </w:r>
          </w:p>
        </w:tc>
      </w:tr>
      <w:tr>
        <w:tc>
          <w:tcPr/>
          <w:p>
            <w:pPr>
              <w:pStyle w:val="Compact"/>
              <w:jc w:val="left"/>
            </w:pPr>
            <w:r>
              <w:t xml:space="preserve">Deployment</w:t>
            </w:r>
          </w:p>
        </w:tc>
        <w:tc>
          <w:tcPr/>
          <w:p>
            <w:pPr>
              <w:pStyle w:val="Compact"/>
              <w:jc w:val="left"/>
            </w:pPr>
            <w:r>
              <w:t xml:space="preserve">saas: Yes (Comet-hosted); managed_cloud: Not publicly verified; vpc_byoc: Not publicly verified; private_cloud: Yes; self_hosted: Yes; on_prem: Yes (as part of self-hosted Comet platform)</w:t>
            </w:r>
          </w:p>
        </w:tc>
        <w:tc>
          <w:tcPr/>
          <w:p>
            <w:pPr>
              <w:pStyle w:val="Compact"/>
            </w:pPr>
          </w:p>
        </w:tc>
        <w:tc>
          <w:tcPr/>
          <w:p>
            <w:pPr>
              <w:pStyle w:val="Compact"/>
            </w:pPr>
          </w:p>
        </w:tc>
      </w:tr>
    </w:tbl>
    <w:bookmarkEnd w:id="87"/>
    <w:bookmarkStart w:id="102" w:name="arize-ax-l9-arize-ax"/>
    <w:p>
      <w:pPr>
        <w:pStyle w:val="Heading2"/>
      </w:pPr>
      <w:r>
        <w:t xml:space="preserve">Arize AX (</w:t>
      </w:r>
      <w:r>
        <w:rPr>
          <w:rStyle w:val="VerbatimChar"/>
        </w:rPr>
        <w:t xml:space="preserve">L9-arize-ax</w:t>
      </w:r>
      <w:r>
        <w:t xml:space="preserve">)</w:t>
      </w:r>
    </w:p>
    <w:p>
      <w:pPr>
        <w:pStyle w:val="FirstParagraph"/>
      </w:pPr>
      <w:r>
        <w:rPr>
          <w:bCs/>
          <w:b/>
        </w:rPr>
        <w:t xml:space="preserve">Tier:</w:t>
      </w:r>
      <w:r>
        <w:t xml:space="preserve"> </w:t>
      </w:r>
      <w:r>
        <w:t xml:space="preserve">Tactical ·</w:t>
      </w:r>
      <w:r>
        <w:t xml:space="preserve"> </w:t>
      </w:r>
      <w:r>
        <w:rPr>
          <w:bCs/>
          <w:b/>
        </w:rPr>
        <w:t xml:space="preserve">Flags:</w:t>
      </w:r>
      <w:r>
        <w:t xml:space="preserve"> </w:t>
      </w:r>
      <w:r>
        <w:t xml:space="preserve">Acquired, Duplicated ·</w:t>
      </w:r>
      <w:r>
        <w:t xml:space="preserve"> </w:t>
      </w:r>
      <w:r>
        <w:rPr>
          <w:bCs/>
          <w:b/>
        </w:rPr>
        <w:t xml:space="preserve">Original graphic label:</w:t>
      </w:r>
      <w:r>
        <w:t xml:space="preserve"> </w:t>
      </w:r>
      <w:r>
        <w:t xml:space="preserve">Arize – RAG metrics</w:t>
      </w:r>
    </w:p>
    <w:p>
      <w:pPr>
        <w:pStyle w:val="BodyText"/>
      </w:pPr>
      <w:r>
        <w:rPr>
          <w:iCs/>
          <w:i/>
        </w:rPr>
        <w:t xml:space="preserve">Rationale:</w:t>
      </w:r>
      <w:r>
        <w:t xml:space="preserve"> </w:t>
      </w:r>
      <w:r>
        <w:t xml:space="preserve">Technically strong and FS-deployable, but acquired seven days ago with a convergence roadmap; re-assess for Strategic once Dynatrace publishes product plans</w:t>
      </w:r>
      <w:r>
        <w:t xml:space="preserve"> </w:t>
      </w:r>
      <w:r>
        <w:rPr>
          <w:rStyle w:val="ClaimLabel"/>
        </w:rPr>
        <w:t xml:space="preserve">AJ</w:t>
      </w:r>
      <w:r>
        <w:t xml:space="preserve">.</w:t>
      </w:r>
    </w:p>
    <w:tbl>
      <w:tblPr>
        <w:tblStyle w:val="Table"/>
        <w:tblW w:type="pct" w:w="5000"/>
        <w:tblLook w:firstRow="1" w:lastRow="0" w:firstColumn="0" w:lastColumn="0" w:noHBand="0" w:noVBand="0" w:val="0020"/>
        <w:jc w:val="start"/>
      </w:tblPr>
      <w:tblGrid>
        <w:gridCol w:w="1545"/>
        <w:gridCol w:w="579"/>
        <w:gridCol w:w="5795"/>
      </w:tblGrid>
      <w:tr>
        <w:trPr>
          <w:tblHeader w:val="true"/>
        </w:trPr>
        <w:tc>
          <w:tcPr/>
          <w:p>
            <w:pPr>
              <w:pStyle w:val="Compact"/>
              <w:jc w:val="left"/>
            </w:pPr>
            <w:r>
              <w:t xml:space="preserve">Criterion</w:t>
            </w:r>
          </w:p>
        </w:tc>
        <w:tc>
          <w:tcPr/>
          <w:p>
            <w:pPr>
              <w:pStyle w:val="Compact"/>
              <w:jc w:val="right"/>
            </w:pPr>
            <w:r>
              <w:t xml:space="preserve">Score</w:t>
            </w:r>
          </w:p>
        </w:tc>
        <w:tc>
          <w:tcPr/>
          <w:p>
            <w:pPr>
              <w:pStyle w:val="Compact"/>
              <w:jc w:val="left"/>
            </w:pPr>
            <w:r>
              <w:t xml:space="preserve">Rationale</w:t>
            </w:r>
          </w:p>
        </w:tc>
      </w:tr>
      <w:tr>
        <w:tc>
          <w:tcPr/>
          <w:p>
            <w:pPr>
              <w:pStyle w:val="Compact"/>
              <w:jc w:val="left"/>
            </w:pPr>
            <w:r>
              <w:t xml:space="preserve">Technical</w:t>
            </w:r>
          </w:p>
        </w:tc>
        <w:tc>
          <w:tcPr/>
          <w:p>
            <w:pPr>
              <w:pStyle w:val="Compact"/>
              <w:jc w:val="right"/>
            </w:pPr>
            <w:r>
              <w:t xml:space="preserve">4</w:t>
            </w:r>
          </w:p>
        </w:tc>
        <w:tc>
          <w:tcPr/>
          <w:p>
            <w:pPr>
              <w:pStyle w:val="Compact"/>
              <w:jc w:val="left"/>
            </w:pPr>
            <w:r>
              <w:t xml:space="preserve">Online and offline evals, monitoring, alerting and failure-pattern grouping at volume; red-teaming not native.</w:t>
            </w:r>
          </w:p>
        </w:tc>
      </w:tr>
      <w:tr>
        <w:tc>
          <w:tcPr/>
          <w:p>
            <w:pPr>
              <w:pStyle w:val="Compact"/>
              <w:jc w:val="left"/>
            </w:pPr>
            <w:r>
              <w:t xml:space="preserve">Enterprise readiness</w:t>
            </w:r>
          </w:p>
        </w:tc>
        <w:tc>
          <w:tcPr/>
          <w:p>
            <w:pPr>
              <w:pStyle w:val="Compact"/>
              <w:jc w:val="right"/>
            </w:pPr>
            <w:r>
              <w:t xml:space="preserve">4</w:t>
            </w:r>
          </w:p>
        </w:tc>
        <w:tc>
          <w:tcPr/>
          <w:p>
            <w:pPr>
              <w:pStyle w:val="Compact"/>
              <w:jc w:val="left"/>
            </w:pPr>
            <w:r>
              <w:t xml:space="preserve">SAML SSO, RBAC, audit trails, multi-tenancy, SLAs; SCIM not documented in the fact base.</w:t>
            </w:r>
          </w:p>
        </w:tc>
      </w:tr>
      <w:tr>
        <w:tc>
          <w:tcPr/>
          <w:p>
            <w:pPr>
              <w:pStyle w:val="Compact"/>
              <w:jc w:val="left"/>
            </w:pPr>
            <w:r>
              <w:t xml:space="preserve">Security and compliance</w:t>
            </w:r>
          </w:p>
        </w:tc>
        <w:tc>
          <w:tcPr/>
          <w:p>
            <w:pPr>
              <w:pStyle w:val="Compact"/>
              <w:jc w:val="right"/>
            </w:pPr>
            <w:r>
              <w:t xml:space="preserve">4</w:t>
            </w:r>
          </w:p>
        </w:tc>
        <w:tc>
          <w:tcPr/>
          <w:p>
            <w:pPr>
              <w:pStyle w:val="Compact"/>
              <w:jc w:val="left"/>
            </w:pPr>
            <w:r>
              <w:t xml:space="preserve">SOC 2 Type II, PCI DSS 4.0, HIPAA, EU region and self-host; ISO 27001 unconfirmed on the official compliance page, so 4.</w:t>
            </w:r>
          </w:p>
        </w:tc>
      </w:tr>
      <w:tr>
        <w:tc>
          <w:tcPr/>
          <w:p>
            <w:pPr>
              <w:pStyle w:val="Compact"/>
              <w:jc w:val="left"/>
            </w:pPr>
            <w:r>
              <w:t xml:space="preserve">Deployment flexibility</w:t>
            </w:r>
          </w:p>
        </w:tc>
        <w:tc>
          <w:tcPr/>
          <w:p>
            <w:pPr>
              <w:pStyle w:val="Compact"/>
              <w:jc w:val="right"/>
            </w:pPr>
            <w:r>
              <w:t xml:space="preserve">5</w:t>
            </w:r>
          </w:p>
        </w:tc>
        <w:tc>
          <w:tcPr/>
          <w:p>
            <w:pPr>
              <w:pStyle w:val="Compact"/>
              <w:jc w:val="left"/>
            </w:pPr>
            <w:r>
              <w:t xml:space="preserve">SaaS, VPC, customer-managed cloud, self-host and air-gap.</w:t>
            </w:r>
          </w:p>
        </w:tc>
      </w:tr>
      <w:tr>
        <w:tc>
          <w:tcPr/>
          <w:p>
            <w:pPr>
              <w:pStyle w:val="Compact"/>
              <w:jc w:val="left"/>
            </w:pPr>
            <w:r>
              <w:t xml:space="preserve">Ecosystem</w:t>
            </w:r>
          </w:p>
        </w:tc>
        <w:tc>
          <w:tcPr/>
          <w:p>
            <w:pPr>
              <w:pStyle w:val="Compact"/>
              <w:jc w:val="right"/>
            </w:pPr>
            <w:r>
              <w:t xml:space="preserve">4</w:t>
            </w:r>
          </w:p>
        </w:tc>
        <w:tc>
          <w:tcPr/>
          <w:p>
            <w:pPr>
              <w:pStyle w:val="Compact"/>
              <w:jc w:val="left"/>
            </w:pPr>
            <w:r>
              <w:t xml:space="preserve">OpenInference catalogue shared with Phoenix; increasingly tied to Dynatrace.</w:t>
            </w:r>
          </w:p>
        </w:tc>
      </w:tr>
      <w:tr>
        <w:tc>
          <w:tcPr/>
          <w:p>
            <w:pPr>
              <w:pStyle w:val="Compact"/>
              <w:jc w:val="left"/>
            </w:pPr>
            <w:r>
              <w:t xml:space="preserve">Reliability and maturity</w:t>
            </w:r>
          </w:p>
        </w:tc>
        <w:tc>
          <w:tcPr/>
          <w:p>
            <w:pPr>
              <w:pStyle w:val="Compact"/>
              <w:jc w:val="right"/>
            </w:pPr>
            <w:r>
              <w:t xml:space="preserve">3</w:t>
            </w:r>
          </w:p>
        </w:tc>
        <w:tc>
          <w:tcPr/>
          <w:p>
            <w:pPr>
              <w:pStyle w:val="Compact"/>
              <w:jc w:val="left"/>
            </w:pPr>
            <w:r>
              <w:t xml:space="preserve">Commercial since 2020, but ownership changed on 1 October 2026 with platform convergence planned.</w:t>
            </w:r>
          </w:p>
        </w:tc>
      </w:tr>
      <w:tr>
        <w:tc>
          <w:tcPr/>
          <w:p>
            <w:pPr>
              <w:pStyle w:val="Compact"/>
              <w:jc w:val="left"/>
            </w:pPr>
            <w:r>
              <w:t xml:space="preserve">Cost / TCO</w:t>
            </w:r>
          </w:p>
        </w:tc>
        <w:tc>
          <w:tcPr/>
          <w:p>
            <w:pPr>
              <w:pStyle w:val="Compact"/>
              <w:jc w:val="right"/>
            </w:pPr>
            <w:r>
              <w:t xml:space="preserve">3</w:t>
            </w:r>
          </w:p>
        </w:tc>
        <w:tc>
          <w:tcPr/>
          <w:p>
            <w:pPr>
              <w:pStyle w:val="Compact"/>
              <w:jc w:val="left"/>
            </w:pPr>
            <w:r>
              <w:t xml:space="preserve">Transparent Free and Pro tiers, no per-seat charges; Enterprise custom.</w:t>
            </w:r>
          </w:p>
        </w:tc>
      </w:tr>
      <w:tr>
        <w:tc>
          <w:tcPr/>
          <w:p>
            <w:pPr>
              <w:pStyle w:val="Compact"/>
              <w:jc w:val="left"/>
            </w:pPr>
            <w:r>
              <w:t xml:space="preserve">Lock-in / portability</w:t>
            </w:r>
          </w:p>
        </w:tc>
        <w:tc>
          <w:tcPr/>
          <w:p>
            <w:pPr>
              <w:pStyle w:val="Compact"/>
              <w:jc w:val="right"/>
            </w:pPr>
            <w:r>
              <w:t xml:space="preserve">2</w:t>
            </w:r>
          </w:p>
        </w:tc>
        <w:tc>
          <w:tcPr/>
          <w:p>
            <w:pPr>
              <w:pStyle w:val="Compact"/>
              <w:jc w:val="left"/>
            </w:pPr>
            <w:r>
              <w:t xml:space="preserve">Base 3 (proprietary backend on portable instrumentation) reduced by 1 for the 2026 ownership change.</w:t>
            </w:r>
          </w:p>
        </w:tc>
      </w:tr>
      <w:tr>
        <w:tc>
          <w:tcPr/>
          <w:p>
            <w:pPr>
              <w:pStyle w:val="Compact"/>
              <w:jc w:val="left"/>
            </w:pPr>
            <w:r>
              <w:rPr>
                <w:bCs/>
                <w:b/>
              </w:rPr>
              <w:t xml:space="preserve">Total (generic / FS)</w:t>
            </w:r>
          </w:p>
        </w:tc>
        <w:tc>
          <w:tcPr/>
          <w:p>
            <w:pPr>
              <w:pStyle w:val="Compact"/>
              <w:jc w:val="right"/>
            </w:pPr>
            <w:r>
              <w:rPr>
                <w:bCs/>
                <w:b/>
              </w:rPr>
              <w:t xml:space="preserve">3.85 / 3.70</w:t>
            </w:r>
          </w:p>
        </w:tc>
        <w:tc>
          <w:tcPr/>
          <w:p>
            <w:pPr>
              <w:pStyle w:val="Compact"/>
            </w:pPr>
          </w:p>
        </w:tc>
      </w:tr>
    </w:tbl>
    <w:p>
      <w:pPr>
        <w:pStyle w:val="BodyText"/>
      </w:pPr>
      <w:r>
        <w:rPr>
          <w:bCs/>
          <w:b/>
        </w:rPr>
        <w:t xml:space="preserve">Capabilities.</w:t>
      </w:r>
      <w:r>
        <w:t xml:space="preserve"> </w:t>
      </w:r>
      <w:r>
        <w:t xml:space="preserve">Commercial agent observability and evaluation: managed tracing, online and offline evaluation, monitoring and alerting at high volume, managed evaluation compute, multi-tenancy via organisations and spaces, and Signal, a scheduled worker that groups recurring failure patterns into issues</w:t>
      </w:r>
      <w:r>
        <w:t xml:space="preserve"> </w:t>
      </w:r>
      <w:r>
        <w:rPr>
          <w:rStyle w:val="ClaimLabel"/>
        </w:rPr>
        <w:t xml:space="preserve">VF</w:t>
      </w:r>
      <w:r>
        <w:rPr>
          <w:rStyle w:val="FootnoteReference"/>
        </w:rPr>
        <w:footnoteReference w:id="88"/>
      </w:r>
      <w:r>
        <w:t xml:space="preserve">.</w:t>
      </w:r>
    </w:p>
    <w:p>
      <w:pPr>
        <w:pStyle w:val="BodyText"/>
      </w:pPr>
      <w:r>
        <w:rPr>
          <w:bCs/>
          <w:b/>
        </w:rPr>
        <w:t xml:space="preserve">Strengths</w:t>
      </w:r>
    </w:p>
    <w:p>
      <w:pPr>
        <w:numPr>
          <w:ilvl w:val="0"/>
          <w:numId w:val="1017"/>
        </w:numPr>
        <w:pStyle w:val="Compact"/>
      </w:pPr>
      <w:r>
        <w:t xml:space="preserve">Same OTel/OpenInference instrumentation as Phoenix, with a documented Phoenix-to-AX migration by dual-writing</w:t>
      </w:r>
      <w:r>
        <w:t xml:space="preserve"> </w:t>
      </w:r>
      <w:r>
        <w:rPr>
          <w:rStyle w:val="ClaimLabel"/>
        </w:rPr>
        <w:t xml:space="preserve">VF</w:t>
      </w:r>
      <w:r>
        <w:rPr>
          <w:rStyle w:val="FootnoteReference"/>
        </w:rPr>
        <w:footnoteReference w:id="91"/>
      </w:r>
    </w:p>
    <w:p>
      <w:pPr>
        <w:numPr>
          <w:ilvl w:val="0"/>
          <w:numId w:val="1017"/>
        </w:numPr>
        <w:pStyle w:val="Compact"/>
      </w:pPr>
      <w:r>
        <w:t xml:space="preserve">SaaS, VPC, customer-managed cloud, self-hosted and air-gapped deployment</w:t>
      </w:r>
      <w:r>
        <w:t xml:space="preserve"> </w:t>
      </w:r>
      <w:r>
        <w:rPr>
          <w:rStyle w:val="ClaimLabel"/>
        </w:rPr>
        <w:t xml:space="preserve">VF</w:t>
      </w:r>
      <w:r>
        <w:rPr>
          <w:rStyle w:val="FootnoteReference"/>
        </w:rPr>
        <w:footnoteReference w:id="93"/>
      </w:r>
    </w:p>
    <w:p>
      <w:pPr>
        <w:numPr>
          <w:ilvl w:val="0"/>
          <w:numId w:val="1017"/>
        </w:numPr>
        <w:pStyle w:val="Compact"/>
      </w:pPr>
      <w:r>
        <w:t xml:space="preserve">SAML SSO with RBAC mapping, audit trails, dedicated support and SLAs on Enterprise</w:t>
      </w:r>
      <w:r>
        <w:t xml:space="preserve"> </w:t>
      </w:r>
      <w:r>
        <w:rPr>
          <w:rStyle w:val="ClaimLabel"/>
        </w:rPr>
        <w:t xml:space="preserve">VF</w:t>
      </w:r>
      <w:r>
        <w:rPr>
          <w:rStyle w:val="FootnoteReference"/>
        </w:rPr>
        <w:footnoteReference w:id="94"/>
      </w:r>
    </w:p>
    <w:p>
      <w:pPr>
        <w:numPr>
          <w:ilvl w:val="0"/>
          <w:numId w:val="1017"/>
        </w:numPr>
        <w:pStyle w:val="Compact"/>
      </w:pPr>
      <w:r>
        <w:t xml:space="preserve">SOC 2 Type II, PCI DSS 4.0 Level 1, HIPAA (Enterprise) and an EU data region in Belgium</w:t>
      </w:r>
      <w:r>
        <w:t xml:space="preserve"> </w:t>
      </w:r>
      <w:r>
        <w:rPr>
          <w:rStyle w:val="ClaimLabel"/>
        </w:rPr>
        <w:t xml:space="preserve">VF</w:t>
      </w:r>
      <w:r>
        <w:rPr>
          <w:rStyle w:val="FootnoteReference"/>
        </w:rPr>
        <w:footnoteReference w:id="96"/>
      </w:r>
    </w:p>
    <w:p>
      <w:pPr>
        <w:pStyle w:val="FirstParagraph"/>
      </w:pPr>
      <w:r>
        <w:rPr>
          <w:bCs/>
          <w:b/>
        </w:rPr>
        <w:t xml:space="preserve">Limitations and risks</w:t>
      </w:r>
    </w:p>
    <w:p>
      <w:pPr>
        <w:numPr>
          <w:ilvl w:val="0"/>
          <w:numId w:val="1018"/>
        </w:numPr>
        <w:pStyle w:val="Compact"/>
      </w:pPr>
      <w:r>
        <w:t xml:space="preserve">Dynatrace completed the acquisition on 1 October 2026 and plans to converge the product into its platform</w:t>
      </w:r>
      <w:r>
        <w:t xml:space="preserve"> </w:t>
      </w:r>
      <w:r>
        <w:rPr>
          <w:rStyle w:val="ClaimLabel"/>
        </w:rPr>
        <w:t xml:space="preserve">VF</w:t>
      </w:r>
      <w:r>
        <w:rPr>
          <w:rStyle w:val="FootnoteReference"/>
        </w:rPr>
        <w:footnoteReference w:id="97"/>
      </w:r>
    </w:p>
    <w:p>
      <w:pPr>
        <w:numPr>
          <w:ilvl w:val="0"/>
          <w:numId w:val="1018"/>
        </w:numPr>
        <w:pStyle w:val="Compact"/>
      </w:pPr>
      <w:r>
        <w:t xml:space="preserve">Runs on the proprietary adb OLAP database</w:t>
      </w:r>
      <w:r>
        <w:t xml:space="preserve"> </w:t>
      </w:r>
      <w:r>
        <w:rPr>
          <w:rStyle w:val="ClaimLabel"/>
        </w:rPr>
        <w:t xml:space="preserve">VF</w:t>
      </w:r>
      <w:r>
        <w:rPr>
          <w:rStyle w:val="FootnoteReference"/>
        </w:rPr>
        <w:footnoteReference w:id="99"/>
      </w:r>
    </w:p>
    <w:p>
      <w:pPr>
        <w:numPr>
          <w:ilvl w:val="0"/>
          <w:numId w:val="1018"/>
        </w:numPr>
        <w:pStyle w:val="Compact"/>
      </w:pPr>
      <w:r>
        <w:t xml:space="preserve">ISO 27001 appears on marketing pages but not on the official AX compliance page; request the certificate</w:t>
      </w:r>
      <w:r>
        <w:t xml:space="preserve"> </w:t>
      </w:r>
      <w:r>
        <w:rPr>
          <w:rStyle w:val="ClaimLabel"/>
        </w:rPr>
        <w:t xml:space="preserve">VF</w:t>
      </w:r>
      <w:r>
        <w:rPr>
          <w:rStyle w:val="FootnoteReference"/>
        </w:rPr>
        <w:footnoteReference w:id="100"/>
      </w:r>
    </w:p>
    <w:p>
      <w:pPr>
        <w:numPr>
          <w:ilvl w:val="0"/>
          <w:numId w:val="1018"/>
        </w:numPr>
        <w:pStyle w:val="Compact"/>
      </w:pPr>
      <w:r>
        <w:t xml:space="preserve">Enterprise pricing is custom</w:t>
      </w:r>
      <w:r>
        <w:t xml:space="preserve"> </w:t>
      </w:r>
      <w:r>
        <w:rPr>
          <w:rStyle w:val="ClaimLabel"/>
        </w:rPr>
        <w:t xml:space="preserve">VF</w:t>
      </w:r>
      <w:r>
        <w:rPr>
          <w:rStyle w:val="FootnoteReference"/>
        </w:rPr>
        <w:footnoteReference w:id="101"/>
      </w:r>
    </w:p>
    <w:p>
      <w:pPr>
        <w:pStyle w:val="FirstParagraph"/>
      </w:pPr>
      <w:r>
        <w:rPr>
          <w:bCs/>
          <w:b/>
        </w:rPr>
        <w:t xml:space="preserve">Choose when</w:t>
      </w:r>
    </w:p>
    <w:p>
      <w:pPr>
        <w:numPr>
          <w:ilvl w:val="0"/>
          <w:numId w:val="1019"/>
        </w:numPr>
        <w:pStyle w:val="Compact"/>
      </w:pPr>
      <w:r>
        <w:t xml:space="preserve">You run Dynatrace already, or you need managed high-volume online evaluation with air-gapped or self-hosted options</w:t>
      </w:r>
      <w:r>
        <w:t xml:space="preserve"> </w:t>
      </w:r>
      <w:r>
        <w:rPr>
          <w:rStyle w:val="ClaimLabel"/>
        </w:rPr>
        <w:t xml:space="preserve">AJ</w:t>
      </w:r>
    </w:p>
    <w:p>
      <w:pPr>
        <w:numPr>
          <w:ilvl w:val="0"/>
          <w:numId w:val="1019"/>
        </w:numPr>
        <w:pStyle w:val="Compact"/>
      </w:pPr>
      <w:r>
        <w:t xml:space="preserve">Phoenix is in use for development and you want a supported production tier on the same instrumentation</w:t>
      </w:r>
      <w:r>
        <w:t xml:space="preserve"> </w:t>
      </w:r>
      <w:r>
        <w:rPr>
          <w:rStyle w:val="ClaimLabel"/>
        </w:rPr>
        <w:t xml:space="preserve">AJ</w:t>
      </w:r>
    </w:p>
    <w:p>
      <w:pPr>
        <w:pStyle w:val="FirstParagraph"/>
      </w:pPr>
      <w:r>
        <w:rPr>
          <w:bCs/>
          <w:b/>
        </w:rPr>
        <w:t xml:space="preserve">Avoid when</w:t>
      </w:r>
    </w:p>
    <w:p>
      <w:pPr>
        <w:numPr>
          <w:ilvl w:val="0"/>
          <w:numId w:val="1020"/>
        </w:numPr>
        <w:pStyle w:val="Compact"/>
      </w:pPr>
      <w:r>
        <w:t xml:space="preserve">You need roadmap certainty in the next two to three quarters while Dynatrace integration plans settle</w:t>
      </w:r>
      <w:r>
        <w:t xml:space="preserve"> </w:t>
      </w:r>
      <w:r>
        <w:rPr>
          <w:rStyle w:val="ClaimLabel"/>
        </w:rPr>
        <w:t xml:space="preserve">AJ</w:t>
      </w:r>
    </w:p>
    <w:p>
      <w:pPr>
        <w:numPr>
          <w:ilvl w:val="0"/>
          <w:numId w:val="1020"/>
        </w:numPr>
        <w:pStyle w:val="Compact"/>
      </w:pPr>
      <w:r>
        <w:t xml:space="preserve">ISO 27001 is a hard procurement gate and the certificate cannot be produced</w:t>
      </w:r>
      <w:r>
        <w:t xml:space="preserve"> </w:t>
      </w:r>
      <w:r>
        <w:rPr>
          <w:rStyle w:val="ClaimLabel"/>
        </w:rPr>
        <w:t xml:space="preserve">AJ</w:t>
      </w:r>
    </w:p>
    <w:p>
      <w:pPr>
        <w:pStyle w:val="FirstParagraph"/>
      </w:pPr>
      <w:r>
        <w:rPr>
          <w:bCs/>
          <w:b/>
        </w:rPr>
        <w:t xml:space="preserve">Nearest competitors:</w:t>
      </w:r>
      <w:r>
        <w:t xml:space="preserve"> </w:t>
      </w:r>
      <w:r>
        <w:t xml:space="preserve">L9-langsmith, L9-datadog-agent-observability, L9-braintrust</w:t>
      </w:r>
    </w:p>
    <w:p>
      <w:pPr>
        <w:pStyle w:val="BodyText"/>
      </w:pPr>
      <w:r>
        <w:rPr>
          <w:bCs/>
          <w:b/>
        </w:rPr>
        <w:t xml:space="preserve">Regulated-FS note.</w:t>
      </w:r>
      <w:r>
        <w:t xml:space="preserve"> </w:t>
      </w:r>
      <w:r>
        <w:t xml:space="preserve">Self-hosted AX (Arize stores nothing) answers trace residency; re-run third-party due diligence and the DORA register entry after the ownership change, and obtain the ISO certificate before relying on it</w:t>
      </w:r>
      <w:r>
        <w:t xml:space="preserve"> </w:t>
      </w:r>
      <w:r>
        <w:rPr>
          <w:rStyle w:val="ClaimLabel"/>
        </w:rPr>
        <w:t xml:space="preserve">AJ</w:t>
      </w:r>
      <w:r>
        <w:t xml:space="preserve">.</w:t>
      </w:r>
    </w:p>
    <w:p>
      <w:pPr>
        <w:pStyle w:val="BodyText"/>
      </w:pPr>
      <w:r>
        <w:rPr>
          <w:bCs/>
          <w:b/>
        </w:rPr>
        <w:t xml:space="preserve">Facts (as of 2026-10-08)</w:t>
      </w:r>
    </w:p>
    <w:tbl>
      <w:tblPr>
        <w:tblStyle w:val="Table"/>
        <w:tblW w:type="pct" w:w="5000"/>
        <w:tblLook w:firstRow="1" w:lastRow="0" w:firstColumn="0" w:lastColumn="0" w:noHBand="0" w:noVBand="0" w:val="0020"/>
        <w:jc w:val="start"/>
      </w:tblPr>
      <w:tblGrid>
        <w:gridCol w:w="1485"/>
        <w:gridCol w:w="4290"/>
        <w:gridCol w:w="1320"/>
        <w:gridCol w:w="825"/>
      </w:tblGrid>
      <w:tr>
        <w:trPr>
          <w:tblHeader w:val="true"/>
        </w:trPr>
        <w:tc>
          <w:tcPr/>
          <w:p>
            <w:pPr>
              <w:pStyle w:val="Compact"/>
              <w:jc w:val="left"/>
            </w:pPr>
            <w:r>
              <w:t xml:space="preserve">Field</w:t>
            </w:r>
          </w:p>
        </w:tc>
        <w:tc>
          <w:tcPr/>
          <w:p>
            <w:pPr>
              <w:pStyle w:val="Compact"/>
              <w:jc w:val="left"/>
            </w:pPr>
            <w:r>
              <w:t xml:space="preserve">Value</w:t>
            </w:r>
          </w:p>
        </w:tc>
        <w:tc>
          <w:tcPr/>
          <w:p>
            <w:pPr>
              <w:pStyle w:val="Compact"/>
              <w:jc w:val="left"/>
            </w:pPr>
            <w:r>
              <w:t xml:space="preserve">Label</w:t>
            </w:r>
          </w:p>
        </w:tc>
        <w:tc>
          <w:tcPr/>
          <w:p>
            <w:pPr>
              <w:pStyle w:val="Compact"/>
              <w:jc w:val="left"/>
            </w:pPr>
            <w:r>
              <w:t xml:space="preserve">Sources</w:t>
            </w:r>
          </w:p>
        </w:tc>
      </w:tr>
      <w:tr>
        <w:tc>
          <w:tcPr/>
          <w:p>
            <w:pPr>
              <w:pStyle w:val="Compact"/>
              <w:jc w:val="left"/>
            </w:pPr>
            <w:r>
              <w:t xml:space="preserve">Company</w:t>
            </w:r>
          </w:p>
        </w:tc>
        <w:tc>
          <w:tcPr/>
          <w:p>
            <w:pPr>
              <w:pStyle w:val="Compact"/>
              <w:jc w:val="left"/>
            </w:pPr>
            <w:r>
              <w:t xml:space="preserve">Arize AI, a Dynatrace company (acquisition completed 1 October 2026)</w:t>
            </w:r>
          </w:p>
        </w:tc>
        <w:tc>
          <w:tcPr/>
          <w:p>
            <w:pPr>
              <w:pStyle w:val="Compact"/>
              <w:jc w:val="left"/>
            </w:pPr>
            <w:r>
              <w:t xml:space="preserve">Verified fact</w:t>
            </w:r>
          </w:p>
        </w:tc>
        <w:tc>
          <w:tcPr/>
          <w:p>
            <w:pPr>
              <w:pStyle w:val="Compact"/>
              <w:jc w:val="left"/>
            </w:pPr>
            <w:r>
              <w:t xml:space="preserve">A1-S044, A1-S045, V1-S005</w:t>
            </w:r>
          </w:p>
        </w:tc>
      </w:tr>
      <w:tr>
        <w:tc>
          <w:tcPr/>
          <w:p>
            <w:pPr>
              <w:pStyle w:val="Compact"/>
              <w:jc w:val="left"/>
            </w:pPr>
            <w:r>
              <w:t xml:space="preserve">Category</w:t>
            </w:r>
          </w:p>
        </w:tc>
        <w:tc>
          <w:tcPr/>
          <w:p>
            <w:pPr>
              <w:pStyle w:val="Compact"/>
              <w:jc w:val="left"/>
            </w:pPr>
            <w:r>
              <w:t xml:space="preserve">Commercial AI agent observability and evaluation platform (SaaS or licensed private deployment)</w:t>
            </w:r>
          </w:p>
        </w:tc>
        <w:tc>
          <w:tcPr/>
          <w:p>
            <w:pPr>
              <w:pStyle w:val="Compact"/>
              <w:jc w:val="left"/>
            </w:pPr>
            <w:r>
              <w:t xml:space="preserve">Verified fact</w:t>
            </w:r>
          </w:p>
        </w:tc>
        <w:tc>
          <w:tcPr/>
          <w:p>
            <w:pPr>
              <w:pStyle w:val="Compact"/>
              <w:jc w:val="left"/>
            </w:pPr>
            <w:r>
              <w:t xml:space="preserve">A1-S046, A1-S047</w:t>
            </w:r>
          </w:p>
        </w:tc>
      </w:tr>
      <w:tr>
        <w:tc>
          <w:tcPr/>
          <w:p>
            <w:pPr>
              <w:pStyle w:val="Compact"/>
              <w:jc w:val="left"/>
            </w:pPr>
            <w:r>
              <w:t xml:space="preserve">Version / lineup</w:t>
            </w:r>
          </w:p>
        </w:tc>
        <w:tc>
          <w:tcPr/>
          <w:p>
            <w:pPr>
              <w:pStyle w:val="Compact"/>
              <w:jc w:val="left"/>
            </w:pPr>
            <w:r>
              <w:t xml:space="preserve">SaaS; Python SDK arize 8.58.0, released 7 October 2026; tiers AX Free, AX Pro, AX Enterprise</w:t>
            </w:r>
          </w:p>
        </w:tc>
        <w:tc>
          <w:tcPr/>
          <w:p>
            <w:pPr>
              <w:pStyle w:val="Compact"/>
              <w:jc w:val="left"/>
            </w:pPr>
            <w:r>
              <w:t xml:space="preserve">Verified fact</w:t>
            </w:r>
          </w:p>
        </w:tc>
        <w:tc>
          <w:tcPr/>
          <w:p>
            <w:pPr>
              <w:pStyle w:val="Compact"/>
              <w:jc w:val="left"/>
            </w:pPr>
            <w:r>
              <w:t xml:space="preserve">A1-S007, A1-S047</w:t>
            </w:r>
          </w:p>
        </w:tc>
      </w:tr>
      <w:tr>
        <w:tc>
          <w:tcPr/>
          <w:p>
            <w:pPr>
              <w:pStyle w:val="Compact"/>
              <w:jc w:val="left"/>
            </w:pPr>
            <w:r>
              <w:t xml:space="preserve">Licence</w:t>
            </w:r>
          </w:p>
        </w:tc>
        <w:tc>
          <w:tcPr/>
          <w:p>
            <w:pPr>
              <w:pStyle w:val="Compact"/>
              <w:jc w:val="left"/>
            </w:pPr>
            <w:r>
              <w:t xml:space="preserve">Proprietary; self-hosting requires a commercial licence; Python SDK Apache-2.0</w:t>
            </w:r>
          </w:p>
        </w:tc>
        <w:tc>
          <w:tcPr/>
          <w:p>
            <w:pPr>
              <w:pStyle w:val="Compact"/>
              <w:jc w:val="left"/>
            </w:pPr>
            <w:r>
              <w:t xml:space="preserve">Verified fact</w:t>
            </w:r>
          </w:p>
        </w:tc>
        <w:tc>
          <w:tcPr/>
          <w:p>
            <w:pPr>
              <w:pStyle w:val="Compact"/>
              <w:jc w:val="left"/>
            </w:pPr>
            <w:r>
              <w:t xml:space="preserve">A1-S046, A1-S007</w:t>
            </w:r>
          </w:p>
        </w:tc>
      </w:tr>
      <w:tr>
        <w:tc>
          <w:tcPr/>
          <w:p>
            <w:pPr>
              <w:pStyle w:val="Compact"/>
              <w:jc w:val="left"/>
            </w:pPr>
            <w:r>
              <w:t xml:space="preserve">Status events</w:t>
            </w:r>
          </w:p>
        </w:tc>
        <w:tc>
          <w:tcPr/>
          <w:p>
            <w:pPr>
              <w:pStyle w:val="Compact"/>
              <w:jc w:val="left"/>
            </w:pPr>
            <w:r>
              <w:t xml:space="preserve">Dynatrace definitive agreement to acquire Arize, 13 August 2026 (US$915M, approx. US$815M cash); Acquisition completed 1 October 2026</w:t>
            </w:r>
          </w:p>
        </w:tc>
        <w:tc>
          <w:tcPr/>
          <w:p>
            <w:pPr>
              <w:pStyle w:val="Compact"/>
              <w:jc w:val="left"/>
            </w:pPr>
            <w:r>
              <w:t xml:space="preserve">Verified fact</w:t>
            </w:r>
          </w:p>
        </w:tc>
        <w:tc>
          <w:tcPr/>
          <w:p>
            <w:pPr>
              <w:pStyle w:val="Compact"/>
              <w:jc w:val="left"/>
            </w:pPr>
            <w:r>
              <w:t xml:space="preserve">A1-S044, A1-S045, V1-S005</w:t>
            </w:r>
          </w:p>
        </w:tc>
      </w:tr>
      <w:tr>
        <w:tc>
          <w:tcPr/>
          <w:p>
            <w:pPr>
              <w:pStyle w:val="Compact"/>
              <w:jc w:val="left"/>
            </w:pPr>
            <w:r>
              <w:t xml:space="preserve">Strategic direction</w:t>
            </w:r>
          </w:p>
        </w:tc>
        <w:tc>
          <w:tcPr/>
          <w:p>
            <w:pPr>
              <w:pStyle w:val="Compact"/>
              <w:jc w:val="left"/>
            </w:pPr>
            <w:r>
              <w:t xml:space="preserve">Signal (scheduled worker grouping recurring failure patterns into issues), Alyx assistant, ADB data fabric; post-acquisition integration into Dynatrace planned</w:t>
            </w:r>
          </w:p>
        </w:tc>
        <w:tc>
          <w:tcPr/>
          <w:p>
            <w:pPr>
              <w:pStyle w:val="Compact"/>
              <w:jc w:val="left"/>
            </w:pPr>
            <w:r>
              <w:t xml:space="preserve">Verified fact</w:t>
            </w:r>
          </w:p>
        </w:tc>
        <w:tc>
          <w:tcPr/>
          <w:p>
            <w:pPr>
              <w:pStyle w:val="Compact"/>
              <w:jc w:val="left"/>
            </w:pPr>
            <w:r>
              <w:t xml:space="preserve">A1-S046, A1-S047, A1-S045</w:t>
            </w:r>
          </w:p>
        </w:tc>
      </w:tr>
      <w:tr>
        <w:tc>
          <w:tcPr/>
          <w:p>
            <w:pPr>
              <w:pStyle w:val="Compact"/>
              <w:jc w:val="left"/>
            </w:pPr>
            <w:r>
              <w:t xml:space="preserve">What it does</w:t>
            </w:r>
          </w:p>
        </w:tc>
        <w:tc>
          <w:tcPr/>
          <w:p>
            <w:pPr>
              <w:pStyle w:val="Compact"/>
              <w:jc w:val="left"/>
            </w:pPr>
            <w:r>
              <w:t xml:space="preserve">Managed tracing, online and offline evaluation, monitoring and alerting for LLM and agent applications at high volume, with managed evaluation compute and multi-tenancy via organisations and spaces.</w:t>
            </w:r>
          </w:p>
        </w:tc>
        <w:tc>
          <w:tcPr/>
          <w:p>
            <w:pPr>
              <w:pStyle w:val="Compact"/>
              <w:jc w:val="left"/>
            </w:pPr>
            <w:r>
              <w:t xml:space="preserve">Verified fact</w:t>
            </w:r>
          </w:p>
        </w:tc>
        <w:tc>
          <w:tcPr/>
          <w:p>
            <w:pPr>
              <w:pStyle w:val="Compact"/>
              <w:jc w:val="left"/>
            </w:pPr>
            <w:r>
              <w:t xml:space="preserve">A1-S046</w:t>
            </w:r>
          </w:p>
        </w:tc>
      </w:tr>
      <w:tr>
        <w:tc>
          <w:tcPr/>
          <w:p>
            <w:pPr>
              <w:pStyle w:val="Compact"/>
              <w:jc w:val="left"/>
            </w:pPr>
            <w:r>
              <w:t xml:space="preserve">Stack position</w:t>
            </w:r>
          </w:p>
        </w:tc>
        <w:tc>
          <w:tcPr/>
          <w:p>
            <w:pPr>
              <w:pStyle w:val="Compact"/>
              <w:jc w:val="left"/>
            </w:pPr>
            <w:r>
              <w:t xml:space="preserve">Cross-cutting production observability and evaluation; graphic’s</w:t>
            </w:r>
            <w:r>
              <w:t xml:space="preserve"> </w:t>
            </w:r>
            <w:r>
              <w:t xml:space="preserve">‘</w:t>
            </w:r>
            <w:r>
              <w:t xml:space="preserve">RAG metrics</w:t>
            </w:r>
            <w:r>
              <w:t xml:space="preserve">’</w:t>
            </w:r>
            <w:r>
              <w:t xml:space="preserve"> </w:t>
            </w:r>
            <w:r>
              <w:t xml:space="preserve">descriptor understates scope</w:t>
            </w:r>
          </w:p>
        </w:tc>
        <w:tc>
          <w:tcPr/>
          <w:p>
            <w:pPr>
              <w:pStyle w:val="Compact"/>
              <w:jc w:val="left"/>
            </w:pPr>
            <w:r>
              <w:t xml:space="preserve">Verified fact</w:t>
            </w:r>
          </w:p>
        </w:tc>
        <w:tc>
          <w:tcPr/>
          <w:p>
            <w:pPr>
              <w:pStyle w:val="Compact"/>
              <w:jc w:val="left"/>
            </w:pPr>
            <w:r>
              <w:t xml:space="preserve">A1-S046, A1-S047</w:t>
            </w:r>
          </w:p>
        </w:tc>
      </w:tr>
      <w:tr>
        <w:tc>
          <w:tcPr/>
          <w:p>
            <w:pPr>
              <w:pStyle w:val="Compact"/>
              <w:jc w:val="left"/>
            </w:pPr>
            <w:r>
              <w:t xml:space="preserve">Integration</w:t>
            </w:r>
          </w:p>
        </w:tc>
        <w:tc>
          <w:tcPr/>
          <w:p>
            <w:pPr>
              <w:pStyle w:val="Compact"/>
              <w:jc w:val="left"/>
            </w:pPr>
            <w:r>
              <w:t xml:space="preserve">OpenTelemetry and OpenInference instrumentation shared with Phoenix; documented Phoenix-to-AX migration via dual-writing</w:t>
            </w:r>
          </w:p>
        </w:tc>
        <w:tc>
          <w:tcPr/>
          <w:p>
            <w:pPr>
              <w:pStyle w:val="Compact"/>
              <w:jc w:val="left"/>
            </w:pPr>
            <w:r>
              <w:t xml:space="preserve">Verified fact</w:t>
            </w:r>
          </w:p>
        </w:tc>
        <w:tc>
          <w:tcPr/>
          <w:p>
            <w:pPr>
              <w:pStyle w:val="Compact"/>
              <w:jc w:val="left"/>
            </w:pPr>
            <w:r>
              <w:t xml:space="preserve">A1-S046, A1-S049</w:t>
            </w:r>
          </w:p>
        </w:tc>
      </w:tr>
      <w:tr>
        <w:tc>
          <w:tcPr/>
          <w:p>
            <w:pPr>
              <w:pStyle w:val="Compact"/>
              <w:jc w:val="left"/>
            </w:pPr>
            <w:r>
              <w:t xml:space="preserve">Dependencies</w:t>
            </w:r>
          </w:p>
        </w:tc>
        <w:tc>
          <w:tcPr/>
          <w:p>
            <w:pPr>
              <w:pStyle w:val="Compact"/>
              <w:jc w:val="left"/>
            </w:pPr>
            <w:r>
              <w:t xml:space="preserve">Runs on Arize’s proprietary adb OLAP database</w:t>
            </w:r>
          </w:p>
        </w:tc>
        <w:tc>
          <w:tcPr/>
          <w:p>
            <w:pPr>
              <w:pStyle w:val="Compact"/>
              <w:jc w:val="left"/>
            </w:pPr>
            <w:r>
              <w:t xml:space="preserve">Verified fact</w:t>
            </w:r>
          </w:p>
        </w:tc>
        <w:tc>
          <w:tcPr/>
          <w:p>
            <w:pPr>
              <w:pStyle w:val="Compact"/>
              <w:jc w:val="left"/>
            </w:pPr>
            <w:r>
              <w:t xml:space="preserve">A1-S046</w:t>
            </w:r>
          </w:p>
        </w:tc>
      </w:tr>
      <w:tr>
        <w:tc>
          <w:tcPr/>
          <w:p>
            <w:pPr>
              <w:pStyle w:val="Compact"/>
              <w:jc w:val="left"/>
            </w:pPr>
            <w:r>
              <w:t xml:space="preserve">Certifications</w:t>
            </w:r>
          </w:p>
        </w:tc>
        <w:tc>
          <w:tcPr/>
          <w:p>
            <w:pPr>
              <w:pStyle w:val="Compact"/>
              <w:jc w:val="left"/>
            </w:pPr>
            <w:r>
              <w:t xml:space="preserve">SOC 2 Type II; PCI DSS 4.0 Level 1 Service Provider; CSA STAR Level 1 self-assessment; HIPAA (Enterprise tier only per pricing table; docs say compliant, self-hosted page says HIPAA-ready); ISO/IEC 27001 (A-LIGN, announced c. August 2026) is stated on marketing pages but is NOT listed on the official AX compliance docs page - confirm the certificate before relying on it</w:t>
            </w:r>
          </w:p>
        </w:tc>
        <w:tc>
          <w:tcPr/>
          <w:p>
            <w:pPr>
              <w:pStyle w:val="Compact"/>
              <w:jc w:val="left"/>
            </w:pPr>
            <w:r>
              <w:t xml:space="preserve">Verified fact</w:t>
            </w:r>
          </w:p>
        </w:tc>
        <w:tc>
          <w:tcPr/>
          <w:p>
            <w:pPr>
              <w:pStyle w:val="Compact"/>
              <w:jc w:val="left"/>
            </w:pPr>
            <w:r>
              <w:t xml:space="preserve">A1-S124, A1-S047, V1-S084</w:t>
            </w:r>
          </w:p>
        </w:tc>
      </w:tr>
      <w:tr>
        <w:tc>
          <w:tcPr/>
          <w:p>
            <w:pPr>
              <w:pStyle w:val="Compact"/>
              <w:jc w:val="left"/>
            </w:pPr>
            <w:r>
              <w:t xml:space="preserve">GDPR / residency</w:t>
            </w:r>
          </w:p>
        </w:tc>
        <w:tc>
          <w:tcPr/>
          <w:p>
            <w:pPr>
              <w:pStyle w:val="Compact"/>
              <w:jc w:val="left"/>
            </w:pPr>
            <w:r>
              <w:t xml:space="preserve">EU data region in Belgium; self-hosted (customer Kubernetes and object storage, Arize stores nothing) and air-gapped options; GDPR compliance claimed</w:t>
            </w:r>
          </w:p>
        </w:tc>
        <w:tc>
          <w:tcPr/>
          <w:p>
            <w:pPr>
              <w:pStyle w:val="Compact"/>
              <w:jc w:val="left"/>
            </w:pPr>
            <w:r>
              <w:t xml:space="preserve">Verified fact</w:t>
            </w:r>
          </w:p>
        </w:tc>
        <w:tc>
          <w:tcPr/>
          <w:p>
            <w:pPr>
              <w:pStyle w:val="Compact"/>
              <w:jc w:val="left"/>
            </w:pPr>
            <w:r>
              <w:t xml:space="preserve">A1-S124</w:t>
            </w:r>
          </w:p>
        </w:tc>
      </w:tr>
      <w:tr>
        <w:tc>
          <w:tcPr/>
          <w:p>
            <w:pPr>
              <w:pStyle w:val="Compact"/>
              <w:jc w:val="left"/>
            </w:pPr>
            <w:r>
              <w:t xml:space="preserve">Security features</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Access controls</w:t>
            </w:r>
          </w:p>
        </w:tc>
        <w:tc>
          <w:tcPr/>
          <w:p>
            <w:pPr>
              <w:pStyle w:val="Compact"/>
              <w:jc w:val="left"/>
            </w:pPr>
            <w:r>
              <w:t xml:space="preserve">SSO, RBAC and audit trails; self-hosted AX supports any SAML 2.0 IdP (Okta, Entra, OneLogin, Ping) with RBAC role mapping;</w:t>
            </w:r>
            <w:r>
              <w:t xml:space="preserve"> </w:t>
            </w:r>
            <w:r>
              <w:t xml:space="preserve">‘</w:t>
            </w:r>
            <w:r>
              <w:t xml:space="preserve">Enterprise SSO</w:t>
            </w:r>
            <w:r>
              <w:t xml:space="preserve">’</w:t>
            </w:r>
            <w:r>
              <w:t xml:space="preserve"> </w:t>
            </w:r>
            <w:r>
              <w:t xml:space="preserve">on Enterprise tier; multi-tenancy via organisations and spaces</w:t>
            </w:r>
          </w:p>
        </w:tc>
        <w:tc>
          <w:tcPr/>
          <w:p>
            <w:pPr>
              <w:pStyle w:val="Compact"/>
              <w:jc w:val="left"/>
            </w:pPr>
            <w:r>
              <w:t xml:space="preserve">Verified fact</w:t>
            </w:r>
          </w:p>
        </w:tc>
        <w:tc>
          <w:tcPr/>
          <w:p>
            <w:pPr>
              <w:pStyle w:val="Compact"/>
              <w:jc w:val="left"/>
            </w:pPr>
            <w:r>
              <w:t xml:space="preserve">A1-S046, A1-S124</w:t>
            </w:r>
          </w:p>
        </w:tc>
      </w:tr>
      <w:tr>
        <w:tc>
          <w:tcPr/>
          <w:p>
            <w:pPr>
              <w:pStyle w:val="Compact"/>
              <w:jc w:val="left"/>
            </w:pPr>
            <w:r>
              <w:t xml:space="preserve">Enterprise support</w:t>
            </w:r>
          </w:p>
        </w:tc>
        <w:tc>
          <w:tcPr/>
          <w:p>
            <w:pPr>
              <w:pStyle w:val="Compact"/>
              <w:jc w:val="left"/>
            </w:pPr>
            <w:r>
              <w:t xml:space="preserve">Dedicated support and SLAs (Enterprise)</w:t>
            </w:r>
          </w:p>
        </w:tc>
        <w:tc>
          <w:tcPr/>
          <w:p>
            <w:pPr>
              <w:pStyle w:val="Compact"/>
              <w:jc w:val="left"/>
            </w:pPr>
            <w:r>
              <w:t xml:space="preserve">Verified fact</w:t>
            </w:r>
          </w:p>
        </w:tc>
        <w:tc>
          <w:tcPr/>
          <w:p>
            <w:pPr>
              <w:pStyle w:val="Compact"/>
              <w:jc w:val="left"/>
            </w:pPr>
            <w:r>
              <w:t xml:space="preserve">A1-S046, A1-S047</w:t>
            </w:r>
          </w:p>
        </w:tc>
      </w:tr>
      <w:tr>
        <w:tc>
          <w:tcPr/>
          <w:p>
            <w:pPr>
              <w:pStyle w:val="Compact"/>
              <w:jc w:val="left"/>
            </w:pPr>
            <w:r>
              <w:t xml:space="preserve">Pricing</w:t>
            </w:r>
          </w:p>
        </w:tc>
        <w:tc>
          <w:tcPr/>
          <w:p>
            <w:pPr>
              <w:pStyle w:val="Compact"/>
              <w:jc w:val="left"/>
            </w:pPr>
            <w:r>
              <w:t xml:space="preserve">AX Free US$0 (25k spans, 1 GB, 15-day retention); AX Pro US$50/month (50k spans, 10 GB, 30 days, overages); AX Enterprise custom; no per-seat charges, unlimited users and evaluations</w:t>
            </w:r>
          </w:p>
        </w:tc>
        <w:tc>
          <w:tcPr/>
          <w:p>
            <w:pPr>
              <w:pStyle w:val="Compact"/>
              <w:jc w:val="left"/>
            </w:pPr>
            <w:r>
              <w:t xml:space="preserve">Verified fact</w:t>
            </w:r>
          </w:p>
        </w:tc>
        <w:tc>
          <w:tcPr/>
          <w:p>
            <w:pPr>
              <w:pStyle w:val="Compact"/>
              <w:jc w:val="left"/>
            </w:pPr>
            <w:r>
              <w:t xml:space="preserve">A1-S047</w:t>
            </w:r>
          </w:p>
        </w:tc>
      </w:tr>
      <w:tr>
        <w:tc>
          <w:tcPr/>
          <w:p>
            <w:pPr>
              <w:pStyle w:val="Compact"/>
              <w:jc w:val="left"/>
            </w:pPr>
            <w:r>
              <w:t xml:space="preserve">Infrastructure cost</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Ecosystem</w:t>
            </w:r>
          </w:p>
        </w:tc>
        <w:tc>
          <w:tcPr/>
          <w:p>
            <w:pPr>
              <w:pStyle w:val="Compact"/>
              <w:jc w:val="left"/>
            </w:pPr>
            <w:r>
              <w:t xml:space="preserve">Same integration catalogue as Phoenix via OpenInference</w:t>
            </w:r>
          </w:p>
        </w:tc>
        <w:tc>
          <w:tcPr/>
          <w:p>
            <w:pPr>
              <w:pStyle w:val="Compact"/>
              <w:jc w:val="left"/>
            </w:pPr>
            <w:r>
              <w:t xml:space="preserve">Verified fact</w:t>
            </w:r>
          </w:p>
        </w:tc>
        <w:tc>
          <w:tcPr/>
          <w:p>
            <w:pPr>
              <w:pStyle w:val="Compact"/>
              <w:jc w:val="left"/>
            </w:pPr>
            <w:r>
              <w:t xml:space="preserve">A1-S046, A1-S066</w:t>
            </w:r>
          </w:p>
        </w:tc>
      </w:tr>
      <w:tr>
        <w:tc>
          <w:tcPr/>
          <w:p>
            <w:pPr>
              <w:pStyle w:val="Compact"/>
              <w:jc w:val="left"/>
            </w:pPr>
            <w:r>
              <w:t xml:space="preserve">Adoption signals</w:t>
            </w:r>
          </w:p>
        </w:tc>
        <w:tc>
          <w:tcPr/>
          <w:p>
            <w:pPr>
              <w:pStyle w:val="Compact"/>
              <w:jc w:val="left"/>
            </w:pPr>
            <w:r>
              <w:t xml:space="preserve">Acquisition value US$915M (Dynatrace)</w:t>
            </w:r>
          </w:p>
        </w:tc>
        <w:tc>
          <w:tcPr/>
          <w:p>
            <w:pPr>
              <w:pStyle w:val="Compact"/>
              <w:jc w:val="left"/>
            </w:pPr>
            <w:r>
              <w:t xml:space="preserve">Verified fact</w:t>
            </w:r>
          </w:p>
        </w:tc>
        <w:tc>
          <w:tcPr/>
          <w:p>
            <w:pPr>
              <w:pStyle w:val="Compact"/>
              <w:jc w:val="left"/>
            </w:pPr>
            <w:r>
              <w:t xml:space="preserve">A1-S044</w:t>
            </w:r>
          </w:p>
        </w:tc>
      </w:tr>
      <w:tr>
        <w:tc>
          <w:tcPr/>
          <w:p>
            <w:pPr>
              <w:pStyle w:val="Compact"/>
              <w:jc w:val="left"/>
            </w:pPr>
            <w:r>
              <w:t xml:space="preserve">Maturity</w:t>
            </w:r>
          </w:p>
        </w:tc>
        <w:tc>
          <w:tcPr/>
          <w:p>
            <w:pPr>
              <w:pStyle w:val="Compact"/>
              <w:jc w:val="left"/>
            </w:pPr>
            <w:r>
              <w:t xml:space="preserve">arize SDK first published on PyPI 25 March 2020; 369 releases</w:t>
            </w:r>
          </w:p>
        </w:tc>
        <w:tc>
          <w:tcPr/>
          <w:p>
            <w:pPr>
              <w:pStyle w:val="Compact"/>
              <w:jc w:val="left"/>
            </w:pPr>
            <w:r>
              <w:t xml:space="preserve">Verified fact</w:t>
            </w:r>
          </w:p>
        </w:tc>
        <w:tc>
          <w:tcPr/>
          <w:p>
            <w:pPr>
              <w:pStyle w:val="Compact"/>
              <w:jc w:val="left"/>
            </w:pPr>
            <w:r>
              <w:t xml:space="preserve">A1-S007</w:t>
            </w:r>
          </w:p>
        </w:tc>
      </w:tr>
      <w:tr>
        <w:tc>
          <w:tcPr/>
          <w:p>
            <w:pPr>
              <w:pStyle w:val="Compact"/>
              <w:jc w:val="left"/>
            </w:pPr>
            <w:r>
              <w:t xml:space="preserve">Deployment</w:t>
            </w:r>
          </w:p>
        </w:tc>
        <w:tc>
          <w:tcPr/>
          <w:p>
            <w:pPr>
              <w:pStyle w:val="Compact"/>
              <w:jc w:val="left"/>
            </w:pPr>
            <w:r>
              <w:t xml:space="preserve">saas: Yes; managed_cloud: Not publicly verified; vpc_byoc: Yes (VPC deployment, Enterprise); private_cloud: Yes (customer-managed cloud, commercial licence); self_hosted: Yes (commercial licence); on_prem: Yes (on-prem / air-gapped, Enterprise)</w:t>
            </w:r>
          </w:p>
        </w:tc>
        <w:tc>
          <w:tcPr/>
          <w:p>
            <w:pPr>
              <w:pStyle w:val="Compact"/>
            </w:pPr>
          </w:p>
        </w:tc>
        <w:tc>
          <w:tcPr/>
          <w:p>
            <w:pPr>
              <w:pStyle w:val="Compact"/>
            </w:pPr>
          </w:p>
        </w:tc>
      </w:tr>
    </w:tbl>
    <w:bookmarkEnd w:id="102"/>
    <w:bookmarkStart w:id="115" w:name="deepeval-l9-deepeval"/>
    <w:p>
      <w:pPr>
        <w:pStyle w:val="Heading2"/>
      </w:pPr>
      <w:r>
        <w:t xml:space="preserve">DeepEval (</w:t>
      </w:r>
      <w:r>
        <w:rPr>
          <w:rStyle w:val="VerbatimChar"/>
        </w:rPr>
        <w:t xml:space="preserve">L9-deepeval</w:t>
      </w:r>
      <w:r>
        <w:t xml:space="preserve">)</w:t>
      </w:r>
    </w:p>
    <w:p>
      <w:pPr>
        <w:pStyle w:val="FirstParagraph"/>
      </w:pPr>
      <w:r>
        <w:rPr>
          <w:bCs/>
          <w:b/>
        </w:rPr>
        <w:t xml:space="preserve">Tier:</w:t>
      </w:r>
      <w:r>
        <w:t xml:space="preserve"> </w:t>
      </w:r>
      <w:r>
        <w:t xml:space="preserve">Tactical ·</w:t>
      </w:r>
      <w:r>
        <w:t xml:space="preserve"> </w:t>
      </w:r>
      <w:r>
        <w:rPr>
          <w:bCs/>
          <w:b/>
        </w:rPr>
        <w:t xml:space="preserve">Flags:</w:t>
      </w:r>
      <w:r>
        <w:t xml:space="preserve"> </w:t>
      </w:r>
      <w:r>
        <w:t xml:space="preserve">none ·</w:t>
      </w:r>
      <w:r>
        <w:t xml:space="preserve"> </w:t>
      </w:r>
      <w:r>
        <w:rPr>
          <w:bCs/>
          <w:b/>
        </w:rPr>
        <w:t xml:space="preserve">Original graphic label:</w:t>
      </w:r>
      <w:r>
        <w:t xml:space="preserve"> </w:t>
      </w:r>
      <w:r>
        <w:t xml:space="preserve">DeepEval – LLM unit tests</w:t>
      </w:r>
    </w:p>
    <w:p>
      <w:pPr>
        <w:pStyle w:val="BodyText"/>
      </w:pPr>
      <w:r>
        <w:rPr>
          <w:iCs/>
          <w:i/>
        </w:rPr>
        <w:t xml:space="preserve">Rationale:</w:t>
      </w:r>
      <w:r>
        <w:t xml:space="preserve"> </w:t>
      </w:r>
      <w:r>
        <w:t xml:space="preserve">The most complete open metric library for the layer’s questions, but it is a substitutable component of an in-house eval harness, not a platform</w:t>
      </w:r>
      <w:r>
        <w:t xml:space="preserve"> </w:t>
      </w:r>
      <w:r>
        <w:rPr>
          <w:rStyle w:val="ClaimLabel"/>
        </w:rPr>
        <w:t xml:space="preserve">AJ</w:t>
      </w:r>
      <w:r>
        <w:t xml:space="preserve">.</w:t>
      </w:r>
    </w:p>
    <w:tbl>
      <w:tblPr>
        <w:tblStyle w:val="Table"/>
        <w:tblW w:type="pct" w:w="5000"/>
        <w:tblLook w:firstRow="1" w:lastRow="0" w:firstColumn="0" w:lastColumn="0" w:noHBand="0" w:noVBand="0" w:val="0020"/>
        <w:jc w:val="start"/>
      </w:tblPr>
      <w:tblGrid>
        <w:gridCol w:w="1545"/>
        <w:gridCol w:w="579"/>
        <w:gridCol w:w="5795"/>
      </w:tblGrid>
      <w:tr>
        <w:trPr>
          <w:tblHeader w:val="true"/>
        </w:trPr>
        <w:tc>
          <w:tcPr/>
          <w:p>
            <w:pPr>
              <w:pStyle w:val="Compact"/>
              <w:jc w:val="left"/>
            </w:pPr>
            <w:r>
              <w:t xml:space="preserve">Criterion</w:t>
            </w:r>
          </w:p>
        </w:tc>
        <w:tc>
          <w:tcPr/>
          <w:p>
            <w:pPr>
              <w:pStyle w:val="Compact"/>
              <w:jc w:val="right"/>
            </w:pPr>
            <w:r>
              <w:t xml:space="preserve">Score</w:t>
            </w:r>
          </w:p>
        </w:tc>
        <w:tc>
          <w:tcPr/>
          <w:p>
            <w:pPr>
              <w:pStyle w:val="Compact"/>
              <w:jc w:val="left"/>
            </w:pPr>
            <w:r>
              <w:t xml:space="preserve">Rationale</w:t>
            </w:r>
          </w:p>
        </w:tc>
      </w:tr>
      <w:tr>
        <w:tc>
          <w:tcPr/>
          <w:p>
            <w:pPr>
              <w:pStyle w:val="Compact"/>
              <w:jc w:val="left"/>
            </w:pPr>
            <w:r>
              <w:t xml:space="preserve">Technical</w:t>
            </w:r>
          </w:p>
        </w:tc>
        <w:tc>
          <w:tcPr/>
          <w:p>
            <w:pPr>
              <w:pStyle w:val="Compact"/>
              <w:jc w:val="right"/>
            </w:pPr>
            <w:r>
              <w:t xml:space="preserve">4</w:t>
            </w:r>
          </w:p>
        </w:tc>
        <w:tc>
          <w:tcPr/>
          <w:p>
            <w:pPr>
              <w:pStyle w:val="Compact"/>
              <w:jc w:val="left"/>
            </w:pPr>
            <w:r>
              <w:t xml:space="preserve">Broadest metric coverage (RAG, agentic, trajectory, G-Eval, DAG); no tracing store of its own.</w:t>
            </w:r>
          </w:p>
        </w:tc>
      </w:tr>
      <w:tr>
        <w:tc>
          <w:tcPr/>
          <w:p>
            <w:pPr>
              <w:pStyle w:val="Compact"/>
              <w:jc w:val="left"/>
            </w:pPr>
            <w:r>
              <w:t xml:space="preserve">Enterprise readiness</w:t>
            </w:r>
          </w:p>
        </w:tc>
        <w:tc>
          <w:tcPr/>
          <w:p>
            <w:pPr>
              <w:pStyle w:val="Compact"/>
              <w:jc w:val="right"/>
            </w:pPr>
            <w:r>
              <w:t xml:space="preserve">3</w:t>
            </w:r>
          </w:p>
        </w:tc>
        <w:tc>
          <w:tcPr/>
          <w:p>
            <w:pPr>
              <w:pStyle w:val="Compact"/>
              <w:jc w:val="left"/>
            </w:pPr>
            <w:r>
              <w:t xml:space="preserve">Self-hosted library (rule 2): enables CI evaluation in-estate; commercial platform exists but its access controls are not verified.</w:t>
            </w:r>
          </w:p>
        </w:tc>
      </w:tr>
      <w:tr>
        <w:tc>
          <w:tcPr/>
          <w:p>
            <w:pPr>
              <w:pStyle w:val="Compact"/>
              <w:jc w:val="left"/>
            </w:pPr>
            <w:r>
              <w:t xml:space="preserve">Security and compliance</w:t>
            </w:r>
          </w:p>
        </w:tc>
        <w:tc>
          <w:tcPr/>
          <w:p>
            <w:pPr>
              <w:pStyle w:val="Compact"/>
              <w:jc w:val="right"/>
            </w:pPr>
            <w:r>
              <w:t xml:space="preserve">3</w:t>
            </w:r>
          </w:p>
        </w:tc>
        <w:tc>
          <w:tcPr/>
          <w:p>
            <w:pPr>
              <w:pStyle w:val="Compact"/>
              <w:jc w:val="left"/>
            </w:pPr>
            <w:r>
              <w:t xml:space="preserve">Inherits host controls; clear Apache-2.0 licence; Confident AI SOC 2/HIPAA are vendor statements with gating conflicts.</w:t>
            </w:r>
          </w:p>
        </w:tc>
      </w:tr>
      <w:tr>
        <w:tc>
          <w:tcPr/>
          <w:p>
            <w:pPr>
              <w:pStyle w:val="Compact"/>
              <w:jc w:val="left"/>
            </w:pPr>
            <w:r>
              <w:t xml:space="preserve">Deployment flexibility</w:t>
            </w:r>
          </w:p>
        </w:tc>
        <w:tc>
          <w:tcPr/>
          <w:p>
            <w:pPr>
              <w:pStyle w:val="Compact"/>
              <w:jc w:val="right"/>
            </w:pPr>
            <w:r>
              <w:t xml:space="preserve">5</w:t>
            </w:r>
          </w:p>
        </w:tc>
        <w:tc>
          <w:tcPr/>
          <w:p>
            <w:pPr>
              <w:pStyle w:val="Compact"/>
              <w:jc w:val="left"/>
            </w:pPr>
            <w:r>
              <w:t xml:space="preserve">Library runs anywhere, including air-gapped with local judges; Confident AI SaaS, VPC and self-host options.</w:t>
            </w:r>
          </w:p>
        </w:tc>
      </w:tr>
      <w:tr>
        <w:tc>
          <w:tcPr/>
          <w:p>
            <w:pPr>
              <w:pStyle w:val="Compact"/>
              <w:jc w:val="left"/>
            </w:pPr>
            <w:r>
              <w:t xml:space="preserve">Ecosystem</w:t>
            </w:r>
          </w:p>
        </w:tc>
        <w:tc>
          <w:tcPr/>
          <w:p>
            <w:pPr>
              <w:pStyle w:val="Compact"/>
              <w:jc w:val="right"/>
            </w:pPr>
            <w:r>
              <w:t xml:space="preserve">4</w:t>
            </w:r>
          </w:p>
        </w:tc>
        <w:tc>
          <w:tcPr/>
          <w:p>
            <w:pPr>
              <w:pStyle w:val="Compact"/>
              <w:jc w:val="left"/>
            </w:pPr>
            <w:r>
              <w:t xml:space="preserve">Many framework integrations; OTel export mainly to Confident AI.</w:t>
            </w:r>
          </w:p>
        </w:tc>
      </w:tr>
      <w:tr>
        <w:tc>
          <w:tcPr/>
          <w:p>
            <w:pPr>
              <w:pStyle w:val="Compact"/>
              <w:jc w:val="left"/>
            </w:pPr>
            <w:r>
              <w:t xml:space="preserve">Reliability and maturity</w:t>
            </w:r>
          </w:p>
        </w:tc>
        <w:tc>
          <w:tcPr/>
          <w:p>
            <w:pPr>
              <w:pStyle w:val="Compact"/>
              <w:jc w:val="right"/>
            </w:pPr>
            <w:r>
              <w:t xml:space="preserve">3</w:t>
            </w:r>
          </w:p>
        </w:tc>
        <w:tc>
          <w:tcPr/>
          <w:p>
            <w:pPr>
              <w:pStyle w:val="Compact"/>
              <w:jc w:val="left"/>
            </w:pPr>
            <w:r>
              <w:t xml:space="preserve">527 releases since August 2023; fast-changing metric set; funding NPV.</w:t>
            </w:r>
          </w:p>
        </w:tc>
      </w:tr>
      <w:tr>
        <w:tc>
          <w:tcPr/>
          <w:p>
            <w:pPr>
              <w:pStyle w:val="Compact"/>
              <w:jc w:val="left"/>
            </w:pPr>
            <w:r>
              <w:t xml:space="preserve">Cost / TCO</w:t>
            </w:r>
          </w:p>
        </w:tc>
        <w:tc>
          <w:tcPr/>
          <w:p>
            <w:pPr>
              <w:pStyle w:val="Compact"/>
              <w:jc w:val="right"/>
            </w:pPr>
            <w:r>
              <w:t xml:space="preserve">4</w:t>
            </w:r>
          </w:p>
        </w:tc>
        <w:tc>
          <w:tcPr/>
          <w:p>
            <w:pPr>
              <w:pStyle w:val="Compact"/>
              <w:jc w:val="left"/>
            </w:pPr>
            <w:r>
              <w:t xml:space="preserve">Free; judge-token spend dominates.</w:t>
            </w:r>
          </w:p>
        </w:tc>
      </w:tr>
      <w:tr>
        <w:tc>
          <w:tcPr/>
          <w:p>
            <w:pPr>
              <w:pStyle w:val="Compact"/>
              <w:jc w:val="left"/>
            </w:pPr>
            <w:r>
              <w:t xml:space="preserve">Lock-in / portability</w:t>
            </w:r>
          </w:p>
        </w:tc>
        <w:tc>
          <w:tcPr/>
          <w:p>
            <w:pPr>
              <w:pStyle w:val="Compact"/>
              <w:jc w:val="right"/>
            </w:pPr>
            <w:r>
              <w:t xml:space="preserve">4</w:t>
            </w:r>
          </w:p>
        </w:tc>
        <w:tc>
          <w:tcPr/>
          <w:p>
            <w:pPr>
              <w:pStyle w:val="Compact"/>
              <w:jc w:val="left"/>
            </w:pPr>
            <w:r>
              <w:t xml:space="preserve">Apache-2.0 library; company-governed, with commercial steering.</w:t>
            </w:r>
          </w:p>
        </w:tc>
      </w:tr>
      <w:tr>
        <w:tc>
          <w:tcPr/>
          <w:p>
            <w:pPr>
              <w:pStyle w:val="Compact"/>
              <w:jc w:val="left"/>
            </w:pPr>
            <w:r>
              <w:rPr>
                <w:bCs/>
                <w:b/>
              </w:rPr>
              <w:t xml:space="preserve">Total (generic / FS)</w:t>
            </w:r>
          </w:p>
        </w:tc>
        <w:tc>
          <w:tcPr/>
          <w:p>
            <w:pPr>
              <w:pStyle w:val="Compact"/>
              <w:jc w:val="right"/>
            </w:pPr>
            <w:r>
              <w:rPr>
                <w:bCs/>
                <w:b/>
              </w:rPr>
              <w:t xml:space="preserve">3.75 / 3.70</w:t>
            </w:r>
          </w:p>
        </w:tc>
        <w:tc>
          <w:tcPr/>
          <w:p>
            <w:pPr>
              <w:pStyle w:val="Compact"/>
            </w:pPr>
          </w:p>
        </w:tc>
      </w:tr>
    </w:tbl>
    <w:p>
      <w:pPr>
        <w:pStyle w:val="BodyText"/>
      </w:pPr>
      <w:r>
        <w:rPr>
          <w:iCs/>
          <w:i/>
        </w:rPr>
        <w:t xml:space="preserve">Evidence rules applied:</w:t>
      </w:r>
      <w:r>
        <w:t xml:space="preserve"> </w:t>
      </w:r>
      <w:r>
        <w:t xml:space="preserve">Rule 2 (self-hosted software) applied: NPV cap not applied; enterprise_readiness and security_compliance scored on what the software enables and on project hygiene, capped at 4; inherits host controls</w:t>
      </w:r>
    </w:p>
    <w:p>
      <w:pPr>
        <w:pStyle w:val="BodyText"/>
      </w:pPr>
      <w:r>
        <w:rPr>
          <w:bCs/>
          <w:b/>
        </w:rPr>
        <w:t xml:space="preserve">Capabilities.</w:t>
      </w:r>
      <w:r>
        <w:t xml:space="preserve"> </w:t>
      </w:r>
      <w:r>
        <w:t xml:space="preserve">Apache-2.0 Python evaluation framework,</w:t>
      </w:r>
      <w:r>
        <w:t xml:space="preserve"> </w:t>
      </w:r>
      <w:r>
        <w:t xml:space="preserve">‘</w:t>
      </w:r>
      <w:r>
        <w:t xml:space="preserve">similar to Pytest but specialised for unit testing LLM apps</w:t>
      </w:r>
      <w:r>
        <w:t xml:space="preserve">’</w:t>
      </w:r>
      <w:r>
        <w:t xml:space="preserve">: LLM-as-a-judge, statistical and NLP metrics, including G-Eval, DAG, RAG faithfulness and contextual recall/precision, and agentic metrics (task completion, tool correctness, plan adherence) with trajectory evaluation; runs in any CI/CD</w:t>
      </w:r>
      <w:r>
        <w:t xml:space="preserve"> </w:t>
      </w:r>
      <w:r>
        <w:rPr>
          <w:rStyle w:val="ClaimLabel"/>
        </w:rPr>
        <w:t xml:space="preserve">VF</w:t>
      </w:r>
      <w:r>
        <w:rPr>
          <w:rStyle w:val="FootnoteReference"/>
        </w:rPr>
        <w:footnoteReference w:id="103"/>
      </w:r>
      <w:r>
        <w:t xml:space="preserve">.</w:t>
      </w:r>
    </w:p>
    <w:p>
      <w:pPr>
        <w:pStyle w:val="BodyText"/>
      </w:pPr>
      <w:r>
        <w:rPr>
          <w:bCs/>
          <w:b/>
        </w:rPr>
        <w:t xml:space="preserve">Strengths</w:t>
      </w:r>
    </w:p>
    <w:p>
      <w:pPr>
        <w:numPr>
          <w:ilvl w:val="0"/>
          <w:numId w:val="1021"/>
        </w:numPr>
        <w:pStyle w:val="Compact"/>
      </w:pPr>
      <w:r>
        <w:t xml:space="preserve">Covers the layer’s research questions directly: faithfulness, contextual recall/precision, tool correctness and trajectory</w:t>
      </w:r>
      <w:r>
        <w:t xml:space="preserve"> </w:t>
      </w:r>
      <w:r>
        <w:rPr>
          <w:rStyle w:val="ClaimLabel"/>
        </w:rPr>
        <w:t xml:space="preserve">VF</w:t>
      </w:r>
      <w:r>
        <w:rPr>
          <w:rStyle w:val="FootnoteReference"/>
        </w:rPr>
        <w:footnoteReference w:id="105"/>
      </w:r>
    </w:p>
    <w:p>
      <w:pPr>
        <w:numPr>
          <w:ilvl w:val="0"/>
          <w:numId w:val="1021"/>
        </w:numPr>
        <w:pStyle w:val="Compact"/>
      </w:pPr>
      <w:r>
        <w:t xml:space="preserve">Runs locally with any LLM as judge or with local NLP models, so evaluation can stay inside the estate</w:t>
      </w:r>
      <w:r>
        <w:t xml:space="preserve"> </w:t>
      </w:r>
      <w:r>
        <w:rPr>
          <w:rStyle w:val="ClaimLabel"/>
        </w:rPr>
        <w:t xml:space="preserve">VF</w:t>
      </w:r>
      <w:r>
        <w:rPr>
          <w:rStyle w:val="FootnoteReference"/>
        </w:rPr>
        <w:footnoteReference w:id="106"/>
      </w:r>
    </w:p>
    <w:p>
      <w:pPr>
        <w:numPr>
          <w:ilvl w:val="0"/>
          <w:numId w:val="1021"/>
        </w:numPr>
        <w:pStyle w:val="Compact"/>
      </w:pPr>
      <w:r>
        <w:t xml:space="preserve">Broad framework integrations (LangGraph, Pydantic AI, CrewAI, OpenAI Agents, Google ADK, LlamaIndex and others)</w:t>
      </w:r>
      <w:r>
        <w:t xml:space="preserve"> </w:t>
      </w:r>
      <w:r>
        <w:rPr>
          <w:rStyle w:val="ClaimLabel"/>
        </w:rPr>
        <w:t xml:space="preserve">VF</w:t>
      </w:r>
      <w:r>
        <w:rPr>
          <w:rStyle w:val="FootnoteReference"/>
        </w:rPr>
        <w:footnoteReference w:id="107"/>
      </w:r>
    </w:p>
    <w:p>
      <w:pPr>
        <w:numPr>
          <w:ilvl w:val="0"/>
          <w:numId w:val="1021"/>
        </w:numPr>
        <w:pStyle w:val="Compact"/>
      </w:pPr>
      <w:r>
        <w:t xml:space="preserve">Apache-2.0</w:t>
      </w:r>
      <w:r>
        <w:t xml:space="preserve"> </w:t>
      </w:r>
      <w:r>
        <w:rPr>
          <w:rStyle w:val="ClaimLabel"/>
        </w:rPr>
        <w:t xml:space="preserve">VF</w:t>
      </w:r>
      <w:r>
        <w:rPr>
          <w:rStyle w:val="FootnoteReference"/>
        </w:rPr>
        <w:footnoteReference w:id="108"/>
      </w:r>
    </w:p>
    <w:p>
      <w:pPr>
        <w:pStyle w:val="FirstParagraph"/>
      </w:pPr>
      <w:r>
        <w:rPr>
          <w:bCs/>
          <w:b/>
        </w:rPr>
        <w:t xml:space="preserve">Limitations and risks</w:t>
      </w:r>
    </w:p>
    <w:p>
      <w:pPr>
        <w:numPr>
          <w:ilvl w:val="0"/>
          <w:numId w:val="1022"/>
        </w:numPr>
        <w:pStyle w:val="Compact"/>
      </w:pPr>
      <w:r>
        <w:t xml:space="preserve">Commercial features steer to the Confident AI platform</w:t>
      </w:r>
      <w:r>
        <w:t xml:space="preserve"> </w:t>
      </w:r>
      <w:r>
        <w:rPr>
          <w:rStyle w:val="ClaimLabel"/>
        </w:rPr>
        <w:t xml:space="preserve">VF</w:t>
      </w:r>
      <w:r>
        <w:rPr>
          <w:rStyle w:val="FootnoteReference"/>
        </w:rPr>
        <w:footnoteReference w:id="110"/>
      </w:r>
    </w:p>
    <w:p>
      <w:pPr>
        <w:numPr>
          <w:ilvl w:val="0"/>
          <w:numId w:val="1022"/>
        </w:numPr>
        <w:pStyle w:val="Compact"/>
      </w:pPr>
      <w:r>
        <w:t xml:space="preserve">OTel export is primarily to Confident AI’s OTLP/HTTP endpoint; export to arbitrary collectors not confirmed</w:t>
      </w:r>
      <w:r>
        <w:t xml:space="preserve"> </w:t>
      </w:r>
      <w:r>
        <w:rPr>
          <w:rStyle w:val="ClaimLabel"/>
        </w:rPr>
        <w:t xml:space="preserve">VF</w:t>
      </w:r>
      <w:r>
        <w:rPr>
          <w:rStyle w:val="FootnoteReference"/>
        </w:rPr>
        <w:footnoteReference w:id="111"/>
      </w:r>
    </w:p>
    <w:p>
      <w:pPr>
        <w:numPr>
          <w:ilvl w:val="0"/>
          <w:numId w:val="1022"/>
        </w:numPr>
        <w:pStyle w:val="Compact"/>
      </w:pPr>
      <w:r>
        <w:t xml:space="preserve">Confident AI certifications are vendor statements with inconsistent plan gating</w:t>
      </w:r>
      <w:r>
        <w:t xml:space="preserve"> </w:t>
      </w:r>
      <w:r>
        <w:rPr>
          <w:rStyle w:val="ClaimLabel"/>
        </w:rPr>
        <w:t xml:space="preserve">VF</w:t>
      </w:r>
      <w:r>
        <w:rPr>
          <w:rStyle w:val="FootnoteReference"/>
        </w:rPr>
        <w:footnoteReference w:id="113"/>
      </w:r>
    </w:p>
    <w:p>
      <w:pPr>
        <w:numPr>
          <w:ilvl w:val="0"/>
          <w:numId w:val="1022"/>
        </w:numPr>
        <w:pStyle w:val="Compact"/>
      </w:pPr>
      <w:r>
        <w:t xml:space="preserve">LLM-judge token spend is the main cost driver</w:t>
      </w:r>
      <w:r>
        <w:t xml:space="preserve"> </w:t>
      </w:r>
      <w:r>
        <w:rPr>
          <w:rStyle w:val="ClaimLabel"/>
        </w:rPr>
        <w:t xml:space="preserve">AJ</w:t>
      </w:r>
    </w:p>
    <w:p>
      <w:pPr>
        <w:numPr>
          <w:ilvl w:val="0"/>
          <w:numId w:val="1022"/>
        </w:numPr>
        <w:pStyle w:val="Compact"/>
      </w:pPr>
      <w:r>
        <w:t xml:space="preserve">Maintainer funding not publicly verified</w:t>
      </w:r>
      <w:r>
        <w:t xml:space="preserve"> </w:t>
      </w:r>
      <w:r>
        <w:rPr>
          <w:rStyle w:val="ClaimLabel"/>
        </w:rPr>
        <w:t xml:space="preserve">NPV</w:t>
      </w:r>
    </w:p>
    <w:p>
      <w:pPr>
        <w:pStyle w:val="FirstParagraph"/>
      </w:pPr>
      <w:r>
        <w:rPr>
          <w:bCs/>
          <w:b/>
        </w:rPr>
        <w:t xml:space="preserve">Choose when</w:t>
      </w:r>
    </w:p>
    <w:p>
      <w:pPr>
        <w:numPr>
          <w:ilvl w:val="0"/>
          <w:numId w:val="1023"/>
        </w:numPr>
        <w:pStyle w:val="Compact"/>
      </w:pPr>
      <w:r>
        <w:t xml:space="preserve">You want a code-first metric library inside pytest and CI, owned and versioned by the engineering team</w:t>
      </w:r>
      <w:r>
        <w:t xml:space="preserve"> </w:t>
      </w:r>
      <w:r>
        <w:rPr>
          <w:rStyle w:val="ClaimLabel"/>
        </w:rPr>
        <w:t xml:space="preserve">AJ</w:t>
      </w:r>
    </w:p>
    <w:p>
      <w:pPr>
        <w:numPr>
          <w:ilvl w:val="0"/>
          <w:numId w:val="1023"/>
        </w:numPr>
        <w:pStyle w:val="Compact"/>
      </w:pPr>
      <w:r>
        <w:t xml:space="preserve">You need agent trajectory and tool-correctness metrics without adopting a platform</w:t>
      </w:r>
      <w:r>
        <w:t xml:space="preserve"> </w:t>
      </w:r>
      <w:r>
        <w:rPr>
          <w:rStyle w:val="ClaimLabel"/>
        </w:rPr>
        <w:t xml:space="preserve">AJ</w:t>
      </w:r>
    </w:p>
    <w:p>
      <w:pPr>
        <w:pStyle w:val="FirstParagraph"/>
      </w:pPr>
      <w:r>
        <w:rPr>
          <w:bCs/>
          <w:b/>
        </w:rPr>
        <w:t xml:space="preserve">Avoid when</w:t>
      </w:r>
    </w:p>
    <w:p>
      <w:pPr>
        <w:numPr>
          <w:ilvl w:val="0"/>
          <w:numId w:val="1024"/>
        </w:numPr>
        <w:pStyle w:val="Compact"/>
      </w:pPr>
      <w:r>
        <w:t xml:space="preserve">You expect a production observability system; DeepEval is a test framework</w:t>
      </w:r>
      <w:r>
        <w:t xml:space="preserve"> </w:t>
      </w:r>
      <w:r>
        <w:rPr>
          <w:rStyle w:val="ClaimLabel"/>
        </w:rPr>
        <w:t xml:space="preserve">AJ</w:t>
      </w:r>
    </w:p>
    <w:p>
      <w:pPr>
        <w:numPr>
          <w:ilvl w:val="0"/>
          <w:numId w:val="1024"/>
        </w:numPr>
        <w:pStyle w:val="Compact"/>
      </w:pPr>
      <w:r>
        <w:t xml:space="preserve">You would rely on its LLM-judge metrics as the sole evidence for validation without calibrating them against human labels</w:t>
      </w:r>
      <w:r>
        <w:t xml:space="preserve"> </w:t>
      </w:r>
      <w:r>
        <w:rPr>
          <w:rStyle w:val="ClaimLabel"/>
        </w:rPr>
        <w:t xml:space="preserve">AJ</w:t>
      </w:r>
    </w:p>
    <w:p>
      <w:pPr>
        <w:pStyle w:val="FirstParagraph"/>
      </w:pPr>
      <w:r>
        <w:rPr>
          <w:bCs/>
          <w:b/>
        </w:rPr>
        <w:t xml:space="preserve">Nearest competitors:</w:t>
      </w:r>
      <w:r>
        <w:t xml:space="preserve"> </w:t>
      </w:r>
      <w:r>
        <w:t xml:space="preserve">L9-promptfoo, L9-mlflow-genai, L9-opik</w:t>
      </w:r>
    </w:p>
    <w:p>
      <w:pPr>
        <w:pStyle w:val="BodyText"/>
      </w:pPr>
      <w:r>
        <w:rPr>
          <w:bCs/>
          <w:b/>
        </w:rPr>
        <w:t xml:space="preserve">Regulated-FS note.</w:t>
      </w:r>
      <w:r>
        <w:t xml:space="preserve"> </w:t>
      </w:r>
      <w:r>
        <w:t xml:space="preserve">Run it inside the firm’s CI with an approved judge model behind the gateway; pin the library and judge versions in the evidence pack so results are reproducible</w:t>
      </w:r>
      <w:r>
        <w:t xml:space="preserve"> </w:t>
      </w:r>
      <w:r>
        <w:rPr>
          <w:rStyle w:val="ClaimLabel"/>
        </w:rPr>
        <w:t xml:space="preserve">AJ</w:t>
      </w:r>
      <w:r>
        <w:t xml:space="preserve">.</w:t>
      </w:r>
    </w:p>
    <w:p>
      <w:pPr>
        <w:pStyle w:val="BodyText"/>
      </w:pPr>
      <w:r>
        <w:rPr>
          <w:bCs/>
          <w:b/>
        </w:rPr>
        <w:t xml:space="preserve">Facts (as of 2026-10-07)</w:t>
      </w:r>
    </w:p>
    <w:tbl>
      <w:tblPr>
        <w:tblStyle w:val="Table"/>
        <w:tblW w:type="pct" w:w="5000"/>
        <w:tblLook w:firstRow="1" w:lastRow="0" w:firstColumn="0" w:lastColumn="0" w:noHBand="0" w:noVBand="0" w:val="0020"/>
        <w:jc w:val="start"/>
      </w:tblPr>
      <w:tblGrid>
        <w:gridCol w:w="1485"/>
        <w:gridCol w:w="4290"/>
        <w:gridCol w:w="1320"/>
        <w:gridCol w:w="825"/>
      </w:tblGrid>
      <w:tr>
        <w:trPr>
          <w:tblHeader w:val="true"/>
        </w:trPr>
        <w:tc>
          <w:tcPr/>
          <w:p>
            <w:pPr>
              <w:pStyle w:val="Compact"/>
              <w:jc w:val="left"/>
            </w:pPr>
            <w:r>
              <w:t xml:space="preserve">Field</w:t>
            </w:r>
          </w:p>
        </w:tc>
        <w:tc>
          <w:tcPr/>
          <w:p>
            <w:pPr>
              <w:pStyle w:val="Compact"/>
              <w:jc w:val="left"/>
            </w:pPr>
            <w:r>
              <w:t xml:space="preserve">Value</w:t>
            </w:r>
          </w:p>
        </w:tc>
        <w:tc>
          <w:tcPr/>
          <w:p>
            <w:pPr>
              <w:pStyle w:val="Compact"/>
              <w:jc w:val="left"/>
            </w:pPr>
            <w:r>
              <w:t xml:space="preserve">Label</w:t>
            </w:r>
          </w:p>
        </w:tc>
        <w:tc>
          <w:tcPr/>
          <w:p>
            <w:pPr>
              <w:pStyle w:val="Compact"/>
              <w:jc w:val="left"/>
            </w:pPr>
            <w:r>
              <w:t xml:space="preserve">Sources</w:t>
            </w:r>
          </w:p>
        </w:tc>
      </w:tr>
      <w:tr>
        <w:tc>
          <w:tcPr/>
          <w:p>
            <w:pPr>
              <w:pStyle w:val="Compact"/>
              <w:jc w:val="left"/>
            </w:pPr>
            <w:r>
              <w:t xml:space="preserve">Company</w:t>
            </w:r>
          </w:p>
        </w:tc>
        <w:tc>
          <w:tcPr/>
          <w:p>
            <w:pPr>
              <w:pStyle w:val="Compact"/>
              <w:jc w:val="left"/>
            </w:pPr>
            <w:r>
              <w:t xml:space="preserve">Confident AI (maintainer; also sells the Confident AI evals and observability platform)</w:t>
            </w:r>
          </w:p>
        </w:tc>
        <w:tc>
          <w:tcPr/>
          <w:p>
            <w:pPr>
              <w:pStyle w:val="Compact"/>
              <w:jc w:val="left"/>
            </w:pPr>
            <w:r>
              <w:t xml:space="preserve">Verified fact</w:t>
            </w:r>
          </w:p>
        </w:tc>
        <w:tc>
          <w:tcPr/>
          <w:p>
            <w:pPr>
              <w:pStyle w:val="Compact"/>
              <w:jc w:val="left"/>
            </w:pPr>
            <w:r>
              <w:t xml:space="preserve">A1-S068, A1-S051</w:t>
            </w:r>
          </w:p>
        </w:tc>
      </w:tr>
      <w:tr>
        <w:tc>
          <w:tcPr/>
          <w:p>
            <w:pPr>
              <w:pStyle w:val="Compact"/>
              <w:jc w:val="left"/>
            </w:pPr>
            <w:r>
              <w:t xml:space="preserve">Category</w:t>
            </w:r>
          </w:p>
        </w:tc>
        <w:tc>
          <w:tcPr/>
          <w:p>
            <w:pPr>
              <w:pStyle w:val="Compact"/>
              <w:jc w:val="left"/>
            </w:pPr>
            <w:r>
              <w:t xml:space="preserve">Open-source LLM evaluation framework (</w:t>
            </w:r>
            <w:r>
              <w:t xml:space="preserve">‘</w:t>
            </w:r>
            <w:r>
              <w:t xml:space="preserve">similar to Pytest but specialised for unit testing LLM apps</w:t>
            </w:r>
            <w:r>
              <w:t xml:space="preserve">’</w:t>
            </w:r>
            <w:r>
              <w:t xml:space="preserve">)</w:t>
            </w:r>
          </w:p>
        </w:tc>
        <w:tc>
          <w:tcPr/>
          <w:p>
            <w:pPr>
              <w:pStyle w:val="Compact"/>
              <w:jc w:val="left"/>
            </w:pPr>
            <w:r>
              <w:t xml:space="preserve">Verified fact</w:t>
            </w:r>
          </w:p>
        </w:tc>
        <w:tc>
          <w:tcPr/>
          <w:p>
            <w:pPr>
              <w:pStyle w:val="Compact"/>
              <w:jc w:val="left"/>
            </w:pPr>
            <w:r>
              <w:t xml:space="preserve">A1-S068</w:t>
            </w:r>
          </w:p>
        </w:tc>
      </w:tr>
      <w:tr>
        <w:tc>
          <w:tcPr/>
          <w:p>
            <w:pPr>
              <w:pStyle w:val="Compact"/>
              <w:jc w:val="left"/>
            </w:pPr>
            <w:r>
              <w:t xml:space="preserve">Version / lineup</w:t>
            </w:r>
          </w:p>
        </w:tc>
        <w:tc>
          <w:tcPr/>
          <w:p>
            <w:pPr>
              <w:pStyle w:val="Compact"/>
              <w:jc w:val="left"/>
            </w:pPr>
            <w:r>
              <w:t xml:space="preserve">deepeval 4.2.8, released 2 October 2026</w:t>
            </w:r>
          </w:p>
        </w:tc>
        <w:tc>
          <w:tcPr/>
          <w:p>
            <w:pPr>
              <w:pStyle w:val="Compact"/>
              <w:jc w:val="left"/>
            </w:pPr>
            <w:r>
              <w:t xml:space="preserve">Verified fact</w:t>
            </w:r>
          </w:p>
        </w:tc>
        <w:tc>
          <w:tcPr/>
          <w:p>
            <w:pPr>
              <w:pStyle w:val="Compact"/>
              <w:jc w:val="left"/>
            </w:pPr>
            <w:r>
              <w:t xml:space="preserve">A1-S005</w:t>
            </w:r>
          </w:p>
        </w:tc>
      </w:tr>
      <w:tr>
        <w:tc>
          <w:tcPr/>
          <w:p>
            <w:pPr>
              <w:pStyle w:val="Compact"/>
              <w:jc w:val="left"/>
            </w:pPr>
            <w:r>
              <w:t xml:space="preserve">Licence</w:t>
            </w:r>
          </w:p>
        </w:tc>
        <w:tc>
          <w:tcPr/>
          <w:p>
            <w:pPr>
              <w:pStyle w:val="Compact"/>
              <w:jc w:val="left"/>
            </w:pPr>
            <w:r>
              <w:t xml:space="preserve">Apache-2.0 (framework); Confident AI platform is commercial</w:t>
            </w:r>
          </w:p>
        </w:tc>
        <w:tc>
          <w:tcPr/>
          <w:p>
            <w:pPr>
              <w:pStyle w:val="Compact"/>
              <w:jc w:val="left"/>
            </w:pPr>
            <w:r>
              <w:t xml:space="preserve">Verified fact</w:t>
            </w:r>
          </w:p>
        </w:tc>
        <w:tc>
          <w:tcPr/>
          <w:p>
            <w:pPr>
              <w:pStyle w:val="Compact"/>
              <w:jc w:val="left"/>
            </w:pPr>
            <w:r>
              <w:t xml:space="preserve">A1-S051, A1-S005, A1-S068</w:t>
            </w:r>
          </w:p>
        </w:tc>
      </w:tr>
      <w:tr>
        <w:tc>
          <w:tcPr/>
          <w:p>
            <w:pPr>
              <w:pStyle w:val="Compact"/>
              <w:jc w:val="left"/>
            </w:pPr>
            <w:r>
              <w:t xml:space="preserve">Strategic direction</w:t>
            </w:r>
          </w:p>
        </w:tc>
        <w:tc>
          <w:tcPr/>
          <w:p>
            <w:pPr>
              <w:pStyle w:val="Compact"/>
              <w:jc w:val="left"/>
            </w:pPr>
            <w:r>
              <w:t xml:space="preserve">Agentic metrics (task completion, tool correctness, plan adherence), trajectory evaluation, JevEval metric; Confident AI positioned for organisation-wide quality standards, native red teaming and an MCP server</w:t>
            </w:r>
          </w:p>
        </w:tc>
        <w:tc>
          <w:tcPr/>
          <w:p>
            <w:pPr>
              <w:pStyle w:val="Compact"/>
              <w:jc w:val="left"/>
            </w:pPr>
            <w:r>
              <w:t xml:space="preserve">Verified fact</w:t>
            </w:r>
          </w:p>
        </w:tc>
        <w:tc>
          <w:tcPr/>
          <w:p>
            <w:pPr>
              <w:pStyle w:val="Compact"/>
              <w:jc w:val="left"/>
            </w:pPr>
            <w:r>
              <w:t xml:space="preserve">A1-S068</w:t>
            </w:r>
          </w:p>
        </w:tc>
      </w:tr>
      <w:tr>
        <w:tc>
          <w:tcPr/>
          <w:p>
            <w:pPr>
              <w:pStyle w:val="Compact"/>
              <w:jc w:val="left"/>
            </w:pPr>
            <w:r>
              <w:t xml:space="preserve">What it does</w:t>
            </w:r>
          </w:p>
        </w:tc>
        <w:tc>
          <w:tcPr/>
          <w:p>
            <w:pPr>
              <w:pStyle w:val="Compact"/>
              <w:jc w:val="left"/>
            </w:pPr>
            <w:r>
              <w:t xml:space="preserve">Provides ready-made LLM-as-a-judge, statistical and NLP metrics (G-Eval, DAG, RAG metrics such as faithfulness and contextual recall/precision, agentic metrics) that run as test cases, including in CI/CD.</w:t>
            </w:r>
          </w:p>
        </w:tc>
        <w:tc>
          <w:tcPr/>
          <w:p>
            <w:pPr>
              <w:pStyle w:val="Compact"/>
              <w:jc w:val="left"/>
            </w:pPr>
            <w:r>
              <w:t xml:space="preserve">Verified fact</w:t>
            </w:r>
          </w:p>
        </w:tc>
        <w:tc>
          <w:tcPr/>
          <w:p>
            <w:pPr>
              <w:pStyle w:val="Compact"/>
              <w:jc w:val="left"/>
            </w:pPr>
            <w:r>
              <w:t xml:space="preserve">A1-S068</w:t>
            </w:r>
          </w:p>
        </w:tc>
      </w:tr>
      <w:tr>
        <w:tc>
          <w:tcPr/>
          <w:p>
            <w:pPr>
              <w:pStyle w:val="Compact"/>
              <w:jc w:val="left"/>
            </w:pPr>
            <w:r>
              <w:t xml:space="preserve">Stack position</w:t>
            </w:r>
          </w:p>
        </w:tc>
        <w:tc>
          <w:tcPr/>
          <w:p>
            <w:pPr>
              <w:pStyle w:val="Compact"/>
              <w:jc w:val="left"/>
            </w:pPr>
            <w:r>
              <w:t xml:space="preserve">Developer-side evaluation library feeding CI; production observability comes from Confident AI or another platform. Graphic label</w:t>
            </w:r>
            <w:r>
              <w:t xml:space="preserve"> </w:t>
            </w:r>
            <w:r>
              <w:t xml:space="preserve">‘</w:t>
            </w:r>
            <w:r>
              <w:t xml:space="preserve">LLM unit tests</w:t>
            </w:r>
            <w:r>
              <w:t xml:space="preserve">’</w:t>
            </w:r>
            <w:r>
              <w:t xml:space="preserve"> </w:t>
            </w:r>
            <w:r>
              <w:t xml:space="preserve">is accurate.</w:t>
            </w:r>
          </w:p>
        </w:tc>
        <w:tc>
          <w:tcPr/>
          <w:p>
            <w:pPr>
              <w:pStyle w:val="Compact"/>
              <w:jc w:val="left"/>
            </w:pPr>
            <w:r>
              <w:t xml:space="preserve">Verified fact</w:t>
            </w:r>
          </w:p>
        </w:tc>
        <w:tc>
          <w:tcPr/>
          <w:p>
            <w:pPr>
              <w:pStyle w:val="Compact"/>
              <w:jc w:val="left"/>
            </w:pPr>
            <w:r>
              <w:t xml:space="preserve">A1-S068</w:t>
            </w:r>
          </w:p>
        </w:tc>
      </w:tr>
      <w:tr>
        <w:tc>
          <w:tcPr/>
          <w:p>
            <w:pPr>
              <w:pStyle w:val="Compact"/>
              <w:jc w:val="left"/>
            </w:pPr>
            <w:r>
              <w:t xml:space="preserve">Integration</w:t>
            </w:r>
          </w:p>
        </w:tc>
        <w:tc>
          <w:tcPr/>
          <w:p>
            <w:pPr>
              <w:pStyle w:val="Compact"/>
              <w:jc w:val="left"/>
            </w:pPr>
            <w:r>
              <w:t xml:space="preserve">Python and TypeScript integrations (LangChain/LangGraph callbacks, Pydantic AI, CrewAI, OpenAI Agents, AWS AgentCore, Google ADK, AI SDK, Mastra, LlamaIndex, Strands); runs in any CI/CD; OpenTelemetry: ConfidentSpanExporter and framework OTel span processors export to Confident AI’s OTLP/HTTP endpoint (no gRPC), regional endpoint via CONFIDENT_OTEL_URL, run_otel exports evaluation-run spans to an OTLP endpoint</w:t>
            </w:r>
          </w:p>
        </w:tc>
        <w:tc>
          <w:tcPr/>
          <w:p>
            <w:pPr>
              <w:pStyle w:val="Compact"/>
              <w:jc w:val="left"/>
            </w:pPr>
            <w:r>
              <w:t xml:space="preserve">Verified fact</w:t>
            </w:r>
          </w:p>
        </w:tc>
        <w:tc>
          <w:tcPr/>
          <w:p>
            <w:pPr>
              <w:pStyle w:val="Compact"/>
              <w:jc w:val="left"/>
            </w:pPr>
            <w:r>
              <w:t xml:space="preserve">A1-S068, A1-S121</w:t>
            </w:r>
          </w:p>
        </w:tc>
      </w:tr>
      <w:tr>
        <w:tc>
          <w:tcPr/>
          <w:p>
            <w:pPr>
              <w:pStyle w:val="Compact"/>
              <w:jc w:val="left"/>
            </w:pPr>
            <w:r>
              <w:t xml:space="preserve">Dependencies</w:t>
            </w:r>
          </w:p>
        </w:tc>
        <w:tc>
          <w:tcPr/>
          <w:p>
            <w:pPr>
              <w:pStyle w:val="Compact"/>
              <w:jc w:val="left"/>
            </w:pPr>
            <w:r>
              <w:t xml:space="preserve">Python library; metrics use any LLM as judge or local NLP models</w:t>
            </w:r>
          </w:p>
        </w:tc>
        <w:tc>
          <w:tcPr/>
          <w:p>
            <w:pPr>
              <w:pStyle w:val="Compact"/>
              <w:jc w:val="left"/>
            </w:pPr>
            <w:r>
              <w:t xml:space="preserve">Verified fact</w:t>
            </w:r>
          </w:p>
        </w:tc>
        <w:tc>
          <w:tcPr/>
          <w:p>
            <w:pPr>
              <w:pStyle w:val="Compact"/>
              <w:jc w:val="left"/>
            </w:pPr>
            <w:r>
              <w:t xml:space="preserve">A1-S068</w:t>
            </w:r>
          </w:p>
        </w:tc>
      </w:tr>
      <w:tr>
        <w:tc>
          <w:tcPr/>
          <w:p>
            <w:pPr>
              <w:pStyle w:val="Compact"/>
              <w:jc w:val="left"/>
            </w:pPr>
            <w:r>
              <w:t xml:space="preserve">Certifications</w:t>
            </w:r>
          </w:p>
        </w:tc>
        <w:tc>
          <w:tcPr/>
          <w:p>
            <w:pPr>
              <w:pStyle w:val="Compact"/>
              <w:jc w:val="left"/>
            </w:pPr>
            <w:r>
              <w:t xml:space="preserve">Confident AI states SOC 2 and HIPAA compliance (HIPAA BAA); plan gating conflicts between pages (Team-and-above vs Enterprise/Premium add-on); self-hosted compliance depends on customer environment</w:t>
            </w:r>
          </w:p>
        </w:tc>
        <w:tc>
          <w:tcPr/>
          <w:p>
            <w:pPr>
              <w:pStyle w:val="Compact"/>
              <w:jc w:val="left"/>
            </w:pPr>
            <w:r>
              <w:t xml:space="preserve">Verified fact</w:t>
            </w:r>
          </w:p>
        </w:tc>
        <w:tc>
          <w:tcPr/>
          <w:p>
            <w:pPr>
              <w:pStyle w:val="Compact"/>
              <w:jc w:val="left"/>
            </w:pPr>
            <w:r>
              <w:t xml:space="preserve">A1-S119</w:t>
            </w:r>
          </w:p>
        </w:tc>
      </w:tr>
      <w:tr>
        <w:tc>
          <w:tcPr/>
          <w:p>
            <w:pPr>
              <w:pStyle w:val="Compact"/>
              <w:jc w:val="left"/>
            </w:pPr>
            <w:r>
              <w:t xml:space="preserve">GDPR / residency</w:t>
            </w:r>
          </w:p>
        </w:tc>
        <w:tc>
          <w:tcPr/>
          <w:p>
            <w:pPr>
              <w:pStyle w:val="Compact"/>
              <w:jc w:val="left"/>
            </w:pPr>
            <w:r>
              <w:t xml:space="preserve">Confident AI regions: US (default, North Carolina), EU (Frankfurt) and AU; GDPR handling applies to EU-region data; EU hosting may need a higher plan or add-on (pages conflict)</w:t>
            </w:r>
          </w:p>
        </w:tc>
        <w:tc>
          <w:tcPr/>
          <w:p>
            <w:pPr>
              <w:pStyle w:val="Compact"/>
              <w:jc w:val="left"/>
            </w:pPr>
            <w:r>
              <w:t xml:space="preserve">Verified fact</w:t>
            </w:r>
          </w:p>
        </w:tc>
        <w:tc>
          <w:tcPr/>
          <w:p>
            <w:pPr>
              <w:pStyle w:val="Compact"/>
              <w:jc w:val="left"/>
            </w:pPr>
            <w:r>
              <w:t xml:space="preserve">A1-S119</w:t>
            </w:r>
          </w:p>
        </w:tc>
      </w:tr>
      <w:tr>
        <w:tc>
          <w:tcPr/>
          <w:p>
            <w:pPr>
              <w:pStyle w:val="Compact"/>
              <w:jc w:val="left"/>
            </w:pPr>
            <w:r>
              <w:t xml:space="preserve">Security features</w:t>
            </w:r>
          </w:p>
        </w:tc>
        <w:tc>
          <w:tcPr/>
          <w:p>
            <w:pPr>
              <w:pStyle w:val="Compact"/>
              <w:jc w:val="left"/>
            </w:pPr>
            <w:r>
              <w:t xml:space="preserve">Encryption at rest and TLS in transit (Confident AI); self-hosted keeps keys and data in customer cloud account</w:t>
            </w:r>
          </w:p>
        </w:tc>
        <w:tc>
          <w:tcPr/>
          <w:p>
            <w:pPr>
              <w:pStyle w:val="Compact"/>
              <w:jc w:val="left"/>
            </w:pPr>
            <w:r>
              <w:t xml:space="preserve">Verified fact</w:t>
            </w:r>
          </w:p>
        </w:tc>
        <w:tc>
          <w:tcPr/>
          <w:p>
            <w:pPr>
              <w:pStyle w:val="Compact"/>
              <w:jc w:val="left"/>
            </w:pPr>
            <w:r>
              <w:t xml:space="preserve">A1-S119</w:t>
            </w:r>
          </w:p>
        </w:tc>
      </w:tr>
      <w:tr>
        <w:tc>
          <w:tcPr/>
          <w:p>
            <w:pPr>
              <w:pStyle w:val="Compact"/>
              <w:jc w:val="left"/>
            </w:pPr>
            <w:r>
              <w:t xml:space="preserve">Access controls</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Enterprise support</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Pricing</w:t>
            </w:r>
          </w:p>
        </w:tc>
        <w:tc>
          <w:tcPr/>
          <w:p>
            <w:pPr>
              <w:pStyle w:val="Compact"/>
              <w:jc w:val="left"/>
            </w:pPr>
            <w:r>
              <w:t xml:space="preserve">DeepEval framework free (Apache-2.0); Confident AI: Free (2 seats, 1 project, 1 GB-month spans), Starter US$200/month (unlimited seats, 5 projects, 5 GB-months, then US$1 per GB-month), Team US$2,000/month (75 GB-months), Enterprise custom</w:t>
            </w:r>
          </w:p>
        </w:tc>
        <w:tc>
          <w:tcPr/>
          <w:p>
            <w:pPr>
              <w:pStyle w:val="Compact"/>
              <w:jc w:val="left"/>
            </w:pPr>
            <w:r>
              <w:t xml:space="preserve">Verified fact</w:t>
            </w:r>
          </w:p>
        </w:tc>
        <w:tc>
          <w:tcPr/>
          <w:p>
            <w:pPr>
              <w:pStyle w:val="Compact"/>
              <w:jc w:val="left"/>
            </w:pPr>
            <w:r>
              <w:t xml:space="preserve">A1-S051, A1-S120</w:t>
            </w:r>
          </w:p>
        </w:tc>
      </w:tr>
      <w:tr>
        <w:tc>
          <w:tcPr/>
          <w:p>
            <w:pPr>
              <w:pStyle w:val="Compact"/>
              <w:jc w:val="left"/>
            </w:pPr>
            <w:r>
              <w:t xml:space="preserve">Infrastructure cost</w:t>
            </w:r>
          </w:p>
        </w:tc>
        <w:tc>
          <w:tcPr/>
          <w:p>
            <w:pPr>
              <w:pStyle w:val="Compact"/>
              <w:jc w:val="left"/>
            </w:pPr>
            <w:r>
              <w:t xml:space="preserve">Main cost driver is LLM-judge token spend per evaluation run</w:t>
            </w:r>
          </w:p>
        </w:tc>
        <w:tc>
          <w:tcPr/>
          <w:p>
            <w:pPr>
              <w:pStyle w:val="Compact"/>
              <w:jc w:val="left"/>
            </w:pPr>
            <w:r>
              <w:t xml:space="preserve">Architectural judgement</w:t>
            </w:r>
          </w:p>
        </w:tc>
        <w:tc>
          <w:tcPr/>
          <w:p>
            <w:pPr>
              <w:pStyle w:val="Compact"/>
            </w:pPr>
          </w:p>
        </w:tc>
      </w:tr>
      <w:tr>
        <w:tc>
          <w:tcPr/>
          <w:p>
            <w:pPr>
              <w:pStyle w:val="Compact"/>
              <w:jc w:val="left"/>
            </w:pPr>
            <w:r>
              <w:t xml:space="preserve">Ecosystem</w:t>
            </w:r>
          </w:p>
        </w:tc>
        <w:tc>
          <w:tcPr/>
          <w:p>
            <w:pPr>
              <w:pStyle w:val="Compact"/>
              <w:jc w:val="left"/>
            </w:pPr>
            <w:r>
              <w:t xml:space="preserve">Broad framework integrations listed above</w:t>
            </w:r>
          </w:p>
        </w:tc>
        <w:tc>
          <w:tcPr/>
          <w:p>
            <w:pPr>
              <w:pStyle w:val="Compact"/>
              <w:jc w:val="left"/>
            </w:pPr>
            <w:r>
              <w:t xml:space="preserve">Verified fact</w:t>
            </w:r>
          </w:p>
        </w:tc>
        <w:tc>
          <w:tcPr/>
          <w:p>
            <w:pPr>
              <w:pStyle w:val="Compact"/>
              <w:jc w:val="left"/>
            </w:pPr>
            <w:r>
              <w:t xml:space="preserve">A1-S068</w:t>
            </w:r>
          </w:p>
        </w:tc>
      </w:tr>
      <w:tr>
        <w:tc>
          <w:tcPr/>
          <w:p>
            <w:pPr>
              <w:pStyle w:val="Compact"/>
              <w:jc w:val="left"/>
            </w:pPr>
            <w:r>
              <w:t xml:space="preserve">Adoption signals</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Maturity</w:t>
            </w:r>
          </w:p>
        </w:tc>
        <w:tc>
          <w:tcPr/>
          <w:p>
            <w:pPr>
              <w:pStyle w:val="Compact"/>
              <w:jc w:val="left"/>
            </w:pPr>
            <w:r>
              <w:t xml:space="preserve">First PyPI release 15 August 2023; 527 releases to 2 October 2026</w:t>
            </w:r>
          </w:p>
        </w:tc>
        <w:tc>
          <w:tcPr/>
          <w:p>
            <w:pPr>
              <w:pStyle w:val="Compact"/>
              <w:jc w:val="left"/>
            </w:pPr>
            <w:r>
              <w:t xml:space="preserve">Verified fact</w:t>
            </w:r>
          </w:p>
        </w:tc>
        <w:tc>
          <w:tcPr/>
          <w:p>
            <w:pPr>
              <w:pStyle w:val="Compact"/>
              <w:jc w:val="left"/>
            </w:pPr>
            <w:r>
              <w:t xml:space="preserve">A1-S005</w:t>
            </w:r>
          </w:p>
        </w:tc>
      </w:tr>
      <w:tr>
        <w:tc>
          <w:tcPr/>
          <w:p>
            <w:pPr>
              <w:pStyle w:val="Compact"/>
              <w:jc w:val="left"/>
            </w:pPr>
            <w:r>
              <w:t xml:space="preserve">Deployment</w:t>
            </w:r>
          </w:p>
        </w:tc>
        <w:tc>
          <w:tcPr/>
          <w:p>
            <w:pPr>
              <w:pStyle w:val="Compact"/>
              <w:jc w:val="left"/>
            </w:pPr>
            <w:r>
              <w:t xml:space="preserve">saas: Yes (Confident AI platform); managed_cloud: Not publicly verified; vpc_byoc: Yes (Enterprise: deploy in own VPC via Terraform module); private_cloud: Yes (AWS, Azure, GCP); self_hosted: Yes (library runs locally; platform self-host on Enterprise); on_prem: Yes (on-prem on Enterprise, per vendor homepage)</w:t>
            </w:r>
          </w:p>
        </w:tc>
        <w:tc>
          <w:tcPr/>
          <w:p>
            <w:pPr>
              <w:pStyle w:val="Compact"/>
            </w:pPr>
          </w:p>
        </w:tc>
        <w:tc>
          <w:tcPr/>
          <w:p>
            <w:pPr>
              <w:pStyle w:val="Compact"/>
            </w:pPr>
          </w:p>
        </w:tc>
      </w:tr>
    </w:tbl>
    <w:bookmarkEnd w:id="115"/>
    <w:bookmarkStart w:id="131" w:name="promptfoo-l9-promptfoo"/>
    <w:p>
      <w:pPr>
        <w:pStyle w:val="Heading2"/>
      </w:pPr>
      <w:r>
        <w:t xml:space="preserve">Promptfoo (</w:t>
      </w:r>
      <w:r>
        <w:rPr>
          <w:rStyle w:val="VerbatimChar"/>
        </w:rPr>
        <w:t xml:space="preserve">L9-promptfoo</w:t>
      </w:r>
      <w:r>
        <w:t xml:space="preserve">)</w:t>
      </w:r>
    </w:p>
    <w:p>
      <w:pPr>
        <w:pStyle w:val="FirstParagraph"/>
      </w:pPr>
      <w:r>
        <w:rPr>
          <w:bCs/>
          <w:b/>
        </w:rPr>
        <w:t xml:space="preserve">Tier:</w:t>
      </w:r>
      <w:r>
        <w:t xml:space="preserve"> </w:t>
      </w:r>
      <w:r>
        <w:t xml:space="preserve">Tactical ·</w:t>
      </w:r>
      <w:r>
        <w:t xml:space="preserve"> </w:t>
      </w:r>
      <w:r>
        <w:rPr>
          <w:bCs/>
          <w:b/>
        </w:rPr>
        <w:t xml:space="preserve">Flags:</w:t>
      </w:r>
      <w:r>
        <w:t xml:space="preserve"> </w:t>
      </w:r>
      <w:r>
        <w:t xml:space="preserve">Acquired ·</w:t>
      </w:r>
      <w:r>
        <w:t xml:space="preserve"> </w:t>
      </w:r>
      <w:r>
        <w:rPr>
          <w:bCs/>
          <w:b/>
        </w:rPr>
        <w:t xml:space="preserve">Original graphic label:</w:t>
      </w:r>
      <w:r>
        <w:t xml:space="preserve"> </w:t>
      </w:r>
      <w:r>
        <w:t xml:space="preserve">Promptfoo – red-teaming</w:t>
      </w:r>
    </w:p>
    <w:p>
      <w:pPr>
        <w:pStyle w:val="BodyText"/>
      </w:pPr>
      <w:r>
        <w:rPr>
          <w:iCs/>
          <w:i/>
        </w:rPr>
        <w:t xml:space="preserve">Rationale:</w:t>
      </w:r>
      <w:r>
        <w:t xml:space="preserve"> </w:t>
      </w:r>
      <w:r>
        <w:t xml:space="preserve">Valuable eval and red-team harness under MIT, but now owned by a model vendor with an unpublished closing date; use as one of two red-team tools, not the sole independent check</w:t>
      </w:r>
      <w:r>
        <w:t xml:space="preserve"> </w:t>
      </w:r>
      <w:r>
        <w:rPr>
          <w:rStyle w:val="ClaimLabel"/>
        </w:rPr>
        <w:t xml:space="preserve">AJ</w:t>
      </w:r>
      <w:r>
        <w:t xml:space="preserve">.</w:t>
      </w:r>
    </w:p>
    <w:tbl>
      <w:tblPr>
        <w:tblStyle w:val="Table"/>
        <w:tblW w:type="pct" w:w="5000"/>
        <w:tblLook w:firstRow="1" w:lastRow="0" w:firstColumn="0" w:lastColumn="0" w:noHBand="0" w:noVBand="0" w:val="0020"/>
        <w:jc w:val="start"/>
      </w:tblPr>
      <w:tblGrid>
        <w:gridCol w:w="1545"/>
        <w:gridCol w:w="579"/>
        <w:gridCol w:w="5795"/>
      </w:tblGrid>
      <w:tr>
        <w:trPr>
          <w:tblHeader w:val="true"/>
        </w:trPr>
        <w:tc>
          <w:tcPr/>
          <w:p>
            <w:pPr>
              <w:pStyle w:val="Compact"/>
              <w:jc w:val="left"/>
            </w:pPr>
            <w:r>
              <w:t xml:space="preserve">Criterion</w:t>
            </w:r>
          </w:p>
        </w:tc>
        <w:tc>
          <w:tcPr/>
          <w:p>
            <w:pPr>
              <w:pStyle w:val="Compact"/>
              <w:jc w:val="right"/>
            </w:pPr>
            <w:r>
              <w:t xml:space="preserve">Score</w:t>
            </w:r>
          </w:p>
        </w:tc>
        <w:tc>
          <w:tcPr/>
          <w:p>
            <w:pPr>
              <w:pStyle w:val="Compact"/>
              <w:jc w:val="left"/>
            </w:pPr>
            <w:r>
              <w:t xml:space="preserve">Rationale</w:t>
            </w:r>
          </w:p>
        </w:tc>
      </w:tr>
      <w:tr>
        <w:tc>
          <w:tcPr/>
          <w:p>
            <w:pPr>
              <w:pStyle w:val="Compact"/>
              <w:jc w:val="left"/>
            </w:pPr>
            <w:r>
              <w:t xml:space="preserve">Technical</w:t>
            </w:r>
          </w:p>
        </w:tc>
        <w:tc>
          <w:tcPr/>
          <w:p>
            <w:pPr>
              <w:pStyle w:val="Compact"/>
              <w:jc w:val="right"/>
            </w:pPr>
            <w:r>
              <w:t xml:space="preserve">4</w:t>
            </w:r>
          </w:p>
        </w:tc>
        <w:tc>
          <w:tcPr/>
          <w:p>
            <w:pPr>
              <w:pStyle w:val="Compact"/>
              <w:jc w:val="left"/>
            </w:pPr>
            <w:r>
              <w:t xml:space="preserve">Regression evals, red-teaming, model comparison and PR code scanning; not a production trace store.</w:t>
            </w:r>
          </w:p>
        </w:tc>
      </w:tr>
      <w:tr>
        <w:tc>
          <w:tcPr/>
          <w:p>
            <w:pPr>
              <w:pStyle w:val="Compact"/>
              <w:jc w:val="left"/>
            </w:pPr>
            <w:r>
              <w:t xml:space="preserve">Enterprise readiness</w:t>
            </w:r>
          </w:p>
        </w:tc>
        <w:tc>
          <w:tcPr/>
          <w:p>
            <w:pPr>
              <w:pStyle w:val="Compact"/>
              <w:jc w:val="right"/>
            </w:pPr>
            <w:r>
              <w:t xml:space="preserve">3</w:t>
            </w:r>
          </w:p>
        </w:tc>
        <w:tc>
          <w:tcPr/>
          <w:p>
            <w:pPr>
              <w:pStyle w:val="Compact"/>
              <w:jc w:val="left"/>
            </w:pPr>
            <w:r>
              <w:t xml:space="preserve">Enterprise RBAC, team management, SLA and professional services; SSO and audit logs not documented.</w:t>
            </w:r>
          </w:p>
        </w:tc>
      </w:tr>
      <w:tr>
        <w:tc>
          <w:tcPr/>
          <w:p>
            <w:pPr>
              <w:pStyle w:val="Compact"/>
              <w:jc w:val="left"/>
            </w:pPr>
            <w:r>
              <w:t xml:space="preserve">Security and compliance</w:t>
            </w:r>
          </w:p>
        </w:tc>
        <w:tc>
          <w:tcPr/>
          <w:p>
            <w:pPr>
              <w:pStyle w:val="Compact"/>
              <w:jc w:val="right"/>
            </w:pPr>
            <w:r>
              <w:t xml:space="preserve">3</w:t>
            </w:r>
          </w:p>
        </w:tc>
        <w:tc>
          <w:tcPr/>
          <w:p>
            <w:pPr>
              <w:pStyle w:val="Compact"/>
              <w:jc w:val="left"/>
            </w:pPr>
            <w:r>
              <w:t xml:space="preserve">Scored as a locally run MIT CLI (rule 2): inherits host controls, local-only execution. Enterprise SaaS certifications are NPV and would cap that edition at 2.</w:t>
            </w:r>
          </w:p>
        </w:tc>
      </w:tr>
      <w:tr>
        <w:tc>
          <w:tcPr/>
          <w:p>
            <w:pPr>
              <w:pStyle w:val="Compact"/>
              <w:jc w:val="left"/>
            </w:pPr>
            <w:r>
              <w:t xml:space="preserve">Deployment flexibility</w:t>
            </w:r>
          </w:p>
        </w:tc>
        <w:tc>
          <w:tcPr/>
          <w:p>
            <w:pPr>
              <w:pStyle w:val="Compact"/>
              <w:jc w:val="right"/>
            </w:pPr>
            <w:r>
              <w:t xml:space="preserve">5</w:t>
            </w:r>
          </w:p>
        </w:tc>
        <w:tc>
          <w:tcPr/>
          <w:p>
            <w:pPr>
              <w:pStyle w:val="Compact"/>
              <w:jc w:val="left"/>
            </w:pPr>
            <w:r>
              <w:t xml:space="preserve">Local CLI, Enterprise SaaS, and On-Prem on AWS, Azure or GCP with a dedicated runner.</w:t>
            </w:r>
          </w:p>
        </w:tc>
      </w:tr>
      <w:tr>
        <w:tc>
          <w:tcPr/>
          <w:p>
            <w:pPr>
              <w:pStyle w:val="Compact"/>
              <w:jc w:val="left"/>
            </w:pPr>
            <w:r>
              <w:t xml:space="preserve">Ecosystem</w:t>
            </w:r>
          </w:p>
        </w:tc>
        <w:tc>
          <w:tcPr/>
          <w:p>
            <w:pPr>
              <w:pStyle w:val="Compact"/>
              <w:jc w:val="right"/>
            </w:pPr>
            <w:r>
              <w:t xml:space="preserve">4</w:t>
            </w:r>
          </w:p>
        </w:tc>
        <w:tc>
          <w:tcPr/>
          <w:p>
            <w:pPr>
              <w:pStyle w:val="Compact"/>
              <w:jc w:val="left"/>
            </w:pPr>
            <w:r>
              <w:t xml:space="preserve">CI integrations, OTLP receiver, many providers, OWASP/NIST reports.</w:t>
            </w:r>
          </w:p>
        </w:tc>
      </w:tr>
      <w:tr>
        <w:tc>
          <w:tcPr/>
          <w:p>
            <w:pPr>
              <w:pStyle w:val="Compact"/>
              <w:jc w:val="left"/>
            </w:pPr>
            <w:r>
              <w:t xml:space="preserve">Reliability and maturity</w:t>
            </w:r>
          </w:p>
        </w:tc>
        <w:tc>
          <w:tcPr/>
          <w:p>
            <w:pPr>
              <w:pStyle w:val="Compact"/>
              <w:jc w:val="right"/>
            </w:pPr>
            <w:r>
              <w:t xml:space="preserve">3</w:t>
            </w:r>
          </w:p>
        </w:tc>
        <w:tc>
          <w:tcPr/>
          <w:p>
            <w:pPr>
              <w:pStyle w:val="Compact"/>
              <w:jc w:val="left"/>
            </w:pPr>
            <w:r>
              <w:t xml:space="preserve">Frequent releases since 2023 but pre-1.0; acquisition announced 9 March 2026, closing not published.</w:t>
            </w:r>
          </w:p>
        </w:tc>
      </w:tr>
      <w:tr>
        <w:tc>
          <w:tcPr/>
          <w:p>
            <w:pPr>
              <w:pStyle w:val="Compact"/>
              <w:jc w:val="left"/>
            </w:pPr>
            <w:r>
              <w:t xml:space="preserve">Cost / TCO</w:t>
            </w:r>
          </w:p>
        </w:tc>
        <w:tc>
          <w:tcPr/>
          <w:p>
            <w:pPr>
              <w:pStyle w:val="Compact"/>
              <w:jc w:val="right"/>
            </w:pPr>
            <w:r>
              <w:t xml:space="preserve">4</w:t>
            </w:r>
          </w:p>
        </w:tc>
        <w:tc>
          <w:tcPr/>
          <w:p>
            <w:pPr>
              <w:pStyle w:val="Compact"/>
              <w:jc w:val="left"/>
            </w:pPr>
            <w:r>
              <w:t xml:space="preserve">Free MIT CLI; attack-generation and grader model spend.</w:t>
            </w:r>
          </w:p>
        </w:tc>
      </w:tr>
      <w:tr>
        <w:tc>
          <w:tcPr/>
          <w:p>
            <w:pPr>
              <w:pStyle w:val="Compact"/>
              <w:jc w:val="left"/>
            </w:pPr>
            <w:r>
              <w:t xml:space="preserve">Lock-in / portability</w:t>
            </w:r>
          </w:p>
        </w:tc>
        <w:tc>
          <w:tcPr/>
          <w:p>
            <w:pPr>
              <w:pStyle w:val="Compact"/>
              <w:jc w:val="right"/>
            </w:pPr>
            <w:r>
              <w:t xml:space="preserve">3</w:t>
            </w:r>
          </w:p>
        </w:tc>
        <w:tc>
          <w:tcPr/>
          <w:p>
            <w:pPr>
              <w:pStyle w:val="Compact"/>
              <w:jc w:val="left"/>
            </w:pPr>
            <w:r>
              <w:t xml:space="preserve">Base 4 (MIT, portable configs) reduced by 1 for the announced acquisition; governance is vendor-controlled.</w:t>
            </w:r>
          </w:p>
        </w:tc>
      </w:tr>
      <w:tr>
        <w:tc>
          <w:tcPr/>
          <w:p>
            <w:pPr>
              <w:pStyle w:val="Compact"/>
              <w:jc w:val="left"/>
            </w:pPr>
            <w:r>
              <w:rPr>
                <w:bCs/>
                <w:b/>
              </w:rPr>
              <w:t xml:space="preserve">Total (generic / FS)</w:t>
            </w:r>
          </w:p>
        </w:tc>
        <w:tc>
          <w:tcPr/>
          <w:p>
            <w:pPr>
              <w:pStyle w:val="Compact"/>
              <w:jc w:val="right"/>
            </w:pPr>
            <w:r>
              <w:rPr>
                <w:bCs/>
                <w:b/>
              </w:rPr>
              <w:t xml:space="preserve">3.70 / 3.55</w:t>
            </w:r>
          </w:p>
        </w:tc>
        <w:tc>
          <w:tcPr/>
          <w:p>
            <w:pPr>
              <w:pStyle w:val="Compact"/>
            </w:pPr>
          </w:p>
        </w:tc>
      </w:tr>
    </w:tbl>
    <w:p>
      <w:pPr>
        <w:pStyle w:val="BodyText"/>
      </w:pPr>
      <w:r>
        <w:rPr>
          <w:iCs/>
          <w:i/>
        </w:rPr>
        <w:t xml:space="preserve">Evidence rules applied:</w:t>
      </w:r>
      <w:r>
        <w:t xml:space="preserve"> </w:t>
      </w:r>
      <w:r>
        <w:t xml:space="preserve">Rule 2 (self-hosted software) applied: NPV cap not applied; enterprise_readiness and security_compliance scored on what the software enables and on project hygiene, capped at 4; inherits host controls</w:t>
      </w:r>
    </w:p>
    <w:p>
      <w:pPr>
        <w:pStyle w:val="BodyText"/>
      </w:pPr>
      <w:r>
        <w:rPr>
          <w:bCs/>
          <w:b/>
        </w:rPr>
        <w:t xml:space="preserve">Capabilities.</w:t>
      </w:r>
      <w:r>
        <w:t xml:space="preserve"> </w:t>
      </w:r>
      <w:r>
        <w:t xml:space="preserve">MIT CLI and library for automated evaluation of prompts, models and agents, red-teaming and vulnerability scanning, side-by-side model comparison, CI/CD checks and pull-request code scanning for LLM security issues; Promptfoo Enterprise as SaaS or On-Prem</w:t>
      </w:r>
      <w:r>
        <w:t xml:space="preserve"> </w:t>
      </w:r>
      <w:r>
        <w:rPr>
          <w:rStyle w:val="ClaimLabel"/>
        </w:rPr>
        <w:t xml:space="preserve">VF</w:t>
      </w:r>
      <w:r>
        <w:rPr>
          <w:rStyle w:val="FootnoteReference"/>
        </w:rPr>
        <w:footnoteReference w:id="116"/>
      </w:r>
      <w:r>
        <w:t xml:space="preserve">.</w:t>
      </w:r>
    </w:p>
    <w:p>
      <w:pPr>
        <w:pStyle w:val="BodyText"/>
      </w:pPr>
      <w:r>
        <w:rPr>
          <w:bCs/>
          <w:b/>
        </w:rPr>
        <w:t xml:space="preserve">Strengths</w:t>
      </w:r>
    </w:p>
    <w:p>
      <w:pPr>
        <w:numPr>
          <w:ilvl w:val="0"/>
          <w:numId w:val="1025"/>
        </w:numPr>
        <w:pStyle w:val="Compact"/>
      </w:pPr>
      <w:r>
        <w:t xml:space="preserve">Combines regression evals and red-teaming in one declarative config that runs in GitHub Actions, GitLab CI and Jenkins</w:t>
      </w:r>
      <w:r>
        <w:t xml:space="preserve"> </w:t>
      </w:r>
      <w:r>
        <w:rPr>
          <w:rStyle w:val="ClaimLabel"/>
        </w:rPr>
        <w:t xml:space="preserve">VF</w:t>
      </w:r>
      <w:r>
        <w:rPr>
          <w:rStyle w:val="FootnoteReference"/>
        </w:rPr>
        <w:footnoteReference w:id="119"/>
      </w:r>
    </w:p>
    <w:p>
      <w:pPr>
        <w:numPr>
          <w:ilvl w:val="0"/>
          <w:numId w:val="1025"/>
        </w:numPr>
        <w:pStyle w:val="Compact"/>
      </w:pPr>
      <w:r>
        <w:t xml:space="preserve">Evals run locally (</w:t>
      </w:r>
      <w:r>
        <w:t xml:space="preserve">‘</w:t>
      </w:r>
      <w:r>
        <w:t xml:space="preserve">your prompts never leave your machine</w:t>
      </w:r>
      <w:r>
        <w:t xml:space="preserve">’</w:t>
      </w:r>
      <w:r>
        <w:t xml:space="preserve">); On-Prem edition with a dedicated runner and network isolation</w:t>
      </w:r>
      <w:r>
        <w:t xml:space="preserve"> </w:t>
      </w:r>
      <w:r>
        <w:rPr>
          <w:rStyle w:val="ClaimLabel"/>
        </w:rPr>
        <w:t xml:space="preserve">VF</w:t>
      </w:r>
      <w:r>
        <w:rPr>
          <w:rStyle w:val="FootnoteReference"/>
        </w:rPr>
        <w:footnoteReference w:id="121"/>
      </w:r>
    </w:p>
    <w:p>
      <w:pPr>
        <w:numPr>
          <w:ilvl w:val="0"/>
          <w:numId w:val="1025"/>
        </w:numPr>
        <w:pStyle w:val="Compact"/>
      </w:pPr>
      <w:r>
        <w:t xml:space="preserve">Built-in OTLP receiver using OTel GenAI conventions</w:t>
      </w:r>
      <w:r>
        <w:t xml:space="preserve"> </w:t>
      </w:r>
      <w:r>
        <w:rPr>
          <w:rStyle w:val="ClaimLabel"/>
        </w:rPr>
        <w:t xml:space="preserve">VF</w:t>
      </w:r>
      <w:r>
        <w:rPr>
          <w:rStyle w:val="FootnoteReference"/>
        </w:rPr>
        <w:footnoteReference w:id="122"/>
      </w:r>
    </w:p>
    <w:p>
      <w:pPr>
        <w:numPr>
          <w:ilvl w:val="0"/>
          <w:numId w:val="1025"/>
        </w:numPr>
        <w:pStyle w:val="Compact"/>
      </w:pPr>
      <w:r>
        <w:t xml:space="preserve">OWASP and NIST compliance reports; providers include OpenAI, Anthropic, Azure, Bedrock and Ollama</w:t>
      </w:r>
      <w:r>
        <w:t xml:space="preserve"> </w:t>
      </w:r>
      <w:r>
        <w:rPr>
          <w:rStyle w:val="ClaimLabel"/>
        </w:rPr>
        <w:t xml:space="preserve">VF</w:t>
      </w:r>
      <w:r>
        <w:rPr>
          <w:rStyle w:val="FootnoteReference"/>
        </w:rPr>
        <w:footnoteReference w:id="124"/>
      </w:r>
    </w:p>
    <w:p>
      <w:pPr>
        <w:pStyle w:val="FirstParagraph"/>
      </w:pPr>
      <w:r>
        <w:rPr>
          <w:bCs/>
          <w:b/>
        </w:rPr>
        <w:t xml:space="preserve">Limitations and risks</w:t>
      </w:r>
    </w:p>
    <w:p>
      <w:pPr>
        <w:numPr>
          <w:ilvl w:val="0"/>
          <w:numId w:val="1026"/>
        </w:numPr>
        <w:pStyle w:val="Compact"/>
      </w:pPr>
      <w:r>
        <w:t xml:space="preserve">OpenAI announced the acquisition on 9 March 2026; the closing date has not been published, and the README says Promptfoo is part of OpenAI</w:t>
      </w:r>
      <w:r>
        <w:t xml:space="preserve"> </w:t>
      </w:r>
      <w:r>
        <w:rPr>
          <w:rStyle w:val="ClaimLabel"/>
        </w:rPr>
        <w:t xml:space="preserve">VF</w:t>
      </w:r>
      <w:r>
        <w:rPr>
          <w:rStyle w:val="FootnoteReference"/>
        </w:rPr>
        <w:footnoteReference w:id="125"/>
      </w:r>
    </w:p>
    <w:p>
      <w:pPr>
        <w:numPr>
          <w:ilvl w:val="0"/>
          <w:numId w:val="1026"/>
        </w:numPr>
        <w:pStyle w:val="Compact"/>
      </w:pPr>
      <w:r>
        <w:t xml:space="preserve">OpenAI plans to integrate it into OpenAI Frontier, so the roadmap follows a model vendor’s priorities</w:t>
      </w:r>
      <w:r>
        <w:t xml:space="preserve"> </w:t>
      </w:r>
      <w:r>
        <w:rPr>
          <w:rStyle w:val="ClaimLabel"/>
        </w:rPr>
        <w:t xml:space="preserve">VF</w:t>
      </w:r>
      <w:r>
        <w:rPr>
          <w:rStyle w:val="FootnoteReference"/>
        </w:rPr>
        <w:footnoteReference w:id="128"/>
      </w:r>
    </w:p>
    <w:p>
      <w:pPr>
        <w:numPr>
          <w:ilvl w:val="0"/>
          <w:numId w:val="1026"/>
        </w:numPr>
        <w:pStyle w:val="Compact"/>
      </w:pPr>
      <w:r>
        <w:t xml:space="preserve">Pre-1.0 version numbering (0.124.0)</w:t>
      </w:r>
      <w:r>
        <w:t xml:space="preserve"> </w:t>
      </w:r>
      <w:r>
        <w:rPr>
          <w:rStyle w:val="ClaimLabel"/>
        </w:rPr>
        <w:t xml:space="preserve">VF</w:t>
      </w:r>
      <w:r>
        <w:rPr>
          <w:rStyle w:val="FootnoteReference"/>
        </w:rPr>
        <w:footnoteReference w:id="129"/>
      </w:r>
    </w:p>
    <w:p>
      <w:pPr>
        <w:numPr>
          <w:ilvl w:val="0"/>
          <w:numId w:val="1026"/>
        </w:numPr>
        <w:pStyle w:val="Compact"/>
      </w:pPr>
      <w:r>
        <w:t xml:space="preserve">Enterprise edition certifications not publicly verified</w:t>
      </w:r>
      <w:r>
        <w:t xml:space="preserve"> </w:t>
      </w:r>
      <w:r>
        <w:rPr>
          <w:rStyle w:val="ClaimLabel"/>
        </w:rPr>
        <w:t xml:space="preserve">NPV</w:t>
      </w:r>
    </w:p>
    <w:p>
      <w:pPr>
        <w:pStyle w:val="FirstParagraph"/>
      </w:pPr>
      <w:r>
        <w:rPr>
          <w:bCs/>
          <w:b/>
        </w:rPr>
        <w:t xml:space="preserve">Choose when</w:t>
      </w:r>
    </w:p>
    <w:p>
      <w:pPr>
        <w:numPr>
          <w:ilvl w:val="0"/>
          <w:numId w:val="1027"/>
        </w:numPr>
        <w:pStyle w:val="Compact"/>
      </w:pPr>
      <w:r>
        <w:t xml:space="preserve">You need red-team and regression suites as code in CI, run locally against any provider</w:t>
      </w:r>
      <w:r>
        <w:t xml:space="preserve"> </w:t>
      </w:r>
      <w:r>
        <w:rPr>
          <w:rStyle w:val="ClaimLabel"/>
        </w:rPr>
        <w:t xml:space="preserve">AJ</w:t>
      </w:r>
    </w:p>
    <w:p>
      <w:pPr>
        <w:numPr>
          <w:ilvl w:val="0"/>
          <w:numId w:val="1027"/>
        </w:numPr>
        <w:pStyle w:val="Compact"/>
      </w:pPr>
      <w:r>
        <w:t xml:space="preserve">You want OWASP-mapped test evidence for C7 security testing</w:t>
      </w:r>
      <w:r>
        <w:t xml:space="preserve"> </w:t>
      </w:r>
      <w:r>
        <w:rPr>
          <w:rStyle w:val="ClaimLabel"/>
        </w:rPr>
        <w:t xml:space="preserve">AJ</w:t>
      </w:r>
    </w:p>
    <w:p>
      <w:pPr>
        <w:pStyle w:val="FirstParagraph"/>
      </w:pPr>
      <w:r>
        <w:rPr>
          <w:bCs/>
          <w:b/>
        </w:rPr>
        <w:t xml:space="preserve">Avoid when</w:t>
      </w:r>
    </w:p>
    <w:p>
      <w:pPr>
        <w:numPr>
          <w:ilvl w:val="0"/>
          <w:numId w:val="1028"/>
        </w:numPr>
        <w:pStyle w:val="Compact"/>
      </w:pPr>
      <w:r>
        <w:t xml:space="preserve">A model vendor owning your independent red-team tool is unacceptable to your model-risk function without a second, independent tool</w:t>
      </w:r>
      <w:r>
        <w:t xml:space="preserve"> </w:t>
      </w:r>
      <w:r>
        <w:rPr>
          <w:rStyle w:val="ClaimLabel"/>
        </w:rPr>
        <w:t xml:space="preserve">AJ</w:t>
      </w:r>
    </w:p>
    <w:p>
      <w:pPr>
        <w:numPr>
          <w:ilvl w:val="0"/>
          <w:numId w:val="1028"/>
        </w:numPr>
        <w:pStyle w:val="Compact"/>
      </w:pPr>
      <w:r>
        <w:t xml:space="preserve">You would buy Enterprise SaaS before certifications are evidenced</w:t>
      </w:r>
      <w:r>
        <w:t xml:space="preserve"> </w:t>
      </w:r>
      <w:r>
        <w:rPr>
          <w:rStyle w:val="ClaimLabel"/>
        </w:rPr>
        <w:t xml:space="preserve">AJ</w:t>
      </w:r>
    </w:p>
    <w:p>
      <w:pPr>
        <w:pStyle w:val="FirstParagraph"/>
      </w:pPr>
      <w:r>
        <w:rPr>
          <w:bCs/>
          <w:b/>
        </w:rPr>
        <w:t xml:space="preserve">Nearest competitors:</w:t>
      </w:r>
      <w:r>
        <w:t xml:space="preserve"> </w:t>
      </w:r>
      <w:r>
        <w:t xml:space="preserve">L9-deepeval, L9-braintrust, L9-langsmith</w:t>
      </w:r>
    </w:p>
    <w:p>
      <w:pPr>
        <w:pStyle w:val="BodyText"/>
      </w:pPr>
      <w:r>
        <w:rPr>
          <w:bCs/>
          <w:b/>
        </w:rPr>
        <w:t xml:space="preserve">Regulated-FS note.</w:t>
      </w:r>
      <w:r>
        <w:t xml:space="preserve"> </w:t>
      </w:r>
      <w:r>
        <w:t xml:space="preserve">Keep using the MIT CLI locally, pin the version, and keep test configs in the firm’s repo so they are portable; pair it with an independent tool when the system under test uses OpenAI models, to preserve effective challenge</w:t>
      </w:r>
      <w:r>
        <w:t xml:space="preserve"> </w:t>
      </w:r>
      <w:r>
        <w:rPr>
          <w:rStyle w:val="ClaimLabel"/>
        </w:rPr>
        <w:t xml:space="preserve">AJ</w:t>
      </w:r>
      <w:r>
        <w:t xml:space="preserve">.</w:t>
      </w:r>
    </w:p>
    <w:p>
      <w:pPr>
        <w:pStyle w:val="BodyText"/>
      </w:pPr>
      <w:r>
        <w:rPr>
          <w:bCs/>
          <w:b/>
        </w:rPr>
        <w:t xml:space="preserve">Facts (as of 2026-10-08)</w:t>
      </w:r>
    </w:p>
    <w:tbl>
      <w:tblPr>
        <w:tblStyle w:val="Table"/>
        <w:tblW w:type="pct" w:w="5000"/>
        <w:tblLook w:firstRow="1" w:lastRow="0" w:firstColumn="0" w:lastColumn="0" w:noHBand="0" w:noVBand="0" w:val="0020"/>
        <w:jc w:val="start"/>
      </w:tblPr>
      <w:tblGrid>
        <w:gridCol w:w="1485"/>
        <w:gridCol w:w="4290"/>
        <w:gridCol w:w="1320"/>
        <w:gridCol w:w="825"/>
      </w:tblGrid>
      <w:tr>
        <w:trPr>
          <w:tblHeader w:val="true"/>
        </w:trPr>
        <w:tc>
          <w:tcPr/>
          <w:p>
            <w:pPr>
              <w:pStyle w:val="Compact"/>
              <w:jc w:val="left"/>
            </w:pPr>
            <w:r>
              <w:t xml:space="preserve">Field</w:t>
            </w:r>
          </w:p>
        </w:tc>
        <w:tc>
          <w:tcPr/>
          <w:p>
            <w:pPr>
              <w:pStyle w:val="Compact"/>
              <w:jc w:val="left"/>
            </w:pPr>
            <w:r>
              <w:t xml:space="preserve">Value</w:t>
            </w:r>
          </w:p>
        </w:tc>
        <w:tc>
          <w:tcPr/>
          <w:p>
            <w:pPr>
              <w:pStyle w:val="Compact"/>
              <w:jc w:val="left"/>
            </w:pPr>
            <w:r>
              <w:t xml:space="preserve">Label</w:t>
            </w:r>
          </w:p>
        </w:tc>
        <w:tc>
          <w:tcPr/>
          <w:p>
            <w:pPr>
              <w:pStyle w:val="Compact"/>
              <w:jc w:val="left"/>
            </w:pPr>
            <w:r>
              <w:t xml:space="preserve">Sources</w:t>
            </w:r>
          </w:p>
        </w:tc>
      </w:tr>
      <w:tr>
        <w:tc>
          <w:tcPr/>
          <w:p>
            <w:pPr>
              <w:pStyle w:val="Compact"/>
              <w:jc w:val="left"/>
            </w:pPr>
            <w:r>
              <w:t xml:space="preserve">Company</w:t>
            </w:r>
          </w:p>
        </w:tc>
        <w:tc>
          <w:tcPr/>
          <w:p>
            <w:pPr>
              <w:pStyle w:val="Compact"/>
              <w:jc w:val="left"/>
            </w:pPr>
            <w:r>
              <w:t xml:space="preserve">Promptfoo, now part of OpenAI (acquisition agreement announced 9 March 2026; README states</w:t>
            </w:r>
            <w:r>
              <w:t xml:space="preserve"> </w:t>
            </w:r>
            <w:r>
              <w:t xml:space="preserve">‘</w:t>
            </w:r>
            <w:r>
              <w:t xml:space="preserve">Promptfoo is now part of OpenAI</w:t>
            </w:r>
            <w:r>
              <w:t xml:space="preserve">’</w:t>
            </w:r>
            <w:r>
              <w:t xml:space="preserve">)</w:t>
            </w:r>
          </w:p>
        </w:tc>
        <w:tc>
          <w:tcPr/>
          <w:p>
            <w:pPr>
              <w:pStyle w:val="Compact"/>
              <w:jc w:val="left"/>
            </w:pPr>
            <w:r>
              <w:t xml:space="preserve">Verified fact</w:t>
            </w:r>
          </w:p>
        </w:tc>
        <w:tc>
          <w:tcPr/>
          <w:p>
            <w:pPr>
              <w:pStyle w:val="Compact"/>
              <w:jc w:val="left"/>
            </w:pPr>
            <w:r>
              <w:t xml:space="preserve">A1-S024, A1-S025, A1-S062</w:t>
            </w:r>
          </w:p>
        </w:tc>
      </w:tr>
      <w:tr>
        <w:tc>
          <w:tcPr/>
          <w:p>
            <w:pPr>
              <w:pStyle w:val="Compact"/>
              <w:jc w:val="left"/>
            </w:pPr>
            <w:r>
              <w:t xml:space="preserve">Category</w:t>
            </w:r>
          </w:p>
        </w:tc>
        <w:tc>
          <w:tcPr/>
          <w:p>
            <w:pPr>
              <w:pStyle w:val="Compact"/>
              <w:jc w:val="left"/>
            </w:pPr>
            <w:r>
              <w:t xml:space="preserve">Open-source CLI and library for LLM evals and red teaming, plus Promptfoo Enterprise (SaaS and On-Prem)</w:t>
            </w:r>
          </w:p>
        </w:tc>
        <w:tc>
          <w:tcPr/>
          <w:p>
            <w:pPr>
              <w:pStyle w:val="Compact"/>
              <w:jc w:val="left"/>
            </w:pPr>
            <w:r>
              <w:t xml:space="preserve">Verified fact</w:t>
            </w:r>
          </w:p>
        </w:tc>
        <w:tc>
          <w:tcPr/>
          <w:p>
            <w:pPr>
              <w:pStyle w:val="Compact"/>
              <w:jc w:val="left"/>
            </w:pPr>
            <w:r>
              <w:t xml:space="preserve">A1-S062, A1-S063</w:t>
            </w:r>
          </w:p>
        </w:tc>
      </w:tr>
      <w:tr>
        <w:tc>
          <w:tcPr/>
          <w:p>
            <w:pPr>
              <w:pStyle w:val="Compact"/>
              <w:jc w:val="left"/>
            </w:pPr>
            <w:r>
              <w:t xml:space="preserve">Version / lineup</w:t>
            </w:r>
          </w:p>
        </w:tc>
        <w:tc>
          <w:tcPr/>
          <w:p>
            <w:pPr>
              <w:pStyle w:val="Compact"/>
              <w:jc w:val="left"/>
            </w:pPr>
            <w:r>
              <w:t xml:space="preserve">promptfoo 0.124.0 (npm), published 6 October 2026</w:t>
            </w:r>
          </w:p>
        </w:tc>
        <w:tc>
          <w:tcPr/>
          <w:p>
            <w:pPr>
              <w:pStyle w:val="Compact"/>
              <w:jc w:val="left"/>
            </w:pPr>
            <w:r>
              <w:t xml:space="preserve">Verified fact</w:t>
            </w:r>
          </w:p>
        </w:tc>
        <w:tc>
          <w:tcPr/>
          <w:p>
            <w:pPr>
              <w:pStyle w:val="Compact"/>
              <w:jc w:val="left"/>
            </w:pPr>
            <w:r>
              <w:t xml:space="preserve">A1-S020</w:t>
            </w:r>
          </w:p>
        </w:tc>
      </w:tr>
      <w:tr>
        <w:tc>
          <w:tcPr/>
          <w:p>
            <w:pPr>
              <w:pStyle w:val="Compact"/>
              <w:jc w:val="left"/>
            </w:pPr>
            <w:r>
              <w:t xml:space="preserve">Licence</w:t>
            </w:r>
          </w:p>
        </w:tc>
        <w:tc>
          <w:tcPr/>
          <w:p>
            <w:pPr>
              <w:pStyle w:val="Compact"/>
              <w:jc w:val="left"/>
            </w:pPr>
            <w:r>
              <w:t xml:space="preserve">MIT (open source); Enterprise editions commercial</w:t>
            </w:r>
          </w:p>
        </w:tc>
        <w:tc>
          <w:tcPr/>
          <w:p>
            <w:pPr>
              <w:pStyle w:val="Compact"/>
              <w:jc w:val="left"/>
            </w:pPr>
            <w:r>
              <w:t xml:space="preserve">Verified fact</w:t>
            </w:r>
          </w:p>
        </w:tc>
        <w:tc>
          <w:tcPr/>
          <w:p>
            <w:pPr>
              <w:pStyle w:val="Compact"/>
              <w:jc w:val="left"/>
            </w:pPr>
            <w:r>
              <w:t xml:space="preserve">A1-S052, A1-S020, A1-S062, A1-S063</w:t>
            </w:r>
          </w:p>
        </w:tc>
      </w:tr>
      <w:tr>
        <w:tc>
          <w:tcPr/>
          <w:p>
            <w:pPr>
              <w:pStyle w:val="Compact"/>
              <w:jc w:val="left"/>
            </w:pPr>
            <w:r>
              <w:t xml:space="preserve">Status events</w:t>
            </w:r>
          </w:p>
        </w:tc>
        <w:tc>
          <w:tcPr/>
          <w:p>
            <w:pPr>
              <w:pStyle w:val="Compact"/>
              <w:jc w:val="left"/>
            </w:pPr>
            <w:r>
              <w:t xml:space="preserve">Acquisition by OpenAI announced 9 March 2026 (terms undisclosed; subject to closing conditions); the README now says</w:t>
            </w:r>
            <w:r>
              <w:t xml:space="preserve"> </w:t>
            </w:r>
            <w:r>
              <w:t xml:space="preserve">“</w:t>
            </w:r>
            <w:r>
              <w:t xml:space="preserve">part of OpenAI</w:t>
            </w:r>
            <w:r>
              <w:t xml:space="preserve">”</w:t>
            </w:r>
            <w:r>
              <w:t xml:space="preserve">, but no dated closing notice was found as of 8 October 2026</w:t>
            </w:r>
          </w:p>
        </w:tc>
        <w:tc>
          <w:tcPr/>
          <w:p>
            <w:pPr>
              <w:pStyle w:val="Compact"/>
              <w:jc w:val="left"/>
            </w:pPr>
            <w:r>
              <w:t xml:space="preserve">Verified fact</w:t>
            </w:r>
          </w:p>
        </w:tc>
        <w:tc>
          <w:tcPr/>
          <w:p>
            <w:pPr>
              <w:pStyle w:val="Compact"/>
              <w:jc w:val="left"/>
            </w:pPr>
            <w:r>
              <w:t xml:space="preserve">A1-S024, A1-S025, A1-S062, V1-S006</w:t>
            </w:r>
          </w:p>
        </w:tc>
      </w:tr>
      <w:tr>
        <w:tc>
          <w:tcPr/>
          <w:p>
            <w:pPr>
              <w:pStyle w:val="Compact"/>
              <w:jc w:val="left"/>
            </w:pPr>
            <w:r>
              <w:t xml:space="preserve">Strategic direction</w:t>
            </w:r>
          </w:p>
        </w:tc>
        <w:tc>
          <w:tcPr/>
          <w:p>
            <w:pPr>
              <w:pStyle w:val="Compact"/>
              <w:jc w:val="left"/>
            </w:pPr>
            <w:r>
              <w:t xml:space="preserve">OpenAI plans to integrate Promptfoo into OpenAI Frontier for automated red-teaming, security review of agentic workflows and risk/compliance monitoring, while continuing the open-source project</w:t>
            </w:r>
          </w:p>
        </w:tc>
        <w:tc>
          <w:tcPr/>
          <w:p>
            <w:pPr>
              <w:pStyle w:val="Compact"/>
              <w:jc w:val="left"/>
            </w:pPr>
            <w:r>
              <w:t xml:space="preserve">Verified fact</w:t>
            </w:r>
          </w:p>
        </w:tc>
        <w:tc>
          <w:tcPr/>
          <w:p>
            <w:pPr>
              <w:pStyle w:val="Compact"/>
              <w:jc w:val="left"/>
            </w:pPr>
            <w:r>
              <w:t xml:space="preserve">A1-S024, A1-S025</w:t>
            </w:r>
          </w:p>
        </w:tc>
      </w:tr>
      <w:tr>
        <w:tc>
          <w:tcPr/>
          <w:p>
            <w:pPr>
              <w:pStyle w:val="Compact"/>
              <w:jc w:val="left"/>
            </w:pPr>
            <w:r>
              <w:t xml:space="preserve">What it does</w:t>
            </w:r>
          </w:p>
        </w:tc>
        <w:tc>
          <w:tcPr/>
          <w:p>
            <w:pPr>
              <w:pStyle w:val="Compact"/>
              <w:jc w:val="left"/>
            </w:pPr>
            <w:r>
              <w:t xml:space="preserve">Runs automated evaluations of prompts, models and agents, red-teaming and vulnerability scanning, side-by-side model comparison, CI/CD checks and code scanning of pull requests for LLM security issues.</w:t>
            </w:r>
          </w:p>
        </w:tc>
        <w:tc>
          <w:tcPr/>
          <w:p>
            <w:pPr>
              <w:pStyle w:val="Compact"/>
              <w:jc w:val="left"/>
            </w:pPr>
            <w:r>
              <w:t xml:space="preserve">Verified fact</w:t>
            </w:r>
          </w:p>
        </w:tc>
        <w:tc>
          <w:tcPr/>
          <w:p>
            <w:pPr>
              <w:pStyle w:val="Compact"/>
              <w:jc w:val="left"/>
            </w:pPr>
            <w:r>
              <w:t xml:space="preserve">A1-S062</w:t>
            </w:r>
          </w:p>
        </w:tc>
      </w:tr>
      <w:tr>
        <w:tc>
          <w:tcPr/>
          <w:p>
            <w:pPr>
              <w:pStyle w:val="Compact"/>
              <w:jc w:val="left"/>
            </w:pPr>
            <w:r>
              <w:t xml:space="preserve">Stack position</w:t>
            </w:r>
          </w:p>
        </w:tc>
        <w:tc>
          <w:tcPr/>
          <w:p>
            <w:pPr>
              <w:pStyle w:val="Compact"/>
              <w:jc w:val="left"/>
            </w:pPr>
            <w:r>
              <w:t xml:space="preserve">Spans pre-production evaluation and AI security testing (C7); the graphic’s</w:t>
            </w:r>
            <w:r>
              <w:t xml:space="preserve"> </w:t>
            </w:r>
            <w:r>
              <w:t xml:space="preserve">‘</w:t>
            </w:r>
            <w:r>
              <w:t xml:space="preserve">red-teaming</w:t>
            </w:r>
            <w:r>
              <w:t xml:space="preserve">’</w:t>
            </w:r>
            <w:r>
              <w:t xml:space="preserve"> </w:t>
            </w:r>
            <w:r>
              <w:t xml:space="preserve">descriptor omits its general eval role</w:t>
            </w:r>
          </w:p>
        </w:tc>
        <w:tc>
          <w:tcPr/>
          <w:p>
            <w:pPr>
              <w:pStyle w:val="Compact"/>
              <w:jc w:val="left"/>
            </w:pPr>
            <w:r>
              <w:t xml:space="preserve">Verified fact</w:t>
            </w:r>
          </w:p>
        </w:tc>
        <w:tc>
          <w:tcPr/>
          <w:p>
            <w:pPr>
              <w:pStyle w:val="Compact"/>
              <w:jc w:val="left"/>
            </w:pPr>
            <w:r>
              <w:t xml:space="preserve">A1-S062, A1-S063</w:t>
            </w:r>
          </w:p>
        </w:tc>
      </w:tr>
      <w:tr>
        <w:tc>
          <w:tcPr/>
          <w:p>
            <w:pPr>
              <w:pStyle w:val="Compact"/>
              <w:jc w:val="left"/>
            </w:pPr>
            <w:r>
              <w:t xml:space="preserve">Integration</w:t>
            </w:r>
          </w:p>
        </w:tc>
        <w:tc>
          <w:tcPr/>
          <w:p>
            <w:pPr>
              <w:pStyle w:val="Compact"/>
              <w:jc w:val="left"/>
            </w:pPr>
            <w:r>
              <w:t xml:space="preserve">CLI/library; CI/CD (GitHub Actions, GitLab CI, Jenkins); built-in OTLP receiver ingesting spans with OTel GenAI semantic conventions; API (Enterprise)</w:t>
            </w:r>
          </w:p>
        </w:tc>
        <w:tc>
          <w:tcPr/>
          <w:p>
            <w:pPr>
              <w:pStyle w:val="Compact"/>
              <w:jc w:val="left"/>
            </w:pPr>
            <w:r>
              <w:t xml:space="preserve">Verified fact</w:t>
            </w:r>
          </w:p>
        </w:tc>
        <w:tc>
          <w:tcPr/>
          <w:p>
            <w:pPr>
              <w:pStyle w:val="Compact"/>
              <w:jc w:val="left"/>
            </w:pPr>
            <w:r>
              <w:t xml:space="preserve">A1-S064, A1-S065, A1-S063</w:t>
            </w:r>
          </w:p>
        </w:tc>
      </w:tr>
      <w:tr>
        <w:tc>
          <w:tcPr/>
          <w:p>
            <w:pPr>
              <w:pStyle w:val="Compact"/>
              <w:jc w:val="left"/>
            </w:pPr>
            <w:r>
              <w:t xml:space="preserve">Dependencies</w:t>
            </w:r>
          </w:p>
        </w:tc>
        <w:tc>
          <w:tcPr/>
          <w:p>
            <w:pPr>
              <w:pStyle w:val="Compact"/>
              <w:jc w:val="left"/>
            </w:pPr>
            <w:r>
              <w:t xml:space="preserve">Node.js CLI (also brew and pip); evals run locally (</w:t>
            </w:r>
            <w:r>
              <w:t xml:space="preserve">‘</w:t>
            </w:r>
            <w:r>
              <w:t xml:space="preserve">your prompts never leave your machine</w:t>
            </w:r>
            <w:r>
              <w:t xml:space="preserve">’</w:t>
            </w:r>
            <w:r>
              <w:t xml:space="preserve">); Enterprise On-Prem includes a dedicated runner</w:t>
            </w:r>
          </w:p>
        </w:tc>
        <w:tc>
          <w:tcPr/>
          <w:p>
            <w:pPr>
              <w:pStyle w:val="Compact"/>
              <w:jc w:val="left"/>
            </w:pPr>
            <w:r>
              <w:t xml:space="preserve">Verified fact</w:t>
            </w:r>
          </w:p>
        </w:tc>
        <w:tc>
          <w:tcPr/>
          <w:p>
            <w:pPr>
              <w:pStyle w:val="Compact"/>
              <w:jc w:val="left"/>
            </w:pPr>
            <w:r>
              <w:t xml:space="preserve">A1-S062, A1-S063</w:t>
            </w:r>
          </w:p>
        </w:tc>
      </w:tr>
      <w:tr>
        <w:tc>
          <w:tcPr/>
          <w:p>
            <w:pPr>
              <w:pStyle w:val="Compact"/>
              <w:jc w:val="left"/>
            </w:pPr>
            <w:r>
              <w:t xml:space="preserve">Certifications</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GDPR / residency</w:t>
            </w:r>
          </w:p>
        </w:tc>
        <w:tc>
          <w:tcPr/>
          <w:p>
            <w:pPr>
              <w:pStyle w:val="Compact"/>
              <w:jc w:val="left"/>
            </w:pPr>
            <w:r>
              <w:t xml:space="preserve">Community edition runs locally; Enterprise On-Prem keeps scans inside the network perimeter</w:t>
            </w:r>
          </w:p>
        </w:tc>
        <w:tc>
          <w:tcPr/>
          <w:p>
            <w:pPr>
              <w:pStyle w:val="Compact"/>
              <w:jc w:val="left"/>
            </w:pPr>
            <w:r>
              <w:t xml:space="preserve">Verified fact</w:t>
            </w:r>
          </w:p>
        </w:tc>
        <w:tc>
          <w:tcPr/>
          <w:p>
            <w:pPr>
              <w:pStyle w:val="Compact"/>
              <w:jc w:val="left"/>
            </w:pPr>
            <w:r>
              <w:t xml:space="preserve">A1-S062, A1-S063</w:t>
            </w:r>
          </w:p>
        </w:tc>
      </w:tr>
      <w:tr>
        <w:tc>
          <w:tcPr/>
          <w:p>
            <w:pPr>
              <w:pStyle w:val="Compact"/>
              <w:jc w:val="left"/>
            </w:pPr>
            <w:r>
              <w:t xml:space="preserve">Security features</w:t>
            </w:r>
          </w:p>
        </w:tc>
        <w:tc>
          <w:tcPr/>
          <w:p>
            <w:pPr>
              <w:pStyle w:val="Compact"/>
              <w:jc w:val="left"/>
            </w:pPr>
            <w:r>
              <w:t xml:space="preserve">Network isolation and dedicated runner in On-Prem edition</w:t>
            </w:r>
          </w:p>
        </w:tc>
        <w:tc>
          <w:tcPr/>
          <w:p>
            <w:pPr>
              <w:pStyle w:val="Compact"/>
              <w:jc w:val="left"/>
            </w:pPr>
            <w:r>
              <w:t xml:space="preserve">Verified fact</w:t>
            </w:r>
          </w:p>
        </w:tc>
        <w:tc>
          <w:tcPr/>
          <w:p>
            <w:pPr>
              <w:pStyle w:val="Compact"/>
              <w:jc w:val="left"/>
            </w:pPr>
            <w:r>
              <w:t xml:space="preserve">A1-S063</w:t>
            </w:r>
          </w:p>
        </w:tc>
      </w:tr>
      <w:tr>
        <w:tc>
          <w:tcPr/>
          <w:p>
            <w:pPr>
              <w:pStyle w:val="Compact"/>
              <w:jc w:val="left"/>
            </w:pPr>
            <w:r>
              <w:t xml:space="preserve">Access controls</w:t>
            </w:r>
          </w:p>
        </w:tc>
        <w:tc>
          <w:tcPr/>
          <w:p>
            <w:pPr>
              <w:pStyle w:val="Compact"/>
              <w:jc w:val="left"/>
            </w:pPr>
            <w:r>
              <w:t xml:space="preserve">RBAC and team management in Enterprise editions only</w:t>
            </w:r>
          </w:p>
        </w:tc>
        <w:tc>
          <w:tcPr/>
          <w:p>
            <w:pPr>
              <w:pStyle w:val="Compact"/>
              <w:jc w:val="left"/>
            </w:pPr>
            <w:r>
              <w:t xml:space="preserve">Verified fact</w:t>
            </w:r>
          </w:p>
        </w:tc>
        <w:tc>
          <w:tcPr/>
          <w:p>
            <w:pPr>
              <w:pStyle w:val="Compact"/>
              <w:jc w:val="left"/>
            </w:pPr>
            <w:r>
              <w:t xml:space="preserve">A1-S063</w:t>
            </w:r>
          </w:p>
        </w:tc>
      </w:tr>
      <w:tr>
        <w:tc>
          <w:tcPr/>
          <w:p>
            <w:pPr>
              <w:pStyle w:val="Compact"/>
              <w:jc w:val="left"/>
            </w:pPr>
            <w:r>
              <w:t xml:space="preserve">Enterprise support</w:t>
            </w:r>
          </w:p>
        </w:tc>
        <w:tc>
          <w:tcPr/>
          <w:p>
            <w:pPr>
              <w:pStyle w:val="Compact"/>
              <w:jc w:val="left"/>
            </w:pPr>
            <w:r>
              <w:t xml:space="preserve">Enterprise: SLA, professional services, dedicated Slack</w:t>
            </w:r>
          </w:p>
        </w:tc>
        <w:tc>
          <w:tcPr/>
          <w:p>
            <w:pPr>
              <w:pStyle w:val="Compact"/>
              <w:jc w:val="left"/>
            </w:pPr>
            <w:r>
              <w:t xml:space="preserve">Verified fact</w:t>
            </w:r>
          </w:p>
        </w:tc>
        <w:tc>
          <w:tcPr/>
          <w:p>
            <w:pPr>
              <w:pStyle w:val="Compact"/>
              <w:jc w:val="left"/>
            </w:pPr>
            <w:r>
              <w:t xml:space="preserve">A1-S063</w:t>
            </w:r>
          </w:p>
        </w:tc>
      </w:tr>
      <w:tr>
        <w:tc>
          <w:tcPr/>
          <w:p>
            <w:pPr>
              <w:pStyle w:val="Compact"/>
              <w:jc w:val="left"/>
            </w:pPr>
            <w:r>
              <w:t xml:space="preserve">Pricing</w:t>
            </w:r>
          </w:p>
        </w:tc>
        <w:tc>
          <w:tcPr/>
          <w:p>
            <w:pPr>
              <w:pStyle w:val="Compact"/>
              <w:jc w:val="left"/>
            </w:pPr>
            <w:r>
              <w:t xml:space="preserve">Community free (MIT); Enterprise contact sales</w:t>
            </w:r>
          </w:p>
        </w:tc>
        <w:tc>
          <w:tcPr/>
          <w:p>
            <w:pPr>
              <w:pStyle w:val="Compact"/>
              <w:jc w:val="left"/>
            </w:pPr>
            <w:r>
              <w:t xml:space="preserve">Verified fact</w:t>
            </w:r>
          </w:p>
        </w:tc>
        <w:tc>
          <w:tcPr/>
          <w:p>
            <w:pPr>
              <w:pStyle w:val="Compact"/>
              <w:jc w:val="left"/>
            </w:pPr>
            <w:r>
              <w:t xml:space="preserve">A1-S063</w:t>
            </w:r>
          </w:p>
        </w:tc>
      </w:tr>
      <w:tr>
        <w:tc>
          <w:tcPr/>
          <w:p>
            <w:pPr>
              <w:pStyle w:val="Compact"/>
              <w:jc w:val="left"/>
            </w:pPr>
            <w:r>
              <w:t xml:space="preserve">Infrastructure cost</w:t>
            </w:r>
          </w:p>
        </w:tc>
        <w:tc>
          <w:tcPr/>
          <w:p>
            <w:pPr>
              <w:pStyle w:val="Compact"/>
              <w:jc w:val="left"/>
            </w:pPr>
            <w:r>
              <w:t xml:space="preserve">Cost driver is model/API spend for generated attacks and graders</w:t>
            </w:r>
          </w:p>
        </w:tc>
        <w:tc>
          <w:tcPr/>
          <w:p>
            <w:pPr>
              <w:pStyle w:val="Compact"/>
              <w:jc w:val="left"/>
            </w:pPr>
            <w:r>
              <w:t xml:space="preserve">Architectural judgement</w:t>
            </w:r>
          </w:p>
        </w:tc>
        <w:tc>
          <w:tcPr/>
          <w:p>
            <w:pPr>
              <w:pStyle w:val="Compact"/>
            </w:pPr>
          </w:p>
        </w:tc>
      </w:tr>
      <w:tr>
        <w:tc>
          <w:tcPr/>
          <w:p>
            <w:pPr>
              <w:pStyle w:val="Compact"/>
              <w:jc w:val="left"/>
            </w:pPr>
            <w:r>
              <w:t xml:space="preserve">Ecosystem</w:t>
            </w:r>
          </w:p>
        </w:tc>
        <w:tc>
          <w:tcPr/>
          <w:p>
            <w:pPr>
              <w:pStyle w:val="Compact"/>
              <w:jc w:val="left"/>
            </w:pPr>
            <w:r>
              <w:t xml:space="preserve">Providers incl. OpenAI, Anthropic, Azure, Bedrock, Ollama; SIEM and issue-tracker integrations in Enterprise; OWASP/NIST compliance reports</w:t>
            </w:r>
          </w:p>
        </w:tc>
        <w:tc>
          <w:tcPr/>
          <w:p>
            <w:pPr>
              <w:pStyle w:val="Compact"/>
              <w:jc w:val="left"/>
            </w:pPr>
            <w:r>
              <w:t xml:space="preserve">Verified fact</w:t>
            </w:r>
          </w:p>
        </w:tc>
        <w:tc>
          <w:tcPr/>
          <w:p>
            <w:pPr>
              <w:pStyle w:val="Compact"/>
              <w:jc w:val="left"/>
            </w:pPr>
            <w:r>
              <w:t xml:space="preserve">A1-S062, A1-S063, A1-S065</w:t>
            </w:r>
          </w:p>
        </w:tc>
      </w:tr>
      <w:tr>
        <w:tc>
          <w:tcPr/>
          <w:p>
            <w:pPr>
              <w:pStyle w:val="Compact"/>
              <w:jc w:val="left"/>
            </w:pPr>
            <w:r>
              <w:t xml:space="preserve">Adoption signals</w:t>
            </w:r>
          </w:p>
        </w:tc>
        <w:tc>
          <w:tcPr/>
          <w:p>
            <w:pPr>
              <w:pStyle w:val="Compact"/>
              <w:jc w:val="left"/>
            </w:pPr>
            <w:r>
              <w:t xml:space="preserve">Over 25% of Fortune 500 use Promptfoo (company claim); ~US$23M raised, US$86M valuation after July 2025 round (PitchBook)</w:t>
            </w:r>
          </w:p>
        </w:tc>
        <w:tc>
          <w:tcPr/>
          <w:p>
            <w:pPr>
              <w:pStyle w:val="Compact"/>
              <w:jc w:val="left"/>
            </w:pPr>
            <w:r>
              <w:t xml:space="preserve">Reported</w:t>
            </w:r>
          </w:p>
        </w:tc>
        <w:tc>
          <w:tcPr/>
          <w:p>
            <w:pPr>
              <w:pStyle w:val="Compact"/>
              <w:jc w:val="left"/>
            </w:pPr>
            <w:r>
              <w:t xml:space="preserve">A1-S026</w:t>
            </w:r>
          </w:p>
        </w:tc>
      </w:tr>
      <w:tr>
        <w:tc>
          <w:tcPr/>
          <w:p>
            <w:pPr>
              <w:pStyle w:val="Compact"/>
              <w:jc w:val="left"/>
            </w:pPr>
            <w:r>
              <w:t xml:space="preserve">Maturity</w:t>
            </w:r>
          </w:p>
        </w:tc>
        <w:tc>
          <w:tcPr/>
          <w:p>
            <w:pPr>
              <w:pStyle w:val="Compact"/>
              <w:jc w:val="left"/>
            </w:pPr>
            <w:r>
              <w:t xml:space="preserve">npm package created 3 May 2023; frequent releases</w:t>
            </w:r>
          </w:p>
        </w:tc>
        <w:tc>
          <w:tcPr/>
          <w:p>
            <w:pPr>
              <w:pStyle w:val="Compact"/>
              <w:jc w:val="left"/>
            </w:pPr>
            <w:r>
              <w:t xml:space="preserve">Verified fact</w:t>
            </w:r>
          </w:p>
        </w:tc>
        <w:tc>
          <w:tcPr/>
          <w:p>
            <w:pPr>
              <w:pStyle w:val="Compact"/>
              <w:jc w:val="left"/>
            </w:pPr>
            <w:r>
              <w:t xml:space="preserve">A1-S020</w:t>
            </w:r>
          </w:p>
        </w:tc>
      </w:tr>
      <w:tr>
        <w:tc>
          <w:tcPr/>
          <w:p>
            <w:pPr>
              <w:pStyle w:val="Compact"/>
              <w:jc w:val="left"/>
            </w:pPr>
            <w:r>
              <w:t xml:space="preserve">Deployment</w:t>
            </w:r>
          </w:p>
        </w:tc>
        <w:tc>
          <w:tcPr/>
          <w:p>
            <w:pPr>
              <w:pStyle w:val="Compact"/>
              <w:jc w:val="left"/>
            </w:pPr>
            <w:r>
              <w:t xml:space="preserve">saas: Yes (Promptfoo Enterprise SaaS); managed_cloud: Not publicly verified; vpc_byoc: Not publicly verified; private_cloud: Yes (On-Prem on AWS, Azure, GCP); self_hosted: Yes; on_prem: Yes (Enterprise On-Prem)</w:t>
            </w:r>
          </w:p>
        </w:tc>
        <w:tc>
          <w:tcPr/>
          <w:p>
            <w:pPr>
              <w:pStyle w:val="Compact"/>
            </w:pPr>
          </w:p>
        </w:tc>
        <w:tc>
          <w:tcPr/>
          <w:p>
            <w:pPr>
              <w:pStyle w:val="Compact"/>
            </w:pPr>
          </w:p>
        </w:tc>
      </w:tr>
    </w:tbl>
    <w:bookmarkEnd w:id="131"/>
    <w:bookmarkStart w:id="148" w:name="arize-phoenix-l9-arize-phoenix"/>
    <w:p>
      <w:pPr>
        <w:pStyle w:val="Heading2"/>
      </w:pPr>
      <w:r>
        <w:t xml:space="preserve">Arize Phoenix (</w:t>
      </w:r>
      <w:r>
        <w:rPr>
          <w:rStyle w:val="VerbatimChar"/>
        </w:rPr>
        <w:t xml:space="preserve">L9-arize-phoenix</w:t>
      </w:r>
      <w:r>
        <w:t xml:space="preserve">)</w:t>
      </w:r>
    </w:p>
    <w:p>
      <w:pPr>
        <w:pStyle w:val="FirstParagraph"/>
      </w:pPr>
      <w:r>
        <w:rPr>
          <w:bCs/>
          <w:b/>
        </w:rPr>
        <w:t xml:space="preserve">Tier:</w:t>
      </w:r>
      <w:r>
        <w:t xml:space="preserve"> </w:t>
      </w:r>
      <w:r>
        <w:t xml:space="preserve">Tactical ·</w:t>
      </w:r>
      <w:r>
        <w:t xml:space="preserve"> </w:t>
      </w:r>
      <w:r>
        <w:rPr>
          <w:bCs/>
          <w:b/>
        </w:rPr>
        <w:t xml:space="preserve">Flags:</w:t>
      </w:r>
      <w:r>
        <w:t xml:space="preserve"> </w:t>
      </w:r>
      <w:r>
        <w:t xml:space="preserve">Acquired ·</w:t>
      </w:r>
      <w:r>
        <w:t xml:space="preserve"> </w:t>
      </w:r>
      <w:r>
        <w:rPr>
          <w:bCs/>
          <w:b/>
        </w:rPr>
        <w:t xml:space="preserve">Original graphic label:</w:t>
      </w:r>
      <w:r>
        <w:t xml:space="preserve"> </w:t>
      </w:r>
      <w:r>
        <w:t xml:space="preserve">Phoenix – Atrace</w:t>
      </w:r>
    </w:p>
    <w:p>
      <w:pPr>
        <w:pStyle w:val="BodyText"/>
      </w:pPr>
      <w:r>
        <w:rPr>
          <w:iCs/>
          <w:i/>
        </w:rPr>
        <w:t xml:space="preserve">Rationale:</w:t>
      </w:r>
      <w:r>
        <w:t xml:space="preserve"> </w:t>
      </w:r>
      <w:r>
        <w:t xml:space="preserve">Useful, portable workbench with strong instrumentation; ELv2, no audit trail, community-only support and new Dynatrace ownership make it unsuitable as the production record</w:t>
      </w:r>
      <w:r>
        <w:t xml:space="preserve"> </w:t>
      </w:r>
      <w:r>
        <w:rPr>
          <w:rStyle w:val="ClaimLabel"/>
        </w:rPr>
        <w:t xml:space="preserve">AJ</w:t>
      </w:r>
      <w:r>
        <w:t xml:space="preserve">.</w:t>
      </w:r>
    </w:p>
    <w:tbl>
      <w:tblPr>
        <w:tblStyle w:val="Table"/>
        <w:tblW w:type="pct" w:w="5000"/>
        <w:tblLook w:firstRow="1" w:lastRow="0" w:firstColumn="0" w:lastColumn="0" w:noHBand="0" w:noVBand="0" w:val="0020"/>
        <w:jc w:val="start"/>
      </w:tblPr>
      <w:tblGrid>
        <w:gridCol w:w="1545"/>
        <w:gridCol w:w="579"/>
        <w:gridCol w:w="5795"/>
      </w:tblGrid>
      <w:tr>
        <w:trPr>
          <w:tblHeader w:val="true"/>
        </w:trPr>
        <w:tc>
          <w:tcPr/>
          <w:p>
            <w:pPr>
              <w:pStyle w:val="Compact"/>
              <w:jc w:val="left"/>
            </w:pPr>
            <w:r>
              <w:t xml:space="preserve">Criterion</w:t>
            </w:r>
          </w:p>
        </w:tc>
        <w:tc>
          <w:tcPr/>
          <w:p>
            <w:pPr>
              <w:pStyle w:val="Compact"/>
              <w:jc w:val="right"/>
            </w:pPr>
            <w:r>
              <w:t xml:space="preserve">Score</w:t>
            </w:r>
          </w:p>
        </w:tc>
        <w:tc>
          <w:tcPr/>
          <w:p>
            <w:pPr>
              <w:pStyle w:val="Compact"/>
              <w:jc w:val="left"/>
            </w:pPr>
            <w:r>
              <w:t xml:space="preserve">Rationale</w:t>
            </w:r>
          </w:p>
        </w:tc>
      </w:tr>
      <w:tr>
        <w:tc>
          <w:tcPr/>
          <w:p>
            <w:pPr>
              <w:pStyle w:val="Compact"/>
              <w:jc w:val="left"/>
            </w:pPr>
            <w:r>
              <w:t xml:space="preserve">Technical</w:t>
            </w:r>
          </w:p>
        </w:tc>
        <w:tc>
          <w:tcPr/>
          <w:p>
            <w:pPr>
              <w:pStyle w:val="Compact"/>
              <w:jc w:val="right"/>
            </w:pPr>
            <w:r>
              <w:t xml:space="preserve">4</w:t>
            </w:r>
          </w:p>
        </w:tc>
        <w:tc>
          <w:tcPr/>
          <w:p>
            <w:pPr>
              <w:pStyle w:val="Compact"/>
              <w:jc w:val="left"/>
            </w:pPr>
            <w:r>
              <w:t xml:space="preserve">Tracing, retrieval and response evals, datasets, experiments, prompt management and pytest; online production monitoring is the AX proposition.</w:t>
            </w:r>
          </w:p>
        </w:tc>
      </w:tr>
      <w:tr>
        <w:tc>
          <w:tcPr/>
          <w:p>
            <w:pPr>
              <w:pStyle w:val="Compact"/>
              <w:jc w:val="left"/>
            </w:pPr>
            <w:r>
              <w:t xml:space="preserve">Enterprise readiness</w:t>
            </w:r>
          </w:p>
        </w:tc>
        <w:tc>
          <w:tcPr/>
          <w:p>
            <w:pPr>
              <w:pStyle w:val="Compact"/>
              <w:jc w:val="right"/>
            </w:pPr>
            <w:r>
              <w:t xml:space="preserve">3</w:t>
            </w:r>
          </w:p>
        </w:tc>
        <w:tc>
          <w:tcPr/>
          <w:p>
            <w:pPr>
              <w:pStyle w:val="Compact"/>
              <w:jc w:val="left"/>
            </w:pPr>
            <w:r>
              <w:t xml:space="preserve">Scored as self-hosted software (rule 2). With authentication enabled, Phoenix provides admin, member and viewer roles and login through OAuth2 identity providers (A1-S105): two of SSO, RBAC and audit logs verified, so 3 under rule 7 (CP2 Q2). No audit trail, SCIM or commercial support for Phoenix itself, so not above 3.</w:t>
            </w:r>
          </w:p>
        </w:tc>
      </w:tr>
      <w:tr>
        <w:tc>
          <w:tcPr/>
          <w:p>
            <w:pPr>
              <w:pStyle w:val="Compact"/>
              <w:jc w:val="left"/>
            </w:pPr>
            <w:r>
              <w:t xml:space="preserve">Security and compliance</w:t>
            </w:r>
          </w:p>
        </w:tc>
        <w:tc>
          <w:tcPr/>
          <w:p>
            <w:pPr>
              <w:pStyle w:val="Compact"/>
              <w:jc w:val="right"/>
            </w:pPr>
            <w:r>
              <w:t xml:space="preserve">3</w:t>
            </w:r>
          </w:p>
        </w:tc>
        <w:tc>
          <w:tcPr/>
          <w:p>
            <w:pPr>
              <w:pStyle w:val="Compact"/>
              <w:jc w:val="left"/>
            </w:pPr>
            <w:r>
              <w:t xml:space="preserve">Inherits host controls; licence is clear, telemetry can be disabled; auth off by default is a hygiene weakness. Certifications NPV for Phoenix Cloud, not used.</w:t>
            </w:r>
          </w:p>
        </w:tc>
      </w:tr>
      <w:tr>
        <w:tc>
          <w:tcPr/>
          <w:p>
            <w:pPr>
              <w:pStyle w:val="Compact"/>
              <w:jc w:val="left"/>
            </w:pPr>
            <w:r>
              <w:t xml:space="preserve">Deployment flexibility</w:t>
            </w:r>
          </w:p>
        </w:tc>
        <w:tc>
          <w:tcPr/>
          <w:p>
            <w:pPr>
              <w:pStyle w:val="Compact"/>
              <w:jc w:val="right"/>
            </w:pPr>
            <w:r>
              <w:t xml:space="preserve">4</w:t>
            </w:r>
          </w:p>
        </w:tc>
        <w:tc>
          <w:tcPr/>
          <w:p>
            <w:pPr>
              <w:pStyle w:val="Compact"/>
              <w:jc w:val="left"/>
            </w:pPr>
            <w:r>
              <w:t xml:space="preserve">Self-host, private-cloud templates and air-gap; Phoenix Cloud low confidence; no BYOC.</w:t>
            </w:r>
          </w:p>
        </w:tc>
      </w:tr>
      <w:tr>
        <w:tc>
          <w:tcPr/>
          <w:p>
            <w:pPr>
              <w:pStyle w:val="Compact"/>
              <w:jc w:val="left"/>
            </w:pPr>
            <w:r>
              <w:t xml:space="preserve">Ecosystem</w:t>
            </w:r>
          </w:p>
        </w:tc>
        <w:tc>
          <w:tcPr/>
          <w:p>
            <w:pPr>
              <w:pStyle w:val="Compact"/>
              <w:jc w:val="right"/>
            </w:pPr>
            <w:r>
              <w:t xml:space="preserve">4</w:t>
            </w:r>
          </w:p>
        </w:tc>
        <w:tc>
          <w:tcPr/>
          <w:p>
            <w:pPr>
              <w:pStyle w:val="Compact"/>
              <w:jc w:val="left"/>
            </w:pPr>
            <w:r>
              <w:t xml:space="preserve">OpenInference is accepted by other backends; broad framework and provider auto-instrumentation.</w:t>
            </w:r>
          </w:p>
        </w:tc>
      </w:tr>
      <w:tr>
        <w:tc>
          <w:tcPr/>
          <w:p>
            <w:pPr>
              <w:pStyle w:val="Compact"/>
              <w:jc w:val="left"/>
            </w:pPr>
            <w:r>
              <w:t xml:space="preserve">Reliability and maturity</w:t>
            </w:r>
          </w:p>
        </w:tc>
        <w:tc>
          <w:tcPr/>
          <w:p>
            <w:pPr>
              <w:pStyle w:val="Compact"/>
              <w:jc w:val="right"/>
            </w:pPr>
            <w:r>
              <w:t xml:space="preserve">4</w:t>
            </w:r>
          </w:p>
        </w:tc>
        <w:tc>
          <w:tcPr/>
          <w:p>
            <w:pPr>
              <w:pStyle w:val="Compact"/>
              <w:jc w:val="left"/>
            </w:pPr>
            <w:r>
              <w:t xml:space="preserve">700 releases since January 2023; Dynatrace completed acquisition 1 October 2026 with a support commitment.</w:t>
            </w:r>
          </w:p>
        </w:tc>
      </w:tr>
      <w:tr>
        <w:tc>
          <w:tcPr/>
          <w:p>
            <w:pPr>
              <w:pStyle w:val="Compact"/>
              <w:jc w:val="left"/>
            </w:pPr>
            <w:r>
              <w:t xml:space="preserve">Cost / TCO</w:t>
            </w:r>
          </w:p>
        </w:tc>
        <w:tc>
          <w:tcPr/>
          <w:p>
            <w:pPr>
              <w:pStyle w:val="Compact"/>
              <w:jc w:val="right"/>
            </w:pPr>
            <w:r>
              <w:t xml:space="preserve">4</w:t>
            </w:r>
          </w:p>
        </w:tc>
        <w:tc>
          <w:tcPr/>
          <w:p>
            <w:pPr>
              <w:pStyle w:val="Compact"/>
              <w:jc w:val="left"/>
            </w:pPr>
            <w:r>
              <w:t xml:space="preserve">Free with no caps; one instance per team and PostgreSQL to operate.</w:t>
            </w:r>
          </w:p>
        </w:tc>
      </w:tr>
      <w:tr>
        <w:tc>
          <w:tcPr/>
          <w:p>
            <w:pPr>
              <w:pStyle w:val="Compact"/>
              <w:jc w:val="left"/>
            </w:pPr>
            <w:r>
              <w:t xml:space="preserve">Lock-in / portability</w:t>
            </w:r>
          </w:p>
        </w:tc>
        <w:tc>
          <w:tcPr/>
          <w:p>
            <w:pPr>
              <w:pStyle w:val="Compact"/>
              <w:jc w:val="right"/>
            </w:pPr>
            <w:r>
              <w:t xml:space="preserve">3</w:t>
            </w:r>
          </w:p>
        </w:tc>
        <w:tc>
          <w:tcPr/>
          <w:p>
            <w:pPr>
              <w:pStyle w:val="Compact"/>
              <w:jc w:val="left"/>
            </w:pPr>
            <w:r>
              <w:t xml:space="preserve">Base 4 (portable OTel/OpenInference, source-available) reduced by 1 for the 2026 ownership change; ELv2 is not permissive.</w:t>
            </w:r>
          </w:p>
        </w:tc>
      </w:tr>
      <w:tr>
        <w:tc>
          <w:tcPr/>
          <w:p>
            <w:pPr>
              <w:pStyle w:val="Compact"/>
              <w:jc w:val="left"/>
            </w:pPr>
            <w:r>
              <w:rPr>
                <w:bCs/>
                <w:b/>
              </w:rPr>
              <w:t xml:space="preserve">Total (generic / FS)</w:t>
            </w:r>
          </w:p>
        </w:tc>
        <w:tc>
          <w:tcPr/>
          <w:p>
            <w:pPr>
              <w:pStyle w:val="Compact"/>
              <w:jc w:val="right"/>
            </w:pPr>
            <w:r>
              <w:rPr>
                <w:bCs/>
                <w:b/>
              </w:rPr>
              <w:t xml:space="preserve">3.65 / 3.50</w:t>
            </w:r>
          </w:p>
        </w:tc>
        <w:tc>
          <w:tcPr/>
          <w:p>
            <w:pPr>
              <w:pStyle w:val="Compact"/>
            </w:pPr>
          </w:p>
        </w:tc>
      </w:tr>
    </w:tbl>
    <w:p>
      <w:pPr>
        <w:pStyle w:val="BodyText"/>
      </w:pPr>
      <w:r>
        <w:rPr>
          <w:iCs/>
          <w:i/>
        </w:rPr>
        <w:t xml:space="preserve">Evidence rules applied:</w:t>
      </w:r>
      <w:r>
        <w:t xml:space="preserve"> </w:t>
      </w:r>
      <w:r>
        <w:t xml:space="preserve">Rule 2 (self-hosted software) applied: NPV cap not applied; enterprise_readiness and security_compliance scored on what the software enables and on project hygiene, capped at 4; inherits host controls; Rule 7 (CP2 Q2) applied at CP2 rework (8 October 2026) for consistency with Opik and Unstructured: roles and OAuth2 IdP login verified (A1-S105); enterprise_readiness 2 -&gt; 3; no audit trail</w:t>
      </w:r>
    </w:p>
    <w:p>
      <w:pPr>
        <w:pStyle w:val="BodyText"/>
      </w:pPr>
      <w:r>
        <w:rPr>
          <w:bCs/>
          <w:b/>
        </w:rPr>
        <w:t xml:space="preserve">Capabilities.</w:t>
      </w:r>
      <w:r>
        <w:t xml:space="preserve"> </w:t>
      </w:r>
      <w:r>
        <w:t xml:space="preserve">Self-hosted tracing and evaluation built on OpenTelemetry and OpenInference: LLM-based response and retrieval evaluations, versioned datasets, experiments, prompt playground and management, REST API, MCP endpoint and a pytest plugin for eval-in-CI</w:t>
      </w:r>
      <w:r>
        <w:t xml:space="preserve"> </w:t>
      </w:r>
      <w:r>
        <w:rPr>
          <w:rStyle w:val="ClaimLabel"/>
        </w:rPr>
        <w:t xml:space="preserve">VF</w:t>
      </w:r>
      <w:r>
        <w:rPr>
          <w:rStyle w:val="FootnoteReference"/>
        </w:rPr>
        <w:footnoteReference w:id="132"/>
      </w:r>
      <w:r>
        <w:t xml:space="preserve">.</w:t>
      </w:r>
    </w:p>
    <w:p>
      <w:pPr>
        <w:pStyle w:val="BodyText"/>
      </w:pPr>
      <w:r>
        <w:rPr>
          <w:bCs/>
          <w:b/>
        </w:rPr>
        <w:t xml:space="preserve">Strengths</w:t>
      </w:r>
    </w:p>
    <w:p>
      <w:pPr>
        <w:numPr>
          <w:ilvl w:val="0"/>
          <w:numId w:val="1029"/>
        </w:numPr>
        <w:pStyle w:val="Compact"/>
      </w:pPr>
      <w:r>
        <w:t xml:space="preserve">OpenInference instrumentation (Apache-2.0) routes the same spans to Phoenix, Arize AX or other backends, including Datadog</w:t>
      </w:r>
      <w:r>
        <w:t xml:space="preserve"> </w:t>
      </w:r>
      <w:r>
        <w:rPr>
          <w:rStyle w:val="ClaimLabel"/>
        </w:rPr>
        <w:t xml:space="preserve">VF</w:t>
      </w:r>
      <w:r>
        <w:rPr>
          <w:rStyle w:val="FootnoteReference"/>
        </w:rPr>
        <w:footnoteReference w:id="135"/>
      </w:r>
    </w:p>
    <w:p>
      <w:pPr>
        <w:numPr>
          <w:ilvl w:val="0"/>
          <w:numId w:val="1029"/>
        </w:numPr>
        <w:pStyle w:val="Compact"/>
      </w:pPr>
      <w:r>
        <w:t xml:space="preserve">No feature gates and no usage caps when self-hosted</w:t>
      </w:r>
      <w:r>
        <w:t xml:space="preserve"> </w:t>
      </w:r>
      <w:r>
        <w:rPr>
          <w:rStyle w:val="ClaimLabel"/>
        </w:rPr>
        <w:t xml:space="preserve">VF</w:t>
      </w:r>
      <w:r>
        <w:rPr>
          <w:rStyle w:val="FootnoteReference"/>
        </w:rPr>
        <w:footnoteReference w:id="137"/>
      </w:r>
    </w:p>
    <w:p>
      <w:pPr>
        <w:numPr>
          <w:ilvl w:val="0"/>
          <w:numId w:val="1029"/>
        </w:numPr>
        <w:pStyle w:val="Compact"/>
      </w:pPr>
      <w:r>
        <w:t xml:space="preserve">Data stays in the customer environment; default web-analytics telemetry carries no trace data and can be disabled</w:t>
      </w:r>
      <w:r>
        <w:t xml:space="preserve"> </w:t>
      </w:r>
      <w:r>
        <w:rPr>
          <w:rStyle w:val="ClaimLabel"/>
        </w:rPr>
        <w:t xml:space="preserve">VF</w:t>
      </w:r>
      <w:r>
        <w:rPr>
          <w:rStyle w:val="FootnoteReference"/>
        </w:rPr>
        <w:footnoteReference w:id="138"/>
      </w:r>
    </w:p>
    <w:p>
      <w:pPr>
        <w:numPr>
          <w:ilvl w:val="0"/>
          <w:numId w:val="1029"/>
        </w:numPr>
        <w:pStyle w:val="Compact"/>
      </w:pPr>
      <w:r>
        <w:t xml:space="preserve">Air-gapped deployment supported; cloud templates for AWS, Azure and Google Cloud Run</w:t>
      </w:r>
      <w:r>
        <w:t xml:space="preserve"> </w:t>
      </w:r>
      <w:r>
        <w:rPr>
          <w:rStyle w:val="ClaimLabel"/>
        </w:rPr>
        <w:t xml:space="preserve">VF</w:t>
      </w:r>
      <w:r>
        <w:rPr>
          <w:rStyle w:val="FootnoteReference"/>
        </w:rPr>
        <w:footnoteReference w:id="139"/>
      </w:r>
    </w:p>
    <w:p>
      <w:pPr>
        <w:pStyle w:val="FirstParagraph"/>
      </w:pPr>
      <w:r>
        <w:rPr>
          <w:bCs/>
          <w:b/>
        </w:rPr>
        <w:t xml:space="preserve">Limitations and risks</w:t>
      </w:r>
    </w:p>
    <w:p>
      <w:pPr>
        <w:numPr>
          <w:ilvl w:val="0"/>
          <w:numId w:val="1030"/>
        </w:numPr>
        <w:pStyle w:val="Compact"/>
      </w:pPr>
      <w:r>
        <w:t xml:space="preserve">Elastic License 2.0: source-available, not OSI open source; cannot be offered to third parties as a managed service</w:t>
      </w:r>
      <w:r>
        <w:t xml:space="preserve"> </w:t>
      </w:r>
      <w:r>
        <w:rPr>
          <w:rStyle w:val="ClaimLabel"/>
        </w:rPr>
        <w:t xml:space="preserve">VF</w:t>
      </w:r>
      <w:r>
        <w:rPr>
          <w:rStyle w:val="FootnoteReference"/>
        </w:rPr>
        <w:footnoteReference w:id="140"/>
      </w:r>
    </w:p>
    <w:p>
      <w:pPr>
        <w:numPr>
          <w:ilvl w:val="0"/>
          <w:numId w:val="1030"/>
        </w:numPr>
        <w:pStyle w:val="Compact"/>
      </w:pPr>
      <w:r>
        <w:t xml:space="preserve">Authentication is optional and off by default</w:t>
      </w:r>
      <w:r>
        <w:t xml:space="preserve"> </w:t>
      </w:r>
      <w:r>
        <w:rPr>
          <w:rStyle w:val="ClaimLabel"/>
        </w:rPr>
        <w:t xml:space="preserve">VF</w:t>
      </w:r>
      <w:r>
        <w:rPr>
          <w:rStyle w:val="FootnoteReference"/>
        </w:rPr>
        <w:footnoteReference w:id="143"/>
      </w:r>
    </w:p>
    <w:p>
      <w:pPr>
        <w:numPr>
          <w:ilvl w:val="0"/>
          <w:numId w:val="1030"/>
        </w:numPr>
        <w:pStyle w:val="Compact"/>
      </w:pPr>
      <w:r>
        <w:t xml:space="preserve">Single-tenant per instance; full SSO, RBAC and audit trails are provided through AX, not Phoenix</w:t>
      </w:r>
      <w:r>
        <w:t xml:space="preserve"> </w:t>
      </w:r>
      <w:r>
        <w:rPr>
          <w:rStyle w:val="ClaimLabel"/>
        </w:rPr>
        <w:t xml:space="preserve">VF</w:t>
      </w:r>
      <w:r>
        <w:rPr>
          <w:rStyle w:val="FootnoteReference"/>
        </w:rPr>
        <w:footnoteReference w:id="145"/>
      </w:r>
    </w:p>
    <w:p>
      <w:pPr>
        <w:numPr>
          <w:ilvl w:val="0"/>
          <w:numId w:val="1030"/>
        </w:numPr>
        <w:pStyle w:val="Compact"/>
      </w:pPr>
      <w:r>
        <w:t xml:space="preserve">Community support only</w:t>
      </w:r>
      <w:r>
        <w:t xml:space="preserve"> </w:t>
      </w:r>
      <w:r>
        <w:rPr>
          <w:rStyle w:val="ClaimLabel"/>
        </w:rPr>
        <w:t xml:space="preserve">VF</w:t>
      </w:r>
      <w:r>
        <w:rPr>
          <w:rStyle w:val="FootnoteReference"/>
        </w:rPr>
        <w:footnoteReference w:id="146"/>
      </w:r>
    </w:p>
    <w:p>
      <w:pPr>
        <w:numPr>
          <w:ilvl w:val="0"/>
          <w:numId w:val="1030"/>
        </w:numPr>
        <w:pStyle w:val="Compact"/>
      </w:pPr>
      <w:r>
        <w:t xml:space="preserve">Owned by Dynatrace since 1 October 2026; capabilities to be integrated into Dynatrace over time</w:t>
      </w:r>
      <w:r>
        <w:t xml:space="preserve"> </w:t>
      </w:r>
      <w:r>
        <w:rPr>
          <w:rStyle w:val="ClaimLabel"/>
        </w:rPr>
        <w:t xml:space="preserve">VF</w:t>
      </w:r>
      <w:r>
        <w:rPr>
          <w:rStyle w:val="FootnoteReference"/>
        </w:rPr>
        <w:footnoteReference w:id="147"/>
      </w:r>
    </w:p>
    <w:p>
      <w:pPr>
        <w:pStyle w:val="FirstParagraph"/>
      </w:pPr>
      <w:r>
        <w:rPr>
          <w:bCs/>
          <w:b/>
        </w:rPr>
        <w:t xml:space="preserve">Choose when</w:t>
      </w:r>
    </w:p>
    <w:p>
      <w:pPr>
        <w:numPr>
          <w:ilvl w:val="0"/>
          <w:numId w:val="1031"/>
        </w:numPr>
        <w:pStyle w:val="Compact"/>
      </w:pPr>
      <w:r>
        <w:t xml:space="preserve">You want a free, self-hosted tracing and eval workbench for development and validation teams, with OpenInference as the portable instrumentation</w:t>
      </w:r>
      <w:r>
        <w:t xml:space="preserve"> </w:t>
      </w:r>
      <w:r>
        <w:rPr>
          <w:rStyle w:val="ClaimLabel"/>
        </w:rPr>
        <w:t xml:space="preserve">AJ</w:t>
      </w:r>
    </w:p>
    <w:p>
      <w:pPr>
        <w:numPr>
          <w:ilvl w:val="0"/>
          <w:numId w:val="1031"/>
        </w:numPr>
        <w:pStyle w:val="Compact"/>
      </w:pPr>
      <w:r>
        <w:t xml:space="preserve">Validators need an isolated, air-gapped instance per model review</w:t>
      </w:r>
      <w:r>
        <w:t xml:space="preserve"> </w:t>
      </w:r>
      <w:r>
        <w:rPr>
          <w:rStyle w:val="ClaimLabel"/>
        </w:rPr>
        <w:t xml:space="preserve">AJ</w:t>
      </w:r>
    </w:p>
    <w:p>
      <w:pPr>
        <w:pStyle w:val="FirstParagraph"/>
      </w:pPr>
      <w:r>
        <w:rPr>
          <w:bCs/>
          <w:b/>
        </w:rPr>
        <w:t xml:space="preserve">Avoid when</w:t>
      </w:r>
    </w:p>
    <w:p>
      <w:pPr>
        <w:numPr>
          <w:ilvl w:val="0"/>
          <w:numId w:val="1032"/>
        </w:numPr>
        <w:pStyle w:val="Compact"/>
      </w:pPr>
      <w:r>
        <w:t xml:space="preserve">You need a multi-team production system of record with SSO, audit trails and support</w:t>
      </w:r>
      <w:r>
        <w:t xml:space="preserve"> </w:t>
      </w:r>
      <w:r>
        <w:rPr>
          <w:rStyle w:val="ClaimLabel"/>
        </w:rPr>
        <w:t xml:space="preserve">AJ</w:t>
      </w:r>
    </w:p>
    <w:p>
      <w:pPr>
        <w:numPr>
          <w:ilvl w:val="0"/>
          <w:numId w:val="1032"/>
        </w:numPr>
        <w:pStyle w:val="Compact"/>
      </w:pPr>
      <w:r>
        <w:t xml:space="preserve">Your open-source policy admits only OSI-approved licences</w:t>
      </w:r>
      <w:r>
        <w:t xml:space="preserve"> </w:t>
      </w:r>
      <w:r>
        <w:rPr>
          <w:rStyle w:val="ClaimLabel"/>
        </w:rPr>
        <w:t xml:space="preserve">AJ</w:t>
      </w:r>
    </w:p>
    <w:p>
      <w:pPr>
        <w:pStyle w:val="FirstParagraph"/>
      </w:pPr>
      <w:r>
        <w:rPr>
          <w:bCs/>
          <w:b/>
        </w:rPr>
        <w:t xml:space="preserve">Nearest competitors:</w:t>
      </w:r>
      <w:r>
        <w:t xml:space="preserve"> </w:t>
      </w:r>
      <w:r>
        <w:t xml:space="preserve">L9-langfuse, L9-opik, L9-mlflow-genai</w:t>
      </w:r>
    </w:p>
    <w:p>
      <w:pPr>
        <w:pStyle w:val="BodyText"/>
      </w:pPr>
      <w:r>
        <w:rPr>
          <w:bCs/>
          <w:b/>
        </w:rPr>
        <w:t xml:space="preserve">Regulated-FS note.</w:t>
      </w:r>
      <w:r>
        <w:t xml:space="preserve"> </w:t>
      </w:r>
      <w:r>
        <w:t xml:space="preserve">Good for independent validation sandboxes; switch authentication on, disable telemetry, and do not treat it as the audit store, because it has no audit trail</w:t>
      </w:r>
      <w:r>
        <w:t xml:space="preserve"> </w:t>
      </w:r>
      <w:r>
        <w:rPr>
          <w:rStyle w:val="ClaimLabel"/>
        </w:rPr>
        <w:t xml:space="preserve">AJ</w:t>
      </w:r>
      <w:r>
        <w:t xml:space="preserve">.</w:t>
      </w:r>
    </w:p>
    <w:p>
      <w:pPr>
        <w:pStyle w:val="BodyText"/>
      </w:pPr>
      <w:r>
        <w:rPr>
          <w:bCs/>
          <w:b/>
        </w:rPr>
        <w:t xml:space="preserve">Facts (as of 2026-10-08)</w:t>
      </w:r>
    </w:p>
    <w:tbl>
      <w:tblPr>
        <w:tblStyle w:val="Table"/>
        <w:tblW w:type="pct" w:w="5000"/>
        <w:tblLook w:firstRow="1" w:lastRow="0" w:firstColumn="0" w:lastColumn="0" w:noHBand="0" w:noVBand="0" w:val="0020"/>
        <w:jc w:val="start"/>
      </w:tblPr>
      <w:tblGrid>
        <w:gridCol w:w="1485"/>
        <w:gridCol w:w="4290"/>
        <w:gridCol w:w="1320"/>
        <w:gridCol w:w="825"/>
      </w:tblGrid>
      <w:tr>
        <w:trPr>
          <w:tblHeader w:val="true"/>
        </w:trPr>
        <w:tc>
          <w:tcPr/>
          <w:p>
            <w:pPr>
              <w:pStyle w:val="Compact"/>
              <w:jc w:val="left"/>
            </w:pPr>
            <w:r>
              <w:t xml:space="preserve">Field</w:t>
            </w:r>
          </w:p>
        </w:tc>
        <w:tc>
          <w:tcPr/>
          <w:p>
            <w:pPr>
              <w:pStyle w:val="Compact"/>
              <w:jc w:val="left"/>
            </w:pPr>
            <w:r>
              <w:t xml:space="preserve">Value</w:t>
            </w:r>
          </w:p>
        </w:tc>
        <w:tc>
          <w:tcPr/>
          <w:p>
            <w:pPr>
              <w:pStyle w:val="Compact"/>
              <w:jc w:val="left"/>
            </w:pPr>
            <w:r>
              <w:t xml:space="preserve">Label</w:t>
            </w:r>
          </w:p>
        </w:tc>
        <w:tc>
          <w:tcPr/>
          <w:p>
            <w:pPr>
              <w:pStyle w:val="Compact"/>
              <w:jc w:val="left"/>
            </w:pPr>
            <w:r>
              <w:t xml:space="preserve">Sources</w:t>
            </w:r>
          </w:p>
        </w:tc>
      </w:tr>
      <w:tr>
        <w:tc>
          <w:tcPr/>
          <w:p>
            <w:pPr>
              <w:pStyle w:val="Compact"/>
              <w:jc w:val="left"/>
            </w:pPr>
            <w:r>
              <w:t xml:space="preserve">Company</w:t>
            </w:r>
          </w:p>
        </w:tc>
        <w:tc>
          <w:tcPr/>
          <w:p>
            <w:pPr>
              <w:pStyle w:val="Compact"/>
              <w:jc w:val="left"/>
            </w:pPr>
            <w:r>
              <w:t xml:space="preserve">Arize AI, a Dynatrace company (Dynatrace completed the acquisition on 1 October 2026)</w:t>
            </w:r>
          </w:p>
        </w:tc>
        <w:tc>
          <w:tcPr/>
          <w:p>
            <w:pPr>
              <w:pStyle w:val="Compact"/>
              <w:jc w:val="left"/>
            </w:pPr>
            <w:r>
              <w:t xml:space="preserve">Verified fact</w:t>
            </w:r>
          </w:p>
        </w:tc>
        <w:tc>
          <w:tcPr/>
          <w:p>
            <w:pPr>
              <w:pStyle w:val="Compact"/>
              <w:jc w:val="left"/>
            </w:pPr>
            <w:r>
              <w:t xml:space="preserve">A1-S044, A1-S045, V1-S005</w:t>
            </w:r>
          </w:p>
        </w:tc>
      </w:tr>
      <w:tr>
        <w:tc>
          <w:tcPr/>
          <w:p>
            <w:pPr>
              <w:pStyle w:val="Compact"/>
              <w:jc w:val="left"/>
            </w:pPr>
            <w:r>
              <w:t xml:space="preserve">Category</w:t>
            </w:r>
          </w:p>
        </w:tc>
        <w:tc>
          <w:tcPr/>
          <w:p>
            <w:pPr>
              <w:pStyle w:val="Compact"/>
              <w:jc w:val="left"/>
            </w:pPr>
            <w:r>
              <w:t xml:space="preserve">Source-available (ELv2), self-hosted AI observability and evaluation platform</w:t>
            </w:r>
          </w:p>
        </w:tc>
        <w:tc>
          <w:tcPr/>
          <w:p>
            <w:pPr>
              <w:pStyle w:val="Compact"/>
              <w:jc w:val="left"/>
            </w:pPr>
            <w:r>
              <w:t xml:space="preserve">Verified fact</w:t>
            </w:r>
          </w:p>
        </w:tc>
        <w:tc>
          <w:tcPr/>
          <w:p>
            <w:pPr>
              <w:pStyle w:val="Compact"/>
              <w:jc w:val="left"/>
            </w:pPr>
            <w:r>
              <w:t xml:space="preserve">A1-S048, A1-S066, A1-S107</w:t>
            </w:r>
          </w:p>
        </w:tc>
      </w:tr>
      <w:tr>
        <w:tc>
          <w:tcPr/>
          <w:p>
            <w:pPr>
              <w:pStyle w:val="Compact"/>
              <w:jc w:val="left"/>
            </w:pPr>
            <w:r>
              <w:t xml:space="preserve">Version / lineup</w:t>
            </w:r>
          </w:p>
        </w:tc>
        <w:tc>
          <w:tcPr/>
          <w:p>
            <w:pPr>
              <w:pStyle w:val="Compact"/>
              <w:jc w:val="left"/>
            </w:pPr>
            <w:r>
              <w:t xml:space="preserve">arize-phoenix 20.19.0, released 1 October 2026</w:t>
            </w:r>
          </w:p>
        </w:tc>
        <w:tc>
          <w:tcPr/>
          <w:p>
            <w:pPr>
              <w:pStyle w:val="Compact"/>
              <w:jc w:val="left"/>
            </w:pPr>
            <w:r>
              <w:t xml:space="preserve">Verified fact</w:t>
            </w:r>
          </w:p>
        </w:tc>
        <w:tc>
          <w:tcPr/>
          <w:p>
            <w:pPr>
              <w:pStyle w:val="Compact"/>
              <w:jc w:val="left"/>
            </w:pPr>
            <w:r>
              <w:t xml:space="preserve">A1-S004</w:t>
            </w:r>
          </w:p>
        </w:tc>
      </w:tr>
      <w:tr>
        <w:tc>
          <w:tcPr/>
          <w:p>
            <w:pPr>
              <w:pStyle w:val="Compact"/>
              <w:jc w:val="left"/>
            </w:pPr>
            <w:r>
              <w:t xml:space="preserve">Licence</w:t>
            </w:r>
          </w:p>
        </w:tc>
        <w:tc>
          <w:tcPr/>
          <w:p>
            <w:pPr>
              <w:pStyle w:val="Compact"/>
              <w:jc w:val="left"/>
            </w:pPr>
            <w:r>
              <w:t xml:space="preserve">Elastic License 2.0: free self-hosting, modification and redistribution, but may not be provided to third parties as a hosted or managed service; not OSI-approved although marketed as</w:t>
            </w:r>
            <w:r>
              <w:t xml:space="preserve"> </w:t>
            </w:r>
            <w:r>
              <w:t xml:space="preserve">‘</w:t>
            </w:r>
            <w:r>
              <w:t xml:space="preserve">open source</w:t>
            </w:r>
            <w:r>
              <w:t xml:space="preserve">’</w:t>
            </w:r>
            <w:r>
              <w:t xml:space="preserve">; no feature gates</w:t>
            </w:r>
          </w:p>
        </w:tc>
        <w:tc>
          <w:tcPr/>
          <w:p>
            <w:pPr>
              <w:pStyle w:val="Compact"/>
              <w:jc w:val="left"/>
            </w:pPr>
            <w:r>
              <w:t xml:space="preserve">Verified fact</w:t>
            </w:r>
          </w:p>
        </w:tc>
        <w:tc>
          <w:tcPr/>
          <w:p>
            <w:pPr>
              <w:pStyle w:val="Compact"/>
              <w:jc w:val="left"/>
            </w:pPr>
            <w:r>
              <w:t xml:space="preserve">A1-S048, A1-S046, A1-S107, V1-S013</w:t>
            </w:r>
          </w:p>
        </w:tc>
      </w:tr>
      <w:tr>
        <w:tc>
          <w:tcPr/>
          <w:p>
            <w:pPr>
              <w:pStyle w:val="Compact"/>
              <w:jc w:val="left"/>
            </w:pPr>
            <w:r>
              <w:t xml:space="preserve">Status events</w:t>
            </w:r>
          </w:p>
        </w:tc>
        <w:tc>
          <w:tcPr/>
          <w:p>
            <w:pPr>
              <w:pStyle w:val="Compact"/>
              <w:jc w:val="left"/>
            </w:pPr>
            <w:r>
              <w:t xml:space="preserve">Dynatrace signed a definitive agreement to acquire Arize, 13 August 2026 (US$915M cash and stock); Acquisition completed 1 October 2026 (Dynatrace investor-relations release, 4:05 p.m. EDT)</w:t>
            </w:r>
          </w:p>
        </w:tc>
        <w:tc>
          <w:tcPr/>
          <w:p>
            <w:pPr>
              <w:pStyle w:val="Compact"/>
              <w:jc w:val="left"/>
            </w:pPr>
            <w:r>
              <w:t xml:space="preserve">Verified fact</w:t>
            </w:r>
          </w:p>
        </w:tc>
        <w:tc>
          <w:tcPr/>
          <w:p>
            <w:pPr>
              <w:pStyle w:val="Compact"/>
              <w:jc w:val="left"/>
            </w:pPr>
            <w:r>
              <w:t xml:space="preserve">A1-S044, A1-S045, V1-S005</w:t>
            </w:r>
          </w:p>
        </w:tc>
      </w:tr>
      <w:tr>
        <w:tc>
          <w:tcPr/>
          <w:p>
            <w:pPr>
              <w:pStyle w:val="Compact"/>
              <w:jc w:val="left"/>
            </w:pPr>
            <w:r>
              <w:t xml:space="preserve">Strategic direction</w:t>
            </w:r>
          </w:p>
        </w:tc>
        <w:tc>
          <w:tcPr/>
          <w:p>
            <w:pPr>
              <w:pStyle w:val="Compact"/>
              <w:jc w:val="left"/>
            </w:pPr>
            <w:r>
              <w:t xml:space="preserve">Arize will continue to support Phoenix after the Dynatrace acquisition and integrate capabilities into Dynatrace over time; recent additions include PXI (built-in AI engineering agent) and a remote MCP server</w:t>
            </w:r>
          </w:p>
        </w:tc>
        <w:tc>
          <w:tcPr/>
          <w:p>
            <w:pPr>
              <w:pStyle w:val="Compact"/>
              <w:jc w:val="left"/>
            </w:pPr>
            <w:r>
              <w:t xml:space="preserve">Verified fact</w:t>
            </w:r>
          </w:p>
        </w:tc>
        <w:tc>
          <w:tcPr/>
          <w:p>
            <w:pPr>
              <w:pStyle w:val="Compact"/>
              <w:jc w:val="left"/>
            </w:pPr>
            <w:r>
              <w:t xml:space="preserve">A1-S045, A1-S066</w:t>
            </w:r>
          </w:p>
        </w:tc>
      </w:tr>
      <w:tr>
        <w:tc>
          <w:tcPr/>
          <w:p>
            <w:pPr>
              <w:pStyle w:val="Compact"/>
              <w:jc w:val="left"/>
            </w:pPr>
            <w:r>
              <w:t xml:space="preserve">What it does</w:t>
            </w:r>
          </w:p>
        </w:tc>
        <w:tc>
          <w:tcPr/>
          <w:p>
            <w:pPr>
              <w:pStyle w:val="Compact"/>
              <w:jc w:val="left"/>
            </w:pPr>
            <w:r>
              <w:t xml:space="preserve">Traces LLM applications with OpenTelemetry-based instrumentation and runs LLM-based response and retrieval evaluations, versioned datasets, experiments, a prompt playground and prompt management.</w:t>
            </w:r>
          </w:p>
        </w:tc>
        <w:tc>
          <w:tcPr/>
          <w:p>
            <w:pPr>
              <w:pStyle w:val="Compact"/>
              <w:jc w:val="left"/>
            </w:pPr>
            <w:r>
              <w:t xml:space="preserve">Verified fact</w:t>
            </w:r>
          </w:p>
        </w:tc>
        <w:tc>
          <w:tcPr/>
          <w:p>
            <w:pPr>
              <w:pStyle w:val="Compact"/>
              <w:jc w:val="left"/>
            </w:pPr>
            <w:r>
              <w:t xml:space="preserve">A1-S066</w:t>
            </w:r>
          </w:p>
        </w:tc>
      </w:tr>
      <w:tr>
        <w:tc>
          <w:tcPr/>
          <w:p>
            <w:pPr>
              <w:pStyle w:val="Compact"/>
              <w:jc w:val="left"/>
            </w:pPr>
            <w:r>
              <w:t xml:space="preserve">Stack position</w:t>
            </w:r>
          </w:p>
        </w:tc>
        <w:tc>
          <w:tcPr/>
          <w:p>
            <w:pPr>
              <w:pStyle w:val="Compact"/>
              <w:jc w:val="left"/>
            </w:pPr>
            <w:r>
              <w:t xml:space="preserve">Cross-cutting tracing and evaluation for development and self-hosted production; it is the open product, while Arize AX is the commercial platform (graphic shows both as separate tiles)</w:t>
            </w:r>
          </w:p>
        </w:tc>
        <w:tc>
          <w:tcPr/>
          <w:p>
            <w:pPr>
              <w:pStyle w:val="Compact"/>
              <w:jc w:val="left"/>
            </w:pPr>
            <w:r>
              <w:t xml:space="preserve">Verified fact</w:t>
            </w:r>
          </w:p>
        </w:tc>
        <w:tc>
          <w:tcPr/>
          <w:p>
            <w:pPr>
              <w:pStyle w:val="Compact"/>
              <w:jc w:val="left"/>
            </w:pPr>
            <w:r>
              <w:t xml:space="preserve">A1-S046, A1-S066</w:t>
            </w:r>
          </w:p>
        </w:tc>
      </w:tr>
      <w:tr>
        <w:tc>
          <w:tcPr/>
          <w:p>
            <w:pPr>
              <w:pStyle w:val="Compact"/>
              <w:jc w:val="left"/>
            </w:pPr>
            <w:r>
              <w:t xml:space="preserve">Integration</w:t>
            </w:r>
          </w:p>
        </w:tc>
        <w:tc>
          <w:tcPr/>
          <w:p>
            <w:pPr>
              <w:pStyle w:val="Compact"/>
              <w:jc w:val="left"/>
            </w:pPr>
            <w:r>
              <w:t xml:space="preserve">OpenTelemetry with OpenInference instrumentation (Apache-2.0); same instrumentation routes to Phoenix or AX; REST API; built-in MCP endpoint; pytest plugin for eval-in-CI</w:t>
            </w:r>
          </w:p>
        </w:tc>
        <w:tc>
          <w:tcPr/>
          <w:p>
            <w:pPr>
              <w:pStyle w:val="Compact"/>
              <w:jc w:val="left"/>
            </w:pPr>
            <w:r>
              <w:t xml:space="preserve">Verified fact</w:t>
            </w:r>
          </w:p>
        </w:tc>
        <w:tc>
          <w:tcPr/>
          <w:p>
            <w:pPr>
              <w:pStyle w:val="Compact"/>
              <w:jc w:val="left"/>
            </w:pPr>
            <w:r>
              <w:t xml:space="preserve">A1-S049, A1-S066, A1-S106</w:t>
            </w:r>
          </w:p>
        </w:tc>
      </w:tr>
      <w:tr>
        <w:tc>
          <w:tcPr/>
          <w:p>
            <w:pPr>
              <w:pStyle w:val="Compact"/>
              <w:jc w:val="left"/>
            </w:pPr>
            <w:r>
              <w:t xml:space="preserve">Dependencies</w:t>
            </w:r>
          </w:p>
        </w:tc>
        <w:tc>
          <w:tcPr/>
          <w:p>
            <w:pPr>
              <w:pStyle w:val="Compact"/>
              <w:jc w:val="left"/>
            </w:pPr>
            <w:r>
              <w:t xml:space="preserve">SQLite by default; PostgreSQL 14+ recommended for production; single-tenant per instance</w:t>
            </w:r>
          </w:p>
        </w:tc>
        <w:tc>
          <w:tcPr/>
          <w:p>
            <w:pPr>
              <w:pStyle w:val="Compact"/>
              <w:jc w:val="left"/>
            </w:pPr>
            <w:r>
              <w:t xml:space="preserve">Verified fact</w:t>
            </w:r>
          </w:p>
        </w:tc>
        <w:tc>
          <w:tcPr/>
          <w:p>
            <w:pPr>
              <w:pStyle w:val="Compact"/>
              <w:jc w:val="left"/>
            </w:pPr>
            <w:r>
              <w:t xml:space="preserve">A1-S046</w:t>
            </w:r>
          </w:p>
        </w:tc>
      </w:tr>
      <w:tr>
        <w:tc>
          <w:tcPr/>
          <w:p>
            <w:pPr>
              <w:pStyle w:val="Compact"/>
              <w:jc w:val="left"/>
            </w:pPr>
            <w:r>
              <w:t xml:space="preserve">Certifications</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GDPR / residency</w:t>
            </w:r>
          </w:p>
        </w:tc>
        <w:tc>
          <w:tcPr/>
          <w:p>
            <w:pPr>
              <w:pStyle w:val="Compact"/>
              <w:jc w:val="left"/>
            </w:pPr>
            <w:r>
              <w:t xml:space="preserve">Self-hosted: data remains in the customer environment; default web-analytics telemetry collects no trace or evaluation data and can be disabled (PHOENIX_TELEMETRY_ENABLED=false)</w:t>
            </w:r>
          </w:p>
        </w:tc>
        <w:tc>
          <w:tcPr/>
          <w:p>
            <w:pPr>
              <w:pStyle w:val="Compact"/>
              <w:jc w:val="left"/>
            </w:pPr>
            <w:r>
              <w:t xml:space="preserve">Verified fact</w:t>
            </w:r>
          </w:p>
        </w:tc>
        <w:tc>
          <w:tcPr/>
          <w:p>
            <w:pPr>
              <w:pStyle w:val="Compact"/>
              <w:jc w:val="left"/>
            </w:pPr>
            <w:r>
              <w:t xml:space="preserve">A1-S066</w:t>
            </w:r>
          </w:p>
        </w:tc>
      </w:tr>
      <w:tr>
        <w:tc>
          <w:tcPr/>
          <w:p>
            <w:pPr>
              <w:pStyle w:val="Compact"/>
              <w:jc w:val="left"/>
            </w:pPr>
            <w:r>
              <w:t xml:space="preserve">Security features</w:t>
            </w:r>
          </w:p>
        </w:tc>
        <w:tc>
          <w:tcPr/>
          <w:p>
            <w:pPr>
              <w:pStyle w:val="Compact"/>
              <w:jc w:val="left"/>
            </w:pPr>
            <w:r>
              <w:t xml:space="preserve">Authentication optional and off by default; when enabled supports secure cookies and Phoenix acts as an OAuth2 authorisation server for MCP and other clients</w:t>
            </w:r>
          </w:p>
        </w:tc>
        <w:tc>
          <w:tcPr/>
          <w:p>
            <w:pPr>
              <w:pStyle w:val="Compact"/>
              <w:jc w:val="left"/>
            </w:pPr>
            <w:r>
              <w:t xml:space="preserve">Verified fact</w:t>
            </w:r>
          </w:p>
        </w:tc>
        <w:tc>
          <w:tcPr/>
          <w:p>
            <w:pPr>
              <w:pStyle w:val="Compact"/>
              <w:jc w:val="left"/>
            </w:pPr>
            <w:r>
              <w:t xml:space="preserve">A1-S046, A1-S105</w:t>
            </w:r>
          </w:p>
        </w:tc>
      </w:tr>
      <w:tr>
        <w:tc>
          <w:tcPr/>
          <w:p>
            <w:pPr>
              <w:pStyle w:val="Compact"/>
              <w:jc w:val="left"/>
            </w:pPr>
            <w:r>
              <w:t xml:space="preserve">Access controls</w:t>
            </w:r>
          </w:p>
        </w:tc>
        <w:tc>
          <w:tcPr/>
          <w:p>
            <w:pPr>
              <w:pStyle w:val="Compact"/>
              <w:jc w:val="left"/>
            </w:pPr>
            <w:r>
              <w:t xml:space="preserve">Roles admin, member and viewer when auth enabled; login via OAuth2 identity providers; Arize states full SSO/RBAC/audit trails are provided through AX</w:t>
            </w:r>
          </w:p>
        </w:tc>
        <w:tc>
          <w:tcPr/>
          <w:p>
            <w:pPr>
              <w:pStyle w:val="Compact"/>
              <w:jc w:val="left"/>
            </w:pPr>
            <w:r>
              <w:t xml:space="preserve">Verified fact</w:t>
            </w:r>
          </w:p>
        </w:tc>
        <w:tc>
          <w:tcPr/>
          <w:p>
            <w:pPr>
              <w:pStyle w:val="Compact"/>
              <w:jc w:val="left"/>
            </w:pPr>
            <w:r>
              <w:t xml:space="preserve">A1-S105, A1-S046</w:t>
            </w:r>
          </w:p>
        </w:tc>
      </w:tr>
      <w:tr>
        <w:tc>
          <w:tcPr/>
          <w:p>
            <w:pPr>
              <w:pStyle w:val="Compact"/>
              <w:jc w:val="left"/>
            </w:pPr>
            <w:r>
              <w:t xml:space="preserve">Enterprise support</w:t>
            </w:r>
          </w:p>
        </w:tc>
        <w:tc>
          <w:tcPr/>
          <w:p>
            <w:pPr>
              <w:pStyle w:val="Compact"/>
              <w:jc w:val="left"/>
            </w:pPr>
            <w:r>
              <w:t xml:space="preserve">Community support only; dedicated support and SLAs via Arize AX</w:t>
            </w:r>
          </w:p>
        </w:tc>
        <w:tc>
          <w:tcPr/>
          <w:p>
            <w:pPr>
              <w:pStyle w:val="Compact"/>
              <w:jc w:val="left"/>
            </w:pPr>
            <w:r>
              <w:t xml:space="preserve">Verified fact</w:t>
            </w:r>
          </w:p>
        </w:tc>
        <w:tc>
          <w:tcPr/>
          <w:p>
            <w:pPr>
              <w:pStyle w:val="Compact"/>
              <w:jc w:val="left"/>
            </w:pPr>
            <w:r>
              <w:t xml:space="preserve">A1-S046</w:t>
            </w:r>
          </w:p>
        </w:tc>
      </w:tr>
      <w:tr>
        <w:tc>
          <w:tcPr/>
          <w:p>
            <w:pPr>
              <w:pStyle w:val="Compact"/>
              <w:jc w:val="left"/>
            </w:pPr>
            <w:r>
              <w:t xml:space="preserve">Pricing</w:t>
            </w:r>
          </w:p>
        </w:tc>
        <w:tc>
          <w:tcPr/>
          <w:p>
            <w:pPr>
              <w:pStyle w:val="Compact"/>
              <w:jc w:val="left"/>
            </w:pPr>
            <w:r>
              <w:t xml:space="preserve">Free to self-host, no usage caps</w:t>
            </w:r>
          </w:p>
        </w:tc>
        <w:tc>
          <w:tcPr/>
          <w:p>
            <w:pPr>
              <w:pStyle w:val="Compact"/>
              <w:jc w:val="left"/>
            </w:pPr>
            <w:r>
              <w:t xml:space="preserve">Verified fact</w:t>
            </w:r>
          </w:p>
        </w:tc>
        <w:tc>
          <w:tcPr/>
          <w:p>
            <w:pPr>
              <w:pStyle w:val="Compact"/>
              <w:jc w:val="left"/>
            </w:pPr>
            <w:r>
              <w:t xml:space="preserve">A1-S047, A1-S107</w:t>
            </w:r>
          </w:p>
        </w:tc>
      </w:tr>
      <w:tr>
        <w:tc>
          <w:tcPr/>
          <w:p>
            <w:pPr>
              <w:pStyle w:val="Compact"/>
              <w:jc w:val="left"/>
            </w:pPr>
            <w:r>
              <w:t xml:space="preserve">Infrastructure cost</w:t>
            </w:r>
          </w:p>
        </w:tc>
        <w:tc>
          <w:tcPr/>
          <w:p>
            <w:pPr>
              <w:pStyle w:val="Compact"/>
              <w:jc w:val="left"/>
            </w:pPr>
            <w:r>
              <w:t xml:space="preserve">Cost is the customer’s compute and PostgreSQL; multi-team use requires multiple instances</w:t>
            </w:r>
          </w:p>
        </w:tc>
        <w:tc>
          <w:tcPr/>
          <w:p>
            <w:pPr>
              <w:pStyle w:val="Compact"/>
              <w:jc w:val="left"/>
            </w:pPr>
            <w:r>
              <w:t xml:space="preserve">Architectural judgement</w:t>
            </w:r>
          </w:p>
        </w:tc>
        <w:tc>
          <w:tcPr/>
          <w:p>
            <w:pPr>
              <w:pStyle w:val="Compact"/>
            </w:pPr>
          </w:p>
        </w:tc>
      </w:tr>
      <w:tr>
        <w:tc>
          <w:tcPr/>
          <w:p>
            <w:pPr>
              <w:pStyle w:val="Compact"/>
              <w:jc w:val="left"/>
            </w:pPr>
            <w:r>
              <w:t xml:space="preserve">Ecosystem</w:t>
            </w:r>
          </w:p>
        </w:tc>
        <w:tc>
          <w:tcPr/>
          <w:p>
            <w:pPr>
              <w:pStyle w:val="Compact"/>
              <w:jc w:val="left"/>
            </w:pPr>
            <w:r>
              <w:t xml:space="preserve">Out-of-the-box tracing for OpenAI Agents SDK, Claude Agent SDK, LangGraph, Vercel AI SDK, Mastra, CrewAI, LlamaIndex, DSPy and providers incl. OpenAI, Anthropic, Google GenAI, Bedrock, OpenRouter, LiteLLM</w:t>
            </w:r>
          </w:p>
        </w:tc>
        <w:tc>
          <w:tcPr/>
          <w:p>
            <w:pPr>
              <w:pStyle w:val="Compact"/>
              <w:jc w:val="left"/>
            </w:pPr>
            <w:r>
              <w:t xml:space="preserve">Verified fact</w:t>
            </w:r>
          </w:p>
        </w:tc>
        <w:tc>
          <w:tcPr/>
          <w:p>
            <w:pPr>
              <w:pStyle w:val="Compact"/>
              <w:jc w:val="left"/>
            </w:pPr>
            <w:r>
              <w:t xml:space="preserve">A1-S066</w:t>
            </w:r>
          </w:p>
        </w:tc>
      </w:tr>
      <w:tr>
        <w:tc>
          <w:tcPr/>
          <w:p>
            <w:pPr>
              <w:pStyle w:val="Compact"/>
              <w:jc w:val="left"/>
            </w:pPr>
            <w:r>
              <w:t xml:space="preserve">Adoption signals</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Maturity</w:t>
            </w:r>
          </w:p>
        </w:tc>
        <w:tc>
          <w:tcPr/>
          <w:p>
            <w:pPr>
              <w:pStyle w:val="Compact"/>
              <w:jc w:val="left"/>
            </w:pPr>
            <w:r>
              <w:t xml:space="preserve">First PyPI release 18 January 2023; 700 releases to 1 October 2026</w:t>
            </w:r>
          </w:p>
        </w:tc>
        <w:tc>
          <w:tcPr/>
          <w:p>
            <w:pPr>
              <w:pStyle w:val="Compact"/>
              <w:jc w:val="left"/>
            </w:pPr>
            <w:r>
              <w:t xml:space="preserve">Verified fact</w:t>
            </w:r>
          </w:p>
        </w:tc>
        <w:tc>
          <w:tcPr/>
          <w:p>
            <w:pPr>
              <w:pStyle w:val="Compact"/>
              <w:jc w:val="left"/>
            </w:pPr>
            <w:r>
              <w:t xml:space="preserve">A1-S004</w:t>
            </w:r>
          </w:p>
        </w:tc>
      </w:tr>
      <w:tr>
        <w:tc>
          <w:tcPr/>
          <w:p>
            <w:pPr>
              <w:pStyle w:val="Compact"/>
              <w:jc w:val="left"/>
            </w:pPr>
            <w:r>
              <w:t xml:space="preserve">Deployment</w:t>
            </w:r>
          </w:p>
        </w:tc>
        <w:tc>
          <w:tcPr/>
          <w:p>
            <w:pPr>
              <w:pStyle w:val="Compact"/>
              <w:jc w:val="left"/>
            </w:pPr>
            <w:r>
              <w:t xml:space="preserve">saas: Yes (Phoenix Cloud referenced); managed_cloud: Not publicly verified; vpc_byoc: Not publicly verified; private_cloud: Yes (AWS CloudFormation, Azure, Google Cloud Run templates); self_hosted: Yes; on_prem: Yes (air-gapped supported)</w:t>
            </w:r>
          </w:p>
        </w:tc>
        <w:tc>
          <w:tcPr/>
          <w:p>
            <w:pPr>
              <w:pStyle w:val="Compact"/>
            </w:pPr>
          </w:p>
        </w:tc>
        <w:tc>
          <w:tcPr/>
          <w:p>
            <w:pPr>
              <w:pStyle w:val="Compact"/>
            </w:pPr>
          </w:p>
        </w:tc>
      </w:tr>
    </w:tbl>
    <w:bookmarkEnd w:id="148"/>
    <w:bookmarkStart w:id="164" w:name="wb-weave-weights-biases-l9-wandb-weave"/>
    <w:p>
      <w:pPr>
        <w:pStyle w:val="Heading2"/>
      </w:pPr>
      <w:r>
        <w:t xml:space="preserve">W&amp;B Weave (Weights &amp; Biases) (</w:t>
      </w:r>
      <w:r>
        <w:rPr>
          <w:rStyle w:val="VerbatimChar"/>
        </w:rPr>
        <w:t xml:space="preserve">L9-wandb-weave</w:t>
      </w:r>
      <w:r>
        <w:t xml:space="preserve">)</w:t>
      </w:r>
    </w:p>
    <w:p>
      <w:pPr>
        <w:pStyle w:val="FirstParagraph"/>
      </w:pPr>
      <w:r>
        <w:rPr>
          <w:bCs/>
          <w:b/>
        </w:rPr>
        <w:t xml:space="preserve">Tier:</w:t>
      </w:r>
      <w:r>
        <w:t xml:space="preserve"> </w:t>
      </w:r>
      <w:r>
        <w:t xml:space="preserve">Tactical ·</w:t>
      </w:r>
      <w:r>
        <w:t xml:space="preserve"> </w:t>
      </w:r>
      <w:r>
        <w:rPr>
          <w:bCs/>
          <w:b/>
        </w:rPr>
        <w:t xml:space="preserve">Flags:</w:t>
      </w:r>
      <w:r>
        <w:t xml:space="preserve"> </w:t>
      </w:r>
      <w:r>
        <w:t xml:space="preserve">Acquired ·</w:t>
      </w:r>
      <w:r>
        <w:t xml:space="preserve"> </w:t>
      </w:r>
      <w:r>
        <w:rPr>
          <w:bCs/>
          <w:b/>
        </w:rPr>
        <w:t xml:space="preserve">Original graphic label:</w:t>
      </w:r>
      <w:r>
        <w:t xml:space="preserve"> </w:t>
      </w:r>
      <w:r>
        <w:t xml:space="preserve">not in graphic</w:t>
      </w:r>
    </w:p>
    <w:p>
      <w:pPr>
        <w:pStyle w:val="BodyText"/>
      </w:pPr>
      <w:r>
        <w:rPr>
          <w:iCs/>
          <w:i/>
        </w:rPr>
        <w:t xml:space="preserve">Rationale:</w:t>
      </w:r>
      <w:r>
        <w:t xml:space="preserve"> </w:t>
      </w:r>
      <w:r>
        <w:t xml:space="preserve">Good security posture and deployment options, but evaluation depth is less evidenced and the product follows a compute vendor’s platform strategy</w:t>
      </w:r>
      <w:r>
        <w:t xml:space="preserve"> </w:t>
      </w:r>
      <w:r>
        <w:rPr>
          <w:rStyle w:val="ClaimLabel"/>
        </w:rPr>
        <w:t xml:space="preserve">AJ</w:t>
      </w:r>
      <w:r>
        <w:t xml:space="preserve">.</w:t>
      </w:r>
    </w:p>
    <w:tbl>
      <w:tblPr>
        <w:tblStyle w:val="Table"/>
        <w:tblW w:type="pct" w:w="5000"/>
        <w:tblLook w:firstRow="1" w:lastRow="0" w:firstColumn="0" w:lastColumn="0" w:noHBand="0" w:noVBand="0" w:val="0020"/>
        <w:jc w:val="start"/>
      </w:tblPr>
      <w:tblGrid>
        <w:gridCol w:w="1545"/>
        <w:gridCol w:w="579"/>
        <w:gridCol w:w="5795"/>
      </w:tblGrid>
      <w:tr>
        <w:trPr>
          <w:tblHeader w:val="true"/>
        </w:trPr>
        <w:tc>
          <w:tcPr/>
          <w:p>
            <w:pPr>
              <w:pStyle w:val="Compact"/>
              <w:jc w:val="left"/>
            </w:pPr>
            <w:r>
              <w:t xml:space="preserve">Criterion</w:t>
            </w:r>
          </w:p>
        </w:tc>
        <w:tc>
          <w:tcPr/>
          <w:p>
            <w:pPr>
              <w:pStyle w:val="Compact"/>
              <w:jc w:val="right"/>
            </w:pPr>
            <w:r>
              <w:t xml:space="preserve">Score</w:t>
            </w:r>
          </w:p>
        </w:tc>
        <w:tc>
          <w:tcPr/>
          <w:p>
            <w:pPr>
              <w:pStyle w:val="Compact"/>
              <w:jc w:val="left"/>
            </w:pPr>
            <w:r>
              <w:t xml:space="preserve">Rationale</w:t>
            </w:r>
          </w:p>
        </w:tc>
      </w:tr>
      <w:tr>
        <w:tc>
          <w:tcPr/>
          <w:p>
            <w:pPr>
              <w:pStyle w:val="Compact"/>
              <w:jc w:val="left"/>
            </w:pPr>
            <w:r>
              <w:t xml:space="preserve">Technical</w:t>
            </w:r>
          </w:p>
        </w:tc>
        <w:tc>
          <w:tcPr/>
          <w:p>
            <w:pPr>
              <w:pStyle w:val="Compact"/>
              <w:jc w:val="right"/>
            </w:pPr>
            <w:r>
              <w:t xml:space="preserve">3</w:t>
            </w:r>
          </w:p>
        </w:tc>
        <w:tc>
          <w:tcPr/>
          <w:p>
            <w:pPr>
              <w:pStyle w:val="Compact"/>
              <w:jc w:val="left"/>
            </w:pPr>
            <w:r>
              <w:t xml:space="preserve">Agent tracing and evaluation with SDK autopatching; RAG metrics, online rules and red-teaming not evidenced.</w:t>
            </w:r>
          </w:p>
        </w:tc>
      </w:tr>
      <w:tr>
        <w:tc>
          <w:tcPr/>
          <w:p>
            <w:pPr>
              <w:pStyle w:val="Compact"/>
              <w:jc w:val="left"/>
            </w:pPr>
            <w:r>
              <w:t xml:space="preserve">Enterprise readiness</w:t>
            </w:r>
          </w:p>
        </w:tc>
        <w:tc>
          <w:tcPr/>
          <w:p>
            <w:pPr>
              <w:pStyle w:val="Compact"/>
              <w:jc w:val="right"/>
            </w:pPr>
            <w:r>
              <w:t xml:space="preserve">4</w:t>
            </w:r>
          </w:p>
        </w:tc>
        <w:tc>
          <w:tcPr/>
          <w:p>
            <w:pPr>
              <w:pStyle w:val="Compact"/>
              <w:jc w:val="left"/>
            </w:pPr>
            <w:r>
              <w:t xml:space="preserve">SSO, automated provisioning, custom roles, audit logs and an enterprise support package.</w:t>
            </w:r>
          </w:p>
        </w:tc>
      </w:tr>
      <w:tr>
        <w:tc>
          <w:tcPr/>
          <w:p>
            <w:pPr>
              <w:pStyle w:val="Compact"/>
              <w:jc w:val="left"/>
            </w:pPr>
            <w:r>
              <w:t xml:space="preserve">Security and compliance</w:t>
            </w:r>
          </w:p>
        </w:tc>
        <w:tc>
          <w:tcPr/>
          <w:p>
            <w:pPr>
              <w:pStyle w:val="Compact"/>
              <w:jc w:val="right"/>
            </w:pPr>
            <w:r>
              <w:t xml:space="preserve">4</w:t>
            </w:r>
          </w:p>
        </w:tc>
        <w:tc>
          <w:tcPr/>
          <w:p>
            <w:pPr>
              <w:pStyle w:val="Compact"/>
              <w:jc w:val="left"/>
            </w:pPr>
            <w:r>
              <w:t xml:space="preserve">The Weave documentation states SOC 2 Type II for both managed platforms, HIPAA on Dedicated Cloud and customer-managed keys on Enterprise (A1-S137, A1-S138); ISO/IEC 27001/27017/27018 are listed at W&amp;B site level with Weave scope not stated, so 4 under rule 8 (CP2 Q4): 5 needs SOC 2 Type II and ISO 27001 within the product’s scope.</w:t>
            </w:r>
          </w:p>
        </w:tc>
      </w:tr>
      <w:tr>
        <w:tc>
          <w:tcPr/>
          <w:p>
            <w:pPr>
              <w:pStyle w:val="Compact"/>
              <w:jc w:val="left"/>
            </w:pPr>
            <w:r>
              <w:t xml:space="preserve">Deployment flexibility</w:t>
            </w:r>
          </w:p>
        </w:tc>
        <w:tc>
          <w:tcPr/>
          <w:p>
            <w:pPr>
              <w:pStyle w:val="Compact"/>
              <w:jc w:val="right"/>
            </w:pPr>
            <w:r>
              <w:t xml:space="preserve">4</w:t>
            </w:r>
          </w:p>
        </w:tc>
        <w:tc>
          <w:tcPr/>
          <w:p>
            <w:pPr>
              <w:pStyle w:val="Compact"/>
              <w:jc w:val="left"/>
            </w:pPr>
            <w:r>
              <w:t xml:space="preserve">Multi-tenant SaaS, Dedicated Cloud, Self-Managed and on-prem; air-gap not documented.</w:t>
            </w:r>
          </w:p>
        </w:tc>
      </w:tr>
      <w:tr>
        <w:tc>
          <w:tcPr/>
          <w:p>
            <w:pPr>
              <w:pStyle w:val="Compact"/>
              <w:jc w:val="left"/>
            </w:pPr>
            <w:r>
              <w:t xml:space="preserve">Ecosystem</w:t>
            </w:r>
          </w:p>
        </w:tc>
        <w:tc>
          <w:tcPr/>
          <w:p>
            <w:pPr>
              <w:pStyle w:val="Compact"/>
              <w:jc w:val="right"/>
            </w:pPr>
            <w:r>
              <w:t xml:space="preserve">3</w:t>
            </w:r>
          </w:p>
        </w:tc>
        <w:tc>
          <w:tcPr/>
          <w:p>
            <w:pPr>
              <w:pStyle w:val="Compact"/>
              <w:jc w:val="left"/>
            </w:pPr>
            <w:r>
              <w:t xml:space="preserve">OTLP ingest and agent SDK autopatching; strongest inside the W&amp;B estate.</w:t>
            </w:r>
          </w:p>
        </w:tc>
      </w:tr>
      <w:tr>
        <w:tc>
          <w:tcPr/>
          <w:p>
            <w:pPr>
              <w:pStyle w:val="Compact"/>
              <w:jc w:val="left"/>
            </w:pPr>
            <w:r>
              <w:t xml:space="preserve">Reliability and maturity</w:t>
            </w:r>
          </w:p>
        </w:tc>
        <w:tc>
          <w:tcPr/>
          <w:p>
            <w:pPr>
              <w:pStyle w:val="Compact"/>
              <w:jc w:val="right"/>
            </w:pPr>
            <w:r>
              <w:t xml:space="preserve">3</w:t>
            </w:r>
          </w:p>
        </w:tc>
        <w:tc>
          <w:tcPr/>
          <w:p>
            <w:pPr>
              <w:pStyle w:val="Compact"/>
              <w:jc w:val="left"/>
            </w:pPr>
            <w:r>
              <w:t xml:space="preserve">Three years of releases, pre-1.0 SDK; owned by CoreWeave since May 2025.</w:t>
            </w:r>
          </w:p>
        </w:tc>
      </w:tr>
      <w:tr>
        <w:tc>
          <w:tcPr/>
          <w:p>
            <w:pPr>
              <w:pStyle w:val="Compact"/>
              <w:jc w:val="left"/>
            </w:pPr>
            <w:r>
              <w:t xml:space="preserve">Cost / TCO</w:t>
            </w:r>
          </w:p>
        </w:tc>
        <w:tc>
          <w:tcPr/>
          <w:p>
            <w:pPr>
              <w:pStyle w:val="Compact"/>
              <w:jc w:val="right"/>
            </w:pPr>
            <w:r>
              <w:t xml:space="preserve">3</w:t>
            </w:r>
          </w:p>
        </w:tc>
        <w:tc>
          <w:tcPr/>
          <w:p>
            <w:pPr>
              <w:pStyle w:val="Compact"/>
              <w:jc w:val="left"/>
            </w:pPr>
            <w:r>
              <w:t xml:space="preserve">Pro from US$60/month plus usage-based ingestion; Enterprise by quote.</w:t>
            </w:r>
          </w:p>
        </w:tc>
      </w:tr>
      <w:tr>
        <w:tc>
          <w:tcPr/>
          <w:p>
            <w:pPr>
              <w:pStyle w:val="Compact"/>
              <w:jc w:val="left"/>
            </w:pPr>
            <w:r>
              <w:t xml:space="preserve">Lock-in / portability</w:t>
            </w:r>
          </w:p>
        </w:tc>
        <w:tc>
          <w:tcPr/>
          <w:p>
            <w:pPr>
              <w:pStyle w:val="Compact"/>
              <w:jc w:val="right"/>
            </w:pPr>
            <w:r>
              <w:t xml:space="preserve">2</w:t>
            </w:r>
          </w:p>
        </w:tc>
        <w:tc>
          <w:tcPr/>
          <w:p>
            <w:pPr>
              <w:pStyle w:val="Compact"/>
              <w:jc w:val="left"/>
            </w:pPr>
            <w:r>
              <w:t xml:space="preserve">Base 3 (proprietary platform, OTel ingest, Apache-2.0 SDK) reduced by 1 for the 2025 ownership change.</w:t>
            </w:r>
          </w:p>
        </w:tc>
      </w:tr>
      <w:tr>
        <w:tc>
          <w:tcPr/>
          <w:p>
            <w:pPr>
              <w:pStyle w:val="Compact"/>
              <w:jc w:val="left"/>
            </w:pPr>
            <w:r>
              <w:rPr>
                <w:bCs/>
                <w:b/>
              </w:rPr>
              <w:t xml:space="preserve">Total (generic / FS)</w:t>
            </w:r>
          </w:p>
        </w:tc>
        <w:tc>
          <w:tcPr/>
          <w:p>
            <w:pPr>
              <w:pStyle w:val="Compact"/>
              <w:jc w:val="right"/>
            </w:pPr>
            <w:r>
              <w:rPr>
                <w:bCs/>
                <w:b/>
              </w:rPr>
              <w:t xml:space="preserve">3.40 / 3.35</w:t>
            </w:r>
          </w:p>
        </w:tc>
        <w:tc>
          <w:tcPr/>
          <w:p>
            <w:pPr>
              <w:pStyle w:val="Compact"/>
            </w:pPr>
          </w:p>
        </w:tc>
      </w:tr>
    </w:tbl>
    <w:p>
      <w:pPr>
        <w:pStyle w:val="BodyText"/>
      </w:pPr>
      <w:r>
        <w:rPr>
          <w:iCs/>
          <w:i/>
        </w:rPr>
        <w:t xml:space="preserve">Evidence rules applied:</w:t>
      </w:r>
      <w:r>
        <w:t xml:space="preserve"> </w:t>
      </w:r>
      <w:r>
        <w:t xml:space="preserve">Rule 8 (CP2 Q4) applied at CP2 rework (8 October 2026): ISO certifications are W&amp;B site-level with Weave scope not stated; security_compliance 5 -&gt; 4</w:t>
      </w:r>
    </w:p>
    <w:p>
      <w:pPr>
        <w:pStyle w:val="BodyText"/>
      </w:pPr>
      <w:r>
        <w:rPr>
          <w:bCs/>
          <w:b/>
        </w:rPr>
        <w:t xml:space="preserve">Capabilities.</w:t>
      </w:r>
      <w:r>
        <w:t xml:space="preserve"> </w:t>
      </w:r>
      <w:r>
        <w:t xml:space="preserve">Tracing and evaluation toolkit for agents and LLM applications from Weights &amp; Biases: traces conversations, turns, LLM and tool calls; evaluates agents; autopatches agent SDKs including OpenAI Agents SDK, Claude Agent SDK and Google ADK; OTLP/HTTP endpoint plus a dedicated agents endpoint</w:t>
      </w:r>
      <w:r>
        <w:t xml:space="preserve"> </w:t>
      </w:r>
      <w:r>
        <w:rPr>
          <w:rStyle w:val="ClaimLabel"/>
        </w:rPr>
        <w:t xml:space="preserve">VF</w:t>
      </w:r>
      <w:r>
        <w:rPr>
          <w:rStyle w:val="FootnoteReference"/>
        </w:rPr>
        <w:footnoteReference w:id="149"/>
      </w:r>
      <w:r>
        <w:t xml:space="preserve">.</w:t>
      </w:r>
    </w:p>
    <w:p>
      <w:pPr>
        <w:pStyle w:val="BodyText"/>
      </w:pPr>
      <w:r>
        <w:rPr>
          <w:bCs/>
          <w:b/>
        </w:rPr>
        <w:t xml:space="preserve">Strengths</w:t>
      </w:r>
    </w:p>
    <w:p>
      <w:pPr>
        <w:numPr>
          <w:ilvl w:val="0"/>
          <w:numId w:val="1033"/>
        </w:numPr>
        <w:pStyle w:val="Compact"/>
      </w:pPr>
      <w:r>
        <w:t xml:space="preserve">SOC 2 Type II, ISO/IEC 27001, 27017 and 27018; HIPAA on Dedicated Cloud with BAA</w:t>
      </w:r>
      <w:r>
        <w:t xml:space="preserve"> </w:t>
      </w:r>
      <w:r>
        <w:rPr>
          <w:rStyle w:val="ClaimLabel"/>
        </w:rPr>
        <w:t xml:space="preserve">VF</w:t>
      </w:r>
      <w:r>
        <w:rPr>
          <w:rStyle w:val="FootnoteReference"/>
        </w:rPr>
        <w:footnoteReference w:id="152"/>
      </w:r>
    </w:p>
    <w:p>
      <w:pPr>
        <w:numPr>
          <w:ilvl w:val="0"/>
          <w:numId w:val="1033"/>
        </w:numPr>
        <w:pStyle w:val="Compact"/>
      </w:pPr>
      <w:r>
        <w:t xml:space="preserve">Dedicated Cloud in a customer-chosen cloud and region, with isolated resources, per-instance keys and private connectivity; customer-managed keys on Enterprise</w:t>
      </w:r>
      <w:r>
        <w:t xml:space="preserve"> </w:t>
      </w:r>
      <w:r>
        <w:rPr>
          <w:rStyle w:val="ClaimLabel"/>
        </w:rPr>
        <w:t xml:space="preserve">VF</w:t>
      </w:r>
      <w:r>
        <w:rPr>
          <w:rStyle w:val="FootnoteReference"/>
        </w:rPr>
        <w:footnoteReference w:id="154"/>
      </w:r>
    </w:p>
    <w:p>
      <w:pPr>
        <w:numPr>
          <w:ilvl w:val="0"/>
          <w:numId w:val="1033"/>
        </w:numPr>
        <w:pStyle w:val="Compact"/>
      </w:pPr>
      <w:r>
        <w:t xml:space="preserve">Enterprise SSO, automated user provisioning, custom roles and audit logs</w:t>
      </w:r>
      <w:r>
        <w:t xml:space="preserve"> </w:t>
      </w:r>
      <w:r>
        <w:rPr>
          <w:rStyle w:val="ClaimLabel"/>
        </w:rPr>
        <w:t xml:space="preserve">VF</w:t>
      </w:r>
      <w:r>
        <w:rPr>
          <w:rStyle w:val="FootnoteReference"/>
        </w:rPr>
        <w:footnoteReference w:id="156"/>
      </w:r>
    </w:p>
    <w:p>
      <w:pPr>
        <w:numPr>
          <w:ilvl w:val="0"/>
          <w:numId w:val="1033"/>
        </w:numPr>
        <w:pStyle w:val="Compact"/>
      </w:pPr>
      <w:r>
        <w:t xml:space="preserve">Self-managed and on-premises options with ingest sampling for cost control</w:t>
      </w:r>
      <w:r>
        <w:t xml:space="preserve"> </w:t>
      </w:r>
      <w:r>
        <w:rPr>
          <w:rStyle w:val="ClaimLabel"/>
        </w:rPr>
        <w:t xml:space="preserve">VF</w:t>
      </w:r>
      <w:r>
        <w:rPr>
          <w:rStyle w:val="FootnoteReference"/>
        </w:rPr>
        <w:footnoteReference w:id="157"/>
      </w:r>
    </w:p>
    <w:p>
      <w:pPr>
        <w:pStyle w:val="FirstParagraph"/>
      </w:pPr>
      <w:r>
        <w:rPr>
          <w:bCs/>
          <w:b/>
        </w:rPr>
        <w:t xml:space="preserve">Limitations and risks</w:t>
      </w:r>
    </w:p>
    <w:p>
      <w:pPr>
        <w:numPr>
          <w:ilvl w:val="0"/>
          <w:numId w:val="1034"/>
        </w:numPr>
        <w:pStyle w:val="Compact"/>
      </w:pPr>
      <w:r>
        <w:t xml:space="preserve">Part of CoreWeave since 5 May 2025 and now inside CoreWeave Forge</w:t>
      </w:r>
      <w:r>
        <w:t xml:space="preserve"> </w:t>
      </w:r>
      <w:r>
        <w:rPr>
          <w:rStyle w:val="ClaimLabel"/>
        </w:rPr>
        <w:t xml:space="preserve">VF</w:t>
      </w:r>
      <w:r>
        <w:rPr>
          <w:rStyle w:val="FootnoteReference"/>
        </w:rPr>
        <w:footnoteReference w:id="158"/>
      </w:r>
    </w:p>
    <w:p>
      <w:pPr>
        <w:numPr>
          <w:ilvl w:val="0"/>
          <w:numId w:val="1034"/>
        </w:numPr>
        <w:pStyle w:val="Compact"/>
      </w:pPr>
      <w:r>
        <w:t xml:space="preserve">Multi-tenant cloud is North America only</w:t>
      </w:r>
      <w:r>
        <w:t xml:space="preserve"> </w:t>
      </w:r>
      <w:r>
        <w:rPr>
          <w:rStyle w:val="ClaimLabel"/>
        </w:rPr>
        <w:t xml:space="preserve">VF</w:t>
      </w:r>
      <w:r>
        <w:rPr>
          <w:rStyle w:val="FootnoteReference"/>
        </w:rPr>
        <w:footnoteReference w:id="160"/>
      </w:r>
    </w:p>
    <w:p>
      <w:pPr>
        <w:numPr>
          <w:ilvl w:val="0"/>
          <w:numId w:val="1034"/>
        </w:numPr>
        <w:pStyle w:val="Compact"/>
      </w:pPr>
      <w:r>
        <w:t xml:space="preserve">Pre-1.0 SDK versioning</w:t>
      </w:r>
      <w:r>
        <w:t xml:space="preserve"> </w:t>
      </w:r>
      <w:r>
        <w:rPr>
          <w:rStyle w:val="ClaimLabel"/>
        </w:rPr>
        <w:t xml:space="preserve">VF</w:t>
      </w:r>
      <w:r>
        <w:rPr>
          <w:rStyle w:val="FootnoteReference"/>
        </w:rPr>
        <w:footnoteReference w:id="161"/>
      </w:r>
    </w:p>
    <w:p>
      <w:pPr>
        <w:numPr>
          <w:ilvl w:val="0"/>
          <w:numId w:val="1034"/>
        </w:numPr>
        <w:pStyle w:val="Compact"/>
      </w:pPr>
      <w:r>
        <w:t xml:space="preserve">Hosted platform is proprietary</w:t>
      </w:r>
      <w:r>
        <w:t xml:space="preserve"> </w:t>
      </w:r>
      <w:r>
        <w:rPr>
          <w:rStyle w:val="ClaimLabel"/>
        </w:rPr>
        <w:t xml:space="preserve">VF</w:t>
      </w:r>
      <w:r>
        <w:rPr>
          <w:rStyle w:val="FootnoteReference"/>
        </w:rPr>
        <w:footnoteReference w:id="163"/>
      </w:r>
    </w:p>
    <w:p>
      <w:pPr>
        <w:numPr>
          <w:ilvl w:val="0"/>
          <w:numId w:val="1034"/>
        </w:numPr>
        <w:pStyle w:val="Compact"/>
      </w:pPr>
      <w:r>
        <w:t xml:space="preserve">Evaluation depth for RAG and red-teaming not evidenced in the fact base</w:t>
      </w:r>
      <w:r>
        <w:t xml:space="preserve"> </w:t>
      </w:r>
      <w:r>
        <w:rPr>
          <w:rStyle w:val="ClaimLabel"/>
        </w:rPr>
        <w:t xml:space="preserve">NPV</w:t>
      </w:r>
    </w:p>
    <w:p>
      <w:pPr>
        <w:pStyle w:val="FirstParagraph"/>
      </w:pPr>
      <w:r>
        <w:rPr>
          <w:bCs/>
          <w:b/>
        </w:rPr>
        <w:t xml:space="preserve">Choose when</w:t>
      </w:r>
    </w:p>
    <w:p>
      <w:pPr>
        <w:numPr>
          <w:ilvl w:val="0"/>
          <w:numId w:val="1035"/>
        </w:numPr>
        <w:pStyle w:val="Compact"/>
      </w:pPr>
      <w:r>
        <w:t xml:space="preserve">W&amp;B is already the firm’s ML experiment platform and you want agent traces and evals in the same governed estate</w:t>
      </w:r>
      <w:r>
        <w:t xml:space="preserve"> </w:t>
      </w:r>
      <w:r>
        <w:rPr>
          <w:rStyle w:val="ClaimLabel"/>
        </w:rPr>
        <w:t xml:space="preserve">AJ</w:t>
      </w:r>
    </w:p>
    <w:p>
      <w:pPr>
        <w:numPr>
          <w:ilvl w:val="0"/>
          <w:numId w:val="1035"/>
        </w:numPr>
        <w:pStyle w:val="Compact"/>
      </w:pPr>
      <w:r>
        <w:t xml:space="preserve">You need a dedicated single-tenant cloud in a chosen region with customer-managed keys</w:t>
      </w:r>
      <w:r>
        <w:t xml:space="preserve"> </w:t>
      </w:r>
      <w:r>
        <w:rPr>
          <w:rStyle w:val="ClaimLabel"/>
        </w:rPr>
        <w:t xml:space="preserve">AJ</w:t>
      </w:r>
    </w:p>
    <w:p>
      <w:pPr>
        <w:pStyle w:val="FirstParagraph"/>
      </w:pPr>
      <w:r>
        <w:rPr>
          <w:bCs/>
          <w:b/>
        </w:rPr>
        <w:t xml:space="preserve">Avoid when</w:t>
      </w:r>
    </w:p>
    <w:p>
      <w:pPr>
        <w:numPr>
          <w:ilvl w:val="0"/>
          <w:numId w:val="1036"/>
        </w:numPr>
        <w:pStyle w:val="Compact"/>
      </w:pPr>
      <w:r>
        <w:t xml:space="preserve">You would use the multi-tenant cloud for EU or UK client data</w:t>
      </w:r>
      <w:r>
        <w:t xml:space="preserve"> </w:t>
      </w:r>
      <w:r>
        <w:rPr>
          <w:rStyle w:val="ClaimLabel"/>
        </w:rPr>
        <w:t xml:space="preserve">AJ</w:t>
      </w:r>
    </w:p>
    <w:p>
      <w:pPr>
        <w:numPr>
          <w:ilvl w:val="0"/>
          <w:numId w:val="1036"/>
        </w:numPr>
        <w:pStyle w:val="Compact"/>
      </w:pPr>
      <w:r>
        <w:t xml:space="preserve">You do not otherwise use W&amp;B; the platform cost is hard to justify for L9 alone</w:t>
      </w:r>
      <w:r>
        <w:t xml:space="preserve"> </w:t>
      </w:r>
      <w:r>
        <w:rPr>
          <w:rStyle w:val="ClaimLabel"/>
        </w:rPr>
        <w:t xml:space="preserve">AJ</w:t>
      </w:r>
    </w:p>
    <w:p>
      <w:pPr>
        <w:pStyle w:val="FirstParagraph"/>
      </w:pPr>
      <w:r>
        <w:rPr>
          <w:bCs/>
          <w:b/>
        </w:rPr>
        <w:t xml:space="preserve">Nearest competitors:</w:t>
      </w:r>
      <w:r>
        <w:t xml:space="preserve"> </w:t>
      </w:r>
      <w:r>
        <w:t xml:space="preserve">L9-mlflow-genai, L9-langsmith, L9-arize-ax</w:t>
      </w:r>
    </w:p>
    <w:p>
      <w:pPr>
        <w:pStyle w:val="BodyText"/>
      </w:pPr>
      <w:r>
        <w:rPr>
          <w:bCs/>
          <w:b/>
        </w:rPr>
        <w:t xml:space="preserve">Regulated-FS note.</w:t>
      </w:r>
      <w:r>
        <w:t xml:space="preserve"> </w:t>
      </w:r>
      <w:r>
        <w:t xml:space="preserve">Use Dedicated Cloud in an EU/UK region or Self-Managed; include CoreWeave in the concentration analysis if it also supplies GPU capacity</w:t>
      </w:r>
      <w:r>
        <w:t xml:space="preserve"> </w:t>
      </w:r>
      <w:r>
        <w:rPr>
          <w:rStyle w:val="ClaimLabel"/>
        </w:rPr>
        <w:t xml:space="preserve">AJ</w:t>
      </w:r>
      <w:r>
        <w:t xml:space="preserve">.</w:t>
      </w:r>
    </w:p>
    <w:p>
      <w:pPr>
        <w:pStyle w:val="BodyText"/>
      </w:pPr>
      <w:r>
        <w:rPr>
          <w:bCs/>
          <w:b/>
        </w:rPr>
        <w:t xml:space="preserve">Facts (as of 2026-10-08)</w:t>
      </w:r>
    </w:p>
    <w:tbl>
      <w:tblPr>
        <w:tblStyle w:val="Table"/>
        <w:tblW w:type="pct" w:w="5000"/>
        <w:tblLook w:firstRow="1" w:lastRow="0" w:firstColumn="0" w:lastColumn="0" w:noHBand="0" w:noVBand="0" w:val="0020"/>
        <w:jc w:val="start"/>
      </w:tblPr>
      <w:tblGrid>
        <w:gridCol w:w="1485"/>
        <w:gridCol w:w="4290"/>
        <w:gridCol w:w="1320"/>
        <w:gridCol w:w="825"/>
      </w:tblGrid>
      <w:tr>
        <w:trPr>
          <w:tblHeader w:val="true"/>
        </w:trPr>
        <w:tc>
          <w:tcPr/>
          <w:p>
            <w:pPr>
              <w:pStyle w:val="Compact"/>
              <w:jc w:val="left"/>
            </w:pPr>
            <w:r>
              <w:t xml:space="preserve">Field</w:t>
            </w:r>
          </w:p>
        </w:tc>
        <w:tc>
          <w:tcPr/>
          <w:p>
            <w:pPr>
              <w:pStyle w:val="Compact"/>
              <w:jc w:val="left"/>
            </w:pPr>
            <w:r>
              <w:t xml:space="preserve">Value</w:t>
            </w:r>
          </w:p>
        </w:tc>
        <w:tc>
          <w:tcPr/>
          <w:p>
            <w:pPr>
              <w:pStyle w:val="Compact"/>
              <w:jc w:val="left"/>
            </w:pPr>
            <w:r>
              <w:t xml:space="preserve">Label</w:t>
            </w:r>
          </w:p>
        </w:tc>
        <w:tc>
          <w:tcPr/>
          <w:p>
            <w:pPr>
              <w:pStyle w:val="Compact"/>
              <w:jc w:val="left"/>
            </w:pPr>
            <w:r>
              <w:t xml:space="preserve">Sources</w:t>
            </w:r>
          </w:p>
        </w:tc>
      </w:tr>
      <w:tr>
        <w:tc>
          <w:tcPr/>
          <w:p>
            <w:pPr>
              <w:pStyle w:val="Compact"/>
              <w:jc w:val="left"/>
            </w:pPr>
            <w:r>
              <w:t xml:space="preserve">Company</w:t>
            </w:r>
          </w:p>
        </w:tc>
        <w:tc>
          <w:tcPr/>
          <w:p>
            <w:pPr>
              <w:pStyle w:val="Compact"/>
              <w:jc w:val="left"/>
            </w:pPr>
            <w:r>
              <w:t xml:space="preserve">Weights &amp; Biases, part of CoreWeave, Inc. (acquisition completed 5 May 2025); now a named product within CoreWeave Forge</w:t>
            </w:r>
          </w:p>
        </w:tc>
        <w:tc>
          <w:tcPr/>
          <w:p>
            <w:pPr>
              <w:pStyle w:val="Compact"/>
              <w:jc w:val="left"/>
            </w:pPr>
            <w:r>
              <w:t xml:space="preserve">Verified fact</w:t>
            </w:r>
          </w:p>
        </w:tc>
        <w:tc>
          <w:tcPr/>
          <w:p>
            <w:pPr>
              <w:pStyle w:val="Compact"/>
              <w:jc w:val="left"/>
            </w:pPr>
            <w:r>
              <w:t xml:space="preserve">A1-S131, A1-S138</w:t>
            </w:r>
          </w:p>
        </w:tc>
      </w:tr>
      <w:tr>
        <w:tc>
          <w:tcPr/>
          <w:p>
            <w:pPr>
              <w:pStyle w:val="Compact"/>
              <w:jc w:val="left"/>
            </w:pPr>
            <w:r>
              <w:t xml:space="preserve">Category</w:t>
            </w:r>
          </w:p>
        </w:tc>
        <w:tc>
          <w:tcPr/>
          <w:p>
            <w:pPr>
              <w:pStyle w:val="Compact"/>
              <w:jc w:val="left"/>
            </w:pPr>
            <w:r>
              <w:t xml:space="preserve">Tracing and evaluation toolkit for AI agents and LLM applications</w:t>
            </w:r>
          </w:p>
        </w:tc>
        <w:tc>
          <w:tcPr/>
          <w:p>
            <w:pPr>
              <w:pStyle w:val="Compact"/>
              <w:jc w:val="left"/>
            </w:pPr>
            <w:r>
              <w:t xml:space="preserve">Verified fact</w:t>
            </w:r>
          </w:p>
        </w:tc>
        <w:tc>
          <w:tcPr/>
          <w:p>
            <w:pPr>
              <w:pStyle w:val="Compact"/>
              <w:jc w:val="left"/>
            </w:pPr>
            <w:r>
              <w:t xml:space="preserve">A1-S104</w:t>
            </w:r>
          </w:p>
        </w:tc>
      </w:tr>
      <w:tr>
        <w:tc>
          <w:tcPr/>
          <w:p>
            <w:pPr>
              <w:pStyle w:val="Compact"/>
              <w:jc w:val="left"/>
            </w:pPr>
            <w:r>
              <w:t xml:space="preserve">Version / lineup</w:t>
            </w:r>
          </w:p>
        </w:tc>
        <w:tc>
          <w:tcPr/>
          <w:p>
            <w:pPr>
              <w:pStyle w:val="Compact"/>
              <w:jc w:val="left"/>
            </w:pPr>
            <w:r>
              <w:t xml:space="preserve">weave 0.53.11 (Python), released 25 September 2026</w:t>
            </w:r>
          </w:p>
        </w:tc>
        <w:tc>
          <w:tcPr/>
          <w:p>
            <w:pPr>
              <w:pStyle w:val="Compact"/>
              <w:jc w:val="left"/>
            </w:pPr>
            <w:r>
              <w:t xml:space="preserve">Verified fact</w:t>
            </w:r>
          </w:p>
        </w:tc>
        <w:tc>
          <w:tcPr/>
          <w:p>
            <w:pPr>
              <w:pStyle w:val="Compact"/>
              <w:jc w:val="left"/>
            </w:pPr>
            <w:r>
              <w:t xml:space="preserve">A1-S018</w:t>
            </w:r>
          </w:p>
        </w:tc>
      </w:tr>
      <w:tr>
        <w:tc>
          <w:tcPr/>
          <w:p>
            <w:pPr>
              <w:pStyle w:val="Compact"/>
              <w:jc w:val="left"/>
            </w:pPr>
            <w:r>
              <w:t xml:space="preserve">Licence</w:t>
            </w:r>
          </w:p>
        </w:tc>
        <w:tc>
          <w:tcPr/>
          <w:p>
            <w:pPr>
              <w:pStyle w:val="Compact"/>
              <w:jc w:val="left"/>
            </w:pPr>
            <w:r>
              <w:t xml:space="preserve">SDK Apache-2.0; hosted W&amp;B platform proprietary (Pro/Enterprise)</w:t>
            </w:r>
          </w:p>
        </w:tc>
        <w:tc>
          <w:tcPr/>
          <w:p>
            <w:pPr>
              <w:pStyle w:val="Compact"/>
              <w:jc w:val="left"/>
            </w:pPr>
            <w:r>
              <w:t xml:space="preserve">Verified fact</w:t>
            </w:r>
          </w:p>
        </w:tc>
        <w:tc>
          <w:tcPr/>
          <w:p>
            <w:pPr>
              <w:pStyle w:val="Compact"/>
              <w:jc w:val="left"/>
            </w:pPr>
            <w:r>
              <w:t xml:space="preserve">A1-S018, A1-S138</w:t>
            </w:r>
          </w:p>
        </w:tc>
      </w:tr>
      <w:tr>
        <w:tc>
          <w:tcPr/>
          <w:p>
            <w:pPr>
              <w:pStyle w:val="Compact"/>
              <w:jc w:val="left"/>
            </w:pPr>
            <w:r>
              <w:t xml:space="preserve">Status events</w:t>
            </w:r>
          </w:p>
        </w:tc>
        <w:tc>
          <w:tcPr/>
          <w:p>
            <w:pPr>
              <w:pStyle w:val="Compact"/>
              <w:jc w:val="left"/>
            </w:pPr>
            <w:r>
              <w:t xml:space="preserve">Weights &amp; Biases acquired by CoreWeave (announced 4 March 2025, completed 5 May 2025)</w:t>
            </w:r>
          </w:p>
        </w:tc>
        <w:tc>
          <w:tcPr/>
          <w:p>
            <w:pPr>
              <w:pStyle w:val="Compact"/>
              <w:jc w:val="left"/>
            </w:pPr>
            <w:r>
              <w:t xml:space="preserve">Verified fact</w:t>
            </w:r>
          </w:p>
        </w:tc>
        <w:tc>
          <w:tcPr/>
          <w:p>
            <w:pPr>
              <w:pStyle w:val="Compact"/>
              <w:jc w:val="left"/>
            </w:pPr>
            <w:r>
              <w:t xml:space="preserve">A1-S131, V1-S011</w:t>
            </w:r>
          </w:p>
        </w:tc>
      </w:tr>
      <w:tr>
        <w:tc>
          <w:tcPr/>
          <w:p>
            <w:pPr>
              <w:pStyle w:val="Compact"/>
              <w:jc w:val="left"/>
            </w:pPr>
            <w:r>
              <w:t xml:space="preserve">Strategic direction</w:t>
            </w:r>
          </w:p>
        </w:tc>
        <w:tc>
          <w:tcPr/>
          <w:p>
            <w:pPr>
              <w:pStyle w:val="Compact"/>
              <w:jc w:val="left"/>
            </w:pPr>
            <w:r>
              <w:t xml:space="preserve">Agent-focused tracing (Agents view, dedicated OTLP endpoint for agent spans) inside CoreWeave Forge</w:t>
            </w:r>
          </w:p>
        </w:tc>
        <w:tc>
          <w:tcPr/>
          <w:p>
            <w:pPr>
              <w:pStyle w:val="Compact"/>
              <w:jc w:val="left"/>
            </w:pPr>
            <w:r>
              <w:t xml:space="preserve">Verified fact</w:t>
            </w:r>
          </w:p>
        </w:tc>
        <w:tc>
          <w:tcPr/>
          <w:p>
            <w:pPr>
              <w:pStyle w:val="Compact"/>
              <w:jc w:val="left"/>
            </w:pPr>
            <w:r>
              <w:t xml:space="preserve">A1-S104, A1-S139, A1-S138</w:t>
            </w:r>
          </w:p>
        </w:tc>
      </w:tr>
      <w:tr>
        <w:tc>
          <w:tcPr/>
          <w:p>
            <w:pPr>
              <w:pStyle w:val="Compact"/>
              <w:jc w:val="left"/>
            </w:pPr>
            <w:r>
              <w:t xml:space="preserve">What it does</w:t>
            </w:r>
          </w:p>
        </w:tc>
        <w:tc>
          <w:tcPr/>
          <w:p>
            <w:pPr>
              <w:pStyle w:val="Compact"/>
              <w:jc w:val="left"/>
            </w:pPr>
            <w:r>
              <w:t xml:space="preserve">Traces agent conversations, turns, LLM and tool calls, and evaluates agents and LLM applications; autopatches agent SDKs such as OpenAI Agents SDK, Claude Agent SDK and Google ADK.</w:t>
            </w:r>
          </w:p>
        </w:tc>
        <w:tc>
          <w:tcPr/>
          <w:p>
            <w:pPr>
              <w:pStyle w:val="Compact"/>
              <w:jc w:val="left"/>
            </w:pPr>
            <w:r>
              <w:t xml:space="preserve">Verified fact</w:t>
            </w:r>
          </w:p>
        </w:tc>
        <w:tc>
          <w:tcPr/>
          <w:p>
            <w:pPr>
              <w:pStyle w:val="Compact"/>
              <w:jc w:val="left"/>
            </w:pPr>
            <w:r>
              <w:t xml:space="preserve">A1-S104</w:t>
            </w:r>
          </w:p>
        </w:tc>
      </w:tr>
      <w:tr>
        <w:tc>
          <w:tcPr/>
          <w:p>
            <w:pPr>
              <w:pStyle w:val="Compact"/>
              <w:jc w:val="left"/>
            </w:pPr>
            <w:r>
              <w:t xml:space="preserve">Stack position</w:t>
            </w:r>
          </w:p>
        </w:tc>
        <w:tc>
          <w:tcPr/>
          <w:p>
            <w:pPr>
              <w:pStyle w:val="Compact"/>
              <w:jc w:val="left"/>
            </w:pPr>
            <w:r>
              <w:t xml:space="preserve">Cross-cutting L9 tracing/evaluation within the broader W&amp;B ML platform</w:t>
            </w:r>
          </w:p>
        </w:tc>
        <w:tc>
          <w:tcPr/>
          <w:p>
            <w:pPr>
              <w:pStyle w:val="Compact"/>
              <w:jc w:val="left"/>
            </w:pPr>
            <w:r>
              <w:t xml:space="preserve">Verified fact</w:t>
            </w:r>
          </w:p>
        </w:tc>
        <w:tc>
          <w:tcPr/>
          <w:p>
            <w:pPr>
              <w:pStyle w:val="Compact"/>
              <w:jc w:val="left"/>
            </w:pPr>
            <w:r>
              <w:t xml:space="preserve">A1-S104, A1-S137</w:t>
            </w:r>
          </w:p>
        </w:tc>
      </w:tr>
      <w:tr>
        <w:tc>
          <w:tcPr/>
          <w:p>
            <w:pPr>
              <w:pStyle w:val="Compact"/>
              <w:jc w:val="left"/>
            </w:pPr>
            <w:r>
              <w:t xml:space="preserve">Integration</w:t>
            </w:r>
          </w:p>
        </w:tc>
        <w:tc>
          <w:tcPr/>
          <w:p>
            <w:pPr>
              <w:pStyle w:val="Compact"/>
              <w:jc w:val="left"/>
            </w:pPr>
            <w:r>
              <w:t xml:space="preserve">Python/TypeScript SDK; OTLP/HTTP protobuf endpoint (trace.wandb.ai/otel/v1/traces) and agents endpoint; OTel Collector forwarding</w:t>
            </w:r>
          </w:p>
        </w:tc>
        <w:tc>
          <w:tcPr/>
          <w:p>
            <w:pPr>
              <w:pStyle w:val="Compact"/>
              <w:jc w:val="left"/>
            </w:pPr>
            <w:r>
              <w:t xml:space="preserve">Verified fact</w:t>
            </w:r>
          </w:p>
        </w:tc>
        <w:tc>
          <w:tcPr/>
          <w:p>
            <w:pPr>
              <w:pStyle w:val="Compact"/>
              <w:jc w:val="left"/>
            </w:pPr>
            <w:r>
              <w:t xml:space="preserve">A1-S104, A1-S139</w:t>
            </w:r>
          </w:p>
        </w:tc>
      </w:tr>
      <w:tr>
        <w:tc>
          <w:tcPr/>
          <w:p>
            <w:pPr>
              <w:pStyle w:val="Compact"/>
              <w:jc w:val="left"/>
            </w:pPr>
            <w:r>
              <w:t xml:space="preserve">Dependencies</w:t>
            </w:r>
          </w:p>
        </w:tc>
        <w:tc>
          <w:tcPr/>
          <w:p>
            <w:pPr>
              <w:pStyle w:val="Compact"/>
              <w:jc w:val="left"/>
            </w:pPr>
            <w:r>
              <w:t xml:space="preserve">Self-managed W&amp;B Server: Kubernetes, MySQL 8.4.x, S3-compatible object storage, Redis; Dedicated Cloud stores Weave data in a dedicated ClickHouse Cloud cluster</w:t>
            </w:r>
          </w:p>
        </w:tc>
        <w:tc>
          <w:tcPr/>
          <w:p>
            <w:pPr>
              <w:pStyle w:val="Compact"/>
              <w:jc w:val="left"/>
            </w:pPr>
            <w:r>
              <w:t xml:space="preserve">Verified fact</w:t>
            </w:r>
          </w:p>
        </w:tc>
        <w:tc>
          <w:tcPr/>
          <w:p>
            <w:pPr>
              <w:pStyle w:val="Compact"/>
              <w:jc w:val="left"/>
            </w:pPr>
            <w:r>
              <w:t xml:space="preserve">A1-S137</w:t>
            </w:r>
          </w:p>
        </w:tc>
      </w:tr>
      <w:tr>
        <w:tc>
          <w:tcPr/>
          <w:p>
            <w:pPr>
              <w:pStyle w:val="Compact"/>
              <w:jc w:val="left"/>
            </w:pPr>
            <w:r>
              <w:t xml:space="preserve">Certifications</w:t>
            </w:r>
          </w:p>
        </w:tc>
        <w:tc>
          <w:tcPr/>
          <w:p>
            <w:pPr>
              <w:pStyle w:val="Compact"/>
              <w:jc w:val="left"/>
            </w:pPr>
            <w:r>
              <w:t xml:space="preserve">SOC 2 Type II (multi-tenant and Dedicated Cloud); ISO/IEC 27001:2022, 27017:2015, 27018:2019; HIPAA on Dedicated Cloud with BAA (Weave HIPAA status on other deployments conflicting)</w:t>
            </w:r>
          </w:p>
        </w:tc>
        <w:tc>
          <w:tcPr/>
          <w:p>
            <w:pPr>
              <w:pStyle w:val="Compact"/>
              <w:jc w:val="left"/>
            </w:pPr>
            <w:r>
              <w:t xml:space="preserve">Verified fact</w:t>
            </w:r>
          </w:p>
        </w:tc>
        <w:tc>
          <w:tcPr/>
          <w:p>
            <w:pPr>
              <w:pStyle w:val="Compact"/>
              <w:jc w:val="left"/>
            </w:pPr>
            <w:r>
              <w:t xml:space="preserve">A1-S137</w:t>
            </w:r>
          </w:p>
        </w:tc>
      </w:tr>
      <w:tr>
        <w:tc>
          <w:tcPr/>
          <w:p>
            <w:pPr>
              <w:pStyle w:val="Compact"/>
              <w:jc w:val="left"/>
            </w:pPr>
            <w:r>
              <w:t xml:space="preserve">GDPR / residency</w:t>
            </w:r>
          </w:p>
        </w:tc>
        <w:tc>
          <w:tcPr/>
          <w:p>
            <w:pPr>
              <w:pStyle w:val="Compact"/>
              <w:jc w:val="left"/>
            </w:pPr>
            <w:r>
              <w:t xml:space="preserve">Multi-tenant cloud in North America; Dedicated Cloud in customer-chosen cloud and region</w:t>
            </w:r>
          </w:p>
        </w:tc>
        <w:tc>
          <w:tcPr/>
          <w:p>
            <w:pPr>
              <w:pStyle w:val="Compact"/>
              <w:jc w:val="left"/>
            </w:pPr>
            <w:r>
              <w:t xml:space="preserve">Verified fact</w:t>
            </w:r>
          </w:p>
        </w:tc>
        <w:tc>
          <w:tcPr/>
          <w:p>
            <w:pPr>
              <w:pStyle w:val="Compact"/>
              <w:jc w:val="left"/>
            </w:pPr>
            <w:r>
              <w:t xml:space="preserve">A1-S137</w:t>
            </w:r>
          </w:p>
        </w:tc>
      </w:tr>
      <w:tr>
        <w:tc>
          <w:tcPr/>
          <w:p>
            <w:pPr>
              <w:pStyle w:val="Compact"/>
              <w:jc w:val="left"/>
            </w:pPr>
            <w:r>
              <w:t xml:space="preserve">Security features</w:t>
            </w:r>
          </w:p>
        </w:tc>
        <w:tc>
          <w:tcPr/>
          <w:p>
            <w:pPr>
              <w:pStyle w:val="Compact"/>
              <w:jc w:val="left"/>
            </w:pPr>
            <w:r>
              <w:t xml:space="preserve">Dedicated Cloud: isolated network/compute/storage, per-instance encryption key, IP allowlisting, private connectivity; Enterprise: customer-managed encryption keys</w:t>
            </w:r>
          </w:p>
        </w:tc>
        <w:tc>
          <w:tcPr/>
          <w:p>
            <w:pPr>
              <w:pStyle w:val="Compact"/>
              <w:jc w:val="left"/>
            </w:pPr>
            <w:r>
              <w:t xml:space="preserve">Verified fact</w:t>
            </w:r>
          </w:p>
        </w:tc>
        <w:tc>
          <w:tcPr/>
          <w:p>
            <w:pPr>
              <w:pStyle w:val="Compact"/>
              <w:jc w:val="left"/>
            </w:pPr>
            <w:r>
              <w:t xml:space="preserve">A1-S137, A1-S138</w:t>
            </w:r>
          </w:p>
        </w:tc>
      </w:tr>
      <w:tr>
        <w:tc>
          <w:tcPr/>
          <w:p>
            <w:pPr>
              <w:pStyle w:val="Compact"/>
              <w:jc w:val="left"/>
            </w:pPr>
            <w:r>
              <w:t xml:space="preserve">Access controls</w:t>
            </w:r>
          </w:p>
        </w:tc>
        <w:tc>
          <w:tcPr/>
          <w:p>
            <w:pPr>
              <w:pStyle w:val="Compact"/>
              <w:jc w:val="left"/>
            </w:pPr>
            <w:r>
              <w:t xml:space="preserve">Enterprise: SSO, automated user provisioning, custom roles, audit logs</w:t>
            </w:r>
          </w:p>
        </w:tc>
        <w:tc>
          <w:tcPr/>
          <w:p>
            <w:pPr>
              <w:pStyle w:val="Compact"/>
              <w:jc w:val="left"/>
            </w:pPr>
            <w:r>
              <w:t xml:space="preserve">Verified fact</w:t>
            </w:r>
          </w:p>
        </w:tc>
        <w:tc>
          <w:tcPr/>
          <w:p>
            <w:pPr>
              <w:pStyle w:val="Compact"/>
              <w:jc w:val="left"/>
            </w:pPr>
            <w:r>
              <w:t xml:space="preserve">A1-S138</w:t>
            </w:r>
          </w:p>
        </w:tc>
      </w:tr>
      <w:tr>
        <w:tc>
          <w:tcPr/>
          <w:p>
            <w:pPr>
              <w:pStyle w:val="Compact"/>
              <w:jc w:val="left"/>
            </w:pPr>
            <w:r>
              <w:t xml:space="preserve">Enterprise support</w:t>
            </w:r>
          </w:p>
        </w:tc>
        <w:tc>
          <w:tcPr/>
          <w:p>
            <w:pPr>
              <w:pStyle w:val="Compact"/>
              <w:jc w:val="left"/>
            </w:pPr>
            <w:r>
              <w:t xml:space="preserve">Enterprise support package; Enterprise invoiced annually upfront</w:t>
            </w:r>
          </w:p>
        </w:tc>
        <w:tc>
          <w:tcPr/>
          <w:p>
            <w:pPr>
              <w:pStyle w:val="Compact"/>
              <w:jc w:val="left"/>
            </w:pPr>
            <w:r>
              <w:t xml:space="preserve">Verified fact</w:t>
            </w:r>
          </w:p>
        </w:tc>
        <w:tc>
          <w:tcPr/>
          <w:p>
            <w:pPr>
              <w:pStyle w:val="Compact"/>
              <w:jc w:val="left"/>
            </w:pPr>
            <w:r>
              <w:t xml:space="preserve">A1-S138</w:t>
            </w:r>
          </w:p>
        </w:tc>
      </w:tr>
      <w:tr>
        <w:tc>
          <w:tcPr/>
          <w:p>
            <w:pPr>
              <w:pStyle w:val="Compact"/>
              <w:jc w:val="left"/>
            </w:pPr>
            <w:r>
              <w:t xml:space="preserve">Pricing</w:t>
            </w:r>
          </w:p>
        </w:tc>
        <w:tc>
          <w:tcPr/>
          <w:p>
            <w:pPr>
              <w:pStyle w:val="Compact"/>
              <w:jc w:val="left"/>
            </w:pPr>
            <w:r>
              <w:t xml:space="preserve">Pro from US$60/month; Enterprise by quote; Weave data ingestion billed monthly in arrears by usage; extra storage US$0.03/GB</w:t>
            </w:r>
          </w:p>
        </w:tc>
        <w:tc>
          <w:tcPr/>
          <w:p>
            <w:pPr>
              <w:pStyle w:val="Compact"/>
              <w:jc w:val="left"/>
            </w:pPr>
            <w:r>
              <w:t xml:space="preserve">Verified fact</w:t>
            </w:r>
          </w:p>
        </w:tc>
        <w:tc>
          <w:tcPr/>
          <w:p>
            <w:pPr>
              <w:pStyle w:val="Compact"/>
              <w:jc w:val="left"/>
            </w:pPr>
            <w:r>
              <w:t xml:space="preserve">A1-S138</w:t>
            </w:r>
          </w:p>
        </w:tc>
      </w:tr>
      <w:tr>
        <w:tc>
          <w:tcPr/>
          <w:p>
            <w:pPr>
              <w:pStyle w:val="Compact"/>
              <w:jc w:val="left"/>
            </w:pPr>
            <w:r>
              <w:t xml:space="preserve">Infrastructure cost</w:t>
            </w:r>
          </w:p>
        </w:tc>
        <w:tc>
          <w:tcPr/>
          <w:p>
            <w:pPr>
              <w:pStyle w:val="Compact"/>
              <w:jc w:val="left"/>
            </w:pPr>
            <w:r>
              <w:t xml:space="preserve">Self-managed instances can use ingest sampling to control cost at high trace volume</w:t>
            </w:r>
          </w:p>
        </w:tc>
        <w:tc>
          <w:tcPr/>
          <w:p>
            <w:pPr>
              <w:pStyle w:val="Compact"/>
              <w:jc w:val="left"/>
            </w:pPr>
            <w:r>
              <w:t xml:space="preserve">Verified fact</w:t>
            </w:r>
          </w:p>
        </w:tc>
        <w:tc>
          <w:tcPr/>
          <w:p>
            <w:pPr>
              <w:pStyle w:val="Compact"/>
              <w:jc w:val="left"/>
            </w:pPr>
            <w:r>
              <w:t xml:space="preserve">A1-S137</w:t>
            </w:r>
          </w:p>
        </w:tc>
      </w:tr>
      <w:tr>
        <w:tc>
          <w:tcPr/>
          <w:p>
            <w:pPr>
              <w:pStyle w:val="Compact"/>
              <w:jc w:val="left"/>
            </w:pPr>
            <w:r>
              <w:t xml:space="preserve">Ecosystem</w:t>
            </w:r>
          </w:p>
        </w:tc>
        <w:tc>
          <w:tcPr/>
          <w:p>
            <w:pPr>
              <w:pStyle w:val="Compact"/>
              <w:jc w:val="left"/>
            </w:pPr>
            <w:r>
              <w:t xml:space="preserve">Integrations incl. OpenAI Agents SDK, Claude Agent SDK, Google ADK, Agno, Vercel AI SDK</w:t>
            </w:r>
          </w:p>
        </w:tc>
        <w:tc>
          <w:tcPr/>
          <w:p>
            <w:pPr>
              <w:pStyle w:val="Compact"/>
              <w:jc w:val="left"/>
            </w:pPr>
            <w:r>
              <w:t xml:space="preserve">Verified fact</w:t>
            </w:r>
          </w:p>
        </w:tc>
        <w:tc>
          <w:tcPr/>
          <w:p>
            <w:pPr>
              <w:pStyle w:val="Compact"/>
              <w:jc w:val="left"/>
            </w:pPr>
            <w:r>
              <w:t xml:space="preserve">A1-S104, A1-S139</w:t>
            </w:r>
          </w:p>
        </w:tc>
      </w:tr>
      <w:tr>
        <w:tc>
          <w:tcPr/>
          <w:p>
            <w:pPr>
              <w:pStyle w:val="Compact"/>
              <w:jc w:val="left"/>
            </w:pPr>
            <w:r>
              <w:t xml:space="preserve">Adoption signals</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Maturity</w:t>
            </w:r>
          </w:p>
        </w:tc>
        <w:tc>
          <w:tcPr/>
          <w:p>
            <w:pPr>
              <w:pStyle w:val="Compact"/>
              <w:jc w:val="left"/>
            </w:pPr>
            <w:r>
              <w:t xml:space="preserve">weave first on PyPI 7 June 2023; 147 releases</w:t>
            </w:r>
          </w:p>
        </w:tc>
        <w:tc>
          <w:tcPr/>
          <w:p>
            <w:pPr>
              <w:pStyle w:val="Compact"/>
              <w:jc w:val="left"/>
            </w:pPr>
            <w:r>
              <w:t xml:space="preserve">Verified fact</w:t>
            </w:r>
          </w:p>
        </w:tc>
        <w:tc>
          <w:tcPr/>
          <w:p>
            <w:pPr>
              <w:pStyle w:val="Compact"/>
              <w:jc w:val="left"/>
            </w:pPr>
            <w:r>
              <w:t xml:space="preserve">A1-S018</w:t>
            </w:r>
          </w:p>
        </w:tc>
      </w:tr>
      <w:tr>
        <w:tc>
          <w:tcPr/>
          <w:p>
            <w:pPr>
              <w:pStyle w:val="Compact"/>
              <w:jc w:val="left"/>
            </w:pPr>
            <w:r>
              <w:t xml:space="preserve">Deployment</w:t>
            </w:r>
          </w:p>
        </w:tc>
        <w:tc>
          <w:tcPr/>
          <w:p>
            <w:pPr>
              <w:pStyle w:val="Compact"/>
              <w:jc w:val="left"/>
            </w:pPr>
            <w:r>
              <w:t xml:space="preserve">saas: Yes (multi-tenant on Google Cloud, North America); managed_cloud: Yes (Dedicated Cloud on AWS, Google Cloud, Azure); vpc_byoc: Not publicly verified; private_cloud: Yes (Self-Managed); self_hosted: Yes; on_prem: Yes (on-premises Self-Managed)</w:t>
            </w:r>
          </w:p>
        </w:tc>
        <w:tc>
          <w:tcPr/>
          <w:p>
            <w:pPr>
              <w:pStyle w:val="Compact"/>
            </w:pPr>
          </w:p>
        </w:tc>
        <w:tc>
          <w:tcPr/>
          <w:p>
            <w:pPr>
              <w:pStyle w:val="Compact"/>
            </w:pPr>
          </w:p>
        </w:tc>
      </w:tr>
    </w:tbl>
    <w:bookmarkEnd w:id="164"/>
    <w:bookmarkStart w:id="182" w:name="braintrust-l9-braintrust"/>
    <w:p>
      <w:pPr>
        <w:pStyle w:val="Heading2"/>
      </w:pPr>
      <w:r>
        <w:t xml:space="preserve">Braintrust (</w:t>
      </w:r>
      <w:r>
        <w:rPr>
          <w:rStyle w:val="VerbatimChar"/>
        </w:rPr>
        <w:t xml:space="preserve">L9-braintrust</w:t>
      </w:r>
      <w:r>
        <w:t xml:space="preserve">)</w:t>
      </w:r>
    </w:p>
    <w:p>
      <w:pPr>
        <w:pStyle w:val="FirstParagraph"/>
      </w:pPr>
      <w:r>
        <w:rPr>
          <w:bCs/>
          <w:b/>
        </w:rPr>
        <w:t xml:space="preserve">Tier:</w:t>
      </w:r>
      <w:r>
        <w:t xml:space="preserve"> </w:t>
      </w:r>
      <w:r>
        <w:t xml:space="preserve">Tactical ·</w:t>
      </w:r>
      <w:r>
        <w:t xml:space="preserve"> </w:t>
      </w:r>
      <w:r>
        <w:rPr>
          <w:bCs/>
          <w:b/>
        </w:rPr>
        <w:t xml:space="preserve">Flags:</w:t>
      </w:r>
      <w:r>
        <w:t xml:space="preserve"> </w:t>
      </w:r>
      <w:r>
        <w:t xml:space="preserve">none ·</w:t>
      </w:r>
      <w:r>
        <w:t xml:space="preserve"> </w:t>
      </w:r>
      <w:r>
        <w:rPr>
          <w:bCs/>
          <w:b/>
        </w:rPr>
        <w:t xml:space="preserve">Original graphic label:</w:t>
      </w:r>
      <w:r>
        <w:t xml:space="preserve"> </w:t>
      </w:r>
      <w:r>
        <w:t xml:space="preserve">Braintrust – evals platform</w:t>
      </w:r>
    </w:p>
    <w:p>
      <w:pPr>
        <w:pStyle w:val="BodyText"/>
      </w:pPr>
      <w:r>
        <w:rPr>
          <w:iCs/>
          <w:i/>
        </w:rPr>
        <w:t xml:space="preserve">Rationale:</w:t>
      </w:r>
      <w:r>
        <w:t xml:space="preserve"> </w:t>
      </w:r>
      <w:r>
        <w:t xml:space="preserve">Strong evaluation workflow and a sensible hybrid model, but proprietary eval assets and no ISO 27001 keep it out of the foundational tier for FS</w:t>
      </w:r>
      <w:r>
        <w:t xml:space="preserve"> </w:t>
      </w:r>
      <w:r>
        <w:rPr>
          <w:rStyle w:val="ClaimLabel"/>
        </w:rPr>
        <w:t xml:space="preserve">AJ</w:t>
      </w:r>
      <w:r>
        <w:t xml:space="preserve">.</w:t>
      </w:r>
    </w:p>
    <w:tbl>
      <w:tblPr>
        <w:tblStyle w:val="Table"/>
        <w:tblW w:type="pct" w:w="5000"/>
        <w:tblLook w:firstRow="1" w:lastRow="0" w:firstColumn="0" w:lastColumn="0" w:noHBand="0" w:noVBand="0" w:val="0020"/>
        <w:jc w:val="start"/>
      </w:tblPr>
      <w:tblGrid>
        <w:gridCol w:w="1545"/>
        <w:gridCol w:w="579"/>
        <w:gridCol w:w="5795"/>
      </w:tblGrid>
      <w:tr>
        <w:trPr>
          <w:tblHeader w:val="true"/>
        </w:trPr>
        <w:tc>
          <w:tcPr/>
          <w:p>
            <w:pPr>
              <w:pStyle w:val="Compact"/>
              <w:jc w:val="left"/>
            </w:pPr>
            <w:r>
              <w:t xml:space="preserve">Criterion</w:t>
            </w:r>
          </w:p>
        </w:tc>
        <w:tc>
          <w:tcPr/>
          <w:p>
            <w:pPr>
              <w:pStyle w:val="Compact"/>
              <w:jc w:val="right"/>
            </w:pPr>
            <w:r>
              <w:t xml:space="preserve">Score</w:t>
            </w:r>
          </w:p>
        </w:tc>
        <w:tc>
          <w:tcPr/>
          <w:p>
            <w:pPr>
              <w:pStyle w:val="Compact"/>
              <w:jc w:val="left"/>
            </w:pPr>
            <w:r>
              <w:t xml:space="preserve">Rationale</w:t>
            </w:r>
          </w:p>
        </w:tc>
      </w:tr>
      <w:tr>
        <w:tc>
          <w:tcPr/>
          <w:p>
            <w:pPr>
              <w:pStyle w:val="Compact"/>
              <w:jc w:val="left"/>
            </w:pPr>
            <w:r>
              <w:t xml:space="preserve">Technical</w:t>
            </w:r>
          </w:p>
        </w:tc>
        <w:tc>
          <w:tcPr/>
          <w:p>
            <w:pPr>
              <w:pStyle w:val="Compact"/>
              <w:jc w:val="right"/>
            </w:pPr>
            <w:r>
              <w:t xml:space="preserve">4</w:t>
            </w:r>
          </w:p>
        </w:tc>
        <w:tc>
          <w:tcPr/>
          <w:p>
            <w:pPr>
              <w:pStyle w:val="Compact"/>
              <w:jc w:val="left"/>
            </w:pPr>
            <w:r>
              <w:t xml:space="preserve">Leading offline-eval ergonomics plus production logging, clustering and gateway; red-teaming not native.</w:t>
            </w:r>
          </w:p>
        </w:tc>
      </w:tr>
      <w:tr>
        <w:tc>
          <w:tcPr/>
          <w:p>
            <w:pPr>
              <w:pStyle w:val="Compact"/>
              <w:jc w:val="left"/>
            </w:pPr>
            <w:r>
              <w:t xml:space="preserve">Enterprise readiness</w:t>
            </w:r>
          </w:p>
        </w:tc>
        <w:tc>
          <w:tcPr/>
          <w:p>
            <w:pPr>
              <w:pStyle w:val="Compact"/>
              <w:jc w:val="right"/>
            </w:pPr>
            <w:r>
              <w:t xml:space="preserve">3</w:t>
            </w:r>
          </w:p>
        </w:tc>
        <w:tc>
          <w:tcPr/>
          <w:p>
            <w:pPr>
              <w:pStyle w:val="Compact"/>
              <w:jc w:val="left"/>
            </w:pPr>
            <w:r>
              <w:t xml:space="preserve">SSO/SAML (Okta, Entra ID, Google Workspace) and OIDC; built-in groups plus Enterprise custom, project and object-level permissions; Enterprise audit logs queryable by SQL (B-REV-S020, B-REV-S021); SCIM and SLA not documented.</w:t>
            </w:r>
          </w:p>
        </w:tc>
      </w:tr>
      <w:tr>
        <w:tc>
          <w:tcPr/>
          <w:p>
            <w:pPr>
              <w:pStyle w:val="Compact"/>
              <w:jc w:val="left"/>
            </w:pPr>
            <w:r>
              <w:t xml:space="preserve">Security and compliance</w:t>
            </w:r>
          </w:p>
        </w:tc>
        <w:tc>
          <w:tcPr/>
          <w:p>
            <w:pPr>
              <w:pStyle w:val="Compact"/>
              <w:jc w:val="right"/>
            </w:pPr>
            <w:r>
              <w:t xml:space="preserve">3</w:t>
            </w:r>
          </w:p>
        </w:tc>
        <w:tc>
          <w:tcPr/>
          <w:p>
            <w:pPr>
              <w:pStyle w:val="Compact"/>
              <w:jc w:val="left"/>
            </w:pPr>
            <w:r>
              <w:t xml:space="preserve">SOC 2 Type II, encryption, CMK in hybrid and EU data plane; no ISO 27001 found and HIPAA wording inconsistent.</w:t>
            </w:r>
          </w:p>
        </w:tc>
      </w:tr>
      <w:tr>
        <w:tc>
          <w:tcPr/>
          <w:p>
            <w:pPr>
              <w:pStyle w:val="Compact"/>
              <w:jc w:val="left"/>
            </w:pPr>
            <w:r>
              <w:t xml:space="preserve">Deployment flexibility</w:t>
            </w:r>
          </w:p>
        </w:tc>
        <w:tc>
          <w:tcPr/>
          <w:p>
            <w:pPr>
              <w:pStyle w:val="Compact"/>
              <w:jc w:val="right"/>
            </w:pPr>
            <w:r>
              <w:t xml:space="preserve">4</w:t>
            </w:r>
          </w:p>
        </w:tc>
        <w:tc>
          <w:tcPr/>
          <w:p>
            <w:pPr>
              <w:pStyle w:val="Compact"/>
              <w:jc w:val="left"/>
            </w:pPr>
            <w:r>
              <w:t xml:space="preserve">SaaS, hybrid data plane in customer cloud, self-host on Enterprise; air-gap low confidence.</w:t>
            </w:r>
          </w:p>
        </w:tc>
      </w:tr>
      <w:tr>
        <w:tc>
          <w:tcPr/>
          <w:p>
            <w:pPr>
              <w:pStyle w:val="Compact"/>
              <w:jc w:val="left"/>
            </w:pPr>
            <w:r>
              <w:t xml:space="preserve">Ecosystem</w:t>
            </w:r>
          </w:p>
        </w:tc>
        <w:tc>
          <w:tcPr/>
          <w:p>
            <w:pPr>
              <w:pStyle w:val="Compact"/>
              <w:jc w:val="right"/>
            </w:pPr>
            <w:r>
              <w:t xml:space="preserve">4</w:t>
            </w:r>
          </w:p>
        </w:tc>
        <w:tc>
          <w:tcPr/>
          <w:p>
            <w:pPr>
              <w:pStyle w:val="Compact"/>
              <w:jc w:val="left"/>
            </w:pPr>
            <w:r>
              <w:t xml:space="preserve">OTLP ingest, MCP endpoint, GitHub Action, several agent framework integrations.</w:t>
            </w:r>
          </w:p>
        </w:tc>
      </w:tr>
      <w:tr>
        <w:tc>
          <w:tcPr/>
          <w:p>
            <w:pPr>
              <w:pStyle w:val="Compact"/>
              <w:jc w:val="left"/>
            </w:pPr>
            <w:r>
              <w:t xml:space="preserve">Reliability and maturity</w:t>
            </w:r>
          </w:p>
        </w:tc>
        <w:tc>
          <w:tcPr/>
          <w:p>
            <w:pPr>
              <w:pStyle w:val="Compact"/>
              <w:jc w:val="right"/>
            </w:pPr>
            <w:r>
              <w:t xml:space="preserve">3</w:t>
            </w:r>
          </w:p>
        </w:tc>
        <w:tc>
          <w:tcPr/>
          <w:p>
            <w:pPr>
              <w:pStyle w:val="Compact"/>
              <w:jc w:val="left"/>
            </w:pPr>
            <w:r>
              <w:t xml:space="preserve">GA since 2023 with frequent releases; venture-funded and repositioning towards observability.</w:t>
            </w:r>
          </w:p>
        </w:tc>
      </w:tr>
      <w:tr>
        <w:tc>
          <w:tcPr/>
          <w:p>
            <w:pPr>
              <w:pStyle w:val="Compact"/>
              <w:jc w:val="left"/>
            </w:pPr>
            <w:r>
              <w:t xml:space="preserve">Cost / TCO</w:t>
            </w:r>
          </w:p>
        </w:tc>
        <w:tc>
          <w:tcPr/>
          <w:p>
            <w:pPr>
              <w:pStyle w:val="Compact"/>
              <w:jc w:val="right"/>
            </w:pPr>
            <w:r>
              <w:t xml:space="preserve">3</w:t>
            </w:r>
          </w:p>
        </w:tc>
        <w:tc>
          <w:tcPr/>
          <w:p>
            <w:pPr>
              <w:pStyle w:val="Compact"/>
              <w:jc w:val="left"/>
            </w:pPr>
            <w:r>
              <w:t xml:space="preserve">Published Pro price (US$249/month plus usage); Enterprise custom.</w:t>
            </w:r>
          </w:p>
        </w:tc>
      </w:tr>
      <w:tr>
        <w:tc>
          <w:tcPr/>
          <w:p>
            <w:pPr>
              <w:pStyle w:val="Compact"/>
              <w:jc w:val="left"/>
            </w:pPr>
            <w:r>
              <w:t xml:space="preserve">Lock-in / portability</w:t>
            </w:r>
          </w:p>
        </w:tc>
        <w:tc>
          <w:tcPr/>
          <w:p>
            <w:pPr>
              <w:pStyle w:val="Compact"/>
              <w:jc w:val="right"/>
            </w:pPr>
            <w:r>
              <w:t xml:space="preserve">2</w:t>
            </w:r>
          </w:p>
        </w:tc>
        <w:tc>
          <w:tcPr/>
          <w:p>
            <w:pPr>
              <w:pStyle w:val="Compact"/>
              <w:jc w:val="left"/>
            </w:pPr>
            <w:r>
              <w:t xml:space="preserve">Proprietary platform holding eval logic and datasets; OTel ingest only partially mitigates.</w:t>
            </w:r>
          </w:p>
        </w:tc>
      </w:tr>
      <w:tr>
        <w:tc>
          <w:tcPr/>
          <w:p>
            <w:pPr>
              <w:pStyle w:val="Compact"/>
              <w:jc w:val="left"/>
            </w:pPr>
            <w:r>
              <w:rPr>
                <w:bCs/>
                <w:b/>
              </w:rPr>
              <w:t xml:space="preserve">Total (generic / FS)</w:t>
            </w:r>
          </w:p>
        </w:tc>
        <w:tc>
          <w:tcPr/>
          <w:p>
            <w:pPr>
              <w:pStyle w:val="Compact"/>
              <w:jc w:val="right"/>
            </w:pPr>
            <w:r>
              <w:rPr>
                <w:bCs/>
                <w:b/>
              </w:rPr>
              <w:t xml:space="preserve">3.40 / 3.20</w:t>
            </w:r>
          </w:p>
        </w:tc>
        <w:tc>
          <w:tcPr/>
          <w:p>
            <w:pPr>
              <w:pStyle w:val="Compact"/>
            </w:pPr>
          </w:p>
        </w:tc>
      </w:tr>
    </w:tbl>
    <w:p>
      <w:pPr>
        <w:pStyle w:val="BodyText"/>
      </w:pPr>
      <w:r>
        <w:rPr>
          <w:bCs/>
          <w:b/>
        </w:rPr>
        <w:t xml:space="preserve">Capabilities.</w:t>
      </w:r>
      <w:r>
        <w:t xml:space="preserve"> </w:t>
      </w:r>
      <w:r>
        <w:t xml:space="preserve">Proprietary evaluation and observability platform: experiments, datasets and scorers; production trace logging; Topics trace clustering; Loop AI-assisted prompt/model optimisation; a gateway that routes and traces model calls; GitHub Action posting eval results on pull requests</w:t>
      </w:r>
      <w:r>
        <w:t xml:space="preserve"> </w:t>
      </w:r>
      <w:r>
        <w:rPr>
          <w:rStyle w:val="ClaimLabel"/>
        </w:rPr>
        <w:t xml:space="preserve">VF</w:t>
      </w:r>
      <w:r>
        <w:rPr>
          <w:rStyle w:val="FootnoteReference"/>
        </w:rPr>
        <w:footnoteReference w:id="165"/>
      </w:r>
      <w:r>
        <w:t xml:space="preserve">.</w:t>
      </w:r>
    </w:p>
    <w:p>
      <w:pPr>
        <w:pStyle w:val="BodyText"/>
      </w:pPr>
      <w:r>
        <w:rPr>
          <w:bCs/>
          <w:b/>
        </w:rPr>
        <w:t xml:space="preserve">Strengths</w:t>
      </w:r>
    </w:p>
    <w:p>
      <w:pPr>
        <w:numPr>
          <w:ilvl w:val="0"/>
          <w:numId w:val="1037"/>
        </w:numPr>
        <w:pStyle w:val="Compact"/>
      </w:pPr>
      <w:r>
        <w:t xml:space="preserve">Strong offline evaluation workflow with PR-level CI feedback</w:t>
      </w:r>
      <w:r>
        <w:t xml:space="preserve"> </w:t>
      </w:r>
      <w:r>
        <w:rPr>
          <w:rStyle w:val="ClaimLabel"/>
        </w:rPr>
        <w:t xml:space="preserve">VF</w:t>
      </w:r>
      <w:r>
        <w:rPr>
          <w:rStyle w:val="FootnoteReference"/>
        </w:rPr>
        <w:footnoteReference w:id="169"/>
      </w:r>
    </w:p>
    <w:p>
      <w:pPr>
        <w:numPr>
          <w:ilvl w:val="0"/>
          <w:numId w:val="1037"/>
        </w:numPr>
        <w:pStyle w:val="Compact"/>
      </w:pPr>
      <w:r>
        <w:t xml:space="preserve">Hybrid deployment: Braintrust-hosted control plane with the data plane in the customer’s AWS, GCP or Azure; customer-managed KMS keys and private networking</w:t>
      </w:r>
      <w:r>
        <w:t xml:space="preserve"> </w:t>
      </w:r>
      <w:r>
        <w:rPr>
          <w:rStyle w:val="ClaimLabel"/>
        </w:rPr>
        <w:t xml:space="preserve">VF</w:t>
      </w:r>
      <w:r>
        <w:rPr>
          <w:rStyle w:val="FootnoteReference"/>
        </w:rPr>
        <w:footnoteReference w:id="170"/>
      </w:r>
    </w:p>
    <w:p>
      <w:pPr>
        <w:numPr>
          <w:ilvl w:val="0"/>
          <w:numId w:val="1037"/>
        </w:numPr>
        <w:pStyle w:val="Compact"/>
      </w:pPr>
      <w:r>
        <w:t xml:space="preserve">US or EU data plane chosen at organisation creation; EU processing in the DPA</w:t>
      </w:r>
      <w:r>
        <w:t xml:space="preserve"> </w:t>
      </w:r>
      <w:r>
        <w:rPr>
          <w:rStyle w:val="ClaimLabel"/>
        </w:rPr>
        <w:t xml:space="preserve">VF</w:t>
      </w:r>
      <w:r>
        <w:rPr>
          <w:rStyle w:val="FootnoteReference"/>
        </w:rPr>
        <w:footnoteReference w:id="172"/>
      </w:r>
    </w:p>
    <w:p>
      <w:pPr>
        <w:numPr>
          <w:ilvl w:val="0"/>
          <w:numId w:val="1037"/>
        </w:numPr>
        <w:pStyle w:val="Compact"/>
      </w:pPr>
      <w:r>
        <w:t xml:space="preserve">OTLP trace endpoints in US and EU</w:t>
      </w:r>
      <w:r>
        <w:t xml:space="preserve"> </w:t>
      </w:r>
      <w:r>
        <w:rPr>
          <w:rStyle w:val="ClaimLabel"/>
        </w:rPr>
        <w:t xml:space="preserve">VF</w:t>
      </w:r>
      <w:r>
        <w:rPr>
          <w:rStyle w:val="FootnoteReference"/>
        </w:rPr>
        <w:footnoteReference w:id="174"/>
      </w:r>
    </w:p>
    <w:p>
      <w:pPr>
        <w:pStyle w:val="FirstParagraph"/>
      </w:pPr>
      <w:r>
        <w:rPr>
          <w:bCs/>
          <w:b/>
        </w:rPr>
        <w:t xml:space="preserve">Limitations and risks</w:t>
      </w:r>
    </w:p>
    <w:p>
      <w:pPr>
        <w:numPr>
          <w:ilvl w:val="0"/>
          <w:numId w:val="1038"/>
        </w:numPr>
        <w:pStyle w:val="Compact"/>
      </w:pPr>
      <w:r>
        <w:t xml:space="preserve">No ISO 27001 certification found; SOC 2 Type II reports under mutual NDA</w:t>
      </w:r>
      <w:r>
        <w:t xml:space="preserve"> </w:t>
      </w:r>
      <w:r>
        <w:rPr>
          <w:rStyle w:val="ClaimLabel"/>
        </w:rPr>
        <w:t xml:space="preserve">VF</w:t>
      </w:r>
      <w:r>
        <w:rPr>
          <w:rStyle w:val="FootnoteReference"/>
        </w:rPr>
        <w:footnoteReference w:id="175"/>
      </w:r>
    </w:p>
    <w:p>
      <w:pPr>
        <w:numPr>
          <w:ilvl w:val="0"/>
          <w:numId w:val="1038"/>
        </w:numPr>
        <w:pStyle w:val="Compact"/>
      </w:pPr>
      <w:r>
        <w:t xml:space="preserve">Evaluation logic and datasets live in the proprietary platform</w:t>
      </w:r>
      <w:r>
        <w:t xml:space="preserve"> </w:t>
      </w:r>
      <w:r>
        <w:rPr>
          <w:rStyle w:val="ClaimLabel"/>
        </w:rPr>
        <w:t xml:space="preserve">VF</w:t>
      </w:r>
      <w:r>
        <w:rPr>
          <w:rStyle w:val="FootnoteReference"/>
        </w:rPr>
        <w:footnoteReference w:id="177"/>
      </w:r>
    </w:p>
    <w:p>
      <w:pPr>
        <w:numPr>
          <w:ilvl w:val="0"/>
          <w:numId w:val="1038"/>
        </w:numPr>
        <w:pStyle w:val="Compact"/>
      </w:pPr>
      <w:r>
        <w:t xml:space="preserve">Region cannot be changed after organisation creation</w:t>
      </w:r>
      <w:r>
        <w:t xml:space="preserve"> </w:t>
      </w:r>
      <w:r>
        <w:rPr>
          <w:rStyle w:val="ClaimLabel"/>
        </w:rPr>
        <w:t xml:space="preserve">VF</w:t>
      </w:r>
      <w:r>
        <w:rPr>
          <w:rStyle w:val="FootnoteReference"/>
        </w:rPr>
        <w:footnoteReference w:id="178"/>
      </w:r>
    </w:p>
    <w:p>
      <w:pPr>
        <w:numPr>
          <w:ilvl w:val="0"/>
          <w:numId w:val="1038"/>
        </w:numPr>
        <w:pStyle w:val="Compact"/>
      </w:pPr>
      <w:r>
        <w:t xml:space="preserve">Hybrid control plane still holds metadata and hashed keys, and uses Clerk for auth</w:t>
      </w:r>
      <w:r>
        <w:t xml:space="preserve"> </w:t>
      </w:r>
      <w:r>
        <w:rPr>
          <w:rStyle w:val="ClaimLabel"/>
        </w:rPr>
        <w:t xml:space="preserve">VF</w:t>
      </w:r>
      <w:r>
        <w:rPr>
          <w:rStyle w:val="FootnoteReference"/>
        </w:rPr>
        <w:footnoteReference w:id="179"/>
      </w:r>
    </w:p>
    <w:p>
      <w:pPr>
        <w:numPr>
          <w:ilvl w:val="0"/>
          <w:numId w:val="1038"/>
        </w:numPr>
        <w:pStyle w:val="Compact"/>
      </w:pPr>
      <w:r>
        <w:t xml:space="preserve">Valuation figures are press-reported only and are not a decision input</w:t>
      </w:r>
      <w:r>
        <w:t xml:space="preserve"> </w:t>
      </w:r>
      <w:r>
        <w:rPr>
          <w:rStyle w:val="ClaimLabel"/>
        </w:rPr>
        <w:t xml:space="preserve">R</w:t>
      </w:r>
      <w:r>
        <w:rPr>
          <w:rStyle w:val="FootnoteReference"/>
        </w:rPr>
        <w:footnoteReference w:id="180"/>
      </w:r>
    </w:p>
    <w:p>
      <w:pPr>
        <w:pStyle w:val="FirstParagraph"/>
      </w:pPr>
      <w:r>
        <w:rPr>
          <w:bCs/>
          <w:b/>
        </w:rPr>
        <w:t xml:space="preserve">Choose when</w:t>
      </w:r>
    </w:p>
    <w:p>
      <w:pPr>
        <w:numPr>
          <w:ilvl w:val="0"/>
          <w:numId w:val="1039"/>
        </w:numPr>
        <w:pStyle w:val="Compact"/>
      </w:pPr>
      <w:r>
        <w:t xml:space="preserve">Evaluation-driven development is the main need and teams want rich experiment comparison in pull requests</w:t>
      </w:r>
      <w:r>
        <w:t xml:space="preserve"> </w:t>
      </w:r>
      <w:r>
        <w:rPr>
          <w:rStyle w:val="ClaimLabel"/>
        </w:rPr>
        <w:t xml:space="preserve">AJ</w:t>
      </w:r>
    </w:p>
    <w:p>
      <w:pPr>
        <w:numPr>
          <w:ilvl w:val="0"/>
          <w:numId w:val="1039"/>
        </w:numPr>
        <w:pStyle w:val="Compact"/>
      </w:pPr>
      <w:r>
        <w:t xml:space="preserve">You want trace data in your own cloud account but are content with a vendor-run control plane</w:t>
      </w:r>
      <w:r>
        <w:t xml:space="preserve"> </w:t>
      </w:r>
      <w:r>
        <w:rPr>
          <w:rStyle w:val="ClaimLabel"/>
        </w:rPr>
        <w:t xml:space="preserve">AJ</w:t>
      </w:r>
    </w:p>
    <w:p>
      <w:pPr>
        <w:pStyle w:val="FirstParagraph"/>
      </w:pPr>
      <w:r>
        <w:rPr>
          <w:bCs/>
          <w:b/>
        </w:rPr>
        <w:t xml:space="preserve">Avoid when</w:t>
      </w:r>
    </w:p>
    <w:p>
      <w:pPr>
        <w:numPr>
          <w:ilvl w:val="0"/>
          <w:numId w:val="1040"/>
        </w:numPr>
        <w:pStyle w:val="Compact"/>
      </w:pPr>
      <w:r>
        <w:t xml:space="preserve">Your procurement baseline requires ISO 27001</w:t>
      </w:r>
      <w:r>
        <w:t xml:space="preserve"> </w:t>
      </w:r>
      <w:r>
        <w:rPr>
          <w:rStyle w:val="ClaimLabel"/>
        </w:rPr>
        <w:t xml:space="preserve">AJ</w:t>
      </w:r>
    </w:p>
    <w:p>
      <w:pPr>
        <w:numPr>
          <w:ilvl w:val="0"/>
          <w:numId w:val="1040"/>
        </w:numPr>
        <w:pStyle w:val="Compact"/>
      </w:pPr>
      <w:r>
        <w:t xml:space="preserve">You need a fully self-contained, air-gapped deployment with no external control plane (air-gap is vendor-mentioned only, low confidence)</w:t>
      </w:r>
      <w:r>
        <w:t xml:space="preserve"> </w:t>
      </w:r>
      <w:r>
        <w:rPr>
          <w:rStyle w:val="ClaimLabel"/>
        </w:rPr>
        <w:t xml:space="preserve">AJ</w:t>
      </w:r>
    </w:p>
    <w:p>
      <w:pPr>
        <w:pStyle w:val="FirstParagraph"/>
      </w:pPr>
      <w:r>
        <w:rPr>
          <w:bCs/>
          <w:b/>
        </w:rPr>
        <w:t xml:space="preserve">Nearest competitors:</w:t>
      </w:r>
      <w:r>
        <w:t xml:space="preserve"> </w:t>
      </w:r>
      <w:r>
        <w:t xml:space="preserve">L9-langsmith, L9-langfuse, L9-arize-ax</w:t>
      </w:r>
    </w:p>
    <w:p>
      <w:pPr>
        <w:pStyle w:val="BodyText"/>
      </w:pPr>
      <w:r>
        <w:rPr>
          <w:bCs/>
          <w:b/>
        </w:rPr>
        <w:t xml:space="preserve">Regulated-FS note.</w:t>
      </w:r>
      <w:r>
        <w:t xml:space="preserve"> </w:t>
      </w:r>
      <w:r>
        <w:t xml:space="preserve">The hybrid data plane answers the residency question for traces, but the control plane’s metadata must still be assessed under SYSC 8/DORA; choose the EU data plane at creation because it cannot be changed</w:t>
      </w:r>
      <w:r>
        <w:t xml:space="preserve"> </w:t>
      </w:r>
      <w:r>
        <w:rPr>
          <w:rStyle w:val="ClaimLabel"/>
        </w:rPr>
        <w:t xml:space="preserve">AJ</w:t>
      </w:r>
      <w:r>
        <w:t xml:space="preserve">.</w:t>
      </w:r>
    </w:p>
    <w:p>
      <w:pPr>
        <w:pStyle w:val="BodyText"/>
      </w:pPr>
      <w:r>
        <w:rPr>
          <w:bCs/>
          <w:b/>
        </w:rPr>
        <w:t xml:space="preserve">Facts (as of 2026-10-08)</w:t>
      </w:r>
    </w:p>
    <w:tbl>
      <w:tblPr>
        <w:tblStyle w:val="Table"/>
        <w:tblW w:type="pct" w:w="5000"/>
        <w:tblLook w:firstRow="1" w:lastRow="0" w:firstColumn="0" w:lastColumn="0" w:noHBand="0" w:noVBand="0" w:val="0020"/>
        <w:jc w:val="start"/>
      </w:tblPr>
      <w:tblGrid>
        <w:gridCol w:w="1485"/>
        <w:gridCol w:w="4290"/>
        <w:gridCol w:w="1320"/>
        <w:gridCol w:w="825"/>
      </w:tblGrid>
      <w:tr>
        <w:trPr>
          <w:tblHeader w:val="true"/>
        </w:trPr>
        <w:tc>
          <w:tcPr/>
          <w:p>
            <w:pPr>
              <w:pStyle w:val="Compact"/>
              <w:jc w:val="left"/>
            </w:pPr>
            <w:r>
              <w:t xml:space="preserve">Field</w:t>
            </w:r>
          </w:p>
        </w:tc>
        <w:tc>
          <w:tcPr/>
          <w:p>
            <w:pPr>
              <w:pStyle w:val="Compact"/>
              <w:jc w:val="left"/>
            </w:pPr>
            <w:r>
              <w:t xml:space="preserve">Value</w:t>
            </w:r>
          </w:p>
        </w:tc>
        <w:tc>
          <w:tcPr/>
          <w:p>
            <w:pPr>
              <w:pStyle w:val="Compact"/>
              <w:jc w:val="left"/>
            </w:pPr>
            <w:r>
              <w:t xml:space="preserve">Label</w:t>
            </w:r>
          </w:p>
        </w:tc>
        <w:tc>
          <w:tcPr/>
          <w:p>
            <w:pPr>
              <w:pStyle w:val="Compact"/>
              <w:jc w:val="left"/>
            </w:pPr>
            <w:r>
              <w:t xml:space="preserve">Sources</w:t>
            </w:r>
          </w:p>
        </w:tc>
      </w:tr>
      <w:tr>
        <w:tc>
          <w:tcPr/>
          <w:p>
            <w:pPr>
              <w:pStyle w:val="Compact"/>
              <w:jc w:val="left"/>
            </w:pPr>
            <w:r>
              <w:t xml:space="preserve">Company</w:t>
            </w:r>
          </w:p>
        </w:tc>
        <w:tc>
          <w:tcPr/>
          <w:p>
            <w:pPr>
              <w:pStyle w:val="Compact"/>
              <w:jc w:val="left"/>
            </w:pPr>
            <w:r>
              <w:t xml:space="preserve">Braintrust (independent, venture-backed; no acquisition found)</w:t>
            </w:r>
          </w:p>
        </w:tc>
        <w:tc>
          <w:tcPr/>
          <w:p>
            <w:pPr>
              <w:pStyle w:val="Compact"/>
              <w:jc w:val="left"/>
            </w:pPr>
            <w:r>
              <w:t xml:space="preserve">Verified fact</w:t>
            </w:r>
          </w:p>
        </w:tc>
        <w:tc>
          <w:tcPr/>
          <w:p>
            <w:pPr>
              <w:pStyle w:val="Compact"/>
              <w:jc w:val="left"/>
            </w:pPr>
            <w:r>
              <w:t xml:space="preserve">A1-S028</w:t>
            </w:r>
          </w:p>
        </w:tc>
      </w:tr>
      <w:tr>
        <w:tc>
          <w:tcPr/>
          <w:p>
            <w:pPr>
              <w:pStyle w:val="Compact"/>
              <w:jc w:val="left"/>
            </w:pPr>
            <w:r>
              <w:t xml:space="preserve">Category</w:t>
            </w:r>
          </w:p>
        </w:tc>
        <w:tc>
          <w:tcPr/>
          <w:p>
            <w:pPr>
              <w:pStyle w:val="Compact"/>
              <w:jc w:val="left"/>
            </w:pPr>
            <w:r>
              <w:t xml:space="preserve">Proprietary AI evaluation and observability platform, marketed as</w:t>
            </w:r>
            <w:r>
              <w:t xml:space="preserve"> </w:t>
            </w:r>
            <w:r>
              <w:t xml:space="preserve">‘</w:t>
            </w:r>
            <w:r>
              <w:t xml:space="preserve">the active observability platform for agents</w:t>
            </w:r>
            <w:r>
              <w:t xml:space="preserve">’</w:t>
            </w:r>
          </w:p>
        </w:tc>
        <w:tc>
          <w:tcPr/>
          <w:p>
            <w:pPr>
              <w:pStyle w:val="Compact"/>
              <w:jc w:val="left"/>
            </w:pPr>
            <w:r>
              <w:t xml:space="preserve">Verified fact</w:t>
            </w:r>
          </w:p>
        </w:tc>
        <w:tc>
          <w:tcPr/>
          <w:p>
            <w:pPr>
              <w:pStyle w:val="Compact"/>
              <w:jc w:val="left"/>
            </w:pPr>
            <w:r>
              <w:t xml:space="preserve">A1-S043</w:t>
            </w:r>
          </w:p>
        </w:tc>
      </w:tr>
      <w:tr>
        <w:tc>
          <w:tcPr/>
          <w:p>
            <w:pPr>
              <w:pStyle w:val="Compact"/>
              <w:jc w:val="left"/>
            </w:pPr>
            <w:r>
              <w:t xml:space="preserve">Version / lineup</w:t>
            </w:r>
          </w:p>
        </w:tc>
        <w:tc>
          <w:tcPr/>
          <w:p>
            <w:pPr>
              <w:pStyle w:val="Compact"/>
              <w:jc w:val="left"/>
            </w:pPr>
            <w:r>
              <w:t xml:space="preserve">SaaS; Python SDK braintrust 0.45.0, released 7 October 2026</w:t>
            </w:r>
          </w:p>
        </w:tc>
        <w:tc>
          <w:tcPr/>
          <w:p>
            <w:pPr>
              <w:pStyle w:val="Compact"/>
              <w:jc w:val="left"/>
            </w:pPr>
            <w:r>
              <w:t xml:space="preserve">Verified fact</w:t>
            </w:r>
          </w:p>
        </w:tc>
        <w:tc>
          <w:tcPr/>
          <w:p>
            <w:pPr>
              <w:pStyle w:val="Compact"/>
              <w:jc w:val="left"/>
            </w:pPr>
            <w:r>
              <w:t xml:space="preserve">A1-S003</w:t>
            </w:r>
          </w:p>
        </w:tc>
      </w:tr>
      <w:tr>
        <w:tc>
          <w:tcPr/>
          <w:p>
            <w:pPr>
              <w:pStyle w:val="Compact"/>
              <w:jc w:val="left"/>
            </w:pPr>
            <w:r>
              <w:t xml:space="preserve">Licence</w:t>
            </w:r>
          </w:p>
        </w:tc>
        <w:tc>
          <w:tcPr/>
          <w:p>
            <w:pPr>
              <w:pStyle w:val="Compact"/>
              <w:jc w:val="left"/>
            </w:pPr>
            <w:r>
              <w:t xml:space="preserve">Proprietary platform; Python SDK MIT</w:t>
            </w:r>
          </w:p>
        </w:tc>
        <w:tc>
          <w:tcPr/>
          <w:p>
            <w:pPr>
              <w:pStyle w:val="Compact"/>
              <w:jc w:val="left"/>
            </w:pPr>
            <w:r>
              <w:t xml:space="preserve">Verified fact</w:t>
            </w:r>
          </w:p>
        </w:tc>
        <w:tc>
          <w:tcPr/>
          <w:p>
            <w:pPr>
              <w:pStyle w:val="Compact"/>
              <w:jc w:val="left"/>
            </w:pPr>
            <w:r>
              <w:t xml:space="preserve">A1-S003</w:t>
            </w:r>
          </w:p>
        </w:tc>
      </w:tr>
      <w:tr>
        <w:tc>
          <w:tcPr/>
          <w:p>
            <w:pPr>
              <w:pStyle w:val="Compact"/>
              <w:jc w:val="left"/>
            </w:pPr>
            <w:r>
              <w:t xml:space="preserve">Strategic direction</w:t>
            </w:r>
          </w:p>
        </w:tc>
        <w:tc>
          <w:tcPr/>
          <w:p>
            <w:pPr>
              <w:pStyle w:val="Compact"/>
              <w:jc w:val="left"/>
            </w:pPr>
            <w:r>
              <w:t xml:space="preserve">US$80M Series B (17 February 2026) to become the observability layer for production AI; Trace conference (February 2026) introduced Topics (trace clustering), Loop (AI-assisted prompt/model optimisation) and later Patterns; Braintrust Gateway routes and traces model calls</w:t>
            </w:r>
          </w:p>
        </w:tc>
        <w:tc>
          <w:tcPr/>
          <w:p>
            <w:pPr>
              <w:pStyle w:val="Compact"/>
              <w:jc w:val="left"/>
            </w:pPr>
            <w:r>
              <w:t xml:space="preserve">Verified fact</w:t>
            </w:r>
          </w:p>
        </w:tc>
        <w:tc>
          <w:tcPr/>
          <w:p>
            <w:pPr>
              <w:pStyle w:val="Compact"/>
              <w:jc w:val="left"/>
            </w:pPr>
            <w:r>
              <w:t xml:space="preserve">A1-S028, A1-S043</w:t>
            </w:r>
          </w:p>
        </w:tc>
      </w:tr>
      <w:tr>
        <w:tc>
          <w:tcPr/>
          <w:p>
            <w:pPr>
              <w:pStyle w:val="Compact"/>
              <w:jc w:val="left"/>
            </w:pPr>
            <w:r>
              <w:t xml:space="preserve">What it does</w:t>
            </w:r>
          </w:p>
        </w:tc>
        <w:tc>
          <w:tcPr/>
          <w:p>
            <w:pPr>
              <w:pStyle w:val="Compact"/>
              <w:jc w:val="left"/>
            </w:pPr>
            <w:r>
              <w:t xml:space="preserve">Runs offline evaluations (experiments, datasets, scorers) and logs production traces; clusters traces into topics and uses an AI assistant (Loop) to propose prompt or model changes; a gateway routes LLM calls while recording traces.</w:t>
            </w:r>
          </w:p>
        </w:tc>
        <w:tc>
          <w:tcPr/>
          <w:p>
            <w:pPr>
              <w:pStyle w:val="Compact"/>
              <w:jc w:val="left"/>
            </w:pPr>
            <w:r>
              <w:t xml:space="preserve">Verified fact</w:t>
            </w:r>
          </w:p>
        </w:tc>
        <w:tc>
          <w:tcPr/>
          <w:p>
            <w:pPr>
              <w:pStyle w:val="Compact"/>
              <w:jc w:val="left"/>
            </w:pPr>
            <w:r>
              <w:t xml:space="preserve">A1-S043, A1-S040</w:t>
            </w:r>
          </w:p>
        </w:tc>
      </w:tr>
      <w:tr>
        <w:tc>
          <w:tcPr/>
          <w:p>
            <w:pPr>
              <w:pStyle w:val="Compact"/>
              <w:jc w:val="left"/>
            </w:pPr>
            <w:r>
              <w:t xml:space="preserve">Stack position</w:t>
            </w:r>
          </w:p>
        </w:tc>
        <w:tc>
          <w:tcPr/>
          <w:p>
            <w:pPr>
              <w:pStyle w:val="Compact"/>
              <w:jc w:val="left"/>
            </w:pPr>
            <w:r>
              <w:t xml:space="preserve">Cross-cutting evaluation and observability; graphic’s</w:t>
            </w:r>
            <w:r>
              <w:t xml:space="preserve"> </w:t>
            </w:r>
            <w:r>
              <w:t xml:space="preserve">‘</w:t>
            </w:r>
            <w:r>
              <w:t xml:space="preserve">evals platform</w:t>
            </w:r>
            <w:r>
              <w:t xml:space="preserve">’</w:t>
            </w:r>
            <w:r>
              <w:t xml:space="preserve"> </w:t>
            </w:r>
            <w:r>
              <w:t xml:space="preserve">understates the production tracing and gateway scope</w:t>
            </w:r>
          </w:p>
        </w:tc>
        <w:tc>
          <w:tcPr/>
          <w:p>
            <w:pPr>
              <w:pStyle w:val="Compact"/>
              <w:jc w:val="left"/>
            </w:pPr>
            <w:r>
              <w:t xml:space="preserve">Verified fact</w:t>
            </w:r>
          </w:p>
        </w:tc>
        <w:tc>
          <w:tcPr/>
          <w:p>
            <w:pPr>
              <w:pStyle w:val="Compact"/>
              <w:jc w:val="left"/>
            </w:pPr>
            <w:r>
              <w:t xml:space="preserve">A1-S043</w:t>
            </w:r>
          </w:p>
        </w:tc>
      </w:tr>
      <w:tr>
        <w:tc>
          <w:tcPr/>
          <w:p>
            <w:pPr>
              <w:pStyle w:val="Compact"/>
              <w:jc w:val="left"/>
            </w:pPr>
            <w:r>
              <w:t xml:space="preserve">Integration</w:t>
            </w:r>
          </w:p>
        </w:tc>
        <w:tc>
          <w:tcPr/>
          <w:p>
            <w:pPr>
              <w:pStyle w:val="Compact"/>
              <w:jc w:val="left"/>
            </w:pPr>
            <w:r>
              <w:t xml:space="preserve">SDKs; OTLP trace endpoint (api.braintrust.dev/otel, EU api-eu.braintrust.dev/otel) with Bearer auth; MCP endpoint; GitHub Action for evals on pull requests</w:t>
            </w:r>
          </w:p>
        </w:tc>
        <w:tc>
          <w:tcPr/>
          <w:p>
            <w:pPr>
              <w:pStyle w:val="Compact"/>
              <w:jc w:val="left"/>
            </w:pPr>
            <w:r>
              <w:t xml:space="preserve">Verified fact</w:t>
            </w:r>
          </w:p>
        </w:tc>
        <w:tc>
          <w:tcPr/>
          <w:p>
            <w:pPr>
              <w:pStyle w:val="Compact"/>
              <w:jc w:val="left"/>
            </w:pPr>
            <w:r>
              <w:t xml:space="preserve">A1-S042, A1-S109</w:t>
            </w:r>
          </w:p>
        </w:tc>
      </w:tr>
      <w:tr>
        <w:tc>
          <w:tcPr/>
          <w:p>
            <w:pPr>
              <w:pStyle w:val="Compact"/>
              <w:jc w:val="left"/>
            </w:pPr>
            <w:r>
              <w:t xml:space="preserve">Dependencies</w:t>
            </w:r>
          </w:p>
        </w:tc>
        <w:tc>
          <w:tcPr/>
          <w:p>
            <w:pPr>
              <w:pStyle w:val="Compact"/>
              <w:jc w:val="left"/>
            </w:pPr>
            <w:r>
              <w:t xml:space="preserve">Hybrid: Braintrust-hosted control plane (UI, metadata, auth via Clerk) with data plane in customer AWS, GCP or Azure deployed by Terraform</w:t>
            </w:r>
          </w:p>
        </w:tc>
        <w:tc>
          <w:tcPr/>
          <w:p>
            <w:pPr>
              <w:pStyle w:val="Compact"/>
              <w:jc w:val="left"/>
            </w:pPr>
            <w:r>
              <w:t xml:space="preserve">Verified fact</w:t>
            </w:r>
          </w:p>
        </w:tc>
        <w:tc>
          <w:tcPr/>
          <w:p>
            <w:pPr>
              <w:pStyle w:val="Compact"/>
              <w:jc w:val="left"/>
            </w:pPr>
            <w:r>
              <w:t xml:space="preserve">A1-S041</w:t>
            </w:r>
          </w:p>
        </w:tc>
      </w:tr>
      <w:tr>
        <w:tc>
          <w:tcPr/>
          <w:p>
            <w:pPr>
              <w:pStyle w:val="Compact"/>
              <w:jc w:val="left"/>
            </w:pPr>
            <w:r>
              <w:t xml:space="preserve">Certifications</w:t>
            </w:r>
          </w:p>
        </w:tc>
        <w:tc>
          <w:tcPr/>
          <w:p>
            <w:pPr>
              <w:pStyle w:val="Compact"/>
              <w:jc w:val="left"/>
            </w:pPr>
            <w:r>
              <w:t xml:space="preserve">SOC 2 Type II (reports via Trust Center under mutual NDA); HIPAA support with BAA on Enterprise plans; no ISO 27001 certification found</w:t>
            </w:r>
          </w:p>
        </w:tc>
        <w:tc>
          <w:tcPr/>
          <w:p>
            <w:pPr>
              <w:pStyle w:val="Compact"/>
              <w:jc w:val="left"/>
            </w:pPr>
            <w:r>
              <w:t xml:space="preserve">Verified fact</w:t>
            </w:r>
          </w:p>
        </w:tc>
        <w:tc>
          <w:tcPr/>
          <w:p>
            <w:pPr>
              <w:pStyle w:val="Compact"/>
              <w:jc w:val="left"/>
            </w:pPr>
            <w:r>
              <w:t xml:space="preserve">A1-S041, A1-S125</w:t>
            </w:r>
          </w:p>
        </w:tc>
      </w:tr>
      <w:tr>
        <w:tc>
          <w:tcPr/>
          <w:p>
            <w:pPr>
              <w:pStyle w:val="Compact"/>
              <w:jc w:val="left"/>
            </w:pPr>
            <w:r>
              <w:t xml:space="preserve">GDPR / residency</w:t>
            </w:r>
          </w:p>
        </w:tc>
        <w:tc>
          <w:tcPr/>
          <w:p>
            <w:pPr>
              <w:pStyle w:val="Compact"/>
              <w:jc w:val="left"/>
            </w:pPr>
            <w:r>
              <w:t xml:space="preserve">US or EU data plane chosen at organisation creation and not changeable; DPA states EU storage and processing of data plane for Pro customers electing EU; control plane holds hashed keys and metadata</w:t>
            </w:r>
          </w:p>
        </w:tc>
        <w:tc>
          <w:tcPr/>
          <w:p>
            <w:pPr>
              <w:pStyle w:val="Compact"/>
              <w:jc w:val="left"/>
            </w:pPr>
            <w:r>
              <w:t xml:space="preserve">Verified fact</w:t>
            </w:r>
          </w:p>
        </w:tc>
        <w:tc>
          <w:tcPr/>
          <w:p>
            <w:pPr>
              <w:pStyle w:val="Compact"/>
              <w:jc w:val="left"/>
            </w:pPr>
            <w:r>
              <w:t xml:space="preserve">A1-S042</w:t>
            </w:r>
          </w:p>
        </w:tc>
      </w:tr>
      <w:tr>
        <w:tc>
          <w:tcPr/>
          <w:p>
            <w:pPr>
              <w:pStyle w:val="Compact"/>
              <w:jc w:val="left"/>
            </w:pPr>
            <w:r>
              <w:t xml:space="preserve">Security features</w:t>
            </w:r>
          </w:p>
        </w:tc>
        <w:tc>
          <w:tcPr/>
          <w:p>
            <w:pPr>
              <w:pStyle w:val="Compact"/>
              <w:jc w:val="left"/>
            </w:pPr>
            <w:r>
              <w:t xml:space="preserve">AES-256 at rest, TLS 1.2 in transit, API keys stored as one-way hashes; customer-managed KMS keys and private networking in hybrid</w:t>
            </w:r>
          </w:p>
        </w:tc>
        <w:tc>
          <w:tcPr/>
          <w:p>
            <w:pPr>
              <w:pStyle w:val="Compact"/>
              <w:jc w:val="left"/>
            </w:pPr>
            <w:r>
              <w:t xml:space="preserve">Verified fact</w:t>
            </w:r>
          </w:p>
        </w:tc>
        <w:tc>
          <w:tcPr/>
          <w:p>
            <w:pPr>
              <w:pStyle w:val="Compact"/>
              <w:jc w:val="left"/>
            </w:pPr>
            <w:r>
              <w:t xml:space="preserve">A1-S041</w:t>
            </w:r>
          </w:p>
        </w:tc>
      </w:tr>
      <w:tr>
        <w:tc>
          <w:tcPr/>
          <w:p>
            <w:pPr>
              <w:pStyle w:val="Compact"/>
              <w:jc w:val="left"/>
            </w:pPr>
            <w:r>
              <w:t xml:space="preserve">Access controls</w:t>
            </w:r>
          </w:p>
        </w:tc>
        <w:tc>
          <w:tcPr/>
          <w:p>
            <w:pPr>
              <w:pStyle w:val="Compact"/>
              <w:jc w:val="left"/>
            </w:pPr>
            <w:r>
              <w:t xml:space="preserve">Pro: more flexible permission roles; Enterprise: RBAC, deployment approvals, retention controls</w:t>
            </w:r>
          </w:p>
        </w:tc>
        <w:tc>
          <w:tcPr/>
          <w:p>
            <w:pPr>
              <w:pStyle w:val="Compact"/>
              <w:jc w:val="left"/>
            </w:pPr>
            <w:r>
              <w:t xml:space="preserve">Verified fact</w:t>
            </w:r>
          </w:p>
        </w:tc>
        <w:tc>
          <w:tcPr/>
          <w:p>
            <w:pPr>
              <w:pStyle w:val="Compact"/>
              <w:jc w:val="left"/>
            </w:pPr>
            <w:r>
              <w:t xml:space="preserve">A1-S040</w:t>
            </w:r>
          </w:p>
        </w:tc>
      </w:tr>
      <w:tr>
        <w:tc>
          <w:tcPr/>
          <w:p>
            <w:pPr>
              <w:pStyle w:val="Compact"/>
              <w:jc w:val="left"/>
            </w:pPr>
            <w:r>
              <w:t xml:space="preserve">Enterprise support</w:t>
            </w:r>
          </w:p>
        </w:tc>
        <w:tc>
          <w:tcPr/>
          <w:p>
            <w:pPr>
              <w:pStyle w:val="Compact"/>
              <w:jc w:val="left"/>
            </w:pPr>
            <w:r>
              <w:t xml:space="preserve">Enterprise: custom pricing, dedicated support</w:t>
            </w:r>
          </w:p>
        </w:tc>
        <w:tc>
          <w:tcPr/>
          <w:p>
            <w:pPr>
              <w:pStyle w:val="Compact"/>
              <w:jc w:val="left"/>
            </w:pPr>
            <w:r>
              <w:t xml:space="preserve">Verified fact</w:t>
            </w:r>
          </w:p>
        </w:tc>
        <w:tc>
          <w:tcPr/>
          <w:p>
            <w:pPr>
              <w:pStyle w:val="Compact"/>
              <w:jc w:val="left"/>
            </w:pPr>
            <w:r>
              <w:t xml:space="preserve">A1-S040</w:t>
            </w:r>
          </w:p>
        </w:tc>
      </w:tr>
      <w:tr>
        <w:tc>
          <w:tcPr/>
          <w:p>
            <w:pPr>
              <w:pStyle w:val="Compact"/>
              <w:jc w:val="left"/>
            </w:pPr>
            <w:r>
              <w:t xml:space="preserve">Pricing</w:t>
            </w:r>
          </w:p>
        </w:tc>
        <w:tc>
          <w:tcPr/>
          <w:p>
            <w:pPr>
              <w:pStyle w:val="Compact"/>
              <w:jc w:val="left"/>
            </w:pPr>
            <w:r>
              <w:t xml:space="preserve">Starter free (usage-based, no platform fee); Pro US$249/month incl. 5 GB processed data (+US$3/GB) and 50k scores (+US$1.50 per 1k), 30-day retention; Enterprise custom</w:t>
            </w:r>
          </w:p>
        </w:tc>
        <w:tc>
          <w:tcPr/>
          <w:p>
            <w:pPr>
              <w:pStyle w:val="Compact"/>
              <w:jc w:val="left"/>
            </w:pPr>
            <w:r>
              <w:t xml:space="preserve">Verified fact</w:t>
            </w:r>
          </w:p>
        </w:tc>
        <w:tc>
          <w:tcPr/>
          <w:p>
            <w:pPr>
              <w:pStyle w:val="Compact"/>
              <w:jc w:val="left"/>
            </w:pPr>
            <w:r>
              <w:t xml:space="preserve">A1-S040</w:t>
            </w:r>
          </w:p>
        </w:tc>
      </w:tr>
      <w:tr>
        <w:tc>
          <w:tcPr/>
          <w:p>
            <w:pPr>
              <w:pStyle w:val="Compact"/>
              <w:jc w:val="left"/>
            </w:pPr>
            <w:r>
              <w:t xml:space="preserve">Infrastructure cost</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Ecosystem</w:t>
            </w:r>
          </w:p>
        </w:tc>
        <w:tc>
          <w:tcPr/>
          <w:p>
            <w:pPr>
              <w:pStyle w:val="Compact"/>
              <w:jc w:val="left"/>
            </w:pPr>
            <w:r>
              <w:t xml:space="preserve">OTel ingest from any framework; integrations listed for Cloudflare Agents, LiveKit Agents, Claude Code (OTel)</w:t>
            </w:r>
          </w:p>
        </w:tc>
        <w:tc>
          <w:tcPr/>
          <w:p>
            <w:pPr>
              <w:pStyle w:val="Compact"/>
              <w:jc w:val="left"/>
            </w:pPr>
            <w:r>
              <w:t xml:space="preserve">Verified fact</w:t>
            </w:r>
          </w:p>
        </w:tc>
        <w:tc>
          <w:tcPr/>
          <w:p>
            <w:pPr>
              <w:pStyle w:val="Compact"/>
              <w:jc w:val="left"/>
            </w:pPr>
            <w:r>
              <w:t xml:space="preserve">A1-S042</w:t>
            </w:r>
          </w:p>
        </w:tc>
      </w:tr>
      <w:tr>
        <w:tc>
          <w:tcPr/>
          <w:p>
            <w:pPr>
              <w:pStyle w:val="Compact"/>
              <w:jc w:val="left"/>
            </w:pPr>
            <w:r>
              <w:t xml:space="preserve">Adoption signals</w:t>
            </w:r>
          </w:p>
        </w:tc>
        <w:tc>
          <w:tcPr/>
          <w:p>
            <w:pPr>
              <w:pStyle w:val="Compact"/>
              <w:jc w:val="left"/>
            </w:pPr>
            <w:r>
              <w:t xml:space="preserve">Seed US$5.1M (Greylock), Series A US$36M (Oct 2024), Series B US$80M led by ICONIQ (Feb 2026)</w:t>
            </w:r>
          </w:p>
        </w:tc>
        <w:tc>
          <w:tcPr/>
          <w:p>
            <w:pPr>
              <w:pStyle w:val="Compact"/>
              <w:jc w:val="left"/>
            </w:pPr>
            <w:r>
              <w:t xml:space="preserve">Verified fact</w:t>
            </w:r>
          </w:p>
        </w:tc>
        <w:tc>
          <w:tcPr/>
          <w:p>
            <w:pPr>
              <w:pStyle w:val="Compact"/>
              <w:jc w:val="left"/>
            </w:pPr>
            <w:r>
              <w:t xml:space="preserve">A1-S028, V1-S017</w:t>
            </w:r>
          </w:p>
        </w:tc>
      </w:tr>
      <w:tr>
        <w:tc>
          <w:tcPr/>
          <w:p>
            <w:pPr>
              <w:pStyle w:val="Compact"/>
              <w:jc w:val="left"/>
            </w:pPr>
            <w:r>
              <w:t xml:space="preserve">Maturity</w:t>
            </w:r>
          </w:p>
        </w:tc>
        <w:tc>
          <w:tcPr/>
          <w:p>
            <w:pPr>
              <w:pStyle w:val="Compact"/>
              <w:jc w:val="left"/>
            </w:pPr>
            <w:r>
              <w:t xml:space="preserve">First braintrust SDK on PyPI 24 May 2023; 290 releases to 7 October 2026</w:t>
            </w:r>
          </w:p>
        </w:tc>
        <w:tc>
          <w:tcPr/>
          <w:p>
            <w:pPr>
              <w:pStyle w:val="Compact"/>
              <w:jc w:val="left"/>
            </w:pPr>
            <w:r>
              <w:t xml:space="preserve">Verified fact</w:t>
            </w:r>
          </w:p>
        </w:tc>
        <w:tc>
          <w:tcPr/>
          <w:p>
            <w:pPr>
              <w:pStyle w:val="Compact"/>
              <w:jc w:val="left"/>
            </w:pPr>
            <w:r>
              <w:t xml:space="preserve">A1-S003</w:t>
            </w:r>
          </w:p>
        </w:tc>
      </w:tr>
      <w:tr>
        <w:tc>
          <w:tcPr/>
          <w:p>
            <w:pPr>
              <w:pStyle w:val="Compact"/>
              <w:jc w:val="left"/>
            </w:pPr>
            <w:r>
              <w:t xml:space="preserve">Deployment</w:t>
            </w:r>
          </w:p>
        </w:tc>
        <w:tc>
          <w:tcPr/>
          <w:p>
            <w:pPr>
              <w:pStyle w:val="Compact"/>
              <w:jc w:val="left"/>
            </w:pPr>
            <w:r>
              <w:t xml:space="preserve">saas: Yes; managed_cloud: Not publicly verified; vpc_byoc: Yes (hybrid data plane in customer cloud); private_cloud: Yes; self_hosted: Yes (Enterprise); on_prem: Yes (air-gapping mentioned by vendor)</w:t>
            </w:r>
          </w:p>
        </w:tc>
        <w:tc>
          <w:tcPr/>
          <w:p>
            <w:pPr>
              <w:pStyle w:val="Compact"/>
            </w:pPr>
          </w:p>
        </w:tc>
        <w:tc>
          <w:tcPr/>
          <w:p>
            <w:pPr>
              <w:pStyle w:val="Compact"/>
            </w:pPr>
          </w:p>
        </w:tc>
      </w:tr>
    </w:tbl>
    <w:bookmarkEnd w:id="182"/>
    <w:bookmarkStart w:id="196" w:name="X2a709d337f9071e752836e8d34c84704b58db89"/>
    <w:p>
      <w:pPr>
        <w:pStyle w:val="Heading2"/>
      </w:pPr>
      <w:r>
        <w:t xml:space="preserve">Datadog Agent Observability (documented under the LLM Observability URL path) (</w:t>
      </w:r>
      <w:r>
        <w:rPr>
          <w:rStyle w:val="VerbatimChar"/>
        </w:rPr>
        <w:t xml:space="preserve">L9-datadog-agent-observability</w:t>
      </w:r>
      <w:r>
        <w:t xml:space="preserve">)</w:t>
      </w:r>
    </w:p>
    <w:p>
      <w:pPr>
        <w:pStyle w:val="FirstParagraph"/>
      </w:pPr>
      <w:r>
        <w:rPr>
          <w:bCs/>
          <w:b/>
        </w:rPr>
        <w:t xml:space="preserve">Tier:</w:t>
      </w:r>
      <w:r>
        <w:t xml:space="preserve"> </w:t>
      </w:r>
      <w:r>
        <w:t xml:space="preserve">Tactical ·</w:t>
      </w:r>
      <w:r>
        <w:t xml:space="preserve"> </w:t>
      </w:r>
      <w:r>
        <w:rPr>
          <w:bCs/>
          <w:b/>
        </w:rPr>
        <w:t xml:space="preserve">Flags:</w:t>
      </w:r>
      <w:r>
        <w:t xml:space="preserve"> </w:t>
      </w:r>
      <w:r>
        <w:t xml:space="preserve">Renamed ·</w:t>
      </w:r>
      <w:r>
        <w:t xml:space="preserve"> </w:t>
      </w:r>
      <w:r>
        <w:rPr>
          <w:bCs/>
          <w:b/>
        </w:rPr>
        <w:t xml:space="preserve">Original graphic label:</w:t>
      </w:r>
      <w:r>
        <w:t xml:space="preserve"> </w:t>
      </w:r>
      <w:r>
        <w:t xml:space="preserve">not in graphic</w:t>
      </w:r>
    </w:p>
    <w:p>
      <w:pPr>
        <w:pStyle w:val="BodyText"/>
      </w:pPr>
      <w:r>
        <w:rPr>
          <w:iCs/>
          <w:i/>
        </w:rPr>
        <w:t xml:space="preserve">Rationale:</w:t>
      </w:r>
      <w:r>
        <w:t xml:space="preserve"> </w:t>
      </w:r>
      <w:r>
        <w:t xml:space="preserve">Right answer for production monitoring in Datadog estates, with strong company-level certifications; SaaS-only and per-span metering make it a complement to, not the home of, evaluation evidence</w:t>
      </w:r>
      <w:r>
        <w:t xml:space="preserve"> </w:t>
      </w:r>
      <w:r>
        <w:rPr>
          <w:rStyle w:val="ClaimLabel"/>
        </w:rPr>
        <w:t xml:space="preserve">AJ</w:t>
      </w:r>
      <w:r>
        <w:t xml:space="preserve">.</w:t>
      </w:r>
    </w:p>
    <w:tbl>
      <w:tblPr>
        <w:tblStyle w:val="Table"/>
        <w:tblW w:type="pct" w:w="5000"/>
        <w:tblLook w:firstRow="1" w:lastRow="0" w:firstColumn="0" w:lastColumn="0" w:noHBand="0" w:noVBand="0" w:val="0020"/>
        <w:jc w:val="start"/>
      </w:tblPr>
      <w:tblGrid>
        <w:gridCol w:w="1545"/>
        <w:gridCol w:w="579"/>
        <w:gridCol w:w="5795"/>
      </w:tblGrid>
      <w:tr>
        <w:trPr>
          <w:tblHeader w:val="true"/>
        </w:trPr>
        <w:tc>
          <w:tcPr/>
          <w:p>
            <w:pPr>
              <w:pStyle w:val="Compact"/>
              <w:jc w:val="left"/>
            </w:pPr>
            <w:r>
              <w:t xml:space="preserve">Criterion</w:t>
            </w:r>
          </w:p>
        </w:tc>
        <w:tc>
          <w:tcPr/>
          <w:p>
            <w:pPr>
              <w:pStyle w:val="Compact"/>
              <w:jc w:val="right"/>
            </w:pPr>
            <w:r>
              <w:t xml:space="preserve">Score</w:t>
            </w:r>
          </w:p>
        </w:tc>
        <w:tc>
          <w:tcPr/>
          <w:p>
            <w:pPr>
              <w:pStyle w:val="Compact"/>
              <w:jc w:val="left"/>
            </w:pPr>
            <w:r>
              <w:t xml:space="preserve">Rationale</w:t>
            </w:r>
          </w:p>
        </w:tc>
      </w:tr>
      <w:tr>
        <w:tc>
          <w:tcPr/>
          <w:p>
            <w:pPr>
              <w:pStyle w:val="Compact"/>
              <w:jc w:val="left"/>
            </w:pPr>
            <w:r>
              <w:t xml:space="preserve">Technical</w:t>
            </w:r>
          </w:p>
        </w:tc>
        <w:tc>
          <w:tcPr/>
          <w:p>
            <w:pPr>
              <w:pStyle w:val="Compact"/>
              <w:jc w:val="right"/>
            </w:pPr>
            <w:r>
              <w:t xml:space="preserve">3</w:t>
            </w:r>
          </w:p>
        </w:tc>
        <w:tc>
          <w:tcPr/>
          <w:p>
            <w:pPr>
              <w:pStyle w:val="Compact"/>
              <w:jc w:val="left"/>
            </w:pPr>
            <w:r>
              <w:t xml:space="preserve">Strong production tracing, cost, redaction and online evals; offline experiments and CI evaluation not evidenced.</w:t>
            </w:r>
          </w:p>
        </w:tc>
      </w:tr>
      <w:tr>
        <w:tc>
          <w:tcPr/>
          <w:p>
            <w:pPr>
              <w:pStyle w:val="Compact"/>
              <w:jc w:val="left"/>
            </w:pPr>
            <w:r>
              <w:t xml:space="preserve">Enterprise readiness</w:t>
            </w:r>
          </w:p>
        </w:tc>
        <w:tc>
          <w:tcPr/>
          <w:p>
            <w:pPr>
              <w:pStyle w:val="Compact"/>
              <w:jc w:val="right"/>
            </w:pPr>
            <w:r>
              <w:t xml:space="preserve">4</w:t>
            </w:r>
          </w:p>
        </w:tc>
        <w:tc>
          <w:tcPr/>
          <w:p>
            <w:pPr>
              <w:pStyle w:val="Compact"/>
              <w:jc w:val="left"/>
            </w:pPr>
            <w:r>
              <w:t xml:space="preserve">SAML SSO, RBAC with default and custom roles, a Roles API for managing roles and permissions, and Audit Trail (B-L9-S003, B-L9-S005): all three controls plus an admin API, so 4 under rule 7 (CP2 Q2); SLA and support terms not captured.</w:t>
            </w:r>
          </w:p>
        </w:tc>
      </w:tr>
      <w:tr>
        <w:tc>
          <w:tcPr/>
          <w:p>
            <w:pPr>
              <w:pStyle w:val="Compact"/>
              <w:jc w:val="left"/>
            </w:pPr>
            <w:r>
              <w:t xml:space="preserve">Security and compliance</w:t>
            </w:r>
          </w:p>
        </w:tc>
        <w:tc>
          <w:tcPr/>
          <w:p>
            <w:pPr>
              <w:pStyle w:val="Compact"/>
              <w:jc w:val="right"/>
            </w:pPr>
            <w:r>
              <w:t xml:space="preserve">4</w:t>
            </w:r>
          </w:p>
        </w:tc>
        <w:tc>
          <w:tcPr/>
          <w:p>
            <w:pPr>
              <w:pStyle w:val="Compact"/>
              <w:jc w:val="left"/>
            </w:pPr>
            <w:r>
              <w:t xml:space="preserve">SOC 2 Type 2, ISO 27001, ISO 42001, HIPAA and FedRAMP High at company level (B-L9-S001); module-level scope not stated, so one point below the anchor under the cross-layer scope rule applied to Gemini, Cohere and Mistral.</w:t>
            </w:r>
          </w:p>
        </w:tc>
      </w:tr>
      <w:tr>
        <w:tc>
          <w:tcPr/>
          <w:p>
            <w:pPr>
              <w:pStyle w:val="Compact"/>
              <w:jc w:val="left"/>
            </w:pPr>
            <w:r>
              <w:t xml:space="preserve">Deployment flexibility</w:t>
            </w:r>
          </w:p>
        </w:tc>
        <w:tc>
          <w:tcPr/>
          <w:p>
            <w:pPr>
              <w:pStyle w:val="Compact"/>
              <w:jc w:val="right"/>
            </w:pPr>
            <w:r>
              <w:t xml:space="preserve">2</w:t>
            </w:r>
          </w:p>
        </w:tc>
        <w:tc>
          <w:tcPr/>
          <w:p>
            <w:pPr>
              <w:pStyle w:val="Compact"/>
              <w:jc w:val="left"/>
            </w:pPr>
            <w:r>
              <w:t xml:space="preserve">SaaS only, though across isolated regional sites including EU1 (Germany).</w:t>
            </w:r>
          </w:p>
        </w:tc>
      </w:tr>
      <w:tr>
        <w:tc>
          <w:tcPr/>
          <w:p>
            <w:pPr>
              <w:pStyle w:val="Compact"/>
              <w:jc w:val="left"/>
            </w:pPr>
            <w:r>
              <w:t xml:space="preserve">Ecosystem</w:t>
            </w:r>
          </w:p>
        </w:tc>
        <w:tc>
          <w:tcPr/>
          <w:p>
            <w:pPr>
              <w:pStyle w:val="Compact"/>
              <w:jc w:val="right"/>
            </w:pPr>
            <w:r>
              <w:t xml:space="preserve">4</w:t>
            </w:r>
          </w:p>
        </w:tc>
        <w:tc>
          <w:tcPr/>
          <w:p>
            <w:pPr>
              <w:pStyle w:val="Compact"/>
              <w:jc w:val="left"/>
            </w:pPr>
            <w:r>
              <w:t xml:space="preserve">OTel GenAI 1.37+ and OpenInference ingest; native APM integration.</w:t>
            </w:r>
          </w:p>
        </w:tc>
      </w:tr>
      <w:tr>
        <w:tc>
          <w:tcPr/>
          <w:p>
            <w:pPr>
              <w:pStyle w:val="Compact"/>
              <w:jc w:val="left"/>
            </w:pPr>
            <w:r>
              <w:t xml:space="preserve">Reliability and maturity</w:t>
            </w:r>
          </w:p>
        </w:tc>
        <w:tc>
          <w:tcPr/>
          <w:p>
            <w:pPr>
              <w:pStyle w:val="Compact"/>
              <w:jc w:val="right"/>
            </w:pPr>
            <w:r>
              <w:t xml:space="preserve">3</w:t>
            </w:r>
          </w:p>
        </w:tc>
        <w:tc>
          <w:tcPr/>
          <w:p>
            <w:pPr>
              <w:pStyle w:val="Compact"/>
              <w:jc w:val="left"/>
            </w:pPr>
            <w:r>
              <w:t xml:space="preserve">Established platform, but the module’s maturity and rename date are not verified.</w:t>
            </w:r>
          </w:p>
        </w:tc>
      </w:tr>
      <w:tr>
        <w:tc>
          <w:tcPr/>
          <w:p>
            <w:pPr>
              <w:pStyle w:val="Compact"/>
              <w:jc w:val="left"/>
            </w:pPr>
            <w:r>
              <w:t xml:space="preserve">Cost / TCO</w:t>
            </w:r>
          </w:p>
        </w:tc>
        <w:tc>
          <w:tcPr/>
          <w:p>
            <w:pPr>
              <w:pStyle w:val="Compact"/>
              <w:jc w:val="right"/>
            </w:pPr>
            <w:r>
              <w:t xml:space="preserve">2</w:t>
            </w:r>
          </w:p>
        </w:tc>
        <w:tc>
          <w:tcPr/>
          <w:p>
            <w:pPr>
              <w:pStyle w:val="Compact"/>
              <w:jc w:val="left"/>
            </w:pPr>
            <w:r>
              <w:t xml:space="preserve">Per-span metering on top of the Datadog platform; rates not captured in the fact base.</w:t>
            </w:r>
          </w:p>
        </w:tc>
      </w:tr>
      <w:tr>
        <w:tc>
          <w:tcPr/>
          <w:p>
            <w:pPr>
              <w:pStyle w:val="Compact"/>
              <w:jc w:val="left"/>
            </w:pPr>
            <w:r>
              <w:t xml:space="preserve">Lock-in / portability</w:t>
            </w:r>
          </w:p>
        </w:tc>
        <w:tc>
          <w:tcPr/>
          <w:p>
            <w:pPr>
              <w:pStyle w:val="Compact"/>
              <w:jc w:val="right"/>
            </w:pPr>
            <w:r>
              <w:t xml:space="preserve">3</w:t>
            </w:r>
          </w:p>
        </w:tc>
        <w:tc>
          <w:tcPr/>
          <w:p>
            <w:pPr>
              <w:pStyle w:val="Compact"/>
              <w:jc w:val="left"/>
            </w:pPr>
            <w:r>
              <w:t xml:space="preserve">Proprietary SaaS on standard ingest interfaces; export not verified.</w:t>
            </w:r>
          </w:p>
        </w:tc>
      </w:tr>
      <w:tr>
        <w:tc>
          <w:tcPr/>
          <w:p>
            <w:pPr>
              <w:pStyle w:val="Compact"/>
              <w:jc w:val="left"/>
            </w:pPr>
            <w:r>
              <w:rPr>
                <w:bCs/>
                <w:b/>
              </w:rPr>
              <w:t xml:space="preserve">Total (generic / FS)</w:t>
            </w:r>
          </w:p>
        </w:tc>
        <w:tc>
          <w:tcPr/>
          <w:p>
            <w:pPr>
              <w:pStyle w:val="Compact"/>
              <w:jc w:val="right"/>
            </w:pPr>
            <w:r>
              <w:rPr>
                <w:bCs/>
                <w:b/>
              </w:rPr>
              <w:t xml:space="preserve">3.15 / 3.20</w:t>
            </w:r>
          </w:p>
        </w:tc>
        <w:tc>
          <w:tcPr/>
          <w:p>
            <w:pPr>
              <w:pStyle w:val="Compact"/>
            </w:pPr>
          </w:p>
        </w:tc>
      </w:tr>
    </w:tbl>
    <w:p>
      <w:pPr>
        <w:pStyle w:val="BodyText"/>
      </w:pPr>
      <w:r>
        <w:rPr>
          <w:iCs/>
          <w:i/>
        </w:rPr>
        <w:t xml:space="preserve">Evidence rules applied:</w:t>
      </w:r>
      <w:r>
        <w:t xml:space="preserve"> </w:t>
      </w:r>
      <w:r>
        <w:t xml:space="preserve">Rule 7 (CP2 Q2) checked at CP2 rework (8 October 2026): enterprise_readiness 4 kept, re-evidenced with the Roles API (B-L9-S003); rule 8 (CP2 Q4) scope rule confirmed for security_compliance 4</w:t>
      </w:r>
    </w:p>
    <w:p>
      <w:pPr>
        <w:pStyle w:val="BodyText"/>
      </w:pPr>
      <w:r>
        <w:rPr>
          <w:bCs/>
          <w:b/>
        </w:rPr>
        <w:t xml:space="preserve">Capabilities.</w:t>
      </w:r>
      <w:r>
        <w:t xml:space="preserve"> </w:t>
      </w:r>
      <w:r>
        <w:t xml:space="preserve">Datadog module (documented as Agent Observability under the LLM Observability path) that traces each agent step and LLM call with latency, token usage, cost and errors; scans and redacts sensitive data; identifies prompt injection; runs quality, privacy and safety evaluations; and offers automated Insights</w:t>
      </w:r>
      <w:r>
        <w:t xml:space="preserve"> </w:t>
      </w:r>
      <w:r>
        <w:rPr>
          <w:rStyle w:val="ClaimLabel"/>
        </w:rPr>
        <w:t xml:space="preserve">VF</w:t>
      </w:r>
      <w:r>
        <w:rPr>
          <w:rStyle w:val="FootnoteReference"/>
        </w:rPr>
        <w:footnoteReference w:id="183"/>
      </w:r>
      <w:r>
        <w:t xml:space="preserve">.</w:t>
      </w:r>
    </w:p>
    <w:p>
      <w:pPr>
        <w:pStyle w:val="BodyText"/>
      </w:pPr>
      <w:r>
        <w:rPr>
          <w:bCs/>
          <w:b/>
        </w:rPr>
        <w:t xml:space="preserve">Strengths</w:t>
      </w:r>
    </w:p>
    <w:p>
      <w:pPr>
        <w:numPr>
          <w:ilvl w:val="0"/>
          <w:numId w:val="1041"/>
        </w:numPr>
        <w:pStyle w:val="Compact"/>
      </w:pPr>
      <w:r>
        <w:t xml:space="preserve">Correlates LLM traces with APM and infrastructure telemetry already in Datadog</w:t>
      </w:r>
      <w:r>
        <w:t xml:space="preserve"> </w:t>
      </w:r>
      <w:r>
        <w:rPr>
          <w:rStyle w:val="ClaimLabel"/>
        </w:rPr>
        <w:t xml:space="preserve">VF</w:t>
      </w:r>
      <w:r>
        <w:rPr>
          <w:rStyle w:val="FootnoteReference"/>
        </w:rPr>
        <w:footnoteReference w:id="186"/>
      </w:r>
    </w:p>
    <w:p>
      <w:pPr>
        <w:numPr>
          <w:ilvl w:val="0"/>
          <w:numId w:val="1041"/>
        </w:numPr>
        <w:pStyle w:val="Compact"/>
      </w:pPr>
      <w:r>
        <w:t xml:space="preserve">Accepts OTel traces using OTel 1.37+ GenAI conventions or OpenInference</w:t>
      </w:r>
      <w:r>
        <w:t xml:space="preserve"> </w:t>
      </w:r>
      <w:r>
        <w:rPr>
          <w:rStyle w:val="ClaimLabel"/>
        </w:rPr>
        <w:t xml:space="preserve">VF</w:t>
      </w:r>
      <w:r>
        <w:rPr>
          <w:rStyle w:val="FootnoteReference"/>
        </w:rPr>
        <w:footnoteReference w:id="187"/>
      </w:r>
    </w:p>
    <w:p>
      <w:pPr>
        <w:numPr>
          <w:ilvl w:val="0"/>
          <w:numId w:val="1041"/>
        </w:numPr>
        <w:pStyle w:val="Compact"/>
      </w:pPr>
      <w:r>
        <w:t xml:space="preserve">Built-in sensitive-data scanning and redaction in traces</w:t>
      </w:r>
      <w:r>
        <w:t xml:space="preserve"> </w:t>
      </w:r>
      <w:r>
        <w:rPr>
          <w:rStyle w:val="ClaimLabel"/>
        </w:rPr>
        <w:t xml:space="preserve">VF</w:t>
      </w:r>
      <w:r>
        <w:rPr>
          <w:rStyle w:val="FootnoteReference"/>
        </w:rPr>
        <w:footnoteReference w:id="188"/>
      </w:r>
    </w:p>
    <w:p>
      <w:pPr>
        <w:numPr>
          <w:ilvl w:val="0"/>
          <w:numId w:val="1041"/>
        </w:numPr>
        <w:pStyle w:val="Compact"/>
      </w:pPr>
      <w:r>
        <w:t xml:space="preserve">Datadog Trust Center lists SOC 2 Type 2, ISO/IEC 27001, 27017, 27018, 27701 and 42001, HIPAA and FedRAMP High; EU1 site in Germany; SAML SSO, RBAC with custom roles and an Audit Trail</w:t>
      </w:r>
      <w:r>
        <w:t xml:space="preserve"> </w:t>
      </w:r>
      <w:r>
        <w:rPr>
          <w:rStyle w:val="ClaimLabel"/>
        </w:rPr>
        <w:t xml:space="preserve">VF</w:t>
      </w:r>
      <w:r>
        <w:rPr>
          <w:rStyle w:val="FootnoteReference"/>
        </w:rPr>
        <w:footnoteReference w:id="189"/>
      </w:r>
    </w:p>
    <w:p>
      <w:pPr>
        <w:pStyle w:val="FirstParagraph"/>
      </w:pPr>
      <w:r>
        <w:rPr>
          <w:bCs/>
          <w:b/>
        </w:rPr>
        <w:t xml:space="preserve">Limitations and risks</w:t>
      </w:r>
    </w:p>
    <w:p>
      <w:pPr>
        <w:numPr>
          <w:ilvl w:val="0"/>
          <w:numId w:val="1042"/>
        </w:numPr>
        <w:pStyle w:val="Compact"/>
      </w:pPr>
      <w:r>
        <w:t xml:space="preserve">SaaS only; self-hosted and VPC deployment not publicly verified</w:t>
      </w:r>
      <w:r>
        <w:t xml:space="preserve"> </w:t>
      </w:r>
      <w:r>
        <w:rPr>
          <w:rStyle w:val="ClaimLabel"/>
        </w:rPr>
        <w:t xml:space="preserve">NPV</w:t>
      </w:r>
    </w:p>
    <w:p>
      <w:pPr>
        <w:numPr>
          <w:ilvl w:val="0"/>
          <w:numId w:val="1042"/>
        </w:numPr>
        <w:pStyle w:val="Compact"/>
      </w:pPr>
      <w:r>
        <w:t xml:space="preserve">Requires the Datadog platform</w:t>
      </w:r>
      <w:r>
        <w:t xml:space="preserve"> </w:t>
      </w:r>
      <w:r>
        <w:rPr>
          <w:rStyle w:val="ClaimLabel"/>
        </w:rPr>
        <w:t xml:space="preserve">VF</w:t>
      </w:r>
      <w:r>
        <w:rPr>
          <w:rStyle w:val="FootnoteReference"/>
        </w:rPr>
        <w:footnoteReference w:id="194"/>
      </w:r>
    </w:p>
    <w:p>
      <w:pPr>
        <w:numPr>
          <w:ilvl w:val="0"/>
          <w:numId w:val="1042"/>
        </w:numPr>
        <w:pStyle w:val="Compact"/>
      </w:pPr>
      <w:r>
        <w:t xml:space="preserve">Metered per LLM span; rates are on the Datadog pricing page and were not captured</w:t>
      </w:r>
      <w:r>
        <w:t xml:space="preserve"> </w:t>
      </w:r>
      <w:r>
        <w:rPr>
          <w:rStyle w:val="ClaimLabel"/>
        </w:rPr>
        <w:t xml:space="preserve">VF</w:t>
      </w:r>
      <w:r>
        <w:rPr>
          <w:rStyle w:val="FootnoteReference"/>
        </w:rPr>
        <w:footnoteReference w:id="195"/>
      </w:r>
    </w:p>
    <w:p>
      <w:pPr>
        <w:numPr>
          <w:ilvl w:val="0"/>
          <w:numId w:val="1042"/>
        </w:numPr>
        <w:pStyle w:val="Compact"/>
      </w:pPr>
      <w:r>
        <w:t xml:space="preserve">Whether the Trust Center listings cover this module specifically is not stated</w:t>
      </w:r>
      <w:r>
        <w:t xml:space="preserve"> </w:t>
      </w:r>
      <w:r>
        <w:rPr>
          <w:rStyle w:val="ClaimLabel"/>
        </w:rPr>
        <w:t xml:space="preserve">NPV</w:t>
      </w:r>
    </w:p>
    <w:p>
      <w:pPr>
        <w:numPr>
          <w:ilvl w:val="0"/>
          <w:numId w:val="1042"/>
        </w:numPr>
        <w:pStyle w:val="Compact"/>
      </w:pPr>
      <w:r>
        <w:t xml:space="preserve">Offline/CI evaluation features not documented in the fact base</w:t>
      </w:r>
      <w:r>
        <w:t xml:space="preserve"> </w:t>
      </w:r>
      <w:r>
        <w:rPr>
          <w:rStyle w:val="ClaimLabel"/>
        </w:rPr>
        <w:t xml:space="preserve">NPV</w:t>
      </w:r>
    </w:p>
    <w:p>
      <w:pPr>
        <w:pStyle w:val="FirstParagraph"/>
      </w:pPr>
      <w:r>
        <w:rPr>
          <w:bCs/>
          <w:b/>
        </w:rPr>
        <w:t xml:space="preserve">Choose when</w:t>
      </w:r>
    </w:p>
    <w:p>
      <w:pPr>
        <w:numPr>
          <w:ilvl w:val="0"/>
          <w:numId w:val="1043"/>
        </w:numPr>
        <w:pStyle w:val="Compact"/>
      </w:pPr>
      <w:r>
        <w:t xml:space="preserve">Datadog is the firm’s APM standard and production LLM monitoring should sit with on-call operations</w:t>
      </w:r>
      <w:r>
        <w:t xml:space="preserve"> </w:t>
      </w:r>
      <w:r>
        <w:rPr>
          <w:rStyle w:val="ClaimLabel"/>
        </w:rPr>
        <w:t xml:space="preserve">AJ</w:t>
      </w:r>
    </w:p>
    <w:p>
      <w:pPr>
        <w:numPr>
          <w:ilvl w:val="0"/>
          <w:numId w:val="1043"/>
        </w:numPr>
        <w:pStyle w:val="Compact"/>
      </w:pPr>
      <w:r>
        <w:t xml:space="preserve">You want sensitive-data redaction applied at the observability tier</w:t>
      </w:r>
      <w:r>
        <w:t xml:space="preserve"> </w:t>
      </w:r>
      <w:r>
        <w:rPr>
          <w:rStyle w:val="ClaimLabel"/>
        </w:rPr>
        <w:t xml:space="preserve">AJ</w:t>
      </w:r>
    </w:p>
    <w:p>
      <w:pPr>
        <w:pStyle w:val="FirstParagraph"/>
      </w:pPr>
      <w:r>
        <w:rPr>
          <w:bCs/>
          <w:b/>
        </w:rPr>
        <w:t xml:space="preserve">Avoid when</w:t>
      </w:r>
    </w:p>
    <w:p>
      <w:pPr>
        <w:numPr>
          <w:ilvl w:val="0"/>
          <w:numId w:val="1044"/>
        </w:numPr>
        <w:pStyle w:val="Compact"/>
      </w:pPr>
      <w:r>
        <w:t xml:space="preserve">You need self-hosting or air-gap for trace data</w:t>
      </w:r>
      <w:r>
        <w:t xml:space="preserve"> </w:t>
      </w:r>
      <w:r>
        <w:rPr>
          <w:rStyle w:val="ClaimLabel"/>
        </w:rPr>
        <w:t xml:space="preserve">AJ</w:t>
      </w:r>
    </w:p>
    <w:p>
      <w:pPr>
        <w:numPr>
          <w:ilvl w:val="0"/>
          <w:numId w:val="1044"/>
        </w:numPr>
        <w:pStyle w:val="Compact"/>
      </w:pPr>
      <w:r>
        <w:t xml:space="preserve">It would become the only evaluation tool; pair it with a CI eval harness</w:t>
      </w:r>
      <w:r>
        <w:t xml:space="preserve"> </w:t>
      </w:r>
      <w:r>
        <w:rPr>
          <w:rStyle w:val="ClaimLabel"/>
        </w:rPr>
        <w:t xml:space="preserve">AJ</w:t>
      </w:r>
    </w:p>
    <w:p>
      <w:pPr>
        <w:pStyle w:val="FirstParagraph"/>
      </w:pPr>
      <w:r>
        <w:rPr>
          <w:bCs/>
          <w:b/>
        </w:rPr>
        <w:t xml:space="preserve">Nearest competitors:</w:t>
      </w:r>
      <w:r>
        <w:t xml:space="preserve"> </w:t>
      </w:r>
      <w:r>
        <w:t xml:space="preserve">L9-arize-ax, L9-langsmith, L9-langfuse</w:t>
      </w:r>
    </w:p>
    <w:p>
      <w:pPr>
        <w:pStyle w:val="BodyText"/>
      </w:pPr>
      <w:r>
        <w:rPr>
          <w:bCs/>
          <w:b/>
        </w:rPr>
        <w:t xml:space="preserve">Regulated-FS note.</w:t>
      </w:r>
      <w:r>
        <w:t xml:space="preserve"> </w:t>
      </w:r>
      <w:r>
        <w:t xml:space="preserve">Pin the EU1 site at organisation creation (sites are isolated), turn on sensitive-data scanning before any client data flows, and confirm in the contract that LLM Observability is within the certified scope</w:t>
      </w:r>
      <w:r>
        <w:t xml:space="preserve"> </w:t>
      </w:r>
      <w:r>
        <w:rPr>
          <w:rStyle w:val="ClaimLabel"/>
        </w:rPr>
        <w:t xml:space="preserve">AJ</w:t>
      </w:r>
      <w:r>
        <w:t xml:space="preserve">.</w:t>
      </w:r>
    </w:p>
    <w:p>
      <w:pPr>
        <w:pStyle w:val="BodyText"/>
      </w:pPr>
      <w:r>
        <w:rPr>
          <w:bCs/>
          <w:b/>
        </w:rPr>
        <w:t xml:space="preserve">Facts (as of 2026-10-07)</w:t>
      </w:r>
    </w:p>
    <w:tbl>
      <w:tblPr>
        <w:tblStyle w:val="Table"/>
        <w:tblW w:type="pct" w:w="5000"/>
        <w:tblLook w:firstRow="1" w:lastRow="0" w:firstColumn="0" w:lastColumn="0" w:noHBand="0" w:noVBand="0" w:val="0020"/>
        <w:jc w:val="start"/>
      </w:tblPr>
      <w:tblGrid>
        <w:gridCol w:w="1485"/>
        <w:gridCol w:w="4290"/>
        <w:gridCol w:w="1320"/>
        <w:gridCol w:w="825"/>
      </w:tblGrid>
      <w:tr>
        <w:trPr>
          <w:tblHeader w:val="true"/>
        </w:trPr>
        <w:tc>
          <w:tcPr/>
          <w:p>
            <w:pPr>
              <w:pStyle w:val="Compact"/>
              <w:jc w:val="left"/>
            </w:pPr>
            <w:r>
              <w:t xml:space="preserve">Field</w:t>
            </w:r>
          </w:p>
        </w:tc>
        <w:tc>
          <w:tcPr/>
          <w:p>
            <w:pPr>
              <w:pStyle w:val="Compact"/>
              <w:jc w:val="left"/>
            </w:pPr>
            <w:r>
              <w:t xml:space="preserve">Value</w:t>
            </w:r>
          </w:p>
        </w:tc>
        <w:tc>
          <w:tcPr/>
          <w:p>
            <w:pPr>
              <w:pStyle w:val="Compact"/>
              <w:jc w:val="left"/>
            </w:pPr>
            <w:r>
              <w:t xml:space="preserve">Label</w:t>
            </w:r>
          </w:p>
        </w:tc>
        <w:tc>
          <w:tcPr/>
          <w:p>
            <w:pPr>
              <w:pStyle w:val="Compact"/>
              <w:jc w:val="left"/>
            </w:pPr>
            <w:r>
              <w:t xml:space="preserve">Sources</w:t>
            </w:r>
          </w:p>
        </w:tc>
      </w:tr>
      <w:tr>
        <w:tc>
          <w:tcPr/>
          <w:p>
            <w:pPr>
              <w:pStyle w:val="Compact"/>
              <w:jc w:val="left"/>
            </w:pPr>
            <w:r>
              <w:t xml:space="preserve">Company</w:t>
            </w:r>
          </w:p>
        </w:tc>
        <w:tc>
          <w:tcPr/>
          <w:p>
            <w:pPr>
              <w:pStyle w:val="Compact"/>
              <w:jc w:val="left"/>
            </w:pPr>
            <w:r>
              <w:t xml:space="preserve">Datadog, Inc.</w:t>
            </w:r>
          </w:p>
        </w:tc>
        <w:tc>
          <w:tcPr/>
          <w:p>
            <w:pPr>
              <w:pStyle w:val="Compact"/>
              <w:jc w:val="left"/>
            </w:pPr>
            <w:r>
              <w:t xml:space="preserve">Verified fact</w:t>
            </w:r>
          </w:p>
        </w:tc>
        <w:tc>
          <w:tcPr/>
          <w:p>
            <w:pPr>
              <w:pStyle w:val="Compact"/>
              <w:jc w:val="left"/>
            </w:pPr>
            <w:r>
              <w:t xml:space="preserve">A1-S097</w:t>
            </w:r>
          </w:p>
        </w:tc>
      </w:tr>
      <w:tr>
        <w:tc>
          <w:tcPr/>
          <w:p>
            <w:pPr>
              <w:pStyle w:val="Compact"/>
              <w:jc w:val="left"/>
            </w:pPr>
            <w:r>
              <w:t xml:space="preserve">Category</w:t>
            </w:r>
          </w:p>
        </w:tc>
        <w:tc>
          <w:tcPr/>
          <w:p>
            <w:pPr>
              <w:pStyle w:val="Compact"/>
              <w:jc w:val="left"/>
            </w:pPr>
            <w:r>
              <w:t xml:space="preserve">APM-vendor LLM/agent observability and evaluation module</w:t>
            </w:r>
          </w:p>
        </w:tc>
        <w:tc>
          <w:tcPr/>
          <w:p>
            <w:pPr>
              <w:pStyle w:val="Compact"/>
              <w:jc w:val="left"/>
            </w:pPr>
            <w:r>
              <w:t xml:space="preserve">Verified fact</w:t>
            </w:r>
          </w:p>
        </w:tc>
        <w:tc>
          <w:tcPr/>
          <w:p>
            <w:pPr>
              <w:pStyle w:val="Compact"/>
              <w:jc w:val="left"/>
            </w:pPr>
            <w:r>
              <w:t xml:space="preserve">A1-S097</w:t>
            </w:r>
          </w:p>
        </w:tc>
      </w:tr>
      <w:tr>
        <w:tc>
          <w:tcPr/>
          <w:p>
            <w:pPr>
              <w:pStyle w:val="Compact"/>
              <w:jc w:val="left"/>
            </w:pPr>
            <w:r>
              <w:t xml:space="preserve">Version / lineup</w:t>
            </w:r>
          </w:p>
        </w:tc>
        <w:tc>
          <w:tcPr/>
          <w:p>
            <w:pPr>
              <w:pStyle w:val="Compact"/>
              <w:jc w:val="left"/>
            </w:pPr>
            <w:r>
              <w:t xml:space="preserve">SaaS module of the Datadog platform (continuous release)</w:t>
            </w:r>
          </w:p>
        </w:tc>
        <w:tc>
          <w:tcPr/>
          <w:p>
            <w:pPr>
              <w:pStyle w:val="Compact"/>
              <w:jc w:val="left"/>
            </w:pPr>
            <w:r>
              <w:t xml:space="preserve">Verified fact</w:t>
            </w:r>
          </w:p>
        </w:tc>
        <w:tc>
          <w:tcPr/>
          <w:p>
            <w:pPr>
              <w:pStyle w:val="Compact"/>
              <w:jc w:val="left"/>
            </w:pPr>
            <w:r>
              <w:t xml:space="preserve">A1-S097</w:t>
            </w:r>
          </w:p>
        </w:tc>
      </w:tr>
      <w:tr>
        <w:tc>
          <w:tcPr/>
          <w:p>
            <w:pPr>
              <w:pStyle w:val="Compact"/>
              <w:jc w:val="left"/>
            </w:pPr>
            <w:r>
              <w:t xml:space="preserve">Licence</w:t>
            </w:r>
          </w:p>
        </w:tc>
        <w:tc>
          <w:tcPr/>
          <w:p>
            <w:pPr>
              <w:pStyle w:val="Compact"/>
              <w:jc w:val="left"/>
            </w:pPr>
            <w:r>
              <w:t xml:space="preserve">Proprietary SaaS</w:t>
            </w:r>
          </w:p>
        </w:tc>
        <w:tc>
          <w:tcPr/>
          <w:p>
            <w:pPr>
              <w:pStyle w:val="Compact"/>
              <w:jc w:val="left"/>
            </w:pPr>
            <w:r>
              <w:t xml:space="preserve">Verified fact</w:t>
            </w:r>
          </w:p>
        </w:tc>
        <w:tc>
          <w:tcPr/>
          <w:p>
            <w:pPr>
              <w:pStyle w:val="Compact"/>
              <w:jc w:val="left"/>
            </w:pPr>
            <w:r>
              <w:t xml:space="preserve">A1-S097</w:t>
            </w:r>
          </w:p>
        </w:tc>
      </w:tr>
      <w:tr>
        <w:tc>
          <w:tcPr/>
          <w:p>
            <w:pPr>
              <w:pStyle w:val="Compact"/>
              <w:jc w:val="left"/>
            </w:pPr>
            <w:r>
              <w:t xml:space="preserve">Status events</w:t>
            </w:r>
          </w:p>
        </w:tc>
        <w:tc>
          <w:tcPr/>
          <w:p>
            <w:pPr>
              <w:pStyle w:val="Compact"/>
              <w:jc w:val="left"/>
            </w:pPr>
            <w:r>
              <w:t xml:space="preserve">Product documented as</w:t>
            </w:r>
            <w:r>
              <w:t xml:space="preserve"> </w:t>
            </w:r>
            <w:r>
              <w:t xml:space="preserve">‘</w:t>
            </w:r>
            <w:r>
              <w:t xml:space="preserve">Agent Observability</w:t>
            </w:r>
            <w:r>
              <w:t xml:space="preserve">’</w:t>
            </w:r>
            <w:r>
              <w:t xml:space="preserve"> </w:t>
            </w:r>
            <w:r>
              <w:t xml:space="preserve">at the llm_observability docs path (rename date not verified)</w:t>
            </w:r>
          </w:p>
        </w:tc>
        <w:tc>
          <w:tcPr/>
          <w:p>
            <w:pPr>
              <w:pStyle w:val="Compact"/>
              <w:jc w:val="left"/>
            </w:pPr>
            <w:r>
              <w:t xml:space="preserve">Verified fact</w:t>
            </w:r>
          </w:p>
        </w:tc>
        <w:tc>
          <w:tcPr/>
          <w:p>
            <w:pPr>
              <w:pStyle w:val="Compact"/>
              <w:jc w:val="left"/>
            </w:pPr>
            <w:r>
              <w:t xml:space="preserve">A1-S097</w:t>
            </w:r>
          </w:p>
        </w:tc>
      </w:tr>
      <w:tr>
        <w:tc>
          <w:tcPr/>
          <w:p>
            <w:pPr>
              <w:pStyle w:val="Compact"/>
              <w:jc w:val="left"/>
            </w:pPr>
            <w:r>
              <w:t xml:space="preserve">Strategic direction</w:t>
            </w:r>
          </w:p>
        </w:tc>
        <w:tc>
          <w:tcPr/>
          <w:p>
            <w:pPr>
              <w:pStyle w:val="Compact"/>
              <w:jc w:val="left"/>
            </w:pPr>
            <w:r>
              <w:t xml:space="preserve">Agent-centric monitoring with automated Insights (root cause, impact, recommended fix), evaluations of quality, privacy and safety, sensitive-data scanning and prompt-injection detection</w:t>
            </w:r>
          </w:p>
        </w:tc>
        <w:tc>
          <w:tcPr/>
          <w:p>
            <w:pPr>
              <w:pStyle w:val="Compact"/>
              <w:jc w:val="left"/>
            </w:pPr>
            <w:r>
              <w:t xml:space="preserve">Verified fact</w:t>
            </w:r>
          </w:p>
        </w:tc>
        <w:tc>
          <w:tcPr/>
          <w:p>
            <w:pPr>
              <w:pStyle w:val="Compact"/>
              <w:jc w:val="left"/>
            </w:pPr>
            <w:r>
              <w:t xml:space="preserve">A1-S097, A1-S099</w:t>
            </w:r>
          </w:p>
        </w:tc>
      </w:tr>
      <w:tr>
        <w:tc>
          <w:tcPr/>
          <w:p>
            <w:pPr>
              <w:pStyle w:val="Compact"/>
              <w:jc w:val="left"/>
            </w:pPr>
            <w:r>
              <w:t xml:space="preserve">What it does</w:t>
            </w:r>
          </w:p>
        </w:tc>
        <w:tc>
          <w:tcPr/>
          <w:p>
            <w:pPr>
              <w:pStyle w:val="Compact"/>
              <w:jc w:val="left"/>
            </w:pPr>
            <w:r>
              <w:t xml:space="preserve">Monitors, troubleshoots and evaluates LLM-powered applications: traces each agent step and LLM call with latency, token usage, cost and errors, scans and redacts sensitive data and runs evaluations.</w:t>
            </w:r>
          </w:p>
        </w:tc>
        <w:tc>
          <w:tcPr/>
          <w:p>
            <w:pPr>
              <w:pStyle w:val="Compact"/>
              <w:jc w:val="left"/>
            </w:pPr>
            <w:r>
              <w:t xml:space="preserve">Verified fact</w:t>
            </w:r>
          </w:p>
        </w:tc>
        <w:tc>
          <w:tcPr/>
          <w:p>
            <w:pPr>
              <w:pStyle w:val="Compact"/>
              <w:jc w:val="left"/>
            </w:pPr>
            <w:r>
              <w:t xml:space="preserve">A1-S097, A1-S099</w:t>
            </w:r>
          </w:p>
        </w:tc>
      </w:tr>
      <w:tr>
        <w:tc>
          <w:tcPr/>
          <w:p>
            <w:pPr>
              <w:pStyle w:val="Compact"/>
              <w:jc w:val="left"/>
            </w:pPr>
            <w:r>
              <w:t xml:space="preserve">Stack position</w:t>
            </w:r>
          </w:p>
        </w:tc>
        <w:tc>
          <w:tcPr/>
          <w:p>
            <w:pPr>
              <w:pStyle w:val="Compact"/>
              <w:jc w:val="left"/>
            </w:pPr>
            <w:r>
              <w:t xml:space="preserve">Cross-cutting production observability integrated with Datadog APM and infrastructure monitoring</w:t>
            </w:r>
          </w:p>
        </w:tc>
        <w:tc>
          <w:tcPr/>
          <w:p>
            <w:pPr>
              <w:pStyle w:val="Compact"/>
              <w:jc w:val="left"/>
            </w:pPr>
            <w:r>
              <w:t xml:space="preserve">Verified fact</w:t>
            </w:r>
          </w:p>
        </w:tc>
        <w:tc>
          <w:tcPr/>
          <w:p>
            <w:pPr>
              <w:pStyle w:val="Compact"/>
              <w:jc w:val="left"/>
            </w:pPr>
            <w:r>
              <w:t xml:space="preserve">A1-S097</w:t>
            </w:r>
          </w:p>
        </w:tc>
      </w:tr>
      <w:tr>
        <w:tc>
          <w:tcPr/>
          <w:p>
            <w:pPr>
              <w:pStyle w:val="Compact"/>
              <w:jc w:val="left"/>
            </w:pPr>
            <w:r>
              <w:t xml:space="preserve">Integration</w:t>
            </w:r>
          </w:p>
        </w:tc>
        <w:tc>
          <w:tcPr/>
          <w:p>
            <w:pPr>
              <w:pStyle w:val="Compact"/>
              <w:jc w:val="left"/>
            </w:pPr>
            <w:r>
              <w:t xml:space="preserve">Accepts OpenTelemetry traces using OTel 1.37+ GenAI semantic conventions or OpenInference conventions; auto-instrumentation for OpenAI, LangChain, Bedrock, Anthropic</w:t>
            </w:r>
          </w:p>
        </w:tc>
        <w:tc>
          <w:tcPr/>
          <w:p>
            <w:pPr>
              <w:pStyle w:val="Compact"/>
              <w:jc w:val="left"/>
            </w:pPr>
            <w:r>
              <w:t xml:space="preserve">Verified fact</w:t>
            </w:r>
          </w:p>
        </w:tc>
        <w:tc>
          <w:tcPr/>
          <w:p>
            <w:pPr>
              <w:pStyle w:val="Compact"/>
              <w:jc w:val="left"/>
            </w:pPr>
            <w:r>
              <w:t xml:space="preserve">A1-S098, A1-S097</w:t>
            </w:r>
          </w:p>
        </w:tc>
      </w:tr>
      <w:tr>
        <w:tc>
          <w:tcPr/>
          <w:p>
            <w:pPr>
              <w:pStyle w:val="Compact"/>
              <w:jc w:val="left"/>
            </w:pPr>
            <w:r>
              <w:t xml:space="preserve">Dependencies</w:t>
            </w:r>
          </w:p>
        </w:tc>
        <w:tc>
          <w:tcPr/>
          <w:p>
            <w:pPr>
              <w:pStyle w:val="Compact"/>
              <w:jc w:val="left"/>
            </w:pPr>
            <w:r>
              <w:t xml:space="preserve">Datadog platform; Datadog SDK auto-instrumentation or OTel</w:t>
            </w:r>
          </w:p>
        </w:tc>
        <w:tc>
          <w:tcPr/>
          <w:p>
            <w:pPr>
              <w:pStyle w:val="Compact"/>
              <w:jc w:val="left"/>
            </w:pPr>
            <w:r>
              <w:t xml:space="preserve">Verified fact</w:t>
            </w:r>
          </w:p>
        </w:tc>
        <w:tc>
          <w:tcPr/>
          <w:p>
            <w:pPr>
              <w:pStyle w:val="Compact"/>
              <w:jc w:val="left"/>
            </w:pPr>
            <w:r>
              <w:t xml:space="preserve">A1-S097, A1-S098</w:t>
            </w:r>
          </w:p>
        </w:tc>
      </w:tr>
      <w:tr>
        <w:tc>
          <w:tcPr/>
          <w:p>
            <w:pPr>
              <w:pStyle w:val="Compact"/>
              <w:jc w:val="left"/>
            </w:pPr>
            <w:r>
              <w:t xml:space="preserve">Certifications</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GDPR / residency</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Security features</w:t>
            </w:r>
          </w:p>
        </w:tc>
        <w:tc>
          <w:tcPr/>
          <w:p>
            <w:pPr>
              <w:pStyle w:val="Compact"/>
              <w:jc w:val="left"/>
            </w:pPr>
            <w:r>
              <w:t xml:space="preserve">Automatic sensitive-data scanning and redaction; prompt-injection identification</w:t>
            </w:r>
          </w:p>
        </w:tc>
        <w:tc>
          <w:tcPr/>
          <w:p>
            <w:pPr>
              <w:pStyle w:val="Compact"/>
              <w:jc w:val="left"/>
            </w:pPr>
            <w:r>
              <w:t xml:space="preserve">Verified fact</w:t>
            </w:r>
          </w:p>
        </w:tc>
        <w:tc>
          <w:tcPr/>
          <w:p>
            <w:pPr>
              <w:pStyle w:val="Compact"/>
              <w:jc w:val="left"/>
            </w:pPr>
            <w:r>
              <w:t xml:space="preserve">A1-S097</w:t>
            </w:r>
          </w:p>
        </w:tc>
      </w:tr>
      <w:tr>
        <w:tc>
          <w:tcPr/>
          <w:p>
            <w:pPr>
              <w:pStyle w:val="Compact"/>
              <w:jc w:val="left"/>
            </w:pPr>
            <w:r>
              <w:t xml:space="preserve">Access controls</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Enterprise support</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Pricing</w:t>
            </w:r>
          </w:p>
        </w:tc>
        <w:tc>
          <w:tcPr/>
          <w:p>
            <w:pPr>
              <w:pStyle w:val="Compact"/>
              <w:jc w:val="left"/>
            </w:pPr>
            <w:r>
              <w:t xml:space="preserve">Metered on number of LLM spans ingested (rates on Datadog pricing page)</w:t>
            </w:r>
          </w:p>
        </w:tc>
        <w:tc>
          <w:tcPr/>
          <w:p>
            <w:pPr>
              <w:pStyle w:val="Compact"/>
              <w:jc w:val="left"/>
            </w:pPr>
            <w:r>
              <w:t xml:space="preserve">Verified fact</w:t>
            </w:r>
          </w:p>
        </w:tc>
        <w:tc>
          <w:tcPr/>
          <w:p>
            <w:pPr>
              <w:pStyle w:val="Compact"/>
              <w:jc w:val="left"/>
            </w:pPr>
            <w:r>
              <w:t xml:space="preserve">A1-S097</w:t>
            </w:r>
          </w:p>
        </w:tc>
      </w:tr>
      <w:tr>
        <w:tc>
          <w:tcPr/>
          <w:p>
            <w:pPr>
              <w:pStyle w:val="Compact"/>
              <w:jc w:val="left"/>
            </w:pPr>
            <w:r>
              <w:t xml:space="preserve">Infrastructure cost</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Ecosystem</w:t>
            </w:r>
          </w:p>
        </w:tc>
        <w:tc>
          <w:tcPr/>
          <w:p>
            <w:pPr>
              <w:pStyle w:val="Compact"/>
              <w:jc w:val="left"/>
            </w:pPr>
            <w:r>
              <w:t xml:space="preserve">Integrates with OpenAI, LangChain, AWS Bedrock, Anthropic; OTel and OpenInference ingestion</w:t>
            </w:r>
          </w:p>
        </w:tc>
        <w:tc>
          <w:tcPr/>
          <w:p>
            <w:pPr>
              <w:pStyle w:val="Compact"/>
              <w:jc w:val="left"/>
            </w:pPr>
            <w:r>
              <w:t xml:space="preserve">Verified fact</w:t>
            </w:r>
          </w:p>
        </w:tc>
        <w:tc>
          <w:tcPr/>
          <w:p>
            <w:pPr>
              <w:pStyle w:val="Compact"/>
              <w:jc w:val="left"/>
            </w:pPr>
            <w:r>
              <w:t xml:space="preserve">A1-S097, A1-S098</w:t>
            </w:r>
          </w:p>
        </w:tc>
      </w:tr>
      <w:tr>
        <w:tc>
          <w:tcPr/>
          <w:p>
            <w:pPr>
              <w:pStyle w:val="Compact"/>
              <w:jc w:val="left"/>
            </w:pPr>
            <w:r>
              <w:t xml:space="preserve">Adoption signals</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Maturity</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Deployment</w:t>
            </w:r>
          </w:p>
        </w:tc>
        <w:tc>
          <w:tcPr/>
          <w:p>
            <w:pPr>
              <w:pStyle w:val="Compact"/>
              <w:jc w:val="left"/>
            </w:pPr>
            <w:r>
              <w:t xml:space="preserve">saas: Yes; managed_cloud: Not publicly verified; vpc_byoc: Not publicly verified; private_cloud: Not publicly verified; self_hosted: Not publicly verified; on_prem: Not publicly verified</w:t>
            </w:r>
          </w:p>
        </w:tc>
        <w:tc>
          <w:tcPr/>
          <w:p>
            <w:pPr>
              <w:pStyle w:val="Compact"/>
            </w:pPr>
          </w:p>
        </w:tc>
        <w:tc>
          <w:tcPr/>
          <w:p>
            <w:pPr>
              <w:pStyle w:val="Compact"/>
            </w:pPr>
          </w:p>
        </w:tc>
      </w:tr>
    </w:tbl>
    <w:bookmarkEnd w:id="196"/>
    <w:bookmarkEnd w:id="197"/>
    <w:bookmarkStart w:id="362" w:name="l8-data-extraction-ingestion-and-web"/>
    <w:p>
      <w:pPr>
        <w:pStyle w:val="Heading1"/>
      </w:pPr>
      <w:r>
        <w:t xml:space="preserve">L8: Data extraction, ingestion and web</w:t>
      </w:r>
    </w:p>
    <w:bookmarkStart w:id="212" w:name="docling-l8-docling"/>
    <w:p>
      <w:pPr>
        <w:pStyle w:val="Heading2"/>
      </w:pPr>
      <w:r>
        <w:t xml:space="preserve">Docling (</w:t>
      </w:r>
      <w:r>
        <w:rPr>
          <w:rStyle w:val="VerbatimChar"/>
        </w:rPr>
        <w:t xml:space="preserve">L8-docling</w:t>
      </w:r>
      <w:r>
        <w:t xml:space="preserve">)</w:t>
      </w:r>
    </w:p>
    <w:p>
      <w:pPr>
        <w:pStyle w:val="FirstParagraph"/>
      </w:pPr>
      <w:r>
        <w:rPr>
          <w:bCs/>
          <w:b/>
        </w:rPr>
        <w:t xml:space="preserve">Tier:</w:t>
      </w:r>
      <w:r>
        <w:t xml:space="preserve"> </w:t>
      </w:r>
      <w:r>
        <w:t xml:space="preserve">Strategic ·</w:t>
      </w:r>
      <w:r>
        <w:t xml:space="preserve"> </w:t>
      </w:r>
      <w:r>
        <w:rPr>
          <w:bCs/>
          <w:b/>
        </w:rPr>
        <w:t xml:space="preserve">Flags:</w:t>
      </w:r>
      <w:r>
        <w:t xml:space="preserve"> </w:t>
      </w:r>
      <w:r>
        <w:t xml:space="preserve">none ·</w:t>
      </w:r>
      <w:r>
        <w:t xml:space="preserve"> </w:t>
      </w:r>
      <w:r>
        <w:rPr>
          <w:bCs/>
          <w:b/>
        </w:rPr>
        <w:t xml:space="preserve">Original graphic label:</w:t>
      </w:r>
      <w:r>
        <w:t xml:space="preserve"> </w:t>
      </w:r>
      <w:r>
        <w:t xml:space="preserve">Docling – doc parser</w:t>
      </w:r>
    </w:p>
    <w:p>
      <w:pPr>
        <w:pStyle w:val="BodyText"/>
      </w:pPr>
      <w:r>
        <w:rPr>
          <w:iCs/>
          <w:i/>
        </w:rPr>
        <w:t xml:space="preserve">Rationale:</w:t>
      </w:r>
      <w:r>
        <w:t xml:space="preserve"> </w:t>
      </w:r>
      <w:r>
        <w:t xml:space="preserve">MIT, foundation-governed and self-hostable, so it can anchor the firm’s canonical document model; enterprise controls are built around it.</w:t>
      </w:r>
    </w:p>
    <w:tbl>
      <w:tblPr>
        <w:tblStyle w:val="Table"/>
        <w:tblW w:type="pct" w:w="5000"/>
        <w:tblLook w:firstRow="1" w:lastRow="0" w:firstColumn="0" w:lastColumn="0" w:noHBand="0" w:noVBand="0" w:val="0020"/>
        <w:jc w:val="start"/>
      </w:tblPr>
      <w:tblGrid>
        <w:gridCol w:w="1545"/>
        <w:gridCol w:w="579"/>
        <w:gridCol w:w="5795"/>
      </w:tblGrid>
      <w:tr>
        <w:trPr>
          <w:tblHeader w:val="true"/>
        </w:trPr>
        <w:tc>
          <w:tcPr/>
          <w:p>
            <w:pPr>
              <w:pStyle w:val="Compact"/>
              <w:jc w:val="left"/>
            </w:pPr>
            <w:r>
              <w:t xml:space="preserve">Criterion</w:t>
            </w:r>
          </w:p>
        </w:tc>
        <w:tc>
          <w:tcPr/>
          <w:p>
            <w:pPr>
              <w:pStyle w:val="Compact"/>
              <w:jc w:val="right"/>
            </w:pPr>
            <w:r>
              <w:t xml:space="preserve">Score</w:t>
            </w:r>
          </w:p>
        </w:tc>
        <w:tc>
          <w:tcPr/>
          <w:p>
            <w:pPr>
              <w:pStyle w:val="Compact"/>
              <w:jc w:val="left"/>
            </w:pPr>
            <w:r>
              <w:t xml:space="preserve">Rationale</w:t>
            </w:r>
          </w:p>
        </w:tc>
      </w:tr>
      <w:tr>
        <w:tc>
          <w:tcPr/>
          <w:p>
            <w:pPr>
              <w:pStyle w:val="Compact"/>
              <w:jc w:val="left"/>
            </w:pPr>
            <w:r>
              <w:t xml:space="preserve">Technical</w:t>
            </w:r>
          </w:p>
        </w:tc>
        <w:tc>
          <w:tcPr/>
          <w:p>
            <w:pPr>
              <w:pStyle w:val="Compact"/>
              <w:jc w:val="right"/>
            </w:pPr>
            <w:r>
              <w:t xml:space="preserve">4</w:t>
            </w:r>
          </w:p>
        </w:tc>
        <w:tc>
          <w:tcPr/>
          <w:p>
            <w:pPr>
              <w:pStyle w:val="Compact"/>
              <w:jc w:val="left"/>
            </w:pPr>
            <w:r>
              <w:t xml:space="preserve">Broad formats, OCR, VLM and chunking; no ACL, PII or lineage, and table accuracy not independently verified.</w:t>
            </w:r>
          </w:p>
        </w:tc>
      </w:tr>
      <w:tr>
        <w:tc>
          <w:tcPr/>
          <w:p>
            <w:pPr>
              <w:pStyle w:val="Compact"/>
              <w:jc w:val="left"/>
            </w:pPr>
            <w:r>
              <w:t xml:space="preserve">Enterprise readiness</w:t>
            </w:r>
          </w:p>
        </w:tc>
        <w:tc>
          <w:tcPr/>
          <w:p>
            <w:pPr>
              <w:pStyle w:val="Compact"/>
              <w:jc w:val="right"/>
            </w:pPr>
            <w:r>
              <w:t xml:space="preserve">3</w:t>
            </w:r>
          </w:p>
        </w:tc>
        <w:tc>
          <w:tcPr/>
          <w:p>
            <w:pPr>
              <w:pStyle w:val="Compact"/>
              <w:jc w:val="left"/>
            </w:pPr>
            <w:r>
              <w:t xml:space="preserve">Library rule: inherits host controls; docling-serve gives an API boundary; commercial managed option via IBM watsonx.</w:t>
            </w:r>
          </w:p>
        </w:tc>
      </w:tr>
      <w:tr>
        <w:tc>
          <w:tcPr/>
          <w:p>
            <w:pPr>
              <w:pStyle w:val="Compact"/>
              <w:jc w:val="left"/>
            </w:pPr>
            <w:r>
              <w:t xml:space="preserve">Security and compliance</w:t>
            </w:r>
          </w:p>
        </w:tc>
        <w:tc>
          <w:tcPr/>
          <w:p>
            <w:pPr>
              <w:pStyle w:val="Compact"/>
              <w:jc w:val="right"/>
            </w:pPr>
            <w:r>
              <w:t xml:space="preserve">4</w:t>
            </w:r>
          </w:p>
        </w:tc>
        <w:tc>
          <w:tcPr/>
          <w:p>
            <w:pPr>
              <w:pStyle w:val="Compact"/>
              <w:jc w:val="left"/>
            </w:pPr>
            <w:r>
              <w:t xml:space="preserve">Library rule: MIT; SECURITY.md with private vulnerability reporting, OpenSSF Best Practices badge participation and cryptographically signed releases on PyPI, Quay.io and GHCR</w:t>
            </w:r>
            <w:r>
              <w:t xml:space="preserve"> </w:t>
            </w:r>
            <w:r>
              <w:rPr>
                <w:rStyle w:val="ClaimLabel"/>
              </w:rPr>
              <w:t xml:space="preserve">VF</w:t>
            </w:r>
            <w:r>
              <w:rPr>
                <w:rStyle w:val="FootnoteReference"/>
              </w:rPr>
              <w:footnoteReference w:id="198"/>
            </w:r>
            <w:r>
              <w:t xml:space="preserve">; IBM offers a managed service.</w:t>
            </w:r>
          </w:p>
        </w:tc>
      </w:tr>
      <w:tr>
        <w:tc>
          <w:tcPr/>
          <w:p>
            <w:pPr>
              <w:pStyle w:val="Compact"/>
              <w:jc w:val="left"/>
            </w:pPr>
            <w:r>
              <w:t xml:space="preserve">Deployment flexibility</w:t>
            </w:r>
          </w:p>
        </w:tc>
        <w:tc>
          <w:tcPr/>
          <w:p>
            <w:pPr>
              <w:pStyle w:val="Compact"/>
              <w:jc w:val="right"/>
            </w:pPr>
            <w:r>
              <w:t xml:space="preserve">4</w:t>
            </w:r>
          </w:p>
        </w:tc>
        <w:tc>
          <w:tcPr/>
          <w:p>
            <w:pPr>
              <w:pStyle w:val="Compact"/>
              <w:jc w:val="left"/>
            </w:pPr>
            <w:r>
              <w:t xml:space="preserve">Self-hosted, private cloud, on-prem and an IBM-managed service; air-gap not explicitly documented.</w:t>
            </w:r>
          </w:p>
        </w:tc>
      </w:tr>
      <w:tr>
        <w:tc>
          <w:tcPr/>
          <w:p>
            <w:pPr>
              <w:pStyle w:val="Compact"/>
              <w:jc w:val="left"/>
            </w:pPr>
            <w:r>
              <w:t xml:space="preserve">Ecosystem</w:t>
            </w:r>
          </w:p>
        </w:tc>
        <w:tc>
          <w:tcPr/>
          <w:p>
            <w:pPr>
              <w:pStyle w:val="Compact"/>
              <w:jc w:val="right"/>
            </w:pPr>
            <w:r>
              <w:t xml:space="preserve">4</w:t>
            </w:r>
          </w:p>
        </w:tc>
        <w:tc>
          <w:tcPr/>
          <w:p>
            <w:pPr>
              <w:pStyle w:val="Compact"/>
              <w:jc w:val="left"/>
            </w:pPr>
            <w:r>
              <w:t xml:space="preserve">MCP server, REST server and agent-framework integrations; LF AI &amp; Data project.</w:t>
            </w:r>
          </w:p>
        </w:tc>
      </w:tr>
      <w:tr>
        <w:tc>
          <w:tcPr/>
          <w:p>
            <w:pPr>
              <w:pStyle w:val="Compact"/>
              <w:jc w:val="left"/>
            </w:pPr>
            <w:r>
              <w:t xml:space="preserve">Reliability and maturity</w:t>
            </w:r>
          </w:p>
        </w:tc>
        <w:tc>
          <w:tcPr/>
          <w:p>
            <w:pPr>
              <w:pStyle w:val="Compact"/>
              <w:jc w:val="right"/>
            </w:pPr>
            <w:r>
              <w:t xml:space="preserve">4</w:t>
            </w:r>
          </w:p>
        </w:tc>
        <w:tc>
          <w:tcPr/>
          <w:p>
            <w:pPr>
              <w:pStyle w:val="Compact"/>
              <w:jc w:val="left"/>
            </w:pPr>
            <w:r>
              <w:t xml:space="preserve">Graduate-tier foundation project with steady releases; rapid minor-version churn.</w:t>
            </w:r>
          </w:p>
        </w:tc>
      </w:tr>
      <w:tr>
        <w:tc>
          <w:tcPr/>
          <w:p>
            <w:pPr>
              <w:pStyle w:val="Compact"/>
              <w:jc w:val="left"/>
            </w:pPr>
            <w:r>
              <w:t xml:space="preserve">Cost / TCO</w:t>
            </w:r>
          </w:p>
        </w:tc>
        <w:tc>
          <w:tcPr/>
          <w:p>
            <w:pPr>
              <w:pStyle w:val="Compact"/>
              <w:jc w:val="right"/>
            </w:pPr>
            <w:r>
              <w:t xml:space="preserve">5</w:t>
            </w:r>
          </w:p>
        </w:tc>
        <w:tc>
          <w:tcPr/>
          <w:p>
            <w:pPr>
              <w:pStyle w:val="Compact"/>
              <w:jc w:val="left"/>
            </w:pPr>
            <w:r>
              <w:t xml:space="preserve">Free; CPU sufficient for standard pipelines, GPU only for VLM/ASR paths</w:t>
            </w:r>
            <w:r>
              <w:t xml:space="preserve"> </w:t>
            </w:r>
            <w:r>
              <w:rPr>
                <w:rStyle w:val="ClaimLabel"/>
              </w:rPr>
              <w:t xml:space="preserve">AJ</w:t>
            </w:r>
            <w:r>
              <w:t xml:space="preserve">.</w:t>
            </w:r>
          </w:p>
        </w:tc>
      </w:tr>
      <w:tr>
        <w:tc>
          <w:tcPr/>
          <w:p>
            <w:pPr>
              <w:pStyle w:val="Compact"/>
              <w:jc w:val="left"/>
            </w:pPr>
            <w:r>
              <w:t xml:space="preserve">Lock-in / portability</w:t>
            </w:r>
          </w:p>
        </w:tc>
        <w:tc>
          <w:tcPr/>
          <w:p>
            <w:pPr>
              <w:pStyle w:val="Compact"/>
              <w:jc w:val="right"/>
            </w:pPr>
            <w:r>
              <w:t xml:space="preserve">5</w:t>
            </w:r>
          </w:p>
        </w:tc>
        <w:tc>
          <w:tcPr/>
          <w:p>
            <w:pPr>
              <w:pStyle w:val="Compact"/>
              <w:jc w:val="left"/>
            </w:pPr>
            <w:r>
              <w:t xml:space="preserve">MIT, open format, neutral governance.</w:t>
            </w:r>
          </w:p>
        </w:tc>
      </w:tr>
      <w:tr>
        <w:tc>
          <w:tcPr/>
          <w:p>
            <w:pPr>
              <w:pStyle w:val="Compact"/>
              <w:jc w:val="left"/>
            </w:pPr>
            <w:r>
              <w:rPr>
                <w:bCs/>
                <w:b/>
              </w:rPr>
              <w:t xml:space="preserve">Total (generic / FS)</w:t>
            </w:r>
          </w:p>
        </w:tc>
        <w:tc>
          <w:tcPr/>
          <w:p>
            <w:pPr>
              <w:pStyle w:val="Compact"/>
              <w:jc w:val="right"/>
            </w:pPr>
            <w:r>
              <w:rPr>
                <w:bCs/>
                <w:b/>
              </w:rPr>
              <w:t xml:space="preserve">4.00 / 4.05</w:t>
            </w:r>
          </w:p>
        </w:tc>
        <w:tc>
          <w:tcPr/>
          <w:p>
            <w:pPr>
              <w:pStyle w:val="Compact"/>
            </w:pPr>
          </w:p>
        </w:tc>
      </w:tr>
    </w:tbl>
    <w:p>
      <w:pPr>
        <w:pStyle w:val="BodyText"/>
      </w:pPr>
      <w:r>
        <w:rPr>
          <w:iCs/>
          <w:i/>
        </w:rPr>
        <w:t xml:space="preserve">Evidence rules applied:</w:t>
      </w:r>
      <w:r>
        <w:t xml:space="preserve"> </w:t>
      </w:r>
      <w:r>
        <w:t xml:space="preserve">Library rule applied (enterprise_readiness and security_compliance scored on what the library enables and project hygiene; inherits host controls)</w:t>
      </w:r>
    </w:p>
    <w:p>
      <w:pPr>
        <w:pStyle w:val="BodyText"/>
      </w:pPr>
      <w:r>
        <w:rPr>
          <w:bCs/>
          <w:b/>
        </w:rPr>
        <w:t xml:space="preserve">Capabilities.</w:t>
      </w:r>
      <w:r>
        <w:t xml:space="preserve"> </w:t>
      </w:r>
      <w:r>
        <w:t xml:space="preserve">Open-source conversion of PDF, Office, legacy Office, HTML, images, audio and video into a unified DoclingDocument, with OCR, VLM pipelines, ASR and hybrid chunking; runs as a library, CLI, docling-serve REST API or MCP server</w:t>
      </w:r>
      <w:r>
        <w:t xml:space="preserve"> </w:t>
      </w:r>
      <w:r>
        <w:rPr>
          <w:rStyle w:val="ClaimLabel"/>
        </w:rPr>
        <w:t xml:space="preserve">VF</w:t>
      </w:r>
      <w:r>
        <w:rPr>
          <w:rStyle w:val="FootnoteReference"/>
        </w:rPr>
        <w:footnoteReference w:id="200"/>
      </w:r>
      <w:r>
        <w:t xml:space="preserve">.</w:t>
      </w:r>
    </w:p>
    <w:p>
      <w:pPr>
        <w:pStyle w:val="BodyText"/>
      </w:pPr>
      <w:r>
        <w:rPr>
          <w:bCs/>
          <w:b/>
        </w:rPr>
        <w:t xml:space="preserve">Strengths</w:t>
      </w:r>
    </w:p>
    <w:p>
      <w:pPr>
        <w:numPr>
          <w:ilvl w:val="0"/>
          <w:numId w:val="1045"/>
        </w:numPr>
        <w:pStyle w:val="Compact"/>
      </w:pPr>
      <w:r>
        <w:t xml:space="preserve">MIT licence and LF AI &amp; Data governance (donated March 2025; Graduate tier August 2026)</w:t>
      </w:r>
      <w:r>
        <w:t xml:space="preserve"> </w:t>
      </w:r>
      <w:r>
        <w:rPr>
          <w:rStyle w:val="ClaimLabel"/>
        </w:rPr>
        <w:t xml:space="preserve">VF</w:t>
      </w:r>
      <w:r>
        <w:rPr>
          <w:rStyle w:val="FootnoteReference"/>
        </w:rPr>
        <w:footnoteReference w:id="204"/>
      </w:r>
    </w:p>
    <w:p>
      <w:pPr>
        <w:numPr>
          <w:ilvl w:val="0"/>
          <w:numId w:val="1045"/>
        </w:numPr>
        <w:pStyle w:val="Compact"/>
      </w:pPr>
      <w:r>
        <w:t xml:space="preserve">Local or self-hosted processing keeps documents in the firm’s estate</w:t>
      </w:r>
      <w:r>
        <w:t xml:space="preserve"> </w:t>
      </w:r>
      <w:r>
        <w:rPr>
          <w:rStyle w:val="ClaimLabel"/>
        </w:rPr>
        <w:t xml:space="preserve">AJ</w:t>
      </w:r>
    </w:p>
    <w:p>
      <w:pPr>
        <w:numPr>
          <w:ilvl w:val="0"/>
          <w:numId w:val="1045"/>
        </w:numPr>
        <w:pStyle w:val="Compact"/>
      </w:pPr>
      <w:r>
        <w:t xml:space="preserve">Broad format coverage including PPTX, XLSX and legacy Office</w:t>
      </w:r>
      <w:r>
        <w:t xml:space="preserve"> </w:t>
      </w:r>
      <w:r>
        <w:rPr>
          <w:rStyle w:val="ClaimLabel"/>
        </w:rPr>
        <w:t xml:space="preserve">VF</w:t>
      </w:r>
      <w:r>
        <w:rPr>
          <w:rStyle w:val="FootnoteReference"/>
        </w:rPr>
        <w:footnoteReference w:id="206"/>
      </w:r>
    </w:p>
    <w:p>
      <w:pPr>
        <w:numPr>
          <w:ilvl w:val="0"/>
          <w:numId w:val="1045"/>
        </w:numPr>
        <w:pStyle w:val="Compact"/>
      </w:pPr>
      <w:r>
        <w:t xml:space="preserve">A documented canonical representation (DoclingDocument) that can serve as the firm’s internal document model</w:t>
      </w:r>
      <w:r>
        <w:t xml:space="preserve"> </w:t>
      </w:r>
      <w:r>
        <w:rPr>
          <w:rStyle w:val="ClaimLabel"/>
        </w:rPr>
        <w:t xml:space="preserve">AJ</w:t>
      </w:r>
    </w:p>
    <w:p>
      <w:pPr>
        <w:pStyle w:val="FirstParagraph"/>
      </w:pPr>
      <w:r>
        <w:rPr>
          <w:bCs/>
          <w:b/>
        </w:rPr>
        <w:t xml:space="preserve">Limitations and risks</w:t>
      </w:r>
    </w:p>
    <w:p>
      <w:pPr>
        <w:numPr>
          <w:ilvl w:val="0"/>
          <w:numId w:val="1046"/>
        </w:numPr>
        <w:pStyle w:val="Compact"/>
      </w:pPr>
      <w:r>
        <w:t xml:space="preserve">No ACL, PII or lineage features in the README or docs navigation</w:t>
      </w:r>
      <w:r>
        <w:t xml:space="preserve"> </w:t>
      </w:r>
      <w:r>
        <w:rPr>
          <w:rStyle w:val="ClaimLabel"/>
        </w:rPr>
        <w:t xml:space="preserve">VF</w:t>
      </w:r>
      <w:r>
        <w:rPr>
          <w:rStyle w:val="FootnoteReference"/>
        </w:rPr>
        <w:footnoteReference w:id="207"/>
      </w:r>
    </w:p>
    <w:p>
      <w:pPr>
        <w:numPr>
          <w:ilvl w:val="0"/>
          <w:numId w:val="1046"/>
        </w:numPr>
        <w:pStyle w:val="Compact"/>
      </w:pPr>
      <w:r>
        <w:t xml:space="preserve">Very fast release cadence (2.135.0 on 7 October 2026; 223 releases in about two years) makes version pinning mandatory</w:t>
      </w:r>
      <w:r>
        <w:t xml:space="preserve"> </w:t>
      </w:r>
      <w:r>
        <w:rPr>
          <w:rStyle w:val="ClaimLabel"/>
        </w:rPr>
        <w:t xml:space="preserve">VF</w:t>
      </w:r>
      <w:r>
        <w:rPr>
          <w:rStyle w:val="FootnoteReference"/>
        </w:rPr>
        <w:footnoteReference w:id="208"/>
      </w:r>
    </w:p>
    <w:p>
      <w:pPr>
        <w:numPr>
          <w:ilvl w:val="0"/>
          <w:numId w:val="1046"/>
        </w:numPr>
        <w:pStyle w:val="Compact"/>
      </w:pPr>
      <w:r>
        <w:t xml:space="preserve">Individual models carry their own licences, which need separate review</w:t>
      </w:r>
      <w:r>
        <w:t xml:space="preserve"> </w:t>
      </w:r>
      <w:r>
        <w:rPr>
          <w:rStyle w:val="ClaimLabel"/>
        </w:rPr>
        <w:t xml:space="preserve">VF</w:t>
      </w:r>
      <w:r>
        <w:rPr>
          <w:rStyle w:val="FootnoteReference"/>
        </w:rPr>
        <w:footnoteReference w:id="210"/>
      </w:r>
    </w:p>
    <w:p>
      <w:pPr>
        <w:numPr>
          <w:ilvl w:val="0"/>
          <w:numId w:val="1046"/>
        </w:numPr>
        <w:pStyle w:val="Compact"/>
      </w:pPr>
      <w:r>
        <w:t xml:space="preserve">A security policy with private vulnerability reporting, OpenSSF Best Practices badge participation and signed releases is published</w:t>
      </w:r>
      <w:r>
        <w:t xml:space="preserve"> </w:t>
      </w:r>
      <w:r>
        <w:rPr>
          <w:rStyle w:val="ClaimLabel"/>
        </w:rPr>
        <w:t xml:space="preserve">VF</w:t>
      </w:r>
      <w:r>
        <w:rPr>
          <w:rStyle w:val="FootnoteReference"/>
        </w:rPr>
        <w:footnoteReference w:id="211"/>
      </w:r>
    </w:p>
    <w:p>
      <w:pPr>
        <w:pStyle w:val="FirstParagraph"/>
      </w:pPr>
      <w:r>
        <w:rPr>
          <w:bCs/>
          <w:b/>
        </w:rPr>
        <w:t xml:space="preserve">Choose when</w:t>
      </w:r>
    </w:p>
    <w:p>
      <w:pPr>
        <w:numPr>
          <w:ilvl w:val="0"/>
          <w:numId w:val="1047"/>
        </w:numPr>
        <w:pStyle w:val="Compact"/>
      </w:pPr>
      <w:r>
        <w:t xml:space="preserve">Documents must not leave the firm’s estate</w:t>
      </w:r>
    </w:p>
    <w:p>
      <w:pPr>
        <w:numPr>
          <w:ilvl w:val="0"/>
          <w:numId w:val="1047"/>
        </w:numPr>
        <w:pStyle w:val="Compact"/>
      </w:pPr>
      <w:r>
        <w:t xml:space="preserve">You want an open canonical document model that survives a change of parser or OCR engine</w:t>
      </w:r>
    </w:p>
    <w:p>
      <w:pPr>
        <w:pStyle w:val="FirstParagraph"/>
      </w:pPr>
      <w:r>
        <w:rPr>
          <w:bCs/>
          <w:b/>
        </w:rPr>
        <w:t xml:space="preserve">Avoid when</w:t>
      </w:r>
    </w:p>
    <w:p>
      <w:pPr>
        <w:numPr>
          <w:ilvl w:val="0"/>
          <w:numId w:val="1048"/>
        </w:numPr>
        <w:pStyle w:val="Compact"/>
      </w:pPr>
      <w:r>
        <w:t xml:space="preserve">You need managed, permission-aware connectors out of the box</w:t>
      </w:r>
    </w:p>
    <w:p>
      <w:pPr>
        <w:numPr>
          <w:ilvl w:val="0"/>
          <w:numId w:val="1048"/>
        </w:numPr>
        <w:pStyle w:val="Compact"/>
      </w:pPr>
      <w:r>
        <w:t xml:space="preserve">You have no platform team to run, pin and patch a Python service</w:t>
      </w:r>
    </w:p>
    <w:p>
      <w:pPr>
        <w:pStyle w:val="FirstParagraph"/>
      </w:pPr>
      <w:r>
        <w:rPr>
          <w:bCs/>
          <w:b/>
        </w:rPr>
        <w:t xml:space="preserve">Nearest competitors:</w:t>
      </w:r>
      <w:r>
        <w:t xml:space="preserve"> </w:t>
      </w:r>
      <w:r>
        <w:t xml:space="preserve">L8-unstructured, L8-mineru, L8-llamaparse</w:t>
      </w:r>
    </w:p>
    <w:p>
      <w:pPr>
        <w:pStyle w:val="BodyText"/>
      </w:pPr>
      <w:r>
        <w:rPr>
          <w:bCs/>
          <w:b/>
        </w:rPr>
        <w:t xml:space="preserve">Regulated-FS note.</w:t>
      </w:r>
      <w:r>
        <w:t xml:space="preserve"> </w:t>
      </w:r>
      <w:r>
        <w:t xml:space="preserve">Default self-hosted parser for client and confidential documents; pin the docling version and each model version in a parse manifest so that a parse can be reproduced for audit</w:t>
      </w:r>
      <w:r>
        <w:t xml:space="preserve"> </w:t>
      </w:r>
      <w:r>
        <w:rPr>
          <w:rStyle w:val="ClaimLabel"/>
        </w:rPr>
        <w:t xml:space="preserve">Rec</w:t>
      </w:r>
      <w:r>
        <w:t xml:space="preserve">.</w:t>
      </w:r>
    </w:p>
    <w:p>
      <w:pPr>
        <w:pStyle w:val="BodyText"/>
      </w:pPr>
      <w:r>
        <w:rPr>
          <w:bCs/>
          <w:b/>
        </w:rPr>
        <w:t xml:space="preserve">Facts (as of 2026-10-08)</w:t>
      </w:r>
    </w:p>
    <w:tbl>
      <w:tblPr>
        <w:tblStyle w:val="Table"/>
        <w:tblW w:type="pct" w:w="5000"/>
        <w:tblLook w:firstRow="1" w:lastRow="0" w:firstColumn="0" w:lastColumn="0" w:noHBand="0" w:noVBand="0" w:val="0020"/>
        <w:jc w:val="start"/>
      </w:tblPr>
      <w:tblGrid>
        <w:gridCol w:w="1485"/>
        <w:gridCol w:w="4290"/>
        <w:gridCol w:w="1320"/>
        <w:gridCol w:w="825"/>
      </w:tblGrid>
      <w:tr>
        <w:trPr>
          <w:tblHeader w:val="true"/>
        </w:trPr>
        <w:tc>
          <w:tcPr/>
          <w:p>
            <w:pPr>
              <w:pStyle w:val="Compact"/>
              <w:jc w:val="left"/>
            </w:pPr>
            <w:r>
              <w:t xml:space="preserve">Field</w:t>
            </w:r>
          </w:p>
        </w:tc>
        <w:tc>
          <w:tcPr/>
          <w:p>
            <w:pPr>
              <w:pStyle w:val="Compact"/>
              <w:jc w:val="left"/>
            </w:pPr>
            <w:r>
              <w:t xml:space="preserve">Value</w:t>
            </w:r>
          </w:p>
        </w:tc>
        <w:tc>
          <w:tcPr/>
          <w:p>
            <w:pPr>
              <w:pStyle w:val="Compact"/>
              <w:jc w:val="left"/>
            </w:pPr>
            <w:r>
              <w:t xml:space="preserve">Label</w:t>
            </w:r>
          </w:p>
        </w:tc>
        <w:tc>
          <w:tcPr/>
          <w:p>
            <w:pPr>
              <w:pStyle w:val="Compact"/>
              <w:jc w:val="left"/>
            </w:pPr>
            <w:r>
              <w:t xml:space="preserve">Sources</w:t>
            </w:r>
          </w:p>
        </w:tc>
      </w:tr>
      <w:tr>
        <w:tc>
          <w:tcPr/>
          <w:p>
            <w:pPr>
              <w:pStyle w:val="Compact"/>
              <w:jc w:val="left"/>
            </w:pPr>
            <w:r>
              <w:t xml:space="preserve">Company</w:t>
            </w:r>
          </w:p>
        </w:tc>
        <w:tc>
          <w:tcPr/>
          <w:p>
            <w:pPr>
              <w:pStyle w:val="Compact"/>
              <w:jc w:val="left"/>
            </w:pPr>
            <w:r>
              <w:t xml:space="preserve">Docling Project, hosted by the LF AI &amp; Data Foundation; started by IBM Research Zurich</w:t>
            </w:r>
          </w:p>
        </w:tc>
        <w:tc>
          <w:tcPr/>
          <w:p>
            <w:pPr>
              <w:pStyle w:val="Compact"/>
              <w:jc w:val="left"/>
            </w:pPr>
            <w:r>
              <w:t xml:space="preserve">Verified fact</w:t>
            </w:r>
          </w:p>
        </w:tc>
        <w:tc>
          <w:tcPr/>
          <w:p>
            <w:pPr>
              <w:pStyle w:val="Compact"/>
              <w:jc w:val="left"/>
            </w:pPr>
            <w:r>
              <w:t xml:space="preserve">A1-S057, V1-S091</w:t>
            </w:r>
          </w:p>
        </w:tc>
      </w:tr>
      <w:tr>
        <w:tc>
          <w:tcPr/>
          <w:p>
            <w:pPr>
              <w:pStyle w:val="Compact"/>
              <w:jc w:val="left"/>
            </w:pPr>
            <w:r>
              <w:t xml:space="preserve">Category</w:t>
            </w:r>
          </w:p>
        </w:tc>
        <w:tc>
          <w:tcPr/>
          <w:p>
            <w:pPr>
              <w:pStyle w:val="Compact"/>
              <w:jc w:val="left"/>
            </w:pPr>
            <w:r>
              <w:t xml:space="preserve">Open-source document conversion and parsing toolkit (PDF, Office, HTML, images, audio) with VLM pipelines and chunking</w:t>
            </w:r>
          </w:p>
        </w:tc>
        <w:tc>
          <w:tcPr/>
          <w:p>
            <w:pPr>
              <w:pStyle w:val="Compact"/>
              <w:jc w:val="left"/>
            </w:pPr>
            <w:r>
              <w:t xml:space="preserve">Verified fact</w:t>
            </w:r>
          </w:p>
        </w:tc>
        <w:tc>
          <w:tcPr/>
          <w:p>
            <w:pPr>
              <w:pStyle w:val="Compact"/>
              <w:jc w:val="left"/>
            </w:pPr>
            <w:r>
              <w:t xml:space="preserve">A1-S057, A1-S111</w:t>
            </w:r>
          </w:p>
        </w:tc>
      </w:tr>
      <w:tr>
        <w:tc>
          <w:tcPr/>
          <w:p>
            <w:pPr>
              <w:pStyle w:val="Compact"/>
              <w:jc w:val="left"/>
            </w:pPr>
            <w:r>
              <w:t xml:space="preserve">Version / lineup</w:t>
            </w:r>
          </w:p>
        </w:tc>
        <w:tc>
          <w:tcPr/>
          <w:p>
            <w:pPr>
              <w:pStyle w:val="Compact"/>
              <w:jc w:val="left"/>
            </w:pPr>
            <w:r>
              <w:t xml:space="preserve">docling 2.135.0, released 7 October 2026; docling-serve has a stable v1 API</w:t>
            </w:r>
          </w:p>
        </w:tc>
        <w:tc>
          <w:tcPr/>
          <w:p>
            <w:pPr>
              <w:pStyle w:val="Compact"/>
              <w:jc w:val="left"/>
            </w:pPr>
            <w:r>
              <w:t xml:space="preserve">Verified fact</w:t>
            </w:r>
          </w:p>
        </w:tc>
        <w:tc>
          <w:tcPr/>
          <w:p>
            <w:pPr>
              <w:pStyle w:val="Compact"/>
              <w:jc w:val="left"/>
            </w:pPr>
            <w:r>
              <w:t xml:space="preserve">A1-S008, A1-S082</w:t>
            </w:r>
          </w:p>
        </w:tc>
      </w:tr>
      <w:tr>
        <w:tc>
          <w:tcPr/>
          <w:p>
            <w:pPr>
              <w:pStyle w:val="Compact"/>
              <w:jc w:val="left"/>
            </w:pPr>
            <w:r>
              <w:t xml:space="preserve">Licence</w:t>
            </w:r>
          </w:p>
        </w:tc>
        <w:tc>
          <w:tcPr/>
          <w:p>
            <w:pPr>
              <w:pStyle w:val="Compact"/>
              <w:jc w:val="left"/>
            </w:pPr>
            <w:r>
              <w:t xml:space="preserve">MIT (codebase); individual models carry their own licences</w:t>
            </w:r>
          </w:p>
        </w:tc>
        <w:tc>
          <w:tcPr/>
          <w:p>
            <w:pPr>
              <w:pStyle w:val="Compact"/>
              <w:jc w:val="left"/>
            </w:pPr>
            <w:r>
              <w:t xml:space="preserve">Verified fact</w:t>
            </w:r>
          </w:p>
        </w:tc>
        <w:tc>
          <w:tcPr/>
          <w:p>
            <w:pPr>
              <w:pStyle w:val="Compact"/>
              <w:jc w:val="left"/>
            </w:pPr>
            <w:r>
              <w:t xml:space="preserve">A1-S057, A1-S008</w:t>
            </w:r>
          </w:p>
        </w:tc>
      </w:tr>
      <w:tr>
        <w:tc>
          <w:tcPr/>
          <w:p>
            <w:pPr>
              <w:pStyle w:val="Compact"/>
              <w:jc w:val="left"/>
            </w:pPr>
            <w:r>
              <w:t xml:space="preserve">Status events</w:t>
            </w:r>
          </w:p>
        </w:tc>
        <w:tc>
          <w:tcPr/>
          <w:p>
            <w:pPr>
              <w:pStyle w:val="Compact"/>
              <w:jc w:val="left"/>
            </w:pPr>
            <w:r>
              <w:t xml:space="preserve">March 2025: IBM donated Docling to the LF AI &amp; Data Foundation as an Incubation-stage project (formal induction announced 29 April 2025); August 2026: graduated to Graduate-tier LF AI &amp; Data project; Repository now under the docling-project organisation</w:t>
            </w:r>
          </w:p>
        </w:tc>
        <w:tc>
          <w:tcPr/>
          <w:p>
            <w:pPr>
              <w:pStyle w:val="Compact"/>
              <w:jc w:val="left"/>
            </w:pPr>
            <w:r>
              <w:t xml:space="preserve">Verified fact</w:t>
            </w:r>
          </w:p>
        </w:tc>
        <w:tc>
          <w:tcPr/>
          <w:p>
            <w:pPr>
              <w:pStyle w:val="Compact"/>
              <w:jc w:val="left"/>
            </w:pPr>
            <w:r>
              <w:t xml:space="preserve">A1-S057, V1-S091</w:t>
            </w:r>
          </w:p>
        </w:tc>
      </w:tr>
      <w:tr>
        <w:tc>
          <w:tcPr/>
          <w:p>
            <w:pPr>
              <w:pStyle w:val="Compact"/>
              <w:jc w:val="left"/>
            </w:pPr>
            <w:r>
              <w:t xml:space="preserve">Strategic direction</w:t>
            </w:r>
          </w:p>
        </w:tc>
        <w:tc>
          <w:tcPr/>
          <w:p>
            <w:pPr>
              <w:pStyle w:val="Compact"/>
              <w:jc w:val="left"/>
            </w:pPr>
            <w:r>
              <w:t xml:space="preserve">VLM support including IBM GraniteDocling, MCP server for agents, docling-serve API server, managed</w:t>
            </w:r>
            <w:r>
              <w:t xml:space="preserve"> </w:t>
            </w:r>
            <w:r>
              <w:t xml:space="preserve">‘</w:t>
            </w:r>
            <w:r>
              <w:t xml:space="preserve">Docling for IBM watsonx</w:t>
            </w:r>
            <w:r>
              <w:t xml:space="preserve">’</w:t>
            </w:r>
          </w:p>
        </w:tc>
        <w:tc>
          <w:tcPr/>
          <w:p>
            <w:pPr>
              <w:pStyle w:val="Compact"/>
              <w:jc w:val="left"/>
            </w:pPr>
            <w:r>
              <w:t xml:space="preserve">Verified fact</w:t>
            </w:r>
          </w:p>
        </w:tc>
        <w:tc>
          <w:tcPr/>
          <w:p>
            <w:pPr>
              <w:pStyle w:val="Compact"/>
              <w:jc w:val="left"/>
            </w:pPr>
            <w:r>
              <w:t xml:space="preserve">A1-S057, A1-S082, A1-S110</w:t>
            </w:r>
          </w:p>
        </w:tc>
      </w:tr>
      <w:tr>
        <w:tc>
          <w:tcPr/>
          <w:p>
            <w:pPr>
              <w:pStyle w:val="Compact"/>
              <w:jc w:val="left"/>
            </w:pPr>
            <w:r>
              <w:t xml:space="preserve">What it does</w:t>
            </w:r>
          </w:p>
        </w:tc>
        <w:tc>
          <w:tcPr/>
          <w:p>
            <w:pPr>
              <w:pStyle w:val="Compact"/>
              <w:jc w:val="left"/>
            </w:pPr>
            <w:r>
              <w:t xml:space="preserve">Parses many document formats into a unified DoclingDocument representation and exports Markdown, JSON and other formats; supports OCR, VLM pipelines, ASR for audio/video and hybrid chunking.</w:t>
            </w:r>
          </w:p>
        </w:tc>
        <w:tc>
          <w:tcPr/>
          <w:p>
            <w:pPr>
              <w:pStyle w:val="Compact"/>
              <w:jc w:val="left"/>
            </w:pPr>
            <w:r>
              <w:t xml:space="preserve">Verified fact</w:t>
            </w:r>
          </w:p>
        </w:tc>
        <w:tc>
          <w:tcPr/>
          <w:p>
            <w:pPr>
              <w:pStyle w:val="Compact"/>
              <w:jc w:val="left"/>
            </w:pPr>
            <w:r>
              <w:t xml:space="preserve">A1-S057, A1-S111</w:t>
            </w:r>
          </w:p>
        </w:tc>
      </w:tr>
      <w:tr>
        <w:tc>
          <w:tcPr/>
          <w:p>
            <w:pPr>
              <w:pStyle w:val="Compact"/>
              <w:jc w:val="left"/>
            </w:pPr>
            <w:r>
              <w:t xml:space="preserve">Stack position</w:t>
            </w:r>
          </w:p>
        </w:tc>
        <w:tc>
          <w:tcPr/>
          <w:p>
            <w:pPr>
              <w:pStyle w:val="Compact"/>
              <w:jc w:val="left"/>
            </w:pPr>
            <w:r>
              <w:t xml:space="preserve">L8 document parsing; runs locally or as an API service</w:t>
            </w:r>
          </w:p>
        </w:tc>
        <w:tc>
          <w:tcPr/>
          <w:p>
            <w:pPr>
              <w:pStyle w:val="Compact"/>
              <w:jc w:val="left"/>
            </w:pPr>
            <w:r>
              <w:t xml:space="preserve">Verified fact</w:t>
            </w:r>
          </w:p>
        </w:tc>
        <w:tc>
          <w:tcPr/>
          <w:p>
            <w:pPr>
              <w:pStyle w:val="Compact"/>
              <w:jc w:val="left"/>
            </w:pPr>
            <w:r>
              <w:t xml:space="preserve">A1-S057, A1-S082</w:t>
            </w:r>
          </w:p>
        </w:tc>
      </w:tr>
      <w:tr>
        <w:tc>
          <w:tcPr/>
          <w:p>
            <w:pPr>
              <w:pStyle w:val="Compact"/>
              <w:jc w:val="left"/>
            </w:pPr>
            <w:r>
              <w:t xml:space="preserve">Integration</w:t>
            </w:r>
          </w:p>
        </w:tc>
        <w:tc>
          <w:tcPr/>
          <w:p>
            <w:pPr>
              <w:pStyle w:val="Compact"/>
              <w:jc w:val="left"/>
            </w:pPr>
            <w:r>
              <w:t xml:space="preserve">Python library and CLI, REST API (docling-serve), MCP server; integrations with agent frameworks</w:t>
            </w:r>
          </w:p>
        </w:tc>
        <w:tc>
          <w:tcPr/>
          <w:p>
            <w:pPr>
              <w:pStyle w:val="Compact"/>
              <w:jc w:val="left"/>
            </w:pPr>
            <w:r>
              <w:t xml:space="preserve">Verified fact</w:t>
            </w:r>
          </w:p>
        </w:tc>
        <w:tc>
          <w:tcPr/>
          <w:p>
            <w:pPr>
              <w:pStyle w:val="Compact"/>
              <w:jc w:val="left"/>
            </w:pPr>
            <w:r>
              <w:t xml:space="preserve">A1-S057, A1-S082</w:t>
            </w:r>
          </w:p>
        </w:tc>
      </w:tr>
      <w:tr>
        <w:tc>
          <w:tcPr/>
          <w:p>
            <w:pPr>
              <w:pStyle w:val="Compact"/>
              <w:jc w:val="left"/>
            </w:pPr>
            <w:r>
              <w:t xml:space="preserve">Dependencies</w:t>
            </w:r>
          </w:p>
        </w:tc>
        <w:tc>
          <w:tcPr/>
          <w:p>
            <w:pPr>
              <w:pStyle w:val="Compact"/>
              <w:jc w:val="left"/>
            </w:pPr>
            <w:r>
              <w:t xml:space="preserve">Python; LibreOffice for legacy Office/RTF; optional ASR extra and ffmpeg for media; optional VLMs</w:t>
            </w:r>
          </w:p>
        </w:tc>
        <w:tc>
          <w:tcPr/>
          <w:p>
            <w:pPr>
              <w:pStyle w:val="Compact"/>
              <w:jc w:val="left"/>
            </w:pPr>
            <w:r>
              <w:t xml:space="preserve">Verified fact</w:t>
            </w:r>
          </w:p>
        </w:tc>
        <w:tc>
          <w:tcPr/>
          <w:p>
            <w:pPr>
              <w:pStyle w:val="Compact"/>
              <w:jc w:val="left"/>
            </w:pPr>
            <w:r>
              <w:t xml:space="preserve">A1-S111</w:t>
            </w:r>
          </w:p>
        </w:tc>
      </w:tr>
      <w:tr>
        <w:tc>
          <w:tcPr/>
          <w:p>
            <w:pPr>
              <w:pStyle w:val="Compact"/>
              <w:jc w:val="left"/>
            </w:pPr>
            <w:r>
              <w:t xml:space="preserve">Certifications</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GDPR / residency</w:t>
            </w:r>
          </w:p>
        </w:tc>
        <w:tc>
          <w:tcPr/>
          <w:p>
            <w:pPr>
              <w:pStyle w:val="Compact"/>
              <w:jc w:val="left"/>
            </w:pPr>
            <w:r>
              <w:t xml:space="preserve">Local/self-hosted processing keeps documents in the customer environment</w:t>
            </w:r>
          </w:p>
        </w:tc>
        <w:tc>
          <w:tcPr/>
          <w:p>
            <w:pPr>
              <w:pStyle w:val="Compact"/>
              <w:jc w:val="left"/>
            </w:pPr>
            <w:r>
              <w:t xml:space="preserve">Architectural judgement</w:t>
            </w:r>
          </w:p>
        </w:tc>
        <w:tc>
          <w:tcPr/>
          <w:p>
            <w:pPr>
              <w:pStyle w:val="Compact"/>
            </w:pPr>
          </w:p>
        </w:tc>
      </w:tr>
      <w:tr>
        <w:tc>
          <w:tcPr/>
          <w:p>
            <w:pPr>
              <w:pStyle w:val="Compact"/>
              <w:jc w:val="left"/>
            </w:pPr>
            <w:r>
              <w:t xml:space="preserve">Security features</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Access controls</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Enterprise support</w:t>
            </w:r>
          </w:p>
        </w:tc>
        <w:tc>
          <w:tcPr/>
          <w:p>
            <w:pPr>
              <w:pStyle w:val="Compact"/>
              <w:jc w:val="left"/>
            </w:pPr>
            <w:r>
              <w:t xml:space="preserve">Commercial managed option via IBM watsonx</w:t>
            </w:r>
          </w:p>
        </w:tc>
        <w:tc>
          <w:tcPr/>
          <w:p>
            <w:pPr>
              <w:pStyle w:val="Compact"/>
              <w:jc w:val="left"/>
            </w:pPr>
            <w:r>
              <w:t xml:space="preserve">Verified fact</w:t>
            </w:r>
          </w:p>
        </w:tc>
        <w:tc>
          <w:tcPr/>
          <w:p>
            <w:pPr>
              <w:pStyle w:val="Compact"/>
              <w:jc w:val="left"/>
            </w:pPr>
            <w:r>
              <w:t xml:space="preserve">A1-S110</w:t>
            </w:r>
          </w:p>
        </w:tc>
      </w:tr>
      <w:tr>
        <w:tc>
          <w:tcPr/>
          <w:p>
            <w:pPr>
              <w:pStyle w:val="Compact"/>
              <w:jc w:val="left"/>
            </w:pPr>
            <w:r>
              <w:t xml:space="preserve">Pricing</w:t>
            </w:r>
          </w:p>
        </w:tc>
        <w:tc>
          <w:tcPr/>
          <w:p>
            <w:pPr>
              <w:pStyle w:val="Compact"/>
              <w:jc w:val="left"/>
            </w:pPr>
            <w:r>
              <w:t xml:space="preserve">Free (MIT); managed IBM watsonx pricing not captured</w:t>
            </w:r>
          </w:p>
        </w:tc>
        <w:tc>
          <w:tcPr/>
          <w:p>
            <w:pPr>
              <w:pStyle w:val="Compact"/>
              <w:jc w:val="left"/>
            </w:pPr>
            <w:r>
              <w:t xml:space="preserve">Verified fact</w:t>
            </w:r>
          </w:p>
        </w:tc>
        <w:tc>
          <w:tcPr/>
          <w:p>
            <w:pPr>
              <w:pStyle w:val="Compact"/>
              <w:jc w:val="left"/>
            </w:pPr>
            <w:r>
              <w:t xml:space="preserve">A1-S057, A1-S110</w:t>
            </w:r>
          </w:p>
        </w:tc>
      </w:tr>
      <w:tr>
        <w:tc>
          <w:tcPr/>
          <w:p>
            <w:pPr>
              <w:pStyle w:val="Compact"/>
              <w:jc w:val="left"/>
            </w:pPr>
            <w:r>
              <w:t xml:space="preserve">Infrastructure cost</w:t>
            </w:r>
          </w:p>
        </w:tc>
        <w:tc>
          <w:tcPr/>
          <w:p>
            <w:pPr>
              <w:pStyle w:val="Compact"/>
              <w:jc w:val="left"/>
            </w:pPr>
            <w:r>
              <w:t xml:space="preserve">CPU is sufficient for standard pipelines; VLM and ASR pipelines benefit from GPU</w:t>
            </w:r>
          </w:p>
        </w:tc>
        <w:tc>
          <w:tcPr/>
          <w:p>
            <w:pPr>
              <w:pStyle w:val="Compact"/>
              <w:jc w:val="left"/>
            </w:pPr>
            <w:r>
              <w:t xml:space="preserve">Architectural judgement</w:t>
            </w:r>
          </w:p>
        </w:tc>
        <w:tc>
          <w:tcPr/>
          <w:p>
            <w:pPr>
              <w:pStyle w:val="Compact"/>
            </w:pPr>
          </w:p>
        </w:tc>
      </w:tr>
      <w:tr>
        <w:tc>
          <w:tcPr/>
          <w:p>
            <w:pPr>
              <w:pStyle w:val="Compact"/>
              <w:jc w:val="left"/>
            </w:pPr>
            <w:r>
              <w:t xml:space="preserve">Ecosystem</w:t>
            </w:r>
          </w:p>
        </w:tc>
        <w:tc>
          <w:tcPr/>
          <w:p>
            <w:pPr>
              <w:pStyle w:val="Compact"/>
              <w:jc w:val="left"/>
            </w:pPr>
            <w:r>
              <w:t xml:space="preserve">Format coverage: PDF, DOCX/XLSX/PPTX, legacy Office, ODF, EPUB, Apple iWork, Markdown, AsciiDoc, LaTeX, HTML, MHTML, CSV, images, audio, video</w:t>
            </w:r>
          </w:p>
        </w:tc>
        <w:tc>
          <w:tcPr/>
          <w:p>
            <w:pPr>
              <w:pStyle w:val="Compact"/>
              <w:jc w:val="left"/>
            </w:pPr>
            <w:r>
              <w:t xml:space="preserve">Verified fact</w:t>
            </w:r>
          </w:p>
        </w:tc>
        <w:tc>
          <w:tcPr/>
          <w:p>
            <w:pPr>
              <w:pStyle w:val="Compact"/>
              <w:jc w:val="left"/>
            </w:pPr>
            <w:r>
              <w:t xml:space="preserve">A1-S111</w:t>
            </w:r>
          </w:p>
        </w:tc>
      </w:tr>
      <w:tr>
        <w:tc>
          <w:tcPr/>
          <w:p>
            <w:pPr>
              <w:pStyle w:val="Compact"/>
              <w:jc w:val="left"/>
            </w:pPr>
            <w:r>
              <w:t xml:space="preserve">Adoption signals</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Maturity</w:t>
            </w:r>
          </w:p>
        </w:tc>
        <w:tc>
          <w:tcPr/>
          <w:p>
            <w:pPr>
              <w:pStyle w:val="Compact"/>
              <w:jc w:val="left"/>
            </w:pPr>
            <w:r>
              <w:t xml:space="preserve">First PyPI release 15 July 2024; 223 releases to 7 October 2026</w:t>
            </w:r>
          </w:p>
        </w:tc>
        <w:tc>
          <w:tcPr/>
          <w:p>
            <w:pPr>
              <w:pStyle w:val="Compact"/>
              <w:jc w:val="left"/>
            </w:pPr>
            <w:r>
              <w:t xml:space="preserve">Verified fact</w:t>
            </w:r>
          </w:p>
        </w:tc>
        <w:tc>
          <w:tcPr/>
          <w:p>
            <w:pPr>
              <w:pStyle w:val="Compact"/>
              <w:jc w:val="left"/>
            </w:pPr>
            <w:r>
              <w:t xml:space="preserve">A1-S008</w:t>
            </w:r>
          </w:p>
        </w:tc>
      </w:tr>
      <w:tr>
        <w:tc>
          <w:tcPr/>
          <w:p>
            <w:pPr>
              <w:pStyle w:val="Compact"/>
              <w:jc w:val="left"/>
            </w:pPr>
            <w:r>
              <w:t xml:space="preserve">Deployment</w:t>
            </w:r>
          </w:p>
        </w:tc>
        <w:tc>
          <w:tcPr/>
          <w:p>
            <w:pPr>
              <w:pStyle w:val="Compact"/>
              <w:jc w:val="left"/>
            </w:pPr>
            <w:r>
              <w:t xml:space="preserve">saas: Not publicly verified; managed_cloud: Yes (Docling for IBM watsonx managed service); vpc_byoc: Not publicly verified; private_cloud: Yes; self_hosted: Yes; on_prem: Yes</w:t>
            </w:r>
          </w:p>
        </w:tc>
        <w:tc>
          <w:tcPr/>
          <w:p>
            <w:pPr>
              <w:pStyle w:val="Compact"/>
            </w:pPr>
          </w:p>
        </w:tc>
        <w:tc>
          <w:tcPr/>
          <w:p>
            <w:pPr>
              <w:pStyle w:val="Compact"/>
            </w:pPr>
          </w:p>
        </w:tc>
      </w:tr>
    </w:tbl>
    <w:bookmarkEnd w:id="212"/>
    <w:bookmarkStart w:id="232" w:name="X97acdfc79f1d95e56f9162ccff0e577755d5130"/>
    <w:p>
      <w:pPr>
        <w:pStyle w:val="Heading2"/>
      </w:pPr>
      <w:r>
        <w:t xml:space="preserve">Unstructured: open-source</w:t>
      </w:r>
      <w:r>
        <w:t xml:space="preserve"> </w:t>
      </w:r>
      <w:r>
        <w:t xml:space="preserve">‘</w:t>
      </w:r>
      <w:r>
        <w:t xml:space="preserve">unstructured</w:t>
      </w:r>
      <w:r>
        <w:t xml:space="preserve">’</w:t>
      </w:r>
      <w:r>
        <w:t xml:space="preserve"> </w:t>
      </w:r>
      <w:r>
        <w:t xml:space="preserve">library and</w:t>
      </w:r>
      <w:r>
        <w:t xml:space="preserve"> </w:t>
      </w:r>
      <w:r>
        <w:t xml:space="preserve">‘</w:t>
      </w:r>
      <w:r>
        <w:t xml:space="preserve">unstructured-ingest</w:t>
      </w:r>
      <w:r>
        <w:t xml:space="preserve">’</w:t>
      </w:r>
      <w:r>
        <w:t xml:space="preserve"> </w:t>
      </w:r>
      <w:r>
        <w:t xml:space="preserve">connectors; commercial Transform v2 API / platform (</w:t>
      </w:r>
      <w:r>
        <w:rPr>
          <w:rStyle w:val="VerbatimChar"/>
        </w:rPr>
        <w:t xml:space="preserve">L8-unstructured</w:t>
      </w:r>
      <w:r>
        <w:t xml:space="preserve">)</w:t>
      </w:r>
    </w:p>
    <w:p>
      <w:pPr>
        <w:pStyle w:val="FirstParagraph"/>
      </w:pPr>
      <w:r>
        <w:rPr>
          <w:bCs/>
          <w:b/>
        </w:rPr>
        <w:t xml:space="preserve">Tier:</w:t>
      </w:r>
      <w:r>
        <w:t xml:space="preserve"> </w:t>
      </w:r>
      <w:r>
        <w:t xml:space="preserve">Strategic ·</w:t>
      </w:r>
      <w:r>
        <w:t xml:space="preserve"> </w:t>
      </w:r>
      <w:r>
        <w:rPr>
          <w:bCs/>
          <w:b/>
        </w:rPr>
        <w:t xml:space="preserve">Flags:</w:t>
      </w:r>
      <w:r>
        <w:t xml:space="preserve"> </w:t>
      </w:r>
      <w:r>
        <w:t xml:space="preserve">Renamed ·</w:t>
      </w:r>
      <w:r>
        <w:t xml:space="preserve"> </w:t>
      </w:r>
      <w:r>
        <w:rPr>
          <w:bCs/>
          <w:b/>
        </w:rPr>
        <w:t xml:space="preserve">Original graphic label:</w:t>
      </w:r>
      <w:r>
        <w:t xml:space="preserve"> </w:t>
      </w:r>
      <w:r>
        <w:t xml:space="preserve">Unstructured – ETL for docs</w:t>
      </w:r>
    </w:p>
    <w:p>
      <w:pPr>
        <w:pStyle w:val="BodyText"/>
      </w:pPr>
      <w:r>
        <w:rPr>
          <w:iCs/>
          <w:i/>
        </w:rPr>
        <w:t xml:space="preserve">Rationale:</w:t>
      </w:r>
      <w:r>
        <w:t xml:space="preserve"> </w:t>
      </w:r>
      <w:r>
        <w:t xml:space="preserve">The open-source ingest connectors are the only verified source of ACL metadata and incremental reprocessing in L8, with an in-VPC commercial path.</w:t>
      </w:r>
    </w:p>
    <w:tbl>
      <w:tblPr>
        <w:tblStyle w:val="Table"/>
        <w:tblW w:type="pct" w:w="5000"/>
        <w:tblLook w:firstRow="1" w:lastRow="0" w:firstColumn="0" w:lastColumn="0" w:noHBand="0" w:noVBand="0" w:val="0020"/>
        <w:jc w:val="start"/>
      </w:tblPr>
      <w:tblGrid>
        <w:gridCol w:w="1545"/>
        <w:gridCol w:w="579"/>
        <w:gridCol w:w="5795"/>
      </w:tblGrid>
      <w:tr>
        <w:trPr>
          <w:tblHeader w:val="true"/>
        </w:trPr>
        <w:tc>
          <w:tcPr/>
          <w:p>
            <w:pPr>
              <w:pStyle w:val="Compact"/>
              <w:jc w:val="left"/>
            </w:pPr>
            <w:r>
              <w:t xml:space="preserve">Criterion</w:t>
            </w:r>
          </w:p>
        </w:tc>
        <w:tc>
          <w:tcPr/>
          <w:p>
            <w:pPr>
              <w:pStyle w:val="Compact"/>
              <w:jc w:val="right"/>
            </w:pPr>
            <w:r>
              <w:t xml:space="preserve">Score</w:t>
            </w:r>
          </w:p>
        </w:tc>
        <w:tc>
          <w:tcPr/>
          <w:p>
            <w:pPr>
              <w:pStyle w:val="Compact"/>
              <w:jc w:val="left"/>
            </w:pPr>
            <w:r>
              <w:t xml:space="preserve">Rationale</w:t>
            </w:r>
          </w:p>
        </w:tc>
      </w:tr>
      <w:tr>
        <w:tc>
          <w:tcPr/>
          <w:p>
            <w:pPr>
              <w:pStyle w:val="Compact"/>
              <w:jc w:val="left"/>
            </w:pPr>
            <w:r>
              <w:t xml:space="preserve">Technical</w:t>
            </w:r>
          </w:p>
        </w:tc>
        <w:tc>
          <w:tcPr/>
          <w:p>
            <w:pPr>
              <w:pStyle w:val="Compact"/>
              <w:jc w:val="right"/>
            </w:pPr>
            <w:r>
              <w:t xml:space="preserve">4</w:t>
            </w:r>
          </w:p>
        </w:tc>
        <w:tc>
          <w:tcPr/>
          <w:p>
            <w:pPr>
              <w:pStyle w:val="Compact"/>
              <w:jc w:val="left"/>
            </w:pPr>
            <w:r>
              <w:t xml:space="preserve">Partitioning, chunking and the only verified ACL-aware incremental connectors; best table quality is API-only.</w:t>
            </w:r>
          </w:p>
        </w:tc>
      </w:tr>
      <w:tr>
        <w:tc>
          <w:tcPr/>
          <w:p>
            <w:pPr>
              <w:pStyle w:val="Compact"/>
              <w:jc w:val="left"/>
            </w:pPr>
            <w:r>
              <w:t xml:space="preserve">Enterprise readiness</w:t>
            </w:r>
          </w:p>
        </w:tc>
        <w:tc>
          <w:tcPr/>
          <w:p>
            <w:pPr>
              <w:pStyle w:val="Compact"/>
              <w:jc w:val="right"/>
            </w:pPr>
            <w:r>
              <w:t xml:space="preserve">3</w:t>
            </w:r>
          </w:p>
        </w:tc>
        <w:tc>
          <w:tcPr/>
          <w:p>
            <w:pPr>
              <w:pStyle w:val="Compact"/>
              <w:jc w:val="left"/>
            </w:pPr>
            <w:r>
              <w:t xml:space="preserve">SAML 2.0/OIDC SSO and account- and workspace-level roles mapped from IdP groups on Business deployments</w:t>
            </w:r>
            <w:r>
              <w:t xml:space="preserve"> </w:t>
            </w:r>
            <w:r>
              <w:rPr>
                <w:rStyle w:val="ClaimLabel"/>
              </w:rPr>
              <w:t xml:space="preserve">VF</w:t>
            </w:r>
            <w:r>
              <w:rPr>
                <w:rStyle w:val="FootnoteReference"/>
              </w:rPr>
              <w:footnoteReference w:id="213"/>
            </w:r>
            <w:r>
              <w:t xml:space="preserve">; no workspace audit log documented (stdout logging for the customer’s own collection), so 3.</w:t>
            </w:r>
          </w:p>
        </w:tc>
      </w:tr>
      <w:tr>
        <w:tc>
          <w:tcPr/>
          <w:p>
            <w:pPr>
              <w:pStyle w:val="Compact"/>
              <w:jc w:val="left"/>
            </w:pPr>
            <w:r>
              <w:t xml:space="preserve">Security and compliance</w:t>
            </w:r>
          </w:p>
        </w:tc>
        <w:tc>
          <w:tcPr/>
          <w:p>
            <w:pPr>
              <w:pStyle w:val="Compact"/>
              <w:jc w:val="right"/>
            </w:pPr>
            <w:r>
              <w:t xml:space="preserve">4</w:t>
            </w:r>
          </w:p>
        </w:tc>
        <w:tc>
          <w:tcPr/>
          <w:p>
            <w:pPr>
              <w:pStyle w:val="Compact"/>
              <w:jc w:val="left"/>
            </w:pPr>
            <w:r>
              <w:t xml:space="preserve">Vendor-listed SOC 2 Type 2, ISO 27001, HIPAA and CMMC 2.0 Level 2 (medium confidence); FedRAMP wording is</w:t>
            </w:r>
            <w:r>
              <w:t xml:space="preserve"> </w:t>
            </w:r>
            <w:r>
              <w:t xml:space="preserve">‘</w:t>
            </w:r>
            <w:r>
              <w:t xml:space="preserve">alignment</w:t>
            </w:r>
            <w:r>
              <w:t xml:space="preserve">’</w:t>
            </w:r>
            <w:r>
              <w:t xml:space="preserve"> </w:t>
            </w:r>
            <w:r>
              <w:t xml:space="preserve">only and is not relied on; data region not verified.</w:t>
            </w:r>
          </w:p>
        </w:tc>
      </w:tr>
      <w:tr>
        <w:tc>
          <w:tcPr/>
          <w:p>
            <w:pPr>
              <w:pStyle w:val="Compact"/>
              <w:jc w:val="left"/>
            </w:pPr>
            <w:r>
              <w:t xml:space="preserve">Deployment flexibility</w:t>
            </w:r>
          </w:p>
        </w:tc>
        <w:tc>
          <w:tcPr/>
          <w:p>
            <w:pPr>
              <w:pStyle w:val="Compact"/>
              <w:jc w:val="right"/>
            </w:pPr>
            <w:r>
              <w:t xml:space="preserve">5</w:t>
            </w:r>
          </w:p>
        </w:tc>
        <w:tc>
          <w:tcPr/>
          <w:p>
            <w:pPr>
              <w:pStyle w:val="Compact"/>
              <w:jc w:val="left"/>
            </w:pPr>
            <w:r>
              <w:t xml:space="preserve">Shared SaaS, dedicated, in-VPC, self-hosted open source and vendor-marketed on-prem/air-gapped.</w:t>
            </w:r>
          </w:p>
        </w:tc>
      </w:tr>
      <w:tr>
        <w:tc>
          <w:tcPr/>
          <w:p>
            <w:pPr>
              <w:pStyle w:val="Compact"/>
              <w:jc w:val="left"/>
            </w:pPr>
            <w:r>
              <w:t xml:space="preserve">Ecosystem</w:t>
            </w:r>
          </w:p>
        </w:tc>
        <w:tc>
          <w:tcPr/>
          <w:p>
            <w:pPr>
              <w:pStyle w:val="Compact"/>
              <w:jc w:val="right"/>
            </w:pPr>
            <w:r>
              <w:t xml:space="preserve">4</w:t>
            </w:r>
          </w:p>
        </w:tc>
        <w:tc>
          <w:tcPr/>
          <w:p>
            <w:pPr>
              <w:pStyle w:val="Compact"/>
              <w:jc w:val="left"/>
            </w:pPr>
            <w:r>
              <w:t xml:space="preserve">Large connector catalogue into vector stores and warehouses.</w:t>
            </w:r>
          </w:p>
        </w:tc>
      </w:tr>
      <w:tr>
        <w:tc>
          <w:tcPr/>
          <w:p>
            <w:pPr>
              <w:pStyle w:val="Compact"/>
              <w:jc w:val="left"/>
            </w:pPr>
            <w:r>
              <w:t xml:space="preserve">Reliability and maturity</w:t>
            </w:r>
          </w:p>
        </w:tc>
        <w:tc>
          <w:tcPr/>
          <w:p>
            <w:pPr>
              <w:pStyle w:val="Compact"/>
              <w:jc w:val="right"/>
            </w:pPr>
            <w:r>
              <w:t xml:space="preserve">3</w:t>
            </w:r>
          </w:p>
        </w:tc>
        <w:tc>
          <w:tcPr/>
          <w:p>
            <w:pPr>
              <w:pStyle w:val="Compact"/>
              <w:jc w:val="left"/>
            </w:pPr>
            <w:r>
              <w:t xml:space="preserve">Four years of releases, but pre-1.0 library and a PyPI/changelog version mismatch.</w:t>
            </w:r>
          </w:p>
        </w:tc>
      </w:tr>
      <w:tr>
        <w:tc>
          <w:tcPr/>
          <w:p>
            <w:pPr>
              <w:pStyle w:val="Compact"/>
              <w:jc w:val="left"/>
            </w:pPr>
            <w:r>
              <w:t xml:space="preserve">Cost / TCO</w:t>
            </w:r>
          </w:p>
        </w:tc>
        <w:tc>
          <w:tcPr/>
          <w:p>
            <w:pPr>
              <w:pStyle w:val="Compact"/>
              <w:jc w:val="right"/>
            </w:pPr>
            <w:r>
              <w:t xml:space="preserve">3</w:t>
            </w:r>
          </w:p>
        </w:tc>
        <w:tc>
          <w:tcPr/>
          <w:p>
            <w:pPr>
              <w:pStyle w:val="Compact"/>
              <w:jc w:val="left"/>
            </w:pPr>
            <w:r>
              <w:t xml:space="preserve">Open source free; API pricing published but conflicting.</w:t>
            </w:r>
          </w:p>
        </w:tc>
      </w:tr>
      <w:tr>
        <w:tc>
          <w:tcPr/>
          <w:p>
            <w:pPr>
              <w:pStyle w:val="Compact"/>
              <w:jc w:val="left"/>
            </w:pPr>
            <w:r>
              <w:t xml:space="preserve">Lock-in / portability</w:t>
            </w:r>
          </w:p>
        </w:tc>
        <w:tc>
          <w:tcPr/>
          <w:p>
            <w:pPr>
              <w:pStyle w:val="Compact"/>
              <w:jc w:val="right"/>
            </w:pPr>
            <w:r>
              <w:t xml:space="preserve">4</w:t>
            </w:r>
          </w:p>
        </w:tc>
        <w:tc>
          <w:tcPr/>
          <w:p>
            <w:pPr>
              <w:pStyle w:val="Compact"/>
              <w:jc w:val="left"/>
            </w:pPr>
            <w:r>
              <w:t xml:space="preserve">Apache-2.0 library and connectors; proprietary API for best models.</w:t>
            </w:r>
          </w:p>
        </w:tc>
      </w:tr>
      <w:tr>
        <w:tc>
          <w:tcPr/>
          <w:p>
            <w:pPr>
              <w:pStyle w:val="Compact"/>
              <w:jc w:val="left"/>
            </w:pPr>
            <w:r>
              <w:rPr>
                <w:bCs/>
                <w:b/>
              </w:rPr>
              <w:t xml:space="preserve">Total (generic / FS)</w:t>
            </w:r>
          </w:p>
        </w:tc>
        <w:tc>
          <w:tcPr/>
          <w:p>
            <w:pPr>
              <w:pStyle w:val="Compact"/>
              <w:jc w:val="right"/>
            </w:pPr>
            <w:r>
              <w:rPr>
                <w:bCs/>
                <w:b/>
              </w:rPr>
              <w:t xml:space="preserve">3.80 / 3.85</w:t>
            </w:r>
          </w:p>
        </w:tc>
        <w:tc>
          <w:tcPr/>
          <w:p>
            <w:pPr>
              <w:pStyle w:val="Compact"/>
            </w:pPr>
          </w:p>
        </w:tc>
      </w:tr>
    </w:tbl>
    <w:p>
      <w:pPr>
        <w:pStyle w:val="BodyText"/>
      </w:pPr>
      <w:r>
        <w:rPr>
          <w:iCs/>
          <w:i/>
        </w:rPr>
        <w:t xml:space="preserve">Evidence rules applied:</w:t>
      </w:r>
      <w:r>
        <w:t xml:space="preserve"> </w:t>
      </w:r>
      <w:r>
        <w:t xml:space="preserve">NPV cap lifted at CP2 review (8 October 2026): SSO and RBAC verified (B-REV-S016); audit-log feature not documented; Rule 7 (CP2 Q2) checked at CP2 rework: SSO and RBAC verified, audit logs not documented, so 3 kept (maximum without all three controls)</w:t>
      </w:r>
    </w:p>
    <w:p>
      <w:pPr>
        <w:pStyle w:val="BodyText"/>
      </w:pPr>
      <w:r>
        <w:rPr>
          <w:bCs/>
          <w:b/>
        </w:rPr>
        <w:t xml:space="preserve">Capabilities.</w:t>
      </w:r>
      <w:r>
        <w:t xml:space="preserve"> </w:t>
      </w:r>
      <w:r>
        <w:t xml:space="preserve">Apache-2.0</w:t>
      </w:r>
      <w:r>
        <w:t xml:space="preserve"> </w:t>
      </w:r>
      <w:r>
        <w:t xml:space="preserve">‘</w:t>
      </w:r>
      <w:r>
        <w:t xml:space="preserve">unstructured</w:t>
      </w:r>
      <w:r>
        <w:t xml:space="preserve">’</w:t>
      </w:r>
      <w:r>
        <w:t xml:space="preserve"> </w:t>
      </w:r>
      <w:r>
        <w:t xml:space="preserve">partitioning library and</w:t>
      </w:r>
      <w:r>
        <w:t xml:space="preserve"> </w:t>
      </w:r>
      <w:r>
        <w:t xml:space="preserve">‘</w:t>
      </w:r>
      <w:r>
        <w:t xml:space="preserve">unstructured-ingest</w:t>
      </w:r>
      <w:r>
        <w:t xml:space="preserve">’</w:t>
      </w:r>
      <w:r>
        <w:t xml:space="preserve"> </w:t>
      </w:r>
      <w:r>
        <w:t xml:space="preserve">connectors (SharePoint including Teams channel files, OneDrive, Confluence, Salesforce, S3 and others) that move data to vector stores and warehouses; commercial Transform v2 API with shared, dedicated and in-VPC tiers</w:t>
      </w:r>
      <w:r>
        <w:t xml:space="preserve"> </w:t>
      </w:r>
      <w:r>
        <w:rPr>
          <w:rStyle w:val="ClaimLabel"/>
        </w:rPr>
        <w:t xml:space="preserve">VF</w:t>
      </w:r>
      <w:r>
        <w:rPr>
          <w:rStyle w:val="FootnoteReference"/>
        </w:rPr>
        <w:footnoteReference w:id="215"/>
      </w:r>
      <w:r>
        <w:t xml:space="preserve">.</w:t>
      </w:r>
    </w:p>
    <w:p>
      <w:pPr>
        <w:pStyle w:val="BodyText"/>
      </w:pPr>
      <w:r>
        <w:rPr>
          <w:bCs/>
          <w:b/>
        </w:rPr>
        <w:t xml:space="preserve">Strengths</w:t>
      </w:r>
    </w:p>
    <w:p>
      <w:pPr>
        <w:numPr>
          <w:ilvl w:val="0"/>
          <w:numId w:val="1049"/>
        </w:numPr>
        <w:pStyle w:val="Compact"/>
      </w:pPr>
      <w:r>
        <w:t xml:space="preserve">Only L8 product with verified permission-aware ingestion: a permissions_version SHA-256 ACL digest that triggers reprocessing on ACL-only change</w:t>
      </w:r>
      <w:r>
        <w:t xml:space="preserve"> </w:t>
      </w:r>
      <w:r>
        <w:rPr>
          <w:rStyle w:val="ClaimLabel"/>
        </w:rPr>
        <w:t xml:space="preserve">VF</w:t>
      </w:r>
      <w:r>
        <w:rPr>
          <w:rStyle w:val="FootnoteReference"/>
        </w:rPr>
        <w:footnoteReference w:id="220"/>
      </w:r>
    </w:p>
    <w:p>
      <w:pPr>
        <w:numPr>
          <w:ilvl w:val="0"/>
          <w:numId w:val="1049"/>
        </w:numPr>
        <w:pStyle w:val="Compact"/>
      </w:pPr>
      <w:r>
        <w:t xml:space="preserve">Distinguishes an unavailable permission fetch from an empty permission set</w:t>
      </w:r>
      <w:r>
        <w:t xml:space="preserve"> </w:t>
      </w:r>
      <w:r>
        <w:rPr>
          <w:rStyle w:val="ClaimLabel"/>
        </w:rPr>
        <w:t xml:space="preserve">VF</w:t>
      </w:r>
      <w:r>
        <w:rPr>
          <w:rStyle w:val="FootnoteReference"/>
        </w:rPr>
        <w:footnoteReference w:id="221"/>
      </w:r>
    </w:p>
    <w:p>
      <w:pPr>
        <w:numPr>
          <w:ilvl w:val="0"/>
          <w:numId w:val="1049"/>
        </w:numPr>
        <w:pStyle w:val="Compact"/>
      </w:pPr>
      <w:r>
        <w:t xml:space="preserve">Vendor lists SOC 2 Type 2, ISO 27001, HIPAA and CMMC 2.0 Level 2</w:t>
      </w:r>
      <w:r>
        <w:t xml:space="preserve"> </w:t>
      </w:r>
      <w:r>
        <w:rPr>
          <w:rStyle w:val="ClaimLabel"/>
        </w:rPr>
        <w:t xml:space="preserve">VF</w:t>
      </w:r>
      <w:r>
        <w:rPr>
          <w:rStyle w:val="FootnoteReference"/>
        </w:rPr>
        <w:footnoteReference w:id="222"/>
      </w:r>
    </w:p>
    <w:p>
      <w:pPr>
        <w:numPr>
          <w:ilvl w:val="0"/>
          <w:numId w:val="1049"/>
        </w:numPr>
        <w:pStyle w:val="Compact"/>
      </w:pPr>
      <w:r>
        <w:t xml:space="preserve">Open-source library and connectors stay free, so the pipeline can run in the firm’s estate</w:t>
      </w:r>
      <w:r>
        <w:t xml:space="preserve"> </w:t>
      </w:r>
      <w:r>
        <w:rPr>
          <w:rStyle w:val="ClaimLabel"/>
        </w:rPr>
        <w:t xml:space="preserve">VF</w:t>
      </w:r>
      <w:r>
        <w:rPr>
          <w:rStyle w:val="FootnoteReference"/>
        </w:rPr>
        <w:footnoteReference w:id="224"/>
      </w:r>
    </w:p>
    <w:p>
      <w:pPr>
        <w:pStyle w:val="FirstParagraph"/>
      </w:pPr>
      <w:r>
        <w:rPr>
          <w:bCs/>
          <w:b/>
        </w:rPr>
        <w:t xml:space="preserve">Limitations and risks</w:t>
      </w:r>
    </w:p>
    <w:p>
      <w:pPr>
        <w:numPr>
          <w:ilvl w:val="0"/>
          <w:numId w:val="1050"/>
        </w:numPr>
        <w:pStyle w:val="Compact"/>
      </w:pPr>
      <w:r>
        <w:t xml:space="preserve">No workspace audit-log feature is documented; logs go to stdout for the customer’s own collection</w:t>
      </w:r>
      <w:r>
        <w:t xml:space="preserve"> </w:t>
      </w:r>
      <w:r>
        <w:rPr>
          <w:rStyle w:val="ClaimLabel"/>
        </w:rPr>
        <w:t xml:space="preserve">VF</w:t>
      </w:r>
      <w:r>
        <w:rPr>
          <w:rStyle w:val="FootnoteReference"/>
        </w:rPr>
        <w:footnoteReference w:id="225"/>
      </w:r>
    </w:p>
    <w:p>
      <w:pPr>
        <w:numPr>
          <w:ilvl w:val="0"/>
          <w:numId w:val="1050"/>
        </w:numPr>
        <w:pStyle w:val="Compact"/>
      </w:pPr>
      <w:r>
        <w:t xml:space="preserve">Highest-quality models only via the proprietary API</w:t>
      </w:r>
      <w:r>
        <w:t xml:space="preserve"> </w:t>
      </w:r>
      <w:r>
        <w:rPr>
          <w:rStyle w:val="ClaimLabel"/>
        </w:rPr>
        <w:t xml:space="preserve">VF</w:t>
      </w:r>
      <w:r>
        <w:rPr>
          <w:rStyle w:val="FootnoteReference"/>
        </w:rPr>
        <w:footnoteReference w:id="226"/>
      </w:r>
    </w:p>
    <w:p>
      <w:pPr>
        <w:numPr>
          <w:ilvl w:val="0"/>
          <w:numId w:val="1050"/>
        </w:numPr>
        <w:pStyle w:val="Compact"/>
      </w:pPr>
      <w:r>
        <w:t xml:space="preserve">Library still pre-1.0 after four years (0.27.16)</w:t>
      </w:r>
      <w:r>
        <w:t xml:space="preserve"> </w:t>
      </w:r>
      <w:r>
        <w:rPr>
          <w:rStyle w:val="ClaimLabel"/>
        </w:rPr>
        <w:t xml:space="preserve">VF</w:t>
      </w:r>
      <w:r>
        <w:rPr>
          <w:rStyle w:val="FootnoteReference"/>
        </w:rPr>
        <w:footnoteReference w:id="227"/>
      </w:r>
    </w:p>
    <w:p>
      <w:pPr>
        <w:numPr>
          <w:ilvl w:val="0"/>
          <w:numId w:val="1050"/>
        </w:numPr>
        <w:pStyle w:val="Compact"/>
      </w:pPr>
      <w:r>
        <w:t xml:space="preserve">Per-page price conflict (US$0.015 vs US$0.03)</w:t>
      </w:r>
      <w:r>
        <w:t xml:space="preserve"> </w:t>
      </w:r>
      <w:r>
        <w:rPr>
          <w:rStyle w:val="ClaimLabel"/>
        </w:rPr>
        <w:t xml:space="preserve">VF</w:t>
      </w:r>
      <w:r>
        <w:rPr>
          <w:rStyle w:val="FootnoteReference"/>
        </w:rPr>
        <w:footnoteReference w:id="229"/>
      </w:r>
    </w:p>
    <w:p>
      <w:pPr>
        <w:numPr>
          <w:ilvl w:val="0"/>
          <w:numId w:val="1050"/>
        </w:numPr>
        <w:pStyle w:val="Compact"/>
      </w:pPr>
      <w:r>
        <w:t xml:space="preserve">Library sends usage analytics by default</w:t>
      </w:r>
      <w:r>
        <w:t xml:space="preserve"> </w:t>
      </w:r>
      <w:r>
        <w:rPr>
          <w:rStyle w:val="ClaimLabel"/>
        </w:rPr>
        <w:t xml:space="preserve">VF</w:t>
      </w:r>
      <w:r>
        <w:rPr>
          <w:rStyle w:val="FootnoteReference"/>
        </w:rPr>
        <w:footnoteReference w:id="231"/>
      </w:r>
    </w:p>
    <w:p>
      <w:pPr>
        <w:pStyle w:val="FirstParagraph"/>
      </w:pPr>
      <w:r>
        <w:rPr>
          <w:bCs/>
          <w:b/>
        </w:rPr>
        <w:t xml:space="preserve">Choose when</w:t>
      </w:r>
    </w:p>
    <w:p>
      <w:pPr>
        <w:numPr>
          <w:ilvl w:val="0"/>
          <w:numId w:val="1051"/>
        </w:numPr>
        <w:pStyle w:val="Compact"/>
      </w:pPr>
      <w:r>
        <w:t xml:space="preserve">You need connector-level ACL capture and incremental reprocessing from SharePoint, OneDrive or Confluence</w:t>
      </w:r>
    </w:p>
    <w:p>
      <w:pPr>
        <w:numPr>
          <w:ilvl w:val="0"/>
          <w:numId w:val="1051"/>
        </w:numPr>
        <w:pStyle w:val="Compact"/>
      </w:pPr>
      <w:r>
        <w:t xml:space="preserve">You want one pipeline that can run as open source in-estate or as an in-VPC commercial tier</w:t>
      </w:r>
    </w:p>
    <w:p>
      <w:pPr>
        <w:pStyle w:val="FirstParagraph"/>
      </w:pPr>
      <w:r>
        <w:rPr>
          <w:bCs/>
          <w:b/>
        </w:rPr>
        <w:t xml:space="preserve">Avoid when</w:t>
      </w:r>
    </w:p>
    <w:p>
      <w:pPr>
        <w:numPr>
          <w:ilvl w:val="0"/>
          <w:numId w:val="1052"/>
        </w:numPr>
        <w:pStyle w:val="Compact"/>
      </w:pPr>
      <w:r>
        <w:t xml:space="preserve">You need a documented, exportable audit log on the hosted service today</w:t>
      </w:r>
    </w:p>
    <w:p>
      <w:pPr>
        <w:numPr>
          <w:ilvl w:val="0"/>
          <w:numId w:val="1052"/>
        </w:numPr>
        <w:pStyle w:val="Compact"/>
      </w:pPr>
      <w:r>
        <w:t xml:space="preserve">Your corpus is mostly scanned or table-heavy and you will not pay for the API models</w:t>
      </w:r>
      <w:r>
        <w:t xml:space="preserve"> </w:t>
      </w:r>
      <w:r>
        <w:rPr>
          <w:rStyle w:val="ClaimLabel"/>
        </w:rPr>
        <w:t xml:space="preserve">AJ</w:t>
      </w:r>
    </w:p>
    <w:p>
      <w:pPr>
        <w:pStyle w:val="FirstParagraph"/>
      </w:pPr>
      <w:r>
        <w:rPr>
          <w:bCs/>
          <w:b/>
        </w:rPr>
        <w:t xml:space="preserve">Nearest competitors:</w:t>
      </w:r>
      <w:r>
        <w:t xml:space="preserve"> </w:t>
      </w:r>
      <w:r>
        <w:t xml:space="preserve">L8-docling, L8-llamaparse, L8-reducto</w:t>
      </w:r>
    </w:p>
    <w:p>
      <w:pPr>
        <w:pStyle w:val="BodyText"/>
      </w:pPr>
      <w:r>
        <w:rPr>
          <w:bCs/>
          <w:b/>
        </w:rPr>
        <w:t xml:space="preserve">Regulated-FS note.</w:t>
      </w:r>
      <w:r>
        <w:t xml:space="preserve"> </w:t>
      </w:r>
      <w:r>
        <w:t xml:space="preserve">The connector ACL digest is the nearest thing in this layer to entitlement-preserving ingestion; disable default analytics and confirm the hosted data region before any client data is sent</w:t>
      </w:r>
      <w:r>
        <w:t xml:space="preserve"> </w:t>
      </w:r>
      <w:r>
        <w:rPr>
          <w:rStyle w:val="ClaimLabel"/>
        </w:rPr>
        <w:t xml:space="preserve">Rec</w:t>
      </w:r>
      <w:r>
        <w:t xml:space="preserve">.</w:t>
      </w:r>
    </w:p>
    <w:p>
      <w:pPr>
        <w:pStyle w:val="BodyText"/>
      </w:pPr>
      <w:r>
        <w:rPr>
          <w:bCs/>
          <w:b/>
        </w:rPr>
        <w:t xml:space="preserve">Facts (as of 2026-10-08)</w:t>
      </w:r>
    </w:p>
    <w:tbl>
      <w:tblPr>
        <w:tblStyle w:val="Table"/>
        <w:tblW w:type="pct" w:w="5000"/>
        <w:tblLook w:firstRow="1" w:lastRow="0" w:firstColumn="0" w:lastColumn="0" w:noHBand="0" w:noVBand="0" w:val="0020"/>
        <w:jc w:val="start"/>
      </w:tblPr>
      <w:tblGrid>
        <w:gridCol w:w="1485"/>
        <w:gridCol w:w="4290"/>
        <w:gridCol w:w="1320"/>
        <w:gridCol w:w="825"/>
      </w:tblGrid>
      <w:tr>
        <w:trPr>
          <w:tblHeader w:val="true"/>
        </w:trPr>
        <w:tc>
          <w:tcPr/>
          <w:p>
            <w:pPr>
              <w:pStyle w:val="Compact"/>
              <w:jc w:val="left"/>
            </w:pPr>
            <w:r>
              <w:t xml:space="preserve">Field</w:t>
            </w:r>
          </w:p>
        </w:tc>
        <w:tc>
          <w:tcPr/>
          <w:p>
            <w:pPr>
              <w:pStyle w:val="Compact"/>
              <w:jc w:val="left"/>
            </w:pPr>
            <w:r>
              <w:t xml:space="preserve">Value</w:t>
            </w:r>
          </w:p>
        </w:tc>
        <w:tc>
          <w:tcPr/>
          <w:p>
            <w:pPr>
              <w:pStyle w:val="Compact"/>
              <w:jc w:val="left"/>
            </w:pPr>
            <w:r>
              <w:t xml:space="preserve">Label</w:t>
            </w:r>
          </w:p>
        </w:tc>
        <w:tc>
          <w:tcPr/>
          <w:p>
            <w:pPr>
              <w:pStyle w:val="Compact"/>
              <w:jc w:val="left"/>
            </w:pPr>
            <w:r>
              <w:t xml:space="preserve">Sources</w:t>
            </w:r>
          </w:p>
        </w:tc>
      </w:tr>
      <w:tr>
        <w:tc>
          <w:tcPr/>
          <w:p>
            <w:pPr>
              <w:pStyle w:val="Compact"/>
              <w:jc w:val="left"/>
            </w:pPr>
            <w:r>
              <w:t xml:space="preserve">Company</w:t>
            </w:r>
          </w:p>
        </w:tc>
        <w:tc>
          <w:tcPr/>
          <w:p>
            <w:pPr>
              <w:pStyle w:val="Compact"/>
              <w:jc w:val="left"/>
            </w:pPr>
            <w:r>
              <w:t xml:space="preserve">Unstructured (Unstructured-IO)</w:t>
            </w:r>
          </w:p>
        </w:tc>
        <w:tc>
          <w:tcPr/>
          <w:p>
            <w:pPr>
              <w:pStyle w:val="Compact"/>
              <w:jc w:val="left"/>
            </w:pPr>
            <w:r>
              <w:t xml:space="preserve">Verified fact</w:t>
            </w:r>
          </w:p>
        </w:tc>
        <w:tc>
          <w:tcPr/>
          <w:p>
            <w:pPr>
              <w:pStyle w:val="Compact"/>
              <w:jc w:val="left"/>
            </w:pPr>
            <w:r>
              <w:t xml:space="preserve">A1-S075, A1-S012</w:t>
            </w:r>
          </w:p>
        </w:tc>
      </w:tr>
      <w:tr>
        <w:tc>
          <w:tcPr/>
          <w:p>
            <w:pPr>
              <w:pStyle w:val="Compact"/>
              <w:jc w:val="left"/>
            </w:pPr>
            <w:r>
              <w:t xml:space="preserve">Category</w:t>
            </w:r>
          </w:p>
        </w:tc>
        <w:tc>
          <w:tcPr/>
          <w:p>
            <w:pPr>
              <w:pStyle w:val="Compact"/>
              <w:jc w:val="left"/>
            </w:pPr>
            <w:r>
              <w:t xml:space="preserve">Document partitioning and ETL for LLMs: open-source library plus commercial hosted API</w:t>
            </w:r>
          </w:p>
        </w:tc>
        <w:tc>
          <w:tcPr/>
          <w:p>
            <w:pPr>
              <w:pStyle w:val="Compact"/>
              <w:jc w:val="left"/>
            </w:pPr>
            <w:r>
              <w:t xml:space="preserve">Verified fact</w:t>
            </w:r>
          </w:p>
        </w:tc>
        <w:tc>
          <w:tcPr/>
          <w:p>
            <w:pPr>
              <w:pStyle w:val="Compact"/>
              <w:jc w:val="left"/>
            </w:pPr>
            <w:r>
              <w:t xml:space="preserve">A1-S075</w:t>
            </w:r>
          </w:p>
        </w:tc>
      </w:tr>
      <w:tr>
        <w:tc>
          <w:tcPr/>
          <w:p>
            <w:pPr>
              <w:pStyle w:val="Compact"/>
              <w:jc w:val="left"/>
            </w:pPr>
            <w:r>
              <w:t xml:space="preserve">Version / lineup</w:t>
            </w:r>
          </w:p>
        </w:tc>
        <w:tc>
          <w:tcPr/>
          <w:p>
            <w:pPr>
              <w:pStyle w:val="Compact"/>
              <w:jc w:val="left"/>
            </w:pPr>
            <w:r>
              <w:t xml:space="preserve">unstructured 0.27.16 (5 October 2026); unstructured-ingest 1.11.19 on PyPI (23 September 2026; changelog lists 1.11.21); unstructured-client SDK 0.46.2</w:t>
            </w:r>
          </w:p>
        </w:tc>
        <w:tc>
          <w:tcPr/>
          <w:p>
            <w:pPr>
              <w:pStyle w:val="Compact"/>
              <w:jc w:val="left"/>
            </w:pPr>
            <w:r>
              <w:t xml:space="preserve">Verified fact</w:t>
            </w:r>
          </w:p>
        </w:tc>
        <w:tc>
          <w:tcPr/>
          <w:p>
            <w:pPr>
              <w:pStyle w:val="Compact"/>
              <w:jc w:val="left"/>
            </w:pPr>
            <w:r>
              <w:t xml:space="preserve">A1-S011, A1-S095, A1-S094, A1-S012</w:t>
            </w:r>
          </w:p>
        </w:tc>
      </w:tr>
      <w:tr>
        <w:tc>
          <w:tcPr/>
          <w:p>
            <w:pPr>
              <w:pStyle w:val="Compact"/>
              <w:jc w:val="left"/>
            </w:pPr>
            <w:r>
              <w:t xml:space="preserve">Licence</w:t>
            </w:r>
          </w:p>
        </w:tc>
        <w:tc>
          <w:tcPr/>
          <w:p>
            <w:pPr>
              <w:pStyle w:val="Compact"/>
              <w:jc w:val="left"/>
            </w:pPr>
            <w:r>
              <w:t xml:space="preserve">Open source Apache-2.0 (library and ingest); commercial API proprietary; client SDK MIT</w:t>
            </w:r>
          </w:p>
        </w:tc>
        <w:tc>
          <w:tcPr/>
          <w:p>
            <w:pPr>
              <w:pStyle w:val="Compact"/>
              <w:jc w:val="left"/>
            </w:pPr>
            <w:r>
              <w:t xml:space="preserve">Verified fact</w:t>
            </w:r>
          </w:p>
        </w:tc>
        <w:tc>
          <w:tcPr/>
          <w:p>
            <w:pPr>
              <w:pStyle w:val="Compact"/>
              <w:jc w:val="left"/>
            </w:pPr>
            <w:r>
              <w:t xml:space="preserve">A1-S011, A1-S095, A1-S012, A1-S075</w:t>
            </w:r>
          </w:p>
        </w:tc>
      </w:tr>
      <w:tr>
        <w:tc>
          <w:tcPr/>
          <w:p>
            <w:pPr>
              <w:pStyle w:val="Compact"/>
              <w:jc w:val="left"/>
            </w:pPr>
            <w:r>
              <w:t xml:space="preserve">Status events</w:t>
            </w:r>
          </w:p>
        </w:tc>
        <w:tc>
          <w:tcPr/>
          <w:p>
            <w:pPr>
              <w:pStyle w:val="Compact"/>
              <w:jc w:val="left"/>
            </w:pPr>
            <w:r>
              <w:t xml:space="preserve">Commercial API now branded</w:t>
            </w:r>
            <w:r>
              <w:t xml:space="preserve"> </w:t>
            </w:r>
            <w:r>
              <w:t xml:space="preserve">‘</w:t>
            </w:r>
            <w:r>
              <w:t xml:space="preserve">Transform v2</w:t>
            </w:r>
            <w:r>
              <w:t xml:space="preserve">’</w:t>
            </w:r>
            <w:r>
              <w:t xml:space="preserve"> </w:t>
            </w:r>
            <w:r>
              <w:t xml:space="preserve">(date not verified)</w:t>
            </w:r>
          </w:p>
        </w:tc>
        <w:tc>
          <w:tcPr/>
          <w:p>
            <w:pPr>
              <w:pStyle w:val="Compact"/>
              <w:jc w:val="left"/>
            </w:pPr>
            <w:r>
              <w:t xml:space="preserve">Verified fact</w:t>
            </w:r>
          </w:p>
        </w:tc>
        <w:tc>
          <w:tcPr/>
          <w:p>
            <w:pPr>
              <w:pStyle w:val="Compact"/>
              <w:jc w:val="left"/>
            </w:pPr>
            <w:r>
              <w:t xml:space="preserve">A1-S075</w:t>
            </w:r>
          </w:p>
        </w:tc>
      </w:tr>
      <w:tr>
        <w:tc>
          <w:tcPr/>
          <w:p>
            <w:pPr>
              <w:pStyle w:val="Compact"/>
              <w:jc w:val="left"/>
            </w:pPr>
            <w:r>
              <w:t xml:space="preserve">Strategic direction</w:t>
            </w:r>
          </w:p>
        </w:tc>
        <w:tc>
          <w:tcPr/>
          <w:p>
            <w:pPr>
              <w:pStyle w:val="Compact"/>
              <w:jc w:val="left"/>
            </w:pPr>
            <w:r>
              <w:t xml:space="preserve">Open-source library</w:t>
            </w:r>
            <w:r>
              <w:t xml:space="preserve"> </w:t>
            </w:r>
            <w:r>
              <w:t xml:space="preserve">‘</w:t>
            </w:r>
            <w:r>
              <w:t xml:space="preserve">is, and will stay, completely free</w:t>
            </w:r>
            <w:r>
              <w:t xml:space="preserve">’</w:t>
            </w:r>
            <w:r>
              <w:t xml:space="preserve">; higher-quality models offered via the Transform v2 API, which the vendor claims gives 2x table content accuracy and 58% less invented content than the library</w:t>
            </w:r>
          </w:p>
        </w:tc>
        <w:tc>
          <w:tcPr/>
          <w:p>
            <w:pPr>
              <w:pStyle w:val="Compact"/>
              <w:jc w:val="left"/>
            </w:pPr>
            <w:r>
              <w:t xml:space="preserve">Verified fact</w:t>
            </w:r>
          </w:p>
        </w:tc>
        <w:tc>
          <w:tcPr/>
          <w:p>
            <w:pPr>
              <w:pStyle w:val="Compact"/>
              <w:jc w:val="left"/>
            </w:pPr>
            <w:r>
              <w:t xml:space="preserve">A1-S075</w:t>
            </w:r>
          </w:p>
        </w:tc>
      </w:tr>
      <w:tr>
        <w:tc>
          <w:tcPr/>
          <w:p>
            <w:pPr>
              <w:pStyle w:val="Compact"/>
              <w:jc w:val="left"/>
            </w:pPr>
            <w:r>
              <w:t xml:space="preserve">What it does</w:t>
            </w:r>
          </w:p>
        </w:tc>
        <w:tc>
          <w:tcPr/>
          <w:p>
            <w:pPr>
              <w:pStyle w:val="Compact"/>
              <w:jc w:val="left"/>
            </w:pPr>
            <w:r>
              <w:t xml:space="preserve">Partitions PDFs, HTML, Word and many other formats into structured elements, with chunking, and moves data from source connectors to destinations (vector DBs, warehouses).</w:t>
            </w:r>
          </w:p>
        </w:tc>
        <w:tc>
          <w:tcPr/>
          <w:p>
            <w:pPr>
              <w:pStyle w:val="Compact"/>
              <w:jc w:val="left"/>
            </w:pPr>
            <w:r>
              <w:t xml:space="preserve">Verified fact</w:t>
            </w:r>
          </w:p>
        </w:tc>
        <w:tc>
          <w:tcPr/>
          <w:p>
            <w:pPr>
              <w:pStyle w:val="Compact"/>
              <w:jc w:val="left"/>
            </w:pPr>
            <w:r>
              <w:t xml:space="preserve">A1-S075, A1-S094</w:t>
            </w:r>
          </w:p>
        </w:tc>
      </w:tr>
      <w:tr>
        <w:tc>
          <w:tcPr/>
          <w:p>
            <w:pPr>
              <w:pStyle w:val="Compact"/>
              <w:jc w:val="left"/>
            </w:pPr>
            <w:r>
              <w:t xml:space="preserve">Stack position</w:t>
            </w:r>
          </w:p>
        </w:tc>
        <w:tc>
          <w:tcPr/>
          <w:p>
            <w:pPr>
              <w:pStyle w:val="Compact"/>
              <w:jc w:val="left"/>
            </w:pPr>
            <w:r>
              <w:t xml:space="preserve">L8 ingestion/ETL, including connector-level permissions metadata relevant to H7</w:t>
            </w:r>
          </w:p>
        </w:tc>
        <w:tc>
          <w:tcPr/>
          <w:p>
            <w:pPr>
              <w:pStyle w:val="Compact"/>
              <w:jc w:val="left"/>
            </w:pPr>
            <w:r>
              <w:t xml:space="preserve">Verified fact</w:t>
            </w:r>
          </w:p>
        </w:tc>
        <w:tc>
          <w:tcPr/>
          <w:p>
            <w:pPr>
              <w:pStyle w:val="Compact"/>
              <w:jc w:val="left"/>
            </w:pPr>
            <w:r>
              <w:t xml:space="preserve">A1-S094</w:t>
            </w:r>
          </w:p>
        </w:tc>
      </w:tr>
      <w:tr>
        <w:tc>
          <w:tcPr/>
          <w:p>
            <w:pPr>
              <w:pStyle w:val="Compact"/>
              <w:jc w:val="left"/>
            </w:pPr>
            <w:r>
              <w:t xml:space="preserve">Integration</w:t>
            </w:r>
          </w:p>
        </w:tc>
        <w:tc>
          <w:tcPr/>
          <w:p>
            <w:pPr>
              <w:pStyle w:val="Compact"/>
              <w:jc w:val="left"/>
            </w:pPr>
            <w:r>
              <w:t xml:space="preserve">Python library, ingest connectors (SharePoint incl. Teams channel files, OneDrive, Confluence, Salesforce, Databricks, S3, Teradata, Milvus and others), hosted API with client SDK</w:t>
            </w:r>
          </w:p>
        </w:tc>
        <w:tc>
          <w:tcPr/>
          <w:p>
            <w:pPr>
              <w:pStyle w:val="Compact"/>
              <w:jc w:val="left"/>
            </w:pPr>
            <w:r>
              <w:t xml:space="preserve">Verified fact</w:t>
            </w:r>
          </w:p>
        </w:tc>
        <w:tc>
          <w:tcPr/>
          <w:p>
            <w:pPr>
              <w:pStyle w:val="Compact"/>
              <w:jc w:val="left"/>
            </w:pPr>
            <w:r>
              <w:t xml:space="preserve">A1-S094, A1-S012, A1-S075</w:t>
            </w:r>
          </w:p>
        </w:tc>
      </w:tr>
      <w:tr>
        <w:tc>
          <w:tcPr/>
          <w:p>
            <w:pPr>
              <w:pStyle w:val="Compact"/>
              <w:jc w:val="left"/>
            </w:pPr>
            <w:r>
              <w:t xml:space="preserve">Dependencies</w:t>
            </w:r>
          </w:p>
        </w:tc>
        <w:tc>
          <w:tcPr/>
          <w:p>
            <w:pPr>
              <w:pStyle w:val="Compact"/>
              <w:jc w:val="left"/>
            </w:pPr>
            <w:r>
              <w:t xml:space="preserve">Python; tesseract and poppler for PDFs/images; Docker images available</w:t>
            </w:r>
          </w:p>
        </w:tc>
        <w:tc>
          <w:tcPr/>
          <w:p>
            <w:pPr>
              <w:pStyle w:val="Compact"/>
              <w:jc w:val="left"/>
            </w:pPr>
            <w:r>
              <w:t xml:space="preserve">Verified fact</w:t>
            </w:r>
          </w:p>
        </w:tc>
        <w:tc>
          <w:tcPr/>
          <w:p>
            <w:pPr>
              <w:pStyle w:val="Compact"/>
              <w:jc w:val="left"/>
            </w:pPr>
            <w:r>
              <w:t xml:space="preserve">A1-S075</w:t>
            </w:r>
          </w:p>
        </w:tc>
      </w:tr>
      <w:tr>
        <w:tc>
          <w:tcPr/>
          <w:p>
            <w:pPr>
              <w:pStyle w:val="Compact"/>
              <w:jc w:val="left"/>
            </w:pPr>
            <w:r>
              <w:t xml:space="preserve">Certifications</w:t>
            </w:r>
          </w:p>
        </w:tc>
        <w:tc>
          <w:tcPr/>
          <w:p>
            <w:pPr>
              <w:pStyle w:val="Compact"/>
              <w:jc w:val="left"/>
            </w:pPr>
            <w:r>
              <w:t xml:space="preserve">SOC 2 Type 2, HIPAA, ISO 27001 and GDPR listed on pricing page and API docs; CMMC 2.0 Level 2 certification (110/110, announced c. November 2025); API docs also claim</w:t>
            </w:r>
            <w:r>
              <w:t xml:space="preserve"> </w:t>
            </w:r>
            <w:r>
              <w:t xml:space="preserve">“</w:t>
            </w:r>
            <w:r>
              <w:t xml:space="preserve">adherence</w:t>
            </w:r>
            <w:r>
              <w:t xml:space="preserve">”</w:t>
            </w:r>
            <w:r>
              <w:t xml:space="preserve"> </w:t>
            </w:r>
            <w:r>
              <w:t xml:space="preserve">to FedRAMP, but no FedRAMP authorisation was found - do not state FedRAMP; certificates via trust.unstructured.io</w:t>
            </w:r>
          </w:p>
        </w:tc>
        <w:tc>
          <w:tcPr/>
          <w:p>
            <w:pPr>
              <w:pStyle w:val="Compact"/>
              <w:jc w:val="left"/>
            </w:pPr>
            <w:r>
              <w:t xml:space="preserve">Verified fact</w:t>
            </w:r>
          </w:p>
        </w:tc>
        <w:tc>
          <w:tcPr/>
          <w:p>
            <w:pPr>
              <w:pStyle w:val="Compact"/>
              <w:jc w:val="left"/>
            </w:pPr>
            <w:r>
              <w:t xml:space="preserve">A1-S117, V1-S090</w:t>
            </w:r>
          </w:p>
        </w:tc>
      </w:tr>
      <w:tr>
        <w:tc>
          <w:tcPr/>
          <w:p>
            <w:pPr>
              <w:pStyle w:val="Compact"/>
              <w:jc w:val="left"/>
            </w:pPr>
            <w:r>
              <w:t xml:space="preserve">GDPR / residency</w:t>
            </w:r>
          </w:p>
        </w:tc>
        <w:tc>
          <w:tcPr/>
          <w:p>
            <w:pPr>
              <w:pStyle w:val="Compact"/>
              <w:jc w:val="left"/>
            </w:pPr>
            <w:r>
              <w:t xml:space="preserve">DPA available; GDPR claim scoped to SaaS hosted product; data region not verified</w:t>
            </w:r>
          </w:p>
        </w:tc>
        <w:tc>
          <w:tcPr/>
          <w:p>
            <w:pPr>
              <w:pStyle w:val="Compact"/>
              <w:jc w:val="left"/>
            </w:pPr>
            <w:r>
              <w:t xml:space="preserve">Verified fact</w:t>
            </w:r>
          </w:p>
        </w:tc>
        <w:tc>
          <w:tcPr/>
          <w:p>
            <w:pPr>
              <w:pStyle w:val="Compact"/>
              <w:jc w:val="left"/>
            </w:pPr>
            <w:r>
              <w:t xml:space="preserve">A1-S117</w:t>
            </w:r>
          </w:p>
        </w:tc>
      </w:tr>
      <w:tr>
        <w:tc>
          <w:tcPr/>
          <w:p>
            <w:pPr>
              <w:pStyle w:val="Compact"/>
              <w:jc w:val="left"/>
            </w:pPr>
            <w:r>
              <w:t xml:space="preserve">Security features</w:t>
            </w:r>
          </w:p>
        </w:tc>
        <w:tc>
          <w:tcPr/>
          <w:p>
            <w:pPr>
              <w:pStyle w:val="Compact"/>
              <w:jc w:val="left"/>
            </w:pPr>
            <w:r>
              <w:t xml:space="preserve">Ingest connectors emit a permissions_version ACL digest (SHA-256) so ACL-only changes trigger reprocessing; credential redaction in connector errors; library sends lightweight usage analytics by default</w:t>
            </w:r>
          </w:p>
        </w:tc>
        <w:tc>
          <w:tcPr/>
          <w:p>
            <w:pPr>
              <w:pStyle w:val="Compact"/>
              <w:jc w:val="left"/>
            </w:pPr>
            <w:r>
              <w:t xml:space="preserve">Verified fact</w:t>
            </w:r>
          </w:p>
        </w:tc>
        <w:tc>
          <w:tcPr/>
          <w:p>
            <w:pPr>
              <w:pStyle w:val="Compact"/>
              <w:jc w:val="left"/>
            </w:pPr>
            <w:r>
              <w:t xml:space="preserve">A1-S094, A1-S075</w:t>
            </w:r>
          </w:p>
        </w:tc>
      </w:tr>
      <w:tr>
        <w:tc>
          <w:tcPr/>
          <w:p>
            <w:pPr>
              <w:pStyle w:val="Compact"/>
              <w:jc w:val="left"/>
            </w:pPr>
            <w:r>
              <w:t xml:space="preserve">Access controls</w:t>
            </w:r>
          </w:p>
        </w:tc>
        <w:tc>
          <w:tcPr/>
          <w:p>
            <w:pPr>
              <w:pStyle w:val="Compact"/>
              <w:jc w:val="left"/>
            </w:pPr>
            <w:r>
              <w:t xml:space="preserve">Connector-level permission metadata captured from SharePoint, OneDrive and Confluence (ACL digest); platform RBAC/SSO not verified</w:t>
            </w:r>
          </w:p>
        </w:tc>
        <w:tc>
          <w:tcPr/>
          <w:p>
            <w:pPr>
              <w:pStyle w:val="Compact"/>
              <w:jc w:val="left"/>
            </w:pPr>
            <w:r>
              <w:t xml:space="preserve">Verified fact</w:t>
            </w:r>
          </w:p>
        </w:tc>
        <w:tc>
          <w:tcPr/>
          <w:p>
            <w:pPr>
              <w:pStyle w:val="Compact"/>
              <w:jc w:val="left"/>
            </w:pPr>
            <w:r>
              <w:t xml:space="preserve">A1-S094</w:t>
            </w:r>
          </w:p>
        </w:tc>
      </w:tr>
      <w:tr>
        <w:tc>
          <w:tcPr/>
          <w:p>
            <w:pPr>
              <w:pStyle w:val="Compact"/>
              <w:jc w:val="left"/>
            </w:pPr>
            <w:r>
              <w:t xml:space="preserve">Enterprise support</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Pricing</w:t>
            </w:r>
          </w:p>
        </w:tc>
        <w:tc>
          <w:tcPr/>
          <w:p>
            <w:pPr>
              <w:pStyle w:val="Compact"/>
              <w:jc w:val="left"/>
            </w:pPr>
            <w:r>
              <w:t xml:space="preserve">Let’s Go free (10,000 pages once per account); Pay-As-You-Go US$0.015 per page; Business (dedicated or in-VPC) custom. Conflict: Terms of Service and older pages state US$0.03 per page after 15,000 free pages/month</w:t>
            </w:r>
          </w:p>
        </w:tc>
        <w:tc>
          <w:tcPr/>
          <w:p>
            <w:pPr>
              <w:pStyle w:val="Compact"/>
              <w:jc w:val="left"/>
            </w:pPr>
            <w:r>
              <w:t xml:space="preserve">Verified fact</w:t>
            </w:r>
          </w:p>
        </w:tc>
        <w:tc>
          <w:tcPr/>
          <w:p>
            <w:pPr>
              <w:pStyle w:val="Compact"/>
              <w:jc w:val="left"/>
            </w:pPr>
            <w:r>
              <w:t xml:space="preserve">A1-S117, A1-S118</w:t>
            </w:r>
          </w:p>
        </w:tc>
      </w:tr>
      <w:tr>
        <w:tc>
          <w:tcPr/>
          <w:p>
            <w:pPr>
              <w:pStyle w:val="Compact"/>
              <w:jc w:val="left"/>
            </w:pPr>
            <w:r>
              <w:t xml:space="preserve">Infrastructure cost</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Ecosystem</w:t>
            </w:r>
          </w:p>
        </w:tc>
        <w:tc>
          <w:tcPr/>
          <w:p>
            <w:pPr>
              <w:pStyle w:val="Compact"/>
              <w:jc w:val="left"/>
            </w:pPr>
            <w:r>
              <w:t xml:space="preserve">Large connector catalogue in unstructured-ingest</w:t>
            </w:r>
          </w:p>
        </w:tc>
        <w:tc>
          <w:tcPr/>
          <w:p>
            <w:pPr>
              <w:pStyle w:val="Compact"/>
              <w:jc w:val="left"/>
            </w:pPr>
            <w:r>
              <w:t xml:space="preserve">Verified fact</w:t>
            </w:r>
          </w:p>
        </w:tc>
        <w:tc>
          <w:tcPr/>
          <w:p>
            <w:pPr>
              <w:pStyle w:val="Compact"/>
              <w:jc w:val="left"/>
            </w:pPr>
            <w:r>
              <w:t xml:space="preserve">A1-S094</w:t>
            </w:r>
          </w:p>
        </w:tc>
      </w:tr>
      <w:tr>
        <w:tc>
          <w:tcPr/>
          <w:p>
            <w:pPr>
              <w:pStyle w:val="Compact"/>
              <w:jc w:val="left"/>
            </w:pPr>
            <w:r>
              <w:t xml:space="preserve">Adoption signals</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Maturity</w:t>
            </w:r>
          </w:p>
        </w:tc>
        <w:tc>
          <w:tcPr/>
          <w:p>
            <w:pPr>
              <w:pStyle w:val="Compact"/>
              <w:jc w:val="left"/>
            </w:pPr>
            <w:r>
              <w:t xml:space="preserve">unstructured first on PyPI 6 September 2022; 237 releases</w:t>
            </w:r>
          </w:p>
        </w:tc>
        <w:tc>
          <w:tcPr/>
          <w:p>
            <w:pPr>
              <w:pStyle w:val="Compact"/>
              <w:jc w:val="left"/>
            </w:pPr>
            <w:r>
              <w:t xml:space="preserve">Verified fact</w:t>
            </w:r>
          </w:p>
        </w:tc>
        <w:tc>
          <w:tcPr/>
          <w:p>
            <w:pPr>
              <w:pStyle w:val="Compact"/>
              <w:jc w:val="left"/>
            </w:pPr>
            <w:r>
              <w:t xml:space="preserve">A1-S011</w:t>
            </w:r>
          </w:p>
        </w:tc>
      </w:tr>
      <w:tr>
        <w:tc>
          <w:tcPr/>
          <w:p>
            <w:pPr>
              <w:pStyle w:val="Compact"/>
              <w:jc w:val="left"/>
            </w:pPr>
            <w:r>
              <w:t xml:space="preserve">Deployment</w:t>
            </w:r>
          </w:p>
        </w:tc>
        <w:tc>
          <w:tcPr/>
          <w:p>
            <w:pPr>
              <w:pStyle w:val="Compact"/>
              <w:jc w:val="left"/>
            </w:pPr>
            <w:r>
              <w:t xml:space="preserve">saas: Yes (hosted API; Let’s Go / Pay-As-You-Go shared); managed_cloud: Yes (dedicated instance in Unstructured’s cloud, Business plan); vpc_byoc: Yes (in-VPC in customer cloud, Business plan); private_cloud: Yes (open source); self_hosted: Yes (open source); on_prem: Yes (open source; vendor markets on-prem/air-gapped)</w:t>
            </w:r>
          </w:p>
        </w:tc>
        <w:tc>
          <w:tcPr/>
          <w:p>
            <w:pPr>
              <w:pStyle w:val="Compact"/>
            </w:pPr>
          </w:p>
        </w:tc>
        <w:tc>
          <w:tcPr/>
          <w:p>
            <w:pPr>
              <w:pStyle w:val="Compact"/>
            </w:pPr>
          </w:p>
        </w:tc>
      </w:tr>
    </w:tbl>
    <w:bookmarkEnd w:id="232"/>
    <w:bookmarkStart w:id="248" w:name="X9d86b1308774137718636ba08e8bd540d6fb4b7"/>
    <w:p>
      <w:pPr>
        <w:pStyle w:val="Heading2"/>
      </w:pPr>
      <w:r>
        <w:t xml:space="preserve">Google Cloud Document AI (</w:t>
      </w:r>
      <w:r>
        <w:rPr>
          <w:rStyle w:val="VerbatimChar"/>
        </w:rPr>
        <w:t xml:space="preserve">L8-google-document-ai</w:t>
      </w:r>
      <w:r>
        <w:t xml:space="preserve">)</w:t>
      </w:r>
    </w:p>
    <w:p>
      <w:pPr>
        <w:pStyle w:val="FirstParagraph"/>
      </w:pPr>
      <w:r>
        <w:rPr>
          <w:bCs/>
          <w:b/>
        </w:rPr>
        <w:t xml:space="preserve">Tier:</w:t>
      </w:r>
      <w:r>
        <w:t xml:space="preserve"> </w:t>
      </w:r>
      <w:r>
        <w:t xml:space="preserve">Strategic ·</w:t>
      </w:r>
      <w:r>
        <w:t xml:space="preserve"> </w:t>
      </w:r>
      <w:r>
        <w:rPr>
          <w:bCs/>
          <w:b/>
        </w:rPr>
        <w:t xml:space="preserve">Flags:</w:t>
      </w:r>
      <w:r>
        <w:t xml:space="preserve"> </w:t>
      </w:r>
      <w:r>
        <w:t xml:space="preserve">none ·</w:t>
      </w:r>
      <w:r>
        <w:t xml:space="preserve"> </w:t>
      </w:r>
      <w:r>
        <w:rPr>
          <w:bCs/>
          <w:b/>
        </w:rPr>
        <w:t xml:space="preserve">Original graphic label:</w:t>
      </w:r>
      <w:r>
        <w:t xml:space="preserve"> </w:t>
      </w:r>
      <w:r>
        <w:t xml:space="preserve">not in graphic</w:t>
      </w:r>
    </w:p>
    <w:p>
      <w:pPr>
        <w:pStyle w:val="BodyText"/>
      </w:pPr>
      <w:r>
        <w:rPr>
          <w:iCs/>
          <w:i/>
        </w:rPr>
        <w:t xml:space="preserve">Rationale:</w:t>
      </w:r>
      <w:r>
        <w:t xml:space="preserve"> </w:t>
      </w:r>
      <w:r>
        <w:t xml:space="preserve">Strategic, conditional: where Google Cloud is your primary cloud (CP3 Q2, rubric rule 10). Google’s lead document-processing service; confirm the processor region and keep outputs in the firm’s canonical document model to limit processor lock-in</w:t>
      </w:r>
      <w:r>
        <w:t xml:space="preserve"> </w:t>
      </w:r>
      <w:r>
        <w:rPr>
          <w:rStyle w:val="ClaimLabel"/>
        </w:rPr>
        <w:t xml:space="preserve">AJ</w:t>
      </w:r>
      <w:r>
        <w:t xml:space="preserve">.</w:t>
      </w:r>
    </w:p>
    <w:tbl>
      <w:tblPr>
        <w:tblStyle w:val="Table"/>
        <w:tblW w:type="pct" w:w="5000"/>
        <w:tblLook w:firstRow="1" w:lastRow="0" w:firstColumn="0" w:lastColumn="0" w:noHBand="0" w:noVBand="0" w:val="0020"/>
        <w:jc w:val="start"/>
      </w:tblPr>
      <w:tblGrid>
        <w:gridCol w:w="1545"/>
        <w:gridCol w:w="579"/>
        <w:gridCol w:w="5795"/>
      </w:tblGrid>
      <w:tr>
        <w:trPr>
          <w:tblHeader w:val="true"/>
        </w:trPr>
        <w:tc>
          <w:tcPr/>
          <w:p>
            <w:pPr>
              <w:pStyle w:val="Compact"/>
              <w:jc w:val="left"/>
            </w:pPr>
            <w:r>
              <w:t xml:space="preserve">Criterion</w:t>
            </w:r>
          </w:p>
        </w:tc>
        <w:tc>
          <w:tcPr/>
          <w:p>
            <w:pPr>
              <w:pStyle w:val="Compact"/>
              <w:jc w:val="right"/>
            </w:pPr>
            <w:r>
              <w:t xml:space="preserve">Score</w:t>
            </w:r>
          </w:p>
        </w:tc>
        <w:tc>
          <w:tcPr/>
          <w:p>
            <w:pPr>
              <w:pStyle w:val="Compact"/>
              <w:jc w:val="left"/>
            </w:pPr>
            <w:r>
              <w:t xml:space="preserve">Rationale</w:t>
            </w:r>
          </w:p>
        </w:tc>
      </w:tr>
      <w:tr>
        <w:tc>
          <w:tcPr/>
          <w:p>
            <w:pPr>
              <w:pStyle w:val="Compact"/>
              <w:jc w:val="left"/>
            </w:pPr>
            <w:r>
              <w:t xml:space="preserve">Technical</w:t>
            </w:r>
          </w:p>
        </w:tc>
        <w:tc>
          <w:tcPr/>
          <w:p>
            <w:pPr>
              <w:pStyle w:val="Compact"/>
              <w:jc w:val="right"/>
            </w:pPr>
            <w:r>
              <w:t xml:space="preserve">4</w:t>
            </w:r>
          </w:p>
        </w:tc>
        <w:tc>
          <w:tcPr/>
          <w:p>
            <w:pPr>
              <w:pStyle w:val="Compact"/>
              <w:jc w:val="left"/>
            </w:pPr>
            <w:r>
              <w:t xml:space="preserve">OCR, form parsing, layout parsing with chunking, custom extraction and classification.</w:t>
            </w:r>
          </w:p>
        </w:tc>
      </w:tr>
      <w:tr>
        <w:tc>
          <w:tcPr/>
          <w:p>
            <w:pPr>
              <w:pStyle w:val="Compact"/>
              <w:jc w:val="left"/>
            </w:pPr>
            <w:r>
              <w:t xml:space="preserve">Enterprise readiness</w:t>
            </w:r>
          </w:p>
        </w:tc>
        <w:tc>
          <w:tcPr/>
          <w:p>
            <w:pPr>
              <w:pStyle w:val="Compact"/>
              <w:jc w:val="right"/>
            </w:pPr>
            <w:r>
              <w:t xml:space="preserve">4</w:t>
            </w:r>
          </w:p>
        </w:tc>
        <w:tc>
          <w:tcPr/>
          <w:p>
            <w:pPr>
              <w:pStyle w:val="Compact"/>
              <w:jc w:val="left"/>
            </w:pPr>
            <w:r>
              <w:t xml:space="preserve">Consumed through Google Cloud: IAM including deny policies, VPC Service Controls, IAM-governed Cloud Audit Logs and SAML/OIDC federation at platform level</w:t>
            </w:r>
            <w:r>
              <w:t xml:space="preserve"> </w:t>
            </w:r>
            <w:r>
              <w:rPr>
                <w:rStyle w:val="ClaimLabel"/>
              </w:rPr>
              <w:t xml:space="preserve">VF</w:t>
            </w:r>
            <w:r>
              <w:rPr>
                <w:rStyle w:val="FootnoteReference"/>
              </w:rPr>
              <w:footnoteReference w:id="233"/>
            </w:r>
            <w:r>
              <w:t xml:space="preserve">; rule 6 (CP2 Q1) presumes platform controls, and no product-specific gap is evidenced, so 4; platform controls presumed (CP2 Q1); confirm per service. Not 5: Document AI’s predefined roles and SLA terms were not read.</w:t>
            </w:r>
          </w:p>
        </w:tc>
      </w:tr>
      <w:tr>
        <w:tc>
          <w:tcPr/>
          <w:p>
            <w:pPr>
              <w:pStyle w:val="Compact"/>
              <w:jc w:val="left"/>
            </w:pPr>
            <w:r>
              <w:t xml:space="preserve">Security and compliance</w:t>
            </w:r>
          </w:p>
        </w:tc>
        <w:tc>
          <w:tcPr/>
          <w:p>
            <w:pPr>
              <w:pStyle w:val="Compact"/>
              <w:jc w:val="right"/>
            </w:pPr>
            <w:r>
              <w:t xml:space="preserve">4</w:t>
            </w:r>
          </w:p>
        </w:tc>
        <w:tc>
          <w:tcPr/>
          <w:p>
            <w:pPr>
              <w:pStyle w:val="Compact"/>
              <w:jc w:val="left"/>
            </w:pPr>
            <w:r>
              <w:t xml:space="preserve">In scope for Google Cloud ISO 27001/27017/27018, SOC 1/2/3 and PCI DSS (A1-S102), plus CMEK and US/EU data residency (B-REV-S010, B-REV-S011); CMEK needs allowlisting in some regions. Held at 4, not 5, under rule 8: the scope page names a</w:t>
            </w:r>
            <w:r>
              <w:t xml:space="preserve"> </w:t>
            </w:r>
            <w:r>
              <w:t xml:space="preserve">‘</w:t>
            </w:r>
            <w:r>
              <w:t xml:space="preserve">SOC 2 Report</w:t>
            </w:r>
            <w:r>
              <w:t xml:space="preserve">’</w:t>
            </w:r>
            <w:r>
              <w:t xml:space="preserve"> </w:t>
            </w:r>
            <w:r>
              <w:t xml:space="preserve">without stating Type II, as for AgentCore Memory (L5); the same Google scope evidence gives 4 for Sensitive Data Protection, Model Armor and Apigee.</w:t>
            </w:r>
          </w:p>
        </w:tc>
      </w:tr>
      <w:tr>
        <w:tc>
          <w:tcPr/>
          <w:p>
            <w:pPr>
              <w:pStyle w:val="Compact"/>
              <w:jc w:val="left"/>
            </w:pPr>
            <w:r>
              <w:t xml:space="preserve">Deployment flexibility</w:t>
            </w:r>
          </w:p>
        </w:tc>
        <w:tc>
          <w:tcPr/>
          <w:p>
            <w:pPr>
              <w:pStyle w:val="Compact"/>
              <w:jc w:val="right"/>
            </w:pPr>
            <w:r>
              <w:t xml:space="preserve">2</w:t>
            </w:r>
          </w:p>
        </w:tc>
        <w:tc>
          <w:tcPr/>
          <w:p>
            <w:pPr>
              <w:pStyle w:val="Compact"/>
              <w:jc w:val="left"/>
            </w:pPr>
            <w:r>
              <w:t xml:space="preserve">Managed SaaS only; us and eu multi-regions and regional processors (B-REV-S010, B-REV-S011); no VPC or self-hosted option.</w:t>
            </w:r>
          </w:p>
        </w:tc>
      </w:tr>
      <w:tr>
        <w:tc>
          <w:tcPr/>
          <w:p>
            <w:pPr>
              <w:pStyle w:val="Compact"/>
              <w:jc w:val="left"/>
            </w:pPr>
            <w:r>
              <w:t xml:space="preserve">Ecosystem</w:t>
            </w:r>
          </w:p>
        </w:tc>
        <w:tc>
          <w:tcPr/>
          <w:p>
            <w:pPr>
              <w:pStyle w:val="Compact"/>
              <w:jc w:val="right"/>
            </w:pPr>
            <w:r>
              <w:t xml:space="preserve">3</w:t>
            </w:r>
          </w:p>
        </w:tc>
        <w:tc>
          <w:tcPr/>
          <w:p>
            <w:pPr>
              <w:pStyle w:val="Compact"/>
              <w:jc w:val="left"/>
            </w:pPr>
            <w:r>
              <w:t xml:space="preserve">Google Cloud ecosystem; integrations not captured.</w:t>
            </w:r>
          </w:p>
        </w:tc>
      </w:tr>
      <w:tr>
        <w:tc>
          <w:tcPr/>
          <w:p>
            <w:pPr>
              <w:pStyle w:val="Compact"/>
              <w:jc w:val="left"/>
            </w:pPr>
            <w:r>
              <w:t xml:space="preserve">Reliability and maturity</w:t>
            </w:r>
          </w:p>
        </w:tc>
        <w:tc>
          <w:tcPr/>
          <w:p>
            <w:pPr>
              <w:pStyle w:val="Compact"/>
              <w:jc w:val="right"/>
            </w:pPr>
            <w:r>
              <w:t xml:space="preserve">3</w:t>
            </w:r>
          </w:p>
        </w:tc>
        <w:tc>
          <w:tcPr/>
          <w:p>
            <w:pPr>
              <w:pStyle w:val="Compact"/>
              <w:jc w:val="left"/>
            </w:pPr>
            <w:r>
              <w:t xml:space="preserve">Hyperscaler managed service; maturity facts not captured</w:t>
            </w:r>
            <w:r>
              <w:t xml:space="preserve"> </w:t>
            </w:r>
            <w:r>
              <w:rPr>
                <w:rStyle w:val="ClaimLabel"/>
              </w:rPr>
              <w:t xml:space="preserve">AJ</w:t>
            </w:r>
            <w:r>
              <w:t xml:space="preserve">.</w:t>
            </w:r>
          </w:p>
        </w:tc>
      </w:tr>
      <w:tr>
        <w:tc>
          <w:tcPr/>
          <w:p>
            <w:pPr>
              <w:pStyle w:val="Compact"/>
              <w:jc w:val="left"/>
            </w:pPr>
            <w:r>
              <w:t xml:space="preserve">Cost / TCO</w:t>
            </w:r>
          </w:p>
        </w:tc>
        <w:tc>
          <w:tcPr/>
          <w:p>
            <w:pPr>
              <w:pStyle w:val="Compact"/>
              <w:jc w:val="right"/>
            </w:pPr>
            <w:r>
              <w:t xml:space="preserve">4</w:t>
            </w:r>
          </w:p>
        </w:tc>
        <w:tc>
          <w:tcPr/>
          <w:p>
            <w:pPr>
              <w:pStyle w:val="Compact"/>
              <w:jc w:val="left"/>
            </w:pPr>
            <w:r>
              <w:t xml:space="preserve">Transparent per-page pricing with volume tiers.</w:t>
            </w:r>
          </w:p>
        </w:tc>
      </w:tr>
      <w:tr>
        <w:tc>
          <w:tcPr/>
          <w:p>
            <w:pPr>
              <w:pStyle w:val="Compact"/>
              <w:jc w:val="left"/>
            </w:pPr>
            <w:r>
              <w:t xml:space="preserve">Lock-in / portability</w:t>
            </w:r>
          </w:p>
        </w:tc>
        <w:tc>
          <w:tcPr/>
          <w:p>
            <w:pPr>
              <w:pStyle w:val="Compact"/>
              <w:jc w:val="right"/>
            </w:pPr>
            <w:r>
              <w:t xml:space="preserve">2</w:t>
            </w:r>
          </w:p>
        </w:tc>
        <w:tc>
          <w:tcPr/>
          <w:p>
            <w:pPr>
              <w:pStyle w:val="Compact"/>
              <w:jc w:val="left"/>
            </w:pPr>
            <w:r>
              <w:t xml:space="preserve">Google-specific processors and outputs; adds to hyperscaler concentration.</w:t>
            </w:r>
          </w:p>
        </w:tc>
      </w:tr>
      <w:tr>
        <w:tc>
          <w:tcPr/>
          <w:p>
            <w:pPr>
              <w:pStyle w:val="Compact"/>
              <w:jc w:val="left"/>
            </w:pPr>
            <w:r>
              <w:rPr>
                <w:bCs/>
                <w:b/>
              </w:rPr>
              <w:t xml:space="preserve">Total (generic / FS)</w:t>
            </w:r>
          </w:p>
        </w:tc>
        <w:tc>
          <w:tcPr/>
          <w:p>
            <w:pPr>
              <w:pStyle w:val="Compact"/>
              <w:jc w:val="right"/>
            </w:pPr>
            <w:r>
              <w:rPr>
                <w:bCs/>
                <w:b/>
              </w:rPr>
              <w:t xml:space="preserve">3.40 / 3.25</w:t>
            </w:r>
          </w:p>
        </w:tc>
        <w:tc>
          <w:tcPr/>
          <w:p>
            <w:pPr>
              <w:pStyle w:val="Compact"/>
            </w:pPr>
          </w:p>
        </w:tc>
      </w:tr>
    </w:tbl>
    <w:p>
      <w:pPr>
        <w:pStyle w:val="BodyText"/>
      </w:pPr>
      <w:r>
        <w:rPr>
          <w:iCs/>
          <w:i/>
        </w:rPr>
        <w:t xml:space="preserve">Evidence rules applied:</w:t>
      </w:r>
      <w:r>
        <w:t xml:space="preserve"> </w:t>
      </w:r>
      <w:r>
        <w:t xml:space="preserve">NPV cap lifted at CP2 review (8 October 2026): platform IAM, Cloud Audit Logs and federated SSO verified (B-REV-S010, S012); Rule 6 (CP2 Q1, hyperscaler presumption) applied at CP2 rework: enterprise_readiness 3 -&gt; 4; platform controls presumed (CP2 Q1); confirm per service; Rule 8 (CP2 Q4) re-checked at CP3 rework (8 October 2026): certifications are product-scoped (A1-S102) with CMEK, but the SOC 2 report type is not stated, so security_compliance 5 -&gt; 4 for consistency with other hyperscaler services</w:t>
      </w:r>
    </w:p>
    <w:p>
      <w:pPr>
        <w:pStyle w:val="BodyText"/>
      </w:pPr>
      <w:r>
        <w:rPr>
          <w:bCs/>
          <w:b/>
        </w:rPr>
        <w:t xml:space="preserve">Capabilities.</w:t>
      </w:r>
      <w:r>
        <w:t xml:space="preserve"> </w:t>
      </w:r>
      <w:r>
        <w:t xml:space="preserve">Google Cloud managed OCR, parsing, extraction and classification through processors: Enterprise Document OCR, Form Parser, Layout Parser (with initial chunking), Custom Extractor, classifier/splitter and Summarizer</w:t>
      </w:r>
      <w:r>
        <w:t xml:space="preserve"> </w:t>
      </w:r>
      <w:r>
        <w:rPr>
          <w:rStyle w:val="ClaimLabel"/>
        </w:rPr>
        <w:t xml:space="preserve">VF</w:t>
      </w:r>
      <w:r>
        <w:rPr>
          <w:rStyle w:val="FootnoteReference"/>
        </w:rPr>
        <w:footnoteReference w:id="236"/>
      </w:r>
      <w:r>
        <w:t xml:space="preserve">.</w:t>
      </w:r>
    </w:p>
    <w:p>
      <w:pPr>
        <w:pStyle w:val="BodyText"/>
      </w:pPr>
      <w:r>
        <w:rPr>
          <w:bCs/>
          <w:b/>
        </w:rPr>
        <w:t xml:space="preserve">Strengths</w:t>
      </w:r>
    </w:p>
    <w:p>
      <w:pPr>
        <w:numPr>
          <w:ilvl w:val="0"/>
          <w:numId w:val="1053"/>
        </w:numPr>
        <w:pStyle w:val="Compact"/>
      </w:pPr>
      <w:r>
        <w:t xml:space="preserve">In scope for Google Cloud ISO 27001/27017/27018, SOC 1/2/3 and PCI DSS</w:t>
      </w:r>
      <w:r>
        <w:t xml:space="preserve"> </w:t>
      </w:r>
      <w:r>
        <w:rPr>
          <w:rStyle w:val="ClaimLabel"/>
        </w:rPr>
        <w:t xml:space="preserve">VF</w:t>
      </w:r>
      <w:r>
        <w:rPr>
          <w:rStyle w:val="FootnoteReference"/>
        </w:rPr>
        <w:footnoteReference w:id="238"/>
      </w:r>
    </w:p>
    <w:p>
      <w:pPr>
        <w:numPr>
          <w:ilvl w:val="0"/>
          <w:numId w:val="1053"/>
        </w:numPr>
        <w:pStyle w:val="Compact"/>
      </w:pPr>
      <w:r>
        <w:t xml:space="preserve">Published per-page pricing; Enterprise Document OCR at US$1.50 per 1,000 pages</w:t>
      </w:r>
      <w:r>
        <w:t xml:space="preserve"> </w:t>
      </w:r>
      <w:r>
        <w:rPr>
          <w:rStyle w:val="ClaimLabel"/>
        </w:rPr>
        <w:t xml:space="preserve">VF</w:t>
      </w:r>
      <w:r>
        <w:rPr>
          <w:rStyle w:val="FootnoteReference"/>
        </w:rPr>
        <w:footnoteReference w:id="240"/>
      </w:r>
    </w:p>
    <w:p>
      <w:pPr>
        <w:numPr>
          <w:ilvl w:val="0"/>
          <w:numId w:val="1053"/>
        </w:numPr>
        <w:pStyle w:val="Compact"/>
      </w:pPr>
      <w:r>
        <w:t xml:space="preserve">Runs on a provider designated under DORA and the UK CTP regime (Google Cloud EMEA Limited)</w:t>
      </w:r>
      <w:r>
        <w:t xml:space="preserve"> </w:t>
      </w:r>
      <w:r>
        <w:rPr>
          <w:rStyle w:val="ClaimLabel"/>
        </w:rPr>
        <w:t xml:space="preserve">VF</w:t>
      </w:r>
      <w:r>
        <w:rPr>
          <w:rStyle w:val="FootnoteReference"/>
        </w:rPr>
        <w:footnoteReference w:id="241"/>
      </w:r>
    </w:p>
    <w:p>
      <w:pPr>
        <w:pStyle w:val="FirstParagraph"/>
      </w:pPr>
      <w:r>
        <w:rPr>
          <w:bCs/>
          <w:b/>
        </w:rPr>
        <w:t xml:space="preserve">Limitations and risks</w:t>
      </w:r>
    </w:p>
    <w:p>
      <w:pPr>
        <w:numPr>
          <w:ilvl w:val="0"/>
          <w:numId w:val="1054"/>
        </w:numPr>
        <w:pStyle w:val="Compact"/>
      </w:pPr>
      <w:r>
        <w:t xml:space="preserve">Processor outputs are Google-specific and require Google Cloud</w:t>
      </w:r>
      <w:r>
        <w:t xml:space="preserve"> </w:t>
      </w:r>
      <w:r>
        <w:rPr>
          <w:rStyle w:val="ClaimLabel"/>
        </w:rPr>
        <w:t xml:space="preserve">VF</w:t>
      </w:r>
      <w:r>
        <w:rPr>
          <w:rStyle w:val="FootnoteReference"/>
        </w:rPr>
        <w:footnoteReference w:id="244"/>
      </w:r>
    </w:p>
    <w:p>
      <w:pPr>
        <w:numPr>
          <w:ilvl w:val="0"/>
          <w:numId w:val="1054"/>
        </w:numPr>
        <w:pStyle w:val="Compact"/>
      </w:pPr>
      <w:r>
        <w:t xml:space="preserve">IAM, VPC Service Controls, us/eu multi-regions and CMEK were evidenced at CP2 review</w:t>
      </w:r>
      <w:r>
        <w:t xml:space="preserve"> </w:t>
      </w:r>
      <w:r>
        <w:rPr>
          <w:rStyle w:val="ClaimLabel"/>
        </w:rPr>
        <w:t xml:space="preserve">VF</w:t>
      </w:r>
      <w:r>
        <w:rPr>
          <w:rStyle w:val="FootnoteReference"/>
        </w:rPr>
        <w:footnoteReference w:id="245"/>
      </w:r>
      <w:r>
        <w:t xml:space="preserve">; support and SLA terms not captured</w:t>
      </w:r>
      <w:r>
        <w:t xml:space="preserve"> </w:t>
      </w:r>
      <w:r>
        <w:rPr>
          <w:rStyle w:val="ClaimLabel"/>
        </w:rPr>
        <w:t xml:space="preserve">NPV</w:t>
      </w:r>
      <w:r>
        <w:t xml:space="preserve">; platform controls presumed (CP2 Q1); confirm per service</w:t>
      </w:r>
      <w:r>
        <w:t xml:space="preserve"> </w:t>
      </w:r>
      <w:r>
        <w:rPr>
          <w:rStyle w:val="ClaimLabel"/>
        </w:rPr>
        <w:t xml:space="preserve">Rec</w:t>
      </w:r>
    </w:p>
    <w:p>
      <w:pPr>
        <w:numPr>
          <w:ilvl w:val="0"/>
          <w:numId w:val="1054"/>
        </w:numPr>
        <w:pStyle w:val="Compact"/>
      </w:pPr>
      <w:r>
        <w:t xml:space="preserve">SaaS only; no self-hosting</w:t>
      </w:r>
      <w:r>
        <w:t xml:space="preserve"> </w:t>
      </w:r>
      <w:r>
        <w:rPr>
          <w:rStyle w:val="ClaimLabel"/>
        </w:rPr>
        <w:t xml:space="preserve">AJ</w:t>
      </w:r>
    </w:p>
    <w:p>
      <w:pPr>
        <w:numPr>
          <w:ilvl w:val="0"/>
          <w:numId w:val="1054"/>
        </w:numPr>
        <w:pStyle w:val="Compact"/>
      </w:pPr>
      <w:r>
        <w:t xml:space="preserve">Form Parser and Custom Extractor at US$30 per 1,000 pages</w:t>
      </w:r>
      <w:r>
        <w:t xml:space="preserve"> </w:t>
      </w:r>
      <w:r>
        <w:rPr>
          <w:rStyle w:val="ClaimLabel"/>
        </w:rPr>
        <w:t xml:space="preserve">VF</w:t>
      </w:r>
      <w:r>
        <w:rPr>
          <w:rStyle w:val="FootnoteReference"/>
        </w:rPr>
        <w:footnoteReference w:id="247"/>
      </w:r>
    </w:p>
    <w:p>
      <w:pPr>
        <w:pStyle w:val="FirstParagraph"/>
      </w:pPr>
      <w:r>
        <w:rPr>
          <w:bCs/>
          <w:b/>
        </w:rPr>
        <w:t xml:space="preserve">Choose when</w:t>
      </w:r>
    </w:p>
    <w:p>
      <w:pPr>
        <w:numPr>
          <w:ilvl w:val="0"/>
          <w:numId w:val="1055"/>
        </w:numPr>
        <w:pStyle w:val="Compact"/>
      </w:pPr>
      <w:r>
        <w:t xml:space="preserve">Google Cloud is already the firm’s approved cloud and processing region is confirmed</w:t>
      </w:r>
    </w:p>
    <w:p>
      <w:pPr>
        <w:numPr>
          <w:ilvl w:val="0"/>
          <w:numId w:val="1055"/>
        </w:numPr>
        <w:pStyle w:val="Compact"/>
      </w:pPr>
      <w:r>
        <w:t xml:space="preserve">You want hyperscaler certifications and consolidated third-party oversight</w:t>
      </w:r>
    </w:p>
    <w:p>
      <w:pPr>
        <w:pStyle w:val="FirstParagraph"/>
      </w:pPr>
      <w:r>
        <w:rPr>
          <w:bCs/>
          <w:b/>
        </w:rPr>
        <w:t xml:space="preserve">Avoid when</w:t>
      </w:r>
    </w:p>
    <w:p>
      <w:pPr>
        <w:numPr>
          <w:ilvl w:val="0"/>
          <w:numId w:val="1056"/>
        </w:numPr>
        <w:pStyle w:val="Compact"/>
      </w:pPr>
      <w:r>
        <w:t xml:space="preserve">Documents must stay on-prem or in a non-GCP estate</w:t>
      </w:r>
    </w:p>
    <w:p>
      <w:pPr>
        <w:numPr>
          <w:ilvl w:val="0"/>
          <w:numId w:val="1056"/>
        </w:numPr>
        <w:pStyle w:val="Compact"/>
      </w:pPr>
      <w:r>
        <w:t xml:space="preserve">You are trying to reduce hyperscaler concentration</w:t>
      </w:r>
    </w:p>
    <w:p>
      <w:pPr>
        <w:pStyle w:val="FirstParagraph"/>
      </w:pPr>
      <w:r>
        <w:rPr>
          <w:bCs/>
          <w:b/>
        </w:rPr>
        <w:t xml:space="preserve">Nearest competitors:</w:t>
      </w:r>
      <w:r>
        <w:t xml:space="preserve"> </w:t>
      </w:r>
      <w:r>
        <w:t xml:space="preserve">L8-mistral-ocr, L8-reducto, Azure AI Document Intelligence (not in fact base), AWS Textract (not in fact base)</w:t>
      </w:r>
    </w:p>
    <w:p>
      <w:pPr>
        <w:pStyle w:val="BodyText"/>
      </w:pPr>
      <w:r>
        <w:rPr>
          <w:bCs/>
          <w:b/>
        </w:rPr>
        <w:t xml:space="preserve">Regulated-FS note.</w:t>
      </w:r>
      <w:r>
        <w:t xml:space="preserve"> </w:t>
      </w:r>
      <w:r>
        <w:t xml:space="preserve">Natural choice for a GCP-centred firm; confirm the processor region before use and keep outputs in the firm’s canonical document model to avoid processor lock-in</w:t>
      </w:r>
      <w:r>
        <w:t xml:space="preserve"> </w:t>
      </w:r>
      <w:r>
        <w:rPr>
          <w:rStyle w:val="ClaimLabel"/>
        </w:rPr>
        <w:t xml:space="preserve">Rec</w:t>
      </w:r>
      <w:r>
        <w:t xml:space="preserve">.</w:t>
      </w:r>
    </w:p>
    <w:p>
      <w:pPr>
        <w:pStyle w:val="BodyText"/>
      </w:pPr>
      <w:r>
        <w:rPr>
          <w:bCs/>
          <w:b/>
        </w:rPr>
        <w:t xml:space="preserve">Facts (as of 2026-10-07)</w:t>
      </w:r>
    </w:p>
    <w:tbl>
      <w:tblPr>
        <w:tblStyle w:val="Table"/>
        <w:tblW w:type="pct" w:w="5000"/>
        <w:tblLook w:firstRow="1" w:lastRow="0" w:firstColumn="0" w:lastColumn="0" w:noHBand="0" w:noVBand="0" w:val="0020"/>
        <w:jc w:val="start"/>
      </w:tblPr>
      <w:tblGrid>
        <w:gridCol w:w="1485"/>
        <w:gridCol w:w="4290"/>
        <w:gridCol w:w="1320"/>
        <w:gridCol w:w="825"/>
      </w:tblGrid>
      <w:tr>
        <w:trPr>
          <w:tblHeader w:val="true"/>
        </w:trPr>
        <w:tc>
          <w:tcPr/>
          <w:p>
            <w:pPr>
              <w:pStyle w:val="Compact"/>
              <w:jc w:val="left"/>
            </w:pPr>
            <w:r>
              <w:t xml:space="preserve">Field</w:t>
            </w:r>
          </w:p>
        </w:tc>
        <w:tc>
          <w:tcPr/>
          <w:p>
            <w:pPr>
              <w:pStyle w:val="Compact"/>
              <w:jc w:val="left"/>
            </w:pPr>
            <w:r>
              <w:t xml:space="preserve">Value</w:t>
            </w:r>
          </w:p>
        </w:tc>
        <w:tc>
          <w:tcPr/>
          <w:p>
            <w:pPr>
              <w:pStyle w:val="Compact"/>
              <w:jc w:val="left"/>
            </w:pPr>
            <w:r>
              <w:t xml:space="preserve">Label</w:t>
            </w:r>
          </w:p>
        </w:tc>
        <w:tc>
          <w:tcPr/>
          <w:p>
            <w:pPr>
              <w:pStyle w:val="Compact"/>
              <w:jc w:val="left"/>
            </w:pPr>
            <w:r>
              <w:t xml:space="preserve">Sources</w:t>
            </w:r>
          </w:p>
        </w:tc>
      </w:tr>
      <w:tr>
        <w:tc>
          <w:tcPr/>
          <w:p>
            <w:pPr>
              <w:pStyle w:val="Compact"/>
              <w:jc w:val="left"/>
            </w:pPr>
            <w:r>
              <w:t xml:space="preserve">Company</w:t>
            </w:r>
          </w:p>
        </w:tc>
        <w:tc>
          <w:tcPr/>
          <w:p>
            <w:pPr>
              <w:pStyle w:val="Compact"/>
              <w:jc w:val="left"/>
            </w:pPr>
            <w:r>
              <w:t xml:space="preserve">Google Cloud (Alphabet)</w:t>
            </w:r>
          </w:p>
        </w:tc>
        <w:tc>
          <w:tcPr/>
          <w:p>
            <w:pPr>
              <w:pStyle w:val="Compact"/>
              <w:jc w:val="left"/>
            </w:pPr>
            <w:r>
              <w:t xml:space="preserve">Verified fact</w:t>
            </w:r>
          </w:p>
        </w:tc>
        <w:tc>
          <w:tcPr/>
          <w:p>
            <w:pPr>
              <w:pStyle w:val="Compact"/>
              <w:jc w:val="left"/>
            </w:pPr>
            <w:r>
              <w:t xml:space="preserve">A1-S101</w:t>
            </w:r>
          </w:p>
        </w:tc>
      </w:tr>
      <w:tr>
        <w:tc>
          <w:tcPr/>
          <w:p>
            <w:pPr>
              <w:pStyle w:val="Compact"/>
              <w:jc w:val="left"/>
            </w:pPr>
            <w:r>
              <w:t xml:space="preserve">Category</w:t>
            </w:r>
          </w:p>
        </w:tc>
        <w:tc>
          <w:tcPr/>
          <w:p>
            <w:pPr>
              <w:pStyle w:val="Compact"/>
              <w:jc w:val="left"/>
            </w:pPr>
            <w:r>
              <w:t xml:space="preserve">Managed document OCR, parsing, extraction and classification service</w:t>
            </w:r>
          </w:p>
        </w:tc>
        <w:tc>
          <w:tcPr/>
          <w:p>
            <w:pPr>
              <w:pStyle w:val="Compact"/>
              <w:jc w:val="left"/>
            </w:pPr>
            <w:r>
              <w:t xml:space="preserve">Verified fact</w:t>
            </w:r>
          </w:p>
        </w:tc>
        <w:tc>
          <w:tcPr/>
          <w:p>
            <w:pPr>
              <w:pStyle w:val="Compact"/>
              <w:jc w:val="left"/>
            </w:pPr>
            <w:r>
              <w:t xml:space="preserve">A1-S101</w:t>
            </w:r>
          </w:p>
        </w:tc>
      </w:tr>
      <w:tr>
        <w:tc>
          <w:tcPr/>
          <w:p>
            <w:pPr>
              <w:pStyle w:val="Compact"/>
              <w:jc w:val="left"/>
            </w:pPr>
            <w:r>
              <w:t xml:space="preserve">Version / lineup</w:t>
            </w:r>
          </w:p>
        </w:tc>
        <w:tc>
          <w:tcPr/>
          <w:p>
            <w:pPr>
              <w:pStyle w:val="Compact"/>
              <w:jc w:val="left"/>
            </w:pPr>
            <w:r>
              <w:t xml:space="preserve">Processors incl. Enterprise Document OCR, Form Parser, Layout Parser (with initial chunking), Custom Extractor, classifier/splitter, Summarizer</w:t>
            </w:r>
          </w:p>
        </w:tc>
        <w:tc>
          <w:tcPr/>
          <w:p>
            <w:pPr>
              <w:pStyle w:val="Compact"/>
              <w:jc w:val="left"/>
            </w:pPr>
            <w:r>
              <w:t xml:space="preserve">Verified fact</w:t>
            </w:r>
          </w:p>
        </w:tc>
        <w:tc>
          <w:tcPr/>
          <w:p>
            <w:pPr>
              <w:pStyle w:val="Compact"/>
              <w:jc w:val="left"/>
            </w:pPr>
            <w:r>
              <w:t xml:space="preserve">A1-S101</w:t>
            </w:r>
          </w:p>
        </w:tc>
      </w:tr>
      <w:tr>
        <w:tc>
          <w:tcPr/>
          <w:p>
            <w:pPr>
              <w:pStyle w:val="Compact"/>
              <w:jc w:val="left"/>
            </w:pPr>
            <w:r>
              <w:t xml:space="preserve">Licence</w:t>
            </w:r>
          </w:p>
        </w:tc>
        <w:tc>
          <w:tcPr/>
          <w:p>
            <w:pPr>
              <w:pStyle w:val="Compact"/>
              <w:jc w:val="left"/>
            </w:pPr>
            <w:r>
              <w:t xml:space="preserve">Proprietary cloud service</w:t>
            </w:r>
          </w:p>
        </w:tc>
        <w:tc>
          <w:tcPr/>
          <w:p>
            <w:pPr>
              <w:pStyle w:val="Compact"/>
              <w:jc w:val="left"/>
            </w:pPr>
            <w:r>
              <w:t xml:space="preserve">Verified fact</w:t>
            </w:r>
          </w:p>
        </w:tc>
        <w:tc>
          <w:tcPr/>
          <w:p>
            <w:pPr>
              <w:pStyle w:val="Compact"/>
              <w:jc w:val="left"/>
            </w:pPr>
            <w:r>
              <w:t xml:space="preserve">A1-S101</w:t>
            </w:r>
          </w:p>
        </w:tc>
      </w:tr>
      <w:tr>
        <w:tc>
          <w:tcPr/>
          <w:p>
            <w:pPr>
              <w:pStyle w:val="Compact"/>
              <w:jc w:val="left"/>
            </w:pPr>
            <w:r>
              <w:t xml:space="preserve">Strategic direction</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What it does</w:t>
            </w:r>
          </w:p>
        </w:tc>
        <w:tc>
          <w:tcPr/>
          <w:p>
            <w:pPr>
              <w:pStyle w:val="Compact"/>
              <w:jc w:val="left"/>
            </w:pPr>
            <w:r>
              <w:t xml:space="preserve">Extracts text, structure and entities from documents via pre-trained and custom processors, including layout parsing with chunking for RAG.</w:t>
            </w:r>
          </w:p>
        </w:tc>
        <w:tc>
          <w:tcPr/>
          <w:p>
            <w:pPr>
              <w:pStyle w:val="Compact"/>
              <w:jc w:val="left"/>
            </w:pPr>
            <w:r>
              <w:t xml:space="preserve">Verified fact</w:t>
            </w:r>
          </w:p>
        </w:tc>
        <w:tc>
          <w:tcPr/>
          <w:p>
            <w:pPr>
              <w:pStyle w:val="Compact"/>
              <w:jc w:val="left"/>
            </w:pPr>
            <w:r>
              <w:t xml:space="preserve">A1-S101</w:t>
            </w:r>
          </w:p>
        </w:tc>
      </w:tr>
      <w:tr>
        <w:tc>
          <w:tcPr/>
          <w:p>
            <w:pPr>
              <w:pStyle w:val="Compact"/>
              <w:jc w:val="left"/>
            </w:pPr>
            <w:r>
              <w:t xml:space="preserve">Stack position</w:t>
            </w:r>
          </w:p>
        </w:tc>
        <w:tc>
          <w:tcPr/>
          <w:p>
            <w:pPr>
              <w:pStyle w:val="Compact"/>
              <w:jc w:val="left"/>
            </w:pPr>
            <w:r>
              <w:t xml:space="preserve">L8 OCR/parsing as a hyperscaler managed service</w:t>
            </w:r>
          </w:p>
        </w:tc>
        <w:tc>
          <w:tcPr/>
          <w:p>
            <w:pPr>
              <w:pStyle w:val="Compact"/>
              <w:jc w:val="left"/>
            </w:pPr>
            <w:r>
              <w:t xml:space="preserve">Verified fact</w:t>
            </w:r>
          </w:p>
        </w:tc>
        <w:tc>
          <w:tcPr/>
          <w:p>
            <w:pPr>
              <w:pStyle w:val="Compact"/>
              <w:jc w:val="left"/>
            </w:pPr>
            <w:r>
              <w:t xml:space="preserve">A1-S101</w:t>
            </w:r>
          </w:p>
        </w:tc>
      </w:tr>
      <w:tr>
        <w:tc>
          <w:tcPr/>
          <w:p>
            <w:pPr>
              <w:pStyle w:val="Compact"/>
              <w:jc w:val="left"/>
            </w:pPr>
            <w:r>
              <w:t xml:space="preserve">Integration</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Dependencies</w:t>
            </w:r>
          </w:p>
        </w:tc>
        <w:tc>
          <w:tcPr/>
          <w:p>
            <w:pPr>
              <w:pStyle w:val="Compact"/>
              <w:jc w:val="left"/>
            </w:pPr>
            <w:r>
              <w:t xml:space="preserve">Google Cloud project</w:t>
            </w:r>
          </w:p>
        </w:tc>
        <w:tc>
          <w:tcPr/>
          <w:p>
            <w:pPr>
              <w:pStyle w:val="Compact"/>
              <w:jc w:val="left"/>
            </w:pPr>
            <w:r>
              <w:t xml:space="preserve">Verified fact</w:t>
            </w:r>
          </w:p>
        </w:tc>
        <w:tc>
          <w:tcPr/>
          <w:p>
            <w:pPr>
              <w:pStyle w:val="Compact"/>
              <w:jc w:val="left"/>
            </w:pPr>
            <w:r>
              <w:t xml:space="preserve">A1-S101</w:t>
            </w:r>
          </w:p>
        </w:tc>
      </w:tr>
      <w:tr>
        <w:tc>
          <w:tcPr/>
          <w:p>
            <w:pPr>
              <w:pStyle w:val="Compact"/>
              <w:jc w:val="left"/>
            </w:pPr>
            <w:r>
              <w:t xml:space="preserve">Certifications</w:t>
            </w:r>
          </w:p>
        </w:tc>
        <w:tc>
          <w:tcPr/>
          <w:p>
            <w:pPr>
              <w:pStyle w:val="Compact"/>
              <w:jc w:val="left"/>
            </w:pPr>
            <w:r>
              <w:t xml:space="preserve">In scope for Google Cloud ISO 27001/27017/27018, SOC 1/2/3, PCI DSS and penetration testing</w:t>
            </w:r>
          </w:p>
        </w:tc>
        <w:tc>
          <w:tcPr/>
          <w:p>
            <w:pPr>
              <w:pStyle w:val="Compact"/>
              <w:jc w:val="left"/>
            </w:pPr>
            <w:r>
              <w:t xml:space="preserve">Verified fact</w:t>
            </w:r>
          </w:p>
        </w:tc>
        <w:tc>
          <w:tcPr/>
          <w:p>
            <w:pPr>
              <w:pStyle w:val="Compact"/>
              <w:jc w:val="left"/>
            </w:pPr>
            <w:r>
              <w:t xml:space="preserve">A1-S102</w:t>
            </w:r>
          </w:p>
        </w:tc>
      </w:tr>
      <w:tr>
        <w:tc>
          <w:tcPr/>
          <w:p>
            <w:pPr>
              <w:pStyle w:val="Compact"/>
              <w:jc w:val="left"/>
            </w:pPr>
            <w:r>
              <w:t xml:space="preserve">GDPR / residency</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Security features</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Access controls</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Enterprise support</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Pricing</w:t>
            </w:r>
          </w:p>
        </w:tc>
        <w:tc>
          <w:tcPr/>
          <w:p>
            <w:pPr>
              <w:pStyle w:val="Compact"/>
              <w:jc w:val="left"/>
            </w:pPr>
            <w:r>
              <w:t xml:space="preserve">Enterprise Document OCR US$1.50 per 1,000 pages (1k-5M pages/month; US$0.60 above 5M; first 1,000 free); Form Parser and Custom Extractor US$30 per 1,000 pages (first 1M, US$20 above); Layout Parser US$10 per 1,000 pages; discounts for consumption models</w:t>
            </w:r>
          </w:p>
        </w:tc>
        <w:tc>
          <w:tcPr/>
          <w:p>
            <w:pPr>
              <w:pStyle w:val="Compact"/>
              <w:jc w:val="left"/>
            </w:pPr>
            <w:r>
              <w:t xml:space="preserve">Verified fact</w:t>
            </w:r>
          </w:p>
        </w:tc>
        <w:tc>
          <w:tcPr/>
          <w:p>
            <w:pPr>
              <w:pStyle w:val="Compact"/>
              <w:jc w:val="left"/>
            </w:pPr>
            <w:r>
              <w:t xml:space="preserve">A1-S101</w:t>
            </w:r>
          </w:p>
        </w:tc>
      </w:tr>
      <w:tr>
        <w:tc>
          <w:tcPr/>
          <w:p>
            <w:pPr>
              <w:pStyle w:val="Compact"/>
              <w:jc w:val="left"/>
            </w:pPr>
            <w:r>
              <w:t xml:space="preserve">Infrastructure cost</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Ecosystem</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Adoption signals</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Maturity</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Deployment</w:t>
            </w:r>
          </w:p>
        </w:tc>
        <w:tc>
          <w:tcPr/>
          <w:p>
            <w:pPr>
              <w:pStyle w:val="Compact"/>
              <w:jc w:val="left"/>
            </w:pPr>
            <w:r>
              <w:t xml:space="preserve">saas: Yes; managed_cloud: Not publicly verified; vpc_byoc: Not publicly verified; private_cloud: Not publicly verified; self_hosted: Not publicly verified; on_prem: Not publicly verified</w:t>
            </w:r>
          </w:p>
        </w:tc>
        <w:tc>
          <w:tcPr/>
          <w:p>
            <w:pPr>
              <w:pStyle w:val="Compact"/>
            </w:pPr>
          </w:p>
        </w:tc>
        <w:tc>
          <w:tcPr/>
          <w:p>
            <w:pPr>
              <w:pStyle w:val="Compact"/>
            </w:pPr>
          </w:p>
        </w:tc>
      </w:tr>
    </w:tbl>
    <w:bookmarkEnd w:id="248"/>
    <w:bookmarkStart w:id="265" w:name="X456d677f2a58f7c33de15b728ffb965cb0eda7a"/>
    <w:p>
      <w:pPr>
        <w:pStyle w:val="Heading2"/>
      </w:pPr>
      <w:r>
        <w:t xml:space="preserve">Mistral OCR 4.1 (alias mistral-ocr-latest), part of Mistral Document AI (</w:t>
      </w:r>
      <w:r>
        <w:rPr>
          <w:rStyle w:val="VerbatimChar"/>
        </w:rPr>
        <w:t xml:space="preserve">L8-mistral-ocr</w:t>
      </w:r>
      <w:r>
        <w:t xml:space="preserve">)</w:t>
      </w:r>
    </w:p>
    <w:p>
      <w:pPr>
        <w:pStyle w:val="FirstParagraph"/>
      </w:pPr>
      <w:r>
        <w:rPr>
          <w:bCs/>
          <w:b/>
        </w:rPr>
        <w:t xml:space="preserve">Tier:</w:t>
      </w:r>
      <w:r>
        <w:t xml:space="preserve"> </w:t>
      </w:r>
      <w:r>
        <w:t xml:space="preserve">Tactical ·</w:t>
      </w:r>
      <w:r>
        <w:t xml:space="preserve"> </w:t>
      </w:r>
      <w:r>
        <w:rPr>
          <w:bCs/>
          <w:b/>
        </w:rPr>
        <w:t xml:space="preserve">Flags:</w:t>
      </w:r>
      <w:r>
        <w:t xml:space="preserve"> </w:t>
      </w:r>
      <w:r>
        <w:t xml:space="preserve">none ·</w:t>
      </w:r>
      <w:r>
        <w:t xml:space="preserve"> </w:t>
      </w:r>
      <w:r>
        <w:rPr>
          <w:bCs/>
          <w:b/>
        </w:rPr>
        <w:t xml:space="preserve">Original graphic label:</w:t>
      </w:r>
      <w:r>
        <w:t xml:space="preserve"> </w:t>
      </w:r>
      <w:r>
        <w:t xml:space="preserve">Mistral OCR – OCR</w:t>
      </w:r>
    </w:p>
    <w:p>
      <w:pPr>
        <w:pStyle w:val="BodyText"/>
      </w:pPr>
      <w:r>
        <w:rPr>
          <w:iCs/>
          <w:i/>
        </w:rPr>
        <w:t xml:space="preserve">Rationale:</w:t>
      </w:r>
      <w:r>
        <w:t xml:space="preserve"> </w:t>
      </w:r>
      <w:r>
        <w:t xml:space="preserve">A good EU or self-managed OCR engine to sit behind an interface, but short model-retirement windows make it a component, not a foundation.</w:t>
      </w:r>
    </w:p>
    <w:tbl>
      <w:tblPr>
        <w:tblStyle w:val="Table"/>
        <w:tblW w:type="pct" w:w="5000"/>
        <w:tblLook w:firstRow="1" w:lastRow="0" w:firstColumn="0" w:lastColumn="0" w:noHBand="0" w:noVBand="0" w:val="0020"/>
        <w:jc w:val="start"/>
      </w:tblPr>
      <w:tblGrid>
        <w:gridCol w:w="1545"/>
        <w:gridCol w:w="579"/>
        <w:gridCol w:w="5795"/>
      </w:tblGrid>
      <w:tr>
        <w:trPr>
          <w:tblHeader w:val="true"/>
        </w:trPr>
        <w:tc>
          <w:tcPr/>
          <w:p>
            <w:pPr>
              <w:pStyle w:val="Compact"/>
              <w:jc w:val="left"/>
            </w:pPr>
            <w:r>
              <w:t xml:space="preserve">Criterion</w:t>
            </w:r>
          </w:p>
        </w:tc>
        <w:tc>
          <w:tcPr/>
          <w:p>
            <w:pPr>
              <w:pStyle w:val="Compact"/>
              <w:jc w:val="right"/>
            </w:pPr>
            <w:r>
              <w:t xml:space="preserve">Score</w:t>
            </w:r>
          </w:p>
        </w:tc>
        <w:tc>
          <w:tcPr/>
          <w:p>
            <w:pPr>
              <w:pStyle w:val="Compact"/>
              <w:jc w:val="left"/>
            </w:pPr>
            <w:r>
              <w:t xml:space="preserve">Rationale</w:t>
            </w:r>
          </w:p>
        </w:tc>
      </w:tr>
      <w:tr>
        <w:tc>
          <w:tcPr/>
          <w:p>
            <w:pPr>
              <w:pStyle w:val="Compact"/>
              <w:jc w:val="left"/>
            </w:pPr>
            <w:r>
              <w:t xml:space="preserve">Technical</w:t>
            </w:r>
          </w:p>
        </w:tc>
        <w:tc>
          <w:tcPr/>
          <w:p>
            <w:pPr>
              <w:pStyle w:val="Compact"/>
              <w:jc w:val="right"/>
            </w:pPr>
            <w:r>
              <w:t xml:space="preserve">3</w:t>
            </w:r>
          </w:p>
        </w:tc>
        <w:tc>
          <w:tcPr/>
          <w:p>
            <w:pPr>
              <w:pStyle w:val="Compact"/>
              <w:jc w:val="left"/>
            </w:pPr>
            <w:r>
              <w:t xml:space="preserve">Strong OCR feature set with confidence scores; covers only the OCR step of the pipeline.</w:t>
            </w:r>
          </w:p>
        </w:tc>
      </w:tr>
      <w:tr>
        <w:tc>
          <w:tcPr/>
          <w:p>
            <w:pPr>
              <w:pStyle w:val="Compact"/>
              <w:jc w:val="left"/>
            </w:pPr>
            <w:r>
              <w:t xml:space="preserve">Enterprise readiness</w:t>
            </w:r>
          </w:p>
        </w:tc>
        <w:tc>
          <w:tcPr/>
          <w:p>
            <w:pPr>
              <w:pStyle w:val="Compact"/>
              <w:jc w:val="right"/>
            </w:pPr>
            <w:r>
              <w:t xml:space="preserve">4</w:t>
            </w:r>
          </w:p>
        </w:tc>
        <w:tc>
          <w:tcPr/>
          <w:p>
            <w:pPr>
              <w:pStyle w:val="Compact"/>
              <w:jc w:val="left"/>
            </w:pPr>
            <w:r>
              <w:t xml:space="preserve">Enterprise plan: SAML SSO, Admin/Billing/Member roles with isolated Workspaces and SCIM provisioning, audit logs on by default</w:t>
            </w:r>
            <w:r>
              <w:t xml:space="preserve"> </w:t>
            </w:r>
            <w:r>
              <w:rPr>
                <w:rStyle w:val="ClaimLabel"/>
              </w:rPr>
              <w:t xml:space="preserve">VF</w:t>
            </w:r>
            <w:r>
              <w:rPr>
                <w:rStyle w:val="FootnoteReference"/>
              </w:rPr>
              <w:footnoteReference w:id="249"/>
            </w:r>
            <w:r>
              <w:t xml:space="preserve">: all three controls plus SCIM, so 4 under rule 7 (CP2 Q2). Not 5: audit-log export is not supported, OIDC is not supported and SLA terms are NPV.</w:t>
            </w:r>
          </w:p>
        </w:tc>
      </w:tr>
      <w:tr>
        <w:tc>
          <w:tcPr/>
          <w:p>
            <w:pPr>
              <w:pStyle w:val="Compact"/>
              <w:jc w:val="left"/>
            </w:pPr>
            <w:r>
              <w:t xml:space="preserve">Security and compliance</w:t>
            </w:r>
          </w:p>
        </w:tc>
        <w:tc>
          <w:tcPr/>
          <w:p>
            <w:pPr>
              <w:pStyle w:val="Compact"/>
              <w:jc w:val="right"/>
            </w:pPr>
            <w:r>
              <w:t xml:space="preserve">3</w:t>
            </w:r>
          </w:p>
        </w:tc>
        <w:tc>
          <w:tcPr/>
          <w:p>
            <w:pPr>
              <w:pStyle w:val="Compact"/>
              <w:jc w:val="left"/>
            </w:pPr>
            <w:r>
              <w:t xml:space="preserve">Company-level SOC 2 Type II, ISO 27001 and ISO 27701; OCR scope unconfirmed.</w:t>
            </w:r>
          </w:p>
        </w:tc>
      </w:tr>
      <w:tr>
        <w:tc>
          <w:tcPr/>
          <w:p>
            <w:pPr>
              <w:pStyle w:val="Compact"/>
              <w:jc w:val="left"/>
            </w:pPr>
            <w:r>
              <w:t xml:space="preserve">Deployment flexibility</w:t>
            </w:r>
          </w:p>
        </w:tc>
        <w:tc>
          <w:tcPr/>
          <w:p>
            <w:pPr>
              <w:pStyle w:val="Compact"/>
              <w:jc w:val="right"/>
            </w:pPr>
            <w:r>
              <w:t xml:space="preserve">4</w:t>
            </w:r>
          </w:p>
        </w:tc>
        <w:tc>
          <w:tcPr/>
          <w:p>
            <w:pPr>
              <w:pStyle w:val="Compact"/>
              <w:jc w:val="left"/>
            </w:pPr>
            <w:r>
              <w:t xml:space="preserve">EU SaaS, private cloud, self-managed container and on-prem under enterprise agreement.</w:t>
            </w:r>
          </w:p>
        </w:tc>
      </w:tr>
      <w:tr>
        <w:tc>
          <w:tcPr/>
          <w:p>
            <w:pPr>
              <w:pStyle w:val="Compact"/>
              <w:jc w:val="left"/>
            </w:pPr>
            <w:r>
              <w:t xml:space="preserve">Ecosystem</w:t>
            </w:r>
          </w:p>
        </w:tc>
        <w:tc>
          <w:tcPr/>
          <w:p>
            <w:pPr>
              <w:pStyle w:val="Compact"/>
              <w:jc w:val="right"/>
            </w:pPr>
            <w:r>
              <w:t xml:space="preserve">3</w:t>
            </w:r>
          </w:p>
        </w:tc>
        <w:tc>
          <w:tcPr/>
          <w:p>
            <w:pPr>
              <w:pStyle w:val="Compact"/>
              <w:jc w:val="left"/>
            </w:pPr>
            <w:r>
              <w:t xml:space="preserve">Mistral SDKs with opt-in OTel spans; usable inside other parsers.</w:t>
            </w:r>
          </w:p>
        </w:tc>
      </w:tr>
      <w:tr>
        <w:tc>
          <w:tcPr/>
          <w:p>
            <w:pPr>
              <w:pStyle w:val="Compact"/>
              <w:jc w:val="left"/>
            </w:pPr>
            <w:r>
              <w:t xml:space="preserve">Reliability and maturity</w:t>
            </w:r>
          </w:p>
        </w:tc>
        <w:tc>
          <w:tcPr/>
          <w:p>
            <w:pPr>
              <w:pStyle w:val="Compact"/>
              <w:jc w:val="right"/>
            </w:pPr>
            <w:r>
              <w:t xml:space="preserve">2</w:t>
            </w:r>
          </w:p>
        </w:tc>
        <w:tc>
          <w:tcPr/>
          <w:p>
            <w:pPr>
              <w:pStyle w:val="Compact"/>
              <w:jc w:val="left"/>
            </w:pPr>
            <w:r>
              <w:t xml:space="preserve">OCR 4.0 retired about five weeks after 4.1 reached GA; frequent version replacement.</w:t>
            </w:r>
          </w:p>
        </w:tc>
      </w:tr>
      <w:tr>
        <w:tc>
          <w:tcPr/>
          <w:p>
            <w:pPr>
              <w:pStyle w:val="Compact"/>
              <w:jc w:val="left"/>
            </w:pPr>
            <w:r>
              <w:t xml:space="preserve">Cost / TCO</w:t>
            </w:r>
          </w:p>
        </w:tc>
        <w:tc>
          <w:tcPr/>
          <w:p>
            <w:pPr>
              <w:pStyle w:val="Compact"/>
              <w:jc w:val="right"/>
            </w:pPr>
            <w:r>
              <w:t xml:space="preserve">4</w:t>
            </w:r>
          </w:p>
        </w:tc>
        <w:tc>
          <w:tcPr/>
          <w:p>
            <w:pPr>
              <w:pStyle w:val="Compact"/>
              <w:jc w:val="left"/>
            </w:pPr>
            <w:r>
              <w:t xml:space="preserve">US$4 per 1,000 pages, US$2 batch; self-host pricing unpublished.</w:t>
            </w:r>
          </w:p>
        </w:tc>
      </w:tr>
      <w:tr>
        <w:tc>
          <w:tcPr/>
          <w:p>
            <w:pPr>
              <w:pStyle w:val="Compact"/>
              <w:jc w:val="left"/>
            </w:pPr>
            <w:r>
              <w:t xml:space="preserve">Lock-in / portability</w:t>
            </w:r>
          </w:p>
        </w:tc>
        <w:tc>
          <w:tcPr/>
          <w:p>
            <w:pPr>
              <w:pStyle w:val="Compact"/>
              <w:jc w:val="right"/>
            </w:pPr>
            <w:r>
              <w:t xml:space="preserve">3</w:t>
            </w:r>
          </w:p>
        </w:tc>
        <w:tc>
          <w:tcPr/>
          <w:p>
            <w:pPr>
              <w:pStyle w:val="Compact"/>
              <w:jc w:val="left"/>
            </w:pPr>
            <w:r>
              <w:t xml:space="preserve">Proprietary model, but text/JSON output is easy to swap behind an interface.</w:t>
            </w:r>
          </w:p>
        </w:tc>
      </w:tr>
      <w:tr>
        <w:tc>
          <w:tcPr/>
          <w:p>
            <w:pPr>
              <w:pStyle w:val="Compact"/>
              <w:jc w:val="left"/>
            </w:pPr>
            <w:r>
              <w:rPr>
                <w:bCs/>
                <w:b/>
              </w:rPr>
              <w:t xml:space="preserve">Total (generic / FS)</w:t>
            </w:r>
          </w:p>
        </w:tc>
        <w:tc>
          <w:tcPr/>
          <w:p>
            <w:pPr>
              <w:pStyle w:val="Compact"/>
              <w:jc w:val="right"/>
            </w:pPr>
            <w:r>
              <w:rPr>
                <w:bCs/>
                <w:b/>
              </w:rPr>
              <w:t xml:space="preserve">3.30 / 3.25</w:t>
            </w:r>
          </w:p>
        </w:tc>
        <w:tc>
          <w:tcPr/>
          <w:p>
            <w:pPr>
              <w:pStyle w:val="Compact"/>
            </w:pPr>
          </w:p>
        </w:tc>
      </w:tr>
    </w:tbl>
    <w:p>
      <w:pPr>
        <w:pStyle w:val="BodyText"/>
      </w:pPr>
      <w:r>
        <w:rPr>
          <w:iCs/>
          <w:i/>
        </w:rPr>
        <w:t xml:space="preserve">Evidence rules applied:</w:t>
      </w:r>
      <w:r>
        <w:t xml:space="preserve"> </w:t>
      </w:r>
      <w:r>
        <w:t xml:space="preserve">NPV cap lifted at CP2 review (8 October 2026): SSO, RBAC and audit logs verified (B-REV-S014, S015); Rule 7 (CP2 Q2) applied at CP2 rework: all three controls plus SCIM; enterprise_readiness 3 -&gt; 4; audit-log export not supported (stated as a due-diligence condition); Rule 8 (CP2 Q4) confirmed: company-level certifications with OCR scope not confirmed score one below the anchor (3)</w:t>
      </w:r>
    </w:p>
    <w:p>
      <w:pPr>
        <w:pStyle w:val="BodyText"/>
      </w:pPr>
      <w:r>
        <w:rPr>
          <w:bCs/>
          <w:b/>
        </w:rPr>
        <w:t xml:space="preserve">Capabilities.</w:t>
      </w:r>
      <w:r>
        <w:t xml:space="preserve"> </w:t>
      </w:r>
      <w:r>
        <w:t xml:space="preserve">Mistral OCR 4.1 (alias mistral-ocr-latest), part of Mistral Document AI: OCR endpoint returning structured output with bounding boxes, block labels, table formatting, header/footer extraction and block-level confidence scores</w:t>
      </w:r>
      <w:r>
        <w:t xml:space="preserve"> </w:t>
      </w:r>
      <w:r>
        <w:rPr>
          <w:rStyle w:val="ClaimLabel"/>
        </w:rPr>
        <w:t xml:space="preserve">VF</w:t>
      </w:r>
      <w:r>
        <w:rPr>
          <w:rStyle w:val="FootnoteReference"/>
        </w:rPr>
        <w:footnoteReference w:id="252"/>
      </w:r>
      <w:r>
        <w:t xml:space="preserve">.</w:t>
      </w:r>
    </w:p>
    <w:p>
      <w:pPr>
        <w:pStyle w:val="BodyText"/>
      </w:pPr>
      <w:r>
        <w:rPr>
          <w:bCs/>
          <w:b/>
        </w:rPr>
        <w:t xml:space="preserve">Strengths</w:t>
      </w:r>
    </w:p>
    <w:p>
      <w:pPr>
        <w:numPr>
          <w:ilvl w:val="0"/>
          <w:numId w:val="1057"/>
        </w:numPr>
        <w:pStyle w:val="Compact"/>
      </w:pPr>
      <w:r>
        <w:t xml:space="preserve">EU-hosted managed API</w:t>
      </w:r>
      <w:r>
        <w:t xml:space="preserve"> </w:t>
      </w:r>
      <w:r>
        <w:rPr>
          <w:rStyle w:val="ClaimLabel"/>
        </w:rPr>
        <w:t xml:space="preserve">VF</w:t>
      </w:r>
      <w:r>
        <w:rPr>
          <w:rStyle w:val="FootnoteReference"/>
        </w:rPr>
        <w:footnoteReference w:id="255"/>
      </w:r>
    </w:p>
    <w:p>
      <w:pPr>
        <w:numPr>
          <w:ilvl w:val="0"/>
          <w:numId w:val="1057"/>
        </w:numPr>
        <w:pStyle w:val="Compact"/>
      </w:pPr>
      <w:r>
        <w:t xml:space="preserve">Self-managed single-container, private-cloud and on-prem deployment for enterprise customers</w:t>
      </w:r>
      <w:r>
        <w:t xml:space="preserve"> </w:t>
      </w:r>
      <w:r>
        <w:rPr>
          <w:rStyle w:val="ClaimLabel"/>
        </w:rPr>
        <w:t xml:space="preserve">VF</w:t>
      </w:r>
      <w:r>
        <w:rPr>
          <w:rStyle w:val="FootnoteReference"/>
        </w:rPr>
        <w:footnoteReference w:id="257"/>
      </w:r>
    </w:p>
    <w:p>
      <w:pPr>
        <w:numPr>
          <w:ilvl w:val="0"/>
          <w:numId w:val="1057"/>
        </w:numPr>
        <w:pStyle w:val="Compact"/>
      </w:pPr>
      <w:r>
        <w:t xml:space="preserve">Low published price: US$4 per 1,000 pages, US$2 in batch</w:t>
      </w:r>
      <w:r>
        <w:t xml:space="preserve"> </w:t>
      </w:r>
      <w:r>
        <w:rPr>
          <w:rStyle w:val="ClaimLabel"/>
        </w:rPr>
        <w:t xml:space="preserve">VF</w:t>
      </w:r>
      <w:r>
        <w:rPr>
          <w:rStyle w:val="FootnoteReference"/>
        </w:rPr>
        <w:footnoteReference w:id="258"/>
      </w:r>
    </w:p>
    <w:p>
      <w:pPr>
        <w:numPr>
          <w:ilvl w:val="0"/>
          <w:numId w:val="1057"/>
        </w:numPr>
        <w:pStyle w:val="Compact"/>
      </w:pPr>
      <w:r>
        <w:t xml:space="preserve">Block-level confidence scores support quarantine thresholds</w:t>
      </w:r>
      <w:r>
        <w:t xml:space="preserve"> </w:t>
      </w:r>
      <w:r>
        <w:rPr>
          <w:rStyle w:val="ClaimLabel"/>
        </w:rPr>
        <w:t xml:space="preserve">VF</w:t>
      </w:r>
      <w:r>
        <w:rPr>
          <w:rStyle w:val="FootnoteReference"/>
        </w:rPr>
        <w:footnoteReference w:id="259"/>
      </w:r>
    </w:p>
    <w:p>
      <w:pPr>
        <w:pStyle w:val="FirstParagraph"/>
      </w:pPr>
      <w:r>
        <w:rPr>
          <w:bCs/>
          <w:b/>
        </w:rPr>
        <w:t xml:space="preserve">Limitations and risks</w:t>
      </w:r>
    </w:p>
    <w:p>
      <w:pPr>
        <w:numPr>
          <w:ilvl w:val="0"/>
          <w:numId w:val="1058"/>
        </w:numPr>
        <w:pStyle w:val="Compact"/>
      </w:pPr>
      <w:r>
        <w:t xml:space="preserve">Model-version churn: OCR 4.1 GA 26 August 2026 and OCR 4.0 retired 30 September 2026; the original model is no longer maintained</w:t>
      </w:r>
      <w:r>
        <w:t xml:space="preserve"> </w:t>
      </w:r>
      <w:r>
        <w:rPr>
          <w:rStyle w:val="ClaimLabel"/>
        </w:rPr>
        <w:t xml:space="preserve">VF</w:t>
      </w:r>
      <w:r>
        <w:rPr>
          <w:rStyle w:val="FootnoteReference"/>
        </w:rPr>
        <w:footnoteReference w:id="260"/>
      </w:r>
    </w:p>
    <w:p>
      <w:pPr>
        <w:numPr>
          <w:ilvl w:val="0"/>
          <w:numId w:val="1058"/>
        </w:numPr>
        <w:pStyle w:val="Compact"/>
      </w:pPr>
      <w:r>
        <w:t xml:space="preserve">Certifications are company-level; OCR scope not confirmed</w:t>
      </w:r>
      <w:r>
        <w:t xml:space="preserve"> </w:t>
      </w:r>
      <w:r>
        <w:rPr>
          <w:rStyle w:val="ClaimLabel"/>
        </w:rPr>
        <w:t xml:space="preserve">VF</w:t>
      </w:r>
      <w:r>
        <w:rPr>
          <w:rStyle w:val="FootnoteReference"/>
        </w:rPr>
        <w:footnoteReference w:id="262"/>
      </w:r>
    </w:p>
    <w:p>
      <w:pPr>
        <w:numPr>
          <w:ilvl w:val="0"/>
          <w:numId w:val="1058"/>
        </w:numPr>
        <w:pStyle w:val="Compact"/>
      </w:pPr>
      <w:r>
        <w:t xml:space="preserve">Self-hosting licence terms and hardware sizing not published</w:t>
      </w:r>
      <w:r>
        <w:t xml:space="preserve"> </w:t>
      </w:r>
      <w:r>
        <w:rPr>
          <w:rStyle w:val="ClaimLabel"/>
        </w:rPr>
        <w:t xml:space="preserve">NPV</w:t>
      </w:r>
    </w:p>
    <w:p>
      <w:pPr>
        <w:numPr>
          <w:ilvl w:val="0"/>
          <w:numId w:val="1058"/>
        </w:numPr>
        <w:pStyle w:val="Compact"/>
      </w:pPr>
      <w:r>
        <w:t xml:space="preserve">OCR only: no connectors, ACL, PII or lineage</w:t>
      </w:r>
      <w:r>
        <w:t xml:space="preserve"> </w:t>
      </w:r>
      <w:r>
        <w:rPr>
          <w:rStyle w:val="ClaimLabel"/>
        </w:rPr>
        <w:t xml:space="preserve">AJ</w:t>
      </w:r>
    </w:p>
    <w:p>
      <w:pPr>
        <w:numPr>
          <w:ilvl w:val="0"/>
          <w:numId w:val="1058"/>
        </w:numPr>
        <w:pStyle w:val="Compact"/>
      </w:pPr>
      <w:r>
        <w:t xml:space="preserve">Audit logs cannot be exported</w:t>
      </w:r>
      <w:r>
        <w:t xml:space="preserve"> </w:t>
      </w:r>
      <w:r>
        <w:rPr>
          <w:rStyle w:val="ClaimLabel"/>
        </w:rPr>
        <w:t xml:space="preserve">VF</w:t>
      </w:r>
      <w:r>
        <w:rPr>
          <w:rStyle w:val="FootnoteReference"/>
        </w:rPr>
        <w:footnoteReference w:id="264"/>
      </w:r>
      <w:r>
        <w:t xml:space="preserve">, so the firm cannot hold them in its own archive without a vendor export route</w:t>
      </w:r>
      <w:r>
        <w:t xml:space="preserve"> </w:t>
      </w:r>
      <w:r>
        <w:rPr>
          <w:rStyle w:val="ClaimLabel"/>
        </w:rPr>
        <w:t xml:space="preserve">AJ</w:t>
      </w:r>
    </w:p>
    <w:p>
      <w:pPr>
        <w:pStyle w:val="FirstParagraph"/>
      </w:pPr>
      <w:r>
        <w:rPr>
          <w:bCs/>
          <w:b/>
        </w:rPr>
        <w:t xml:space="preserve">Choose when</w:t>
      </w:r>
    </w:p>
    <w:p>
      <w:pPr>
        <w:numPr>
          <w:ilvl w:val="0"/>
          <w:numId w:val="1059"/>
        </w:numPr>
        <w:pStyle w:val="Compact"/>
      </w:pPr>
      <w:r>
        <w:t xml:space="preserve">You need an EU-resident or self-managed OCR engine behind your own parsing pipeline</w:t>
      </w:r>
    </w:p>
    <w:p>
      <w:pPr>
        <w:numPr>
          <w:ilvl w:val="0"/>
          <w:numId w:val="1059"/>
        </w:numPr>
        <w:pStyle w:val="Compact"/>
      </w:pPr>
      <w:r>
        <w:t xml:space="preserve">Scanned documents dominate and cost per page matters</w:t>
      </w:r>
    </w:p>
    <w:p>
      <w:pPr>
        <w:pStyle w:val="FirstParagraph"/>
      </w:pPr>
      <w:r>
        <w:rPr>
          <w:bCs/>
          <w:b/>
        </w:rPr>
        <w:t xml:space="preserve">Avoid when</w:t>
      </w:r>
    </w:p>
    <w:p>
      <w:pPr>
        <w:numPr>
          <w:ilvl w:val="0"/>
          <w:numId w:val="1060"/>
        </w:numPr>
        <w:pStyle w:val="Compact"/>
      </w:pPr>
      <w:r>
        <w:t xml:space="preserve">You cannot re-validate within a deprecation window of weeks</w:t>
      </w:r>
    </w:p>
    <w:p>
      <w:pPr>
        <w:numPr>
          <w:ilvl w:val="0"/>
          <w:numId w:val="1060"/>
        </w:numPr>
        <w:pStyle w:val="Compact"/>
      </w:pPr>
      <w:r>
        <w:t xml:space="preserve">You call the</w:t>
      </w:r>
      <w:r>
        <w:t xml:space="preserve"> </w:t>
      </w:r>
      <w:r>
        <w:t xml:space="preserve">‘</w:t>
      </w:r>
      <w:r>
        <w:t xml:space="preserve">latest</w:t>
      </w:r>
      <w:r>
        <w:t xml:space="preserve">’</w:t>
      </w:r>
      <w:r>
        <w:t xml:space="preserve"> </w:t>
      </w:r>
      <w:r>
        <w:t xml:space="preserve">alias in production</w:t>
      </w:r>
    </w:p>
    <w:p>
      <w:pPr>
        <w:pStyle w:val="FirstParagraph"/>
      </w:pPr>
      <w:r>
        <w:rPr>
          <w:bCs/>
          <w:b/>
        </w:rPr>
        <w:t xml:space="preserve">Nearest competitors:</w:t>
      </w:r>
      <w:r>
        <w:t xml:space="preserve"> </w:t>
      </w:r>
      <w:r>
        <w:t xml:space="preserve">L8-google-document-ai, L8-docling, L8-reducto</w:t>
      </w:r>
    </w:p>
    <w:p>
      <w:pPr>
        <w:pStyle w:val="BodyText"/>
      </w:pPr>
      <w:r>
        <w:rPr>
          <w:bCs/>
          <w:b/>
        </w:rPr>
        <w:t xml:space="preserve">Regulated-FS note.</w:t>
      </w:r>
      <w:r>
        <w:t xml:space="preserve"> </w:t>
      </w:r>
      <w:r>
        <w:t xml:space="preserve">Pin the dated model ID (not mistral-ocr-latest), store OCR outputs with the model ID, and treat each model retirement as a change-control event with re-validation</w:t>
      </w:r>
      <w:r>
        <w:t xml:space="preserve"> </w:t>
      </w:r>
      <w:r>
        <w:rPr>
          <w:rStyle w:val="ClaimLabel"/>
        </w:rPr>
        <w:t xml:space="preserve">Rec</w:t>
      </w:r>
      <w:r>
        <w:t xml:space="preserve">.</w:t>
      </w:r>
    </w:p>
    <w:p>
      <w:pPr>
        <w:pStyle w:val="BodyText"/>
      </w:pPr>
      <w:r>
        <w:rPr>
          <w:bCs/>
          <w:b/>
        </w:rPr>
        <w:t xml:space="preserve">Facts (as of 2026-10-08)</w:t>
      </w:r>
    </w:p>
    <w:tbl>
      <w:tblPr>
        <w:tblStyle w:val="Table"/>
        <w:tblW w:type="pct" w:w="5000"/>
        <w:tblLook w:firstRow="1" w:lastRow="0" w:firstColumn="0" w:lastColumn="0" w:noHBand="0" w:noVBand="0" w:val="0020"/>
        <w:jc w:val="start"/>
      </w:tblPr>
      <w:tblGrid>
        <w:gridCol w:w="1485"/>
        <w:gridCol w:w="4290"/>
        <w:gridCol w:w="1320"/>
        <w:gridCol w:w="825"/>
      </w:tblGrid>
      <w:tr>
        <w:trPr>
          <w:tblHeader w:val="true"/>
        </w:trPr>
        <w:tc>
          <w:tcPr/>
          <w:p>
            <w:pPr>
              <w:pStyle w:val="Compact"/>
              <w:jc w:val="left"/>
            </w:pPr>
            <w:r>
              <w:t xml:space="preserve">Field</w:t>
            </w:r>
          </w:p>
        </w:tc>
        <w:tc>
          <w:tcPr/>
          <w:p>
            <w:pPr>
              <w:pStyle w:val="Compact"/>
              <w:jc w:val="left"/>
            </w:pPr>
            <w:r>
              <w:t xml:space="preserve">Value</w:t>
            </w:r>
          </w:p>
        </w:tc>
        <w:tc>
          <w:tcPr/>
          <w:p>
            <w:pPr>
              <w:pStyle w:val="Compact"/>
              <w:jc w:val="left"/>
            </w:pPr>
            <w:r>
              <w:t xml:space="preserve">Label</w:t>
            </w:r>
          </w:p>
        </w:tc>
        <w:tc>
          <w:tcPr/>
          <w:p>
            <w:pPr>
              <w:pStyle w:val="Compact"/>
              <w:jc w:val="left"/>
            </w:pPr>
            <w:r>
              <w:t xml:space="preserve">Sources</w:t>
            </w:r>
          </w:p>
        </w:tc>
      </w:tr>
      <w:tr>
        <w:tc>
          <w:tcPr/>
          <w:p>
            <w:pPr>
              <w:pStyle w:val="Compact"/>
              <w:jc w:val="left"/>
            </w:pPr>
            <w:r>
              <w:t xml:space="preserve">Company</w:t>
            </w:r>
          </w:p>
        </w:tc>
        <w:tc>
          <w:tcPr/>
          <w:p>
            <w:pPr>
              <w:pStyle w:val="Compact"/>
              <w:jc w:val="left"/>
            </w:pPr>
            <w:r>
              <w:t xml:space="preserve">Mistral AI</w:t>
            </w:r>
          </w:p>
        </w:tc>
        <w:tc>
          <w:tcPr/>
          <w:p>
            <w:pPr>
              <w:pStyle w:val="Compact"/>
              <w:jc w:val="left"/>
            </w:pPr>
            <w:r>
              <w:t xml:space="preserve">Verified fact</w:t>
            </w:r>
          </w:p>
        </w:tc>
        <w:tc>
          <w:tcPr/>
          <w:p>
            <w:pPr>
              <w:pStyle w:val="Compact"/>
              <w:jc w:val="left"/>
            </w:pPr>
            <w:r>
              <w:t xml:space="preserve">A1-S083, A1-S084</w:t>
            </w:r>
          </w:p>
        </w:tc>
      </w:tr>
      <w:tr>
        <w:tc>
          <w:tcPr/>
          <w:p>
            <w:pPr>
              <w:pStyle w:val="Compact"/>
              <w:jc w:val="left"/>
            </w:pPr>
            <w:r>
              <w:t xml:space="preserve">Category</w:t>
            </w:r>
          </w:p>
        </w:tc>
        <w:tc>
          <w:tcPr/>
          <w:p>
            <w:pPr>
              <w:pStyle w:val="Compact"/>
              <w:jc w:val="left"/>
            </w:pPr>
            <w:r>
              <w:t xml:space="preserve">Hosted OCR / document understanding model API</w:t>
            </w:r>
          </w:p>
        </w:tc>
        <w:tc>
          <w:tcPr/>
          <w:p>
            <w:pPr>
              <w:pStyle w:val="Compact"/>
              <w:jc w:val="left"/>
            </w:pPr>
            <w:r>
              <w:t xml:space="preserve">Verified fact</w:t>
            </w:r>
          </w:p>
        </w:tc>
        <w:tc>
          <w:tcPr/>
          <w:p>
            <w:pPr>
              <w:pStyle w:val="Compact"/>
              <w:jc w:val="left"/>
            </w:pPr>
            <w:r>
              <w:t xml:space="preserve">A1-S083</w:t>
            </w:r>
          </w:p>
        </w:tc>
      </w:tr>
      <w:tr>
        <w:tc>
          <w:tcPr/>
          <w:p>
            <w:pPr>
              <w:pStyle w:val="Compact"/>
              <w:jc w:val="left"/>
            </w:pPr>
            <w:r>
              <w:t xml:space="preserve">Version / lineup</w:t>
            </w:r>
          </w:p>
        </w:tc>
        <w:tc>
          <w:tcPr/>
          <w:p>
            <w:pPr>
              <w:pStyle w:val="Compact"/>
              <w:jc w:val="left"/>
            </w:pPr>
            <w:r>
              <w:t xml:space="preserve">OCR 4.1 (mistral-ocr-4-1; aliases mistral-ocr-latest and mistral-ocr-4): released July 2026 (model page 16 July; changelog 26 July) and marked Generally Available in the changelog on 26 August 2026 (governance page gives a 13 August 2026 release date); OCR 4.0 deprecated late September and retired 30 September 2026; OCR 3 (25.12) still available for existing integrations; original Mistral OCR no longer maintained</w:t>
            </w:r>
          </w:p>
        </w:tc>
        <w:tc>
          <w:tcPr/>
          <w:p>
            <w:pPr>
              <w:pStyle w:val="Compact"/>
              <w:jc w:val="left"/>
            </w:pPr>
            <w:r>
              <w:t xml:space="preserve">Verified fact</w:t>
            </w:r>
          </w:p>
        </w:tc>
        <w:tc>
          <w:tcPr/>
          <w:p>
            <w:pPr>
              <w:pStyle w:val="Compact"/>
              <w:jc w:val="left"/>
            </w:pPr>
            <w:r>
              <w:t xml:space="preserve">A1-S130, V1-S014, V1-S010</w:t>
            </w:r>
          </w:p>
        </w:tc>
      </w:tr>
      <w:tr>
        <w:tc>
          <w:tcPr/>
          <w:p>
            <w:pPr>
              <w:pStyle w:val="Compact"/>
              <w:jc w:val="left"/>
            </w:pPr>
            <w:r>
              <w:t xml:space="preserve">Licence</w:t>
            </w:r>
          </w:p>
        </w:tc>
        <w:tc>
          <w:tcPr/>
          <w:p>
            <w:pPr>
              <w:pStyle w:val="Compact"/>
              <w:jc w:val="left"/>
            </w:pPr>
            <w:r>
              <w:t xml:space="preserve">Proprietary model; hosted API, with self-managed deployment for enterprise customers under agreement</w:t>
            </w:r>
          </w:p>
        </w:tc>
        <w:tc>
          <w:tcPr/>
          <w:p>
            <w:pPr>
              <w:pStyle w:val="Compact"/>
              <w:jc w:val="left"/>
            </w:pPr>
            <w:r>
              <w:t xml:space="preserve">Verified fact</w:t>
            </w:r>
          </w:p>
        </w:tc>
        <w:tc>
          <w:tcPr/>
          <w:p>
            <w:pPr>
              <w:pStyle w:val="Compact"/>
              <w:jc w:val="left"/>
            </w:pPr>
            <w:r>
              <w:t xml:space="preserve">A1-S135</w:t>
            </w:r>
          </w:p>
        </w:tc>
      </w:tr>
      <w:tr>
        <w:tc>
          <w:tcPr/>
          <w:p>
            <w:pPr>
              <w:pStyle w:val="Compact"/>
              <w:jc w:val="left"/>
            </w:pPr>
            <w:r>
              <w:t xml:space="preserve">Status events</w:t>
            </w:r>
          </w:p>
        </w:tc>
        <w:tc>
          <w:tcPr/>
          <w:p>
            <w:pPr>
              <w:pStyle w:val="Compact"/>
              <w:jc w:val="left"/>
            </w:pPr>
            <w:r>
              <w:t xml:space="preserve">OCR 4.0 retired 30 September 2026 (replaced by OCR 4.1 at same price); Original Mistral OCR no longer maintained</w:t>
            </w:r>
          </w:p>
        </w:tc>
        <w:tc>
          <w:tcPr/>
          <w:p>
            <w:pPr>
              <w:pStyle w:val="Compact"/>
              <w:jc w:val="left"/>
            </w:pPr>
            <w:r>
              <w:t xml:space="preserve">Verified fact</w:t>
            </w:r>
          </w:p>
        </w:tc>
        <w:tc>
          <w:tcPr/>
          <w:p>
            <w:pPr>
              <w:pStyle w:val="Compact"/>
              <w:jc w:val="left"/>
            </w:pPr>
            <w:r>
              <w:t xml:space="preserve">A1-S130, V1-S014</w:t>
            </w:r>
          </w:p>
        </w:tc>
      </w:tr>
      <w:tr>
        <w:tc>
          <w:tcPr/>
          <w:p>
            <w:pPr>
              <w:pStyle w:val="Compact"/>
              <w:jc w:val="left"/>
            </w:pPr>
            <w:r>
              <w:t xml:space="preserve">Strategic direction</w:t>
            </w:r>
          </w:p>
        </w:tc>
        <w:tc>
          <w:tcPr/>
          <w:p>
            <w:pPr>
              <w:pStyle w:val="Compact"/>
              <w:jc w:val="left"/>
            </w:pPr>
            <w:r>
              <w:t xml:space="preserve">OCR 4 positioned for document intelligence: paragraph-level bounding boxes, structural block labels, block-level confidence scores; compact single-container self-hosting for residency and sovereignty</w:t>
            </w:r>
          </w:p>
        </w:tc>
        <w:tc>
          <w:tcPr/>
          <w:p>
            <w:pPr>
              <w:pStyle w:val="Compact"/>
              <w:jc w:val="left"/>
            </w:pPr>
            <w:r>
              <w:t xml:space="preserve">Verified fact</w:t>
            </w:r>
          </w:p>
        </w:tc>
        <w:tc>
          <w:tcPr/>
          <w:p>
            <w:pPr>
              <w:pStyle w:val="Compact"/>
              <w:jc w:val="left"/>
            </w:pPr>
            <w:r>
              <w:t xml:space="preserve">A1-S130, A1-S135</w:t>
            </w:r>
          </w:p>
        </w:tc>
      </w:tr>
      <w:tr>
        <w:tc>
          <w:tcPr/>
          <w:p>
            <w:pPr>
              <w:pStyle w:val="Compact"/>
              <w:jc w:val="left"/>
            </w:pPr>
            <w:r>
              <w:t xml:space="preserve">What it does</w:t>
            </w:r>
          </w:p>
        </w:tc>
        <w:tc>
          <w:tcPr/>
          <w:p>
            <w:pPr>
              <w:pStyle w:val="Compact"/>
              <w:jc w:val="left"/>
            </w:pPr>
            <w:r>
              <w:t xml:space="preserve">OCR endpoint that processes a document (URL or file) and returns structured output, with optional bounding-box and document annotations in a requested format, table formatting, header/footer extraction, layout blocks and confidence scores.</w:t>
            </w:r>
          </w:p>
        </w:tc>
        <w:tc>
          <w:tcPr/>
          <w:p>
            <w:pPr>
              <w:pStyle w:val="Compact"/>
              <w:jc w:val="left"/>
            </w:pPr>
            <w:r>
              <w:t xml:space="preserve">Verified fact</w:t>
            </w:r>
          </w:p>
        </w:tc>
        <w:tc>
          <w:tcPr/>
          <w:p>
            <w:pPr>
              <w:pStyle w:val="Compact"/>
              <w:jc w:val="left"/>
            </w:pPr>
            <w:r>
              <w:t xml:space="preserve">A1-S083</w:t>
            </w:r>
          </w:p>
        </w:tc>
      </w:tr>
      <w:tr>
        <w:tc>
          <w:tcPr/>
          <w:p>
            <w:pPr>
              <w:pStyle w:val="Compact"/>
              <w:jc w:val="left"/>
            </w:pPr>
            <w:r>
              <w:t xml:space="preserve">Stack position</w:t>
            </w:r>
          </w:p>
        </w:tc>
        <w:tc>
          <w:tcPr/>
          <w:p>
            <w:pPr>
              <w:pStyle w:val="Compact"/>
              <w:jc w:val="left"/>
            </w:pPr>
            <w:r>
              <w:t xml:space="preserve">L8 OCR; also usable as a model inside other parsers</w:t>
            </w:r>
          </w:p>
        </w:tc>
        <w:tc>
          <w:tcPr/>
          <w:p>
            <w:pPr>
              <w:pStyle w:val="Compact"/>
              <w:jc w:val="left"/>
            </w:pPr>
            <w:r>
              <w:t xml:space="preserve">Verified fact</w:t>
            </w:r>
          </w:p>
        </w:tc>
        <w:tc>
          <w:tcPr/>
          <w:p>
            <w:pPr>
              <w:pStyle w:val="Compact"/>
              <w:jc w:val="left"/>
            </w:pPr>
            <w:r>
              <w:t xml:space="preserve">A1-S083</w:t>
            </w:r>
          </w:p>
        </w:tc>
      </w:tr>
      <w:tr>
        <w:tc>
          <w:tcPr/>
          <w:p>
            <w:pPr>
              <w:pStyle w:val="Compact"/>
              <w:jc w:val="left"/>
            </w:pPr>
            <w:r>
              <w:t xml:space="preserve">Integration</w:t>
            </w:r>
          </w:p>
        </w:tc>
        <w:tc>
          <w:tcPr/>
          <w:p>
            <w:pPr>
              <w:pStyle w:val="Compact"/>
              <w:jc w:val="left"/>
            </w:pPr>
            <w:r>
              <w:t xml:space="preserve">REST /v1/ocr via Mistral SDKs; SDK can emit opt-in OpenTelemetry traces following GenAI semantic conventions</w:t>
            </w:r>
          </w:p>
        </w:tc>
        <w:tc>
          <w:tcPr/>
          <w:p>
            <w:pPr>
              <w:pStyle w:val="Compact"/>
              <w:jc w:val="left"/>
            </w:pPr>
            <w:r>
              <w:t xml:space="preserve">Verified fact</w:t>
            </w:r>
          </w:p>
        </w:tc>
        <w:tc>
          <w:tcPr/>
          <w:p>
            <w:pPr>
              <w:pStyle w:val="Compact"/>
              <w:jc w:val="left"/>
            </w:pPr>
            <w:r>
              <w:t xml:space="preserve">A1-S083, A1-S084</w:t>
            </w:r>
          </w:p>
        </w:tc>
      </w:tr>
      <w:tr>
        <w:tc>
          <w:tcPr/>
          <w:p>
            <w:pPr>
              <w:pStyle w:val="Compact"/>
              <w:jc w:val="left"/>
            </w:pPr>
            <w:r>
              <w:t xml:space="preserve">Dependencies</w:t>
            </w:r>
          </w:p>
        </w:tc>
        <w:tc>
          <w:tcPr/>
          <w:p>
            <w:pPr>
              <w:pStyle w:val="Compact"/>
              <w:jc w:val="left"/>
            </w:pPr>
            <w:r>
              <w:t xml:space="preserve">Mistral API (La Plateforme)</w:t>
            </w:r>
          </w:p>
        </w:tc>
        <w:tc>
          <w:tcPr/>
          <w:p>
            <w:pPr>
              <w:pStyle w:val="Compact"/>
              <w:jc w:val="left"/>
            </w:pPr>
            <w:r>
              <w:t xml:space="preserve">Verified fact</w:t>
            </w:r>
          </w:p>
        </w:tc>
        <w:tc>
          <w:tcPr/>
          <w:p>
            <w:pPr>
              <w:pStyle w:val="Compact"/>
              <w:jc w:val="left"/>
            </w:pPr>
            <w:r>
              <w:t xml:space="preserve">A1-S083</w:t>
            </w:r>
          </w:p>
        </w:tc>
      </w:tr>
      <w:tr>
        <w:tc>
          <w:tcPr/>
          <w:p>
            <w:pPr>
              <w:pStyle w:val="Compact"/>
              <w:jc w:val="left"/>
            </w:pPr>
            <w:r>
              <w:t xml:space="preserve">Certifications</w:t>
            </w:r>
          </w:p>
        </w:tc>
        <w:tc>
          <w:tcPr/>
          <w:p>
            <w:pPr>
              <w:pStyle w:val="Compact"/>
              <w:jc w:val="left"/>
            </w:pPr>
            <w:r>
              <w:t xml:space="preserve">Mistral AI company-level SOC 2 Type II, ISO/IEC 27001:2022 and ISO/IEC 27701:2019 (Trust Center); scope for OCR not confirmed</w:t>
            </w:r>
          </w:p>
        </w:tc>
        <w:tc>
          <w:tcPr/>
          <w:p>
            <w:pPr>
              <w:pStyle w:val="Compact"/>
              <w:jc w:val="left"/>
            </w:pPr>
            <w:r>
              <w:t xml:space="preserve">Verified fact</w:t>
            </w:r>
          </w:p>
        </w:tc>
        <w:tc>
          <w:tcPr/>
          <w:p>
            <w:pPr>
              <w:pStyle w:val="Compact"/>
              <w:jc w:val="left"/>
            </w:pPr>
            <w:r>
              <w:t xml:space="preserve">A1-S136</w:t>
            </w:r>
          </w:p>
        </w:tc>
      </w:tr>
      <w:tr>
        <w:tc>
          <w:tcPr/>
          <w:p>
            <w:pPr>
              <w:pStyle w:val="Compact"/>
              <w:jc w:val="left"/>
            </w:pPr>
            <w:r>
              <w:t xml:space="preserve">GDPR / residency</w:t>
            </w:r>
          </w:p>
        </w:tc>
        <w:tc>
          <w:tcPr/>
          <w:p>
            <w:pPr>
              <w:pStyle w:val="Compact"/>
              <w:jc w:val="left"/>
            </w:pPr>
            <w:r>
              <w:t xml:space="preserve">Managed API runs on Mistral infrastructure hosted in the EU; self-hosting keeps documents in customer environment</w:t>
            </w:r>
          </w:p>
        </w:tc>
        <w:tc>
          <w:tcPr/>
          <w:p>
            <w:pPr>
              <w:pStyle w:val="Compact"/>
              <w:jc w:val="left"/>
            </w:pPr>
            <w:r>
              <w:t xml:space="preserve">Verified fact</w:t>
            </w:r>
          </w:p>
        </w:tc>
        <w:tc>
          <w:tcPr/>
          <w:p>
            <w:pPr>
              <w:pStyle w:val="Compact"/>
              <w:jc w:val="left"/>
            </w:pPr>
            <w:r>
              <w:t xml:space="preserve">A1-S135</w:t>
            </w:r>
          </w:p>
        </w:tc>
      </w:tr>
      <w:tr>
        <w:tc>
          <w:tcPr/>
          <w:p>
            <w:pPr>
              <w:pStyle w:val="Compact"/>
              <w:jc w:val="left"/>
            </w:pPr>
            <w:r>
              <w:t xml:space="preserve">Security features</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Access controls</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Enterprise support</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Pricing</w:t>
            </w:r>
          </w:p>
        </w:tc>
        <w:tc>
          <w:tcPr/>
          <w:p>
            <w:pPr>
              <w:pStyle w:val="Compact"/>
              <w:jc w:val="left"/>
            </w:pPr>
            <w:r>
              <w:t xml:space="preserve">US$4 per 1,000 pages (cached input US$0.40); annotated pages US$5 per 1,000; 50% batch discount (US$2 per 1,000); no-code Document AI US$5 per 1,000 pages</w:t>
            </w:r>
          </w:p>
        </w:tc>
        <w:tc>
          <w:tcPr/>
          <w:p>
            <w:pPr>
              <w:pStyle w:val="Compact"/>
              <w:jc w:val="left"/>
            </w:pPr>
            <w:r>
              <w:t xml:space="preserve">Verified fact</w:t>
            </w:r>
          </w:p>
        </w:tc>
        <w:tc>
          <w:tcPr/>
          <w:p>
            <w:pPr>
              <w:pStyle w:val="Compact"/>
              <w:jc w:val="left"/>
            </w:pPr>
            <w:r>
              <w:t xml:space="preserve">A1-S130, A1-S135, V1-S010</w:t>
            </w:r>
          </w:p>
        </w:tc>
      </w:tr>
      <w:tr>
        <w:tc>
          <w:tcPr/>
          <w:p>
            <w:pPr>
              <w:pStyle w:val="Compact"/>
              <w:jc w:val="left"/>
            </w:pPr>
            <w:r>
              <w:t xml:space="preserve">Infrastructure cost</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Ecosystem</w:t>
            </w:r>
          </w:p>
        </w:tc>
        <w:tc>
          <w:tcPr/>
          <w:p>
            <w:pPr>
              <w:pStyle w:val="Compact"/>
              <w:jc w:val="left"/>
            </w:pPr>
            <w:r>
              <w:t xml:space="preserve">Python SDK mistralai 3.1.0 (6 October 2026)</w:t>
            </w:r>
          </w:p>
        </w:tc>
        <w:tc>
          <w:tcPr/>
          <w:p>
            <w:pPr>
              <w:pStyle w:val="Compact"/>
              <w:jc w:val="left"/>
            </w:pPr>
            <w:r>
              <w:t xml:space="preserve">Verified fact</w:t>
            </w:r>
          </w:p>
        </w:tc>
        <w:tc>
          <w:tcPr/>
          <w:p>
            <w:pPr>
              <w:pStyle w:val="Compact"/>
              <w:jc w:val="left"/>
            </w:pPr>
            <w:r>
              <w:t xml:space="preserve">A1-S017</w:t>
            </w:r>
          </w:p>
        </w:tc>
      </w:tr>
      <w:tr>
        <w:tc>
          <w:tcPr/>
          <w:p>
            <w:pPr>
              <w:pStyle w:val="Compact"/>
              <w:jc w:val="left"/>
            </w:pPr>
            <w:r>
              <w:t xml:space="preserve">Adoption signals</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Maturity</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Deployment</w:t>
            </w:r>
          </w:p>
        </w:tc>
        <w:tc>
          <w:tcPr/>
          <w:p>
            <w:pPr>
              <w:pStyle w:val="Compact"/>
              <w:jc w:val="left"/>
            </w:pPr>
            <w:r>
              <w:t xml:space="preserve">saas: Yes (EU-hosted serverless API); managed_cloud: Not publicly verified; vpc_byoc: Not publicly verified; private_cloud: Yes (private cloud, enterprise); self_hosted: Yes (single-container self-managed, enterprise); on_prem: Yes (on-premises, enterprise)</w:t>
            </w:r>
          </w:p>
        </w:tc>
        <w:tc>
          <w:tcPr/>
          <w:p>
            <w:pPr>
              <w:pStyle w:val="Compact"/>
            </w:pPr>
          </w:p>
        </w:tc>
        <w:tc>
          <w:tcPr/>
          <w:p>
            <w:pPr>
              <w:pStyle w:val="Compact"/>
            </w:pPr>
          </w:p>
        </w:tc>
      </w:tr>
    </w:tbl>
    <w:bookmarkEnd w:id="265"/>
    <w:bookmarkStart w:id="283" w:name="Xc76775d337c56ebd53a49f147dd0ed1d52b44f2"/>
    <w:p>
      <w:pPr>
        <w:pStyle w:val="Heading2"/>
      </w:pPr>
      <w:r>
        <w:t xml:space="preserve">LlamaParse (now the name of LlamaIndex’s whole document platform: Parse, Extract, Index, Split, Agents; previously marketed as LlamaCloud) (</w:t>
      </w:r>
      <w:r>
        <w:rPr>
          <w:rStyle w:val="VerbatimChar"/>
        </w:rPr>
        <w:t xml:space="preserve">L8-llamaparse</w:t>
      </w:r>
      <w:r>
        <w:t xml:space="preserve">)</w:t>
      </w:r>
    </w:p>
    <w:p>
      <w:pPr>
        <w:pStyle w:val="FirstParagraph"/>
      </w:pPr>
      <w:r>
        <w:rPr>
          <w:bCs/>
          <w:b/>
        </w:rPr>
        <w:t xml:space="preserve">Tier:</w:t>
      </w:r>
      <w:r>
        <w:t xml:space="preserve"> </w:t>
      </w:r>
      <w:r>
        <w:t xml:space="preserve">Tactical ·</w:t>
      </w:r>
      <w:r>
        <w:t xml:space="preserve"> </w:t>
      </w:r>
      <w:r>
        <w:rPr>
          <w:bCs/>
          <w:b/>
        </w:rPr>
        <w:t xml:space="preserve">Flags:</w:t>
      </w:r>
      <w:r>
        <w:t xml:space="preserve"> </w:t>
      </w:r>
      <w:r>
        <w:t xml:space="preserve">Renamed ·</w:t>
      </w:r>
      <w:r>
        <w:t xml:space="preserve"> </w:t>
      </w:r>
      <w:r>
        <w:rPr>
          <w:bCs/>
          <w:b/>
        </w:rPr>
        <w:t xml:space="preserve">Original graphic label:</w:t>
      </w:r>
      <w:r>
        <w:t xml:space="preserve"> </w:t>
      </w:r>
      <w:r>
        <w:t xml:space="preserve">LlamaParse – PDF / documents</w:t>
      </w:r>
    </w:p>
    <w:p>
      <w:pPr>
        <w:pStyle w:val="BodyText"/>
      </w:pPr>
      <w:r>
        <w:rPr>
          <w:iCs/>
          <w:i/>
        </w:rPr>
        <w:t xml:space="preserve">Rationale:</w:t>
      </w:r>
      <w:r>
        <w:t xml:space="preserve"> </w:t>
      </w:r>
      <w:r>
        <w:t xml:space="preserve">Capable managed parser with EU and BYOC options, but proprietary credits, SDK churn and a platform that reaches into L6/L3 argue against a foundational dependency.</w:t>
      </w:r>
    </w:p>
    <w:tbl>
      <w:tblPr>
        <w:tblStyle w:val="Table"/>
        <w:tblW w:type="pct" w:w="5000"/>
        <w:tblLook w:firstRow="1" w:lastRow="0" w:firstColumn="0" w:lastColumn="0" w:noHBand="0" w:noVBand="0" w:val="0020"/>
        <w:jc w:val="start"/>
      </w:tblPr>
      <w:tblGrid>
        <w:gridCol w:w="1545"/>
        <w:gridCol w:w="579"/>
        <w:gridCol w:w="5795"/>
      </w:tblGrid>
      <w:tr>
        <w:trPr>
          <w:tblHeader w:val="true"/>
        </w:trPr>
        <w:tc>
          <w:tcPr/>
          <w:p>
            <w:pPr>
              <w:pStyle w:val="Compact"/>
              <w:jc w:val="left"/>
            </w:pPr>
            <w:r>
              <w:t xml:space="preserve">Criterion</w:t>
            </w:r>
          </w:p>
        </w:tc>
        <w:tc>
          <w:tcPr/>
          <w:p>
            <w:pPr>
              <w:pStyle w:val="Compact"/>
              <w:jc w:val="right"/>
            </w:pPr>
            <w:r>
              <w:t xml:space="preserve">Score</w:t>
            </w:r>
          </w:p>
        </w:tc>
        <w:tc>
          <w:tcPr/>
          <w:p>
            <w:pPr>
              <w:pStyle w:val="Compact"/>
              <w:jc w:val="left"/>
            </w:pPr>
            <w:r>
              <w:t xml:space="preserve">Rationale</w:t>
            </w:r>
          </w:p>
        </w:tc>
      </w:tr>
      <w:tr>
        <w:tc>
          <w:tcPr/>
          <w:p>
            <w:pPr>
              <w:pStyle w:val="Compact"/>
              <w:jc w:val="left"/>
            </w:pPr>
            <w:r>
              <w:t xml:space="preserve">Technical</w:t>
            </w:r>
          </w:p>
        </w:tc>
        <w:tc>
          <w:tcPr/>
          <w:p>
            <w:pPr>
              <w:pStyle w:val="Compact"/>
              <w:jc w:val="right"/>
            </w:pPr>
            <w:r>
              <w:t xml:space="preserve">4</w:t>
            </w:r>
          </w:p>
        </w:tc>
        <w:tc>
          <w:tcPr/>
          <w:p>
            <w:pPr>
              <w:pStyle w:val="Compact"/>
              <w:jc w:val="left"/>
            </w:pPr>
            <w:r>
              <w:t xml:space="preserve">Parse, extract, split, classify and index across 130+ formats; no ACL, PII or lineage.</w:t>
            </w:r>
          </w:p>
        </w:tc>
      </w:tr>
      <w:tr>
        <w:tc>
          <w:tcPr/>
          <w:p>
            <w:pPr>
              <w:pStyle w:val="Compact"/>
              <w:jc w:val="left"/>
            </w:pPr>
            <w:r>
              <w:t xml:space="preserve">Enterprise readiness</w:t>
            </w:r>
          </w:p>
        </w:tc>
        <w:tc>
          <w:tcPr/>
          <w:p>
            <w:pPr>
              <w:pStyle w:val="Compact"/>
              <w:jc w:val="right"/>
            </w:pPr>
            <w:r>
              <w:t xml:space="preserve">3</w:t>
            </w:r>
          </w:p>
        </w:tc>
        <w:tc>
          <w:tcPr/>
          <w:p>
            <w:pPr>
              <w:pStyle w:val="Compact"/>
              <w:jc w:val="left"/>
            </w:pPr>
            <w:r>
              <w:t xml:space="preserve">SSO through SAML and OIDC on the managed service and the Enterprise plan is verified (A1-S116, B-REV-S023): one verified control lifts the NPV cap to 3 under rule 7 (CP2 Q2). Hosted organisations are flat (every member has the same access)</w:t>
            </w:r>
            <w:r>
              <w:t xml:space="preserve"> </w:t>
            </w:r>
            <w:r>
              <w:rPr>
                <w:rStyle w:val="ClaimLabel"/>
              </w:rPr>
              <w:t xml:space="preserve">VF</w:t>
            </w:r>
            <w:r>
              <w:rPr>
                <w:rStyle w:val="FootnoteReference"/>
              </w:rPr>
              <w:footnoteReference w:id="266"/>
            </w:r>
            <w:r>
              <w:t xml:space="preserve">, named roles exist only when self-hosted, and audit logs are not documented, so not above 3.</w:t>
            </w:r>
          </w:p>
        </w:tc>
      </w:tr>
      <w:tr>
        <w:tc>
          <w:tcPr/>
          <w:p>
            <w:pPr>
              <w:pStyle w:val="Compact"/>
              <w:jc w:val="left"/>
            </w:pPr>
            <w:r>
              <w:t xml:space="preserve">Security and compliance</w:t>
            </w:r>
          </w:p>
        </w:tc>
        <w:tc>
          <w:tcPr/>
          <w:p>
            <w:pPr>
              <w:pStyle w:val="Compact"/>
              <w:jc w:val="right"/>
            </w:pPr>
            <w:r>
              <w:t xml:space="preserve">3</w:t>
            </w:r>
          </w:p>
        </w:tc>
        <w:tc>
          <w:tcPr/>
          <w:p>
            <w:pPr>
              <w:pStyle w:val="Compact"/>
              <w:jc w:val="left"/>
            </w:pPr>
            <w:r>
              <w:t xml:space="preserve">SOC 2 Type II and HIPAA BAA (medium confidence); no ISO 27001 found.</w:t>
            </w:r>
          </w:p>
        </w:tc>
      </w:tr>
      <w:tr>
        <w:tc>
          <w:tcPr/>
          <w:p>
            <w:pPr>
              <w:pStyle w:val="Compact"/>
              <w:jc w:val="left"/>
            </w:pPr>
            <w:r>
              <w:t xml:space="preserve">Deployment flexibility</w:t>
            </w:r>
          </w:p>
        </w:tc>
        <w:tc>
          <w:tcPr/>
          <w:p>
            <w:pPr>
              <w:pStyle w:val="Compact"/>
              <w:jc w:val="right"/>
            </w:pPr>
            <w:r>
              <w:t xml:space="preserve">4</w:t>
            </w:r>
          </w:p>
        </w:tc>
        <w:tc>
          <w:tcPr/>
          <w:p>
            <w:pPr>
              <w:pStyle w:val="Compact"/>
              <w:jc w:val="left"/>
            </w:pPr>
            <w:r>
              <w:t xml:space="preserve">SaaS NA/EU, BYOC, self-hosted and on-prem; air-gap not stated.</w:t>
            </w:r>
          </w:p>
        </w:tc>
      </w:tr>
      <w:tr>
        <w:tc>
          <w:tcPr/>
          <w:p>
            <w:pPr>
              <w:pStyle w:val="Compact"/>
              <w:jc w:val="left"/>
            </w:pPr>
            <w:r>
              <w:t xml:space="preserve">Ecosystem</w:t>
            </w:r>
          </w:p>
        </w:tc>
        <w:tc>
          <w:tcPr/>
          <w:p>
            <w:pPr>
              <w:pStyle w:val="Compact"/>
              <w:jc w:val="right"/>
            </w:pPr>
            <w:r>
              <w:t xml:space="preserve">4</w:t>
            </w:r>
          </w:p>
        </w:tc>
        <w:tc>
          <w:tcPr/>
          <w:p>
            <w:pPr>
              <w:pStyle w:val="Compact"/>
              <w:jc w:val="left"/>
            </w:pPr>
            <w:r>
              <w:t xml:space="preserve">LlamaIndex framework, MCP server, Python/TypeScript SDKs.</w:t>
            </w:r>
          </w:p>
        </w:tc>
      </w:tr>
      <w:tr>
        <w:tc>
          <w:tcPr/>
          <w:p>
            <w:pPr>
              <w:pStyle w:val="Compact"/>
              <w:jc w:val="left"/>
            </w:pPr>
            <w:r>
              <w:t xml:space="preserve">Reliability and maturity</w:t>
            </w:r>
          </w:p>
        </w:tc>
        <w:tc>
          <w:tcPr/>
          <w:p>
            <w:pPr>
              <w:pStyle w:val="Compact"/>
              <w:jc w:val="right"/>
            </w:pPr>
            <w:r>
              <w:t xml:space="preserve">3</w:t>
            </w:r>
          </w:p>
        </w:tc>
        <w:tc>
          <w:tcPr/>
          <w:p>
            <w:pPr>
              <w:pStyle w:val="Compact"/>
              <w:jc w:val="left"/>
            </w:pPr>
            <w:r>
              <w:t xml:space="preserve">Rename and SDK migration in 2026; company focus has shifted onto this product.</w:t>
            </w:r>
          </w:p>
        </w:tc>
      </w:tr>
      <w:tr>
        <w:tc>
          <w:tcPr/>
          <w:p>
            <w:pPr>
              <w:pStyle w:val="Compact"/>
              <w:jc w:val="left"/>
            </w:pPr>
            <w:r>
              <w:t xml:space="preserve">Cost / TCO</w:t>
            </w:r>
          </w:p>
        </w:tc>
        <w:tc>
          <w:tcPr/>
          <w:p>
            <w:pPr>
              <w:pStyle w:val="Compact"/>
              <w:jc w:val="right"/>
            </w:pPr>
            <w:r>
              <w:t xml:space="preserve">3</w:t>
            </w:r>
          </w:p>
        </w:tc>
        <w:tc>
          <w:tcPr/>
          <w:p>
            <w:pPr>
              <w:pStyle w:val="Compact"/>
              <w:jc w:val="left"/>
            </w:pPr>
            <w:r>
              <w:t xml:space="preserve">Published credits, but agentic tiers cost up to 45 credits per page.</w:t>
            </w:r>
          </w:p>
        </w:tc>
      </w:tr>
      <w:tr>
        <w:tc>
          <w:tcPr/>
          <w:p>
            <w:pPr>
              <w:pStyle w:val="Compact"/>
              <w:jc w:val="left"/>
            </w:pPr>
            <w:r>
              <w:t xml:space="preserve">Lock-in / portability</w:t>
            </w:r>
          </w:p>
        </w:tc>
        <w:tc>
          <w:tcPr/>
          <w:p>
            <w:pPr>
              <w:pStyle w:val="Compact"/>
              <w:jc w:val="right"/>
            </w:pPr>
            <w:r>
              <w:t xml:space="preserve">2</w:t>
            </w:r>
          </w:p>
        </w:tc>
        <w:tc>
          <w:tcPr/>
          <w:p>
            <w:pPr>
              <w:pStyle w:val="Compact"/>
              <w:jc w:val="left"/>
            </w:pPr>
            <w:r>
              <w:t xml:space="preserve">Proprietary credit model and API; managed index and agents deepen dependency.</w:t>
            </w:r>
          </w:p>
        </w:tc>
      </w:tr>
      <w:tr>
        <w:tc>
          <w:tcPr/>
          <w:p>
            <w:pPr>
              <w:pStyle w:val="Compact"/>
              <w:jc w:val="left"/>
            </w:pPr>
            <w:r>
              <w:rPr>
                <w:bCs/>
                <w:b/>
              </w:rPr>
              <w:t xml:space="preserve">Total (generic / FS)</w:t>
            </w:r>
          </w:p>
        </w:tc>
        <w:tc>
          <w:tcPr/>
          <w:p>
            <w:pPr>
              <w:pStyle w:val="Compact"/>
              <w:jc w:val="right"/>
            </w:pPr>
            <w:r>
              <w:rPr>
                <w:bCs/>
                <w:b/>
              </w:rPr>
              <w:t xml:space="preserve">3.40 / 3.20</w:t>
            </w:r>
          </w:p>
        </w:tc>
        <w:tc>
          <w:tcPr/>
          <w:p>
            <w:pPr>
              <w:pStyle w:val="Compact"/>
            </w:pPr>
          </w:p>
        </w:tc>
      </w:tr>
    </w:tbl>
    <w:p>
      <w:pPr>
        <w:pStyle w:val="BodyText"/>
      </w:pPr>
      <w:r>
        <w:rPr>
          <w:iCs/>
          <w:i/>
        </w:rPr>
        <w:t xml:space="preserve">Evidence rules applied:</w:t>
      </w:r>
      <w:r>
        <w:t xml:space="preserve"> </w:t>
      </w:r>
      <w:r>
        <w:t xml:space="preserve">NPV cap lifted at CP2 rework (8 October 2026) under rule 7 (CP2 Q2): SSO verified (A1-S116, B-REV-S023); enterprise_readiness 2 -&gt; 3, held at 3 because hosted roles are flat and audit logs are not documented</w:t>
      </w:r>
    </w:p>
    <w:p>
      <w:pPr>
        <w:pStyle w:val="BodyText"/>
      </w:pPr>
      <w:r>
        <w:rPr>
          <w:bCs/>
          <w:b/>
        </w:rPr>
        <w:t xml:space="preserve">Capabilities.</w:t>
      </w:r>
      <w:r>
        <w:t xml:space="preserve"> </w:t>
      </w:r>
      <w:r>
        <w:t xml:space="preserve">LlamaParse is now LlamaIndex’s whole document platform (formerly LlamaCloud): agentic OCR and parsing of 130+ formats in priced tiers, structured extraction, splitting, classification, managed ingest/index/RAG pipelines and document agents</w:t>
      </w:r>
      <w:r>
        <w:t xml:space="preserve"> </w:t>
      </w:r>
      <w:r>
        <w:rPr>
          <w:rStyle w:val="ClaimLabel"/>
        </w:rPr>
        <w:t xml:space="preserve">VF</w:t>
      </w:r>
      <w:r>
        <w:rPr>
          <w:rStyle w:val="FootnoteReference"/>
        </w:rPr>
        <w:footnoteReference w:id="268"/>
      </w:r>
      <w:r>
        <w:t xml:space="preserve">.</w:t>
      </w:r>
    </w:p>
    <w:p>
      <w:pPr>
        <w:pStyle w:val="BodyText"/>
      </w:pPr>
      <w:r>
        <w:rPr>
          <w:bCs/>
          <w:b/>
        </w:rPr>
        <w:t xml:space="preserve">Strengths</w:t>
      </w:r>
    </w:p>
    <w:p>
      <w:pPr>
        <w:numPr>
          <w:ilvl w:val="0"/>
          <w:numId w:val="1061"/>
        </w:numPr>
        <w:pStyle w:val="Compact"/>
      </w:pPr>
      <w:r>
        <w:t xml:space="preserve">EU region with in-region storage and processing, EU DPA and SCCs</w:t>
      </w:r>
      <w:r>
        <w:t xml:space="preserve"> </w:t>
      </w:r>
      <w:r>
        <w:rPr>
          <w:rStyle w:val="ClaimLabel"/>
        </w:rPr>
        <w:t xml:space="preserve">VF</w:t>
      </w:r>
      <w:r>
        <w:rPr>
          <w:rStyle w:val="FootnoteReference"/>
        </w:rPr>
        <w:footnoteReference w:id="272"/>
      </w:r>
    </w:p>
    <w:p>
      <w:pPr>
        <w:numPr>
          <w:ilvl w:val="0"/>
          <w:numId w:val="1061"/>
        </w:numPr>
        <w:pStyle w:val="Compact"/>
      </w:pPr>
      <w:r>
        <w:t xml:space="preserve">BYOC on Azure, AWS and GCP, self-hosting via Helm, and on-premises</w:t>
      </w:r>
      <w:r>
        <w:t xml:space="preserve"> </w:t>
      </w:r>
      <w:r>
        <w:rPr>
          <w:rStyle w:val="ClaimLabel"/>
        </w:rPr>
        <w:t xml:space="preserve">VF</w:t>
      </w:r>
      <w:r>
        <w:rPr>
          <w:rStyle w:val="FootnoteReference"/>
        </w:rPr>
        <w:footnoteReference w:id="274"/>
      </w:r>
    </w:p>
    <w:p>
      <w:pPr>
        <w:numPr>
          <w:ilvl w:val="0"/>
          <w:numId w:val="1061"/>
        </w:numPr>
        <w:pStyle w:val="Compact"/>
      </w:pPr>
      <w:r>
        <w:t xml:space="preserve">SOC 2 Type II and a HIPAA pipeline with BAA on request</w:t>
      </w:r>
      <w:r>
        <w:t xml:space="preserve"> </w:t>
      </w:r>
      <w:r>
        <w:rPr>
          <w:rStyle w:val="ClaimLabel"/>
        </w:rPr>
        <w:t xml:space="preserve">VF</w:t>
      </w:r>
      <w:r>
        <w:rPr>
          <w:rStyle w:val="FootnoteReference"/>
        </w:rPr>
        <w:footnoteReference w:id="275"/>
      </w:r>
    </w:p>
    <w:p>
      <w:pPr>
        <w:numPr>
          <w:ilvl w:val="0"/>
          <w:numId w:val="1061"/>
        </w:numPr>
        <w:pStyle w:val="Compact"/>
      </w:pPr>
      <w:r>
        <w:t xml:space="preserve">Transparent credit pricing by parse tier</w:t>
      </w:r>
      <w:r>
        <w:t xml:space="preserve"> </w:t>
      </w:r>
      <w:r>
        <w:rPr>
          <w:rStyle w:val="ClaimLabel"/>
        </w:rPr>
        <w:t xml:space="preserve">VF</w:t>
      </w:r>
      <w:r>
        <w:rPr>
          <w:rStyle w:val="FootnoteReference"/>
        </w:rPr>
        <w:footnoteReference w:id="276"/>
      </w:r>
    </w:p>
    <w:p>
      <w:pPr>
        <w:pStyle w:val="FirstParagraph"/>
      </w:pPr>
      <w:r>
        <w:rPr>
          <w:bCs/>
          <w:b/>
        </w:rPr>
        <w:t xml:space="preserve">Limitations and risks</w:t>
      </w:r>
    </w:p>
    <w:p>
      <w:pPr>
        <w:numPr>
          <w:ilvl w:val="0"/>
          <w:numId w:val="1062"/>
        </w:numPr>
        <w:pStyle w:val="Compact"/>
      </w:pPr>
      <w:r>
        <w:t xml:space="preserve">Permission sync, PII detection and lineage not found</w:t>
      </w:r>
      <w:r>
        <w:t xml:space="preserve"> </w:t>
      </w:r>
      <w:r>
        <w:rPr>
          <w:rStyle w:val="ClaimLabel"/>
        </w:rPr>
        <w:t xml:space="preserve">VF</w:t>
      </w:r>
      <w:r>
        <w:rPr>
          <w:rStyle w:val="FootnoteReference"/>
        </w:rPr>
        <w:footnoteReference w:id="278"/>
      </w:r>
    </w:p>
    <w:p>
      <w:pPr>
        <w:numPr>
          <w:ilvl w:val="0"/>
          <w:numId w:val="1062"/>
        </w:numPr>
        <w:pStyle w:val="Compact"/>
      </w:pPr>
      <w:r>
        <w:t xml:space="preserve">SDK churn: legacy llama-cloud-services and llama-parse packages deprecated in 2026</w:t>
      </w:r>
      <w:r>
        <w:t xml:space="preserve"> </w:t>
      </w:r>
      <w:r>
        <w:rPr>
          <w:rStyle w:val="ClaimLabel"/>
        </w:rPr>
        <w:t xml:space="preserve">VF</w:t>
      </w:r>
      <w:r>
        <w:rPr>
          <w:rStyle w:val="FootnoteReference"/>
        </w:rPr>
        <w:footnoteReference w:id="279"/>
      </w:r>
    </w:p>
    <w:p>
      <w:pPr>
        <w:numPr>
          <w:ilvl w:val="0"/>
          <w:numId w:val="1062"/>
        </w:numPr>
        <w:pStyle w:val="Compact"/>
      </w:pPr>
      <w:r>
        <w:t xml:space="preserve">Platform scope spans L8, L6 and L3, which invites a single-vendor knowledge stack</w:t>
      </w:r>
      <w:r>
        <w:t xml:space="preserve"> </w:t>
      </w:r>
      <w:r>
        <w:rPr>
          <w:rStyle w:val="ClaimLabel"/>
        </w:rPr>
        <w:t xml:space="preserve">AJ</w:t>
      </w:r>
    </w:p>
    <w:p>
      <w:pPr>
        <w:numPr>
          <w:ilvl w:val="0"/>
          <w:numId w:val="1062"/>
        </w:numPr>
        <w:pStyle w:val="Compact"/>
      </w:pPr>
      <w:r>
        <w:t xml:space="preserve">Whether SOC 2 covers BYOC or self-hosted installs is not stated</w:t>
      </w:r>
      <w:r>
        <w:t xml:space="preserve"> </w:t>
      </w:r>
      <w:r>
        <w:rPr>
          <w:rStyle w:val="ClaimLabel"/>
        </w:rPr>
        <w:t xml:space="preserve">NPV</w:t>
      </w:r>
    </w:p>
    <w:p>
      <w:pPr>
        <w:numPr>
          <w:ilvl w:val="0"/>
          <w:numId w:val="1062"/>
        </w:numPr>
        <w:pStyle w:val="Compact"/>
      </w:pPr>
      <w:r>
        <w:t xml:space="preserve">On the hosted service every organisation member has the same access to projects and resources; named roles exist only in self-hosted installs</w:t>
      </w:r>
      <w:r>
        <w:t xml:space="preserve"> </w:t>
      </w:r>
      <w:r>
        <w:rPr>
          <w:rStyle w:val="ClaimLabel"/>
        </w:rPr>
        <w:t xml:space="preserve">VF</w:t>
      </w:r>
      <w:r>
        <w:rPr>
          <w:rStyle w:val="FootnoteReference"/>
        </w:rPr>
        <w:footnoteReference w:id="282"/>
      </w:r>
    </w:p>
    <w:p>
      <w:pPr>
        <w:pStyle w:val="FirstParagraph"/>
      </w:pPr>
      <w:r>
        <w:rPr>
          <w:bCs/>
          <w:b/>
        </w:rPr>
        <w:t xml:space="preserve">Choose when</w:t>
      </w:r>
    </w:p>
    <w:p>
      <w:pPr>
        <w:numPr>
          <w:ilvl w:val="0"/>
          <w:numId w:val="1063"/>
        </w:numPr>
        <w:pStyle w:val="Compact"/>
      </w:pPr>
      <w:r>
        <w:t xml:space="preserve">You want a managed parser with an EU region or BYOC and per-page tier choice</w:t>
      </w:r>
    </w:p>
    <w:p>
      <w:pPr>
        <w:numPr>
          <w:ilvl w:val="0"/>
          <w:numId w:val="1063"/>
        </w:numPr>
        <w:pStyle w:val="Compact"/>
      </w:pPr>
      <w:r>
        <w:t xml:space="preserve">Complex layouts justify a higher-cost agentic tier on a subset of documents</w:t>
      </w:r>
      <w:r>
        <w:t xml:space="preserve"> </w:t>
      </w:r>
      <w:r>
        <w:rPr>
          <w:rStyle w:val="ClaimLabel"/>
        </w:rPr>
        <w:t xml:space="preserve">AJ</w:t>
      </w:r>
    </w:p>
    <w:p>
      <w:pPr>
        <w:pStyle w:val="FirstParagraph"/>
      </w:pPr>
      <w:r>
        <w:rPr>
          <w:bCs/>
          <w:b/>
        </w:rPr>
        <w:t xml:space="preserve">Avoid when</w:t>
      </w:r>
    </w:p>
    <w:p>
      <w:pPr>
        <w:numPr>
          <w:ilvl w:val="0"/>
          <w:numId w:val="1064"/>
        </w:numPr>
        <w:pStyle w:val="Compact"/>
      </w:pPr>
      <w:r>
        <w:t xml:space="preserve">You would let the vendor’s Index become the system of record for entitled content</w:t>
      </w:r>
    </w:p>
    <w:p>
      <w:pPr>
        <w:numPr>
          <w:ilvl w:val="0"/>
          <w:numId w:val="1064"/>
        </w:numPr>
        <w:pStyle w:val="Compact"/>
      </w:pPr>
      <w:r>
        <w:t xml:space="preserve">You need ACL-preserving connectors</w:t>
      </w:r>
    </w:p>
    <w:p>
      <w:pPr>
        <w:pStyle w:val="FirstParagraph"/>
      </w:pPr>
      <w:r>
        <w:rPr>
          <w:bCs/>
          <w:b/>
        </w:rPr>
        <w:t xml:space="preserve">Nearest competitors:</w:t>
      </w:r>
      <w:r>
        <w:t xml:space="preserve"> </w:t>
      </w:r>
      <w:r>
        <w:t xml:space="preserve">L8-reducto, L8-unstructured, L8-docling</w:t>
      </w:r>
    </w:p>
    <w:p>
      <w:pPr>
        <w:pStyle w:val="BodyText"/>
      </w:pPr>
      <w:r>
        <w:rPr>
          <w:bCs/>
          <w:b/>
        </w:rPr>
        <w:t xml:space="preserve">Regulated-FS note.</w:t>
      </w:r>
      <w:r>
        <w:t xml:space="preserve"> </w:t>
      </w:r>
      <w:r>
        <w:t xml:space="preserve">Use Parse and Extract behind the firm’s own document model and keep indexing in the firm’s L6 store; record the parse tier and SDK version with every output</w:t>
      </w:r>
      <w:r>
        <w:t xml:space="preserve"> </w:t>
      </w:r>
      <w:r>
        <w:rPr>
          <w:rStyle w:val="ClaimLabel"/>
        </w:rPr>
        <w:t xml:space="preserve">Rec</w:t>
      </w:r>
      <w:r>
        <w:t xml:space="preserve">.</w:t>
      </w:r>
    </w:p>
    <w:p>
      <w:pPr>
        <w:pStyle w:val="BodyText"/>
      </w:pPr>
      <w:r>
        <w:rPr>
          <w:bCs/>
          <w:b/>
        </w:rPr>
        <w:t xml:space="preserve">Facts (as of 2026-10-08)</w:t>
      </w:r>
    </w:p>
    <w:tbl>
      <w:tblPr>
        <w:tblStyle w:val="Table"/>
        <w:tblW w:type="pct" w:w="5000"/>
        <w:tblLook w:firstRow="1" w:lastRow="0" w:firstColumn="0" w:lastColumn="0" w:noHBand="0" w:noVBand="0" w:val="0020"/>
        <w:jc w:val="start"/>
      </w:tblPr>
      <w:tblGrid>
        <w:gridCol w:w="1485"/>
        <w:gridCol w:w="4290"/>
        <w:gridCol w:w="1320"/>
        <w:gridCol w:w="825"/>
      </w:tblGrid>
      <w:tr>
        <w:trPr>
          <w:tblHeader w:val="true"/>
        </w:trPr>
        <w:tc>
          <w:tcPr/>
          <w:p>
            <w:pPr>
              <w:pStyle w:val="Compact"/>
              <w:jc w:val="left"/>
            </w:pPr>
            <w:r>
              <w:t xml:space="preserve">Field</w:t>
            </w:r>
          </w:p>
        </w:tc>
        <w:tc>
          <w:tcPr/>
          <w:p>
            <w:pPr>
              <w:pStyle w:val="Compact"/>
              <w:jc w:val="left"/>
            </w:pPr>
            <w:r>
              <w:t xml:space="preserve">Value</w:t>
            </w:r>
          </w:p>
        </w:tc>
        <w:tc>
          <w:tcPr/>
          <w:p>
            <w:pPr>
              <w:pStyle w:val="Compact"/>
              <w:jc w:val="left"/>
            </w:pPr>
            <w:r>
              <w:t xml:space="preserve">Label</w:t>
            </w:r>
          </w:p>
        </w:tc>
        <w:tc>
          <w:tcPr/>
          <w:p>
            <w:pPr>
              <w:pStyle w:val="Compact"/>
              <w:jc w:val="left"/>
            </w:pPr>
            <w:r>
              <w:t xml:space="preserve">Sources</w:t>
            </w:r>
          </w:p>
        </w:tc>
      </w:tr>
      <w:tr>
        <w:tc>
          <w:tcPr/>
          <w:p>
            <w:pPr>
              <w:pStyle w:val="Compact"/>
              <w:jc w:val="left"/>
            </w:pPr>
            <w:r>
              <w:t xml:space="preserve">Company</w:t>
            </w:r>
          </w:p>
        </w:tc>
        <w:tc>
          <w:tcPr/>
          <w:p>
            <w:pPr>
              <w:pStyle w:val="Compact"/>
              <w:jc w:val="left"/>
            </w:pPr>
            <w:r>
              <w:t xml:space="preserve">LlamaIndex, Inc.</w:t>
            </w:r>
          </w:p>
        </w:tc>
        <w:tc>
          <w:tcPr/>
          <w:p>
            <w:pPr>
              <w:pStyle w:val="Compact"/>
              <w:jc w:val="left"/>
            </w:pPr>
            <w:r>
              <w:t xml:space="preserve">Verified fact</w:t>
            </w:r>
          </w:p>
        </w:tc>
        <w:tc>
          <w:tcPr/>
          <w:p>
            <w:pPr>
              <w:pStyle w:val="Compact"/>
              <w:jc w:val="left"/>
            </w:pPr>
            <w:r>
              <w:t xml:space="preserve">A1-S080</w:t>
            </w:r>
          </w:p>
        </w:tc>
      </w:tr>
      <w:tr>
        <w:tc>
          <w:tcPr/>
          <w:p>
            <w:pPr>
              <w:pStyle w:val="Compact"/>
              <w:jc w:val="left"/>
            </w:pPr>
            <w:r>
              <w:t xml:space="preserve">Category</w:t>
            </w:r>
          </w:p>
        </w:tc>
        <w:tc>
          <w:tcPr/>
          <w:p>
            <w:pPr>
              <w:pStyle w:val="Compact"/>
              <w:jc w:val="left"/>
            </w:pPr>
            <w:r>
              <w:t xml:space="preserve">Proprietary</w:t>
            </w:r>
            <w:r>
              <w:t xml:space="preserve"> </w:t>
            </w:r>
            <w:r>
              <w:t xml:space="preserve">‘</w:t>
            </w:r>
            <w:r>
              <w:t xml:space="preserve">enterprise platform for agentic OCR, parsing, extraction, indexing</w:t>
            </w:r>
            <w:r>
              <w:t xml:space="preserve">’</w:t>
            </w:r>
          </w:p>
        </w:tc>
        <w:tc>
          <w:tcPr/>
          <w:p>
            <w:pPr>
              <w:pStyle w:val="Compact"/>
              <w:jc w:val="left"/>
            </w:pPr>
            <w:r>
              <w:t xml:space="preserve">Verified fact</w:t>
            </w:r>
          </w:p>
        </w:tc>
        <w:tc>
          <w:tcPr/>
          <w:p>
            <w:pPr>
              <w:pStyle w:val="Compact"/>
              <w:jc w:val="left"/>
            </w:pPr>
            <w:r>
              <w:t xml:space="preserve">A1-S080, A1-S081</w:t>
            </w:r>
          </w:p>
        </w:tc>
      </w:tr>
      <w:tr>
        <w:tc>
          <w:tcPr/>
          <w:p>
            <w:pPr>
              <w:pStyle w:val="Compact"/>
              <w:jc w:val="left"/>
            </w:pPr>
            <w:r>
              <w:t xml:space="preserve">Version / lineup</w:t>
            </w:r>
          </w:p>
        </w:tc>
        <w:tc>
          <w:tcPr/>
          <w:p>
            <w:pPr>
              <w:pStyle w:val="Compact"/>
              <w:jc w:val="left"/>
            </w:pPr>
            <w:r>
              <w:t xml:space="preserve">SaaS; current Python SDK llama-cloud 2.17.0 (7 October 2026); legacy llama-cloud-services / llama-parse packages deprecated, maintained until 1 May 2026</w:t>
            </w:r>
          </w:p>
        </w:tc>
        <w:tc>
          <w:tcPr/>
          <w:p>
            <w:pPr>
              <w:pStyle w:val="Compact"/>
              <w:jc w:val="left"/>
            </w:pPr>
            <w:r>
              <w:t xml:space="preserve">Verified fact</w:t>
            </w:r>
          </w:p>
        </w:tc>
        <w:tc>
          <w:tcPr/>
          <w:p>
            <w:pPr>
              <w:pStyle w:val="Compact"/>
              <w:jc w:val="left"/>
            </w:pPr>
            <w:r>
              <w:t xml:space="preserve">A1-S014, A1-S013, A1-S081</w:t>
            </w:r>
          </w:p>
        </w:tc>
      </w:tr>
      <w:tr>
        <w:tc>
          <w:tcPr/>
          <w:p>
            <w:pPr>
              <w:pStyle w:val="Compact"/>
              <w:jc w:val="left"/>
            </w:pPr>
            <w:r>
              <w:t xml:space="preserve">Licence</w:t>
            </w:r>
          </w:p>
        </w:tc>
        <w:tc>
          <w:tcPr/>
          <w:p>
            <w:pPr>
              <w:pStyle w:val="Compact"/>
              <w:jc w:val="left"/>
            </w:pPr>
            <w:r>
              <w:t xml:space="preserve">Proprietary SaaS; SDKs MIT; companion open-source LiteParse is Apache-2.0</w:t>
            </w:r>
          </w:p>
        </w:tc>
        <w:tc>
          <w:tcPr/>
          <w:p>
            <w:pPr>
              <w:pStyle w:val="Compact"/>
              <w:jc w:val="left"/>
            </w:pPr>
            <w:r>
              <w:t xml:space="preserve">Verified fact</w:t>
            </w:r>
          </w:p>
        </w:tc>
        <w:tc>
          <w:tcPr/>
          <w:p>
            <w:pPr>
              <w:pStyle w:val="Compact"/>
              <w:jc w:val="left"/>
            </w:pPr>
            <w:r>
              <w:t xml:space="preserve">A1-S014, A1-S080</w:t>
            </w:r>
          </w:p>
        </w:tc>
      </w:tr>
      <w:tr>
        <w:tc>
          <w:tcPr/>
          <w:p>
            <w:pPr>
              <w:pStyle w:val="Compact"/>
              <w:jc w:val="left"/>
            </w:pPr>
            <w:r>
              <w:t xml:space="preserve">Status events</w:t>
            </w:r>
          </w:p>
        </w:tc>
        <w:tc>
          <w:tcPr/>
          <w:p>
            <w:pPr>
              <w:pStyle w:val="Compact"/>
              <w:jc w:val="left"/>
            </w:pPr>
            <w:r>
              <w:t xml:space="preserve">Platform branding consolidated under LlamaParse (README:</w:t>
            </w:r>
            <w:r>
              <w:t xml:space="preserve"> </w:t>
            </w:r>
            <w:r>
              <w:t xml:space="preserve">‘</w:t>
            </w:r>
            <w:r>
              <w:t xml:space="preserve">LlamaParse is its own platform</w:t>
            </w:r>
            <w:r>
              <w:t xml:space="preserve">’</w:t>
            </w:r>
            <w:r>
              <w:t xml:space="preserve">); llama-cloud-services and llama-parse SDKs deprecated (maintenance to 1 May 2026)</w:t>
            </w:r>
          </w:p>
        </w:tc>
        <w:tc>
          <w:tcPr/>
          <w:p>
            <w:pPr>
              <w:pStyle w:val="Compact"/>
              <w:jc w:val="left"/>
            </w:pPr>
            <w:r>
              <w:t xml:space="preserve">Verified fact</w:t>
            </w:r>
          </w:p>
        </w:tc>
        <w:tc>
          <w:tcPr/>
          <w:p>
            <w:pPr>
              <w:pStyle w:val="Compact"/>
              <w:jc w:val="left"/>
            </w:pPr>
            <w:r>
              <w:t xml:space="preserve">A1-S080, A1-S013, V1-S008</w:t>
            </w:r>
          </w:p>
        </w:tc>
      </w:tr>
      <w:tr>
        <w:tc>
          <w:tcPr/>
          <w:p>
            <w:pPr>
              <w:pStyle w:val="Compact"/>
              <w:jc w:val="left"/>
            </w:pPr>
            <w:r>
              <w:t xml:space="preserve">Strategic direction</w:t>
            </w:r>
          </w:p>
        </w:tc>
        <w:tc>
          <w:tcPr/>
          <w:p>
            <w:pPr>
              <w:pStyle w:val="Compact"/>
              <w:jc w:val="left"/>
            </w:pPr>
            <w:r>
              <w:t xml:space="preserve">LlamaIndex states its primary focus has shifted from the OSS framework to LlamaParse, LiteParse and parsing benchmarks (ParseBench, ExtractBench)</w:t>
            </w:r>
          </w:p>
        </w:tc>
        <w:tc>
          <w:tcPr/>
          <w:p>
            <w:pPr>
              <w:pStyle w:val="Compact"/>
              <w:jc w:val="left"/>
            </w:pPr>
            <w:r>
              <w:t xml:space="preserve">Verified fact</w:t>
            </w:r>
          </w:p>
        </w:tc>
        <w:tc>
          <w:tcPr/>
          <w:p>
            <w:pPr>
              <w:pStyle w:val="Compact"/>
              <w:jc w:val="left"/>
            </w:pPr>
            <w:r>
              <w:t xml:space="preserve">A1-S080</w:t>
            </w:r>
          </w:p>
        </w:tc>
      </w:tr>
      <w:tr>
        <w:tc>
          <w:tcPr/>
          <w:p>
            <w:pPr>
              <w:pStyle w:val="Compact"/>
              <w:jc w:val="left"/>
            </w:pPr>
            <w:r>
              <w:t xml:space="preserve">What it does</w:t>
            </w:r>
          </w:p>
        </w:tc>
        <w:tc>
          <w:tcPr/>
          <w:p>
            <w:pPr>
              <w:pStyle w:val="Compact"/>
              <w:jc w:val="left"/>
            </w:pPr>
            <w:r>
              <w:t xml:space="preserve">Agentic OCR and parsing of 130+ formats with parse tiers, structured extraction, document splitting, managed ingest/index/RAG pipelines and deployable document agents.</w:t>
            </w:r>
          </w:p>
        </w:tc>
        <w:tc>
          <w:tcPr/>
          <w:p>
            <w:pPr>
              <w:pStyle w:val="Compact"/>
              <w:jc w:val="left"/>
            </w:pPr>
            <w:r>
              <w:t xml:space="preserve">Verified fact</w:t>
            </w:r>
          </w:p>
        </w:tc>
        <w:tc>
          <w:tcPr/>
          <w:p>
            <w:pPr>
              <w:pStyle w:val="Compact"/>
              <w:jc w:val="left"/>
            </w:pPr>
            <w:r>
              <w:t xml:space="preserve">A1-S080, A1-S081</w:t>
            </w:r>
          </w:p>
        </w:tc>
      </w:tr>
      <w:tr>
        <w:tc>
          <w:tcPr/>
          <w:p>
            <w:pPr>
              <w:pStyle w:val="Compact"/>
              <w:jc w:val="left"/>
            </w:pPr>
            <w:r>
              <w:t xml:space="preserve">Stack position</w:t>
            </w:r>
          </w:p>
        </w:tc>
        <w:tc>
          <w:tcPr/>
          <w:p>
            <w:pPr>
              <w:pStyle w:val="Compact"/>
              <w:jc w:val="left"/>
            </w:pPr>
            <w:r>
              <w:t xml:space="preserve">L8 parsing plus managed indexing (L6) and document agents (L3); broader than the graphic’s</w:t>
            </w:r>
            <w:r>
              <w:t xml:space="preserve"> </w:t>
            </w:r>
            <w:r>
              <w:t xml:space="preserve">‘</w:t>
            </w:r>
            <w:r>
              <w:t xml:space="preserve">PDF / documents</w:t>
            </w:r>
            <w:r>
              <w:t xml:space="preserve">’</w:t>
            </w:r>
            <w:r>
              <w:t xml:space="preserve"> </w:t>
            </w:r>
            <w:r>
              <w:t xml:space="preserve">tile</w:t>
            </w:r>
          </w:p>
        </w:tc>
        <w:tc>
          <w:tcPr/>
          <w:p>
            <w:pPr>
              <w:pStyle w:val="Compact"/>
              <w:jc w:val="left"/>
            </w:pPr>
            <w:r>
              <w:t xml:space="preserve">Verified fact</w:t>
            </w:r>
          </w:p>
        </w:tc>
        <w:tc>
          <w:tcPr/>
          <w:p>
            <w:pPr>
              <w:pStyle w:val="Compact"/>
              <w:jc w:val="left"/>
            </w:pPr>
            <w:r>
              <w:t xml:space="preserve">A1-S080</w:t>
            </w:r>
          </w:p>
        </w:tc>
      </w:tr>
      <w:tr>
        <w:tc>
          <w:tcPr/>
          <w:p>
            <w:pPr>
              <w:pStyle w:val="Compact"/>
              <w:jc w:val="left"/>
            </w:pPr>
            <w:r>
              <w:t xml:space="preserve">Integration</w:t>
            </w:r>
          </w:p>
        </w:tc>
        <w:tc>
          <w:tcPr/>
          <w:p>
            <w:pPr>
              <w:pStyle w:val="Compact"/>
              <w:jc w:val="left"/>
            </w:pPr>
            <w:r>
              <w:t xml:space="preserve">REST API, Python and TypeScript SDKs, MCP server; usable with or without the LlamaIndex framework</w:t>
            </w:r>
          </w:p>
        </w:tc>
        <w:tc>
          <w:tcPr/>
          <w:p>
            <w:pPr>
              <w:pStyle w:val="Compact"/>
              <w:jc w:val="left"/>
            </w:pPr>
            <w:r>
              <w:t xml:space="preserve">Verified fact</w:t>
            </w:r>
          </w:p>
        </w:tc>
        <w:tc>
          <w:tcPr/>
          <w:p>
            <w:pPr>
              <w:pStyle w:val="Compact"/>
              <w:jc w:val="left"/>
            </w:pPr>
            <w:r>
              <w:t xml:space="preserve">A1-S081, A1-S080</w:t>
            </w:r>
          </w:p>
        </w:tc>
      </w:tr>
      <w:tr>
        <w:tc>
          <w:tcPr/>
          <w:p>
            <w:pPr>
              <w:pStyle w:val="Compact"/>
              <w:jc w:val="left"/>
            </w:pPr>
            <w:r>
              <w:t xml:space="preserve">Dependencies</w:t>
            </w:r>
          </w:p>
        </w:tc>
        <w:tc>
          <w:tcPr/>
          <w:p>
            <w:pPr>
              <w:pStyle w:val="Compact"/>
              <w:jc w:val="left"/>
            </w:pPr>
            <w:r>
              <w:t xml:space="preserve">LlamaParse cloud (NA or EU) and API key; self-hosted/BYOC: Helm chart on Kubernetes (EKS, AKS, GKE or conformant) plus customer-selected LLM providers</w:t>
            </w:r>
          </w:p>
        </w:tc>
        <w:tc>
          <w:tcPr/>
          <w:p>
            <w:pPr>
              <w:pStyle w:val="Compact"/>
              <w:jc w:val="left"/>
            </w:pPr>
            <w:r>
              <w:t xml:space="preserve">Verified fact</w:t>
            </w:r>
          </w:p>
        </w:tc>
        <w:tc>
          <w:tcPr/>
          <w:p>
            <w:pPr>
              <w:pStyle w:val="Compact"/>
              <w:jc w:val="left"/>
            </w:pPr>
            <w:r>
              <w:t xml:space="preserve">A1-S081, A1-S115</w:t>
            </w:r>
          </w:p>
        </w:tc>
      </w:tr>
      <w:tr>
        <w:tc>
          <w:tcPr/>
          <w:p>
            <w:pPr>
              <w:pStyle w:val="Compact"/>
              <w:jc w:val="left"/>
            </w:pPr>
            <w:r>
              <w:t xml:space="preserve">Certifications</w:t>
            </w:r>
          </w:p>
        </w:tc>
        <w:tc>
          <w:tcPr/>
          <w:p>
            <w:pPr>
              <w:pStyle w:val="Compact"/>
              <w:jc w:val="left"/>
            </w:pPr>
            <w:r>
              <w:t xml:space="preserve">SOC 2 Type II (report via Trust Center); HIPAA-compliant pipeline for Enterprise with BAA on request</w:t>
            </w:r>
          </w:p>
        </w:tc>
        <w:tc>
          <w:tcPr/>
          <w:p>
            <w:pPr>
              <w:pStyle w:val="Compact"/>
              <w:jc w:val="left"/>
            </w:pPr>
            <w:r>
              <w:t xml:space="preserve">Verified fact</w:t>
            </w:r>
          </w:p>
        </w:tc>
        <w:tc>
          <w:tcPr/>
          <w:p>
            <w:pPr>
              <w:pStyle w:val="Compact"/>
              <w:jc w:val="left"/>
            </w:pPr>
            <w:r>
              <w:t xml:space="preserve">A1-S115</w:t>
            </w:r>
          </w:p>
        </w:tc>
      </w:tr>
      <w:tr>
        <w:tc>
          <w:tcPr/>
          <w:p>
            <w:pPr>
              <w:pStyle w:val="Compact"/>
              <w:jc w:val="left"/>
            </w:pPr>
            <w:r>
              <w:t xml:space="preserve">GDPR / residency</w:t>
            </w:r>
          </w:p>
        </w:tc>
        <w:tc>
          <w:tcPr/>
          <w:p>
            <w:pPr>
              <w:pStyle w:val="Compact"/>
              <w:jc w:val="left"/>
            </w:pPr>
            <w:r>
              <w:t xml:space="preserve">EU region (api.cloud.eu.llamaindex.ai): data stored and processed in EU; EU DPA, SCCs and Article 27 representative; region-specific API keys; self-hosted LLM provider choice affects residency</w:t>
            </w:r>
          </w:p>
        </w:tc>
        <w:tc>
          <w:tcPr/>
          <w:p>
            <w:pPr>
              <w:pStyle w:val="Compact"/>
              <w:jc w:val="left"/>
            </w:pPr>
            <w:r>
              <w:t xml:space="preserve">Verified fact</w:t>
            </w:r>
          </w:p>
        </w:tc>
        <w:tc>
          <w:tcPr/>
          <w:p>
            <w:pPr>
              <w:pStyle w:val="Compact"/>
              <w:jc w:val="left"/>
            </w:pPr>
            <w:r>
              <w:t xml:space="preserve">A1-S115</w:t>
            </w:r>
          </w:p>
        </w:tc>
      </w:tr>
      <w:tr>
        <w:tc>
          <w:tcPr/>
          <w:p>
            <w:pPr>
              <w:pStyle w:val="Compact"/>
              <w:jc w:val="left"/>
            </w:pPr>
            <w:r>
              <w:t xml:space="preserve">Security features</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Access controls</w:t>
            </w:r>
          </w:p>
        </w:tc>
        <w:tc>
          <w:tcPr/>
          <w:p>
            <w:pPr>
              <w:pStyle w:val="Compact"/>
              <w:jc w:val="left"/>
            </w:pPr>
            <w:r>
              <w:t xml:space="preserve">Self-hosted: OIDC with Microsoft Entra ID, Okta; Enterprise plan includes SSO</w:t>
            </w:r>
          </w:p>
        </w:tc>
        <w:tc>
          <w:tcPr/>
          <w:p>
            <w:pPr>
              <w:pStyle w:val="Compact"/>
              <w:jc w:val="left"/>
            </w:pPr>
            <w:r>
              <w:t xml:space="preserve">Verified fact</w:t>
            </w:r>
          </w:p>
        </w:tc>
        <w:tc>
          <w:tcPr/>
          <w:p>
            <w:pPr>
              <w:pStyle w:val="Compact"/>
              <w:jc w:val="left"/>
            </w:pPr>
            <w:r>
              <w:t xml:space="preserve">A1-S115, A1-S116</w:t>
            </w:r>
          </w:p>
        </w:tc>
      </w:tr>
      <w:tr>
        <w:tc>
          <w:tcPr/>
          <w:p>
            <w:pPr>
              <w:pStyle w:val="Compact"/>
              <w:jc w:val="left"/>
            </w:pPr>
            <w:r>
              <w:t xml:space="preserve">Enterprise support</w:t>
            </w:r>
          </w:p>
        </w:tc>
        <w:tc>
          <w:tcPr/>
          <w:p>
            <w:pPr>
              <w:pStyle w:val="Compact"/>
              <w:jc w:val="left"/>
            </w:pPr>
            <w:r>
              <w:t xml:space="preserve">Enterprise: negotiated credits and rate limits (5x), dedicated support, flexible deployment; Pro priority support</w:t>
            </w:r>
          </w:p>
        </w:tc>
        <w:tc>
          <w:tcPr/>
          <w:p>
            <w:pPr>
              <w:pStyle w:val="Compact"/>
              <w:jc w:val="left"/>
            </w:pPr>
            <w:r>
              <w:t xml:space="preserve">Verified fact</w:t>
            </w:r>
          </w:p>
        </w:tc>
        <w:tc>
          <w:tcPr/>
          <w:p>
            <w:pPr>
              <w:pStyle w:val="Compact"/>
              <w:jc w:val="left"/>
            </w:pPr>
            <w:r>
              <w:t xml:space="preserve">A1-S116</w:t>
            </w:r>
          </w:p>
        </w:tc>
      </w:tr>
      <w:tr>
        <w:tc>
          <w:tcPr/>
          <w:p>
            <w:pPr>
              <w:pStyle w:val="Compact"/>
              <w:jc w:val="left"/>
            </w:pPr>
            <w:r>
              <w:t xml:space="preserve">Pricing</w:t>
            </w:r>
          </w:p>
        </w:tc>
        <w:tc>
          <w:tcPr/>
          <w:p>
            <w:pPr>
              <w:pStyle w:val="Compact"/>
              <w:jc w:val="left"/>
            </w:pPr>
            <w:r>
              <w:t xml:space="preserve">Free (10k credits/month), Starter US$50/month (40k credits), Pro US$500/month (400k credits), Enterprise custom; overage US$1.25 per 1,000 credits; parse 1-45 credits/page by tier (Fast 1, Cost-effective 3, Agentic 10, Agentic Plus 45)</w:t>
            </w:r>
          </w:p>
        </w:tc>
        <w:tc>
          <w:tcPr/>
          <w:p>
            <w:pPr>
              <w:pStyle w:val="Compact"/>
              <w:jc w:val="left"/>
            </w:pPr>
            <w:r>
              <w:t xml:space="preserve">Verified fact</w:t>
            </w:r>
          </w:p>
        </w:tc>
        <w:tc>
          <w:tcPr/>
          <w:p>
            <w:pPr>
              <w:pStyle w:val="Compact"/>
              <w:jc w:val="left"/>
            </w:pPr>
            <w:r>
              <w:t xml:space="preserve">A1-S116</w:t>
            </w:r>
          </w:p>
        </w:tc>
      </w:tr>
      <w:tr>
        <w:tc>
          <w:tcPr/>
          <w:p>
            <w:pPr>
              <w:pStyle w:val="Compact"/>
              <w:jc w:val="left"/>
            </w:pPr>
            <w:r>
              <w:t xml:space="preserve">Infrastructure cost</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Ecosystem</w:t>
            </w:r>
          </w:p>
        </w:tc>
        <w:tc>
          <w:tcPr/>
          <w:p>
            <w:pPr>
              <w:pStyle w:val="Compact"/>
              <w:jc w:val="left"/>
            </w:pPr>
            <w:r>
              <w:t xml:space="preserve">LlamaIndex framework, MCP clients, LiteParse (open-source local parser)</w:t>
            </w:r>
          </w:p>
        </w:tc>
        <w:tc>
          <w:tcPr/>
          <w:p>
            <w:pPr>
              <w:pStyle w:val="Compact"/>
              <w:jc w:val="left"/>
            </w:pPr>
            <w:r>
              <w:t xml:space="preserve">Verified fact</w:t>
            </w:r>
          </w:p>
        </w:tc>
        <w:tc>
          <w:tcPr/>
          <w:p>
            <w:pPr>
              <w:pStyle w:val="Compact"/>
              <w:jc w:val="left"/>
            </w:pPr>
            <w:r>
              <w:t xml:space="preserve">A1-S080, A1-S081</w:t>
            </w:r>
          </w:p>
        </w:tc>
      </w:tr>
      <w:tr>
        <w:tc>
          <w:tcPr/>
          <w:p>
            <w:pPr>
              <w:pStyle w:val="Compact"/>
              <w:jc w:val="left"/>
            </w:pPr>
            <w:r>
              <w:t xml:space="preserve">Adoption signals</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Maturity</w:t>
            </w:r>
          </w:p>
        </w:tc>
        <w:tc>
          <w:tcPr/>
          <w:p>
            <w:pPr>
              <w:pStyle w:val="Compact"/>
              <w:jc w:val="left"/>
            </w:pPr>
            <w:r>
              <w:t xml:space="preserve">llama-parse first on PyPI 2 February 2024; new llama-cloud SDK line &gt;=1.0</w:t>
            </w:r>
          </w:p>
        </w:tc>
        <w:tc>
          <w:tcPr/>
          <w:p>
            <w:pPr>
              <w:pStyle w:val="Compact"/>
              <w:jc w:val="left"/>
            </w:pPr>
            <w:r>
              <w:t xml:space="preserve">Verified fact</w:t>
            </w:r>
          </w:p>
        </w:tc>
        <w:tc>
          <w:tcPr/>
          <w:p>
            <w:pPr>
              <w:pStyle w:val="Compact"/>
              <w:jc w:val="left"/>
            </w:pPr>
            <w:r>
              <w:t xml:space="preserve">A1-S013, A1-S014</w:t>
            </w:r>
          </w:p>
        </w:tc>
      </w:tr>
      <w:tr>
        <w:tc>
          <w:tcPr/>
          <w:p>
            <w:pPr>
              <w:pStyle w:val="Compact"/>
              <w:jc w:val="left"/>
            </w:pPr>
            <w:r>
              <w:t xml:space="preserve">Deployment</w:t>
            </w:r>
          </w:p>
        </w:tc>
        <w:tc>
          <w:tcPr/>
          <w:p>
            <w:pPr>
              <w:pStyle w:val="Compact"/>
              <w:jc w:val="left"/>
            </w:pPr>
            <w:r>
              <w:t xml:space="preserve">saas: Yes (NA and EU regions); managed_cloud: Not publicly verified; vpc_byoc: Yes (BYOC on Azure, AWS, GCP); private_cloud: Yes; self_hosted: Yes; on_prem: Yes (on-premises)</w:t>
            </w:r>
          </w:p>
        </w:tc>
        <w:tc>
          <w:tcPr/>
          <w:p>
            <w:pPr>
              <w:pStyle w:val="Compact"/>
            </w:pPr>
          </w:p>
        </w:tc>
        <w:tc>
          <w:tcPr/>
          <w:p>
            <w:pPr>
              <w:pStyle w:val="Compact"/>
            </w:pPr>
          </w:p>
        </w:tc>
      </w:tr>
    </w:tbl>
    <w:bookmarkEnd w:id="283"/>
    <w:bookmarkStart w:id="303" w:name="firecrawl-l8-firecrawl"/>
    <w:p>
      <w:pPr>
        <w:pStyle w:val="Heading2"/>
      </w:pPr>
      <w:r>
        <w:t xml:space="preserve">Firecrawl (</w:t>
      </w:r>
      <w:r>
        <w:rPr>
          <w:rStyle w:val="VerbatimChar"/>
        </w:rPr>
        <w:t xml:space="preserve">L8-firecrawl</w:t>
      </w:r>
      <w:r>
        <w:t xml:space="preserve">)</w:t>
      </w:r>
    </w:p>
    <w:p>
      <w:pPr>
        <w:pStyle w:val="FirstParagraph"/>
      </w:pPr>
      <w:r>
        <w:rPr>
          <w:bCs/>
          <w:b/>
        </w:rPr>
        <w:t xml:space="preserve">Tier:</w:t>
      </w:r>
      <w:r>
        <w:t xml:space="preserve"> </w:t>
      </w:r>
      <w:r>
        <w:t xml:space="preserve">Tactical ·</w:t>
      </w:r>
      <w:r>
        <w:t xml:space="preserve"> </w:t>
      </w:r>
      <w:r>
        <w:rPr>
          <w:bCs/>
          <w:b/>
        </w:rPr>
        <w:t xml:space="preserve">Flags:</w:t>
      </w:r>
      <w:r>
        <w:t xml:space="preserve"> </w:t>
      </w:r>
      <w:r>
        <w:t xml:space="preserve">none ·</w:t>
      </w:r>
      <w:r>
        <w:t xml:space="preserve"> </w:t>
      </w:r>
      <w:r>
        <w:rPr>
          <w:bCs/>
          <w:b/>
        </w:rPr>
        <w:t xml:space="preserve">Original graphic label:</w:t>
      </w:r>
      <w:r>
        <w:t xml:space="preserve"> </w:t>
      </w:r>
      <w:r>
        <w:t xml:space="preserve">Firecrawl – web to LLM-ready</w:t>
      </w:r>
    </w:p>
    <w:p>
      <w:pPr>
        <w:pStyle w:val="BodyText"/>
      </w:pPr>
      <w:r>
        <w:rPr>
          <w:iCs/>
          <w:i/>
        </w:rPr>
        <w:t xml:space="preserve">Rationale:</w:t>
      </w:r>
      <w:r>
        <w:t xml:space="preserve"> </w:t>
      </w:r>
      <w:r>
        <w:t xml:space="preserve">The most enterprise-ready web acquisition option, but AGPL open core, US-only data location and unverified security evidence keep it tactical.</w:t>
      </w:r>
    </w:p>
    <w:tbl>
      <w:tblPr>
        <w:tblStyle w:val="Table"/>
        <w:tblW w:type="pct" w:w="5000"/>
        <w:tblLook w:firstRow="1" w:lastRow="0" w:firstColumn="0" w:lastColumn="0" w:noHBand="0" w:noVBand="0" w:val="0020"/>
        <w:jc w:val="start"/>
      </w:tblPr>
      <w:tblGrid>
        <w:gridCol w:w="1545"/>
        <w:gridCol w:w="579"/>
        <w:gridCol w:w="5795"/>
      </w:tblGrid>
      <w:tr>
        <w:trPr>
          <w:tblHeader w:val="true"/>
        </w:trPr>
        <w:tc>
          <w:tcPr/>
          <w:p>
            <w:pPr>
              <w:pStyle w:val="Compact"/>
              <w:jc w:val="left"/>
            </w:pPr>
            <w:r>
              <w:t xml:space="preserve">Criterion</w:t>
            </w:r>
          </w:p>
        </w:tc>
        <w:tc>
          <w:tcPr/>
          <w:p>
            <w:pPr>
              <w:pStyle w:val="Compact"/>
              <w:jc w:val="right"/>
            </w:pPr>
            <w:r>
              <w:t xml:space="preserve">Score</w:t>
            </w:r>
          </w:p>
        </w:tc>
        <w:tc>
          <w:tcPr/>
          <w:p>
            <w:pPr>
              <w:pStyle w:val="Compact"/>
              <w:jc w:val="left"/>
            </w:pPr>
            <w:r>
              <w:t xml:space="preserve">Rationale</w:t>
            </w:r>
          </w:p>
        </w:tc>
      </w:tr>
      <w:tr>
        <w:tc>
          <w:tcPr/>
          <w:p>
            <w:pPr>
              <w:pStyle w:val="Compact"/>
              <w:jc w:val="left"/>
            </w:pPr>
            <w:r>
              <w:t xml:space="preserve">Technical</w:t>
            </w:r>
          </w:p>
        </w:tc>
        <w:tc>
          <w:tcPr/>
          <w:p>
            <w:pPr>
              <w:pStyle w:val="Compact"/>
              <w:jc w:val="right"/>
            </w:pPr>
            <w:r>
              <w:t xml:space="preserve">4</w:t>
            </w:r>
          </w:p>
        </w:tc>
        <w:tc>
          <w:tcPr/>
          <w:p>
            <w:pPr>
              <w:pStyle w:val="Compact"/>
              <w:jc w:val="left"/>
            </w:pPr>
            <w:r>
              <w:t xml:space="preserve">Full web acquisition surface plus parsing, PII redaction and prompt-injection check.</w:t>
            </w:r>
          </w:p>
        </w:tc>
      </w:tr>
      <w:tr>
        <w:tc>
          <w:tcPr/>
          <w:p>
            <w:pPr>
              <w:pStyle w:val="Compact"/>
              <w:jc w:val="left"/>
            </w:pPr>
            <w:r>
              <w:t xml:space="preserve">Enterprise readiness</w:t>
            </w:r>
          </w:p>
        </w:tc>
        <w:tc>
          <w:tcPr/>
          <w:p>
            <w:pPr>
              <w:pStyle w:val="Compact"/>
              <w:jc w:val="right"/>
            </w:pPr>
            <w:r>
              <w:t xml:space="preserve">4</w:t>
            </w:r>
          </w:p>
        </w:tc>
        <w:tc>
          <w:tcPr/>
          <w:p>
            <w:pPr>
              <w:pStyle w:val="Compact"/>
              <w:jc w:val="left"/>
            </w:pPr>
            <w:r>
              <w:t xml:space="preserve">SAML/OIDC SSO and SCIM on Enterprise, Admin and Member roles, SIEM audit logging of scrape events to Sentinel</w:t>
            </w:r>
            <w:r>
              <w:t xml:space="preserve"> </w:t>
            </w:r>
            <w:r>
              <w:rPr>
                <w:rStyle w:val="ClaimLabel"/>
              </w:rPr>
              <w:t xml:space="preserve">VF</w:t>
            </w:r>
            <w:r>
              <w:rPr>
                <w:rStyle w:val="FootnoteReference"/>
              </w:rPr>
              <w:footnoteReference w:id="284"/>
            </w:r>
            <w:r>
              <w:t xml:space="preserve">: all three controls plus SCIM, so 4 under rule 7 (CP2 Q2). Not 5: built-in roles only (no custom roles), team-management events not stated as logged, SLA NPV.</w:t>
            </w:r>
          </w:p>
        </w:tc>
      </w:tr>
      <w:tr>
        <w:tc>
          <w:tcPr/>
          <w:p>
            <w:pPr>
              <w:pStyle w:val="Compact"/>
              <w:jc w:val="left"/>
            </w:pPr>
            <w:r>
              <w:t xml:space="preserve">Security and compliance</w:t>
            </w:r>
          </w:p>
        </w:tc>
        <w:tc>
          <w:tcPr/>
          <w:p>
            <w:pPr>
              <w:pStyle w:val="Compact"/>
              <w:jc w:val="right"/>
            </w:pPr>
            <w:r>
              <w:t xml:space="preserve">2</w:t>
            </w:r>
          </w:p>
        </w:tc>
        <w:tc>
          <w:tcPr/>
          <w:p>
            <w:pPr>
              <w:pStyle w:val="Compact"/>
              <w:jc w:val="left"/>
            </w:pPr>
            <w:r>
              <w:t xml:space="preserve">Capped: SOC 2 Type II and HIPAA wording are vendor-page claims flagged by the V1 verifier.</w:t>
            </w:r>
          </w:p>
        </w:tc>
      </w:tr>
      <w:tr>
        <w:tc>
          <w:tcPr/>
          <w:p>
            <w:pPr>
              <w:pStyle w:val="Compact"/>
              <w:jc w:val="left"/>
            </w:pPr>
            <w:r>
              <w:t xml:space="preserve">Deployment flexibility</w:t>
            </w:r>
          </w:p>
        </w:tc>
        <w:tc>
          <w:tcPr/>
          <w:p>
            <w:pPr>
              <w:pStyle w:val="Compact"/>
              <w:jc w:val="right"/>
            </w:pPr>
            <w:r>
              <w:t xml:space="preserve">3</w:t>
            </w:r>
          </w:p>
        </w:tc>
        <w:tc>
          <w:tcPr/>
          <w:p>
            <w:pPr>
              <w:pStyle w:val="Compact"/>
              <w:jc w:val="left"/>
            </w:pPr>
            <w:r>
              <w:t xml:space="preserve">Cloud plus a reduced-feature self-hosted server.</w:t>
            </w:r>
          </w:p>
        </w:tc>
      </w:tr>
      <w:tr>
        <w:tc>
          <w:tcPr/>
          <w:p>
            <w:pPr>
              <w:pStyle w:val="Compact"/>
              <w:jc w:val="left"/>
            </w:pPr>
            <w:r>
              <w:t xml:space="preserve">Ecosystem</w:t>
            </w:r>
          </w:p>
        </w:tc>
        <w:tc>
          <w:tcPr/>
          <w:p>
            <w:pPr>
              <w:pStyle w:val="Compact"/>
              <w:jc w:val="right"/>
            </w:pPr>
            <w:r>
              <w:t xml:space="preserve">4</w:t>
            </w:r>
          </w:p>
        </w:tc>
        <w:tc>
          <w:tcPr/>
          <w:p>
            <w:pPr>
              <w:pStyle w:val="Compact"/>
              <w:jc w:val="left"/>
            </w:pPr>
            <w:r>
              <w:t xml:space="preserve">SDKs, CLI, webhooks; Alexandria plugins for major assistants.</w:t>
            </w:r>
          </w:p>
        </w:tc>
      </w:tr>
      <w:tr>
        <w:tc>
          <w:tcPr/>
          <w:p>
            <w:pPr>
              <w:pStyle w:val="Compact"/>
              <w:jc w:val="left"/>
            </w:pPr>
            <w:r>
              <w:t xml:space="preserve">Reliability and maturity</w:t>
            </w:r>
          </w:p>
        </w:tc>
        <w:tc>
          <w:tcPr/>
          <w:p>
            <w:pPr>
              <w:pStyle w:val="Compact"/>
              <w:jc w:val="right"/>
            </w:pPr>
            <w:r>
              <w:t xml:space="preserve">3</w:t>
            </w:r>
          </w:p>
        </w:tc>
        <w:tc>
          <w:tcPr/>
          <w:p>
            <w:pPr>
              <w:pStyle w:val="Compact"/>
              <w:jc w:val="left"/>
            </w:pPr>
            <w:r>
              <w:t xml:space="preserve">Two and a half years of SDK releases and recent Series B; API moved to v2.</w:t>
            </w:r>
          </w:p>
        </w:tc>
      </w:tr>
      <w:tr>
        <w:tc>
          <w:tcPr/>
          <w:p>
            <w:pPr>
              <w:pStyle w:val="Compact"/>
              <w:jc w:val="left"/>
            </w:pPr>
            <w:r>
              <w:t xml:space="preserve">Cost / TCO</w:t>
            </w:r>
          </w:p>
        </w:tc>
        <w:tc>
          <w:tcPr/>
          <w:p>
            <w:pPr>
              <w:pStyle w:val="Compact"/>
              <w:jc w:val="right"/>
            </w:pPr>
            <w:r>
              <w:t xml:space="preserve">3</w:t>
            </w:r>
          </w:p>
        </w:tc>
        <w:tc>
          <w:tcPr/>
          <w:p>
            <w:pPr>
              <w:pStyle w:val="Compact"/>
              <w:jc w:val="left"/>
            </w:pPr>
            <w:r>
              <w:t xml:space="preserve">Published credits; self-hosting means owning auth, TLS, persistence and anti-bot services.</w:t>
            </w:r>
          </w:p>
        </w:tc>
      </w:tr>
      <w:tr>
        <w:tc>
          <w:tcPr/>
          <w:p>
            <w:pPr>
              <w:pStyle w:val="Compact"/>
              <w:jc w:val="left"/>
            </w:pPr>
            <w:r>
              <w:t xml:space="preserve">Lock-in / portability</w:t>
            </w:r>
          </w:p>
        </w:tc>
        <w:tc>
          <w:tcPr/>
          <w:p>
            <w:pPr>
              <w:pStyle w:val="Compact"/>
              <w:jc w:val="right"/>
            </w:pPr>
            <w:r>
              <w:t xml:space="preserve">2</w:t>
            </w:r>
          </w:p>
        </w:tc>
        <w:tc>
          <w:tcPr/>
          <w:p>
            <w:pPr>
              <w:pStyle w:val="Compact"/>
              <w:jc w:val="left"/>
            </w:pPr>
            <w:r>
              <w:t xml:space="preserve">AGPL server and Cloud-only features create SaaS dependency.</w:t>
            </w:r>
          </w:p>
        </w:tc>
      </w:tr>
      <w:tr>
        <w:tc>
          <w:tcPr/>
          <w:p>
            <w:pPr>
              <w:pStyle w:val="Compact"/>
              <w:jc w:val="left"/>
            </w:pPr>
            <w:r>
              <w:rPr>
                <w:bCs/>
                <w:b/>
              </w:rPr>
              <w:t xml:space="preserve">Total (generic / FS)</w:t>
            </w:r>
          </w:p>
        </w:tc>
        <w:tc>
          <w:tcPr/>
          <w:p>
            <w:pPr>
              <w:pStyle w:val="Compact"/>
              <w:jc w:val="right"/>
            </w:pPr>
            <w:r>
              <w:rPr>
                <w:bCs/>
                <w:b/>
              </w:rPr>
              <w:t xml:space="preserve">3.25 / 3.00</w:t>
            </w:r>
          </w:p>
        </w:tc>
        <w:tc>
          <w:tcPr/>
          <w:p>
            <w:pPr>
              <w:pStyle w:val="Compact"/>
            </w:pPr>
          </w:p>
        </w:tc>
      </w:tr>
    </w:tbl>
    <w:p>
      <w:pPr>
        <w:pStyle w:val="BodyText"/>
      </w:pPr>
      <w:r>
        <w:rPr>
          <w:iCs/>
          <w:i/>
        </w:rPr>
        <w:t xml:space="preserve">Evidence rules applied:</w:t>
      </w:r>
      <w:r>
        <w:t xml:space="preserve"> </w:t>
      </w:r>
      <w:r>
        <w:t xml:space="preserve">security_compliance capped at 2: Firecrawl security claims are vendor-only and flagged in V1 verification_log section 4; Rule 7 (CP2 Q2) applied at CP2 rework (8 October 2026): all three controls plus SCIM (B-REV-S024); enterprise_readiness 3 -&gt; 4</w:t>
      </w:r>
    </w:p>
    <w:p>
      <w:pPr>
        <w:pStyle w:val="BodyText"/>
      </w:pPr>
      <w:r>
        <w:rPr>
          <w:bCs/>
          <w:b/>
        </w:rPr>
        <w:t xml:space="preserve">Capabilities.</w:t>
      </w:r>
      <w:r>
        <w:t xml:space="preserve"> </w:t>
      </w:r>
      <w:r>
        <w:t xml:space="preserve">Web data API (v2) for scrape, crawl, map, search, extract and parse into Markdown or JSON, plus Cloud-only Agent, Browser and Interact; respects robots.txt by default; Alexandria agent data library launched September 2026</w:t>
      </w:r>
      <w:r>
        <w:t xml:space="preserve"> </w:t>
      </w:r>
      <w:r>
        <w:rPr>
          <w:rStyle w:val="ClaimLabel"/>
        </w:rPr>
        <w:t xml:space="preserve">VF</w:t>
      </w:r>
      <w:r>
        <w:rPr>
          <w:rStyle w:val="FootnoteReference"/>
        </w:rPr>
        <w:footnoteReference w:id="286"/>
      </w:r>
      <w:r>
        <w:t xml:space="preserve">.</w:t>
      </w:r>
    </w:p>
    <w:p>
      <w:pPr>
        <w:pStyle w:val="BodyText"/>
      </w:pPr>
      <w:r>
        <w:rPr>
          <w:bCs/>
          <w:b/>
        </w:rPr>
        <w:t xml:space="preserve">Strengths</w:t>
      </w:r>
    </w:p>
    <w:p>
      <w:pPr>
        <w:numPr>
          <w:ilvl w:val="0"/>
          <w:numId w:val="1065"/>
        </w:numPr>
        <w:pStyle w:val="Compact"/>
      </w:pPr>
      <w:r>
        <w:t xml:space="preserve">Per-request PII redaction, Zero Data Retention and an opt-in prompt-injection check for JSON extraction</w:t>
      </w:r>
      <w:r>
        <w:t xml:space="preserve"> </w:t>
      </w:r>
      <w:r>
        <w:rPr>
          <w:rStyle w:val="ClaimLabel"/>
        </w:rPr>
        <w:t xml:space="preserve">VF</w:t>
      </w:r>
      <w:r>
        <w:rPr>
          <w:rStyle w:val="FootnoteReference"/>
        </w:rPr>
        <w:footnoteReference w:id="291"/>
      </w:r>
    </w:p>
    <w:p>
      <w:pPr>
        <w:numPr>
          <w:ilvl w:val="0"/>
          <w:numId w:val="1065"/>
        </w:numPr>
        <w:pStyle w:val="Compact"/>
      </w:pPr>
      <w:r>
        <w:t xml:space="preserve">Enterprise SSO (SAML, OIDC), SCIM, IP and key restrictions and a DPA</w:t>
      </w:r>
      <w:r>
        <w:t xml:space="preserve"> </w:t>
      </w:r>
      <w:r>
        <w:rPr>
          <w:rStyle w:val="ClaimLabel"/>
        </w:rPr>
        <w:t xml:space="preserve">VF</w:t>
      </w:r>
      <w:r>
        <w:rPr>
          <w:rStyle w:val="FootnoteReference"/>
        </w:rPr>
        <w:footnoteReference w:id="293"/>
      </w:r>
    </w:p>
    <w:p>
      <w:pPr>
        <w:numPr>
          <w:ilvl w:val="0"/>
          <w:numId w:val="1065"/>
        </w:numPr>
        <w:pStyle w:val="Compact"/>
      </w:pPr>
      <w:r>
        <w:t xml:space="preserve">Self-hostable server for public-web crawling inside the firm’s estate</w:t>
      </w:r>
      <w:r>
        <w:t xml:space="preserve"> </w:t>
      </w:r>
      <w:r>
        <w:rPr>
          <w:rStyle w:val="ClaimLabel"/>
        </w:rPr>
        <w:t xml:space="preserve">VF</w:t>
      </w:r>
      <w:r>
        <w:rPr>
          <w:rStyle w:val="FootnoteReference"/>
        </w:rPr>
        <w:footnoteReference w:id="294"/>
      </w:r>
    </w:p>
    <w:p>
      <w:pPr>
        <w:numPr>
          <w:ilvl w:val="0"/>
          <w:numId w:val="1065"/>
        </w:numPr>
        <w:pStyle w:val="Compact"/>
      </w:pPr>
      <w:r>
        <w:t xml:space="preserve">Transparent credit pricing</w:t>
      </w:r>
      <w:r>
        <w:t xml:space="preserve"> </w:t>
      </w:r>
      <w:r>
        <w:rPr>
          <w:rStyle w:val="ClaimLabel"/>
        </w:rPr>
        <w:t xml:space="preserve">VF</w:t>
      </w:r>
      <w:r>
        <w:rPr>
          <w:rStyle w:val="FootnoteReference"/>
        </w:rPr>
        <w:footnoteReference w:id="296"/>
      </w:r>
    </w:p>
    <w:p>
      <w:pPr>
        <w:pStyle w:val="FirstParagraph"/>
      </w:pPr>
      <w:r>
        <w:rPr>
          <w:bCs/>
          <w:b/>
        </w:rPr>
        <w:t xml:space="preserve">Limitations and risks</w:t>
      </w:r>
    </w:p>
    <w:p>
      <w:pPr>
        <w:numPr>
          <w:ilvl w:val="0"/>
          <w:numId w:val="1066"/>
        </w:numPr>
        <w:pStyle w:val="Compact"/>
      </w:pPr>
      <w:r>
        <w:t xml:space="preserve">Server is AGPL-3.0; enterprise controls, Agent and Browser are Cloud-only</w:t>
      </w:r>
      <w:r>
        <w:t xml:space="preserve"> </w:t>
      </w:r>
      <w:r>
        <w:rPr>
          <w:rStyle w:val="ClaimLabel"/>
        </w:rPr>
        <w:t xml:space="preserve">VF</w:t>
      </w:r>
      <w:r>
        <w:rPr>
          <w:rStyle w:val="FootnoteReference"/>
        </w:rPr>
        <w:footnoteReference w:id="298"/>
      </w:r>
    </w:p>
    <w:p>
      <w:pPr>
        <w:numPr>
          <w:ilvl w:val="0"/>
          <w:numId w:val="1066"/>
        </w:numPr>
        <w:pStyle w:val="Compact"/>
      </w:pPr>
      <w:r>
        <w:t xml:space="preserve">Privacy policy places servers and stored data in the US</w:t>
      </w:r>
      <w:r>
        <w:t xml:space="preserve"> </w:t>
      </w:r>
      <w:r>
        <w:rPr>
          <w:rStyle w:val="ClaimLabel"/>
        </w:rPr>
        <w:t xml:space="preserve">VF</w:t>
      </w:r>
      <w:r>
        <w:rPr>
          <w:rStyle w:val="FootnoteReference"/>
        </w:rPr>
        <w:footnoteReference w:id="300"/>
      </w:r>
    </w:p>
    <w:p>
      <w:pPr>
        <w:numPr>
          <w:ilvl w:val="0"/>
          <w:numId w:val="1066"/>
        </w:numPr>
        <w:pStyle w:val="Compact"/>
      </w:pPr>
      <w:r>
        <w:t xml:space="preserve">Security claims are vendor pages only; verifier says do not rely on them</w:t>
      </w:r>
      <w:r>
        <w:t xml:space="preserve"> </w:t>
      </w:r>
      <w:r>
        <w:rPr>
          <w:rStyle w:val="ClaimLabel"/>
        </w:rPr>
        <w:t xml:space="preserve">VF</w:t>
      </w:r>
      <w:r>
        <w:rPr>
          <w:rStyle w:val="FootnoteReference"/>
        </w:rPr>
        <w:footnoteReference w:id="302"/>
      </w:r>
    </w:p>
    <w:p>
      <w:pPr>
        <w:numPr>
          <w:ilvl w:val="0"/>
          <w:numId w:val="1066"/>
        </w:numPr>
        <w:pStyle w:val="Compact"/>
      </w:pPr>
      <w:r>
        <w:t xml:space="preserve">No document-level ACL or lineage</w:t>
      </w:r>
      <w:r>
        <w:t xml:space="preserve"> </w:t>
      </w:r>
      <w:r>
        <w:rPr>
          <w:rStyle w:val="ClaimLabel"/>
        </w:rPr>
        <w:t xml:space="preserve">AJ</w:t>
      </w:r>
    </w:p>
    <w:p>
      <w:pPr>
        <w:pStyle w:val="FirstParagraph"/>
      </w:pPr>
      <w:r>
        <w:rPr>
          <w:bCs/>
          <w:b/>
        </w:rPr>
        <w:t xml:space="preserve">Choose when</w:t>
      </w:r>
    </w:p>
    <w:p>
      <w:pPr>
        <w:numPr>
          <w:ilvl w:val="0"/>
          <w:numId w:val="1067"/>
        </w:numPr>
        <w:pStyle w:val="Compact"/>
      </w:pPr>
      <w:r>
        <w:t xml:space="preserve">Batch acquisition of approved public web sources, where US processing is acceptable or the self-hosted server is used</w:t>
      </w:r>
    </w:p>
    <w:p>
      <w:pPr>
        <w:numPr>
          <w:ilvl w:val="0"/>
          <w:numId w:val="1067"/>
        </w:numPr>
        <w:pStyle w:val="Compact"/>
      </w:pPr>
      <w:r>
        <w:t xml:space="preserve">You want PII redaction and ZDR as per-request switches on web content</w:t>
      </w:r>
    </w:p>
    <w:p>
      <w:pPr>
        <w:pStyle w:val="FirstParagraph"/>
      </w:pPr>
      <w:r>
        <w:rPr>
          <w:bCs/>
          <w:b/>
        </w:rPr>
        <w:t xml:space="preserve">Avoid when</w:t>
      </w:r>
    </w:p>
    <w:p>
      <w:pPr>
        <w:numPr>
          <w:ilvl w:val="0"/>
          <w:numId w:val="1068"/>
        </w:numPr>
        <w:pStyle w:val="Compact"/>
      </w:pPr>
      <w:r>
        <w:t xml:space="preserve">You plan to modify and expose the server as a network service without AGPL review</w:t>
      </w:r>
    </w:p>
    <w:p>
      <w:pPr>
        <w:numPr>
          <w:ilvl w:val="0"/>
          <w:numId w:val="1068"/>
        </w:numPr>
        <w:pStyle w:val="Compact"/>
      </w:pPr>
      <w:r>
        <w:t xml:space="preserve">Data must be processed in the EU or UK</w:t>
      </w:r>
    </w:p>
    <w:p>
      <w:pPr>
        <w:pStyle w:val="FirstParagraph"/>
      </w:pPr>
      <w:r>
        <w:rPr>
          <w:bCs/>
          <w:b/>
        </w:rPr>
        <w:t xml:space="preserve">Nearest competitors:</w:t>
      </w:r>
      <w:r>
        <w:t xml:space="preserve"> </w:t>
      </w:r>
      <w:r>
        <w:t xml:space="preserve">L8-crawl4ai, L8-apify</w:t>
      </w:r>
    </w:p>
    <w:p>
      <w:pPr>
        <w:pStyle w:val="BodyText"/>
      </w:pPr>
      <w:r>
        <w:rPr>
          <w:bCs/>
          <w:b/>
        </w:rPr>
        <w:t xml:space="preserve">Regulated-FS note.</w:t>
      </w:r>
      <w:r>
        <w:t xml:space="preserve"> </w:t>
      </w:r>
      <w:r>
        <w:t xml:space="preserve">Use only for public, approved sources; route client or confidential data elsewhere, and obtain the SOC 2 report before relying on the Cloud for anything beyond public content</w:t>
      </w:r>
      <w:r>
        <w:t xml:space="preserve"> </w:t>
      </w:r>
      <w:r>
        <w:rPr>
          <w:rStyle w:val="ClaimLabel"/>
        </w:rPr>
        <w:t xml:space="preserve">Rec</w:t>
      </w:r>
      <w:r>
        <w:t xml:space="preserve">.</w:t>
      </w:r>
    </w:p>
    <w:p>
      <w:pPr>
        <w:pStyle w:val="BodyText"/>
      </w:pPr>
      <w:r>
        <w:rPr>
          <w:bCs/>
          <w:b/>
        </w:rPr>
        <w:t xml:space="preserve">Facts (as of 2026-10-08)</w:t>
      </w:r>
    </w:p>
    <w:tbl>
      <w:tblPr>
        <w:tblStyle w:val="Table"/>
        <w:tblW w:type="pct" w:w="5000"/>
        <w:tblLook w:firstRow="1" w:lastRow="0" w:firstColumn="0" w:lastColumn="0" w:noHBand="0" w:noVBand="0" w:val="0020"/>
        <w:jc w:val="start"/>
      </w:tblPr>
      <w:tblGrid>
        <w:gridCol w:w="1485"/>
        <w:gridCol w:w="4290"/>
        <w:gridCol w:w="1320"/>
        <w:gridCol w:w="825"/>
      </w:tblGrid>
      <w:tr>
        <w:trPr>
          <w:tblHeader w:val="true"/>
        </w:trPr>
        <w:tc>
          <w:tcPr/>
          <w:p>
            <w:pPr>
              <w:pStyle w:val="Compact"/>
              <w:jc w:val="left"/>
            </w:pPr>
            <w:r>
              <w:t xml:space="preserve">Field</w:t>
            </w:r>
          </w:p>
        </w:tc>
        <w:tc>
          <w:tcPr/>
          <w:p>
            <w:pPr>
              <w:pStyle w:val="Compact"/>
              <w:jc w:val="left"/>
            </w:pPr>
            <w:r>
              <w:t xml:space="preserve">Value</w:t>
            </w:r>
          </w:p>
        </w:tc>
        <w:tc>
          <w:tcPr/>
          <w:p>
            <w:pPr>
              <w:pStyle w:val="Compact"/>
              <w:jc w:val="left"/>
            </w:pPr>
            <w:r>
              <w:t xml:space="preserve">Label</w:t>
            </w:r>
          </w:p>
        </w:tc>
        <w:tc>
          <w:tcPr/>
          <w:p>
            <w:pPr>
              <w:pStyle w:val="Compact"/>
              <w:jc w:val="left"/>
            </w:pPr>
            <w:r>
              <w:t xml:space="preserve">Sources</w:t>
            </w:r>
          </w:p>
        </w:tc>
      </w:tr>
      <w:tr>
        <w:tc>
          <w:tcPr/>
          <w:p>
            <w:pPr>
              <w:pStyle w:val="Compact"/>
              <w:jc w:val="left"/>
            </w:pPr>
            <w:r>
              <w:t xml:space="preserve">Company</w:t>
            </w:r>
          </w:p>
        </w:tc>
        <w:tc>
          <w:tcPr/>
          <w:p>
            <w:pPr>
              <w:pStyle w:val="Compact"/>
              <w:jc w:val="left"/>
            </w:pPr>
            <w:r>
              <w:t xml:space="preserve">Firecrawl (PyPI author listed as Mendable.ai); venture-backed (Series B US$75M, September 2026)</w:t>
            </w:r>
          </w:p>
        </w:tc>
        <w:tc>
          <w:tcPr/>
          <w:p>
            <w:pPr>
              <w:pStyle w:val="Compact"/>
              <w:jc w:val="left"/>
            </w:pPr>
            <w:r>
              <w:t xml:space="preserve">Verified fact</w:t>
            </w:r>
          </w:p>
        </w:tc>
        <w:tc>
          <w:tcPr/>
          <w:p>
            <w:pPr>
              <w:pStyle w:val="Compact"/>
              <w:jc w:val="left"/>
            </w:pPr>
            <w:r>
              <w:t xml:space="preserve">A1-S015, A1-S053, A1-S129</w:t>
            </w:r>
          </w:p>
        </w:tc>
      </w:tr>
      <w:tr>
        <w:tc>
          <w:tcPr/>
          <w:p>
            <w:pPr>
              <w:pStyle w:val="Compact"/>
              <w:jc w:val="left"/>
            </w:pPr>
            <w:r>
              <w:t xml:space="preserve">Category</w:t>
            </w:r>
          </w:p>
        </w:tc>
        <w:tc>
          <w:tcPr/>
          <w:p>
            <w:pPr>
              <w:pStyle w:val="Compact"/>
              <w:jc w:val="left"/>
            </w:pPr>
            <w:r>
              <w:t xml:space="preserve">Web data API for AI: scrape, crawl, map, search, extract, parse, browser interaction and an autonomous research agent</w:t>
            </w:r>
          </w:p>
        </w:tc>
        <w:tc>
          <w:tcPr/>
          <w:p>
            <w:pPr>
              <w:pStyle w:val="Compact"/>
              <w:jc w:val="left"/>
            </w:pPr>
            <w:r>
              <w:t xml:space="preserve">Verified fact</w:t>
            </w:r>
          </w:p>
        </w:tc>
        <w:tc>
          <w:tcPr/>
          <w:p>
            <w:pPr>
              <w:pStyle w:val="Compact"/>
              <w:jc w:val="left"/>
            </w:pPr>
            <w:r>
              <w:t xml:space="preserve">A1-S077, A1-S079</w:t>
            </w:r>
          </w:p>
        </w:tc>
      </w:tr>
      <w:tr>
        <w:tc>
          <w:tcPr/>
          <w:p>
            <w:pPr>
              <w:pStyle w:val="Compact"/>
              <w:jc w:val="left"/>
            </w:pPr>
            <w:r>
              <w:t xml:space="preserve">Version / lineup</w:t>
            </w:r>
          </w:p>
        </w:tc>
        <w:tc>
          <w:tcPr/>
          <w:p>
            <w:pPr>
              <w:pStyle w:val="Compact"/>
              <w:jc w:val="left"/>
            </w:pPr>
            <w:r>
              <w:t xml:space="preserve">Self-host guide pins server release v2.11.162; Python SDK firecrawl-py 4.49.3 released 7 October 2026; API v2</w:t>
            </w:r>
          </w:p>
        </w:tc>
        <w:tc>
          <w:tcPr/>
          <w:p>
            <w:pPr>
              <w:pStyle w:val="Compact"/>
              <w:jc w:val="left"/>
            </w:pPr>
            <w:r>
              <w:t xml:space="preserve">Verified fact</w:t>
            </w:r>
          </w:p>
        </w:tc>
        <w:tc>
          <w:tcPr/>
          <w:p>
            <w:pPr>
              <w:pStyle w:val="Compact"/>
              <w:jc w:val="left"/>
            </w:pPr>
            <w:r>
              <w:t xml:space="preserve">A1-S078, A1-S015</w:t>
            </w:r>
          </w:p>
        </w:tc>
      </w:tr>
      <w:tr>
        <w:tc>
          <w:tcPr/>
          <w:p>
            <w:pPr>
              <w:pStyle w:val="Compact"/>
              <w:jc w:val="left"/>
            </w:pPr>
            <w:r>
              <w:t xml:space="preserve">Licence</w:t>
            </w:r>
          </w:p>
        </w:tc>
        <w:tc>
          <w:tcPr/>
          <w:p>
            <w:pPr>
              <w:pStyle w:val="Compact"/>
              <w:jc w:val="left"/>
            </w:pPr>
            <w:r>
              <w:t xml:space="preserve">Open core: server AGPL-3.0; SDKs and some UI components MIT; Agent, Browser, Interact, dashboards and enterprise controls are Cloud-only</w:t>
            </w:r>
          </w:p>
        </w:tc>
        <w:tc>
          <w:tcPr/>
          <w:p>
            <w:pPr>
              <w:pStyle w:val="Compact"/>
              <w:jc w:val="left"/>
            </w:pPr>
            <w:r>
              <w:t xml:space="preserve">Verified fact</w:t>
            </w:r>
          </w:p>
        </w:tc>
        <w:tc>
          <w:tcPr/>
          <w:p>
            <w:pPr>
              <w:pStyle w:val="Compact"/>
              <w:jc w:val="left"/>
            </w:pPr>
            <w:r>
              <w:t xml:space="preserve">A1-S053, A1-S079, V1-S002</w:t>
            </w:r>
          </w:p>
        </w:tc>
      </w:tr>
      <w:tr>
        <w:tc>
          <w:tcPr/>
          <w:p>
            <w:pPr>
              <w:pStyle w:val="Compact"/>
              <w:jc w:val="left"/>
            </w:pPr>
            <w:r>
              <w:t xml:space="preserve">Strategic direction</w:t>
            </w:r>
          </w:p>
        </w:tc>
        <w:tc>
          <w:tcPr/>
          <w:p>
            <w:pPr>
              <w:pStyle w:val="Compact"/>
              <w:jc w:val="left"/>
            </w:pPr>
            <w:r>
              <w:t xml:space="preserve">Launched Alexandria (September 2026): one interface over official data providers (e.g. Wikimedia Enterprise), custom connectors, Firecrawl indexes and the live web for agents; available as plugin in ChatGPT, Codex, Claude and Claude Code (October 2026); plus Agent, Interact, PII redaction and enterprise controls</w:t>
            </w:r>
          </w:p>
        </w:tc>
        <w:tc>
          <w:tcPr/>
          <w:p>
            <w:pPr>
              <w:pStyle w:val="Compact"/>
              <w:jc w:val="left"/>
            </w:pPr>
            <w:r>
              <w:t xml:space="preserve">Verified fact</w:t>
            </w:r>
          </w:p>
        </w:tc>
        <w:tc>
          <w:tcPr/>
          <w:p>
            <w:pPr>
              <w:pStyle w:val="Compact"/>
              <w:jc w:val="left"/>
            </w:pPr>
            <w:r>
              <w:t xml:space="preserve">A1-S129, A1-S076, A1-S079</w:t>
            </w:r>
          </w:p>
        </w:tc>
      </w:tr>
      <w:tr>
        <w:tc>
          <w:tcPr/>
          <w:p>
            <w:pPr>
              <w:pStyle w:val="Compact"/>
              <w:jc w:val="left"/>
            </w:pPr>
            <w:r>
              <w:t xml:space="preserve">What it does</w:t>
            </w:r>
          </w:p>
        </w:tc>
        <w:tc>
          <w:tcPr/>
          <w:p>
            <w:pPr>
              <w:pStyle w:val="Compact"/>
              <w:jc w:val="left"/>
            </w:pPr>
            <w:r>
              <w:t xml:space="preserve">Turns websites and documents into LLM-ready markdown or structured JSON via scrape/crawl/map/search endpoints, with LLM extraction, PDF parsing and an agent for web research; respects robots.txt by default.</w:t>
            </w:r>
          </w:p>
        </w:tc>
        <w:tc>
          <w:tcPr/>
          <w:p>
            <w:pPr>
              <w:pStyle w:val="Compact"/>
              <w:jc w:val="left"/>
            </w:pPr>
            <w:r>
              <w:t xml:space="preserve">Verified fact</w:t>
            </w:r>
          </w:p>
        </w:tc>
        <w:tc>
          <w:tcPr/>
          <w:p>
            <w:pPr>
              <w:pStyle w:val="Compact"/>
              <w:jc w:val="left"/>
            </w:pPr>
            <w:r>
              <w:t xml:space="preserve">A1-S053, A1-S077</w:t>
            </w:r>
          </w:p>
        </w:tc>
      </w:tr>
      <w:tr>
        <w:tc>
          <w:tcPr/>
          <w:p>
            <w:pPr>
              <w:pStyle w:val="Compact"/>
              <w:jc w:val="left"/>
            </w:pPr>
            <w:r>
              <w:t xml:space="preserve">Stack position</w:t>
            </w:r>
          </w:p>
        </w:tc>
        <w:tc>
          <w:tcPr/>
          <w:p>
            <w:pPr>
              <w:pStyle w:val="Compact"/>
              <w:jc w:val="left"/>
            </w:pPr>
            <w:r>
              <w:t xml:space="preserve">L8 web acquisition and parsing; overlaps L4 (search/browser tools for agents)</w:t>
            </w:r>
          </w:p>
        </w:tc>
        <w:tc>
          <w:tcPr/>
          <w:p>
            <w:pPr>
              <w:pStyle w:val="Compact"/>
              <w:jc w:val="left"/>
            </w:pPr>
            <w:r>
              <w:t xml:space="preserve">Verified fact</w:t>
            </w:r>
          </w:p>
        </w:tc>
        <w:tc>
          <w:tcPr/>
          <w:p>
            <w:pPr>
              <w:pStyle w:val="Compact"/>
              <w:jc w:val="left"/>
            </w:pPr>
            <w:r>
              <w:t xml:space="preserve">A1-S077, A1-S079</w:t>
            </w:r>
          </w:p>
        </w:tc>
      </w:tr>
      <w:tr>
        <w:tc>
          <w:tcPr/>
          <w:p>
            <w:pPr>
              <w:pStyle w:val="Compact"/>
              <w:jc w:val="left"/>
            </w:pPr>
            <w:r>
              <w:t xml:space="preserve">Integration</w:t>
            </w:r>
          </w:p>
        </w:tc>
        <w:tc>
          <w:tcPr/>
          <w:p>
            <w:pPr>
              <w:pStyle w:val="Compact"/>
              <w:jc w:val="left"/>
            </w:pPr>
            <w:r>
              <w:t xml:space="preserve">REST API v2, Python/JS SDKs, CLI; webhooks</w:t>
            </w:r>
          </w:p>
        </w:tc>
        <w:tc>
          <w:tcPr/>
          <w:p>
            <w:pPr>
              <w:pStyle w:val="Compact"/>
              <w:jc w:val="left"/>
            </w:pPr>
            <w:r>
              <w:t xml:space="preserve">Verified fact</w:t>
            </w:r>
          </w:p>
        </w:tc>
        <w:tc>
          <w:tcPr/>
          <w:p>
            <w:pPr>
              <w:pStyle w:val="Compact"/>
              <w:jc w:val="left"/>
            </w:pPr>
            <w:r>
              <w:t xml:space="preserve">A1-S053, A1-S077</w:t>
            </w:r>
          </w:p>
        </w:tc>
      </w:tr>
      <w:tr>
        <w:tc>
          <w:tcPr/>
          <w:p>
            <w:pPr>
              <w:pStyle w:val="Compact"/>
              <w:jc w:val="left"/>
            </w:pPr>
            <w:r>
              <w:t xml:space="preserve">Dependencies</w:t>
            </w:r>
          </w:p>
        </w:tc>
        <w:tc>
          <w:tcPr/>
          <w:p>
            <w:pPr>
              <w:pStyle w:val="Compact"/>
              <w:jc w:val="left"/>
            </w:pPr>
            <w:r>
              <w:t xml:space="preserve">Self-host: Docker Compose stack with PostgreSQL (pg_cron) and supporting services; LLM features need an OpenAI-compatible provider or Ollama; no verified minimum host size</w:t>
            </w:r>
          </w:p>
        </w:tc>
        <w:tc>
          <w:tcPr/>
          <w:p>
            <w:pPr>
              <w:pStyle w:val="Compact"/>
              <w:jc w:val="left"/>
            </w:pPr>
            <w:r>
              <w:t xml:space="preserve">Verified fact</w:t>
            </w:r>
          </w:p>
        </w:tc>
        <w:tc>
          <w:tcPr/>
          <w:p>
            <w:pPr>
              <w:pStyle w:val="Compact"/>
              <w:jc w:val="left"/>
            </w:pPr>
            <w:r>
              <w:t xml:space="preserve">A1-S078, A1-S079</w:t>
            </w:r>
          </w:p>
        </w:tc>
      </w:tr>
      <w:tr>
        <w:tc>
          <w:tcPr/>
          <w:p>
            <w:pPr>
              <w:pStyle w:val="Compact"/>
              <w:jc w:val="left"/>
            </w:pPr>
            <w:r>
              <w:t xml:space="preserve">Certifications</w:t>
            </w:r>
          </w:p>
        </w:tc>
        <w:tc>
          <w:tcPr/>
          <w:p>
            <w:pPr>
              <w:pStyle w:val="Compact"/>
              <w:jc w:val="left"/>
            </w:pPr>
            <w:r>
              <w:t xml:space="preserve">SOC 2 Type II</w:t>
            </w:r>
          </w:p>
        </w:tc>
        <w:tc>
          <w:tcPr/>
          <w:p>
            <w:pPr>
              <w:pStyle w:val="Compact"/>
              <w:jc w:val="left"/>
            </w:pPr>
            <w:r>
              <w:t xml:space="preserve">Verified fact</w:t>
            </w:r>
          </w:p>
        </w:tc>
        <w:tc>
          <w:tcPr/>
          <w:p>
            <w:pPr>
              <w:pStyle w:val="Compact"/>
              <w:jc w:val="left"/>
            </w:pPr>
            <w:r>
              <w:t xml:space="preserve">A1-S076, V1-S080</w:t>
            </w:r>
          </w:p>
        </w:tc>
      </w:tr>
      <w:tr>
        <w:tc>
          <w:tcPr/>
          <w:p>
            <w:pPr>
              <w:pStyle w:val="Compact"/>
              <w:jc w:val="left"/>
            </w:pPr>
            <w:r>
              <w:t xml:space="preserve">GDPR / residency</w:t>
            </w:r>
          </w:p>
        </w:tc>
        <w:tc>
          <w:tcPr/>
          <w:p>
            <w:pPr>
              <w:pStyle w:val="Compact"/>
              <w:jc w:val="left"/>
            </w:pPr>
            <w:r>
              <w:t xml:space="preserve">Privacy policy states servers and stored data are in the United States; vendor pages conflict (one older blog claims EU residency; 2026 page says US data residency); DPA and Zero Data Retention available</w:t>
            </w:r>
          </w:p>
        </w:tc>
        <w:tc>
          <w:tcPr/>
          <w:p>
            <w:pPr>
              <w:pStyle w:val="Compact"/>
              <w:jc w:val="left"/>
            </w:pPr>
            <w:r>
              <w:t xml:space="preserve">Verified fact</w:t>
            </w:r>
          </w:p>
        </w:tc>
        <w:tc>
          <w:tcPr/>
          <w:p>
            <w:pPr>
              <w:pStyle w:val="Compact"/>
              <w:jc w:val="left"/>
            </w:pPr>
            <w:r>
              <w:t xml:space="preserve">A1-S134, A1-S076</w:t>
            </w:r>
          </w:p>
        </w:tc>
      </w:tr>
      <w:tr>
        <w:tc>
          <w:tcPr/>
          <w:p>
            <w:pPr>
              <w:pStyle w:val="Compact"/>
              <w:jc w:val="left"/>
            </w:pPr>
            <w:r>
              <w:t xml:space="preserve">Security features</w:t>
            </w:r>
          </w:p>
        </w:tc>
        <w:tc>
          <w:tcPr/>
          <w:p>
            <w:pPr>
              <w:pStyle w:val="Compact"/>
              <w:jc w:val="left"/>
            </w:pPr>
            <w:r>
              <w:t xml:space="preserve">Zero Data Retention (+1 credit/page), PII redaction (+4 credits/page), opt-in prompt-injection check for JSON extraction, static IP allowlisting, IP and API-key restrictions</w:t>
            </w:r>
          </w:p>
        </w:tc>
        <w:tc>
          <w:tcPr/>
          <w:p>
            <w:pPr>
              <w:pStyle w:val="Compact"/>
              <w:jc w:val="left"/>
            </w:pPr>
            <w:r>
              <w:t xml:space="preserve">Verified fact</w:t>
            </w:r>
          </w:p>
        </w:tc>
        <w:tc>
          <w:tcPr/>
          <w:p>
            <w:pPr>
              <w:pStyle w:val="Compact"/>
              <w:jc w:val="left"/>
            </w:pPr>
            <w:r>
              <w:t xml:space="preserve">A1-S076, A1-S077</w:t>
            </w:r>
          </w:p>
        </w:tc>
      </w:tr>
      <w:tr>
        <w:tc>
          <w:tcPr/>
          <w:p>
            <w:pPr>
              <w:pStyle w:val="Compact"/>
              <w:jc w:val="left"/>
            </w:pPr>
            <w:r>
              <w:t xml:space="preserve">Access controls</w:t>
            </w:r>
          </w:p>
        </w:tc>
        <w:tc>
          <w:tcPr/>
          <w:p>
            <w:pPr>
              <w:pStyle w:val="Compact"/>
              <w:jc w:val="left"/>
            </w:pPr>
            <w:r>
              <w:t xml:space="preserve">SSO (SAML, OIDC), SCIM directory sync, per-key restrictions, spend limits per key/team (Enterprise)</w:t>
            </w:r>
          </w:p>
        </w:tc>
        <w:tc>
          <w:tcPr/>
          <w:p>
            <w:pPr>
              <w:pStyle w:val="Compact"/>
              <w:jc w:val="left"/>
            </w:pPr>
            <w:r>
              <w:t xml:space="preserve">Verified fact</w:t>
            </w:r>
          </w:p>
        </w:tc>
        <w:tc>
          <w:tcPr/>
          <w:p>
            <w:pPr>
              <w:pStyle w:val="Compact"/>
              <w:jc w:val="left"/>
            </w:pPr>
            <w:r>
              <w:t xml:space="preserve">A1-S076</w:t>
            </w:r>
          </w:p>
        </w:tc>
      </w:tr>
      <w:tr>
        <w:tc>
          <w:tcPr/>
          <w:p>
            <w:pPr>
              <w:pStyle w:val="Compact"/>
              <w:jc w:val="left"/>
            </w:pPr>
            <w:r>
              <w:t xml:space="preserve">Enterprise support</w:t>
            </w:r>
          </w:p>
        </w:tc>
        <w:tc>
          <w:tcPr/>
          <w:p>
            <w:pPr>
              <w:pStyle w:val="Compact"/>
              <w:jc w:val="left"/>
            </w:pPr>
            <w:r>
              <w:t xml:space="preserve">Enterprise plans with dedicated support, custom credits, reserved concurrency</w:t>
            </w:r>
          </w:p>
        </w:tc>
        <w:tc>
          <w:tcPr/>
          <w:p>
            <w:pPr>
              <w:pStyle w:val="Compact"/>
              <w:jc w:val="left"/>
            </w:pPr>
            <w:r>
              <w:t xml:space="preserve">Verified fact</w:t>
            </w:r>
          </w:p>
        </w:tc>
        <w:tc>
          <w:tcPr/>
          <w:p>
            <w:pPr>
              <w:pStyle w:val="Compact"/>
              <w:jc w:val="left"/>
            </w:pPr>
            <w:r>
              <w:t xml:space="preserve">A1-S076</w:t>
            </w:r>
          </w:p>
        </w:tc>
      </w:tr>
      <w:tr>
        <w:tc>
          <w:tcPr/>
          <w:p>
            <w:pPr>
              <w:pStyle w:val="Compact"/>
              <w:jc w:val="left"/>
            </w:pPr>
            <w:r>
              <w:t xml:space="preserve">Pricing</w:t>
            </w:r>
          </w:p>
        </w:tc>
        <w:tc>
          <w:tcPr/>
          <w:p>
            <w:pPr>
              <w:pStyle w:val="Compact"/>
              <w:jc w:val="left"/>
            </w:pPr>
            <w:r>
              <w:t xml:space="preserve">Free 1,000 credits/month; Hobby US$19/month (5k credits); Standard US$99/month (100k); Growth US$399/month (500k); Scale and Enterprise above; annual discounts; credits: scrape 1/page, JSON extraction +4, ZDR +1, PII redaction +4</w:t>
            </w:r>
          </w:p>
        </w:tc>
        <w:tc>
          <w:tcPr/>
          <w:p>
            <w:pPr>
              <w:pStyle w:val="Compact"/>
              <w:jc w:val="left"/>
            </w:pPr>
            <w:r>
              <w:t xml:space="preserve">Verified fact</w:t>
            </w:r>
          </w:p>
        </w:tc>
        <w:tc>
          <w:tcPr/>
          <w:p>
            <w:pPr>
              <w:pStyle w:val="Compact"/>
              <w:jc w:val="left"/>
            </w:pPr>
            <w:r>
              <w:t xml:space="preserve">A1-S127, A1-S077</w:t>
            </w:r>
          </w:p>
        </w:tc>
      </w:tr>
      <w:tr>
        <w:tc>
          <w:tcPr/>
          <w:p>
            <w:pPr>
              <w:pStyle w:val="Compact"/>
              <w:jc w:val="left"/>
            </w:pPr>
            <w:r>
              <w:t xml:space="preserve">Infrastructure cost</w:t>
            </w:r>
          </w:p>
        </w:tc>
        <w:tc>
          <w:tcPr/>
          <w:p>
            <w:pPr>
              <w:pStyle w:val="Compact"/>
              <w:jc w:val="left"/>
            </w:pPr>
            <w:r>
              <w:t xml:space="preserve">Self-hosting means owning authentication, TLS, persistence, monitoring, capacity and upgrades; advanced anti-bot services must be run separately</w:t>
            </w:r>
          </w:p>
        </w:tc>
        <w:tc>
          <w:tcPr/>
          <w:p>
            <w:pPr>
              <w:pStyle w:val="Compact"/>
              <w:jc w:val="left"/>
            </w:pPr>
            <w:r>
              <w:t xml:space="preserve">Verified fact</w:t>
            </w:r>
          </w:p>
        </w:tc>
        <w:tc>
          <w:tcPr/>
          <w:p>
            <w:pPr>
              <w:pStyle w:val="Compact"/>
              <w:jc w:val="left"/>
            </w:pPr>
            <w:r>
              <w:t xml:space="preserve">A1-S079</w:t>
            </w:r>
          </w:p>
        </w:tc>
      </w:tr>
      <w:tr>
        <w:tc>
          <w:tcPr/>
          <w:p>
            <w:pPr>
              <w:pStyle w:val="Compact"/>
              <w:jc w:val="left"/>
            </w:pPr>
            <w:r>
              <w:t xml:space="preserve">Ecosystem</w:t>
            </w:r>
          </w:p>
        </w:tc>
        <w:tc>
          <w:tcPr/>
          <w:p>
            <w:pPr>
              <w:pStyle w:val="Compact"/>
              <w:jc w:val="left"/>
            </w:pPr>
            <w:r>
              <w:t xml:space="preserve">SDKs, CLI, X/LinkedIn routed via third-party providers with separate pricing</w:t>
            </w:r>
          </w:p>
        </w:tc>
        <w:tc>
          <w:tcPr/>
          <w:p>
            <w:pPr>
              <w:pStyle w:val="Compact"/>
              <w:jc w:val="left"/>
            </w:pPr>
            <w:r>
              <w:t xml:space="preserve">Verified fact</w:t>
            </w:r>
          </w:p>
        </w:tc>
        <w:tc>
          <w:tcPr/>
          <w:p>
            <w:pPr>
              <w:pStyle w:val="Compact"/>
              <w:jc w:val="left"/>
            </w:pPr>
            <w:r>
              <w:t xml:space="preserve">A1-S077, A1-S053</w:t>
            </w:r>
          </w:p>
        </w:tc>
      </w:tr>
      <w:tr>
        <w:tc>
          <w:tcPr/>
          <w:p>
            <w:pPr>
              <w:pStyle w:val="Compact"/>
              <w:jc w:val="left"/>
            </w:pPr>
            <w:r>
              <w:t xml:space="preserve">Adoption signals</w:t>
            </w:r>
          </w:p>
        </w:tc>
        <w:tc>
          <w:tcPr/>
          <w:p>
            <w:pPr>
              <w:pStyle w:val="Compact"/>
              <w:jc w:val="left"/>
            </w:pPr>
            <w:r>
              <w:t xml:space="preserve">Series A US$14.5M (Nexus, 19 August 2025; &gt;350,000 developers, 48k GitHub stars then); Series B US$75M led by Smash Capital (announced 22 September 2026 on the Firecrawl blog; changelog entry dated 20 August 2026; Form D shows US$82.06M preferred sold, first sale 31 August 2026)</w:t>
            </w:r>
          </w:p>
        </w:tc>
        <w:tc>
          <w:tcPr/>
          <w:p>
            <w:pPr>
              <w:pStyle w:val="Compact"/>
              <w:jc w:val="left"/>
            </w:pPr>
            <w:r>
              <w:t xml:space="preserve">Verified fact</w:t>
            </w:r>
          </w:p>
        </w:tc>
        <w:tc>
          <w:tcPr/>
          <w:p>
            <w:pPr>
              <w:pStyle w:val="Compact"/>
              <w:jc w:val="left"/>
            </w:pPr>
            <w:r>
              <w:t xml:space="preserve">A1-S128, A1-S129, V1-S015, V1-S009</w:t>
            </w:r>
          </w:p>
        </w:tc>
      </w:tr>
      <w:tr>
        <w:tc>
          <w:tcPr/>
          <w:p>
            <w:pPr>
              <w:pStyle w:val="Compact"/>
              <w:jc w:val="left"/>
            </w:pPr>
            <w:r>
              <w:t xml:space="preserve">Maturity</w:t>
            </w:r>
          </w:p>
        </w:tc>
        <w:tc>
          <w:tcPr/>
          <w:p>
            <w:pPr>
              <w:pStyle w:val="Compact"/>
              <w:jc w:val="left"/>
            </w:pPr>
            <w:r>
              <w:t xml:space="preserve">firecrawl-py first published 12 April 2024; 209 releases</w:t>
            </w:r>
          </w:p>
        </w:tc>
        <w:tc>
          <w:tcPr/>
          <w:p>
            <w:pPr>
              <w:pStyle w:val="Compact"/>
              <w:jc w:val="left"/>
            </w:pPr>
            <w:r>
              <w:t xml:space="preserve">Verified fact</w:t>
            </w:r>
          </w:p>
        </w:tc>
        <w:tc>
          <w:tcPr/>
          <w:p>
            <w:pPr>
              <w:pStyle w:val="Compact"/>
              <w:jc w:val="left"/>
            </w:pPr>
            <w:r>
              <w:t xml:space="preserve">A1-S015</w:t>
            </w:r>
          </w:p>
        </w:tc>
      </w:tr>
      <w:tr>
        <w:tc>
          <w:tcPr/>
          <w:p>
            <w:pPr>
              <w:pStyle w:val="Compact"/>
              <w:jc w:val="left"/>
            </w:pPr>
            <w:r>
              <w:t xml:space="preserve">Deployment</w:t>
            </w:r>
          </w:p>
        </w:tc>
        <w:tc>
          <w:tcPr/>
          <w:p>
            <w:pPr>
              <w:pStyle w:val="Compact"/>
              <w:jc w:val="left"/>
            </w:pPr>
            <w:r>
              <w:t xml:space="preserve">saas: Yes; managed_cloud: Not publicly verified; vpc_byoc: Not publicly verified; private_cloud: Yes (self-host); self_hosted: Yes (reduced feature set); on_prem: Not publicly verified</w:t>
            </w:r>
          </w:p>
        </w:tc>
        <w:tc>
          <w:tcPr/>
          <w:p>
            <w:pPr>
              <w:pStyle w:val="Compact"/>
            </w:pPr>
          </w:p>
        </w:tc>
        <w:tc>
          <w:tcPr/>
          <w:p>
            <w:pPr>
              <w:pStyle w:val="Compact"/>
            </w:pPr>
          </w:p>
        </w:tc>
      </w:tr>
    </w:tbl>
    <w:bookmarkEnd w:id="303"/>
    <w:bookmarkStart w:id="315" w:name="crawl4ai-l8-crawl4ai"/>
    <w:p>
      <w:pPr>
        <w:pStyle w:val="Heading2"/>
      </w:pPr>
      <w:r>
        <w:t xml:space="preserve">Crawl4AI (</w:t>
      </w:r>
      <w:r>
        <w:rPr>
          <w:rStyle w:val="VerbatimChar"/>
        </w:rPr>
        <w:t xml:space="preserve">L8-crawl4ai</w:t>
      </w:r>
      <w:r>
        <w:t xml:space="preserve">)</w:t>
      </w:r>
    </w:p>
    <w:p>
      <w:pPr>
        <w:pStyle w:val="FirstParagraph"/>
      </w:pPr>
      <w:r>
        <w:rPr>
          <w:bCs/>
          <w:b/>
        </w:rPr>
        <w:t xml:space="preserve">Tier:</w:t>
      </w:r>
      <w:r>
        <w:t xml:space="preserve"> </w:t>
      </w:r>
      <w:r>
        <w:t xml:space="preserve">Experimental ·</w:t>
      </w:r>
      <w:r>
        <w:t xml:space="preserve"> </w:t>
      </w:r>
      <w:r>
        <w:rPr>
          <w:bCs/>
          <w:b/>
        </w:rPr>
        <w:t xml:space="preserve">Flags:</w:t>
      </w:r>
      <w:r>
        <w:t xml:space="preserve"> </w:t>
      </w:r>
      <w:r>
        <w:t xml:space="preserve">none ·</w:t>
      </w:r>
      <w:r>
        <w:t xml:space="preserve"> </w:t>
      </w:r>
      <w:r>
        <w:rPr>
          <w:bCs/>
          <w:b/>
        </w:rPr>
        <w:t xml:space="preserve">Original graphic label:</w:t>
      </w:r>
      <w:r>
        <w:t xml:space="preserve"> </w:t>
      </w:r>
      <w:r>
        <w:t xml:space="preserve">Crawl4AI – open crawler</w:t>
      </w:r>
    </w:p>
    <w:p>
      <w:pPr>
        <w:pStyle w:val="BodyText"/>
      </w:pPr>
      <w:r>
        <w:rPr>
          <w:iCs/>
          <w:i/>
        </w:rPr>
        <w:t xml:space="preserve">Rationale:</w:t>
      </w:r>
      <w:r>
        <w:t xml:space="preserve"> </w:t>
      </w:r>
      <w:r>
        <w:t xml:space="preserve">Useful and permissive in practice, but pre-1.0, single-maintainer and carrying a non-standard licence term.</w:t>
      </w:r>
    </w:p>
    <w:tbl>
      <w:tblPr>
        <w:tblStyle w:val="Table"/>
        <w:tblW w:type="pct" w:w="5000"/>
        <w:tblLook w:firstRow="1" w:lastRow="0" w:firstColumn="0" w:lastColumn="0" w:noHBand="0" w:noVBand="0" w:val="0020"/>
        <w:jc w:val="start"/>
      </w:tblPr>
      <w:tblGrid>
        <w:gridCol w:w="1545"/>
        <w:gridCol w:w="579"/>
        <w:gridCol w:w="5795"/>
      </w:tblGrid>
      <w:tr>
        <w:trPr>
          <w:tblHeader w:val="true"/>
        </w:trPr>
        <w:tc>
          <w:tcPr/>
          <w:p>
            <w:pPr>
              <w:pStyle w:val="Compact"/>
              <w:jc w:val="left"/>
            </w:pPr>
            <w:r>
              <w:t xml:space="preserve">Criterion</w:t>
            </w:r>
          </w:p>
        </w:tc>
        <w:tc>
          <w:tcPr/>
          <w:p>
            <w:pPr>
              <w:pStyle w:val="Compact"/>
              <w:jc w:val="right"/>
            </w:pPr>
            <w:r>
              <w:t xml:space="preserve">Score</w:t>
            </w:r>
          </w:p>
        </w:tc>
        <w:tc>
          <w:tcPr/>
          <w:p>
            <w:pPr>
              <w:pStyle w:val="Compact"/>
              <w:jc w:val="left"/>
            </w:pPr>
            <w:r>
              <w:t xml:space="preserve">Rationale</w:t>
            </w:r>
          </w:p>
        </w:tc>
      </w:tr>
      <w:tr>
        <w:tc>
          <w:tcPr/>
          <w:p>
            <w:pPr>
              <w:pStyle w:val="Compact"/>
              <w:jc w:val="left"/>
            </w:pPr>
            <w:r>
              <w:t xml:space="preserve">Technical</w:t>
            </w:r>
          </w:p>
        </w:tc>
        <w:tc>
          <w:tcPr/>
          <w:p>
            <w:pPr>
              <w:pStyle w:val="Compact"/>
              <w:jc w:val="right"/>
            </w:pPr>
            <w:r>
              <w:t xml:space="preserve">3</w:t>
            </w:r>
          </w:p>
        </w:tc>
        <w:tc>
          <w:tcPr/>
          <w:p>
            <w:pPr>
              <w:pStyle w:val="Compact"/>
              <w:jc w:val="left"/>
            </w:pPr>
            <w:r>
              <w:t xml:space="preserve">Covers crawling, Markdown and extraction; no PII, ACL or provenance features.</w:t>
            </w:r>
          </w:p>
        </w:tc>
      </w:tr>
      <w:tr>
        <w:tc>
          <w:tcPr/>
          <w:p>
            <w:pPr>
              <w:pStyle w:val="Compact"/>
              <w:jc w:val="left"/>
            </w:pPr>
            <w:r>
              <w:t xml:space="preserve">Enterprise readiness</w:t>
            </w:r>
          </w:p>
        </w:tc>
        <w:tc>
          <w:tcPr/>
          <w:p>
            <w:pPr>
              <w:pStyle w:val="Compact"/>
              <w:jc w:val="right"/>
            </w:pPr>
            <w:r>
              <w:t xml:space="preserve">2</w:t>
            </w:r>
          </w:p>
        </w:tc>
        <w:tc>
          <w:tcPr/>
          <w:p>
            <w:pPr>
              <w:pStyle w:val="Compact"/>
              <w:jc w:val="left"/>
            </w:pPr>
            <w:r>
              <w:t xml:space="preserve">Library rule: token auth by default; no commercial enterprise support verified.</w:t>
            </w:r>
          </w:p>
        </w:tc>
      </w:tr>
      <w:tr>
        <w:tc>
          <w:tcPr/>
          <w:p>
            <w:pPr>
              <w:pStyle w:val="Compact"/>
              <w:jc w:val="left"/>
            </w:pPr>
            <w:r>
              <w:t xml:space="preserve">Security and compliance</w:t>
            </w:r>
          </w:p>
        </w:tc>
        <w:tc>
          <w:tcPr/>
          <w:p>
            <w:pPr>
              <w:pStyle w:val="Compact"/>
              <w:jc w:val="right"/>
            </w:pPr>
            <w:r>
              <w:t xml:space="preserve">2</w:t>
            </w:r>
          </w:p>
        </w:tc>
        <w:tc>
          <w:tcPr/>
          <w:p>
            <w:pPr>
              <w:pStyle w:val="Compact"/>
              <w:jc w:val="left"/>
            </w:pPr>
            <w:r>
              <w:t xml:space="preserve">Library rule: SECURITY.md and GitHub advisories exist (B-REV-S003), but eight advisories, five rated HIGH (SSRF, arbitrary file write, secret leakage, XSS), were fixed in 0.9.3-0.9.4 (August-September 2026) and only 0.9.x is supported; attribution term on the licence.</w:t>
            </w:r>
          </w:p>
        </w:tc>
      </w:tr>
      <w:tr>
        <w:tc>
          <w:tcPr/>
          <w:p>
            <w:pPr>
              <w:pStyle w:val="Compact"/>
              <w:jc w:val="left"/>
            </w:pPr>
            <w:r>
              <w:t xml:space="preserve">Deployment flexibility</w:t>
            </w:r>
          </w:p>
        </w:tc>
        <w:tc>
          <w:tcPr/>
          <w:p>
            <w:pPr>
              <w:pStyle w:val="Compact"/>
              <w:jc w:val="right"/>
            </w:pPr>
            <w:r>
              <w:t xml:space="preserve">4</w:t>
            </w:r>
          </w:p>
        </w:tc>
        <w:tc>
          <w:tcPr/>
          <w:p>
            <w:pPr>
              <w:pStyle w:val="Compact"/>
              <w:jc w:val="left"/>
            </w:pPr>
            <w:r>
              <w:t xml:space="preserve">Library, Docker server, private cloud, on-prem and hosted cloud.</w:t>
            </w:r>
          </w:p>
        </w:tc>
      </w:tr>
      <w:tr>
        <w:tc>
          <w:tcPr/>
          <w:p>
            <w:pPr>
              <w:pStyle w:val="Compact"/>
              <w:jc w:val="left"/>
            </w:pPr>
            <w:r>
              <w:t xml:space="preserve">Ecosystem</w:t>
            </w:r>
          </w:p>
        </w:tc>
        <w:tc>
          <w:tcPr/>
          <w:p>
            <w:pPr>
              <w:pStyle w:val="Compact"/>
              <w:jc w:val="right"/>
            </w:pPr>
            <w:r>
              <w:t xml:space="preserve">3</w:t>
            </w:r>
          </w:p>
        </w:tc>
        <w:tc>
          <w:tcPr/>
          <w:p>
            <w:pPr>
              <w:pStyle w:val="Compact"/>
              <w:jc w:val="left"/>
            </w:pPr>
            <w:r>
              <w:t xml:space="preserve">MCP for common coding assistants; smaller ecosystem than commercial peers.</w:t>
            </w:r>
          </w:p>
        </w:tc>
      </w:tr>
      <w:tr>
        <w:tc>
          <w:tcPr/>
          <w:p>
            <w:pPr>
              <w:pStyle w:val="Compact"/>
              <w:jc w:val="left"/>
            </w:pPr>
            <w:r>
              <w:t xml:space="preserve">Reliability and maturity</w:t>
            </w:r>
          </w:p>
        </w:tc>
        <w:tc>
          <w:tcPr/>
          <w:p>
            <w:pPr>
              <w:pStyle w:val="Compact"/>
              <w:jc w:val="right"/>
            </w:pPr>
            <w:r>
              <w:t xml:space="preserve">2</w:t>
            </w:r>
          </w:p>
        </w:tc>
        <w:tc>
          <w:tcPr/>
          <w:p>
            <w:pPr>
              <w:pStyle w:val="Compact"/>
              <w:jc w:val="left"/>
            </w:pPr>
            <w:r>
              <w:t xml:space="preserve">Pre-1.0 versioning and single-maintainer origin.</w:t>
            </w:r>
          </w:p>
        </w:tc>
      </w:tr>
      <w:tr>
        <w:tc>
          <w:tcPr/>
          <w:p>
            <w:pPr>
              <w:pStyle w:val="Compact"/>
              <w:jc w:val="left"/>
            </w:pPr>
            <w:r>
              <w:t xml:space="preserve">Cost / TCO</w:t>
            </w:r>
          </w:p>
        </w:tc>
        <w:tc>
          <w:tcPr/>
          <w:p>
            <w:pPr>
              <w:pStyle w:val="Compact"/>
              <w:jc w:val="right"/>
            </w:pPr>
            <w:r>
              <w:t xml:space="preserve">4</w:t>
            </w:r>
          </w:p>
        </w:tc>
        <w:tc>
          <w:tcPr/>
          <w:p>
            <w:pPr>
              <w:pStyle w:val="Compact"/>
              <w:jc w:val="left"/>
            </w:pPr>
            <w:r>
              <w:t xml:space="preserve">Free; operations cost is browsers and proxies.</w:t>
            </w:r>
          </w:p>
        </w:tc>
      </w:tr>
      <w:tr>
        <w:tc>
          <w:tcPr/>
          <w:p>
            <w:pPr>
              <w:pStyle w:val="Compact"/>
              <w:jc w:val="left"/>
            </w:pPr>
            <w:r>
              <w:t xml:space="preserve">Lock-in / portability</w:t>
            </w:r>
          </w:p>
        </w:tc>
        <w:tc>
          <w:tcPr/>
          <w:p>
            <w:pPr>
              <w:pStyle w:val="Compact"/>
              <w:jc w:val="right"/>
            </w:pPr>
            <w:r>
              <w:t xml:space="preserve">4</w:t>
            </w:r>
          </w:p>
        </w:tc>
        <w:tc>
          <w:tcPr/>
          <w:p>
            <w:pPr>
              <w:pStyle w:val="Compact"/>
              <w:jc w:val="left"/>
            </w:pPr>
            <w:r>
              <w:t xml:space="preserve">Open source, but the attribution clause is not plain Apache-2.0.</w:t>
            </w:r>
          </w:p>
        </w:tc>
      </w:tr>
      <w:tr>
        <w:tc>
          <w:tcPr/>
          <w:p>
            <w:pPr>
              <w:pStyle w:val="Compact"/>
              <w:jc w:val="left"/>
            </w:pPr>
            <w:r>
              <w:rPr>
                <w:bCs/>
                <w:b/>
              </w:rPr>
              <w:t xml:space="preserve">Total (generic / FS)</w:t>
            </w:r>
          </w:p>
        </w:tc>
        <w:tc>
          <w:tcPr/>
          <w:p>
            <w:pPr>
              <w:pStyle w:val="Compact"/>
              <w:jc w:val="right"/>
            </w:pPr>
            <w:r>
              <w:rPr>
                <w:bCs/>
                <w:b/>
              </w:rPr>
              <w:t xml:space="preserve">2.90 / 2.90</w:t>
            </w:r>
          </w:p>
        </w:tc>
        <w:tc>
          <w:tcPr/>
          <w:p>
            <w:pPr>
              <w:pStyle w:val="Compact"/>
            </w:pPr>
          </w:p>
        </w:tc>
      </w:tr>
    </w:tbl>
    <w:p>
      <w:pPr>
        <w:pStyle w:val="BodyText"/>
      </w:pPr>
      <w:r>
        <w:rPr>
          <w:iCs/>
          <w:i/>
        </w:rPr>
        <w:t xml:space="preserve">Evidence rules applied:</w:t>
      </w:r>
      <w:r>
        <w:t xml:space="preserve"> </w:t>
      </w:r>
      <w:r>
        <w:t xml:space="preserve">Library rule applied (enterprise_readiness and security_compliance capped at 4; scored on project hygiene; inherits host controls); Rule 7 (CP2 Q2) checked at CP2 rework: no SSO, RBAC or audit control verified (token auth only, A1-S074); enterprise_readiness 2 kept under the library rule</w:t>
      </w:r>
    </w:p>
    <w:p>
      <w:pPr>
        <w:pStyle w:val="BodyText"/>
      </w:pPr>
      <w:r>
        <w:rPr>
          <w:bCs/>
          <w:b/>
        </w:rPr>
        <w:t xml:space="preserve">Capabilities.</w:t>
      </w:r>
      <w:r>
        <w:t xml:space="preserve"> </w:t>
      </w:r>
      <w:r>
        <w:t xml:space="preserve">Open-source crawler and scraper producing LLM-ready Markdown or structured data with browser automation, batch crawling and LLM extraction; Python library, CLI, self-hosted REST server, MCP and a hosted Crawl4AI Cloud</w:t>
      </w:r>
      <w:r>
        <w:t xml:space="preserve"> </w:t>
      </w:r>
      <w:r>
        <w:rPr>
          <w:rStyle w:val="ClaimLabel"/>
        </w:rPr>
        <w:t xml:space="preserve">VF</w:t>
      </w:r>
      <w:r>
        <w:rPr>
          <w:rStyle w:val="FootnoteReference"/>
        </w:rPr>
        <w:footnoteReference w:id="304"/>
      </w:r>
      <w:r>
        <w:t xml:space="preserve">.</w:t>
      </w:r>
    </w:p>
    <w:p>
      <w:pPr>
        <w:pStyle w:val="BodyText"/>
      </w:pPr>
      <w:r>
        <w:rPr>
          <w:bCs/>
          <w:b/>
        </w:rPr>
        <w:t xml:space="preserve">Strengths</w:t>
      </w:r>
    </w:p>
    <w:p>
      <w:pPr>
        <w:numPr>
          <w:ilvl w:val="0"/>
          <w:numId w:val="1069"/>
        </w:numPr>
        <w:pStyle w:val="Compact"/>
      </w:pPr>
      <w:r>
        <w:t xml:space="preserve">Self-hosted Docker server, with an API token required on every endpoint by default</w:t>
      </w:r>
      <w:r>
        <w:t xml:space="preserve"> </w:t>
      </w:r>
      <w:r>
        <w:rPr>
          <w:rStyle w:val="ClaimLabel"/>
        </w:rPr>
        <w:t xml:space="preserve">VF</w:t>
      </w:r>
      <w:r>
        <w:rPr>
          <w:rStyle w:val="FootnoteReference"/>
        </w:rPr>
        <w:footnoteReference w:id="306"/>
      </w:r>
    </w:p>
    <w:p>
      <w:pPr>
        <w:numPr>
          <w:ilvl w:val="0"/>
          <w:numId w:val="1069"/>
        </w:numPr>
        <w:pStyle w:val="Compact"/>
      </w:pPr>
      <w:r>
        <w:t xml:space="preserve">Free library; cost is browser compute and proxies</w:t>
      </w:r>
      <w:r>
        <w:t xml:space="preserve"> </w:t>
      </w:r>
      <w:r>
        <w:rPr>
          <w:rStyle w:val="ClaimLabel"/>
        </w:rPr>
        <w:t xml:space="preserve">VF</w:t>
      </w:r>
      <w:r>
        <w:rPr>
          <w:rStyle w:val="FootnoteReference"/>
        </w:rPr>
        <w:footnoteReference w:id="307"/>
      </w:r>
    </w:p>
    <w:p>
      <w:pPr>
        <w:numPr>
          <w:ilvl w:val="0"/>
          <w:numId w:val="1069"/>
        </w:numPr>
        <w:pStyle w:val="Compact"/>
      </w:pPr>
      <w:r>
        <w:t xml:space="preserve">Runs entirely inside the firm’s estate</w:t>
      </w:r>
      <w:r>
        <w:t xml:space="preserve"> </w:t>
      </w:r>
      <w:r>
        <w:rPr>
          <w:rStyle w:val="ClaimLabel"/>
        </w:rPr>
        <w:t xml:space="preserve">VF</w:t>
      </w:r>
      <w:r>
        <w:rPr>
          <w:rStyle w:val="FootnoteReference"/>
        </w:rPr>
        <w:footnoteReference w:id="308"/>
      </w:r>
    </w:p>
    <w:p>
      <w:pPr>
        <w:pStyle w:val="FirstParagraph"/>
      </w:pPr>
      <w:r>
        <w:rPr>
          <w:bCs/>
          <w:b/>
        </w:rPr>
        <w:t xml:space="preserve">Limitations and risks</w:t>
      </w:r>
    </w:p>
    <w:p>
      <w:pPr>
        <w:numPr>
          <w:ilvl w:val="0"/>
          <w:numId w:val="1070"/>
        </w:numPr>
        <w:pStyle w:val="Compact"/>
      </w:pPr>
      <w:r>
        <w:t xml:space="preserve">Apache-2.0 plus an appended attribution requirement covering distributions and public uses; legal review advised</w:t>
      </w:r>
      <w:r>
        <w:t xml:space="preserve"> </w:t>
      </w:r>
      <w:r>
        <w:rPr>
          <w:rStyle w:val="ClaimLabel"/>
        </w:rPr>
        <w:t xml:space="preserve">VF</w:t>
      </w:r>
      <w:r>
        <w:rPr>
          <w:rStyle w:val="FootnoteReference"/>
        </w:rPr>
        <w:footnoteReference w:id="309"/>
      </w:r>
    </w:p>
    <w:p>
      <w:pPr>
        <w:numPr>
          <w:ilvl w:val="0"/>
          <w:numId w:val="1070"/>
        </w:numPr>
        <w:pStyle w:val="Compact"/>
      </w:pPr>
      <w:r>
        <w:t xml:space="preserve">Pre-1.0 (0.9.4) with a single-maintainer origin</w:t>
      </w:r>
      <w:r>
        <w:t xml:space="preserve"> </w:t>
      </w:r>
      <w:r>
        <w:rPr>
          <w:rStyle w:val="ClaimLabel"/>
        </w:rPr>
        <w:t xml:space="preserve">VF</w:t>
      </w:r>
      <w:r>
        <w:rPr>
          <w:rStyle w:val="FootnoteReference"/>
        </w:rPr>
        <w:footnoteReference w:id="311"/>
      </w:r>
    </w:p>
    <w:p>
      <w:pPr>
        <w:numPr>
          <w:ilvl w:val="0"/>
          <w:numId w:val="1070"/>
        </w:numPr>
        <w:pStyle w:val="Compact"/>
      </w:pPr>
      <w:r>
        <w:t xml:space="preserve">No disclosed venture funding (aggregator only)</w:t>
      </w:r>
      <w:r>
        <w:t xml:space="preserve"> </w:t>
      </w:r>
      <w:r>
        <w:rPr>
          <w:rStyle w:val="ClaimLabel"/>
        </w:rPr>
        <w:t xml:space="preserve">R</w:t>
      </w:r>
      <w:r>
        <w:rPr>
          <w:rStyle w:val="FootnoteReference"/>
        </w:rPr>
        <w:footnoteReference w:id="313"/>
      </w:r>
    </w:p>
    <w:p>
      <w:pPr>
        <w:numPr>
          <w:ilvl w:val="0"/>
          <w:numId w:val="1070"/>
        </w:numPr>
        <w:pStyle w:val="Compact"/>
      </w:pPr>
      <w:r>
        <w:t xml:space="preserve">No certifications or enterprise support found</w:t>
      </w:r>
      <w:r>
        <w:t xml:space="preserve"> </w:t>
      </w:r>
      <w:r>
        <w:rPr>
          <w:rStyle w:val="ClaimLabel"/>
        </w:rPr>
        <w:t xml:space="preserve">NPV</w:t>
      </w:r>
    </w:p>
    <w:p>
      <w:pPr>
        <w:pStyle w:val="FirstParagraph"/>
      </w:pPr>
      <w:r>
        <w:rPr>
          <w:bCs/>
          <w:b/>
        </w:rPr>
        <w:t xml:space="preserve">Choose when</w:t>
      </w:r>
    </w:p>
    <w:p>
      <w:pPr>
        <w:numPr>
          <w:ilvl w:val="0"/>
          <w:numId w:val="1071"/>
        </w:numPr>
        <w:pStyle w:val="Compact"/>
      </w:pPr>
      <w:r>
        <w:t xml:space="preserve">Self-hosted crawling of a small set of approved public sources by a team that can own it</w:t>
      </w:r>
    </w:p>
    <w:p>
      <w:pPr>
        <w:numPr>
          <w:ilvl w:val="0"/>
          <w:numId w:val="1071"/>
        </w:numPr>
        <w:pStyle w:val="Compact"/>
      </w:pPr>
      <w:r>
        <w:t xml:space="preserve">Prototyping web acquisition before committing to a commercial service</w:t>
      </w:r>
    </w:p>
    <w:p>
      <w:pPr>
        <w:pStyle w:val="FirstParagraph"/>
      </w:pPr>
      <w:r>
        <w:rPr>
          <w:bCs/>
          <w:b/>
        </w:rPr>
        <w:t xml:space="preserve">Avoid when</w:t>
      </w:r>
    </w:p>
    <w:p>
      <w:pPr>
        <w:numPr>
          <w:ilvl w:val="0"/>
          <w:numId w:val="1072"/>
        </w:numPr>
        <w:pStyle w:val="Compact"/>
      </w:pPr>
      <w:r>
        <w:t xml:space="preserve">It would be a critical production dependency without a support route</w:t>
      </w:r>
    </w:p>
    <w:p>
      <w:pPr>
        <w:numPr>
          <w:ilvl w:val="0"/>
          <w:numId w:val="1072"/>
        </w:numPr>
        <w:pStyle w:val="Compact"/>
      </w:pPr>
      <w:r>
        <w:t xml:space="preserve">Legal cannot accept the attribution clause for your use</w:t>
      </w:r>
    </w:p>
    <w:p>
      <w:pPr>
        <w:pStyle w:val="FirstParagraph"/>
      </w:pPr>
      <w:r>
        <w:rPr>
          <w:bCs/>
          <w:b/>
        </w:rPr>
        <w:t xml:space="preserve">Nearest competitors:</w:t>
      </w:r>
      <w:r>
        <w:t xml:space="preserve"> </w:t>
      </w:r>
      <w:r>
        <w:t xml:space="preserve">L8-firecrawl, L8-apify</w:t>
      </w:r>
    </w:p>
    <w:p>
      <w:pPr>
        <w:pStyle w:val="BodyText"/>
      </w:pPr>
      <w:r>
        <w:rPr>
          <w:bCs/>
          <w:b/>
        </w:rPr>
        <w:t xml:space="preserve">Regulated-FS note.</w:t>
      </w:r>
      <w:r>
        <w:t xml:space="preserve"> </w:t>
      </w:r>
      <w:r>
        <w:t xml:space="preserve">Acceptable for public data in a controlled estate; record the attribution clause in the open-source register and do not use the hosted cloud for anything confidential</w:t>
      </w:r>
      <w:r>
        <w:t xml:space="preserve"> </w:t>
      </w:r>
      <w:r>
        <w:rPr>
          <w:rStyle w:val="ClaimLabel"/>
        </w:rPr>
        <w:t xml:space="preserve">Rec</w:t>
      </w:r>
      <w:r>
        <w:t xml:space="preserve">.</w:t>
      </w:r>
    </w:p>
    <w:p>
      <w:pPr>
        <w:pStyle w:val="BodyText"/>
      </w:pPr>
      <w:r>
        <w:rPr>
          <w:bCs/>
          <w:b/>
        </w:rPr>
        <w:t xml:space="preserve">Facts (as of 2026-10-08)</w:t>
      </w:r>
    </w:p>
    <w:tbl>
      <w:tblPr>
        <w:tblStyle w:val="Table"/>
        <w:tblW w:type="pct" w:w="5000"/>
        <w:tblLook w:firstRow="1" w:lastRow="0" w:firstColumn="0" w:lastColumn="0" w:noHBand="0" w:noVBand="0" w:val="0020"/>
        <w:jc w:val="start"/>
      </w:tblPr>
      <w:tblGrid>
        <w:gridCol w:w="1485"/>
        <w:gridCol w:w="4290"/>
        <w:gridCol w:w="1320"/>
        <w:gridCol w:w="825"/>
      </w:tblGrid>
      <w:tr>
        <w:trPr>
          <w:tblHeader w:val="true"/>
        </w:trPr>
        <w:tc>
          <w:tcPr/>
          <w:p>
            <w:pPr>
              <w:pStyle w:val="Compact"/>
              <w:jc w:val="left"/>
            </w:pPr>
            <w:r>
              <w:t xml:space="preserve">Field</w:t>
            </w:r>
          </w:p>
        </w:tc>
        <w:tc>
          <w:tcPr/>
          <w:p>
            <w:pPr>
              <w:pStyle w:val="Compact"/>
              <w:jc w:val="left"/>
            </w:pPr>
            <w:r>
              <w:t xml:space="preserve">Value</w:t>
            </w:r>
          </w:p>
        </w:tc>
        <w:tc>
          <w:tcPr/>
          <w:p>
            <w:pPr>
              <w:pStyle w:val="Compact"/>
              <w:jc w:val="left"/>
            </w:pPr>
            <w:r>
              <w:t xml:space="preserve">Label</w:t>
            </w:r>
          </w:p>
        </w:tc>
        <w:tc>
          <w:tcPr/>
          <w:p>
            <w:pPr>
              <w:pStyle w:val="Compact"/>
              <w:jc w:val="left"/>
            </w:pPr>
            <w:r>
              <w:t xml:space="preserve">Sources</w:t>
            </w:r>
          </w:p>
        </w:tc>
      </w:tr>
      <w:tr>
        <w:tc>
          <w:tcPr/>
          <w:p>
            <w:pPr>
              <w:pStyle w:val="Compact"/>
              <w:jc w:val="left"/>
            </w:pPr>
            <w:r>
              <w:t xml:space="preserve">Company</w:t>
            </w:r>
          </w:p>
        </w:tc>
        <w:tc>
          <w:tcPr/>
          <w:p>
            <w:pPr>
              <w:pStyle w:val="Compact"/>
              <w:jc w:val="left"/>
            </w:pPr>
            <w:r>
              <w:t xml:space="preserve">Open-source project by UncleCode, now also offering hosted Crawl4AI Cloud</w:t>
            </w:r>
          </w:p>
        </w:tc>
        <w:tc>
          <w:tcPr/>
          <w:p>
            <w:pPr>
              <w:pStyle w:val="Compact"/>
              <w:jc w:val="left"/>
            </w:pPr>
            <w:r>
              <w:t xml:space="preserve">Verified fact</w:t>
            </w:r>
          </w:p>
        </w:tc>
        <w:tc>
          <w:tcPr/>
          <w:p>
            <w:pPr>
              <w:pStyle w:val="Compact"/>
              <w:jc w:val="left"/>
            </w:pPr>
            <w:r>
              <w:t xml:space="preserve">A1-S009, A1-S056, A1-S074</w:t>
            </w:r>
          </w:p>
        </w:tc>
      </w:tr>
      <w:tr>
        <w:tc>
          <w:tcPr/>
          <w:p>
            <w:pPr>
              <w:pStyle w:val="Compact"/>
              <w:jc w:val="left"/>
            </w:pPr>
            <w:r>
              <w:t xml:space="preserve">Category</w:t>
            </w:r>
          </w:p>
        </w:tc>
        <w:tc>
          <w:tcPr/>
          <w:p>
            <w:pPr>
              <w:pStyle w:val="Compact"/>
              <w:jc w:val="left"/>
            </w:pPr>
            <w:r>
              <w:t xml:space="preserve">Open-source web crawler/scraper producing LLM-ready Markdown, plus a hosted API</w:t>
            </w:r>
          </w:p>
        </w:tc>
        <w:tc>
          <w:tcPr/>
          <w:p>
            <w:pPr>
              <w:pStyle w:val="Compact"/>
              <w:jc w:val="left"/>
            </w:pPr>
            <w:r>
              <w:t xml:space="preserve">Verified fact</w:t>
            </w:r>
          </w:p>
        </w:tc>
        <w:tc>
          <w:tcPr/>
          <w:p>
            <w:pPr>
              <w:pStyle w:val="Compact"/>
              <w:jc w:val="left"/>
            </w:pPr>
            <w:r>
              <w:t xml:space="preserve">A1-S074</w:t>
            </w:r>
          </w:p>
        </w:tc>
      </w:tr>
      <w:tr>
        <w:tc>
          <w:tcPr/>
          <w:p>
            <w:pPr>
              <w:pStyle w:val="Compact"/>
              <w:jc w:val="left"/>
            </w:pPr>
            <w:r>
              <w:t xml:space="preserve">Version / lineup</w:t>
            </w:r>
          </w:p>
        </w:tc>
        <w:tc>
          <w:tcPr/>
          <w:p>
            <w:pPr>
              <w:pStyle w:val="Compact"/>
              <w:jc w:val="left"/>
            </w:pPr>
            <w:r>
              <w:t xml:space="preserve">v0.9.4, 23 September 2026</w:t>
            </w:r>
          </w:p>
        </w:tc>
        <w:tc>
          <w:tcPr/>
          <w:p>
            <w:pPr>
              <w:pStyle w:val="Compact"/>
              <w:jc w:val="left"/>
            </w:pPr>
            <w:r>
              <w:t xml:space="preserve">Verified fact</w:t>
            </w:r>
          </w:p>
        </w:tc>
        <w:tc>
          <w:tcPr/>
          <w:p>
            <w:pPr>
              <w:pStyle w:val="Compact"/>
              <w:jc w:val="left"/>
            </w:pPr>
            <w:r>
              <w:t xml:space="preserve">A1-S009, A1-S074</w:t>
            </w:r>
          </w:p>
        </w:tc>
      </w:tr>
      <w:tr>
        <w:tc>
          <w:tcPr/>
          <w:p>
            <w:pPr>
              <w:pStyle w:val="Compact"/>
              <w:jc w:val="left"/>
            </w:pPr>
            <w:r>
              <w:t xml:space="preserve">Licence</w:t>
            </w:r>
          </w:p>
        </w:tc>
        <w:tc>
          <w:tcPr/>
          <w:p>
            <w:pPr>
              <w:pStyle w:val="Compact"/>
              <w:jc w:val="left"/>
            </w:pPr>
            <w:r>
              <w:t xml:space="preserve">Apache-2.0 with an additional attribution requirement for distributions and public uses</w:t>
            </w:r>
          </w:p>
        </w:tc>
        <w:tc>
          <w:tcPr/>
          <w:p>
            <w:pPr>
              <w:pStyle w:val="Compact"/>
              <w:jc w:val="left"/>
            </w:pPr>
            <w:r>
              <w:t xml:space="preserve">Verified fact</w:t>
            </w:r>
          </w:p>
        </w:tc>
        <w:tc>
          <w:tcPr/>
          <w:p>
            <w:pPr>
              <w:pStyle w:val="Compact"/>
              <w:jc w:val="left"/>
            </w:pPr>
            <w:r>
              <w:t xml:space="preserve">A1-S056, V1-S001</w:t>
            </w:r>
          </w:p>
        </w:tc>
      </w:tr>
      <w:tr>
        <w:tc>
          <w:tcPr/>
          <w:p>
            <w:pPr>
              <w:pStyle w:val="Compact"/>
              <w:jc w:val="left"/>
            </w:pPr>
            <w:r>
              <w:t xml:space="preserve">Status events</w:t>
            </w:r>
          </w:p>
        </w:tc>
        <w:tc>
          <w:tcPr/>
          <w:p>
            <w:pPr>
              <w:pStyle w:val="Compact"/>
              <w:jc w:val="left"/>
            </w:pPr>
            <w:r>
              <w:t xml:space="preserve">Crawl4AI Cloud hosted service launched (date not verified)</w:t>
            </w:r>
          </w:p>
        </w:tc>
        <w:tc>
          <w:tcPr/>
          <w:p>
            <w:pPr>
              <w:pStyle w:val="Compact"/>
              <w:jc w:val="left"/>
            </w:pPr>
            <w:r>
              <w:t xml:space="preserve">Verified fact</w:t>
            </w:r>
          </w:p>
        </w:tc>
        <w:tc>
          <w:tcPr/>
          <w:p>
            <w:pPr>
              <w:pStyle w:val="Compact"/>
              <w:jc w:val="left"/>
            </w:pPr>
            <w:r>
              <w:t xml:space="preserve">A1-S074</w:t>
            </w:r>
          </w:p>
        </w:tc>
      </w:tr>
      <w:tr>
        <w:tc>
          <w:tcPr/>
          <w:p>
            <w:pPr>
              <w:pStyle w:val="Compact"/>
              <w:jc w:val="left"/>
            </w:pPr>
            <w:r>
              <w:t xml:space="preserve">Strategic direction</w:t>
            </w:r>
          </w:p>
        </w:tc>
        <w:tc>
          <w:tcPr/>
          <w:p>
            <w:pPr>
              <w:pStyle w:val="Compact"/>
              <w:jc w:val="left"/>
            </w:pPr>
            <w:r>
              <w:t xml:space="preserve">Launched Crawl4AI Cloud (search, answer, extraction without own LLM key, bot-wall handling, MCP) alongside the free library and Docker server</w:t>
            </w:r>
          </w:p>
        </w:tc>
        <w:tc>
          <w:tcPr/>
          <w:p>
            <w:pPr>
              <w:pStyle w:val="Compact"/>
              <w:jc w:val="left"/>
            </w:pPr>
            <w:r>
              <w:t xml:space="preserve">Verified fact</w:t>
            </w:r>
          </w:p>
        </w:tc>
        <w:tc>
          <w:tcPr/>
          <w:p>
            <w:pPr>
              <w:pStyle w:val="Compact"/>
              <w:jc w:val="left"/>
            </w:pPr>
            <w:r>
              <w:t xml:space="preserve">A1-S074</w:t>
            </w:r>
          </w:p>
        </w:tc>
      </w:tr>
      <w:tr>
        <w:tc>
          <w:tcPr/>
          <w:p>
            <w:pPr>
              <w:pStyle w:val="Compact"/>
              <w:jc w:val="left"/>
            </w:pPr>
            <w:r>
              <w:t xml:space="preserve">What it does</w:t>
            </w:r>
          </w:p>
        </w:tc>
        <w:tc>
          <w:tcPr/>
          <w:p>
            <w:pPr>
              <w:pStyle w:val="Compact"/>
              <w:jc w:val="left"/>
            </w:pPr>
            <w:r>
              <w:t xml:space="preserve">Crawls and scrapes websites into clean Markdown or structured data for RAG and agents, with browser automation, batch crawling and LLM-based extraction.</w:t>
            </w:r>
          </w:p>
        </w:tc>
        <w:tc>
          <w:tcPr/>
          <w:p>
            <w:pPr>
              <w:pStyle w:val="Compact"/>
              <w:jc w:val="left"/>
            </w:pPr>
            <w:r>
              <w:t xml:space="preserve">Verified fact</w:t>
            </w:r>
          </w:p>
        </w:tc>
        <w:tc>
          <w:tcPr/>
          <w:p>
            <w:pPr>
              <w:pStyle w:val="Compact"/>
              <w:jc w:val="left"/>
            </w:pPr>
            <w:r>
              <w:t xml:space="preserve">A1-S074</w:t>
            </w:r>
          </w:p>
        </w:tc>
      </w:tr>
      <w:tr>
        <w:tc>
          <w:tcPr/>
          <w:p>
            <w:pPr>
              <w:pStyle w:val="Compact"/>
              <w:jc w:val="left"/>
            </w:pPr>
            <w:r>
              <w:t xml:space="preserve">Stack position</w:t>
            </w:r>
          </w:p>
        </w:tc>
        <w:tc>
          <w:tcPr/>
          <w:p>
            <w:pPr>
              <w:pStyle w:val="Compact"/>
              <w:jc w:val="left"/>
            </w:pPr>
            <w:r>
              <w:t xml:space="preserve">L8 web acquisition; overlaps L4 search tools via the cloud API</w:t>
            </w:r>
          </w:p>
        </w:tc>
        <w:tc>
          <w:tcPr/>
          <w:p>
            <w:pPr>
              <w:pStyle w:val="Compact"/>
              <w:jc w:val="left"/>
            </w:pPr>
            <w:r>
              <w:t xml:space="preserve">Verified fact</w:t>
            </w:r>
          </w:p>
        </w:tc>
        <w:tc>
          <w:tcPr/>
          <w:p>
            <w:pPr>
              <w:pStyle w:val="Compact"/>
              <w:jc w:val="left"/>
            </w:pPr>
            <w:r>
              <w:t xml:space="preserve">A1-S074</w:t>
            </w:r>
          </w:p>
        </w:tc>
      </w:tr>
      <w:tr>
        <w:tc>
          <w:tcPr/>
          <w:p>
            <w:pPr>
              <w:pStyle w:val="Compact"/>
              <w:jc w:val="left"/>
            </w:pPr>
            <w:r>
              <w:t xml:space="preserve">Integration</w:t>
            </w:r>
          </w:p>
        </w:tc>
        <w:tc>
          <w:tcPr/>
          <w:p>
            <w:pPr>
              <w:pStyle w:val="Compact"/>
              <w:jc w:val="left"/>
            </w:pPr>
            <w:r>
              <w:t xml:space="preserve">Python library, CLI, self-hosted REST API (/md, /crawl, /screenshot, /pdf, /execute_js), MCP, hosted API</w:t>
            </w:r>
          </w:p>
        </w:tc>
        <w:tc>
          <w:tcPr/>
          <w:p>
            <w:pPr>
              <w:pStyle w:val="Compact"/>
              <w:jc w:val="left"/>
            </w:pPr>
            <w:r>
              <w:t xml:space="preserve">Verified fact</w:t>
            </w:r>
          </w:p>
        </w:tc>
        <w:tc>
          <w:tcPr/>
          <w:p>
            <w:pPr>
              <w:pStyle w:val="Compact"/>
              <w:jc w:val="left"/>
            </w:pPr>
            <w:r>
              <w:t xml:space="preserve">A1-S074</w:t>
            </w:r>
          </w:p>
        </w:tc>
      </w:tr>
      <w:tr>
        <w:tc>
          <w:tcPr/>
          <w:p>
            <w:pPr>
              <w:pStyle w:val="Compact"/>
              <w:jc w:val="left"/>
            </w:pPr>
            <w:r>
              <w:t xml:space="preserve">Dependencies</w:t>
            </w:r>
          </w:p>
        </w:tc>
        <w:tc>
          <w:tcPr/>
          <w:p>
            <w:pPr>
              <w:pStyle w:val="Compact"/>
              <w:jc w:val="left"/>
            </w:pPr>
            <w:r>
              <w:t xml:space="preserve">Python with headless browsers; Docker server image (AMD64/ARM64)</w:t>
            </w:r>
          </w:p>
        </w:tc>
        <w:tc>
          <w:tcPr/>
          <w:p>
            <w:pPr>
              <w:pStyle w:val="Compact"/>
              <w:jc w:val="left"/>
            </w:pPr>
            <w:r>
              <w:t xml:space="preserve">Verified fact</w:t>
            </w:r>
          </w:p>
        </w:tc>
        <w:tc>
          <w:tcPr/>
          <w:p>
            <w:pPr>
              <w:pStyle w:val="Compact"/>
              <w:jc w:val="left"/>
            </w:pPr>
            <w:r>
              <w:t xml:space="preserve">A1-S074</w:t>
            </w:r>
          </w:p>
        </w:tc>
      </w:tr>
      <w:tr>
        <w:tc>
          <w:tcPr/>
          <w:p>
            <w:pPr>
              <w:pStyle w:val="Compact"/>
              <w:jc w:val="left"/>
            </w:pPr>
            <w:r>
              <w:t xml:space="preserve">Certifications</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GDPR / residency</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Security features</w:t>
            </w:r>
          </w:p>
        </w:tc>
        <w:tc>
          <w:tcPr/>
          <w:p>
            <w:pPr>
              <w:pStyle w:val="Compact"/>
              <w:jc w:val="left"/>
            </w:pPr>
            <w:r>
              <w:t xml:space="preserve">Self-hosted server requires CRAWL4AI_API_TOKEN on every endpoint by default</w:t>
            </w:r>
          </w:p>
        </w:tc>
        <w:tc>
          <w:tcPr/>
          <w:p>
            <w:pPr>
              <w:pStyle w:val="Compact"/>
              <w:jc w:val="left"/>
            </w:pPr>
            <w:r>
              <w:t xml:space="preserve">Verified fact</w:t>
            </w:r>
          </w:p>
        </w:tc>
        <w:tc>
          <w:tcPr/>
          <w:p>
            <w:pPr>
              <w:pStyle w:val="Compact"/>
              <w:jc w:val="left"/>
            </w:pPr>
            <w:r>
              <w:t xml:space="preserve">A1-S074</w:t>
            </w:r>
          </w:p>
        </w:tc>
      </w:tr>
      <w:tr>
        <w:tc>
          <w:tcPr/>
          <w:p>
            <w:pPr>
              <w:pStyle w:val="Compact"/>
              <w:jc w:val="left"/>
            </w:pPr>
            <w:r>
              <w:t xml:space="preserve">Access controls</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Enterprise support</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Pricing</w:t>
            </w:r>
          </w:p>
        </w:tc>
        <w:tc>
          <w:tcPr/>
          <w:p>
            <w:pPr>
              <w:pStyle w:val="Compact"/>
              <w:jc w:val="left"/>
            </w:pPr>
            <w:r>
              <w:t xml:space="preserve">Library free; Crawl4AI Cloud pay-as-you-go with free starting credit; 1 credit = US$0.001</w:t>
            </w:r>
          </w:p>
        </w:tc>
        <w:tc>
          <w:tcPr/>
          <w:p>
            <w:pPr>
              <w:pStyle w:val="Compact"/>
              <w:jc w:val="left"/>
            </w:pPr>
            <w:r>
              <w:t xml:space="preserve">Reported</w:t>
            </w:r>
          </w:p>
        </w:tc>
        <w:tc>
          <w:tcPr/>
          <w:p>
            <w:pPr>
              <w:pStyle w:val="Compact"/>
              <w:jc w:val="left"/>
            </w:pPr>
            <w:r>
              <w:t xml:space="preserve">A1-S132, A1-S074</w:t>
            </w:r>
          </w:p>
        </w:tc>
      </w:tr>
      <w:tr>
        <w:tc>
          <w:tcPr/>
          <w:p>
            <w:pPr>
              <w:pStyle w:val="Compact"/>
              <w:jc w:val="left"/>
            </w:pPr>
            <w:r>
              <w:t xml:space="preserve">Infrastructure cost</w:t>
            </w:r>
          </w:p>
        </w:tc>
        <w:tc>
          <w:tcPr/>
          <w:p>
            <w:pPr>
              <w:pStyle w:val="Compact"/>
              <w:jc w:val="left"/>
            </w:pPr>
            <w:r>
              <w:t xml:space="preserve">Self-hosting cost is browser compute and proxies</w:t>
            </w:r>
          </w:p>
        </w:tc>
        <w:tc>
          <w:tcPr/>
          <w:p>
            <w:pPr>
              <w:pStyle w:val="Compact"/>
              <w:jc w:val="left"/>
            </w:pPr>
            <w:r>
              <w:t xml:space="preserve">Architectural judgement</w:t>
            </w:r>
          </w:p>
        </w:tc>
        <w:tc>
          <w:tcPr/>
          <w:p>
            <w:pPr>
              <w:pStyle w:val="Compact"/>
            </w:pPr>
          </w:p>
        </w:tc>
      </w:tr>
      <w:tr>
        <w:tc>
          <w:tcPr/>
          <w:p>
            <w:pPr>
              <w:pStyle w:val="Compact"/>
              <w:jc w:val="left"/>
            </w:pPr>
            <w:r>
              <w:t xml:space="preserve">Ecosystem</w:t>
            </w:r>
          </w:p>
        </w:tc>
        <w:tc>
          <w:tcPr/>
          <w:p>
            <w:pPr>
              <w:pStyle w:val="Compact"/>
              <w:jc w:val="left"/>
            </w:pPr>
            <w:r>
              <w:t xml:space="preserve">MCP for Claude Code, Codex, Cursor, OpenCode</w:t>
            </w:r>
          </w:p>
        </w:tc>
        <w:tc>
          <w:tcPr/>
          <w:p>
            <w:pPr>
              <w:pStyle w:val="Compact"/>
              <w:jc w:val="left"/>
            </w:pPr>
            <w:r>
              <w:t xml:space="preserve">Verified fact</w:t>
            </w:r>
          </w:p>
        </w:tc>
        <w:tc>
          <w:tcPr/>
          <w:p>
            <w:pPr>
              <w:pStyle w:val="Compact"/>
              <w:jc w:val="left"/>
            </w:pPr>
            <w:r>
              <w:t xml:space="preserve">A1-S074</w:t>
            </w:r>
          </w:p>
        </w:tc>
      </w:tr>
      <w:tr>
        <w:tc>
          <w:tcPr/>
          <w:p>
            <w:pPr>
              <w:pStyle w:val="Compact"/>
              <w:jc w:val="left"/>
            </w:pPr>
            <w:r>
              <w:t xml:space="preserve">Adoption signals</w:t>
            </w:r>
          </w:p>
        </w:tc>
        <w:tc>
          <w:tcPr/>
          <w:p>
            <w:pPr>
              <w:pStyle w:val="Compact"/>
              <w:jc w:val="left"/>
            </w:pPr>
            <w:r>
              <w:t xml:space="preserve">No venture funding found; aggregator lists Crawl4AI as unfunded (Singapore, founded 2024); project funded via sponsorships and Crawl4AI Cloud</w:t>
            </w:r>
          </w:p>
        </w:tc>
        <w:tc>
          <w:tcPr/>
          <w:p>
            <w:pPr>
              <w:pStyle w:val="Compact"/>
              <w:jc w:val="left"/>
            </w:pPr>
            <w:r>
              <w:t xml:space="preserve">Reported</w:t>
            </w:r>
          </w:p>
        </w:tc>
        <w:tc>
          <w:tcPr/>
          <w:p>
            <w:pPr>
              <w:pStyle w:val="Compact"/>
              <w:jc w:val="left"/>
            </w:pPr>
            <w:r>
              <w:t xml:space="preserve">A1-S132</w:t>
            </w:r>
          </w:p>
        </w:tc>
      </w:tr>
      <w:tr>
        <w:tc>
          <w:tcPr/>
          <w:p>
            <w:pPr>
              <w:pStyle w:val="Compact"/>
              <w:jc w:val="left"/>
            </w:pPr>
            <w:r>
              <w:t xml:space="preserve">Maturity</w:t>
            </w:r>
          </w:p>
        </w:tc>
        <w:tc>
          <w:tcPr/>
          <w:p>
            <w:pPr>
              <w:pStyle w:val="Compact"/>
              <w:jc w:val="left"/>
            </w:pPr>
            <w:r>
              <w:t xml:space="preserve">First PyPI release 25 September 2024; pre-1.0 (0.9.x)</w:t>
            </w:r>
          </w:p>
        </w:tc>
        <w:tc>
          <w:tcPr/>
          <w:p>
            <w:pPr>
              <w:pStyle w:val="Compact"/>
              <w:jc w:val="left"/>
            </w:pPr>
            <w:r>
              <w:t xml:space="preserve">Verified fact</w:t>
            </w:r>
          </w:p>
        </w:tc>
        <w:tc>
          <w:tcPr/>
          <w:p>
            <w:pPr>
              <w:pStyle w:val="Compact"/>
              <w:jc w:val="left"/>
            </w:pPr>
            <w:r>
              <w:t xml:space="preserve">A1-S009</w:t>
            </w:r>
          </w:p>
        </w:tc>
      </w:tr>
      <w:tr>
        <w:tc>
          <w:tcPr/>
          <w:p>
            <w:pPr>
              <w:pStyle w:val="Compact"/>
              <w:jc w:val="left"/>
            </w:pPr>
            <w:r>
              <w:t xml:space="preserve">Deployment</w:t>
            </w:r>
          </w:p>
        </w:tc>
        <w:tc>
          <w:tcPr/>
          <w:p>
            <w:pPr>
              <w:pStyle w:val="Compact"/>
              <w:jc w:val="left"/>
            </w:pPr>
            <w:r>
              <w:t xml:space="preserve">saas: Yes (Crawl4AI Cloud); managed_cloud: Not publicly verified; vpc_byoc: Not publicly verified; private_cloud: Yes; self_hosted: Yes; on_prem: Yes</w:t>
            </w:r>
          </w:p>
        </w:tc>
        <w:tc>
          <w:tcPr/>
          <w:p>
            <w:pPr>
              <w:pStyle w:val="Compact"/>
            </w:pPr>
          </w:p>
        </w:tc>
        <w:tc>
          <w:tcPr/>
          <w:p>
            <w:pPr>
              <w:pStyle w:val="Compact"/>
            </w:pPr>
          </w:p>
        </w:tc>
      </w:tr>
    </w:tbl>
    <w:bookmarkEnd w:id="315"/>
    <w:bookmarkStart w:id="333" w:name="reducto-l8-reducto"/>
    <w:p>
      <w:pPr>
        <w:pStyle w:val="Heading2"/>
      </w:pPr>
      <w:r>
        <w:t xml:space="preserve">Reducto (</w:t>
      </w:r>
      <w:r>
        <w:rPr>
          <w:rStyle w:val="VerbatimChar"/>
        </w:rPr>
        <w:t xml:space="preserve">L8-reducto</w:t>
      </w:r>
      <w:r>
        <w:t xml:space="preserve">)</w:t>
      </w:r>
    </w:p>
    <w:p>
      <w:pPr>
        <w:pStyle w:val="FirstParagraph"/>
      </w:pPr>
      <w:r>
        <w:rPr>
          <w:bCs/>
          <w:b/>
        </w:rPr>
        <w:t xml:space="preserve">Tier:</w:t>
      </w:r>
      <w:r>
        <w:t xml:space="preserve"> </w:t>
      </w:r>
      <w:r>
        <w:t xml:space="preserve">Tactical ·</w:t>
      </w:r>
      <w:r>
        <w:t xml:space="preserve"> </w:t>
      </w:r>
      <w:r>
        <w:rPr>
          <w:bCs/>
          <w:b/>
        </w:rPr>
        <w:t xml:space="preserve">Flags:</w:t>
      </w:r>
      <w:r>
        <w:t xml:space="preserve"> </w:t>
      </w:r>
      <w:r>
        <w:t xml:space="preserve">none ·</w:t>
      </w:r>
      <w:r>
        <w:t xml:space="preserve"> </w:t>
      </w:r>
      <w:r>
        <w:rPr>
          <w:bCs/>
          <w:b/>
        </w:rPr>
        <w:t xml:space="preserve">Original graphic label:</w:t>
      </w:r>
      <w:r>
        <w:t xml:space="preserve"> </w:t>
      </w:r>
      <w:r>
        <w:t xml:space="preserve">Reducto – enterprise docs</w:t>
      </w:r>
    </w:p>
    <w:p>
      <w:pPr>
        <w:pStyle w:val="BodyText"/>
      </w:pPr>
      <w:r>
        <w:rPr>
          <w:iCs/>
          <w:i/>
        </w:rPr>
        <w:t xml:space="preserve">Rationale:</w:t>
      </w:r>
      <w:r>
        <w:t xml:space="preserve"> </w:t>
      </w:r>
      <w:r>
        <w:t xml:space="preserve">Technically strong managed extraction with flexible deployment on paper, but security evidence is vendor-only and the API is proprietary.</w:t>
      </w:r>
    </w:p>
    <w:tbl>
      <w:tblPr>
        <w:tblStyle w:val="Table"/>
        <w:tblW w:type="pct" w:w="5000"/>
        <w:tblLook w:firstRow="1" w:lastRow="0" w:firstColumn="0" w:lastColumn="0" w:noHBand="0" w:noVBand="0" w:val="0020"/>
        <w:jc w:val="start"/>
      </w:tblPr>
      <w:tblGrid>
        <w:gridCol w:w="1545"/>
        <w:gridCol w:w="579"/>
        <w:gridCol w:w="5795"/>
      </w:tblGrid>
      <w:tr>
        <w:trPr>
          <w:tblHeader w:val="true"/>
        </w:trPr>
        <w:tc>
          <w:tcPr/>
          <w:p>
            <w:pPr>
              <w:pStyle w:val="Compact"/>
              <w:jc w:val="left"/>
            </w:pPr>
            <w:r>
              <w:t xml:space="preserve">Criterion</w:t>
            </w:r>
          </w:p>
        </w:tc>
        <w:tc>
          <w:tcPr/>
          <w:p>
            <w:pPr>
              <w:pStyle w:val="Compact"/>
              <w:jc w:val="right"/>
            </w:pPr>
            <w:r>
              <w:t xml:space="preserve">Score</w:t>
            </w:r>
          </w:p>
        </w:tc>
        <w:tc>
          <w:tcPr/>
          <w:p>
            <w:pPr>
              <w:pStyle w:val="Compact"/>
              <w:jc w:val="left"/>
            </w:pPr>
            <w:r>
              <w:t xml:space="preserve">Rationale</w:t>
            </w:r>
          </w:p>
        </w:tc>
      </w:tr>
      <w:tr>
        <w:tc>
          <w:tcPr/>
          <w:p>
            <w:pPr>
              <w:pStyle w:val="Compact"/>
              <w:jc w:val="left"/>
            </w:pPr>
            <w:r>
              <w:t xml:space="preserve">Technical</w:t>
            </w:r>
          </w:p>
        </w:tc>
        <w:tc>
          <w:tcPr/>
          <w:p>
            <w:pPr>
              <w:pStyle w:val="Compact"/>
              <w:jc w:val="right"/>
            </w:pPr>
            <w:r>
              <w:t xml:space="preserve">4</w:t>
            </w:r>
          </w:p>
        </w:tc>
        <w:tc>
          <w:tcPr/>
          <w:p>
            <w:pPr>
              <w:pStyle w:val="Compact"/>
              <w:jc w:val="left"/>
            </w:pPr>
            <w:r>
              <w:t xml:space="preserve">Parse, extract, split, classify, edit and pipelines with webhooks; no governance metadata.</w:t>
            </w:r>
          </w:p>
        </w:tc>
      </w:tr>
      <w:tr>
        <w:tc>
          <w:tcPr/>
          <w:p>
            <w:pPr>
              <w:pStyle w:val="Compact"/>
              <w:jc w:val="left"/>
            </w:pPr>
            <w:r>
              <w:t xml:space="preserve">Enterprise readiness</w:t>
            </w:r>
          </w:p>
        </w:tc>
        <w:tc>
          <w:tcPr/>
          <w:p>
            <w:pPr>
              <w:pStyle w:val="Compact"/>
              <w:jc w:val="right"/>
            </w:pPr>
            <w:r>
              <w:t xml:space="preserve">3</w:t>
            </w:r>
          </w:p>
        </w:tc>
        <w:tc>
          <w:tcPr/>
          <w:p>
            <w:pPr>
              <w:pStyle w:val="Compact"/>
              <w:jc w:val="left"/>
            </w:pPr>
            <w:r>
              <w:t xml:space="preserve">SSO/SAML and RBAC listed as Enterprise features in the product docs</w:t>
            </w:r>
            <w:r>
              <w:t xml:space="preserve"> </w:t>
            </w:r>
            <w:r>
              <w:rPr>
                <w:rStyle w:val="ClaimLabel"/>
              </w:rPr>
              <w:t xml:space="preserve">VF</w:t>
            </w:r>
            <w:r>
              <w:rPr>
                <w:rStyle w:val="FootnoteReference"/>
              </w:rPr>
              <w:footnoteReference w:id="316"/>
            </w:r>
            <w:r>
              <w:t xml:space="preserve">; audit logging appears only on a marketing page; support terms NPV.</w:t>
            </w:r>
          </w:p>
        </w:tc>
      </w:tr>
      <w:tr>
        <w:tc>
          <w:tcPr/>
          <w:p>
            <w:pPr>
              <w:pStyle w:val="Compact"/>
              <w:jc w:val="left"/>
            </w:pPr>
            <w:r>
              <w:t xml:space="preserve">Security and compliance</w:t>
            </w:r>
          </w:p>
        </w:tc>
        <w:tc>
          <w:tcPr/>
          <w:p>
            <w:pPr>
              <w:pStyle w:val="Compact"/>
              <w:jc w:val="right"/>
            </w:pPr>
            <w:r>
              <w:t xml:space="preserve">2</w:t>
            </w:r>
          </w:p>
        </w:tc>
        <w:tc>
          <w:tcPr/>
          <w:p>
            <w:pPr>
              <w:pStyle w:val="Compact"/>
              <w:jc w:val="left"/>
            </w:pPr>
            <w:r>
              <w:t xml:space="preserve">Capped: SOC 2/HIPAA/ZDR claims are vendor-only and flagged by the V1 verifier.</w:t>
            </w:r>
          </w:p>
        </w:tc>
      </w:tr>
      <w:tr>
        <w:tc>
          <w:tcPr/>
          <w:p>
            <w:pPr>
              <w:pStyle w:val="Compact"/>
              <w:jc w:val="left"/>
            </w:pPr>
            <w:r>
              <w:t xml:space="preserve">Deployment flexibility</w:t>
            </w:r>
          </w:p>
        </w:tc>
        <w:tc>
          <w:tcPr/>
          <w:p>
            <w:pPr>
              <w:pStyle w:val="Compact"/>
              <w:jc w:val="right"/>
            </w:pPr>
            <w:r>
              <w:t xml:space="preserve">4</w:t>
            </w:r>
          </w:p>
        </w:tc>
        <w:tc>
          <w:tcPr/>
          <w:p>
            <w:pPr>
              <w:pStyle w:val="Compact"/>
              <w:jc w:val="left"/>
            </w:pPr>
            <w:r>
              <w:t xml:space="preserve">SaaS with EU/AU endpoints, VPC, on-prem and air-gap, all vendor-stated at medium confidence.</w:t>
            </w:r>
          </w:p>
        </w:tc>
      </w:tr>
      <w:tr>
        <w:tc>
          <w:tcPr/>
          <w:p>
            <w:pPr>
              <w:pStyle w:val="Compact"/>
              <w:jc w:val="left"/>
            </w:pPr>
            <w:r>
              <w:t xml:space="preserve">Ecosystem</w:t>
            </w:r>
          </w:p>
        </w:tc>
        <w:tc>
          <w:tcPr/>
          <w:p>
            <w:pPr>
              <w:pStyle w:val="Compact"/>
              <w:jc w:val="right"/>
            </w:pPr>
            <w:r>
              <w:t xml:space="preserve">2</w:t>
            </w:r>
          </w:p>
        </w:tc>
        <w:tc>
          <w:tcPr/>
          <w:p>
            <w:pPr>
              <w:pStyle w:val="Compact"/>
              <w:jc w:val="left"/>
            </w:pPr>
            <w:r>
              <w:t xml:space="preserve">REST API and Python SDK; wider integrations not verified.</w:t>
            </w:r>
          </w:p>
        </w:tc>
      </w:tr>
      <w:tr>
        <w:tc>
          <w:tcPr/>
          <w:p>
            <w:pPr>
              <w:pStyle w:val="Compact"/>
              <w:jc w:val="left"/>
            </w:pPr>
            <w:r>
              <w:t xml:space="preserve">Reliability and maturity</w:t>
            </w:r>
          </w:p>
        </w:tc>
        <w:tc>
          <w:tcPr/>
          <w:p>
            <w:pPr>
              <w:pStyle w:val="Compact"/>
              <w:jc w:val="right"/>
            </w:pPr>
            <w:r>
              <w:t xml:space="preserve">3</w:t>
            </w:r>
          </w:p>
        </w:tc>
        <w:tc>
          <w:tcPr/>
          <w:p>
            <w:pPr>
              <w:pStyle w:val="Compact"/>
              <w:jc w:val="left"/>
            </w:pPr>
            <w:r>
              <w:t xml:space="preserve">Well funded and in production use per vendor (about 1 billion pages, October 2025); SDK still 0.x.</w:t>
            </w:r>
          </w:p>
        </w:tc>
      </w:tr>
      <w:tr>
        <w:tc>
          <w:tcPr/>
          <w:p>
            <w:pPr>
              <w:pStyle w:val="Compact"/>
              <w:jc w:val="left"/>
            </w:pPr>
            <w:r>
              <w:t xml:space="preserve">Cost / TCO</w:t>
            </w:r>
          </w:p>
        </w:tc>
        <w:tc>
          <w:tcPr/>
          <w:p>
            <w:pPr>
              <w:pStyle w:val="Compact"/>
              <w:jc w:val="right"/>
            </w:pPr>
            <w:r>
              <w:t xml:space="preserve">3</w:t>
            </w:r>
          </w:p>
        </w:tc>
        <w:tc>
          <w:tcPr/>
          <w:p>
            <w:pPr>
              <w:pStyle w:val="Compact"/>
              <w:jc w:val="left"/>
            </w:pPr>
            <w:r>
              <w:t xml:space="preserve">Transparent per-page rates; Parse at US$10 per 1,000 pages is above OCR-only engines.</w:t>
            </w:r>
          </w:p>
        </w:tc>
      </w:tr>
      <w:tr>
        <w:tc>
          <w:tcPr/>
          <w:p>
            <w:pPr>
              <w:pStyle w:val="Compact"/>
              <w:jc w:val="left"/>
            </w:pPr>
            <w:r>
              <w:t xml:space="preserve">Lock-in / portability</w:t>
            </w:r>
          </w:p>
        </w:tc>
        <w:tc>
          <w:tcPr/>
          <w:p>
            <w:pPr>
              <w:pStyle w:val="Compact"/>
              <w:jc w:val="right"/>
            </w:pPr>
            <w:r>
              <w:t xml:space="preserve">2</w:t>
            </w:r>
          </w:p>
        </w:tc>
        <w:tc>
          <w:tcPr/>
          <w:p>
            <w:pPr>
              <w:pStyle w:val="Compact"/>
              <w:jc w:val="left"/>
            </w:pPr>
            <w:r>
              <w:t xml:space="preserve">Proprietary API and schema; no open format.</w:t>
            </w:r>
          </w:p>
        </w:tc>
      </w:tr>
      <w:tr>
        <w:tc>
          <w:tcPr/>
          <w:p>
            <w:pPr>
              <w:pStyle w:val="Compact"/>
              <w:jc w:val="left"/>
            </w:pPr>
            <w:r>
              <w:rPr>
                <w:bCs/>
                <w:b/>
              </w:rPr>
              <w:t xml:space="preserve">Total (generic / FS)</w:t>
            </w:r>
          </w:p>
        </w:tc>
        <w:tc>
          <w:tcPr/>
          <w:p>
            <w:pPr>
              <w:pStyle w:val="Compact"/>
              <w:jc w:val="right"/>
            </w:pPr>
            <w:r>
              <w:rPr>
                <w:bCs/>
                <w:b/>
              </w:rPr>
              <w:t xml:space="preserve">3.05 / 2.90</w:t>
            </w:r>
          </w:p>
        </w:tc>
        <w:tc>
          <w:tcPr/>
          <w:p>
            <w:pPr>
              <w:pStyle w:val="Compact"/>
            </w:pPr>
          </w:p>
        </w:tc>
      </w:tr>
    </w:tbl>
    <w:p>
      <w:pPr>
        <w:pStyle w:val="BodyText"/>
      </w:pPr>
      <w:r>
        <w:rPr>
          <w:iCs/>
          <w:i/>
        </w:rPr>
        <w:t xml:space="preserve">Evidence rules applied:</w:t>
      </w:r>
      <w:r>
        <w:t xml:space="preserve"> </w:t>
      </w:r>
      <w:r>
        <w:t xml:space="preserve">NPV cap on enterprise_readiness lifted at CP2 review: SSO/SAML and RBAC on Enterprise per docs.reducto.ai (B-REV-S017); security_compliance capped at 2 (kept): certifications are vendor-only claims flagged in V1 verification_log section 4; Rule 7 (CP2 Q2) checked at CP2 rework: SSO and RBAC verified, audit logging only on a marketing page, so 3 kept</w:t>
      </w:r>
    </w:p>
    <w:p>
      <w:pPr>
        <w:pStyle w:val="BodyText"/>
      </w:pPr>
      <w:r>
        <w:rPr>
          <w:bCs/>
          <w:b/>
        </w:rPr>
        <w:t xml:space="preserve">Capabilities.</w:t>
      </w:r>
      <w:r>
        <w:t xml:space="preserve"> </w:t>
      </w:r>
      <w:r>
        <w:t xml:space="preserve">Proprietary document ingestion API with Parse, Extract, Split, Edit, Classify and Pipeline resources, asynchronous jobs and webhooks; EU and AU endpoints</w:t>
      </w:r>
      <w:r>
        <w:t xml:space="preserve"> </w:t>
      </w:r>
      <w:r>
        <w:rPr>
          <w:rStyle w:val="ClaimLabel"/>
        </w:rPr>
        <w:t xml:space="preserve">VF</w:t>
      </w:r>
      <w:r>
        <w:rPr>
          <w:rStyle w:val="FootnoteReference"/>
        </w:rPr>
        <w:footnoteReference w:id="318"/>
      </w:r>
      <w:r>
        <w:t xml:space="preserve">.</w:t>
      </w:r>
    </w:p>
    <w:p>
      <w:pPr>
        <w:pStyle w:val="BodyText"/>
      </w:pPr>
      <w:r>
        <w:rPr>
          <w:bCs/>
          <w:b/>
        </w:rPr>
        <w:t xml:space="preserve">Strengths</w:t>
      </w:r>
    </w:p>
    <w:p>
      <w:pPr>
        <w:numPr>
          <w:ilvl w:val="0"/>
          <w:numId w:val="1073"/>
        </w:numPr>
        <w:pStyle w:val="Compact"/>
      </w:pPr>
      <w:r>
        <w:t xml:space="preserve">Vendor-stated VPC, on-prem and air-gapped deployment with offline model updates</w:t>
      </w:r>
      <w:r>
        <w:t xml:space="preserve"> </w:t>
      </w:r>
      <w:r>
        <w:rPr>
          <w:rStyle w:val="ClaimLabel"/>
        </w:rPr>
        <w:t xml:space="preserve">VF</w:t>
      </w:r>
      <w:r>
        <w:rPr>
          <w:rStyle w:val="FootnoteReference"/>
        </w:rPr>
        <w:footnoteReference w:id="321"/>
      </w:r>
    </w:p>
    <w:p>
      <w:pPr>
        <w:numPr>
          <w:ilvl w:val="0"/>
          <w:numId w:val="1073"/>
        </w:numPr>
        <w:pStyle w:val="Compact"/>
      </w:pPr>
      <w:r>
        <w:t xml:space="preserve">Retention controls: auto-deletion within 24 hours on Growth/Enterprise and retention=0 on Enterprise</w:t>
      </w:r>
      <w:r>
        <w:t xml:space="preserve"> </w:t>
      </w:r>
      <w:r>
        <w:rPr>
          <w:rStyle w:val="ClaimLabel"/>
        </w:rPr>
        <w:t xml:space="preserve">VF</w:t>
      </w:r>
      <w:r>
        <w:rPr>
          <w:rStyle w:val="FootnoteReference"/>
        </w:rPr>
        <w:footnoteReference w:id="323"/>
      </w:r>
    </w:p>
    <w:p>
      <w:pPr>
        <w:numPr>
          <w:ilvl w:val="0"/>
          <w:numId w:val="1073"/>
        </w:numPr>
        <w:pStyle w:val="Compact"/>
      </w:pPr>
      <w:r>
        <w:t xml:space="preserve">Published per-page pricing by operation</w:t>
      </w:r>
      <w:r>
        <w:t xml:space="preserve"> </w:t>
      </w:r>
      <w:r>
        <w:rPr>
          <w:rStyle w:val="ClaimLabel"/>
        </w:rPr>
        <w:t xml:space="preserve">VF</w:t>
      </w:r>
      <w:r>
        <w:rPr>
          <w:rStyle w:val="FootnoteReference"/>
        </w:rPr>
        <w:footnoteReference w:id="324"/>
      </w:r>
    </w:p>
    <w:p>
      <w:pPr>
        <w:numPr>
          <w:ilvl w:val="0"/>
          <w:numId w:val="1073"/>
        </w:numPr>
        <w:pStyle w:val="Compact"/>
      </w:pPr>
      <w:r>
        <w:t xml:space="preserve">Funded (US$108M total, Series B led by a16z, October 2025)</w:t>
      </w:r>
      <w:r>
        <w:t xml:space="preserve"> </w:t>
      </w:r>
      <w:r>
        <w:rPr>
          <w:rStyle w:val="ClaimLabel"/>
        </w:rPr>
        <w:t xml:space="preserve">VF</w:t>
      </w:r>
      <w:r>
        <w:rPr>
          <w:rStyle w:val="FootnoteReference"/>
        </w:rPr>
        <w:footnoteReference w:id="326"/>
      </w:r>
    </w:p>
    <w:p>
      <w:pPr>
        <w:pStyle w:val="FirstParagraph"/>
      </w:pPr>
      <w:r>
        <w:rPr>
          <w:bCs/>
          <w:b/>
        </w:rPr>
        <w:t xml:space="preserve">Limitations and risks</w:t>
      </w:r>
    </w:p>
    <w:p>
      <w:pPr>
        <w:numPr>
          <w:ilvl w:val="0"/>
          <w:numId w:val="1074"/>
        </w:numPr>
        <w:pStyle w:val="Compact"/>
      </w:pPr>
      <w:r>
        <w:t xml:space="preserve">Security and deployment claims come from vendor-authored pages with internal inconsistencies; verifier says do not rely on them without the SOC 2 report</w:t>
      </w:r>
      <w:r>
        <w:t xml:space="preserve"> </w:t>
      </w:r>
      <w:r>
        <w:rPr>
          <w:rStyle w:val="ClaimLabel"/>
        </w:rPr>
        <w:t xml:space="preserve">VF</w:t>
      </w:r>
      <w:r>
        <w:rPr>
          <w:rStyle w:val="FootnoteReference"/>
        </w:rPr>
        <w:footnoteReference w:id="329"/>
      </w:r>
    </w:p>
    <w:p>
      <w:pPr>
        <w:numPr>
          <w:ilvl w:val="0"/>
          <w:numId w:val="1074"/>
        </w:numPr>
        <w:pStyle w:val="Compact"/>
      </w:pPr>
      <w:r>
        <w:t xml:space="preserve">SSO/SAML and RBAC are Enterprise-only</w:t>
      </w:r>
      <w:r>
        <w:t xml:space="preserve"> </w:t>
      </w:r>
      <w:r>
        <w:rPr>
          <w:rStyle w:val="ClaimLabel"/>
        </w:rPr>
        <w:t xml:space="preserve">VF</w:t>
      </w:r>
      <w:r>
        <w:rPr>
          <w:rStyle w:val="FootnoteReference"/>
        </w:rPr>
        <w:footnoteReference w:id="330"/>
      </w:r>
      <w:r>
        <w:t xml:space="preserve">; audit logging and enterprise support terms not verified</w:t>
      </w:r>
      <w:r>
        <w:t xml:space="preserve"> </w:t>
      </w:r>
      <w:r>
        <w:rPr>
          <w:rStyle w:val="ClaimLabel"/>
        </w:rPr>
        <w:t xml:space="preserve">NPV</w:t>
      </w:r>
    </w:p>
    <w:p>
      <w:pPr>
        <w:numPr>
          <w:ilvl w:val="0"/>
          <w:numId w:val="1074"/>
        </w:numPr>
        <w:pStyle w:val="Compact"/>
      </w:pPr>
      <w:r>
        <w:t xml:space="preserve">No PII, ACL or lineage features found</w:t>
      </w:r>
      <w:r>
        <w:t xml:space="preserve"> </w:t>
      </w:r>
      <w:r>
        <w:rPr>
          <w:rStyle w:val="ClaimLabel"/>
        </w:rPr>
        <w:t xml:space="preserve">VF</w:t>
      </w:r>
      <w:r>
        <w:rPr>
          <w:rStyle w:val="FootnoteReference"/>
        </w:rPr>
        <w:footnoteReference w:id="331"/>
      </w:r>
    </w:p>
    <w:p>
      <w:pPr>
        <w:numPr>
          <w:ilvl w:val="0"/>
          <w:numId w:val="1074"/>
        </w:numPr>
        <w:pStyle w:val="Compact"/>
      </w:pPr>
      <w:r>
        <w:t xml:space="preserve">Proprietary API and output schema</w:t>
      </w:r>
      <w:r>
        <w:t xml:space="preserve"> </w:t>
      </w:r>
      <w:r>
        <w:rPr>
          <w:rStyle w:val="ClaimLabel"/>
        </w:rPr>
        <w:t xml:space="preserve">VF</w:t>
      </w:r>
      <w:r>
        <w:rPr>
          <w:rStyle w:val="FootnoteReference"/>
        </w:rPr>
        <w:footnoteReference w:id="332"/>
      </w:r>
    </w:p>
    <w:p>
      <w:pPr>
        <w:pStyle w:val="FirstParagraph"/>
      </w:pPr>
      <w:r>
        <w:rPr>
          <w:bCs/>
          <w:b/>
        </w:rPr>
        <w:t xml:space="preserve">Choose when</w:t>
      </w:r>
    </w:p>
    <w:p>
      <w:pPr>
        <w:numPr>
          <w:ilvl w:val="0"/>
          <w:numId w:val="1075"/>
        </w:numPr>
        <w:pStyle w:val="Compact"/>
      </w:pPr>
      <w:r>
        <w:t xml:space="preserve">Complex financial or legal layouts where a managed extraction API justifies its price, and you can obtain the SOC 2 report and contract terms</w:t>
      </w:r>
    </w:p>
    <w:p>
      <w:pPr>
        <w:numPr>
          <w:ilvl w:val="0"/>
          <w:numId w:val="1075"/>
        </w:numPr>
        <w:pStyle w:val="Compact"/>
      </w:pPr>
      <w:r>
        <w:t xml:space="preserve">You need an air-gapped commercial parser and will validate the claim in due diligence</w:t>
      </w:r>
    </w:p>
    <w:p>
      <w:pPr>
        <w:pStyle w:val="FirstParagraph"/>
      </w:pPr>
      <w:r>
        <w:rPr>
          <w:bCs/>
          <w:b/>
        </w:rPr>
        <w:t xml:space="preserve">Avoid when</w:t>
      </w:r>
    </w:p>
    <w:p>
      <w:pPr>
        <w:numPr>
          <w:ilvl w:val="0"/>
          <w:numId w:val="1076"/>
        </w:numPr>
        <w:pStyle w:val="Compact"/>
      </w:pPr>
      <w:r>
        <w:t xml:space="preserve">Due diligence cannot obtain the SOC 2 report and BAA/DPA</w:t>
      </w:r>
    </w:p>
    <w:p>
      <w:pPr>
        <w:numPr>
          <w:ilvl w:val="0"/>
          <w:numId w:val="1076"/>
        </w:numPr>
        <w:pStyle w:val="Compact"/>
      </w:pPr>
      <w:r>
        <w:t xml:space="preserve">Extraction output would be treated as authoritative numbers</w:t>
      </w:r>
    </w:p>
    <w:p>
      <w:pPr>
        <w:pStyle w:val="FirstParagraph"/>
      </w:pPr>
      <w:r>
        <w:rPr>
          <w:bCs/>
          <w:b/>
        </w:rPr>
        <w:t xml:space="preserve">Nearest competitors:</w:t>
      </w:r>
      <w:r>
        <w:t xml:space="preserve"> </w:t>
      </w:r>
      <w:r>
        <w:t xml:space="preserve">L8-llamaparse, L8-google-document-ai, L8-unstructured</w:t>
      </w:r>
    </w:p>
    <w:p>
      <w:pPr>
        <w:pStyle w:val="BodyText"/>
      </w:pPr>
      <w:r>
        <w:rPr>
          <w:bCs/>
          <w:b/>
        </w:rPr>
        <w:t xml:space="preserve">Regulated-FS note.</w:t>
      </w:r>
      <w:r>
        <w:t xml:space="preserve"> </w:t>
      </w:r>
      <w:r>
        <w:t xml:space="preserve">Promising for complex documents, but treat every security claim as unverified until the SOC 2 report and contract are in hand; pin to the EU endpoint or on-prem install for EU/UK client data</w:t>
      </w:r>
      <w:r>
        <w:t xml:space="preserve"> </w:t>
      </w:r>
      <w:r>
        <w:rPr>
          <w:rStyle w:val="ClaimLabel"/>
        </w:rPr>
        <w:t xml:space="preserve">Rec</w:t>
      </w:r>
      <w:r>
        <w:t xml:space="preserve">.</w:t>
      </w:r>
    </w:p>
    <w:p>
      <w:pPr>
        <w:pStyle w:val="BodyText"/>
      </w:pPr>
      <w:r>
        <w:rPr>
          <w:bCs/>
          <w:b/>
        </w:rPr>
        <w:t xml:space="preserve">Facts (as of 2026-10-08)</w:t>
      </w:r>
    </w:p>
    <w:tbl>
      <w:tblPr>
        <w:tblStyle w:val="Table"/>
        <w:tblW w:type="pct" w:w="5000"/>
        <w:tblLook w:firstRow="1" w:lastRow="0" w:firstColumn="0" w:lastColumn="0" w:noHBand="0" w:noVBand="0" w:val="0020"/>
        <w:jc w:val="start"/>
      </w:tblPr>
      <w:tblGrid>
        <w:gridCol w:w="1485"/>
        <w:gridCol w:w="4290"/>
        <w:gridCol w:w="1320"/>
        <w:gridCol w:w="825"/>
      </w:tblGrid>
      <w:tr>
        <w:trPr>
          <w:tblHeader w:val="true"/>
        </w:trPr>
        <w:tc>
          <w:tcPr/>
          <w:p>
            <w:pPr>
              <w:pStyle w:val="Compact"/>
              <w:jc w:val="left"/>
            </w:pPr>
            <w:r>
              <w:t xml:space="preserve">Field</w:t>
            </w:r>
          </w:p>
        </w:tc>
        <w:tc>
          <w:tcPr/>
          <w:p>
            <w:pPr>
              <w:pStyle w:val="Compact"/>
              <w:jc w:val="left"/>
            </w:pPr>
            <w:r>
              <w:t xml:space="preserve">Value</w:t>
            </w:r>
          </w:p>
        </w:tc>
        <w:tc>
          <w:tcPr/>
          <w:p>
            <w:pPr>
              <w:pStyle w:val="Compact"/>
              <w:jc w:val="left"/>
            </w:pPr>
            <w:r>
              <w:t xml:space="preserve">Label</w:t>
            </w:r>
          </w:p>
        </w:tc>
        <w:tc>
          <w:tcPr/>
          <w:p>
            <w:pPr>
              <w:pStyle w:val="Compact"/>
              <w:jc w:val="left"/>
            </w:pPr>
            <w:r>
              <w:t xml:space="preserve">Sources</w:t>
            </w:r>
          </w:p>
        </w:tc>
      </w:tr>
      <w:tr>
        <w:tc>
          <w:tcPr/>
          <w:p>
            <w:pPr>
              <w:pStyle w:val="Compact"/>
              <w:jc w:val="left"/>
            </w:pPr>
            <w:r>
              <w:t xml:space="preserve">Company</w:t>
            </w:r>
          </w:p>
        </w:tc>
        <w:tc>
          <w:tcPr/>
          <w:p>
            <w:pPr>
              <w:pStyle w:val="Compact"/>
              <w:jc w:val="left"/>
            </w:pPr>
            <w:r>
              <w:t xml:space="preserve">Reducto (private; US$108M total funding after US$75M Series B led by a16z, October 2025)</w:t>
            </w:r>
          </w:p>
        </w:tc>
        <w:tc>
          <w:tcPr/>
          <w:p>
            <w:pPr>
              <w:pStyle w:val="Compact"/>
              <w:jc w:val="left"/>
            </w:pPr>
            <w:r>
              <w:t xml:space="preserve">Verified fact</w:t>
            </w:r>
          </w:p>
        </w:tc>
        <w:tc>
          <w:tcPr/>
          <w:p>
            <w:pPr>
              <w:pStyle w:val="Compact"/>
              <w:jc w:val="left"/>
            </w:pPr>
            <w:r>
              <w:t xml:space="preserve">A1-S114, V1-S018</w:t>
            </w:r>
          </w:p>
        </w:tc>
      </w:tr>
      <w:tr>
        <w:tc>
          <w:tcPr/>
          <w:p>
            <w:pPr>
              <w:pStyle w:val="Compact"/>
              <w:jc w:val="left"/>
            </w:pPr>
            <w:r>
              <w:t xml:space="preserve">Category</w:t>
            </w:r>
          </w:p>
        </w:tc>
        <w:tc>
          <w:tcPr/>
          <w:p>
            <w:pPr>
              <w:pStyle w:val="Compact"/>
              <w:jc w:val="left"/>
            </w:pPr>
            <w:r>
              <w:t xml:space="preserve">Proprietary document ingestion API: parse, extract, split, edit, classify and pipelines</w:t>
            </w:r>
          </w:p>
        </w:tc>
        <w:tc>
          <w:tcPr/>
          <w:p>
            <w:pPr>
              <w:pStyle w:val="Compact"/>
              <w:jc w:val="left"/>
            </w:pPr>
            <w:r>
              <w:t xml:space="preserve">Verified fact</w:t>
            </w:r>
          </w:p>
        </w:tc>
        <w:tc>
          <w:tcPr/>
          <w:p>
            <w:pPr>
              <w:pStyle w:val="Compact"/>
              <w:jc w:val="left"/>
            </w:pPr>
            <w:r>
              <w:t xml:space="preserve">A1-S093</w:t>
            </w:r>
          </w:p>
        </w:tc>
      </w:tr>
      <w:tr>
        <w:tc>
          <w:tcPr/>
          <w:p>
            <w:pPr>
              <w:pStyle w:val="Compact"/>
              <w:jc w:val="left"/>
            </w:pPr>
            <w:r>
              <w:t xml:space="preserve">Version / lineup</w:t>
            </w:r>
          </w:p>
        </w:tc>
        <w:tc>
          <w:tcPr/>
          <w:p>
            <w:pPr>
              <w:pStyle w:val="Compact"/>
              <w:jc w:val="left"/>
            </w:pPr>
            <w:r>
              <w:t xml:space="preserve">SaaS API; Python SDK reductoai 0.24.0, released 8 September 2026</w:t>
            </w:r>
          </w:p>
        </w:tc>
        <w:tc>
          <w:tcPr/>
          <w:p>
            <w:pPr>
              <w:pStyle w:val="Compact"/>
              <w:jc w:val="left"/>
            </w:pPr>
            <w:r>
              <w:t xml:space="preserve">Verified fact</w:t>
            </w:r>
          </w:p>
        </w:tc>
        <w:tc>
          <w:tcPr/>
          <w:p>
            <w:pPr>
              <w:pStyle w:val="Compact"/>
              <w:jc w:val="left"/>
            </w:pPr>
            <w:r>
              <w:t xml:space="preserve">A1-S090</w:t>
            </w:r>
          </w:p>
        </w:tc>
      </w:tr>
      <w:tr>
        <w:tc>
          <w:tcPr/>
          <w:p>
            <w:pPr>
              <w:pStyle w:val="Compact"/>
              <w:jc w:val="left"/>
            </w:pPr>
            <w:r>
              <w:t xml:space="preserve">Licence</w:t>
            </w:r>
          </w:p>
        </w:tc>
        <w:tc>
          <w:tcPr/>
          <w:p>
            <w:pPr>
              <w:pStyle w:val="Compact"/>
              <w:jc w:val="left"/>
            </w:pPr>
            <w:r>
              <w:t xml:space="preserve">Proprietary API; Python SDK Apache-2.0</w:t>
            </w:r>
          </w:p>
        </w:tc>
        <w:tc>
          <w:tcPr/>
          <w:p>
            <w:pPr>
              <w:pStyle w:val="Compact"/>
              <w:jc w:val="left"/>
            </w:pPr>
            <w:r>
              <w:t xml:space="preserve">Verified fact</w:t>
            </w:r>
          </w:p>
        </w:tc>
        <w:tc>
          <w:tcPr/>
          <w:p>
            <w:pPr>
              <w:pStyle w:val="Compact"/>
              <w:jc w:val="left"/>
            </w:pPr>
            <w:r>
              <w:t xml:space="preserve">A1-S090</w:t>
            </w:r>
          </w:p>
        </w:tc>
      </w:tr>
      <w:tr>
        <w:tc>
          <w:tcPr/>
          <w:p>
            <w:pPr>
              <w:pStyle w:val="Compact"/>
              <w:jc w:val="left"/>
            </w:pPr>
            <w:r>
              <w:t xml:space="preserve">Strategic direction</w:t>
            </w:r>
          </w:p>
        </w:tc>
        <w:tc>
          <w:tcPr/>
          <w:p>
            <w:pPr>
              <w:pStyle w:val="Compact"/>
              <w:jc w:val="left"/>
            </w:pPr>
            <w:r>
              <w:t xml:space="preserve">Series B used for model research, product and enterprise adoption; launched pay-as-you-go tier with 15k free credits (October 2025)</w:t>
            </w:r>
          </w:p>
        </w:tc>
        <w:tc>
          <w:tcPr/>
          <w:p>
            <w:pPr>
              <w:pStyle w:val="Compact"/>
              <w:jc w:val="left"/>
            </w:pPr>
            <w:r>
              <w:t xml:space="preserve">Verified fact</w:t>
            </w:r>
          </w:p>
        </w:tc>
        <w:tc>
          <w:tcPr/>
          <w:p>
            <w:pPr>
              <w:pStyle w:val="Compact"/>
              <w:jc w:val="left"/>
            </w:pPr>
            <w:r>
              <w:t xml:space="preserve">A1-S114</w:t>
            </w:r>
          </w:p>
        </w:tc>
      </w:tr>
      <w:tr>
        <w:tc>
          <w:tcPr/>
          <w:p>
            <w:pPr>
              <w:pStyle w:val="Compact"/>
              <w:jc w:val="left"/>
            </w:pPr>
            <w:r>
              <w:t xml:space="preserve">What it does</w:t>
            </w:r>
          </w:p>
        </w:tc>
        <w:tc>
          <w:tcPr/>
          <w:p>
            <w:pPr>
              <w:pStyle w:val="Compact"/>
              <w:jc w:val="left"/>
            </w:pPr>
            <w:r>
              <w:t xml:space="preserve">API that parses documents into structured output and extracts, splits, edits and classifies documents, with asynchronous jobs, pipelines and webhooks.</w:t>
            </w:r>
          </w:p>
        </w:tc>
        <w:tc>
          <w:tcPr/>
          <w:p>
            <w:pPr>
              <w:pStyle w:val="Compact"/>
              <w:jc w:val="left"/>
            </w:pPr>
            <w:r>
              <w:t xml:space="preserve">Verified fact</w:t>
            </w:r>
          </w:p>
        </w:tc>
        <w:tc>
          <w:tcPr/>
          <w:p>
            <w:pPr>
              <w:pStyle w:val="Compact"/>
              <w:jc w:val="left"/>
            </w:pPr>
            <w:r>
              <w:t xml:space="preserve">A1-S093, A1-S091</w:t>
            </w:r>
          </w:p>
        </w:tc>
      </w:tr>
      <w:tr>
        <w:tc>
          <w:tcPr/>
          <w:p>
            <w:pPr>
              <w:pStyle w:val="Compact"/>
              <w:jc w:val="left"/>
            </w:pPr>
            <w:r>
              <w:t xml:space="preserve">Stack position</w:t>
            </w:r>
          </w:p>
        </w:tc>
        <w:tc>
          <w:tcPr/>
          <w:p>
            <w:pPr>
              <w:pStyle w:val="Compact"/>
              <w:jc w:val="left"/>
            </w:pPr>
            <w:r>
              <w:t xml:space="preserve">L8 parsing and structured extraction</w:t>
            </w:r>
          </w:p>
        </w:tc>
        <w:tc>
          <w:tcPr/>
          <w:p>
            <w:pPr>
              <w:pStyle w:val="Compact"/>
              <w:jc w:val="left"/>
            </w:pPr>
            <w:r>
              <w:t xml:space="preserve">Verified fact</w:t>
            </w:r>
          </w:p>
        </w:tc>
        <w:tc>
          <w:tcPr/>
          <w:p>
            <w:pPr>
              <w:pStyle w:val="Compact"/>
              <w:jc w:val="left"/>
            </w:pPr>
            <w:r>
              <w:t xml:space="preserve">A1-S093</w:t>
            </w:r>
          </w:p>
        </w:tc>
      </w:tr>
      <w:tr>
        <w:tc>
          <w:tcPr/>
          <w:p>
            <w:pPr>
              <w:pStyle w:val="Compact"/>
              <w:jc w:val="left"/>
            </w:pPr>
            <w:r>
              <w:t xml:space="preserve">Integration</w:t>
            </w:r>
          </w:p>
        </w:tc>
        <w:tc>
          <w:tcPr/>
          <w:p>
            <w:pPr>
              <w:pStyle w:val="Compact"/>
              <w:jc w:val="left"/>
            </w:pPr>
            <w:r>
              <w:t xml:space="preserve">REST API; Python SDK (sync/async); webhooks</w:t>
            </w:r>
          </w:p>
        </w:tc>
        <w:tc>
          <w:tcPr/>
          <w:p>
            <w:pPr>
              <w:pStyle w:val="Compact"/>
              <w:jc w:val="left"/>
            </w:pPr>
            <w:r>
              <w:t xml:space="preserve">Verified fact</w:t>
            </w:r>
          </w:p>
        </w:tc>
        <w:tc>
          <w:tcPr/>
          <w:p>
            <w:pPr>
              <w:pStyle w:val="Compact"/>
              <w:jc w:val="left"/>
            </w:pPr>
            <w:r>
              <w:t xml:space="preserve">A1-S091, A1-S093</w:t>
            </w:r>
          </w:p>
        </w:tc>
      </w:tr>
      <w:tr>
        <w:tc>
          <w:tcPr/>
          <w:p>
            <w:pPr>
              <w:pStyle w:val="Compact"/>
              <w:jc w:val="left"/>
            </w:pPr>
            <w:r>
              <w:t xml:space="preserve">Dependencies</w:t>
            </w:r>
          </w:p>
        </w:tc>
        <w:tc>
          <w:tcPr/>
          <w:p>
            <w:pPr>
              <w:pStyle w:val="Compact"/>
              <w:jc w:val="left"/>
            </w:pPr>
            <w:r>
              <w:t xml:space="preserve">Reducto hosted API</w:t>
            </w:r>
          </w:p>
        </w:tc>
        <w:tc>
          <w:tcPr/>
          <w:p>
            <w:pPr>
              <w:pStyle w:val="Compact"/>
              <w:jc w:val="left"/>
            </w:pPr>
            <w:r>
              <w:t xml:space="preserve">Verified fact</w:t>
            </w:r>
          </w:p>
        </w:tc>
        <w:tc>
          <w:tcPr/>
          <w:p>
            <w:pPr>
              <w:pStyle w:val="Compact"/>
              <w:jc w:val="left"/>
            </w:pPr>
            <w:r>
              <w:t xml:space="preserve">A1-S092</w:t>
            </w:r>
          </w:p>
        </w:tc>
      </w:tr>
      <w:tr>
        <w:tc>
          <w:tcPr/>
          <w:p>
            <w:pPr>
              <w:pStyle w:val="Compact"/>
              <w:jc w:val="left"/>
            </w:pPr>
            <w:r>
              <w:t xml:space="preserve">Certifications</w:t>
            </w:r>
          </w:p>
        </w:tc>
        <w:tc>
          <w:tcPr/>
          <w:p>
            <w:pPr>
              <w:pStyle w:val="Compact"/>
              <w:jc w:val="left"/>
            </w:pPr>
            <w:r>
              <w:t xml:space="preserve">SOC 2 Type I and Type II completed (report on request); HIPAA BAAs offered</w:t>
            </w:r>
          </w:p>
        </w:tc>
        <w:tc>
          <w:tcPr/>
          <w:p>
            <w:pPr>
              <w:pStyle w:val="Compact"/>
              <w:jc w:val="left"/>
            </w:pPr>
            <w:r>
              <w:t xml:space="preserve">Verified fact</w:t>
            </w:r>
          </w:p>
        </w:tc>
        <w:tc>
          <w:tcPr/>
          <w:p>
            <w:pPr>
              <w:pStyle w:val="Compact"/>
              <w:jc w:val="left"/>
            </w:pPr>
            <w:r>
              <w:t xml:space="preserve">A1-S112</w:t>
            </w:r>
          </w:p>
        </w:tc>
      </w:tr>
      <w:tr>
        <w:tc>
          <w:tcPr/>
          <w:p>
            <w:pPr>
              <w:pStyle w:val="Compact"/>
              <w:jc w:val="left"/>
            </w:pPr>
            <w:r>
              <w:t xml:space="preserve">GDPR / residency</w:t>
            </w:r>
          </w:p>
        </w:tc>
        <w:tc>
          <w:tcPr/>
          <w:p>
            <w:pPr>
              <w:pStyle w:val="Compact"/>
              <w:jc w:val="left"/>
            </w:pPr>
            <w:r>
              <w:t xml:space="preserve">EU and AU regional endpoints (Enterprise option); API data auto-deleted within 24 hours on Growth/Enterprise, retention=0 (immediate deletion) for Enterprise; customer data not used for training on Growth/Enterprise</w:t>
            </w:r>
          </w:p>
        </w:tc>
        <w:tc>
          <w:tcPr/>
          <w:p>
            <w:pPr>
              <w:pStyle w:val="Compact"/>
              <w:jc w:val="left"/>
            </w:pPr>
            <w:r>
              <w:t xml:space="preserve">Verified fact</w:t>
            </w:r>
          </w:p>
        </w:tc>
        <w:tc>
          <w:tcPr/>
          <w:p>
            <w:pPr>
              <w:pStyle w:val="Compact"/>
              <w:jc w:val="left"/>
            </w:pPr>
            <w:r>
              <w:t xml:space="preserve">A1-S092, A1-S112</w:t>
            </w:r>
          </w:p>
        </w:tc>
      </w:tr>
      <w:tr>
        <w:tc>
          <w:tcPr/>
          <w:p>
            <w:pPr>
              <w:pStyle w:val="Compact"/>
              <w:jc w:val="left"/>
            </w:pPr>
            <w:r>
              <w:t xml:space="preserve">Security features</w:t>
            </w:r>
          </w:p>
        </w:tc>
        <w:tc>
          <w:tcPr/>
          <w:p>
            <w:pPr>
              <w:pStyle w:val="Compact"/>
              <w:jc w:val="left"/>
            </w:pPr>
            <w:r>
              <w:t xml:space="preserve">Zero/short data retention controls; VPC deployment with no external storage; air-gapped install with offline model updates</w:t>
            </w:r>
          </w:p>
        </w:tc>
        <w:tc>
          <w:tcPr/>
          <w:p>
            <w:pPr>
              <w:pStyle w:val="Compact"/>
              <w:jc w:val="left"/>
            </w:pPr>
            <w:r>
              <w:t xml:space="preserve">Verified fact</w:t>
            </w:r>
          </w:p>
        </w:tc>
        <w:tc>
          <w:tcPr/>
          <w:p>
            <w:pPr>
              <w:pStyle w:val="Compact"/>
              <w:jc w:val="left"/>
            </w:pPr>
            <w:r>
              <w:t xml:space="preserve">A1-S112</w:t>
            </w:r>
          </w:p>
        </w:tc>
      </w:tr>
      <w:tr>
        <w:tc>
          <w:tcPr/>
          <w:p>
            <w:pPr>
              <w:pStyle w:val="Compact"/>
              <w:jc w:val="left"/>
            </w:pPr>
            <w:r>
              <w:t xml:space="preserve">Access controls</w:t>
            </w:r>
          </w:p>
        </w:tc>
        <w:tc>
          <w:tcPr/>
          <w:p>
            <w:pPr>
              <w:pStyle w:val="Compact"/>
              <w:jc w:val="left"/>
            </w:pPr>
            <w:r>
              <w:t xml:space="preserve">SSO/SAML supported (VPC deployment)</w:t>
            </w:r>
          </w:p>
        </w:tc>
        <w:tc>
          <w:tcPr/>
          <w:p>
            <w:pPr>
              <w:pStyle w:val="Compact"/>
              <w:jc w:val="left"/>
            </w:pPr>
            <w:r>
              <w:t xml:space="preserve">Verified fact</w:t>
            </w:r>
          </w:p>
        </w:tc>
        <w:tc>
          <w:tcPr/>
          <w:p>
            <w:pPr>
              <w:pStyle w:val="Compact"/>
              <w:jc w:val="left"/>
            </w:pPr>
            <w:r>
              <w:t xml:space="preserve">A1-S112</w:t>
            </w:r>
          </w:p>
        </w:tc>
      </w:tr>
      <w:tr>
        <w:tc>
          <w:tcPr/>
          <w:p>
            <w:pPr>
              <w:pStyle w:val="Compact"/>
              <w:jc w:val="left"/>
            </w:pPr>
            <w:r>
              <w:t xml:space="preserve">Enterprise support</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Pricing</w:t>
            </w:r>
          </w:p>
        </w:tc>
        <w:tc>
          <w:tcPr/>
          <w:p>
            <w:pPr>
              <w:pStyle w:val="Compact"/>
              <w:jc w:val="left"/>
            </w:pPr>
            <w:r>
              <w:t xml:space="preserve">Per 1,000 pages: Parse US$10, Extract US$20, Deep Extract US$40, Split US$20, Classify US$7.50, Edit US$60; Standard pay-as-you-go with US$150 free usage (page also says 15,000 free credits); Enterprise custom</w:t>
            </w:r>
          </w:p>
        </w:tc>
        <w:tc>
          <w:tcPr/>
          <w:p>
            <w:pPr>
              <w:pStyle w:val="Compact"/>
              <w:jc w:val="left"/>
            </w:pPr>
            <w:r>
              <w:t xml:space="preserve">Verified fact</w:t>
            </w:r>
          </w:p>
        </w:tc>
        <w:tc>
          <w:tcPr/>
          <w:p>
            <w:pPr>
              <w:pStyle w:val="Compact"/>
              <w:jc w:val="left"/>
            </w:pPr>
            <w:r>
              <w:t xml:space="preserve">A1-S113</w:t>
            </w:r>
          </w:p>
        </w:tc>
      </w:tr>
      <w:tr>
        <w:tc>
          <w:tcPr/>
          <w:p>
            <w:pPr>
              <w:pStyle w:val="Compact"/>
              <w:jc w:val="left"/>
            </w:pPr>
            <w:r>
              <w:t xml:space="preserve">Infrastructure cost</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Ecosystem</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Adoption signals</w:t>
            </w:r>
          </w:p>
        </w:tc>
        <w:tc>
          <w:tcPr/>
          <w:p>
            <w:pPr>
              <w:pStyle w:val="Compact"/>
              <w:jc w:val="left"/>
            </w:pPr>
            <w:r>
              <w:t xml:space="preserve">Close to 1 billion pages processed; named customers Harvey, Rogo, Scale AI (October 2025)</w:t>
            </w:r>
          </w:p>
        </w:tc>
        <w:tc>
          <w:tcPr/>
          <w:p>
            <w:pPr>
              <w:pStyle w:val="Compact"/>
              <w:jc w:val="left"/>
            </w:pPr>
            <w:r>
              <w:t xml:space="preserve">Verified fact</w:t>
            </w:r>
          </w:p>
        </w:tc>
        <w:tc>
          <w:tcPr/>
          <w:p>
            <w:pPr>
              <w:pStyle w:val="Compact"/>
              <w:jc w:val="left"/>
            </w:pPr>
            <w:r>
              <w:t xml:space="preserve">A1-S114</w:t>
            </w:r>
          </w:p>
        </w:tc>
      </w:tr>
      <w:tr>
        <w:tc>
          <w:tcPr/>
          <w:p>
            <w:pPr>
              <w:pStyle w:val="Compact"/>
              <w:jc w:val="left"/>
            </w:pPr>
            <w:r>
              <w:t xml:space="preserve">Maturity</w:t>
            </w:r>
          </w:p>
        </w:tc>
        <w:tc>
          <w:tcPr/>
          <w:p>
            <w:pPr>
              <w:pStyle w:val="Compact"/>
              <w:jc w:val="left"/>
            </w:pPr>
            <w:r>
              <w:t xml:space="preserve">SDK first published on PyPI 12 October 2024</w:t>
            </w:r>
          </w:p>
        </w:tc>
        <w:tc>
          <w:tcPr/>
          <w:p>
            <w:pPr>
              <w:pStyle w:val="Compact"/>
              <w:jc w:val="left"/>
            </w:pPr>
            <w:r>
              <w:t xml:space="preserve">Verified fact</w:t>
            </w:r>
          </w:p>
        </w:tc>
        <w:tc>
          <w:tcPr/>
          <w:p>
            <w:pPr>
              <w:pStyle w:val="Compact"/>
              <w:jc w:val="left"/>
            </w:pPr>
            <w:r>
              <w:t xml:space="preserve">A1-S090</w:t>
            </w:r>
          </w:p>
        </w:tc>
      </w:tr>
      <w:tr>
        <w:tc>
          <w:tcPr/>
          <w:p>
            <w:pPr>
              <w:pStyle w:val="Compact"/>
              <w:jc w:val="left"/>
            </w:pPr>
            <w:r>
              <w:t xml:space="preserve">Deployment</w:t>
            </w:r>
          </w:p>
        </w:tc>
        <w:tc>
          <w:tcPr/>
          <w:p>
            <w:pPr>
              <w:pStyle w:val="Compact"/>
              <w:jc w:val="left"/>
            </w:pPr>
            <w:r>
              <w:t xml:space="preserve">saas: Yes; managed_cloud: Not publicly verified; vpc_byoc: Yes (customer VPC); private_cloud: Yes (customer VPC); self_hosted: Yes; on_prem: Yes (on-prem and air-gapped)</w:t>
            </w:r>
          </w:p>
        </w:tc>
        <w:tc>
          <w:tcPr/>
          <w:p>
            <w:pPr>
              <w:pStyle w:val="Compact"/>
            </w:pPr>
          </w:p>
        </w:tc>
        <w:tc>
          <w:tcPr/>
          <w:p>
            <w:pPr>
              <w:pStyle w:val="Compact"/>
            </w:pPr>
          </w:p>
        </w:tc>
      </w:tr>
    </w:tbl>
    <w:bookmarkEnd w:id="333"/>
    <w:bookmarkStart w:id="345" w:name="mineru-l8-mineru"/>
    <w:p>
      <w:pPr>
        <w:pStyle w:val="Heading2"/>
      </w:pPr>
      <w:r>
        <w:t xml:space="preserve">MinerU (</w:t>
      </w:r>
      <w:r>
        <w:rPr>
          <w:rStyle w:val="VerbatimChar"/>
        </w:rPr>
        <w:t xml:space="preserve">L8-mineru</w:t>
      </w:r>
      <w:r>
        <w:t xml:space="preserve">)</w:t>
      </w:r>
    </w:p>
    <w:p>
      <w:pPr>
        <w:pStyle w:val="FirstParagraph"/>
      </w:pPr>
      <w:r>
        <w:rPr>
          <w:bCs/>
          <w:b/>
        </w:rPr>
        <w:t xml:space="preserve">Tier:</w:t>
      </w:r>
      <w:r>
        <w:t xml:space="preserve"> </w:t>
      </w:r>
      <w:r>
        <w:t xml:space="preserve">Experimental ·</w:t>
      </w:r>
      <w:r>
        <w:t xml:space="preserve"> </w:t>
      </w:r>
      <w:r>
        <w:rPr>
          <w:bCs/>
          <w:b/>
        </w:rPr>
        <w:t xml:space="preserve">Flags:</w:t>
      </w:r>
      <w:r>
        <w:t xml:space="preserve"> </w:t>
      </w:r>
      <w:r>
        <w:t xml:space="preserve">none ·</w:t>
      </w:r>
      <w:r>
        <w:t xml:space="preserve"> </w:t>
      </w:r>
      <w:r>
        <w:rPr>
          <w:bCs/>
          <w:b/>
        </w:rPr>
        <w:t xml:space="preserve">Original graphic label:</w:t>
      </w:r>
      <w:r>
        <w:t xml:space="preserve"> </w:t>
      </w:r>
      <w:r>
        <w:t xml:space="preserve">MinerU – PDF parser</w:t>
      </w:r>
    </w:p>
    <w:p>
      <w:pPr>
        <w:pStyle w:val="BodyText"/>
      </w:pPr>
      <w:r>
        <w:rPr>
          <w:iCs/>
          <w:i/>
        </w:rPr>
        <w:t xml:space="preserve">Rationale:</w:t>
      </w:r>
      <w:r>
        <w:t xml:space="preserve"> </w:t>
      </w:r>
      <w:r>
        <w:t xml:space="preserve">Technically capable and local-first, but a custom licence with revenue thresholds, an unpublished commercial price and fresh major-version change.</w:t>
      </w:r>
    </w:p>
    <w:tbl>
      <w:tblPr>
        <w:tblStyle w:val="Table"/>
        <w:tblW w:type="pct" w:w="5000"/>
        <w:tblLook w:firstRow="1" w:lastRow="0" w:firstColumn="0" w:lastColumn="0" w:noHBand="0" w:noVBand="0" w:val="0020"/>
        <w:jc w:val="start"/>
      </w:tblPr>
      <w:tblGrid>
        <w:gridCol w:w="1545"/>
        <w:gridCol w:w="579"/>
        <w:gridCol w:w="5795"/>
      </w:tblGrid>
      <w:tr>
        <w:trPr>
          <w:tblHeader w:val="true"/>
        </w:trPr>
        <w:tc>
          <w:tcPr/>
          <w:p>
            <w:pPr>
              <w:pStyle w:val="Compact"/>
              <w:jc w:val="left"/>
            </w:pPr>
            <w:r>
              <w:t xml:space="preserve">Criterion</w:t>
            </w:r>
          </w:p>
        </w:tc>
        <w:tc>
          <w:tcPr/>
          <w:p>
            <w:pPr>
              <w:pStyle w:val="Compact"/>
              <w:jc w:val="right"/>
            </w:pPr>
            <w:r>
              <w:t xml:space="preserve">Score</w:t>
            </w:r>
          </w:p>
        </w:tc>
        <w:tc>
          <w:tcPr/>
          <w:p>
            <w:pPr>
              <w:pStyle w:val="Compact"/>
              <w:jc w:val="left"/>
            </w:pPr>
            <w:r>
              <w:t xml:space="preserve">Rationale</w:t>
            </w:r>
          </w:p>
        </w:tc>
      </w:tr>
      <w:tr>
        <w:tc>
          <w:tcPr/>
          <w:p>
            <w:pPr>
              <w:pStyle w:val="Compact"/>
              <w:jc w:val="left"/>
            </w:pPr>
            <w:r>
              <w:t xml:space="preserve">Technical</w:t>
            </w:r>
          </w:p>
        </w:tc>
        <w:tc>
          <w:tcPr/>
          <w:p>
            <w:pPr>
              <w:pStyle w:val="Compact"/>
              <w:jc w:val="right"/>
            </w:pPr>
            <w:r>
              <w:t xml:space="preserve">4</w:t>
            </w:r>
          </w:p>
        </w:tc>
        <w:tc>
          <w:tcPr/>
          <w:p>
            <w:pPr>
              <w:pStyle w:val="Compact"/>
              <w:jc w:val="left"/>
            </w:pPr>
            <w:r>
              <w:t xml:space="preserve">Four parsing tiers, broad formats and citation locators; no ACL, PII or lineage.</w:t>
            </w:r>
          </w:p>
        </w:tc>
      </w:tr>
      <w:tr>
        <w:tc>
          <w:tcPr/>
          <w:p>
            <w:pPr>
              <w:pStyle w:val="Compact"/>
              <w:jc w:val="left"/>
            </w:pPr>
            <w:r>
              <w:t xml:space="preserve">Enterprise readiness</w:t>
            </w:r>
          </w:p>
        </w:tc>
        <w:tc>
          <w:tcPr/>
          <w:p>
            <w:pPr>
              <w:pStyle w:val="Compact"/>
              <w:jc w:val="right"/>
            </w:pPr>
            <w:r>
              <w:t xml:space="preserve">2</w:t>
            </w:r>
          </w:p>
        </w:tc>
        <w:tc>
          <w:tcPr/>
          <w:p>
            <w:pPr>
              <w:pStyle w:val="Compact"/>
              <w:jc w:val="left"/>
            </w:pPr>
            <w:r>
              <w:t xml:space="preserve">Library rule: no enterprise support offer or access controls found.</w:t>
            </w:r>
          </w:p>
        </w:tc>
      </w:tr>
      <w:tr>
        <w:tc>
          <w:tcPr/>
          <w:p>
            <w:pPr>
              <w:pStyle w:val="Compact"/>
              <w:jc w:val="left"/>
            </w:pPr>
            <w:r>
              <w:t xml:space="preserve">Security and compliance</w:t>
            </w:r>
          </w:p>
        </w:tc>
        <w:tc>
          <w:tcPr/>
          <w:p>
            <w:pPr>
              <w:pStyle w:val="Compact"/>
              <w:jc w:val="right"/>
            </w:pPr>
            <w:r>
              <w:t xml:space="preserve">2</w:t>
            </w:r>
          </w:p>
        </w:tc>
        <w:tc>
          <w:tcPr/>
          <w:p>
            <w:pPr>
              <w:pStyle w:val="Compact"/>
              <w:jc w:val="left"/>
            </w:pPr>
            <w:r>
              <w:t xml:space="preserve">Library rule: local-first and telemetry opt-out, but custom licence with termination clause and no verified CVE process.</w:t>
            </w:r>
          </w:p>
        </w:tc>
      </w:tr>
      <w:tr>
        <w:tc>
          <w:tcPr/>
          <w:p>
            <w:pPr>
              <w:pStyle w:val="Compact"/>
              <w:jc w:val="left"/>
            </w:pPr>
            <w:r>
              <w:t xml:space="preserve">Deployment flexibility</w:t>
            </w:r>
          </w:p>
        </w:tc>
        <w:tc>
          <w:tcPr/>
          <w:p>
            <w:pPr>
              <w:pStyle w:val="Compact"/>
              <w:jc w:val="right"/>
            </w:pPr>
            <w:r>
              <w:t xml:space="preserve">4</w:t>
            </w:r>
          </w:p>
        </w:tc>
        <w:tc>
          <w:tcPr/>
          <w:p>
            <w:pPr>
              <w:pStyle w:val="Compact"/>
              <w:jc w:val="left"/>
            </w:pPr>
            <w:r>
              <w:t xml:space="preserve">Local, self-hosted, on-prem and an optional remote service.</w:t>
            </w:r>
          </w:p>
        </w:tc>
      </w:tr>
      <w:tr>
        <w:tc>
          <w:tcPr/>
          <w:p>
            <w:pPr>
              <w:pStyle w:val="Compact"/>
              <w:jc w:val="left"/>
            </w:pPr>
            <w:r>
              <w:t xml:space="preserve">Ecosystem</w:t>
            </w:r>
          </w:p>
        </w:tc>
        <w:tc>
          <w:tcPr/>
          <w:p>
            <w:pPr>
              <w:pStyle w:val="Compact"/>
              <w:jc w:val="right"/>
            </w:pPr>
            <w:r>
              <w:t xml:space="preserve">2</w:t>
            </w:r>
          </w:p>
        </w:tc>
        <w:tc>
          <w:tcPr/>
          <w:p>
            <w:pPr>
              <w:pStyle w:val="Compact"/>
              <w:jc w:val="left"/>
            </w:pPr>
            <w:r>
              <w:t xml:space="preserve">Integrations not verified.</w:t>
            </w:r>
          </w:p>
        </w:tc>
      </w:tr>
      <w:tr>
        <w:tc>
          <w:tcPr/>
          <w:p>
            <w:pPr>
              <w:pStyle w:val="Compact"/>
              <w:jc w:val="left"/>
            </w:pPr>
            <w:r>
              <w:t xml:space="preserve">Reliability and maturity</w:t>
            </w:r>
          </w:p>
        </w:tc>
        <w:tc>
          <w:tcPr/>
          <w:p>
            <w:pPr>
              <w:pStyle w:val="Compact"/>
              <w:jc w:val="right"/>
            </w:pPr>
            <w:r>
              <w:t xml:space="preserve">3</w:t>
            </w:r>
          </w:p>
        </w:tc>
        <w:tc>
          <w:tcPr/>
          <w:p>
            <w:pPr>
              <w:pStyle w:val="Compact"/>
              <w:jc w:val="left"/>
            </w:pPr>
            <w:r>
              <w:t xml:space="preserve">GA 4.0 line with frequent releases, but young (first PyPI June 2025) and a 2026 major migration.</w:t>
            </w:r>
          </w:p>
        </w:tc>
      </w:tr>
      <w:tr>
        <w:tc>
          <w:tcPr/>
          <w:p>
            <w:pPr>
              <w:pStyle w:val="Compact"/>
              <w:jc w:val="left"/>
            </w:pPr>
            <w:r>
              <w:t xml:space="preserve">Cost / TCO</w:t>
            </w:r>
          </w:p>
        </w:tc>
        <w:tc>
          <w:tcPr/>
          <w:p>
            <w:pPr>
              <w:pStyle w:val="Compact"/>
              <w:jc w:val="right"/>
            </w:pPr>
            <w:r>
              <w:t xml:space="preserve">2</w:t>
            </w:r>
          </w:p>
        </w:tc>
        <w:tc>
          <w:tcPr/>
          <w:p>
            <w:pPr>
              <w:pStyle w:val="Compact"/>
              <w:jc w:val="left"/>
            </w:pPr>
            <w:r>
              <w:t xml:space="preserve">Free below thresholds; commercial price above them is unpublished, plus GPU cost.</w:t>
            </w:r>
          </w:p>
        </w:tc>
      </w:tr>
      <w:tr>
        <w:tc>
          <w:tcPr/>
          <w:p>
            <w:pPr>
              <w:pStyle w:val="Compact"/>
              <w:jc w:val="left"/>
            </w:pPr>
            <w:r>
              <w:t xml:space="preserve">Lock-in / portability</w:t>
            </w:r>
          </w:p>
        </w:tc>
        <w:tc>
          <w:tcPr/>
          <w:p>
            <w:pPr>
              <w:pStyle w:val="Compact"/>
              <w:jc w:val="right"/>
            </w:pPr>
            <w:r>
              <w:t xml:space="preserve">2</w:t>
            </w:r>
          </w:p>
        </w:tc>
        <w:tc>
          <w:tcPr/>
          <w:p>
            <w:pPr>
              <w:pStyle w:val="Compact"/>
              <w:jc w:val="left"/>
            </w:pPr>
            <w:r>
              <w:t xml:space="preserve">Custom licence with revenue/MAU thresholds and automatic termination.</w:t>
            </w:r>
          </w:p>
        </w:tc>
      </w:tr>
      <w:tr>
        <w:tc>
          <w:tcPr/>
          <w:p>
            <w:pPr>
              <w:pStyle w:val="Compact"/>
              <w:jc w:val="left"/>
            </w:pPr>
            <w:r>
              <w:rPr>
                <w:bCs/>
                <w:b/>
              </w:rPr>
              <w:t xml:space="preserve">Total (generic / FS)</w:t>
            </w:r>
          </w:p>
        </w:tc>
        <w:tc>
          <w:tcPr/>
          <w:p>
            <w:pPr>
              <w:pStyle w:val="Compact"/>
              <w:jc w:val="right"/>
            </w:pPr>
            <w:r>
              <w:rPr>
                <w:bCs/>
                <w:b/>
              </w:rPr>
              <w:t xml:space="preserve">2.80 / 2.70</w:t>
            </w:r>
          </w:p>
        </w:tc>
        <w:tc>
          <w:tcPr/>
          <w:p>
            <w:pPr>
              <w:pStyle w:val="Compact"/>
            </w:pPr>
          </w:p>
        </w:tc>
      </w:tr>
    </w:tbl>
    <w:p>
      <w:pPr>
        <w:pStyle w:val="BodyText"/>
      </w:pPr>
      <w:r>
        <w:rPr>
          <w:iCs/>
          <w:i/>
        </w:rPr>
        <w:t xml:space="preserve">Evidence rules applied:</w:t>
      </w:r>
      <w:r>
        <w:t xml:space="preserve"> </w:t>
      </w:r>
      <w:r>
        <w:t xml:space="preserve">Library rule applied (enterprise_readiness and security_compliance capped at 4; scored on project hygiene; inherits host controls); Rule 7 (CP2 Q2) checked at CP2 rework: no SSO, RBAC or audit control verified; enterprise_readiness 2 kept under the library rule</w:t>
      </w:r>
    </w:p>
    <w:p>
      <w:pPr>
        <w:pStyle w:val="BodyText"/>
      </w:pPr>
      <w:r>
        <w:rPr>
          <w:bCs/>
          <w:b/>
        </w:rPr>
        <w:t xml:space="preserve">Capabilities.</w:t>
      </w:r>
      <w:r>
        <w:t xml:space="preserve"> </w:t>
      </w:r>
      <w:r>
        <w:t xml:space="preserve">MinerU 4.0: local-first parsing of PDF, images, Office, OpenDocument, EPUB, OFD, HTML and CSV into Markdown/JSON with four parsing tiers, a document library with citation locators for agents, and a multi-service router</w:t>
      </w:r>
      <w:r>
        <w:t xml:space="preserve"> </w:t>
      </w:r>
      <w:r>
        <w:rPr>
          <w:rStyle w:val="ClaimLabel"/>
        </w:rPr>
        <w:t xml:space="preserve">VF</w:t>
      </w:r>
      <w:r>
        <w:rPr>
          <w:rStyle w:val="FootnoteReference"/>
        </w:rPr>
        <w:footnoteReference w:id="334"/>
      </w:r>
      <w:r>
        <w:t xml:space="preserve">.</w:t>
      </w:r>
    </w:p>
    <w:p>
      <w:pPr>
        <w:pStyle w:val="BodyText"/>
      </w:pPr>
      <w:r>
        <w:rPr>
          <w:bCs/>
          <w:b/>
        </w:rPr>
        <w:t xml:space="preserve">Strengths</w:t>
      </w:r>
    </w:p>
    <w:p>
      <w:pPr>
        <w:numPr>
          <w:ilvl w:val="0"/>
          <w:numId w:val="1077"/>
        </w:numPr>
        <w:pStyle w:val="Compact"/>
      </w:pPr>
      <w:r>
        <w:t xml:space="preserve">Local by default; documents are not uploaded unless remote parsing is set explicitly</w:t>
      </w:r>
      <w:r>
        <w:t xml:space="preserve"> </w:t>
      </w:r>
      <w:r>
        <w:rPr>
          <w:rStyle w:val="ClaimLabel"/>
        </w:rPr>
        <w:t xml:space="preserve">VF</w:t>
      </w:r>
      <w:r>
        <w:rPr>
          <w:rStyle w:val="FootnoteReference"/>
        </w:rPr>
        <w:footnoteReference w:id="337"/>
      </w:r>
    </w:p>
    <w:p>
      <w:pPr>
        <w:numPr>
          <w:ilvl w:val="0"/>
          <w:numId w:val="1077"/>
        </w:numPr>
        <w:pStyle w:val="Compact"/>
      </w:pPr>
      <w:r>
        <w:t xml:space="preserve">Citation locators give stable references for agent reading</w:t>
      </w:r>
      <w:r>
        <w:t xml:space="preserve"> </w:t>
      </w:r>
      <w:r>
        <w:rPr>
          <w:rStyle w:val="ClaimLabel"/>
        </w:rPr>
        <w:t xml:space="preserve">VF</w:t>
      </w:r>
      <w:r>
        <w:rPr>
          <w:rStyle w:val="FootnoteReference"/>
        </w:rPr>
        <w:footnoteReference w:id="338"/>
      </w:r>
    </w:p>
    <w:p>
      <w:pPr>
        <w:numPr>
          <w:ilvl w:val="0"/>
          <w:numId w:val="1077"/>
        </w:numPr>
        <w:pStyle w:val="Compact"/>
      </w:pPr>
      <w:r>
        <w:t xml:space="preserve">Telemetry is anonymous, excludes document content and file names, and can be disabled</w:t>
      </w:r>
      <w:r>
        <w:t xml:space="preserve"> </w:t>
      </w:r>
      <w:r>
        <w:rPr>
          <w:rStyle w:val="ClaimLabel"/>
        </w:rPr>
        <w:t xml:space="preserve">VF</w:t>
      </w:r>
      <w:r>
        <w:rPr>
          <w:rStyle w:val="FootnoteReference"/>
        </w:rPr>
        <w:footnoteReference w:id="339"/>
      </w:r>
    </w:p>
    <w:p>
      <w:pPr>
        <w:pStyle w:val="FirstParagraph"/>
      </w:pPr>
      <w:r>
        <w:rPr>
          <w:bCs/>
          <w:b/>
        </w:rPr>
        <w:t xml:space="preserve">Limitations and risks</w:t>
      </w:r>
    </w:p>
    <w:p>
      <w:pPr>
        <w:numPr>
          <w:ilvl w:val="0"/>
          <w:numId w:val="1078"/>
        </w:numPr>
        <w:pStyle w:val="Compact"/>
      </w:pPr>
      <w:r>
        <w:t xml:space="preserve">Custom</w:t>
      </w:r>
      <w:r>
        <w:t xml:space="preserve"> </w:t>
      </w:r>
      <w:r>
        <w:t xml:space="preserve">‘</w:t>
      </w:r>
      <w:r>
        <w:t xml:space="preserve">MinerU Open Source License</w:t>
      </w:r>
      <w:r>
        <w:t xml:space="preserve">’</w:t>
      </w:r>
      <w:r>
        <w:t xml:space="preserve">: separate commercial licence above 100M MAU or US$20M monthly revenue (group-consolidated); rights terminate on breach</w:t>
      </w:r>
      <w:r>
        <w:t xml:space="preserve"> </w:t>
      </w:r>
      <w:r>
        <w:rPr>
          <w:rStyle w:val="ClaimLabel"/>
        </w:rPr>
        <w:t xml:space="preserve">VF</w:t>
      </w:r>
      <w:r>
        <w:rPr>
          <w:rStyle w:val="FootnoteReference"/>
        </w:rPr>
        <w:footnoteReference w:id="340"/>
      </w:r>
    </w:p>
    <w:p>
      <w:pPr>
        <w:numPr>
          <w:ilvl w:val="0"/>
          <w:numId w:val="1078"/>
        </w:numPr>
        <w:pStyle w:val="Compact"/>
      </w:pPr>
      <w:r>
        <w:t xml:space="preserve">Commercial licence price not published</w:t>
      </w:r>
      <w:r>
        <w:t xml:space="preserve"> </w:t>
      </w:r>
      <w:r>
        <w:rPr>
          <w:rStyle w:val="ClaimLabel"/>
        </w:rPr>
        <w:t xml:space="preserve">VF</w:t>
      </w:r>
      <w:r>
        <w:rPr>
          <w:rStyle w:val="FootnoteReference"/>
        </w:rPr>
        <w:footnoteReference w:id="342"/>
      </w:r>
    </w:p>
    <w:p>
      <w:pPr>
        <w:numPr>
          <w:ilvl w:val="0"/>
          <w:numId w:val="1078"/>
        </w:numPr>
        <w:pStyle w:val="Compact"/>
      </w:pPr>
      <w:r>
        <w:t xml:space="preserve">Standard/Advanced tiers need a GPU with 8 GB+ VRAM</w:t>
      </w:r>
      <w:r>
        <w:t xml:space="preserve"> </w:t>
      </w:r>
      <w:r>
        <w:rPr>
          <w:rStyle w:val="ClaimLabel"/>
        </w:rPr>
        <w:t xml:space="preserve">VF</w:t>
      </w:r>
      <w:r>
        <w:rPr>
          <w:rStyle w:val="FootnoteReference"/>
        </w:rPr>
        <w:footnoteReference w:id="343"/>
      </w:r>
    </w:p>
    <w:p>
      <w:pPr>
        <w:numPr>
          <w:ilvl w:val="0"/>
          <w:numId w:val="1078"/>
        </w:numPr>
        <w:pStyle w:val="Compact"/>
      </w:pPr>
      <w:r>
        <w:t xml:space="preserve">Major-version migration (3.x to 4.0) in 2026</w:t>
      </w:r>
      <w:r>
        <w:t xml:space="preserve"> </w:t>
      </w:r>
      <w:r>
        <w:rPr>
          <w:rStyle w:val="ClaimLabel"/>
        </w:rPr>
        <w:t xml:space="preserve">VF</w:t>
      </w:r>
      <w:r>
        <w:rPr>
          <w:rStyle w:val="FootnoteReference"/>
        </w:rPr>
        <w:footnoteReference w:id="344"/>
      </w:r>
    </w:p>
    <w:p>
      <w:pPr>
        <w:pStyle w:val="FirstParagraph"/>
      </w:pPr>
      <w:r>
        <w:rPr>
          <w:bCs/>
          <w:b/>
        </w:rPr>
        <w:t xml:space="preserve">Choose when</w:t>
      </w:r>
    </w:p>
    <w:p>
      <w:pPr>
        <w:numPr>
          <w:ilvl w:val="0"/>
          <w:numId w:val="1079"/>
        </w:numPr>
        <w:pStyle w:val="Compact"/>
      </w:pPr>
      <w:r>
        <w:t xml:space="preserve">Below the licence thresholds, or with a commercial licence in place, and local GPU parsing is acceptable</w:t>
      </w:r>
    </w:p>
    <w:p>
      <w:pPr>
        <w:numPr>
          <w:ilvl w:val="0"/>
          <w:numId w:val="1079"/>
        </w:numPr>
        <w:pStyle w:val="Compact"/>
      </w:pPr>
      <w:r>
        <w:t xml:space="preserve">As a second parser for reconciliation of hard tables</w:t>
      </w:r>
      <w:r>
        <w:t xml:space="preserve"> </w:t>
      </w:r>
      <w:r>
        <w:rPr>
          <w:rStyle w:val="ClaimLabel"/>
        </w:rPr>
        <w:t xml:space="preserve">AJ</w:t>
      </w:r>
    </w:p>
    <w:p>
      <w:pPr>
        <w:pStyle w:val="FirstParagraph"/>
      </w:pPr>
      <w:r>
        <w:rPr>
          <w:bCs/>
          <w:b/>
        </w:rPr>
        <w:t xml:space="preserve">Avoid when</w:t>
      </w:r>
    </w:p>
    <w:p>
      <w:pPr>
        <w:numPr>
          <w:ilvl w:val="0"/>
          <w:numId w:val="1080"/>
        </w:numPr>
        <w:pStyle w:val="Compact"/>
      </w:pPr>
      <w:r>
        <w:t xml:space="preserve">A large firm whose group revenue exceeds the threshold has no commercial licence</w:t>
      </w:r>
    </w:p>
    <w:p>
      <w:pPr>
        <w:numPr>
          <w:ilvl w:val="0"/>
          <w:numId w:val="1080"/>
        </w:numPr>
        <w:pStyle w:val="Compact"/>
      </w:pPr>
      <w:r>
        <w:t xml:space="preserve">You need vendor support or certifications</w:t>
      </w:r>
    </w:p>
    <w:p>
      <w:pPr>
        <w:pStyle w:val="FirstParagraph"/>
      </w:pPr>
      <w:r>
        <w:rPr>
          <w:bCs/>
          <w:b/>
        </w:rPr>
        <w:t xml:space="preserve">Nearest competitors:</w:t>
      </w:r>
      <w:r>
        <w:t xml:space="preserve"> </w:t>
      </w:r>
      <w:r>
        <w:t xml:space="preserve">L8-docling, L8-unstructured, L8-llamaparse</w:t>
      </w:r>
    </w:p>
    <w:p>
      <w:pPr>
        <w:pStyle w:val="BodyText"/>
      </w:pPr>
      <w:r>
        <w:rPr>
          <w:bCs/>
          <w:b/>
        </w:rPr>
        <w:t xml:space="preserve">Regulated-FS note.</w:t>
      </w:r>
      <w:r>
        <w:t xml:space="preserve"> </w:t>
      </w:r>
      <w:r>
        <w:t xml:space="preserve">Large asset managers are likely to exceed the group-consolidated revenue threshold, so legal must clear the licence before any production use</w:t>
      </w:r>
      <w:r>
        <w:t xml:space="preserve"> </w:t>
      </w:r>
      <w:r>
        <w:rPr>
          <w:rStyle w:val="ClaimLabel"/>
        </w:rPr>
        <w:t xml:space="preserve">Rec</w:t>
      </w:r>
      <w:r>
        <w:t xml:space="preserve">.</w:t>
      </w:r>
    </w:p>
    <w:p>
      <w:pPr>
        <w:pStyle w:val="BodyText"/>
      </w:pPr>
      <w:r>
        <w:rPr>
          <w:bCs/>
          <w:b/>
        </w:rPr>
        <w:t xml:space="preserve">Facts (as of 2026-10-08)</w:t>
      </w:r>
    </w:p>
    <w:tbl>
      <w:tblPr>
        <w:tblStyle w:val="Table"/>
        <w:tblW w:type="pct" w:w="5000"/>
        <w:tblLook w:firstRow="1" w:lastRow="0" w:firstColumn="0" w:lastColumn="0" w:noHBand="0" w:noVBand="0" w:val="0020"/>
        <w:jc w:val="start"/>
      </w:tblPr>
      <w:tblGrid>
        <w:gridCol w:w="1485"/>
        <w:gridCol w:w="4290"/>
        <w:gridCol w:w="1320"/>
        <w:gridCol w:w="825"/>
      </w:tblGrid>
      <w:tr>
        <w:trPr>
          <w:tblHeader w:val="true"/>
        </w:trPr>
        <w:tc>
          <w:tcPr/>
          <w:p>
            <w:pPr>
              <w:pStyle w:val="Compact"/>
              <w:jc w:val="left"/>
            </w:pPr>
            <w:r>
              <w:t xml:space="preserve">Field</w:t>
            </w:r>
          </w:p>
        </w:tc>
        <w:tc>
          <w:tcPr/>
          <w:p>
            <w:pPr>
              <w:pStyle w:val="Compact"/>
              <w:jc w:val="left"/>
            </w:pPr>
            <w:r>
              <w:t xml:space="preserve">Value</w:t>
            </w:r>
          </w:p>
        </w:tc>
        <w:tc>
          <w:tcPr/>
          <w:p>
            <w:pPr>
              <w:pStyle w:val="Compact"/>
              <w:jc w:val="left"/>
            </w:pPr>
            <w:r>
              <w:t xml:space="preserve">Label</w:t>
            </w:r>
          </w:p>
        </w:tc>
        <w:tc>
          <w:tcPr/>
          <w:p>
            <w:pPr>
              <w:pStyle w:val="Compact"/>
              <w:jc w:val="left"/>
            </w:pPr>
            <w:r>
              <w:t xml:space="preserve">Sources</w:t>
            </w:r>
          </w:p>
        </w:tc>
      </w:tr>
      <w:tr>
        <w:tc>
          <w:tcPr/>
          <w:p>
            <w:pPr>
              <w:pStyle w:val="Compact"/>
              <w:jc w:val="left"/>
            </w:pPr>
            <w:r>
              <w:t xml:space="preserve">Company</w:t>
            </w:r>
          </w:p>
        </w:tc>
        <w:tc>
          <w:tcPr/>
          <w:p>
            <w:pPr>
              <w:pStyle w:val="Compact"/>
              <w:jc w:val="left"/>
            </w:pPr>
            <w:r>
              <w:t xml:space="preserve">OpenDataLab MinerU Team</w:t>
            </w:r>
          </w:p>
        </w:tc>
        <w:tc>
          <w:tcPr/>
          <w:p>
            <w:pPr>
              <w:pStyle w:val="Compact"/>
              <w:jc w:val="left"/>
            </w:pPr>
            <w:r>
              <w:t xml:space="preserve">Verified fact</w:t>
            </w:r>
          </w:p>
        </w:tc>
        <w:tc>
          <w:tcPr/>
          <w:p>
            <w:pPr>
              <w:pStyle w:val="Compact"/>
              <w:jc w:val="left"/>
            </w:pPr>
            <w:r>
              <w:t xml:space="preserve">A1-S054, A1-S055</w:t>
            </w:r>
          </w:p>
        </w:tc>
      </w:tr>
      <w:tr>
        <w:tc>
          <w:tcPr/>
          <w:p>
            <w:pPr>
              <w:pStyle w:val="Compact"/>
              <w:jc w:val="left"/>
            </w:pPr>
            <w:r>
              <w:t xml:space="preserve">Category</w:t>
            </w:r>
          </w:p>
        </w:tc>
        <w:tc>
          <w:tcPr/>
          <w:p>
            <w:pPr>
              <w:pStyle w:val="Compact"/>
              <w:jc w:val="left"/>
            </w:pPr>
            <w:r>
              <w:t xml:space="preserve">Open-source document parsing tool and local document library with VLM-based parsing tiers</w:t>
            </w:r>
          </w:p>
        </w:tc>
        <w:tc>
          <w:tcPr/>
          <w:p>
            <w:pPr>
              <w:pStyle w:val="Compact"/>
              <w:jc w:val="left"/>
            </w:pPr>
            <w:r>
              <w:t xml:space="preserve">Verified fact</w:t>
            </w:r>
          </w:p>
        </w:tc>
        <w:tc>
          <w:tcPr/>
          <w:p>
            <w:pPr>
              <w:pStyle w:val="Compact"/>
              <w:jc w:val="left"/>
            </w:pPr>
            <w:r>
              <w:t xml:space="preserve">A1-S055, A1-S010</w:t>
            </w:r>
          </w:p>
        </w:tc>
      </w:tr>
      <w:tr>
        <w:tc>
          <w:tcPr/>
          <w:p>
            <w:pPr>
              <w:pStyle w:val="Compact"/>
              <w:jc w:val="left"/>
            </w:pPr>
            <w:r>
              <w:t xml:space="preserve">Version / lineup</w:t>
            </w:r>
          </w:p>
        </w:tc>
        <w:tc>
          <w:tcPr/>
          <w:p>
            <w:pPr>
              <w:pStyle w:val="Compact"/>
              <w:jc w:val="left"/>
            </w:pPr>
            <w:r>
              <w:t xml:space="preserve">MinerU 4.0 line; mineru 4.0.10 released 29 September 2026</w:t>
            </w:r>
          </w:p>
        </w:tc>
        <w:tc>
          <w:tcPr/>
          <w:p>
            <w:pPr>
              <w:pStyle w:val="Compact"/>
              <w:jc w:val="left"/>
            </w:pPr>
            <w:r>
              <w:t xml:space="preserve">Verified fact</w:t>
            </w:r>
          </w:p>
        </w:tc>
        <w:tc>
          <w:tcPr/>
          <w:p>
            <w:pPr>
              <w:pStyle w:val="Compact"/>
              <w:jc w:val="left"/>
            </w:pPr>
            <w:r>
              <w:t xml:space="preserve">A1-S010, A1-S055, V1-S004</w:t>
            </w:r>
          </w:p>
        </w:tc>
      </w:tr>
      <w:tr>
        <w:tc>
          <w:tcPr/>
          <w:p>
            <w:pPr>
              <w:pStyle w:val="Compact"/>
              <w:jc w:val="left"/>
            </w:pPr>
            <w:r>
              <w:t xml:space="preserve">Licence</w:t>
            </w:r>
          </w:p>
        </w:tc>
        <w:tc>
          <w:tcPr/>
          <w:p>
            <w:pPr>
              <w:pStyle w:val="Compact"/>
              <w:jc w:val="left"/>
            </w:pPr>
            <w:r>
              <w:t xml:space="preserve">‘</w:t>
            </w:r>
            <w:r>
              <w:t xml:space="preserve">MinerU Open Source License</w:t>
            </w:r>
            <w:r>
              <w:t xml:space="preserve">’</w:t>
            </w:r>
            <w:r>
              <w:t xml:space="preserve">: Apache-2.0 plus additional terms - separate commercial licence required above 100M MAU or US$20M monthly revenue (group-consolidated); attribution required for online services; rights terminate automatically on breach</w:t>
            </w:r>
          </w:p>
        </w:tc>
        <w:tc>
          <w:tcPr/>
          <w:p>
            <w:pPr>
              <w:pStyle w:val="Compact"/>
              <w:jc w:val="left"/>
            </w:pPr>
            <w:r>
              <w:t xml:space="preserve">Verified fact</w:t>
            </w:r>
          </w:p>
        </w:tc>
        <w:tc>
          <w:tcPr/>
          <w:p>
            <w:pPr>
              <w:pStyle w:val="Compact"/>
              <w:jc w:val="left"/>
            </w:pPr>
            <w:r>
              <w:t xml:space="preserve">A1-S054, A1-S010, V1-S003</w:t>
            </w:r>
          </w:p>
        </w:tc>
      </w:tr>
      <w:tr>
        <w:tc>
          <w:tcPr/>
          <w:p>
            <w:pPr>
              <w:pStyle w:val="Compact"/>
              <w:jc w:val="left"/>
            </w:pPr>
            <w:r>
              <w:t xml:space="preserve">Status events</w:t>
            </w:r>
          </w:p>
        </w:tc>
        <w:tc>
          <w:tcPr/>
          <w:p>
            <w:pPr>
              <w:pStyle w:val="Compact"/>
              <w:jc w:val="left"/>
            </w:pPr>
            <w:r>
              <w:t xml:space="preserve">MinerU 4.0 released (3.x to 4.0 migration guide)</w:t>
            </w:r>
          </w:p>
        </w:tc>
        <w:tc>
          <w:tcPr/>
          <w:p>
            <w:pPr>
              <w:pStyle w:val="Compact"/>
              <w:jc w:val="left"/>
            </w:pPr>
            <w:r>
              <w:t xml:space="preserve">Verified fact</w:t>
            </w:r>
          </w:p>
        </w:tc>
        <w:tc>
          <w:tcPr/>
          <w:p>
            <w:pPr>
              <w:pStyle w:val="Compact"/>
              <w:jc w:val="left"/>
            </w:pPr>
            <w:r>
              <w:t xml:space="preserve">A1-S055</w:t>
            </w:r>
          </w:p>
        </w:tc>
      </w:tr>
      <w:tr>
        <w:tc>
          <w:tcPr/>
          <w:p>
            <w:pPr>
              <w:pStyle w:val="Compact"/>
              <w:jc w:val="left"/>
            </w:pPr>
            <w:r>
              <w:t xml:space="preserve">Strategic direction</w:t>
            </w:r>
          </w:p>
        </w:tc>
        <w:tc>
          <w:tcPr/>
          <w:p>
            <w:pPr>
              <w:pStyle w:val="Compact"/>
              <w:jc w:val="left"/>
            </w:pPr>
            <w:r>
              <w:t xml:space="preserve">MinerU 4.0 adds four parsing tiers (Flash/Basic/Standard/Advanced), a document library with citation locators for agent reading, multi-format input and a router for multiple services</w:t>
            </w:r>
          </w:p>
        </w:tc>
        <w:tc>
          <w:tcPr/>
          <w:p>
            <w:pPr>
              <w:pStyle w:val="Compact"/>
              <w:jc w:val="left"/>
            </w:pPr>
            <w:r>
              <w:t xml:space="preserve">Verified fact</w:t>
            </w:r>
          </w:p>
        </w:tc>
        <w:tc>
          <w:tcPr/>
          <w:p>
            <w:pPr>
              <w:pStyle w:val="Compact"/>
              <w:jc w:val="left"/>
            </w:pPr>
            <w:r>
              <w:t xml:space="preserve">A1-S055</w:t>
            </w:r>
          </w:p>
        </w:tc>
      </w:tr>
      <w:tr>
        <w:tc>
          <w:tcPr/>
          <w:p>
            <w:pPr>
              <w:pStyle w:val="Compact"/>
              <w:jc w:val="left"/>
            </w:pPr>
            <w:r>
              <w:t xml:space="preserve">What it does</w:t>
            </w:r>
          </w:p>
        </w:tc>
        <w:tc>
          <w:tcPr/>
          <w:p>
            <w:pPr>
              <w:pStyle w:val="Compact"/>
              <w:jc w:val="left"/>
            </w:pPr>
            <w:r>
              <w:t xml:space="preserve">Converts PDF, images, Office, OpenDocument, EPUB, OFD, HTML and CSV into Markdown/JSON and other formats, caches and searches results, and serves them to agents with stable citations.</w:t>
            </w:r>
          </w:p>
        </w:tc>
        <w:tc>
          <w:tcPr/>
          <w:p>
            <w:pPr>
              <w:pStyle w:val="Compact"/>
              <w:jc w:val="left"/>
            </w:pPr>
            <w:r>
              <w:t xml:space="preserve">Verified fact</w:t>
            </w:r>
          </w:p>
        </w:tc>
        <w:tc>
          <w:tcPr/>
          <w:p>
            <w:pPr>
              <w:pStyle w:val="Compact"/>
              <w:jc w:val="left"/>
            </w:pPr>
            <w:r>
              <w:t xml:space="preserve">A1-S055</w:t>
            </w:r>
          </w:p>
        </w:tc>
      </w:tr>
      <w:tr>
        <w:tc>
          <w:tcPr/>
          <w:p>
            <w:pPr>
              <w:pStyle w:val="Compact"/>
              <w:jc w:val="left"/>
            </w:pPr>
            <w:r>
              <w:t xml:space="preserve">Stack position</w:t>
            </w:r>
          </w:p>
        </w:tc>
        <w:tc>
          <w:tcPr/>
          <w:p>
            <w:pPr>
              <w:pStyle w:val="Compact"/>
              <w:jc w:val="left"/>
            </w:pPr>
            <w:r>
              <w:t xml:space="preserve">L8 parsing/OCR; local-first with optional remote service (mineru.net)</w:t>
            </w:r>
          </w:p>
        </w:tc>
        <w:tc>
          <w:tcPr/>
          <w:p>
            <w:pPr>
              <w:pStyle w:val="Compact"/>
              <w:jc w:val="left"/>
            </w:pPr>
            <w:r>
              <w:t xml:space="preserve">Verified fact</w:t>
            </w:r>
          </w:p>
        </w:tc>
        <w:tc>
          <w:tcPr/>
          <w:p>
            <w:pPr>
              <w:pStyle w:val="Compact"/>
              <w:jc w:val="left"/>
            </w:pPr>
            <w:r>
              <w:t xml:space="preserve">A1-S055</w:t>
            </w:r>
          </w:p>
        </w:tc>
      </w:tr>
      <w:tr>
        <w:tc>
          <w:tcPr/>
          <w:p>
            <w:pPr>
              <w:pStyle w:val="Compact"/>
              <w:jc w:val="left"/>
            </w:pPr>
            <w:r>
              <w:t xml:space="preserve">Integration</w:t>
            </w:r>
          </w:p>
        </w:tc>
        <w:tc>
          <w:tcPr/>
          <w:p>
            <w:pPr>
              <w:pStyle w:val="Compact"/>
              <w:jc w:val="left"/>
            </w:pPr>
            <w:r>
              <w:t xml:space="preserve">Python SDK, V1 API, CLI, Gradio WebUI, multi-service Router; remote parsing only with explicit –remote</w:t>
            </w:r>
          </w:p>
        </w:tc>
        <w:tc>
          <w:tcPr/>
          <w:p>
            <w:pPr>
              <w:pStyle w:val="Compact"/>
              <w:jc w:val="left"/>
            </w:pPr>
            <w:r>
              <w:t xml:space="preserve">Verified fact</w:t>
            </w:r>
          </w:p>
        </w:tc>
        <w:tc>
          <w:tcPr/>
          <w:p>
            <w:pPr>
              <w:pStyle w:val="Compact"/>
              <w:jc w:val="left"/>
            </w:pPr>
            <w:r>
              <w:t xml:space="preserve">A1-S055</w:t>
            </w:r>
          </w:p>
        </w:tc>
      </w:tr>
      <w:tr>
        <w:tc>
          <w:tcPr/>
          <w:p>
            <w:pPr>
              <w:pStyle w:val="Compact"/>
              <w:jc w:val="left"/>
            </w:pPr>
            <w:r>
              <w:t xml:space="preserve">Dependencies</w:t>
            </w:r>
          </w:p>
        </w:tc>
        <w:tc>
          <w:tcPr/>
          <w:p>
            <w:pPr>
              <w:pStyle w:val="Compact"/>
              <w:jc w:val="left"/>
            </w:pPr>
            <w:r>
              <w:t xml:space="preserve">ONNX/PyTorch small models; llama.cpp, vLLM or LMDeploy for the VLM; Standard/Advanced tiers require GPU/MPS with 8 GB+ VRAM</w:t>
            </w:r>
          </w:p>
        </w:tc>
        <w:tc>
          <w:tcPr/>
          <w:p>
            <w:pPr>
              <w:pStyle w:val="Compact"/>
              <w:jc w:val="left"/>
            </w:pPr>
            <w:r>
              <w:t xml:space="preserve">Verified fact</w:t>
            </w:r>
          </w:p>
        </w:tc>
        <w:tc>
          <w:tcPr/>
          <w:p>
            <w:pPr>
              <w:pStyle w:val="Compact"/>
              <w:jc w:val="left"/>
            </w:pPr>
            <w:r>
              <w:t xml:space="preserve">A1-S055</w:t>
            </w:r>
          </w:p>
        </w:tc>
      </w:tr>
      <w:tr>
        <w:tc>
          <w:tcPr/>
          <w:p>
            <w:pPr>
              <w:pStyle w:val="Compact"/>
              <w:jc w:val="left"/>
            </w:pPr>
            <w:r>
              <w:t xml:space="preserve">Certifications</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GDPR / residency</w:t>
            </w:r>
          </w:p>
        </w:tc>
        <w:tc>
          <w:tcPr/>
          <w:p>
            <w:pPr>
              <w:pStyle w:val="Compact"/>
              <w:jc w:val="left"/>
            </w:pPr>
            <w:r>
              <w:t xml:space="preserve">Parses locally by default; documents are not uploaded to the official service unless remote parsing is explicitly configured</w:t>
            </w:r>
          </w:p>
        </w:tc>
        <w:tc>
          <w:tcPr/>
          <w:p>
            <w:pPr>
              <w:pStyle w:val="Compact"/>
              <w:jc w:val="left"/>
            </w:pPr>
            <w:r>
              <w:t xml:space="preserve">Verified fact</w:t>
            </w:r>
          </w:p>
        </w:tc>
        <w:tc>
          <w:tcPr/>
          <w:p>
            <w:pPr>
              <w:pStyle w:val="Compact"/>
              <w:jc w:val="left"/>
            </w:pPr>
            <w:r>
              <w:t xml:space="preserve">A1-S055</w:t>
            </w:r>
          </w:p>
        </w:tc>
      </w:tr>
      <w:tr>
        <w:tc>
          <w:tcPr/>
          <w:p>
            <w:pPr>
              <w:pStyle w:val="Compact"/>
              <w:jc w:val="left"/>
            </w:pPr>
            <w:r>
              <w:t xml:space="preserve">Security features</w:t>
            </w:r>
          </w:p>
        </w:tc>
        <w:tc>
          <w:tcPr/>
          <w:p>
            <w:pPr>
              <w:pStyle w:val="Compact"/>
              <w:jc w:val="left"/>
            </w:pPr>
            <w:r>
              <w:t xml:space="preserve">Anonymous aggregated telemetry (no document content or file names), can be disabled</w:t>
            </w:r>
          </w:p>
        </w:tc>
        <w:tc>
          <w:tcPr/>
          <w:p>
            <w:pPr>
              <w:pStyle w:val="Compact"/>
              <w:jc w:val="left"/>
            </w:pPr>
            <w:r>
              <w:t xml:space="preserve">Verified fact</w:t>
            </w:r>
          </w:p>
        </w:tc>
        <w:tc>
          <w:tcPr/>
          <w:p>
            <w:pPr>
              <w:pStyle w:val="Compact"/>
              <w:jc w:val="left"/>
            </w:pPr>
            <w:r>
              <w:t xml:space="preserve">A1-S055</w:t>
            </w:r>
          </w:p>
        </w:tc>
      </w:tr>
      <w:tr>
        <w:tc>
          <w:tcPr/>
          <w:p>
            <w:pPr>
              <w:pStyle w:val="Compact"/>
              <w:jc w:val="left"/>
            </w:pPr>
            <w:r>
              <w:t xml:space="preserve">Access controls</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Enterprise support</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Pricing</w:t>
            </w:r>
          </w:p>
        </w:tc>
        <w:tc>
          <w:tcPr/>
          <w:p>
            <w:pPr>
              <w:pStyle w:val="Compact"/>
              <w:jc w:val="left"/>
            </w:pPr>
            <w:r>
              <w:t xml:space="preserve">Free under MinerU licence below thresholds; commercial licence above thresholds (price not published)</w:t>
            </w:r>
          </w:p>
        </w:tc>
        <w:tc>
          <w:tcPr/>
          <w:p>
            <w:pPr>
              <w:pStyle w:val="Compact"/>
              <w:jc w:val="left"/>
            </w:pPr>
            <w:r>
              <w:t xml:space="preserve">Verified fact</w:t>
            </w:r>
          </w:p>
        </w:tc>
        <w:tc>
          <w:tcPr/>
          <w:p>
            <w:pPr>
              <w:pStyle w:val="Compact"/>
              <w:jc w:val="left"/>
            </w:pPr>
            <w:r>
              <w:t xml:space="preserve">A1-S054</w:t>
            </w:r>
          </w:p>
        </w:tc>
      </w:tr>
      <w:tr>
        <w:tc>
          <w:tcPr/>
          <w:p>
            <w:pPr>
              <w:pStyle w:val="Compact"/>
              <w:jc w:val="left"/>
            </w:pPr>
            <w:r>
              <w:t xml:space="preserve">Infrastructure cost</w:t>
            </w:r>
          </w:p>
        </w:tc>
        <w:tc>
          <w:tcPr/>
          <w:p>
            <w:pPr>
              <w:pStyle w:val="Compact"/>
              <w:jc w:val="left"/>
            </w:pPr>
            <w:r>
              <w:t xml:space="preserve">GPU with 8 GB+ VRAM needed for higher-quality tiers</w:t>
            </w:r>
          </w:p>
        </w:tc>
        <w:tc>
          <w:tcPr/>
          <w:p>
            <w:pPr>
              <w:pStyle w:val="Compact"/>
              <w:jc w:val="left"/>
            </w:pPr>
            <w:r>
              <w:t xml:space="preserve">Verified fact</w:t>
            </w:r>
          </w:p>
        </w:tc>
        <w:tc>
          <w:tcPr/>
          <w:p>
            <w:pPr>
              <w:pStyle w:val="Compact"/>
              <w:jc w:val="left"/>
            </w:pPr>
            <w:r>
              <w:t xml:space="preserve">A1-S055</w:t>
            </w:r>
          </w:p>
        </w:tc>
      </w:tr>
      <w:tr>
        <w:tc>
          <w:tcPr/>
          <w:p>
            <w:pPr>
              <w:pStyle w:val="Compact"/>
              <w:jc w:val="left"/>
            </w:pPr>
            <w:r>
              <w:t xml:space="preserve">Ecosystem</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Adoption signals</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Maturity</w:t>
            </w:r>
          </w:p>
        </w:tc>
        <w:tc>
          <w:tcPr/>
          <w:p>
            <w:pPr>
              <w:pStyle w:val="Compact"/>
              <w:jc w:val="left"/>
            </w:pPr>
            <w:r>
              <w:t xml:space="preserve">mineru package first on PyPI 13 June 2025; 96 releases</w:t>
            </w:r>
          </w:p>
        </w:tc>
        <w:tc>
          <w:tcPr/>
          <w:p>
            <w:pPr>
              <w:pStyle w:val="Compact"/>
              <w:jc w:val="left"/>
            </w:pPr>
            <w:r>
              <w:t xml:space="preserve">Verified fact</w:t>
            </w:r>
          </w:p>
        </w:tc>
        <w:tc>
          <w:tcPr/>
          <w:p>
            <w:pPr>
              <w:pStyle w:val="Compact"/>
              <w:jc w:val="left"/>
            </w:pPr>
            <w:r>
              <w:t xml:space="preserve">A1-S010</w:t>
            </w:r>
          </w:p>
        </w:tc>
      </w:tr>
      <w:tr>
        <w:tc>
          <w:tcPr/>
          <w:p>
            <w:pPr>
              <w:pStyle w:val="Compact"/>
              <w:jc w:val="left"/>
            </w:pPr>
            <w:r>
              <w:t xml:space="preserve">Deployment</w:t>
            </w:r>
          </w:p>
        </w:tc>
        <w:tc>
          <w:tcPr/>
          <w:p>
            <w:pPr>
              <w:pStyle w:val="Compact"/>
              <w:jc w:val="left"/>
            </w:pPr>
            <w:r>
              <w:t xml:space="preserve">saas: Yes (mineru.net web app / remote API); managed_cloud: Not publicly verified; vpc_byoc: Not publicly verified; private_cloud: Yes; self_hosted: Yes; on_prem: Yes</w:t>
            </w:r>
          </w:p>
        </w:tc>
        <w:tc>
          <w:tcPr/>
          <w:p>
            <w:pPr>
              <w:pStyle w:val="Compact"/>
            </w:pPr>
          </w:p>
        </w:tc>
        <w:tc>
          <w:tcPr/>
          <w:p>
            <w:pPr>
              <w:pStyle w:val="Compact"/>
            </w:pPr>
          </w:p>
        </w:tc>
      </w:tr>
    </w:tbl>
    <w:bookmarkEnd w:id="345"/>
    <w:bookmarkStart w:id="361" w:name="apify-l8-apify"/>
    <w:p>
      <w:pPr>
        <w:pStyle w:val="Heading2"/>
      </w:pPr>
      <w:r>
        <w:t xml:space="preserve">Apify (</w:t>
      </w:r>
      <w:r>
        <w:rPr>
          <w:rStyle w:val="VerbatimChar"/>
        </w:rPr>
        <w:t xml:space="preserve">L8-apify</w:t>
      </w:r>
      <w:r>
        <w:t xml:space="preserve">)</w:t>
      </w:r>
    </w:p>
    <w:p>
      <w:pPr>
        <w:pStyle w:val="FirstParagraph"/>
      </w:pPr>
      <w:r>
        <w:rPr>
          <w:bCs/>
          <w:b/>
        </w:rPr>
        <w:t xml:space="preserve">Tier:</w:t>
      </w:r>
      <w:r>
        <w:t xml:space="preserve"> </w:t>
      </w:r>
      <w:r>
        <w:t xml:space="preserve">Tactical ·</w:t>
      </w:r>
      <w:r>
        <w:t xml:space="preserve"> </w:t>
      </w:r>
      <w:r>
        <w:rPr>
          <w:bCs/>
          <w:b/>
        </w:rPr>
        <w:t xml:space="preserve">Flags:</w:t>
      </w:r>
      <w:r>
        <w:t xml:space="preserve"> </w:t>
      </w:r>
      <w:r>
        <w:t xml:space="preserve">none ·</w:t>
      </w:r>
      <w:r>
        <w:t xml:space="preserve"> </w:t>
      </w:r>
      <w:r>
        <w:rPr>
          <w:bCs/>
          <w:b/>
        </w:rPr>
        <w:t xml:space="preserve">Original graphic label:</w:t>
      </w:r>
      <w:r>
        <w:t xml:space="preserve"> </w:t>
      </w:r>
      <w:r>
        <w:t xml:space="preserve">Apify – scrapers</w:t>
      </w:r>
    </w:p>
    <w:p>
      <w:pPr>
        <w:pStyle w:val="BodyText"/>
      </w:pPr>
      <w:r>
        <w:rPr>
          <w:iCs/>
          <w:i/>
        </w:rPr>
        <w:t xml:space="preserve">Rationale:</w:t>
      </w:r>
      <w:r>
        <w:t xml:space="preserve"> </w:t>
      </w:r>
      <w:r>
        <w:t xml:space="preserve">Convenient for public long-tail scraping, but single US region, marketplace code risk and platform-specific Actors.</w:t>
      </w:r>
    </w:p>
    <w:tbl>
      <w:tblPr>
        <w:tblStyle w:val="Table"/>
        <w:tblW w:type="pct" w:w="5000"/>
        <w:tblLook w:firstRow="1" w:lastRow="0" w:firstColumn="0" w:lastColumn="0" w:noHBand="0" w:noVBand="0" w:val="0020"/>
        <w:jc w:val="start"/>
      </w:tblPr>
      <w:tblGrid>
        <w:gridCol w:w="1545"/>
        <w:gridCol w:w="579"/>
        <w:gridCol w:w="5795"/>
      </w:tblGrid>
      <w:tr>
        <w:trPr>
          <w:tblHeader w:val="true"/>
        </w:trPr>
        <w:tc>
          <w:tcPr/>
          <w:p>
            <w:pPr>
              <w:pStyle w:val="Compact"/>
              <w:jc w:val="left"/>
            </w:pPr>
            <w:r>
              <w:t xml:space="preserve">Criterion</w:t>
            </w:r>
          </w:p>
        </w:tc>
        <w:tc>
          <w:tcPr/>
          <w:p>
            <w:pPr>
              <w:pStyle w:val="Compact"/>
              <w:jc w:val="right"/>
            </w:pPr>
            <w:r>
              <w:t xml:space="preserve">Score</w:t>
            </w:r>
          </w:p>
        </w:tc>
        <w:tc>
          <w:tcPr/>
          <w:p>
            <w:pPr>
              <w:pStyle w:val="Compact"/>
              <w:jc w:val="left"/>
            </w:pPr>
            <w:r>
              <w:t xml:space="preserve">Rationale</w:t>
            </w:r>
          </w:p>
        </w:tc>
      </w:tr>
      <w:tr>
        <w:tc>
          <w:tcPr/>
          <w:p>
            <w:pPr>
              <w:pStyle w:val="Compact"/>
              <w:jc w:val="left"/>
            </w:pPr>
            <w:r>
              <w:t xml:space="preserve">Technical</w:t>
            </w:r>
          </w:p>
        </w:tc>
        <w:tc>
          <w:tcPr/>
          <w:p>
            <w:pPr>
              <w:pStyle w:val="Compact"/>
              <w:jc w:val="right"/>
            </w:pPr>
            <w:r>
              <w:t xml:space="preserve">3</w:t>
            </w:r>
          </w:p>
        </w:tc>
        <w:tc>
          <w:tcPr/>
          <w:p>
            <w:pPr>
              <w:pStyle w:val="Compact"/>
              <w:jc w:val="left"/>
            </w:pPr>
            <w:r>
              <w:t xml:space="preserve">Scraping, automation, proxy and storage; no parsing depth or governance metadata.</w:t>
            </w:r>
          </w:p>
        </w:tc>
      </w:tr>
      <w:tr>
        <w:tc>
          <w:tcPr/>
          <w:p>
            <w:pPr>
              <w:pStyle w:val="Compact"/>
              <w:jc w:val="left"/>
            </w:pPr>
            <w:r>
              <w:t xml:space="preserve">Enterprise readiness</w:t>
            </w:r>
          </w:p>
        </w:tc>
        <w:tc>
          <w:tcPr/>
          <w:p>
            <w:pPr>
              <w:pStyle w:val="Compact"/>
              <w:jc w:val="right"/>
            </w:pPr>
            <w:r>
              <w:t xml:space="preserve">3</w:t>
            </w:r>
          </w:p>
        </w:tc>
        <w:tc>
          <w:tcPr/>
          <w:p>
            <w:pPr>
              <w:pStyle w:val="Compact"/>
              <w:jc w:val="left"/>
            </w:pPr>
            <w:r>
              <w:t xml:space="preserve">Organisation accounts with customisable roles and per-resource permissions, enforced 2FA and session limits; SSO stated in Apify’s shared-responsibility documentation</w:t>
            </w:r>
            <w:r>
              <w:t xml:space="preserve"> </w:t>
            </w:r>
            <w:r>
              <w:rPr>
                <w:rStyle w:val="ClaimLabel"/>
              </w:rPr>
              <w:t xml:space="preserve">VF</w:t>
            </w:r>
            <w:r>
              <w:rPr>
                <w:rStyle w:val="FootnoteReference"/>
              </w:rPr>
              <w:footnoteReference w:id="346"/>
            </w:r>
            <w:r>
              <w:t xml:space="preserve">; no audit log found, so 3.</w:t>
            </w:r>
          </w:p>
        </w:tc>
      </w:tr>
      <w:tr>
        <w:tc>
          <w:tcPr/>
          <w:p>
            <w:pPr>
              <w:pStyle w:val="Compact"/>
              <w:jc w:val="left"/>
            </w:pPr>
            <w:r>
              <w:t xml:space="preserve">Security and compliance</w:t>
            </w:r>
          </w:p>
        </w:tc>
        <w:tc>
          <w:tcPr/>
          <w:p>
            <w:pPr>
              <w:pStyle w:val="Compact"/>
              <w:jc w:val="right"/>
            </w:pPr>
            <w:r>
              <w:t xml:space="preserve">3</w:t>
            </w:r>
          </w:p>
        </w:tc>
        <w:tc>
          <w:tcPr/>
          <w:p>
            <w:pPr>
              <w:pStyle w:val="Compact"/>
              <w:jc w:val="left"/>
            </w:pPr>
            <w:r>
              <w:t xml:space="preserve">SOC 2 Type II, encryption in transit and at rest, tenant isolation.</w:t>
            </w:r>
          </w:p>
        </w:tc>
      </w:tr>
      <w:tr>
        <w:tc>
          <w:tcPr/>
          <w:p>
            <w:pPr>
              <w:pStyle w:val="Compact"/>
              <w:jc w:val="left"/>
            </w:pPr>
            <w:r>
              <w:t xml:space="preserve">Deployment flexibility</w:t>
            </w:r>
          </w:p>
        </w:tc>
        <w:tc>
          <w:tcPr/>
          <w:p>
            <w:pPr>
              <w:pStyle w:val="Compact"/>
              <w:jc w:val="right"/>
            </w:pPr>
            <w:r>
              <w:t xml:space="preserve">1</w:t>
            </w:r>
          </w:p>
        </w:tc>
        <w:tc>
          <w:tcPr/>
          <w:p>
            <w:pPr>
              <w:pStyle w:val="Compact"/>
              <w:jc w:val="left"/>
            </w:pPr>
            <w:r>
              <w:t xml:space="preserve">One SaaS region only (AWS us-east-1).</w:t>
            </w:r>
          </w:p>
        </w:tc>
      </w:tr>
      <w:tr>
        <w:tc>
          <w:tcPr/>
          <w:p>
            <w:pPr>
              <w:pStyle w:val="Compact"/>
              <w:jc w:val="left"/>
            </w:pPr>
            <w:r>
              <w:t xml:space="preserve">Ecosystem</w:t>
            </w:r>
          </w:p>
        </w:tc>
        <w:tc>
          <w:tcPr/>
          <w:p>
            <w:pPr>
              <w:pStyle w:val="Compact"/>
              <w:jc w:val="right"/>
            </w:pPr>
            <w:r>
              <w:t xml:space="preserve">3</w:t>
            </w:r>
          </w:p>
        </w:tc>
        <w:tc>
          <w:tcPr/>
          <w:p>
            <w:pPr>
              <w:pStyle w:val="Compact"/>
              <w:jc w:val="left"/>
            </w:pPr>
            <w:r>
              <w:t xml:space="preserve">Store Actors, MCP server and connectors.</w:t>
            </w:r>
          </w:p>
        </w:tc>
      </w:tr>
      <w:tr>
        <w:tc>
          <w:tcPr/>
          <w:p>
            <w:pPr>
              <w:pStyle w:val="Compact"/>
              <w:jc w:val="left"/>
            </w:pPr>
            <w:r>
              <w:t xml:space="preserve">Reliability and maturity</w:t>
            </w:r>
          </w:p>
        </w:tc>
        <w:tc>
          <w:tcPr/>
          <w:p>
            <w:pPr>
              <w:pStyle w:val="Compact"/>
              <w:jc w:val="right"/>
            </w:pPr>
            <w:r>
              <w:t xml:space="preserve">3</w:t>
            </w:r>
          </w:p>
        </w:tc>
        <w:tc>
          <w:tcPr/>
          <w:p>
            <w:pPr>
              <w:pStyle w:val="Compact"/>
              <w:jc w:val="left"/>
            </w:pPr>
            <w:r>
              <w:t xml:space="preserve">Client library on PyPI since 2021 with frequent releases.</w:t>
            </w:r>
          </w:p>
        </w:tc>
      </w:tr>
      <w:tr>
        <w:tc>
          <w:tcPr/>
          <w:p>
            <w:pPr>
              <w:pStyle w:val="Compact"/>
              <w:jc w:val="left"/>
            </w:pPr>
            <w:r>
              <w:t xml:space="preserve">Cost / TCO</w:t>
            </w:r>
          </w:p>
        </w:tc>
        <w:tc>
          <w:tcPr/>
          <w:p>
            <w:pPr>
              <w:pStyle w:val="Compact"/>
              <w:jc w:val="right"/>
            </w:pPr>
            <w:r>
              <w:t xml:space="preserve">3</w:t>
            </w:r>
          </w:p>
        </w:tc>
        <w:tc>
          <w:tcPr/>
          <w:p>
            <w:pPr>
              <w:pStyle w:val="Compact"/>
              <w:jc w:val="left"/>
            </w:pPr>
            <w:r>
              <w:t xml:space="preserve">Published plans and compute-unit rates.</w:t>
            </w:r>
          </w:p>
        </w:tc>
      </w:tr>
      <w:tr>
        <w:tc>
          <w:tcPr/>
          <w:p>
            <w:pPr>
              <w:pStyle w:val="Compact"/>
              <w:jc w:val="left"/>
            </w:pPr>
            <w:r>
              <w:t xml:space="preserve">Lock-in / portability</w:t>
            </w:r>
          </w:p>
        </w:tc>
        <w:tc>
          <w:tcPr/>
          <w:p>
            <w:pPr>
              <w:pStyle w:val="Compact"/>
              <w:jc w:val="right"/>
            </w:pPr>
            <w:r>
              <w:t xml:space="preserve">2</w:t>
            </w:r>
          </w:p>
        </w:tc>
        <w:tc>
          <w:tcPr/>
          <w:p>
            <w:pPr>
              <w:pStyle w:val="Compact"/>
              <w:jc w:val="left"/>
            </w:pPr>
            <w:r>
              <w:t xml:space="preserve">Platform-specific Actors and storage; proprietary API.</w:t>
            </w:r>
          </w:p>
        </w:tc>
      </w:tr>
      <w:tr>
        <w:tc>
          <w:tcPr/>
          <w:p>
            <w:pPr>
              <w:pStyle w:val="Compact"/>
              <w:jc w:val="left"/>
            </w:pPr>
            <w:r>
              <w:rPr>
                <w:bCs/>
                <w:b/>
              </w:rPr>
              <w:t xml:space="preserve">Total (generic / FS)</w:t>
            </w:r>
          </w:p>
        </w:tc>
        <w:tc>
          <w:tcPr/>
          <w:p>
            <w:pPr>
              <w:pStyle w:val="Compact"/>
              <w:jc w:val="right"/>
            </w:pPr>
            <w:r>
              <w:rPr>
                <w:bCs/>
                <w:b/>
              </w:rPr>
              <w:t xml:space="preserve">2.65 / 2.55</w:t>
            </w:r>
          </w:p>
        </w:tc>
        <w:tc>
          <w:tcPr/>
          <w:p>
            <w:pPr>
              <w:pStyle w:val="Compact"/>
            </w:pPr>
          </w:p>
        </w:tc>
      </w:tr>
    </w:tbl>
    <w:p>
      <w:pPr>
        <w:pStyle w:val="BodyText"/>
      </w:pPr>
      <w:r>
        <w:rPr>
          <w:iCs/>
          <w:i/>
        </w:rPr>
        <w:t xml:space="preserve">Evidence rules applied:</w:t>
      </w:r>
      <w:r>
        <w:t xml:space="preserve"> </w:t>
      </w:r>
      <w:r>
        <w:t xml:space="preserve">NPV cap lifted at CP2 review (8 October 2026): roles and SSO documented (B-REV-S025); no audit log found; Rule 7 (CP2 Q2) checked at CP2 rework: roles and SSO verified, no audit log found, so 3 kept</w:t>
      </w:r>
    </w:p>
    <w:p>
      <w:pPr>
        <w:pStyle w:val="BodyText"/>
      </w:pPr>
      <w:r>
        <w:rPr>
          <w:bCs/>
          <w:b/>
        </w:rPr>
        <w:t xml:space="preserve">Capabilities.</w:t>
      </w:r>
      <w:r>
        <w:t xml:space="preserve"> </w:t>
      </w:r>
      <w:r>
        <w:t xml:space="preserve">Serverless</w:t>
      </w:r>
      <w:r>
        <w:t xml:space="preserve"> </w:t>
      </w:r>
      <w:r>
        <w:t xml:space="preserve">‘</w:t>
      </w:r>
      <w:r>
        <w:t xml:space="preserve">Actor</w:t>
      </w:r>
      <w:r>
        <w:t xml:space="preserve">’</w:t>
      </w:r>
      <w:r>
        <w:t xml:space="preserve"> </w:t>
      </w:r>
      <w:r>
        <w:t xml:space="preserve">platform for scrapers and automations with Apify Proxy, datasets, key-value stores and request queues, the Apify Store marketplace and an MCP server</w:t>
      </w:r>
      <w:r>
        <w:t xml:space="preserve"> </w:t>
      </w:r>
      <w:r>
        <w:rPr>
          <w:rStyle w:val="ClaimLabel"/>
        </w:rPr>
        <w:t xml:space="preserve">VF</w:t>
      </w:r>
      <w:r>
        <w:rPr>
          <w:rStyle w:val="FootnoteReference"/>
        </w:rPr>
        <w:footnoteReference w:id="348"/>
      </w:r>
      <w:r>
        <w:t xml:space="preserve">.</w:t>
      </w:r>
    </w:p>
    <w:p>
      <w:pPr>
        <w:pStyle w:val="BodyText"/>
      </w:pPr>
      <w:r>
        <w:rPr>
          <w:bCs/>
          <w:b/>
        </w:rPr>
        <w:t xml:space="preserve">Strengths</w:t>
      </w:r>
    </w:p>
    <w:p>
      <w:pPr>
        <w:numPr>
          <w:ilvl w:val="0"/>
          <w:numId w:val="1081"/>
        </w:numPr>
        <w:pStyle w:val="Compact"/>
      </w:pPr>
      <w:r>
        <w:t xml:space="preserve">Large marketplace of ready-made Actors</w:t>
      </w:r>
      <w:r>
        <w:t xml:space="preserve"> </w:t>
      </w:r>
      <w:r>
        <w:rPr>
          <w:rStyle w:val="ClaimLabel"/>
        </w:rPr>
        <w:t xml:space="preserve">VF</w:t>
      </w:r>
      <w:r>
        <w:rPr>
          <w:rStyle w:val="FootnoteReference"/>
        </w:rPr>
        <w:footnoteReference w:id="351"/>
      </w:r>
    </w:p>
    <w:p>
      <w:pPr>
        <w:numPr>
          <w:ilvl w:val="0"/>
          <w:numId w:val="1081"/>
        </w:numPr>
        <w:pStyle w:val="Compact"/>
      </w:pPr>
      <w:r>
        <w:t xml:space="preserve">SOC 2 Type II with report via trust.apify.com</w:t>
      </w:r>
      <w:r>
        <w:t xml:space="preserve"> </w:t>
      </w:r>
      <w:r>
        <w:rPr>
          <w:rStyle w:val="ClaimLabel"/>
        </w:rPr>
        <w:t xml:space="preserve">VF</w:t>
      </w:r>
      <w:r>
        <w:rPr>
          <w:rStyle w:val="FootnoteReference"/>
        </w:rPr>
        <w:footnoteReference w:id="352"/>
      </w:r>
    </w:p>
    <w:p>
      <w:pPr>
        <w:numPr>
          <w:ilvl w:val="0"/>
          <w:numId w:val="1081"/>
        </w:numPr>
        <w:pStyle w:val="Compact"/>
      </w:pPr>
      <w:r>
        <w:t xml:space="preserve">Transparent compute-unit pricing</w:t>
      </w:r>
      <w:r>
        <w:t xml:space="preserve"> </w:t>
      </w:r>
      <w:r>
        <w:rPr>
          <w:rStyle w:val="ClaimLabel"/>
        </w:rPr>
        <w:t xml:space="preserve">VF</w:t>
      </w:r>
      <w:r>
        <w:rPr>
          <w:rStyle w:val="FootnoteReference"/>
        </w:rPr>
        <w:footnoteReference w:id="355"/>
      </w:r>
    </w:p>
    <w:p>
      <w:pPr>
        <w:pStyle w:val="FirstParagraph"/>
      </w:pPr>
      <w:r>
        <w:rPr>
          <w:bCs/>
          <w:b/>
        </w:rPr>
        <w:t xml:space="preserve">Limitations and risks</w:t>
      </w:r>
    </w:p>
    <w:p>
      <w:pPr>
        <w:numPr>
          <w:ilvl w:val="0"/>
          <w:numId w:val="1082"/>
        </w:numPr>
        <w:pStyle w:val="Compact"/>
      </w:pPr>
      <w:r>
        <w:t xml:space="preserve">Hosted only in AWS us-east-1; no EU region documented</w:t>
      </w:r>
      <w:r>
        <w:t xml:space="preserve"> </w:t>
      </w:r>
      <w:r>
        <w:rPr>
          <w:rStyle w:val="ClaimLabel"/>
        </w:rPr>
        <w:t xml:space="preserve">VF</w:t>
      </w:r>
      <w:r>
        <w:rPr>
          <w:rStyle w:val="FootnoteReference"/>
        </w:rPr>
        <w:footnoteReference w:id="357"/>
      </w:r>
    </w:p>
    <w:p>
      <w:pPr>
        <w:numPr>
          <w:ilvl w:val="0"/>
          <w:numId w:val="1082"/>
        </w:numPr>
        <w:pStyle w:val="Compact"/>
      </w:pPr>
      <w:r>
        <w:t xml:space="preserve">Third-party Store Actors are outside Apify’s control under its shared-responsibility model</w:t>
      </w:r>
      <w:r>
        <w:t xml:space="preserve"> </w:t>
      </w:r>
      <w:r>
        <w:rPr>
          <w:rStyle w:val="ClaimLabel"/>
        </w:rPr>
        <w:t xml:space="preserve">VF</w:t>
      </w:r>
      <w:r>
        <w:rPr>
          <w:rStyle w:val="FootnoteReference"/>
        </w:rPr>
        <w:footnoteReference w:id="359"/>
      </w:r>
    </w:p>
    <w:p>
      <w:pPr>
        <w:numPr>
          <w:ilvl w:val="0"/>
          <w:numId w:val="1082"/>
        </w:numPr>
        <w:pStyle w:val="Compact"/>
      </w:pPr>
      <w:r>
        <w:t xml:space="preserve">Actors and storage are platform-specific</w:t>
      </w:r>
      <w:r>
        <w:t xml:space="preserve"> </w:t>
      </w:r>
      <w:r>
        <w:rPr>
          <w:rStyle w:val="ClaimLabel"/>
        </w:rPr>
        <w:t xml:space="preserve">VF</w:t>
      </w:r>
      <w:r>
        <w:rPr>
          <w:rStyle w:val="FootnoteReference"/>
        </w:rPr>
        <w:footnoteReference w:id="360"/>
      </w:r>
    </w:p>
    <w:p>
      <w:pPr>
        <w:numPr>
          <w:ilvl w:val="0"/>
          <w:numId w:val="1082"/>
        </w:numPr>
        <w:pStyle w:val="Compact"/>
      </w:pPr>
      <w:r>
        <w:t xml:space="preserve">Access controls and enterprise support not verified</w:t>
      </w:r>
      <w:r>
        <w:t xml:space="preserve"> </w:t>
      </w:r>
      <w:r>
        <w:rPr>
          <w:rStyle w:val="ClaimLabel"/>
        </w:rPr>
        <w:t xml:space="preserve">NPV</w:t>
      </w:r>
    </w:p>
    <w:p>
      <w:pPr>
        <w:pStyle w:val="FirstParagraph"/>
      </w:pPr>
      <w:r>
        <w:rPr>
          <w:bCs/>
          <w:b/>
        </w:rPr>
        <w:t xml:space="preserve">Choose when</w:t>
      </w:r>
    </w:p>
    <w:p>
      <w:pPr>
        <w:numPr>
          <w:ilvl w:val="0"/>
          <w:numId w:val="1083"/>
        </w:numPr>
        <w:pStyle w:val="Compact"/>
      </w:pPr>
      <w:r>
        <w:t xml:space="preserve">Long-tail public-web acquisition where a maintained Actor already exists and the data is public</w:t>
      </w:r>
    </w:p>
    <w:p>
      <w:pPr>
        <w:numPr>
          <w:ilvl w:val="0"/>
          <w:numId w:val="1083"/>
        </w:numPr>
        <w:pStyle w:val="Compact"/>
      </w:pPr>
      <w:r>
        <w:t xml:space="preserve">Short-lived research or market-data collection that never touches client data</w:t>
      </w:r>
    </w:p>
    <w:p>
      <w:pPr>
        <w:pStyle w:val="FirstParagraph"/>
      </w:pPr>
      <w:r>
        <w:rPr>
          <w:bCs/>
          <w:b/>
        </w:rPr>
        <w:t xml:space="preserve">Avoid when</w:t>
      </w:r>
    </w:p>
    <w:p>
      <w:pPr>
        <w:numPr>
          <w:ilvl w:val="0"/>
          <w:numId w:val="1084"/>
        </w:numPr>
        <w:pStyle w:val="Compact"/>
      </w:pPr>
      <w:r>
        <w:t xml:space="preserve">Any personal, client or confidential data is involved</w:t>
      </w:r>
    </w:p>
    <w:p>
      <w:pPr>
        <w:numPr>
          <w:ilvl w:val="0"/>
          <w:numId w:val="1084"/>
        </w:numPr>
        <w:pStyle w:val="Compact"/>
      </w:pPr>
      <w:r>
        <w:t xml:space="preserve">Data must be processed in the EU or UK</w:t>
      </w:r>
    </w:p>
    <w:p>
      <w:pPr>
        <w:pStyle w:val="FirstParagraph"/>
      </w:pPr>
      <w:r>
        <w:rPr>
          <w:bCs/>
          <w:b/>
        </w:rPr>
        <w:t xml:space="preserve">Nearest competitors:</w:t>
      </w:r>
      <w:r>
        <w:t xml:space="preserve"> </w:t>
      </w:r>
      <w:r>
        <w:t xml:space="preserve">L8-firecrawl, L8-crawl4ai</w:t>
      </w:r>
    </w:p>
    <w:p>
      <w:pPr>
        <w:pStyle w:val="BodyText"/>
      </w:pPr>
      <w:r>
        <w:rPr>
          <w:bCs/>
          <w:b/>
        </w:rPr>
        <w:t xml:space="preserve">Regulated-FS note.</w:t>
      </w:r>
      <w:r>
        <w:t xml:space="preserve"> </w:t>
      </w:r>
      <w:r>
        <w:t xml:space="preserve">US-only processing and third-party Actors make it unsuitable for anything beyond public data; review each Actor as third-party code</w:t>
      </w:r>
      <w:r>
        <w:t xml:space="preserve"> </w:t>
      </w:r>
      <w:r>
        <w:rPr>
          <w:rStyle w:val="ClaimLabel"/>
        </w:rPr>
        <w:t xml:space="preserve">Rec</w:t>
      </w:r>
      <w:r>
        <w:t xml:space="preserve">.</w:t>
      </w:r>
    </w:p>
    <w:p>
      <w:pPr>
        <w:pStyle w:val="BodyText"/>
      </w:pPr>
      <w:r>
        <w:rPr>
          <w:bCs/>
          <w:b/>
        </w:rPr>
        <w:t xml:space="preserve">Facts (as of 2026-10-08)</w:t>
      </w:r>
    </w:p>
    <w:tbl>
      <w:tblPr>
        <w:tblStyle w:val="Table"/>
        <w:tblW w:type="pct" w:w="5000"/>
        <w:tblLook w:firstRow="1" w:lastRow="0" w:firstColumn="0" w:lastColumn="0" w:noHBand="0" w:noVBand="0" w:val="0020"/>
        <w:jc w:val="start"/>
      </w:tblPr>
      <w:tblGrid>
        <w:gridCol w:w="1485"/>
        <w:gridCol w:w="4290"/>
        <w:gridCol w:w="1320"/>
        <w:gridCol w:w="825"/>
      </w:tblGrid>
      <w:tr>
        <w:trPr>
          <w:tblHeader w:val="true"/>
        </w:trPr>
        <w:tc>
          <w:tcPr/>
          <w:p>
            <w:pPr>
              <w:pStyle w:val="Compact"/>
              <w:jc w:val="left"/>
            </w:pPr>
            <w:r>
              <w:t xml:space="preserve">Field</w:t>
            </w:r>
          </w:p>
        </w:tc>
        <w:tc>
          <w:tcPr/>
          <w:p>
            <w:pPr>
              <w:pStyle w:val="Compact"/>
              <w:jc w:val="left"/>
            </w:pPr>
            <w:r>
              <w:t xml:space="preserve">Value</w:t>
            </w:r>
          </w:p>
        </w:tc>
        <w:tc>
          <w:tcPr/>
          <w:p>
            <w:pPr>
              <w:pStyle w:val="Compact"/>
              <w:jc w:val="left"/>
            </w:pPr>
            <w:r>
              <w:t xml:space="preserve">Label</w:t>
            </w:r>
          </w:p>
        </w:tc>
        <w:tc>
          <w:tcPr/>
          <w:p>
            <w:pPr>
              <w:pStyle w:val="Compact"/>
              <w:jc w:val="left"/>
            </w:pPr>
            <w:r>
              <w:t xml:space="preserve">Sources</w:t>
            </w:r>
          </w:p>
        </w:tc>
      </w:tr>
      <w:tr>
        <w:tc>
          <w:tcPr/>
          <w:p>
            <w:pPr>
              <w:pStyle w:val="Compact"/>
              <w:jc w:val="left"/>
            </w:pPr>
            <w:r>
              <w:t xml:space="preserve">Company</w:t>
            </w:r>
          </w:p>
        </w:tc>
        <w:tc>
          <w:tcPr/>
          <w:p>
            <w:pPr>
              <w:pStyle w:val="Compact"/>
              <w:jc w:val="left"/>
            </w:pPr>
            <w:r>
              <w:t xml:space="preserve">Apify Technologies s.r.o.</w:t>
            </w:r>
          </w:p>
        </w:tc>
        <w:tc>
          <w:tcPr/>
          <w:p>
            <w:pPr>
              <w:pStyle w:val="Compact"/>
              <w:jc w:val="left"/>
            </w:pPr>
            <w:r>
              <w:t xml:space="preserve">Verified fact</w:t>
            </w:r>
          </w:p>
        </w:tc>
        <w:tc>
          <w:tcPr/>
          <w:p>
            <w:pPr>
              <w:pStyle w:val="Compact"/>
              <w:jc w:val="left"/>
            </w:pPr>
            <w:r>
              <w:t xml:space="preserve">A1-S016</w:t>
            </w:r>
          </w:p>
        </w:tc>
      </w:tr>
      <w:tr>
        <w:tc>
          <w:tcPr/>
          <w:p>
            <w:pPr>
              <w:pStyle w:val="Compact"/>
              <w:jc w:val="left"/>
            </w:pPr>
            <w:r>
              <w:t xml:space="preserve">Category</w:t>
            </w:r>
          </w:p>
        </w:tc>
        <w:tc>
          <w:tcPr/>
          <w:p>
            <w:pPr>
              <w:pStyle w:val="Compact"/>
              <w:jc w:val="left"/>
            </w:pPr>
            <w:r>
              <w:t xml:space="preserve">Web scraping and automation platform with an Actor marketplace (Apify Store), managed proxy and storage</w:t>
            </w:r>
          </w:p>
        </w:tc>
        <w:tc>
          <w:tcPr/>
          <w:p>
            <w:pPr>
              <w:pStyle w:val="Compact"/>
              <w:jc w:val="left"/>
            </w:pPr>
            <w:r>
              <w:t xml:space="preserve">Verified fact</w:t>
            </w:r>
          </w:p>
        </w:tc>
        <w:tc>
          <w:tcPr/>
          <w:p>
            <w:pPr>
              <w:pStyle w:val="Compact"/>
              <w:jc w:val="left"/>
            </w:pPr>
            <w:r>
              <w:t xml:space="preserve">A1-S087, A1-S089</w:t>
            </w:r>
          </w:p>
        </w:tc>
      </w:tr>
      <w:tr>
        <w:tc>
          <w:tcPr/>
          <w:p>
            <w:pPr>
              <w:pStyle w:val="Compact"/>
              <w:jc w:val="left"/>
            </w:pPr>
            <w:r>
              <w:t xml:space="preserve">Version / lineup</w:t>
            </w:r>
          </w:p>
        </w:tc>
        <w:tc>
          <w:tcPr/>
          <w:p>
            <w:pPr>
              <w:pStyle w:val="Compact"/>
              <w:jc w:val="left"/>
            </w:pPr>
            <w:r>
              <w:t xml:space="preserve">SaaS platform; apify-client (Python) 3.2.1, released 25 September 2026</w:t>
            </w:r>
          </w:p>
        </w:tc>
        <w:tc>
          <w:tcPr/>
          <w:p>
            <w:pPr>
              <w:pStyle w:val="Compact"/>
              <w:jc w:val="left"/>
            </w:pPr>
            <w:r>
              <w:t xml:space="preserve">Verified fact</w:t>
            </w:r>
          </w:p>
        </w:tc>
        <w:tc>
          <w:tcPr/>
          <w:p>
            <w:pPr>
              <w:pStyle w:val="Compact"/>
              <w:jc w:val="left"/>
            </w:pPr>
            <w:r>
              <w:t xml:space="preserve">A1-S016</w:t>
            </w:r>
          </w:p>
        </w:tc>
      </w:tr>
      <w:tr>
        <w:tc>
          <w:tcPr/>
          <w:p>
            <w:pPr>
              <w:pStyle w:val="Compact"/>
              <w:jc w:val="left"/>
            </w:pPr>
            <w:r>
              <w:t xml:space="preserve">Licence</w:t>
            </w:r>
          </w:p>
        </w:tc>
        <w:tc>
          <w:tcPr/>
          <w:p>
            <w:pPr>
              <w:pStyle w:val="Compact"/>
              <w:jc w:val="left"/>
            </w:pPr>
            <w:r>
              <w:t xml:space="preserve">Proprietary platform; Python API client Apache-2.0</w:t>
            </w:r>
          </w:p>
        </w:tc>
        <w:tc>
          <w:tcPr/>
          <w:p>
            <w:pPr>
              <w:pStyle w:val="Compact"/>
              <w:jc w:val="left"/>
            </w:pPr>
            <w:r>
              <w:t xml:space="preserve">Verified fact</w:t>
            </w:r>
          </w:p>
        </w:tc>
        <w:tc>
          <w:tcPr/>
          <w:p>
            <w:pPr>
              <w:pStyle w:val="Compact"/>
              <w:jc w:val="left"/>
            </w:pPr>
            <w:r>
              <w:t xml:space="preserve">A1-S016</w:t>
            </w:r>
          </w:p>
        </w:tc>
      </w:tr>
      <w:tr>
        <w:tc>
          <w:tcPr/>
          <w:p>
            <w:pPr>
              <w:pStyle w:val="Compact"/>
              <w:jc w:val="left"/>
            </w:pPr>
            <w:r>
              <w:t xml:space="preserve">Strategic direction</w:t>
            </w:r>
          </w:p>
        </w:tc>
        <w:tc>
          <w:tcPr/>
          <w:p>
            <w:pPr>
              <w:pStyle w:val="Compact"/>
              <w:jc w:val="left"/>
            </w:pPr>
            <w:r>
              <w:t xml:space="preserve">Exposes Store Actors to AI agents through the Apify MCP server (mcp.apify.com)</w:t>
            </w:r>
          </w:p>
        </w:tc>
        <w:tc>
          <w:tcPr/>
          <w:p>
            <w:pPr>
              <w:pStyle w:val="Compact"/>
              <w:jc w:val="left"/>
            </w:pPr>
            <w:r>
              <w:t xml:space="preserve">Verified fact</w:t>
            </w:r>
          </w:p>
        </w:tc>
        <w:tc>
          <w:tcPr/>
          <w:p>
            <w:pPr>
              <w:pStyle w:val="Compact"/>
              <w:jc w:val="left"/>
            </w:pPr>
            <w:r>
              <w:t xml:space="preserve">A1-S089</w:t>
            </w:r>
          </w:p>
        </w:tc>
      </w:tr>
      <w:tr>
        <w:tc>
          <w:tcPr/>
          <w:p>
            <w:pPr>
              <w:pStyle w:val="Compact"/>
              <w:jc w:val="left"/>
            </w:pPr>
            <w:r>
              <w:t xml:space="preserve">What it does</w:t>
            </w:r>
          </w:p>
        </w:tc>
        <w:tc>
          <w:tcPr/>
          <w:p>
            <w:pPr>
              <w:pStyle w:val="Compact"/>
              <w:jc w:val="left"/>
            </w:pPr>
            <w:r>
              <w:t xml:space="preserve">Runs serverless</w:t>
            </w:r>
            <w:r>
              <w:t xml:space="preserve"> </w:t>
            </w:r>
            <w:r>
              <w:t xml:space="preserve">‘</w:t>
            </w:r>
            <w:r>
              <w:t xml:space="preserve">Actors</w:t>
            </w:r>
            <w:r>
              <w:t xml:space="preserve">’</w:t>
            </w:r>
            <w:r>
              <w:t xml:space="preserve"> </w:t>
            </w:r>
            <w:r>
              <w:t xml:space="preserve">(scrapers and automations) in isolated containers, routes traffic through Apify Proxy, and stores results in datasets, key-value stores and request queues reachable via API.</w:t>
            </w:r>
          </w:p>
        </w:tc>
        <w:tc>
          <w:tcPr/>
          <w:p>
            <w:pPr>
              <w:pStyle w:val="Compact"/>
              <w:jc w:val="left"/>
            </w:pPr>
            <w:r>
              <w:t xml:space="preserve">Verified fact</w:t>
            </w:r>
          </w:p>
        </w:tc>
        <w:tc>
          <w:tcPr/>
          <w:p>
            <w:pPr>
              <w:pStyle w:val="Compact"/>
              <w:jc w:val="left"/>
            </w:pPr>
            <w:r>
              <w:t xml:space="preserve">A1-S087</w:t>
            </w:r>
          </w:p>
        </w:tc>
      </w:tr>
      <w:tr>
        <w:tc>
          <w:tcPr/>
          <w:p>
            <w:pPr>
              <w:pStyle w:val="Compact"/>
              <w:jc w:val="left"/>
            </w:pPr>
            <w:r>
              <w:t xml:space="preserve">Stack position</w:t>
            </w:r>
          </w:p>
        </w:tc>
        <w:tc>
          <w:tcPr/>
          <w:p>
            <w:pPr>
              <w:pStyle w:val="Compact"/>
              <w:jc w:val="left"/>
            </w:pPr>
            <w:r>
              <w:t xml:space="preserve">L8 web acquisition; overlaps L4 tools via MCP</w:t>
            </w:r>
          </w:p>
        </w:tc>
        <w:tc>
          <w:tcPr/>
          <w:p>
            <w:pPr>
              <w:pStyle w:val="Compact"/>
              <w:jc w:val="left"/>
            </w:pPr>
            <w:r>
              <w:t xml:space="preserve">Verified fact</w:t>
            </w:r>
          </w:p>
        </w:tc>
        <w:tc>
          <w:tcPr/>
          <w:p>
            <w:pPr>
              <w:pStyle w:val="Compact"/>
              <w:jc w:val="left"/>
            </w:pPr>
            <w:r>
              <w:t xml:space="preserve">A1-S087, A1-S089</w:t>
            </w:r>
          </w:p>
        </w:tc>
      </w:tr>
      <w:tr>
        <w:tc>
          <w:tcPr/>
          <w:p>
            <w:pPr>
              <w:pStyle w:val="Compact"/>
              <w:jc w:val="left"/>
            </w:pPr>
            <w:r>
              <w:t xml:space="preserve">Integration</w:t>
            </w:r>
          </w:p>
        </w:tc>
        <w:tc>
          <w:tcPr/>
          <w:p>
            <w:pPr>
              <w:pStyle w:val="Compact"/>
              <w:jc w:val="left"/>
            </w:pPr>
            <w:r>
              <w:t xml:space="preserve">REST API v2, JavaScript and Python clients, webhooks, MCP server, third-party connectors</w:t>
            </w:r>
          </w:p>
        </w:tc>
        <w:tc>
          <w:tcPr/>
          <w:p>
            <w:pPr>
              <w:pStyle w:val="Compact"/>
              <w:jc w:val="left"/>
            </w:pPr>
            <w:r>
              <w:t xml:space="preserve">Verified fact</w:t>
            </w:r>
          </w:p>
        </w:tc>
        <w:tc>
          <w:tcPr/>
          <w:p>
            <w:pPr>
              <w:pStyle w:val="Compact"/>
              <w:jc w:val="left"/>
            </w:pPr>
            <w:r>
              <w:t xml:space="preserve">A1-S087, A1-S089</w:t>
            </w:r>
          </w:p>
        </w:tc>
      </w:tr>
      <w:tr>
        <w:tc>
          <w:tcPr/>
          <w:p>
            <w:pPr>
              <w:pStyle w:val="Compact"/>
              <w:jc w:val="left"/>
            </w:pPr>
            <w:r>
              <w:t xml:space="preserve">Dependencies</w:t>
            </w:r>
          </w:p>
        </w:tc>
        <w:tc>
          <w:tcPr/>
          <w:p>
            <w:pPr>
              <w:pStyle w:val="Compact"/>
              <w:jc w:val="left"/>
            </w:pPr>
            <w:r>
              <w:t xml:space="preserve">Hosted on AWS in a single region (us-east-1) across multiple Availability Zones; MongoDB Atlas, S3 and DynamoDB</w:t>
            </w:r>
          </w:p>
        </w:tc>
        <w:tc>
          <w:tcPr/>
          <w:p>
            <w:pPr>
              <w:pStyle w:val="Compact"/>
              <w:jc w:val="left"/>
            </w:pPr>
            <w:r>
              <w:t xml:space="preserve">Verified fact</w:t>
            </w:r>
          </w:p>
        </w:tc>
        <w:tc>
          <w:tcPr/>
          <w:p>
            <w:pPr>
              <w:pStyle w:val="Compact"/>
              <w:jc w:val="left"/>
            </w:pPr>
            <w:r>
              <w:t xml:space="preserve">A1-S086, A1-S087</w:t>
            </w:r>
          </w:p>
        </w:tc>
      </w:tr>
      <w:tr>
        <w:tc>
          <w:tcPr/>
          <w:p>
            <w:pPr>
              <w:pStyle w:val="Compact"/>
              <w:jc w:val="left"/>
            </w:pPr>
            <w:r>
              <w:t xml:space="preserve">Certifications</w:t>
            </w:r>
          </w:p>
        </w:tc>
        <w:tc>
          <w:tcPr/>
          <w:p>
            <w:pPr>
              <w:pStyle w:val="Compact"/>
              <w:jc w:val="left"/>
            </w:pPr>
            <w:r>
              <w:t xml:space="preserve">SOC 2 Type II (report via trust.apify.com)</w:t>
            </w:r>
          </w:p>
        </w:tc>
        <w:tc>
          <w:tcPr/>
          <w:p>
            <w:pPr>
              <w:pStyle w:val="Compact"/>
              <w:jc w:val="left"/>
            </w:pPr>
            <w:r>
              <w:t xml:space="preserve">Verified fact</w:t>
            </w:r>
          </w:p>
        </w:tc>
        <w:tc>
          <w:tcPr/>
          <w:p>
            <w:pPr>
              <w:pStyle w:val="Compact"/>
              <w:jc w:val="left"/>
            </w:pPr>
            <w:r>
              <w:t xml:space="preserve">A1-S085, V1-S089</w:t>
            </w:r>
          </w:p>
        </w:tc>
      </w:tr>
      <w:tr>
        <w:tc>
          <w:tcPr/>
          <w:p>
            <w:pPr>
              <w:pStyle w:val="Compact"/>
              <w:jc w:val="left"/>
            </w:pPr>
            <w:r>
              <w:t xml:space="preserve">GDPR / residency</w:t>
            </w:r>
          </w:p>
        </w:tc>
        <w:tc>
          <w:tcPr/>
          <w:p>
            <w:pPr>
              <w:pStyle w:val="Compact"/>
              <w:jc w:val="left"/>
            </w:pPr>
            <w:r>
              <w:t xml:space="preserve">Platform data hosted in AWS us-east-1 (no EU region documented)</w:t>
            </w:r>
          </w:p>
        </w:tc>
        <w:tc>
          <w:tcPr/>
          <w:p>
            <w:pPr>
              <w:pStyle w:val="Compact"/>
              <w:jc w:val="left"/>
            </w:pPr>
            <w:r>
              <w:t xml:space="preserve">Verified fact</w:t>
            </w:r>
          </w:p>
        </w:tc>
        <w:tc>
          <w:tcPr/>
          <w:p>
            <w:pPr>
              <w:pStyle w:val="Compact"/>
              <w:jc w:val="left"/>
            </w:pPr>
            <w:r>
              <w:t xml:space="preserve">A1-S086, V1-S089</w:t>
            </w:r>
          </w:p>
        </w:tc>
      </w:tr>
      <w:tr>
        <w:tc>
          <w:tcPr/>
          <w:p>
            <w:pPr>
              <w:pStyle w:val="Compact"/>
              <w:jc w:val="left"/>
            </w:pPr>
            <w:r>
              <w:t xml:space="preserve">Security features</w:t>
            </w:r>
          </w:p>
        </w:tc>
        <w:tc>
          <w:tcPr/>
          <w:p>
            <w:pPr>
              <w:pStyle w:val="Compact"/>
              <w:jc w:val="left"/>
            </w:pPr>
            <w:r>
              <w:t xml:space="preserve">Encryption in transit and at rest; tenant isolation; shared-responsibility model documented</w:t>
            </w:r>
          </w:p>
        </w:tc>
        <w:tc>
          <w:tcPr/>
          <w:p>
            <w:pPr>
              <w:pStyle w:val="Compact"/>
              <w:jc w:val="left"/>
            </w:pPr>
            <w:r>
              <w:t xml:space="preserve">Verified fact</w:t>
            </w:r>
          </w:p>
        </w:tc>
        <w:tc>
          <w:tcPr/>
          <w:p>
            <w:pPr>
              <w:pStyle w:val="Compact"/>
              <w:jc w:val="left"/>
            </w:pPr>
            <w:r>
              <w:t xml:space="preserve">A1-S086, A1-S085</w:t>
            </w:r>
          </w:p>
        </w:tc>
      </w:tr>
      <w:tr>
        <w:tc>
          <w:tcPr/>
          <w:p>
            <w:pPr>
              <w:pStyle w:val="Compact"/>
              <w:jc w:val="left"/>
            </w:pPr>
            <w:r>
              <w:t xml:space="preserve">Access controls</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Enterprise support</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Pricing</w:t>
            </w:r>
          </w:p>
        </w:tc>
        <w:tc>
          <w:tcPr/>
          <w:p>
            <w:pPr>
              <w:pStyle w:val="Compact"/>
              <w:jc w:val="left"/>
            </w:pPr>
            <w:r>
              <w:t xml:space="preserve">Free US$0 (US$5 prepaid usage, CU US$0.20); Starter US$19/month (CU US$0.20); Scale US$199/month (CU US$0.16); Business US$999/month (CU US$0.13); 1 CU = 1 GB RAM for 1 hour</w:t>
            </w:r>
          </w:p>
        </w:tc>
        <w:tc>
          <w:tcPr/>
          <w:p>
            <w:pPr>
              <w:pStyle w:val="Compact"/>
              <w:jc w:val="left"/>
            </w:pPr>
            <w:r>
              <w:t xml:space="preserve">Verified fact</w:t>
            </w:r>
          </w:p>
        </w:tc>
        <w:tc>
          <w:tcPr/>
          <w:p>
            <w:pPr>
              <w:pStyle w:val="Compact"/>
              <w:jc w:val="left"/>
            </w:pPr>
            <w:r>
              <w:t xml:space="preserve">A1-S133, A1-S088</w:t>
            </w:r>
          </w:p>
        </w:tc>
      </w:tr>
      <w:tr>
        <w:tc>
          <w:tcPr/>
          <w:p>
            <w:pPr>
              <w:pStyle w:val="Compact"/>
              <w:jc w:val="left"/>
            </w:pPr>
            <w:r>
              <w:t xml:space="preserve">Infrastructure cost</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Ecosystem</w:t>
            </w:r>
          </w:p>
        </w:tc>
        <w:tc>
          <w:tcPr/>
          <w:p>
            <w:pPr>
              <w:pStyle w:val="Compact"/>
              <w:jc w:val="left"/>
            </w:pPr>
            <w:r>
              <w:t xml:space="preserve">Apify Store Actors; MCP clients</w:t>
            </w:r>
          </w:p>
        </w:tc>
        <w:tc>
          <w:tcPr/>
          <w:p>
            <w:pPr>
              <w:pStyle w:val="Compact"/>
              <w:jc w:val="left"/>
            </w:pPr>
            <w:r>
              <w:t xml:space="preserve">Verified fact</w:t>
            </w:r>
          </w:p>
        </w:tc>
        <w:tc>
          <w:tcPr/>
          <w:p>
            <w:pPr>
              <w:pStyle w:val="Compact"/>
              <w:jc w:val="left"/>
            </w:pPr>
            <w:r>
              <w:t xml:space="preserve">A1-S089</w:t>
            </w:r>
          </w:p>
        </w:tc>
      </w:tr>
      <w:tr>
        <w:tc>
          <w:tcPr/>
          <w:p>
            <w:pPr>
              <w:pStyle w:val="Compact"/>
              <w:jc w:val="left"/>
            </w:pPr>
            <w:r>
              <w:t xml:space="preserve">Adoption signals</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Maturity</w:t>
            </w:r>
          </w:p>
        </w:tc>
        <w:tc>
          <w:tcPr/>
          <w:p>
            <w:pPr>
              <w:pStyle w:val="Compact"/>
              <w:jc w:val="left"/>
            </w:pPr>
            <w:r>
              <w:t xml:space="preserve">apify-client first on PyPI 17 May 2021; 237 releases</w:t>
            </w:r>
          </w:p>
        </w:tc>
        <w:tc>
          <w:tcPr/>
          <w:p>
            <w:pPr>
              <w:pStyle w:val="Compact"/>
              <w:jc w:val="left"/>
            </w:pPr>
            <w:r>
              <w:t xml:space="preserve">Verified fact</w:t>
            </w:r>
          </w:p>
        </w:tc>
        <w:tc>
          <w:tcPr/>
          <w:p>
            <w:pPr>
              <w:pStyle w:val="Compact"/>
              <w:jc w:val="left"/>
            </w:pPr>
            <w:r>
              <w:t xml:space="preserve">A1-S016</w:t>
            </w:r>
          </w:p>
        </w:tc>
      </w:tr>
      <w:tr>
        <w:tc>
          <w:tcPr/>
          <w:p>
            <w:pPr>
              <w:pStyle w:val="Compact"/>
              <w:jc w:val="left"/>
            </w:pPr>
            <w:r>
              <w:t xml:space="preserve">Deployment</w:t>
            </w:r>
          </w:p>
        </w:tc>
        <w:tc>
          <w:tcPr/>
          <w:p>
            <w:pPr>
              <w:pStyle w:val="Compact"/>
              <w:jc w:val="left"/>
            </w:pPr>
            <w:r>
              <w:t xml:space="preserve">saas: Yes; managed_cloud: Not publicly verified; vpc_byoc: Not publicly verified; private_cloud: Not publicly verified; self_hosted: Not publicly verified; on_prem: Not publicly verified</w:t>
            </w:r>
          </w:p>
        </w:tc>
        <w:tc>
          <w:tcPr/>
          <w:p>
            <w:pPr>
              <w:pStyle w:val="Compact"/>
            </w:pPr>
          </w:p>
        </w:tc>
        <w:tc>
          <w:tcPr/>
          <w:p>
            <w:pPr>
              <w:pStyle w:val="Compact"/>
            </w:pPr>
          </w:p>
        </w:tc>
      </w:tr>
    </w:tbl>
    <w:bookmarkEnd w:id="361"/>
    <w:bookmarkEnd w:id="362"/>
    <w:bookmarkStart w:id="524" w:name="l7-embeddings-and-reranking"/>
    <w:p>
      <w:pPr>
        <w:pStyle w:val="Heading1"/>
      </w:pPr>
      <w:r>
        <w:t xml:space="preserve">L7: Embeddings and reranking</w:t>
      </w:r>
    </w:p>
    <w:bookmarkStart w:id="383" w:name="X35ace8e6dcea2cb2a2d3c22c780838b9be22e94"/>
    <w:p>
      <w:pPr>
        <w:pStyle w:val="Heading2"/>
      </w:pPr>
      <w:r>
        <w:t xml:space="preserve">Cohere Embed 5 (embed-v5.0-pro, embed-v5.0-fast) and Cohere Rerank 4 (rerank-v4.0-pro, rerank-v4.0-fast) (</w:t>
      </w:r>
      <w:r>
        <w:rPr>
          <w:rStyle w:val="VerbatimChar"/>
        </w:rPr>
        <w:t xml:space="preserve">L7-cohere</w:t>
      </w:r>
      <w:r>
        <w:t xml:space="preserve">)</w:t>
      </w:r>
    </w:p>
    <w:p>
      <w:pPr>
        <w:pStyle w:val="FirstParagraph"/>
      </w:pPr>
      <w:r>
        <w:rPr>
          <w:bCs/>
          <w:b/>
        </w:rPr>
        <w:t xml:space="preserve">Tier:</w:t>
      </w:r>
      <w:r>
        <w:t xml:space="preserve"> </w:t>
      </w:r>
      <w:r>
        <w:t xml:space="preserve">Tactical ·</w:t>
      </w:r>
      <w:r>
        <w:t xml:space="preserve"> </w:t>
      </w:r>
      <w:r>
        <w:rPr>
          <w:bCs/>
          <w:b/>
        </w:rPr>
        <w:t xml:space="preserve">Flags:</w:t>
      </w:r>
      <w:r>
        <w:t xml:space="preserve"> </w:t>
      </w:r>
      <w:r>
        <w:t xml:space="preserve">none ·</w:t>
      </w:r>
      <w:r>
        <w:t xml:space="preserve"> </w:t>
      </w:r>
      <w:r>
        <w:rPr>
          <w:bCs/>
          <w:b/>
        </w:rPr>
        <w:t xml:space="preserve">Original graphic label:</w:t>
      </w:r>
      <w:r>
        <w:t xml:space="preserve"> </w:t>
      </w:r>
      <w:r>
        <w:t xml:space="preserve">Cohere – Embed v3 + Rerank</w:t>
      </w:r>
    </w:p>
    <w:p>
      <w:pPr>
        <w:pStyle w:val="BodyText"/>
      </w:pPr>
      <w:r>
        <w:rPr>
          <w:iCs/>
          <w:i/>
        </w:rPr>
        <w:t xml:space="preserve">Rationale:</w:t>
      </w:r>
      <w:r>
        <w:t xml:space="preserve"> </w:t>
      </w:r>
      <w:r>
        <w:t xml:space="preserve">The widest deployment range among the hosted vendors, with FS-grade certifications. FS 3.70 on the hyperscaler route meets the numeric guide for Strategic, but it stays Tactical until its stated condition is met: per-service due diligence confirming the Foundry or SageMaker controls (the CP2 Q1 presumption is not that evidence), with the pending Aleph Alpha combination recorded as an ownership event. Upgrade candidate</w:t>
      </w:r>
      <w:r>
        <w:t xml:space="preserve"> </w:t>
      </w:r>
      <w:r>
        <w:rPr>
          <w:rStyle w:val="ClaimLabel"/>
        </w:rPr>
        <w:t xml:space="preserve">AJ</w:t>
      </w:r>
      <w:r>
        <w:t xml:space="preserve">.</w:t>
      </w:r>
    </w:p>
    <w:tbl>
      <w:tblPr>
        <w:tblStyle w:val="Table"/>
        <w:tblW w:type="pct" w:w="5000"/>
        <w:tblLook w:firstRow="1" w:lastRow="0" w:firstColumn="0" w:lastColumn="0" w:noHBand="0" w:noVBand="0" w:val="0020"/>
        <w:jc w:val="start"/>
      </w:tblPr>
      <w:tblGrid>
        <w:gridCol w:w="1545"/>
        <w:gridCol w:w="579"/>
        <w:gridCol w:w="5795"/>
      </w:tblGrid>
      <w:tr>
        <w:trPr>
          <w:tblHeader w:val="true"/>
        </w:trPr>
        <w:tc>
          <w:tcPr/>
          <w:p>
            <w:pPr>
              <w:pStyle w:val="Compact"/>
              <w:jc w:val="left"/>
            </w:pPr>
            <w:r>
              <w:t xml:space="preserve">Criterion</w:t>
            </w:r>
          </w:p>
        </w:tc>
        <w:tc>
          <w:tcPr/>
          <w:p>
            <w:pPr>
              <w:pStyle w:val="Compact"/>
              <w:jc w:val="right"/>
            </w:pPr>
            <w:r>
              <w:t xml:space="preserve">Score</w:t>
            </w:r>
          </w:p>
        </w:tc>
        <w:tc>
          <w:tcPr/>
          <w:p>
            <w:pPr>
              <w:pStyle w:val="Compact"/>
              <w:jc w:val="left"/>
            </w:pPr>
            <w:r>
              <w:t xml:space="preserve">Rationale</w:t>
            </w:r>
          </w:p>
        </w:tc>
      </w:tr>
      <w:tr>
        <w:tc>
          <w:tcPr/>
          <w:p>
            <w:pPr>
              <w:pStyle w:val="Compact"/>
              <w:jc w:val="left"/>
            </w:pPr>
            <w:r>
              <w:t xml:space="preserve">Technical</w:t>
            </w:r>
          </w:p>
        </w:tc>
        <w:tc>
          <w:tcPr/>
          <w:p>
            <w:pPr>
              <w:pStyle w:val="Compact"/>
              <w:jc w:val="right"/>
            </w:pPr>
            <w:r>
              <w:t xml:space="preserve">4</w:t>
            </w:r>
          </w:p>
        </w:tc>
        <w:tc>
          <w:tcPr/>
          <w:p>
            <w:pPr>
              <w:pStyle w:val="Compact"/>
              <w:jc w:val="left"/>
            </w:pPr>
            <w:r>
              <w:t xml:space="preserve">Current embed and rerank, multimodal, 128K context, Matryoshka and binary; no domain-specific models evidenced.</w:t>
            </w:r>
          </w:p>
        </w:tc>
      </w:tr>
      <w:tr>
        <w:tc>
          <w:tcPr/>
          <w:p>
            <w:pPr>
              <w:pStyle w:val="Compact"/>
              <w:jc w:val="left"/>
            </w:pPr>
            <w:r>
              <w:t xml:space="preserve">Enterprise readiness</w:t>
            </w:r>
          </w:p>
        </w:tc>
        <w:tc>
          <w:tcPr/>
          <w:p>
            <w:pPr>
              <w:pStyle w:val="Compact"/>
              <w:jc w:val="right"/>
            </w:pPr>
            <w:r>
              <w:t xml:space="preserve">4</w:t>
            </w:r>
          </w:p>
        </w:tc>
        <w:tc>
          <w:tcPr/>
          <w:p>
            <w:pPr>
              <w:pStyle w:val="Compact"/>
              <w:jc w:val="left"/>
            </w:pPr>
            <w:r>
              <w:t xml:space="preserve">Scored on the Microsoft Foundry and Amazon SageMaker routes (A2-S012), which the FS recommendation uses for VPC and in-region deployment: platform IAM, SSO and audit logging presumed under rule 6 (CP2 Q1), so 4; platform controls presumed (CP2 Q1); confirm per service. The direct hosted API documents only Owner and User team roles (B-REV-S013), one verified control, and would score 3 under rule 7 (CP2 Q2); SSO and audit logs for it remain NPV.</w:t>
            </w:r>
          </w:p>
        </w:tc>
      </w:tr>
      <w:tr>
        <w:tc>
          <w:tcPr/>
          <w:p>
            <w:pPr>
              <w:pStyle w:val="Compact"/>
              <w:jc w:val="left"/>
            </w:pPr>
            <w:r>
              <w:t xml:space="preserve">Security and compliance</w:t>
            </w:r>
          </w:p>
        </w:tc>
        <w:tc>
          <w:tcPr/>
          <w:p>
            <w:pPr>
              <w:pStyle w:val="Compact"/>
              <w:jc w:val="right"/>
            </w:pPr>
            <w:r>
              <w:t xml:space="preserve">4</w:t>
            </w:r>
          </w:p>
        </w:tc>
        <w:tc>
          <w:tcPr/>
          <w:p>
            <w:pPr>
              <w:pStyle w:val="Compact"/>
              <w:jc w:val="left"/>
            </w:pPr>
            <w:r>
              <w:t xml:space="preserve">SOC 2 Type II, ISO 27001, ISO 42001, ZDR on request and private deployment; CMK and EU hosted region unverified.</w:t>
            </w:r>
          </w:p>
        </w:tc>
      </w:tr>
      <w:tr>
        <w:tc>
          <w:tcPr/>
          <w:p>
            <w:pPr>
              <w:pStyle w:val="Compact"/>
              <w:jc w:val="left"/>
            </w:pPr>
            <w:r>
              <w:t xml:space="preserve">Deployment flexibility</w:t>
            </w:r>
          </w:p>
        </w:tc>
        <w:tc>
          <w:tcPr/>
          <w:p>
            <w:pPr>
              <w:pStyle w:val="Compact"/>
              <w:jc w:val="right"/>
            </w:pPr>
            <w:r>
              <w:t xml:space="preserve">4</w:t>
            </w:r>
          </w:p>
        </w:tc>
        <w:tc>
          <w:tcPr/>
          <w:p>
            <w:pPr>
              <w:pStyle w:val="Compact"/>
              <w:jc w:val="left"/>
            </w:pPr>
            <w:r>
              <w:t xml:space="preserve">SaaS, partner clouds, VPC, single-tenant and on-prem; air-gap not verified.</w:t>
            </w:r>
          </w:p>
        </w:tc>
      </w:tr>
      <w:tr>
        <w:tc>
          <w:tcPr/>
          <w:p>
            <w:pPr>
              <w:pStyle w:val="Compact"/>
              <w:jc w:val="left"/>
            </w:pPr>
            <w:r>
              <w:t xml:space="preserve">Ecosystem</w:t>
            </w:r>
          </w:p>
        </w:tc>
        <w:tc>
          <w:tcPr/>
          <w:p>
            <w:pPr>
              <w:pStyle w:val="Compact"/>
              <w:jc w:val="right"/>
            </w:pPr>
            <w:r>
              <w:t xml:space="preserve">4</w:t>
            </w:r>
          </w:p>
        </w:tc>
        <w:tc>
          <w:tcPr/>
          <w:p>
            <w:pPr>
              <w:pStyle w:val="Compact"/>
              <w:jc w:val="left"/>
            </w:pPr>
            <w:r>
              <w:t xml:space="preserve">Microsoft Foundry, SageMaker, LangChain, and Cohere Rerank hosted inside Pinecone.</w:t>
            </w:r>
          </w:p>
        </w:tc>
      </w:tr>
      <w:tr>
        <w:tc>
          <w:tcPr/>
          <w:p>
            <w:pPr>
              <w:pStyle w:val="Compact"/>
              <w:jc w:val="left"/>
            </w:pPr>
            <w:r>
              <w:t xml:space="preserve">Reliability and maturity</w:t>
            </w:r>
          </w:p>
        </w:tc>
        <w:tc>
          <w:tcPr/>
          <w:p>
            <w:pPr>
              <w:pStyle w:val="Compact"/>
              <w:jc w:val="right"/>
            </w:pPr>
            <w:r>
              <w:t xml:space="preserve">3</w:t>
            </w:r>
          </w:p>
        </w:tc>
        <w:tc>
          <w:tcPr/>
          <w:p>
            <w:pPr>
              <w:pStyle w:val="Compact"/>
              <w:jc w:val="left"/>
            </w:pPr>
            <w:r>
              <w:t xml:space="preserve">Mature, fast-moving line; pending Aleph Alpha combination adds governance uncertainty.</w:t>
            </w:r>
          </w:p>
        </w:tc>
      </w:tr>
      <w:tr>
        <w:tc>
          <w:tcPr/>
          <w:p>
            <w:pPr>
              <w:pStyle w:val="Compact"/>
              <w:jc w:val="left"/>
            </w:pPr>
            <w:r>
              <w:t xml:space="preserve">Cost / TCO</w:t>
            </w:r>
          </w:p>
        </w:tc>
        <w:tc>
          <w:tcPr/>
          <w:p>
            <w:pPr>
              <w:pStyle w:val="Compact"/>
              <w:jc w:val="right"/>
            </w:pPr>
            <w:r>
              <w:t xml:space="preserve">3</w:t>
            </w:r>
          </w:p>
        </w:tc>
        <w:tc>
          <w:tcPr/>
          <w:p>
            <w:pPr>
              <w:pStyle w:val="Compact"/>
              <w:jc w:val="left"/>
            </w:pPr>
            <w:r>
              <w:t xml:space="preserve">Embed prices published (Pro US$0.12, Fast US$0.08 per 1M text tokens); rerank price not found.</w:t>
            </w:r>
          </w:p>
        </w:tc>
      </w:tr>
      <w:tr>
        <w:tc>
          <w:tcPr/>
          <w:p>
            <w:pPr>
              <w:pStyle w:val="Compact"/>
              <w:jc w:val="left"/>
            </w:pPr>
            <w:r>
              <w:t xml:space="preserve">Lock-in / portability</w:t>
            </w:r>
          </w:p>
        </w:tc>
        <w:tc>
          <w:tcPr/>
          <w:p>
            <w:pPr>
              <w:pStyle w:val="Compact"/>
              <w:jc w:val="right"/>
            </w:pPr>
            <w:r>
              <w:t xml:space="preserve">3</w:t>
            </w:r>
          </w:p>
        </w:tc>
        <w:tc>
          <w:tcPr/>
          <w:p>
            <w:pPr>
              <w:pStyle w:val="Compact"/>
              <w:jc w:val="left"/>
            </w:pPr>
            <w:r>
              <w:t xml:space="preserve">Proprietary, but deployable in the firm’s estate; rule 3 not applied because Cohere is the combining party, revisit on close.</w:t>
            </w:r>
          </w:p>
        </w:tc>
      </w:tr>
      <w:tr>
        <w:tc>
          <w:tcPr/>
          <w:p>
            <w:pPr>
              <w:pStyle w:val="Compact"/>
              <w:jc w:val="left"/>
            </w:pPr>
            <w:r>
              <w:rPr>
                <w:bCs/>
                <w:b/>
              </w:rPr>
              <w:t xml:space="preserve">Total (generic / FS)</w:t>
            </w:r>
          </w:p>
        </w:tc>
        <w:tc>
          <w:tcPr/>
          <w:p>
            <w:pPr>
              <w:pStyle w:val="Compact"/>
              <w:jc w:val="right"/>
            </w:pPr>
            <w:r>
              <w:rPr>
                <w:bCs/>
                <w:b/>
              </w:rPr>
              <w:t xml:space="preserve">3.75 / 3.70</w:t>
            </w:r>
          </w:p>
        </w:tc>
        <w:tc>
          <w:tcPr/>
          <w:p>
            <w:pPr>
              <w:pStyle w:val="Compact"/>
            </w:pPr>
          </w:p>
        </w:tc>
      </w:tr>
    </w:tbl>
    <w:p>
      <w:pPr>
        <w:pStyle w:val="BodyText"/>
      </w:pPr>
      <w:r>
        <w:rPr>
          <w:iCs/>
          <w:i/>
        </w:rPr>
        <w:t xml:space="preserve">Evidence rules applied:</w:t>
      </w:r>
      <w:r>
        <w:t xml:space="preserve"> </w:t>
      </w:r>
      <w:r>
        <w:t xml:space="preserve">NPV cap lifted at CP2 rework (8 October 2026): rule 6 (CP2 Q1) on the Foundry and SageMaker routes gives 4 (platform controls presumed (CP2 Q1); confirm per service); the direct hosted API, with only Owner and User roles verified (B-REV-S013), would be 3 under rule 7 (CP2 Q2); Rule 8 (CP2 Q4) confirmed: company-level SOC 2 Type II, ISO 27001 and ISO 42001 with product scope not stated, security_compliance 4</w:t>
      </w:r>
    </w:p>
    <w:p>
      <w:pPr>
        <w:pStyle w:val="BodyText"/>
      </w:pPr>
      <w:r>
        <w:rPr>
          <w:bCs/>
          <w:b/>
        </w:rPr>
        <w:t xml:space="preserve">Capabilities.</w:t>
      </w:r>
      <w:r>
        <w:t xml:space="preserve"> </w:t>
      </w:r>
      <w:r>
        <w:t xml:space="preserve">Embed 5 (embed-v5.0-pro, embed-v5.0-fast; 30 September 2026): text, images and mixed text-image inputs into one vector, 100+ languages, 128K-token context, Matryoshka 256-2,048 dims, float/int8/binary outputs, Pro and Fast in one shared space. Rerank 4 (Pro and Fast; 11 December 2025): 32K-token context, multilingual, JSON documents</w:t>
      </w:r>
      <w:r>
        <w:t xml:space="preserve"> </w:t>
      </w:r>
      <w:r>
        <w:rPr>
          <w:rStyle w:val="ClaimLabel"/>
        </w:rPr>
        <w:t xml:space="preserve">VF</w:t>
      </w:r>
      <w:r>
        <w:rPr>
          <w:rStyle w:val="FootnoteReference"/>
        </w:rPr>
        <w:footnoteReference w:id="363"/>
      </w:r>
      <w:r>
        <w:t xml:space="preserve">.</w:t>
      </w:r>
    </w:p>
    <w:p>
      <w:pPr>
        <w:pStyle w:val="BodyText"/>
      </w:pPr>
      <w:r>
        <w:rPr>
          <w:bCs/>
          <w:b/>
        </w:rPr>
        <w:t xml:space="preserve">Strengths</w:t>
      </w:r>
    </w:p>
    <w:p>
      <w:pPr>
        <w:numPr>
          <w:ilvl w:val="0"/>
          <w:numId w:val="1085"/>
        </w:numPr>
        <w:pStyle w:val="Compact"/>
      </w:pPr>
      <w:r>
        <w:t xml:space="preserve">Embed and rerank from one vendor, both current generations</w:t>
      </w:r>
      <w:r>
        <w:t xml:space="preserve"> </w:t>
      </w:r>
      <w:r>
        <w:rPr>
          <w:rStyle w:val="ClaimLabel"/>
        </w:rPr>
        <w:t xml:space="preserve">VF</w:t>
      </w:r>
      <w:r>
        <w:rPr>
          <w:rStyle w:val="FootnoteReference"/>
        </w:rPr>
        <w:footnoteReference w:id="367"/>
      </w:r>
    </w:p>
    <w:p>
      <w:pPr>
        <w:numPr>
          <w:ilvl w:val="0"/>
          <w:numId w:val="1085"/>
        </w:numPr>
        <w:pStyle w:val="Compact"/>
      </w:pPr>
      <w:r>
        <w:t xml:space="preserve">Widest deployment range among hosted vendors: SaaS, Microsoft Foundry, Amazon SageMaker, VPC, Model Vault single-tenant, on-premises</w:t>
      </w:r>
      <w:r>
        <w:t xml:space="preserve"> </w:t>
      </w:r>
      <w:r>
        <w:rPr>
          <w:rStyle w:val="ClaimLabel"/>
        </w:rPr>
        <w:t xml:space="preserve">VF</w:t>
      </w:r>
      <w:r>
        <w:rPr>
          <w:rStyle w:val="FootnoteReference"/>
        </w:rPr>
        <w:footnoteReference w:id="368"/>
      </w:r>
    </w:p>
    <w:p>
      <w:pPr>
        <w:numPr>
          <w:ilvl w:val="0"/>
          <w:numId w:val="1085"/>
        </w:numPr>
        <w:pStyle w:val="Compact"/>
      </w:pPr>
      <w:r>
        <w:t xml:space="preserve">SOC 2 Type II, ISO 27001 and ISO 42001</w:t>
      </w:r>
      <w:r>
        <w:t xml:space="preserve"> </w:t>
      </w:r>
      <w:r>
        <w:rPr>
          <w:rStyle w:val="ClaimLabel"/>
        </w:rPr>
        <w:t xml:space="preserve">VF</w:t>
      </w:r>
      <w:r>
        <w:rPr>
          <w:rStyle w:val="FootnoteReference"/>
        </w:rPr>
        <w:footnoteReference w:id="370"/>
      </w:r>
      <w:r>
        <w:t xml:space="preserve">; 30-day default log deletion and ZDR on request for enterprise customers</w:t>
      </w:r>
      <w:r>
        <w:t xml:space="preserve"> </w:t>
      </w:r>
      <w:r>
        <w:rPr>
          <w:rStyle w:val="ClaimLabel"/>
        </w:rPr>
        <w:t xml:space="preserve">VF</w:t>
      </w:r>
      <w:r>
        <w:rPr>
          <w:rStyle w:val="FootnoteReference"/>
        </w:rPr>
        <w:footnoteReference w:id="372"/>
      </w:r>
    </w:p>
    <w:p>
      <w:pPr>
        <w:numPr>
          <w:ilvl w:val="0"/>
          <w:numId w:val="1085"/>
        </w:numPr>
        <w:pStyle w:val="Compact"/>
      </w:pPr>
      <w:r>
        <w:t xml:space="preserve">Storage arithmetic is published: Cohere’s example shrinks 100M chunks from about 819 GB to 3.2 GB with reduced dimensions and binary output</w:t>
      </w:r>
      <w:r>
        <w:t xml:space="preserve"> </w:t>
      </w:r>
      <w:r>
        <w:rPr>
          <w:rStyle w:val="ClaimLabel"/>
        </w:rPr>
        <w:t xml:space="preserve">VF</w:t>
      </w:r>
      <w:r>
        <w:rPr>
          <w:rStyle w:val="FootnoteReference"/>
        </w:rPr>
        <w:footnoteReference w:id="374"/>
      </w:r>
    </w:p>
    <w:p>
      <w:pPr>
        <w:pStyle w:val="FirstParagraph"/>
      </w:pPr>
      <w:r>
        <w:rPr>
          <w:bCs/>
          <w:b/>
        </w:rPr>
        <w:t xml:space="preserve">Limitations and risks</w:t>
      </w:r>
    </w:p>
    <w:p>
      <w:pPr>
        <w:numPr>
          <w:ilvl w:val="0"/>
          <w:numId w:val="1086"/>
        </w:numPr>
        <w:pStyle w:val="Compact"/>
      </w:pPr>
      <w:r>
        <w:t xml:space="preserve">The hosted platform documents only Owner and User team roles</w:t>
      </w:r>
      <w:r>
        <w:t xml:space="preserve"> </w:t>
      </w:r>
      <w:r>
        <w:rPr>
          <w:rStyle w:val="ClaimLabel"/>
        </w:rPr>
        <w:t xml:space="preserve">VF</w:t>
      </w:r>
      <w:r>
        <w:rPr>
          <w:rStyle w:val="FootnoteReference"/>
        </w:rPr>
        <w:footnoteReference w:id="376"/>
      </w:r>
      <w:r>
        <w:t xml:space="preserve">; SSO/SAML and audit logs for the direct hosted API were not found</w:t>
      </w:r>
      <w:r>
        <w:t xml:space="preserve"> </w:t>
      </w:r>
      <w:r>
        <w:rPr>
          <w:rStyle w:val="ClaimLabel"/>
        </w:rPr>
        <w:t xml:space="preserve">NPV</w:t>
      </w:r>
      <w:r>
        <w:t xml:space="preserve">; on Microsoft Foundry and SageMaker the platform’s controls are presumed under CP2 Q1 and must be confirmed per service</w:t>
      </w:r>
      <w:r>
        <w:t xml:space="preserve"> </w:t>
      </w:r>
      <w:r>
        <w:rPr>
          <w:rStyle w:val="ClaimLabel"/>
        </w:rPr>
        <w:t xml:space="preserve">AJ</w:t>
      </w:r>
      <w:r>
        <w:t xml:space="preserve">; enterprise support terms NPV</w:t>
      </w:r>
    </w:p>
    <w:p>
      <w:pPr>
        <w:numPr>
          <w:ilvl w:val="0"/>
          <w:numId w:val="1086"/>
        </w:numPr>
        <w:pStyle w:val="Compact"/>
      </w:pPr>
      <w:r>
        <w:t xml:space="preserve">Rerank per-search price not found</w:t>
      </w:r>
      <w:r>
        <w:t xml:space="preserve"> </w:t>
      </w:r>
      <w:r>
        <w:rPr>
          <w:rStyle w:val="ClaimLabel"/>
        </w:rPr>
        <w:t xml:space="preserve">VF</w:t>
      </w:r>
      <w:r>
        <w:rPr>
          <w:rStyle w:val="FootnoteReference"/>
        </w:rPr>
        <w:footnoteReference w:id="378"/>
      </w:r>
    </w:p>
    <w:p>
      <w:pPr>
        <w:numPr>
          <w:ilvl w:val="0"/>
          <w:numId w:val="1086"/>
        </w:numPr>
        <w:pStyle w:val="Compact"/>
      </w:pPr>
      <w:r>
        <w:t xml:space="preserve">Aleph Alpha business combination signed 16 September 2026, pending regulatory approval</w:t>
      </w:r>
      <w:r>
        <w:t xml:space="preserve"> </w:t>
      </w:r>
      <w:r>
        <w:rPr>
          <w:rStyle w:val="ClaimLabel"/>
        </w:rPr>
        <w:t xml:space="preserve">VF</w:t>
      </w:r>
      <w:r>
        <w:rPr>
          <w:rStyle w:val="FootnoteReference"/>
        </w:rPr>
        <w:footnoteReference w:id="379"/>
      </w:r>
      <w:r>
        <w:t xml:space="preserve">; valuation figures conflict and are not used</w:t>
      </w:r>
      <w:r>
        <w:t xml:space="preserve"> </w:t>
      </w:r>
      <w:r>
        <w:rPr>
          <w:rStyle w:val="ClaimLabel"/>
        </w:rPr>
        <w:t xml:space="preserve">AJ</w:t>
      </w:r>
    </w:p>
    <w:p>
      <w:pPr>
        <w:numPr>
          <w:ilvl w:val="0"/>
          <w:numId w:val="1086"/>
        </w:numPr>
        <w:pStyle w:val="Compact"/>
      </w:pPr>
      <w:r>
        <w:t xml:space="preserve">EU hosted-region details not verified</w:t>
      </w:r>
      <w:r>
        <w:t xml:space="preserve"> </w:t>
      </w:r>
      <w:r>
        <w:rPr>
          <w:rStyle w:val="ClaimLabel"/>
        </w:rPr>
        <w:t xml:space="preserve">NPV</w:t>
      </w:r>
      <w:r>
        <w:t xml:space="preserve">; CMK for the hosted API not found</w:t>
      </w:r>
      <w:r>
        <w:t xml:space="preserve"> </w:t>
      </w:r>
      <w:r>
        <w:rPr>
          <w:rStyle w:val="ClaimLabel"/>
        </w:rPr>
        <w:t xml:space="preserve">NPV</w:t>
      </w:r>
    </w:p>
    <w:p>
      <w:pPr>
        <w:numPr>
          <w:ilvl w:val="0"/>
          <w:numId w:val="1086"/>
        </w:numPr>
        <w:pStyle w:val="Compact"/>
      </w:pPr>
      <w:r>
        <w:t xml:space="preserve">Vendor claims of</w:t>
      </w:r>
      <w:r>
        <w:t xml:space="preserve"> </w:t>
      </w:r>
      <w:r>
        <w:t xml:space="preserve">‘</w:t>
      </w:r>
      <w:r>
        <w:t xml:space="preserve">highest average</w:t>
      </w:r>
      <w:r>
        <w:t xml:space="preserve">’</w:t>
      </w:r>
      <w:r>
        <w:t xml:space="preserve"> </w:t>
      </w:r>
      <w:r>
        <w:t xml:space="preserve">scores are not decision inputs</w:t>
      </w:r>
      <w:r>
        <w:t xml:space="preserve"> </w:t>
      </w:r>
      <w:r>
        <w:rPr>
          <w:rStyle w:val="ClaimLabel"/>
        </w:rPr>
        <w:t xml:space="preserve">R</w:t>
      </w:r>
      <w:r>
        <w:rPr>
          <w:rStyle w:val="FootnoteReference"/>
        </w:rPr>
        <w:footnoteReference w:id="381"/>
      </w:r>
    </w:p>
    <w:p>
      <w:pPr>
        <w:pStyle w:val="FirstParagraph"/>
      </w:pPr>
      <w:r>
        <w:rPr>
          <w:bCs/>
          <w:b/>
        </w:rPr>
        <w:t xml:space="preserve">Choose when</w:t>
      </w:r>
    </w:p>
    <w:p>
      <w:pPr>
        <w:numPr>
          <w:ilvl w:val="0"/>
          <w:numId w:val="1087"/>
        </w:numPr>
        <w:pStyle w:val="Compact"/>
      </w:pPr>
      <w:r>
        <w:t xml:space="preserve">Embedding and reranking must run inside the firm’s VPC or data centre with a commercial vendor behind it</w:t>
      </w:r>
    </w:p>
    <w:p>
      <w:pPr>
        <w:numPr>
          <w:ilvl w:val="0"/>
          <w:numId w:val="1087"/>
        </w:numPr>
        <w:pStyle w:val="Compact"/>
      </w:pPr>
      <w:r>
        <w:t xml:space="preserve">Long documents (128K context) or mixed text-image pages need one vector</w:t>
      </w:r>
    </w:p>
    <w:p>
      <w:pPr>
        <w:pStyle w:val="FirstParagraph"/>
      </w:pPr>
      <w:r>
        <w:rPr>
          <w:bCs/>
          <w:b/>
        </w:rPr>
        <w:t xml:space="preserve">Avoid when</w:t>
      </w:r>
    </w:p>
    <w:p>
      <w:pPr>
        <w:numPr>
          <w:ilvl w:val="0"/>
          <w:numId w:val="1088"/>
        </w:numPr>
        <w:pStyle w:val="Compact"/>
      </w:pPr>
      <w:r>
        <w:t xml:space="preserve">Public evidence of SSO/RBAC/audit for the direct hosted API is a hard procurement gate, the Foundry or SageMaker route is not available, and the evidence cannot be obtained in due diligence</w:t>
      </w:r>
    </w:p>
    <w:p>
      <w:pPr>
        <w:numPr>
          <w:ilvl w:val="0"/>
          <w:numId w:val="1088"/>
        </w:numPr>
        <w:pStyle w:val="Compact"/>
      </w:pPr>
      <w:r>
        <w:t xml:space="preserve">Ownership stability through the Aleph Alpha approval period is a hard requirement</w:t>
      </w:r>
    </w:p>
    <w:p>
      <w:pPr>
        <w:pStyle w:val="FirstParagraph"/>
      </w:pPr>
      <w:r>
        <w:rPr>
          <w:bCs/>
          <w:b/>
        </w:rPr>
        <w:t xml:space="preserve">Nearest competitors:</w:t>
      </w:r>
      <w:r>
        <w:t xml:space="preserve"> </w:t>
      </w:r>
      <w:r>
        <w:t xml:space="preserve">L7-voyage, L7-jina, L7-nvidia-nemo-retriever, L7-gemini-embedding</w:t>
      </w:r>
    </w:p>
    <w:p>
      <w:pPr>
        <w:pStyle w:val="BodyText"/>
      </w:pPr>
      <w:r>
        <w:rPr>
          <w:bCs/>
          <w:b/>
        </w:rPr>
        <w:t xml:space="preserve">Regulated-FS note.</w:t>
      </w:r>
      <w:r>
        <w:t xml:space="preserve"> </w:t>
      </w:r>
      <w:r>
        <w:t xml:space="preserve">The private and Model Vault routes keep client-data embeddings off shared infrastructure, and Cohere states it has no access to prompts in private or partner deployments</w:t>
      </w:r>
      <w:r>
        <w:t xml:space="preserve"> </w:t>
      </w:r>
      <w:r>
        <w:rPr>
          <w:rStyle w:val="ClaimLabel"/>
        </w:rPr>
        <w:t xml:space="preserve">VF</w:t>
      </w:r>
      <w:r>
        <w:rPr>
          <w:rStyle w:val="FootnoteReference"/>
        </w:rPr>
        <w:footnoteReference w:id="382"/>
      </w:r>
      <w:r>
        <w:t xml:space="preserve">. Track the Aleph Alpha approval as an ownership event in the third-party register</w:t>
      </w:r>
      <w:r>
        <w:t xml:space="preserve"> </w:t>
      </w:r>
      <w:r>
        <w:rPr>
          <w:rStyle w:val="ClaimLabel"/>
        </w:rPr>
        <w:t xml:space="preserve">Rec</w:t>
      </w:r>
      <w:r>
        <w:t xml:space="preserve">.</w:t>
      </w:r>
    </w:p>
    <w:p>
      <w:pPr>
        <w:pStyle w:val="BodyText"/>
      </w:pPr>
      <w:r>
        <w:rPr>
          <w:bCs/>
          <w:b/>
        </w:rPr>
        <w:t xml:space="preserve">Facts (as of 2026-10-08)</w:t>
      </w:r>
    </w:p>
    <w:tbl>
      <w:tblPr>
        <w:tblStyle w:val="Table"/>
        <w:tblW w:type="pct" w:w="5000"/>
        <w:tblLook w:firstRow="1" w:lastRow="0" w:firstColumn="0" w:lastColumn="0" w:noHBand="0" w:noVBand="0" w:val="0020"/>
        <w:jc w:val="start"/>
      </w:tblPr>
      <w:tblGrid>
        <w:gridCol w:w="1485"/>
        <w:gridCol w:w="4290"/>
        <w:gridCol w:w="1320"/>
        <w:gridCol w:w="825"/>
      </w:tblGrid>
      <w:tr>
        <w:trPr>
          <w:tblHeader w:val="true"/>
        </w:trPr>
        <w:tc>
          <w:tcPr/>
          <w:p>
            <w:pPr>
              <w:pStyle w:val="Compact"/>
              <w:jc w:val="left"/>
            </w:pPr>
            <w:r>
              <w:t xml:space="preserve">Field</w:t>
            </w:r>
          </w:p>
        </w:tc>
        <w:tc>
          <w:tcPr/>
          <w:p>
            <w:pPr>
              <w:pStyle w:val="Compact"/>
              <w:jc w:val="left"/>
            </w:pPr>
            <w:r>
              <w:t xml:space="preserve">Value</w:t>
            </w:r>
          </w:p>
        </w:tc>
        <w:tc>
          <w:tcPr/>
          <w:p>
            <w:pPr>
              <w:pStyle w:val="Compact"/>
              <w:jc w:val="left"/>
            </w:pPr>
            <w:r>
              <w:t xml:space="preserve">Label</w:t>
            </w:r>
          </w:p>
        </w:tc>
        <w:tc>
          <w:tcPr/>
          <w:p>
            <w:pPr>
              <w:pStyle w:val="Compact"/>
              <w:jc w:val="left"/>
            </w:pPr>
            <w:r>
              <w:t xml:space="preserve">Sources</w:t>
            </w:r>
          </w:p>
        </w:tc>
      </w:tr>
      <w:tr>
        <w:tc>
          <w:tcPr/>
          <w:p>
            <w:pPr>
              <w:pStyle w:val="Compact"/>
              <w:jc w:val="left"/>
            </w:pPr>
            <w:r>
              <w:t xml:space="preserve">Company</w:t>
            </w:r>
          </w:p>
        </w:tc>
        <w:tc>
          <w:tcPr/>
          <w:p>
            <w:pPr>
              <w:pStyle w:val="Compact"/>
              <w:jc w:val="left"/>
            </w:pPr>
            <w:r>
              <w:t xml:space="preserve">Cohere Inc. (pending business combination with Aleph Alpha, signed 16 September 2026)</w:t>
            </w:r>
          </w:p>
        </w:tc>
        <w:tc>
          <w:tcPr/>
          <w:p>
            <w:pPr>
              <w:pStyle w:val="Compact"/>
              <w:jc w:val="left"/>
            </w:pPr>
            <w:r>
              <w:t xml:space="preserve">Verified fact</w:t>
            </w:r>
          </w:p>
        </w:tc>
        <w:tc>
          <w:tcPr/>
          <w:p>
            <w:pPr>
              <w:pStyle w:val="Compact"/>
              <w:jc w:val="left"/>
            </w:pPr>
            <w:r>
              <w:t xml:space="preserve">A2-S018</w:t>
            </w:r>
          </w:p>
        </w:tc>
      </w:tr>
      <w:tr>
        <w:tc>
          <w:tcPr/>
          <w:p>
            <w:pPr>
              <w:pStyle w:val="Compact"/>
              <w:jc w:val="left"/>
            </w:pPr>
            <w:r>
              <w:t xml:space="preserve">Category</w:t>
            </w:r>
          </w:p>
        </w:tc>
        <w:tc>
          <w:tcPr/>
          <w:p>
            <w:pPr>
              <w:pStyle w:val="Compact"/>
              <w:jc w:val="left"/>
            </w:pPr>
            <w:r>
              <w:t xml:space="preserve">Embedding and reranking models (hosted API, cloud marketplaces, private deployment)</w:t>
            </w:r>
          </w:p>
        </w:tc>
        <w:tc>
          <w:tcPr/>
          <w:p>
            <w:pPr>
              <w:pStyle w:val="Compact"/>
              <w:jc w:val="left"/>
            </w:pPr>
            <w:r>
              <w:t xml:space="preserve">Verified fact</w:t>
            </w:r>
          </w:p>
        </w:tc>
        <w:tc>
          <w:tcPr/>
          <w:p>
            <w:pPr>
              <w:pStyle w:val="Compact"/>
              <w:jc w:val="left"/>
            </w:pPr>
            <w:r>
              <w:t xml:space="preserve">A2-S011, A2-S015</w:t>
            </w:r>
          </w:p>
        </w:tc>
      </w:tr>
      <w:tr>
        <w:tc>
          <w:tcPr/>
          <w:p>
            <w:pPr>
              <w:pStyle w:val="Compact"/>
              <w:jc w:val="left"/>
            </w:pPr>
            <w:r>
              <w:t xml:space="preserve">Version / lineup</w:t>
            </w:r>
          </w:p>
        </w:tc>
        <w:tc>
          <w:tcPr/>
          <w:p>
            <w:pPr>
              <w:pStyle w:val="Compact"/>
              <w:jc w:val="left"/>
            </w:pPr>
            <w:r>
              <w:t xml:space="preserve">Embed 5 (30 September 2026): Pro and Fast tiers in a shared embedding space; embed-v4.0 still listed. Rerank 4 (11 December 2025): Pro and Fast; Rerank 3.5 still available on Azure.</w:t>
            </w:r>
          </w:p>
        </w:tc>
        <w:tc>
          <w:tcPr/>
          <w:p>
            <w:pPr>
              <w:pStyle w:val="Compact"/>
              <w:jc w:val="left"/>
            </w:pPr>
            <w:r>
              <w:t xml:space="preserve">Verified fact</w:t>
            </w:r>
          </w:p>
        </w:tc>
        <w:tc>
          <w:tcPr/>
          <w:p>
            <w:pPr>
              <w:pStyle w:val="Compact"/>
              <w:jc w:val="left"/>
            </w:pPr>
            <w:r>
              <w:t xml:space="preserve">A2-S012, A2-S010, A2-S011, V1-S027, V1-S033</w:t>
            </w:r>
          </w:p>
        </w:tc>
      </w:tr>
      <w:tr>
        <w:tc>
          <w:tcPr/>
          <w:p>
            <w:pPr>
              <w:pStyle w:val="Compact"/>
              <w:jc w:val="left"/>
            </w:pPr>
            <w:r>
              <w:t xml:space="preserve">Licence</w:t>
            </w:r>
          </w:p>
        </w:tc>
        <w:tc>
          <w:tcPr/>
          <w:p>
            <w:pPr>
              <w:pStyle w:val="Compact"/>
              <w:jc w:val="left"/>
            </w:pPr>
            <w:r>
              <w:t xml:space="preserve">Proprietary models (hosted API, marketplace and private deployments)</w:t>
            </w:r>
          </w:p>
        </w:tc>
        <w:tc>
          <w:tcPr/>
          <w:p>
            <w:pPr>
              <w:pStyle w:val="Compact"/>
              <w:jc w:val="left"/>
            </w:pPr>
            <w:r>
              <w:t xml:space="preserve">Verified fact</w:t>
            </w:r>
          </w:p>
        </w:tc>
        <w:tc>
          <w:tcPr/>
          <w:p>
            <w:pPr>
              <w:pStyle w:val="Compact"/>
              <w:jc w:val="left"/>
            </w:pPr>
            <w:r>
              <w:t xml:space="preserve">A2-S015</w:t>
            </w:r>
          </w:p>
        </w:tc>
      </w:tr>
      <w:tr>
        <w:tc>
          <w:tcPr/>
          <w:p>
            <w:pPr>
              <w:pStyle w:val="Compact"/>
              <w:jc w:val="left"/>
            </w:pPr>
            <w:r>
              <w:t xml:space="preserve">Status events</w:t>
            </w:r>
          </w:p>
        </w:tc>
        <w:tc>
          <w:tcPr/>
          <w:p>
            <w:pPr>
              <w:pStyle w:val="Compact"/>
              <w:jc w:val="left"/>
            </w:pPr>
            <w:r>
              <w:t xml:space="preserve">2025: Embed v4 (multimodal, 128K context) released; August 2025: US$500M raise at US$6.8B valuation; 11 December 2025: Rerank v4.0 released; 24 April 2026: Cohere and Aleph Alpha announce plan to combine; 16 September 2026: definitive business combination agreement signed, subject to regulatory approval; 30 September 2026: Embed 5 released</w:t>
            </w:r>
          </w:p>
        </w:tc>
        <w:tc>
          <w:tcPr/>
          <w:p>
            <w:pPr>
              <w:pStyle w:val="Compact"/>
              <w:jc w:val="left"/>
            </w:pPr>
            <w:r>
              <w:t xml:space="preserve">Verified fact</w:t>
            </w:r>
          </w:p>
        </w:tc>
        <w:tc>
          <w:tcPr/>
          <w:p>
            <w:pPr>
              <w:pStyle w:val="Compact"/>
              <w:jc w:val="left"/>
            </w:pPr>
            <w:r>
              <w:t xml:space="preserve">A2-S011, A2-S017, A2-S010, A2-S018, A2-S012, V1-S028</w:t>
            </w:r>
          </w:p>
        </w:tc>
      </w:tr>
      <w:tr>
        <w:tc>
          <w:tcPr/>
          <w:p>
            <w:pPr>
              <w:pStyle w:val="Compact"/>
              <w:jc w:val="left"/>
            </w:pPr>
            <w:r>
              <w:t xml:space="preserve">Strategic direction</w:t>
            </w:r>
          </w:p>
        </w:tc>
        <w:tc>
          <w:tcPr/>
          <w:p>
            <w:pPr>
              <w:pStyle w:val="Compact"/>
              <w:jc w:val="left"/>
            </w:pPr>
            <w:r>
              <w:t xml:space="preserve">Enterprise/sovereign AI positioning: private on-prem/VPC deployment, Model Vault single-tenant hosting, and a transatlantic combination with Aleph Alpha (Berlin/Toronto HQs)</w:t>
            </w:r>
          </w:p>
        </w:tc>
        <w:tc>
          <w:tcPr/>
          <w:p>
            <w:pPr>
              <w:pStyle w:val="Compact"/>
              <w:jc w:val="left"/>
            </w:pPr>
            <w:r>
              <w:t xml:space="preserve">Verified fact</w:t>
            </w:r>
          </w:p>
        </w:tc>
        <w:tc>
          <w:tcPr/>
          <w:p>
            <w:pPr>
              <w:pStyle w:val="Compact"/>
              <w:jc w:val="left"/>
            </w:pPr>
            <w:r>
              <w:t xml:space="preserve">A2-S015, A2-S012, A2-S018</w:t>
            </w:r>
          </w:p>
        </w:tc>
      </w:tr>
      <w:tr>
        <w:tc>
          <w:tcPr/>
          <w:p>
            <w:pPr>
              <w:pStyle w:val="Compact"/>
              <w:jc w:val="left"/>
            </w:pPr>
            <w:r>
              <w:t xml:space="preserve">What it does</w:t>
            </w:r>
          </w:p>
        </w:tc>
        <w:tc>
          <w:tcPr/>
          <w:p>
            <w:pPr>
              <w:pStyle w:val="Compact"/>
              <w:jc w:val="left"/>
            </w:pPr>
            <w:r>
              <w:t xml:space="preserve">Embed 5 embeds text, images and mixed text-image inputs (e.g. PDF pages) into one vector; 100+ languages; 128K-token context; Matryoshka 256-2,048 dims; float, int8 and binary outputs. Rerank 4 reorders candidates by relevance with 32K-token context and handles multilingual text and JSON documents.</w:t>
            </w:r>
          </w:p>
        </w:tc>
        <w:tc>
          <w:tcPr/>
          <w:p>
            <w:pPr>
              <w:pStyle w:val="Compact"/>
              <w:jc w:val="left"/>
            </w:pPr>
            <w:r>
              <w:t xml:space="preserve">Verified fact</w:t>
            </w:r>
          </w:p>
        </w:tc>
        <w:tc>
          <w:tcPr/>
          <w:p>
            <w:pPr>
              <w:pStyle w:val="Compact"/>
              <w:jc w:val="left"/>
            </w:pPr>
            <w:r>
              <w:t xml:space="preserve">A2-S012, A2-S009</w:t>
            </w:r>
          </w:p>
        </w:tc>
      </w:tr>
      <w:tr>
        <w:tc>
          <w:tcPr/>
          <w:p>
            <w:pPr>
              <w:pStyle w:val="Compact"/>
              <w:jc w:val="left"/>
            </w:pPr>
            <w:r>
              <w:t xml:space="preserve">Stack position</w:t>
            </w:r>
          </w:p>
        </w:tc>
        <w:tc>
          <w:tcPr/>
          <w:p>
            <w:pPr>
              <w:pStyle w:val="Compact"/>
              <w:jc w:val="left"/>
            </w:pPr>
            <w:r>
              <w:t xml:space="preserve">L7, covering embedding and reranking from one vendor; correctly placed.</w:t>
            </w:r>
          </w:p>
        </w:tc>
        <w:tc>
          <w:tcPr/>
          <w:p>
            <w:pPr>
              <w:pStyle w:val="Compact"/>
              <w:jc w:val="left"/>
            </w:pPr>
            <w:r>
              <w:t xml:space="preserve">Architectural judgement</w:t>
            </w:r>
          </w:p>
        </w:tc>
        <w:tc>
          <w:tcPr/>
          <w:p>
            <w:pPr>
              <w:pStyle w:val="Compact"/>
            </w:pPr>
          </w:p>
        </w:tc>
      </w:tr>
      <w:tr>
        <w:tc>
          <w:tcPr/>
          <w:p>
            <w:pPr>
              <w:pStyle w:val="Compact"/>
              <w:jc w:val="left"/>
            </w:pPr>
            <w:r>
              <w:t xml:space="preserve">Integration</w:t>
            </w:r>
          </w:p>
        </w:tc>
        <w:tc>
          <w:tcPr/>
          <w:p>
            <w:pPr>
              <w:pStyle w:val="Compact"/>
              <w:jc w:val="left"/>
            </w:pPr>
            <w:r>
              <w:t xml:space="preserve">Cohere Embed and Rerank APIs (v2), SDKs, Azure AI Foundry and SageMaker endpoints; LangChain integration</w:t>
            </w:r>
          </w:p>
        </w:tc>
        <w:tc>
          <w:tcPr/>
          <w:p>
            <w:pPr>
              <w:pStyle w:val="Compact"/>
              <w:jc w:val="left"/>
            </w:pPr>
            <w:r>
              <w:t xml:space="preserve">Verified fact</w:t>
            </w:r>
          </w:p>
        </w:tc>
        <w:tc>
          <w:tcPr/>
          <w:p>
            <w:pPr>
              <w:pStyle w:val="Compact"/>
              <w:jc w:val="left"/>
            </w:pPr>
            <w:r>
              <w:t xml:space="preserve">A2-S011, A2-S012</w:t>
            </w:r>
          </w:p>
        </w:tc>
      </w:tr>
      <w:tr>
        <w:tc>
          <w:tcPr/>
          <w:p>
            <w:pPr>
              <w:pStyle w:val="Compact"/>
              <w:jc w:val="left"/>
            </w:pPr>
            <w:r>
              <w:t xml:space="preserve">Dependencies</w:t>
            </w:r>
          </w:p>
        </w:tc>
        <w:tc>
          <w:tcPr/>
          <w:p>
            <w:pPr>
              <w:pStyle w:val="Compact"/>
              <w:jc w:val="left"/>
            </w:pPr>
            <w:r>
              <w:t xml:space="preserve">Cohere API, or partner clouds (Microsoft Foundry, Amazon SageMaker), or customer infrastructure for private deployments</w:t>
            </w:r>
          </w:p>
        </w:tc>
        <w:tc>
          <w:tcPr/>
          <w:p>
            <w:pPr>
              <w:pStyle w:val="Compact"/>
              <w:jc w:val="left"/>
            </w:pPr>
            <w:r>
              <w:t xml:space="preserve">Verified fact</w:t>
            </w:r>
          </w:p>
        </w:tc>
        <w:tc>
          <w:tcPr/>
          <w:p>
            <w:pPr>
              <w:pStyle w:val="Compact"/>
              <w:jc w:val="left"/>
            </w:pPr>
            <w:r>
              <w:t xml:space="preserve">A2-S012, A2-S015</w:t>
            </w:r>
          </w:p>
        </w:tc>
      </w:tr>
      <w:tr>
        <w:tc>
          <w:tcPr/>
          <w:p>
            <w:pPr>
              <w:pStyle w:val="Compact"/>
              <w:jc w:val="left"/>
            </w:pPr>
            <w:r>
              <w:t xml:space="preserve">Certifications</w:t>
            </w:r>
          </w:p>
        </w:tc>
        <w:tc>
          <w:tcPr/>
          <w:p>
            <w:pPr>
              <w:pStyle w:val="Compact"/>
              <w:jc w:val="left"/>
            </w:pPr>
            <w:r>
              <w:t xml:space="preserve">SOC 2 Type II (annual; report under mNDA), ISO 27001, ISO 42001, UK Cyber Essentials; HIPAA listed as an FAQ entry (BAA not confirmed)</w:t>
            </w:r>
          </w:p>
        </w:tc>
        <w:tc>
          <w:tcPr/>
          <w:p>
            <w:pPr>
              <w:pStyle w:val="Compact"/>
              <w:jc w:val="left"/>
            </w:pPr>
            <w:r>
              <w:t xml:space="preserve">Verified fact</w:t>
            </w:r>
          </w:p>
        </w:tc>
        <w:tc>
          <w:tcPr/>
          <w:p>
            <w:pPr>
              <w:pStyle w:val="Compact"/>
              <w:jc w:val="left"/>
            </w:pPr>
            <w:r>
              <w:t xml:space="preserve">A2-S014</w:t>
            </w:r>
          </w:p>
        </w:tc>
      </w:tr>
      <w:tr>
        <w:tc>
          <w:tcPr/>
          <w:p>
            <w:pPr>
              <w:pStyle w:val="Compact"/>
              <w:jc w:val="left"/>
            </w:pPr>
            <w:r>
              <w:t xml:space="preserve">GDPR / residency</w:t>
            </w:r>
          </w:p>
        </w:tc>
        <w:tc>
          <w:tcPr/>
          <w:p>
            <w:pPr>
              <w:pStyle w:val="Compact"/>
              <w:jc w:val="left"/>
            </w:pPr>
            <w:r>
              <w:t xml:space="preserve">Enterprise default: logged prompts/generations deleted after 30 days; Zero Data Retention available to enterprise customers on request (usage data still received); no Cohere access to prompts in private/partner deployments; EU hosted-region details not verified</w:t>
            </w:r>
          </w:p>
        </w:tc>
        <w:tc>
          <w:tcPr/>
          <w:p>
            <w:pPr>
              <w:pStyle w:val="Compact"/>
              <w:jc w:val="left"/>
            </w:pPr>
            <w:r>
              <w:t xml:space="preserve">Verified fact</w:t>
            </w:r>
          </w:p>
        </w:tc>
        <w:tc>
          <w:tcPr/>
          <w:p>
            <w:pPr>
              <w:pStyle w:val="Compact"/>
              <w:jc w:val="left"/>
            </w:pPr>
            <w:r>
              <w:t xml:space="preserve">A2-S145, A2-S014</w:t>
            </w:r>
          </w:p>
        </w:tc>
      </w:tr>
      <w:tr>
        <w:tc>
          <w:tcPr/>
          <w:p>
            <w:pPr>
              <w:pStyle w:val="Compact"/>
              <w:jc w:val="left"/>
            </w:pPr>
            <w:r>
              <w:t xml:space="preserve">Security features</w:t>
            </w:r>
          </w:p>
        </w:tc>
        <w:tc>
          <w:tcPr/>
          <w:p>
            <w:pPr>
              <w:pStyle w:val="Compact"/>
              <w:jc w:val="left"/>
            </w:pPr>
            <w:r>
              <w:t xml:space="preserve">Private on-prem/VPC deployments with no Cohere access to customer data; Encrypted Vault product for regulated workloads</w:t>
            </w:r>
          </w:p>
        </w:tc>
        <w:tc>
          <w:tcPr/>
          <w:p>
            <w:pPr>
              <w:pStyle w:val="Compact"/>
              <w:jc w:val="left"/>
            </w:pPr>
            <w:r>
              <w:t xml:space="preserve">Verified fact</w:t>
            </w:r>
          </w:p>
        </w:tc>
        <w:tc>
          <w:tcPr/>
          <w:p>
            <w:pPr>
              <w:pStyle w:val="Compact"/>
              <w:jc w:val="left"/>
            </w:pPr>
            <w:r>
              <w:t xml:space="preserve">A2-S015, A2-S014</w:t>
            </w:r>
          </w:p>
        </w:tc>
      </w:tr>
      <w:tr>
        <w:tc>
          <w:tcPr/>
          <w:p>
            <w:pPr>
              <w:pStyle w:val="Compact"/>
              <w:jc w:val="left"/>
            </w:pPr>
            <w:r>
              <w:t xml:space="preserve">Access controls</w:t>
            </w:r>
          </w:p>
        </w:tc>
        <w:tc>
          <w:tcPr/>
          <w:p>
            <w:pPr>
              <w:pStyle w:val="Compact"/>
              <w:jc w:val="left"/>
            </w:pPr>
            <w:r>
              <w:t xml:space="preserve">SSO/SAML, RBAC and audit-log export for the hosted API not found in public sources (7 October 2026); Model Vault attestation produces a signed record usable for audit</w:t>
            </w:r>
          </w:p>
        </w:tc>
        <w:tc>
          <w:tcPr/>
          <w:p>
            <w:pPr>
              <w:pStyle w:val="Compact"/>
              <w:jc w:val="left"/>
            </w:pPr>
            <w:r>
              <w:t xml:space="preserve">Verified fact</w:t>
            </w:r>
          </w:p>
        </w:tc>
        <w:tc>
          <w:tcPr/>
          <w:p>
            <w:pPr>
              <w:pStyle w:val="Compact"/>
              <w:jc w:val="left"/>
            </w:pPr>
            <w:r>
              <w:t xml:space="preserve">A2-S145</w:t>
            </w:r>
          </w:p>
        </w:tc>
      </w:tr>
      <w:tr>
        <w:tc>
          <w:tcPr/>
          <w:p>
            <w:pPr>
              <w:pStyle w:val="Compact"/>
              <w:jc w:val="left"/>
            </w:pPr>
            <w:r>
              <w:t xml:space="preserve">Enterprise support</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Pricing</w:t>
            </w:r>
          </w:p>
        </w:tc>
        <w:tc>
          <w:tcPr/>
          <w:p>
            <w:pPr>
              <w:pStyle w:val="Compact"/>
              <w:jc w:val="left"/>
            </w:pPr>
            <w:r>
              <w:t xml:space="preserve">Embed 5 Pro US$0.12 and Fast US$0.08 per 1M text tokens; images US$0.40 per 1M tokens (both). Rerank billed per search (rate not found). Model Vault: e.g. Embed 5 Pro Small US$3.00/hour or US$2,000/month; Rerank 4 Pro Large US$10.00/hour or US$6,500/month per instance.</w:t>
            </w:r>
          </w:p>
        </w:tc>
        <w:tc>
          <w:tcPr/>
          <w:p>
            <w:pPr>
              <w:pStyle w:val="Compact"/>
              <w:jc w:val="left"/>
            </w:pPr>
            <w:r>
              <w:t xml:space="preserve">Verified fact</w:t>
            </w:r>
          </w:p>
        </w:tc>
        <w:tc>
          <w:tcPr/>
          <w:p>
            <w:pPr>
              <w:pStyle w:val="Compact"/>
              <w:jc w:val="left"/>
            </w:pPr>
            <w:r>
              <w:t xml:space="preserve">A2-S013, A2-S016</w:t>
            </w:r>
          </w:p>
        </w:tc>
      </w:tr>
      <w:tr>
        <w:tc>
          <w:tcPr/>
          <w:p>
            <w:pPr>
              <w:pStyle w:val="Compact"/>
              <w:jc w:val="left"/>
            </w:pPr>
            <w:r>
              <w:t xml:space="preserve">Infrastructure cost</w:t>
            </w:r>
          </w:p>
        </w:tc>
        <w:tc>
          <w:tcPr/>
          <w:p>
            <w:pPr>
              <w:pStyle w:val="Compact"/>
              <w:jc w:val="left"/>
            </w:pPr>
            <w:r>
              <w:t xml:space="preserve">Dedicated (Vault) instances billed per instance-hour or month</w:t>
            </w:r>
          </w:p>
        </w:tc>
        <w:tc>
          <w:tcPr/>
          <w:p>
            <w:pPr>
              <w:pStyle w:val="Compact"/>
              <w:jc w:val="left"/>
            </w:pPr>
            <w:r>
              <w:t xml:space="preserve">Verified fact</w:t>
            </w:r>
          </w:p>
        </w:tc>
        <w:tc>
          <w:tcPr/>
          <w:p>
            <w:pPr>
              <w:pStyle w:val="Compact"/>
              <w:jc w:val="left"/>
            </w:pPr>
            <w:r>
              <w:t xml:space="preserve">A2-S016</w:t>
            </w:r>
          </w:p>
        </w:tc>
      </w:tr>
      <w:tr>
        <w:tc>
          <w:tcPr/>
          <w:p>
            <w:pPr>
              <w:pStyle w:val="Compact"/>
              <w:jc w:val="left"/>
            </w:pPr>
            <w:r>
              <w:t xml:space="preserve">Ecosystem</w:t>
            </w:r>
          </w:p>
        </w:tc>
        <w:tc>
          <w:tcPr/>
          <w:p>
            <w:pPr>
              <w:pStyle w:val="Compact"/>
              <w:jc w:val="left"/>
            </w:pPr>
            <w:r>
              <w:t xml:space="preserve">Available on Microsoft Foundry/Azure, Amazon SageMaker; LangChain integration</w:t>
            </w:r>
          </w:p>
        </w:tc>
        <w:tc>
          <w:tcPr/>
          <w:p>
            <w:pPr>
              <w:pStyle w:val="Compact"/>
              <w:jc w:val="left"/>
            </w:pPr>
            <w:r>
              <w:t xml:space="preserve">Verified fact</w:t>
            </w:r>
          </w:p>
        </w:tc>
        <w:tc>
          <w:tcPr/>
          <w:p>
            <w:pPr>
              <w:pStyle w:val="Compact"/>
              <w:jc w:val="left"/>
            </w:pPr>
            <w:r>
              <w:t xml:space="preserve">A2-S011, A2-S012</w:t>
            </w:r>
          </w:p>
        </w:tc>
      </w:tr>
      <w:tr>
        <w:tc>
          <w:tcPr/>
          <w:p>
            <w:pPr>
              <w:pStyle w:val="Compact"/>
              <w:jc w:val="left"/>
            </w:pPr>
            <w:r>
              <w:t xml:space="preserve">Adoption signals</w:t>
            </w:r>
          </w:p>
        </w:tc>
        <w:tc>
          <w:tcPr/>
          <w:p>
            <w:pPr>
              <w:pStyle w:val="Compact"/>
              <w:jc w:val="left"/>
            </w:pPr>
            <w:r>
              <w:t xml:space="preserve">Funding: US$500M at US$6.8B (August 2025); press reports (September 2026) of talks at a US$20B valuation (unconfirmed)</w:t>
            </w:r>
          </w:p>
        </w:tc>
        <w:tc>
          <w:tcPr/>
          <w:p>
            <w:pPr>
              <w:pStyle w:val="Compact"/>
              <w:jc w:val="left"/>
            </w:pPr>
            <w:r>
              <w:t xml:space="preserve">Verified fact</w:t>
            </w:r>
          </w:p>
        </w:tc>
        <w:tc>
          <w:tcPr/>
          <w:p>
            <w:pPr>
              <w:pStyle w:val="Compact"/>
              <w:jc w:val="left"/>
            </w:pPr>
            <w:r>
              <w:t xml:space="preserve">A2-S017, A2-S019</w:t>
            </w:r>
          </w:p>
        </w:tc>
      </w:tr>
      <w:tr>
        <w:tc>
          <w:tcPr/>
          <w:p>
            <w:pPr>
              <w:pStyle w:val="Compact"/>
              <w:jc w:val="left"/>
            </w:pPr>
            <w:r>
              <w:t xml:space="preserve">Maturity</w:t>
            </w:r>
          </w:p>
        </w:tc>
        <w:tc>
          <w:tcPr/>
          <w:p>
            <w:pPr>
              <w:pStyle w:val="Compact"/>
              <w:jc w:val="left"/>
            </w:pPr>
            <w:r>
              <w:t xml:space="preserve">Mature product line; frequent generations (Embed v4 2025, Rerank 4 Dec 2025, Embed 5 Sep 2026)</w:t>
            </w:r>
          </w:p>
        </w:tc>
        <w:tc>
          <w:tcPr/>
          <w:p>
            <w:pPr>
              <w:pStyle w:val="Compact"/>
              <w:jc w:val="left"/>
            </w:pPr>
            <w:r>
              <w:t xml:space="preserve">Verified fact</w:t>
            </w:r>
          </w:p>
        </w:tc>
        <w:tc>
          <w:tcPr/>
          <w:p>
            <w:pPr>
              <w:pStyle w:val="Compact"/>
              <w:jc w:val="left"/>
            </w:pPr>
            <w:r>
              <w:t xml:space="preserve">A2-S011, A2-S010, A2-S012</w:t>
            </w:r>
          </w:p>
        </w:tc>
      </w:tr>
      <w:tr>
        <w:tc>
          <w:tcPr/>
          <w:p>
            <w:pPr>
              <w:pStyle w:val="Compact"/>
              <w:jc w:val="left"/>
            </w:pPr>
            <w:r>
              <w:t xml:space="preserve">Deployment</w:t>
            </w:r>
          </w:p>
        </w:tc>
        <w:tc>
          <w:tcPr/>
          <w:p>
            <w:pPr>
              <w:pStyle w:val="Compact"/>
              <w:jc w:val="left"/>
            </w:pPr>
            <w:r>
              <w:t xml:space="preserve">saas: Yes; managed_cloud: Yes (Microsoft Foundry, Amazon SageMaker; Model Vault single-tenant); vpc_byoc: Yes (VPC deployment); private_cloud: Yes (Model Vault single-tenant); self_hosted: Yes (private deployment); on_prem: Yes</w:t>
            </w:r>
          </w:p>
        </w:tc>
        <w:tc>
          <w:tcPr/>
          <w:p>
            <w:pPr>
              <w:pStyle w:val="Compact"/>
            </w:pPr>
          </w:p>
        </w:tc>
        <w:tc>
          <w:tcPr/>
          <w:p>
            <w:pPr>
              <w:pStyle w:val="Compact"/>
            </w:pPr>
          </w:p>
        </w:tc>
      </w:tr>
    </w:tbl>
    <w:bookmarkEnd w:id="383"/>
    <w:bookmarkStart w:id="395" w:name="X6e3631ff15226695782ba4b283355bd6c046218"/>
    <w:p>
      <w:pPr>
        <w:pStyle w:val="Heading2"/>
      </w:pPr>
      <w:r>
        <w:t xml:space="preserve">Sentence Transformers (sentence-transformers library; SBERT.net) (</w:t>
      </w:r>
      <w:r>
        <w:rPr>
          <w:rStyle w:val="VerbatimChar"/>
        </w:rPr>
        <w:t xml:space="preserve">L7-sentence-transformers</w:t>
      </w:r>
      <w:r>
        <w:t xml:space="preserve">)</w:t>
      </w:r>
    </w:p>
    <w:p>
      <w:pPr>
        <w:pStyle w:val="FirstParagraph"/>
      </w:pPr>
      <w:r>
        <w:rPr>
          <w:bCs/>
          <w:b/>
        </w:rPr>
        <w:t xml:space="preserve">Tier:</w:t>
      </w:r>
      <w:r>
        <w:t xml:space="preserve"> </w:t>
      </w:r>
      <w:r>
        <w:t xml:space="preserve">Strategic ·</w:t>
      </w:r>
      <w:r>
        <w:t xml:space="preserve"> </w:t>
      </w:r>
      <w:r>
        <w:rPr>
          <w:bCs/>
          <w:b/>
        </w:rPr>
        <w:t xml:space="preserve">Flags:</w:t>
      </w:r>
      <w:r>
        <w:t xml:space="preserve"> </w:t>
      </w:r>
      <w:r>
        <w:t xml:space="preserve">none ·</w:t>
      </w:r>
      <w:r>
        <w:t xml:space="preserve"> </w:t>
      </w:r>
      <w:r>
        <w:rPr>
          <w:bCs/>
          <w:b/>
        </w:rPr>
        <w:t xml:space="preserve">Original graphic label:</w:t>
      </w:r>
      <w:r>
        <w:t xml:space="preserve"> </w:t>
      </w:r>
      <w:r>
        <w:t xml:space="preserve">SBERT – Sentence transformers</w:t>
      </w:r>
    </w:p>
    <w:p>
      <w:pPr>
        <w:pStyle w:val="BodyText"/>
      </w:pPr>
      <w:r>
        <w:rPr>
          <w:iCs/>
          <w:i/>
        </w:rPr>
        <w:t xml:space="preserve">Rationale:</w:t>
      </w:r>
      <w:r>
        <w:t xml:space="preserve"> </w:t>
      </w:r>
      <w:r>
        <w:t xml:space="preserve">The portable, self-hosted toolkit for embeddings, reranking, sparse and late interaction; the firm’s exit route and fine-tuning base.</w:t>
      </w:r>
    </w:p>
    <w:tbl>
      <w:tblPr>
        <w:tblStyle w:val="Table"/>
        <w:tblW w:type="pct" w:w="5000"/>
        <w:tblLook w:firstRow="1" w:lastRow="0" w:firstColumn="0" w:lastColumn="0" w:noHBand="0" w:noVBand="0" w:val="0020"/>
        <w:jc w:val="start"/>
      </w:tblPr>
      <w:tblGrid>
        <w:gridCol w:w="1545"/>
        <w:gridCol w:w="579"/>
        <w:gridCol w:w="5795"/>
      </w:tblGrid>
      <w:tr>
        <w:trPr>
          <w:tblHeader w:val="true"/>
        </w:trPr>
        <w:tc>
          <w:tcPr/>
          <w:p>
            <w:pPr>
              <w:pStyle w:val="Compact"/>
              <w:jc w:val="left"/>
            </w:pPr>
            <w:r>
              <w:t xml:space="preserve">Criterion</w:t>
            </w:r>
          </w:p>
        </w:tc>
        <w:tc>
          <w:tcPr/>
          <w:p>
            <w:pPr>
              <w:pStyle w:val="Compact"/>
              <w:jc w:val="right"/>
            </w:pPr>
            <w:r>
              <w:t xml:space="preserve">Score</w:t>
            </w:r>
          </w:p>
        </w:tc>
        <w:tc>
          <w:tcPr/>
          <w:p>
            <w:pPr>
              <w:pStyle w:val="Compact"/>
              <w:jc w:val="left"/>
            </w:pPr>
            <w:r>
              <w:t xml:space="preserve">Rationale</w:t>
            </w:r>
          </w:p>
        </w:tc>
      </w:tr>
      <w:tr>
        <w:tc>
          <w:tcPr/>
          <w:p>
            <w:pPr>
              <w:pStyle w:val="Compact"/>
              <w:jc w:val="left"/>
            </w:pPr>
            <w:r>
              <w:t xml:space="preserve">Technical</w:t>
            </w:r>
          </w:p>
        </w:tc>
        <w:tc>
          <w:tcPr/>
          <w:p>
            <w:pPr>
              <w:pStyle w:val="Compact"/>
              <w:jc w:val="right"/>
            </w:pPr>
            <w:r>
              <w:t xml:space="preserve">4</w:t>
            </w:r>
          </w:p>
        </w:tc>
        <w:tc>
          <w:tcPr/>
          <w:p>
            <w:pPr>
              <w:pStyle w:val="Compact"/>
              <w:jc w:val="left"/>
            </w:pPr>
            <w:r>
              <w:t xml:space="preserve">Covers dense, cross-encoder, sparse and multi-vector with fine-tuning; quality depends on the chosen model.</w:t>
            </w:r>
          </w:p>
        </w:tc>
      </w:tr>
      <w:tr>
        <w:tc>
          <w:tcPr/>
          <w:p>
            <w:pPr>
              <w:pStyle w:val="Compact"/>
              <w:jc w:val="left"/>
            </w:pPr>
            <w:r>
              <w:t xml:space="preserve">Enterprise readiness</w:t>
            </w:r>
          </w:p>
        </w:tc>
        <w:tc>
          <w:tcPr/>
          <w:p>
            <w:pPr>
              <w:pStyle w:val="Compact"/>
              <w:jc w:val="right"/>
            </w:pPr>
            <w:r>
              <w:t xml:space="preserve">3</w:t>
            </w:r>
          </w:p>
        </w:tc>
        <w:tc>
          <w:tcPr/>
          <w:p>
            <w:pPr>
              <w:pStyle w:val="Compact"/>
              <w:jc w:val="left"/>
            </w:pPr>
            <w:r>
              <w:t xml:space="preserve">Rule 2: enables in-estate serving and fine-tuning; no commercial support verified (capped at 4).</w:t>
            </w:r>
          </w:p>
        </w:tc>
      </w:tr>
      <w:tr>
        <w:tc>
          <w:tcPr/>
          <w:p>
            <w:pPr>
              <w:pStyle w:val="Compact"/>
              <w:jc w:val="left"/>
            </w:pPr>
            <w:r>
              <w:t xml:space="preserve">Security and compliance</w:t>
            </w:r>
          </w:p>
        </w:tc>
        <w:tc>
          <w:tcPr/>
          <w:p>
            <w:pPr>
              <w:pStyle w:val="Compact"/>
              <w:jc w:val="right"/>
            </w:pPr>
            <w:r>
              <w:t xml:space="preserve">3</w:t>
            </w:r>
          </w:p>
        </w:tc>
        <w:tc>
          <w:tcPr/>
          <w:p>
            <w:pPr>
              <w:pStyle w:val="Compact"/>
              <w:jc w:val="left"/>
            </w:pPr>
            <w:r>
              <w:t xml:space="preserve">Rule 2: Apache-2.0; SECURITY.md with private vulnerability reporting and CVE issuance through GitHub advisories (B-REV-S002); release signing not verified; inherits host controls.</w:t>
            </w:r>
          </w:p>
        </w:tc>
      </w:tr>
      <w:tr>
        <w:tc>
          <w:tcPr/>
          <w:p>
            <w:pPr>
              <w:pStyle w:val="Compact"/>
              <w:jc w:val="left"/>
            </w:pPr>
            <w:r>
              <w:t xml:space="preserve">Deployment flexibility</w:t>
            </w:r>
          </w:p>
        </w:tc>
        <w:tc>
          <w:tcPr/>
          <w:p>
            <w:pPr>
              <w:pStyle w:val="Compact"/>
              <w:jc w:val="right"/>
            </w:pPr>
            <w:r>
              <w:t xml:space="preserve">4</w:t>
            </w:r>
          </w:p>
        </w:tc>
        <w:tc>
          <w:tcPr/>
          <w:p>
            <w:pPr>
              <w:pStyle w:val="Compact"/>
              <w:jc w:val="left"/>
            </w:pPr>
            <w:r>
              <w:t xml:space="preserve">Self-host, on-prem and air-gap; no managed option of its own.</w:t>
            </w:r>
          </w:p>
        </w:tc>
      </w:tr>
      <w:tr>
        <w:tc>
          <w:tcPr/>
          <w:p>
            <w:pPr>
              <w:pStyle w:val="Compact"/>
              <w:jc w:val="left"/>
            </w:pPr>
            <w:r>
              <w:t xml:space="preserve">Ecosystem</w:t>
            </w:r>
          </w:p>
        </w:tc>
        <w:tc>
          <w:tcPr/>
          <w:p>
            <w:pPr>
              <w:pStyle w:val="Compact"/>
              <w:jc w:val="right"/>
            </w:pPr>
            <w:r>
              <w:t xml:space="preserve">5</w:t>
            </w:r>
          </w:p>
        </w:tc>
        <w:tc>
          <w:tcPr/>
          <w:p>
            <w:pPr>
              <w:pStyle w:val="Compact"/>
              <w:jc w:val="left"/>
            </w:pPr>
            <w:r>
              <w:t xml:space="preserve">Over 15,000 models on Hugging Face; many MTEB models load through it.</w:t>
            </w:r>
          </w:p>
        </w:tc>
      </w:tr>
      <w:tr>
        <w:tc>
          <w:tcPr/>
          <w:p>
            <w:pPr>
              <w:pStyle w:val="Compact"/>
              <w:jc w:val="left"/>
            </w:pPr>
            <w:r>
              <w:t xml:space="preserve">Reliability and maturity</w:t>
            </w:r>
          </w:p>
        </w:tc>
        <w:tc>
          <w:tcPr/>
          <w:p>
            <w:pPr>
              <w:pStyle w:val="Compact"/>
              <w:jc w:val="right"/>
            </w:pPr>
            <w:r>
              <w:t xml:space="preserve">4</w:t>
            </w:r>
          </w:p>
        </w:tc>
        <w:tc>
          <w:tcPr/>
          <w:p>
            <w:pPr>
              <w:pStyle w:val="Compact"/>
              <w:jc w:val="left"/>
            </w:pPr>
            <w:r>
              <w:t xml:space="preserve">Since 2019, regular 2026 releases, Hugging Face stewardship.</w:t>
            </w:r>
          </w:p>
        </w:tc>
      </w:tr>
      <w:tr>
        <w:tc>
          <w:tcPr/>
          <w:p>
            <w:pPr>
              <w:pStyle w:val="Compact"/>
              <w:jc w:val="left"/>
            </w:pPr>
            <w:r>
              <w:t xml:space="preserve">Cost / TCO</w:t>
            </w:r>
          </w:p>
        </w:tc>
        <w:tc>
          <w:tcPr/>
          <w:p>
            <w:pPr>
              <w:pStyle w:val="Compact"/>
              <w:jc w:val="right"/>
            </w:pPr>
            <w:r>
              <w:t xml:space="preserve">4</w:t>
            </w:r>
          </w:p>
        </w:tc>
        <w:tc>
          <w:tcPr/>
          <w:p>
            <w:pPr>
              <w:pStyle w:val="Compact"/>
              <w:jc w:val="left"/>
            </w:pPr>
            <w:r>
              <w:t xml:space="preserve">Free; compute and operations are the cost.</w:t>
            </w:r>
          </w:p>
        </w:tc>
      </w:tr>
      <w:tr>
        <w:tc>
          <w:tcPr/>
          <w:p>
            <w:pPr>
              <w:pStyle w:val="Compact"/>
              <w:jc w:val="left"/>
            </w:pPr>
            <w:r>
              <w:t xml:space="preserve">Lock-in / portability</w:t>
            </w:r>
          </w:p>
        </w:tc>
        <w:tc>
          <w:tcPr/>
          <w:p>
            <w:pPr>
              <w:pStyle w:val="Compact"/>
              <w:jc w:val="right"/>
            </w:pPr>
            <w:r>
              <w:t xml:space="preserve">4</w:t>
            </w:r>
          </w:p>
        </w:tc>
        <w:tc>
          <w:tcPr/>
          <w:p>
            <w:pPr>
              <w:pStyle w:val="Compact"/>
              <w:jc w:val="left"/>
            </w:pPr>
            <w:r>
              <w:t xml:space="preserve">Apache-2.0 and model-agnostic; stewarded by one company rather than a neutral foundation.</w:t>
            </w:r>
          </w:p>
        </w:tc>
      </w:tr>
      <w:tr>
        <w:tc>
          <w:tcPr/>
          <w:p>
            <w:pPr>
              <w:pStyle w:val="Compact"/>
              <w:jc w:val="left"/>
            </w:pPr>
            <w:r>
              <w:rPr>
                <w:bCs/>
                <w:b/>
              </w:rPr>
              <w:t xml:space="preserve">Total (generic / FS)</w:t>
            </w:r>
          </w:p>
        </w:tc>
        <w:tc>
          <w:tcPr/>
          <w:p>
            <w:pPr>
              <w:pStyle w:val="Compact"/>
              <w:jc w:val="right"/>
            </w:pPr>
            <w:r>
              <w:rPr>
                <w:bCs/>
                <w:b/>
              </w:rPr>
              <w:t xml:space="preserve">3.80 / 3.70</w:t>
            </w:r>
          </w:p>
        </w:tc>
        <w:tc>
          <w:tcPr/>
          <w:p>
            <w:pPr>
              <w:pStyle w:val="Compact"/>
            </w:pPr>
          </w:p>
        </w:tc>
      </w:tr>
    </w:tbl>
    <w:p>
      <w:pPr>
        <w:pStyle w:val="BodyText"/>
      </w:pPr>
      <w:r>
        <w:rPr>
          <w:iCs/>
          <w:i/>
        </w:rPr>
        <w:t xml:space="preserve">Evidence rules applied:</w:t>
      </w:r>
      <w:r>
        <w:t xml:space="preserve"> </w:t>
      </w:r>
      <w:r>
        <w:t xml:space="preserve">Rule 2 (self-hosted library): enterprise_readiness and security_compliance capped at 4; NPV cap not applied</w:t>
      </w:r>
    </w:p>
    <w:p>
      <w:pPr>
        <w:pStyle w:val="BodyText"/>
      </w:pPr>
      <w:r>
        <w:rPr>
          <w:bCs/>
          <w:b/>
        </w:rPr>
        <w:t xml:space="preserve">Capabilities.</w:t>
      </w:r>
      <w:r>
        <w:t xml:space="preserve"> </w:t>
      </w:r>
      <w:r>
        <w:t xml:space="preserve">Apache-2.0 Python library (6.1.0, 18 September 2026) for dense embeddings, Cross-Encoder rerankers, Sparse Encoders and Multi-Vector Encoders (ColBERT-style late interaction), with training and fine-tuning; over 15,000 pre-trained models on Hugging Face</w:t>
      </w:r>
      <w:r>
        <w:t xml:space="preserve"> </w:t>
      </w:r>
      <w:r>
        <w:rPr>
          <w:rStyle w:val="ClaimLabel"/>
        </w:rPr>
        <w:t xml:space="preserve">VF</w:t>
      </w:r>
      <w:r>
        <w:rPr>
          <w:rStyle w:val="FootnoteReference"/>
        </w:rPr>
        <w:footnoteReference w:id="384"/>
      </w:r>
      <w:r>
        <w:t xml:space="preserve">. Maintained by Hugging Face</w:t>
      </w:r>
      <w:r>
        <w:t xml:space="preserve"> </w:t>
      </w:r>
      <w:r>
        <w:rPr>
          <w:rStyle w:val="ClaimLabel"/>
        </w:rPr>
        <w:t xml:space="preserve">VF</w:t>
      </w:r>
      <w:r>
        <w:rPr>
          <w:rStyle w:val="FootnoteReference"/>
        </w:rPr>
        <w:footnoteReference w:id="388"/>
      </w:r>
      <w:r>
        <w:t xml:space="preserve">.</w:t>
      </w:r>
    </w:p>
    <w:p>
      <w:pPr>
        <w:pStyle w:val="BodyText"/>
      </w:pPr>
      <w:r>
        <w:rPr>
          <w:bCs/>
          <w:b/>
        </w:rPr>
        <w:t xml:space="preserve">Strengths</w:t>
      </w:r>
    </w:p>
    <w:p>
      <w:pPr>
        <w:numPr>
          <w:ilvl w:val="0"/>
          <w:numId w:val="1089"/>
        </w:numPr>
        <w:pStyle w:val="Compact"/>
      </w:pPr>
      <w:r>
        <w:t xml:space="preserve">One toolkit for the whole retrieval-optimisation layer: bi-encoder, cross-encoder, sparse and late interaction</w:t>
      </w:r>
      <w:r>
        <w:t xml:space="preserve"> </w:t>
      </w:r>
      <w:r>
        <w:rPr>
          <w:rStyle w:val="ClaimLabel"/>
        </w:rPr>
        <w:t xml:space="preserve">VF</w:t>
      </w:r>
      <w:r>
        <w:rPr>
          <w:rStyle w:val="FootnoteReference"/>
        </w:rPr>
        <w:footnoteReference w:id="389"/>
      </w:r>
    </w:p>
    <w:p>
      <w:pPr>
        <w:numPr>
          <w:ilvl w:val="0"/>
          <w:numId w:val="1089"/>
        </w:numPr>
        <w:pStyle w:val="Compact"/>
      </w:pPr>
      <w:r>
        <w:t xml:space="preserve">Fine-tuning on in-domain pairs is the main route to domain adaptation without a vendor</w:t>
      </w:r>
      <w:r>
        <w:t xml:space="preserve"> </w:t>
      </w:r>
      <w:r>
        <w:rPr>
          <w:rStyle w:val="ClaimLabel"/>
        </w:rPr>
        <w:t xml:space="preserve">VF</w:t>
      </w:r>
      <w:r>
        <w:rPr>
          <w:rStyle w:val="FootnoteReference"/>
        </w:rPr>
        <w:footnoteReference w:id="390"/>
      </w:r>
      <w:r>
        <w:t xml:space="preserve"> </w:t>
      </w:r>
      <w:r>
        <w:rPr>
          <w:rStyle w:val="ClaimLabel"/>
        </w:rPr>
        <w:t xml:space="preserve">AJ</w:t>
      </w:r>
    </w:p>
    <w:p>
      <w:pPr>
        <w:numPr>
          <w:ilvl w:val="0"/>
          <w:numId w:val="1089"/>
        </w:numPr>
        <w:pStyle w:val="Compact"/>
      </w:pPr>
      <w:r>
        <w:t xml:space="preserve">Model-agnostic and permissively licensed, so it is the natural exit route from any hosted embedding API</w:t>
      </w:r>
      <w:r>
        <w:t xml:space="preserve"> </w:t>
      </w:r>
      <w:r>
        <w:rPr>
          <w:rStyle w:val="ClaimLabel"/>
        </w:rPr>
        <w:t xml:space="preserve">AJ</w:t>
      </w:r>
    </w:p>
    <w:p>
      <w:pPr>
        <w:pStyle w:val="FirstParagraph"/>
      </w:pPr>
      <w:r>
        <w:rPr>
          <w:bCs/>
          <w:b/>
        </w:rPr>
        <w:t xml:space="preserve">Limitations and risks</w:t>
      </w:r>
    </w:p>
    <w:p>
      <w:pPr>
        <w:numPr>
          <w:ilvl w:val="0"/>
          <w:numId w:val="1090"/>
        </w:numPr>
        <w:pStyle w:val="Compact"/>
      </w:pPr>
      <w:r>
        <w:t xml:space="preserve">A library, not a model: quality depends on the model chosen and on the firm’s evaluation</w:t>
      </w:r>
      <w:r>
        <w:t xml:space="preserve"> </w:t>
      </w:r>
      <w:r>
        <w:rPr>
          <w:rStyle w:val="ClaimLabel"/>
        </w:rPr>
        <w:t xml:space="preserve">AJ</w:t>
      </w:r>
    </w:p>
    <w:p>
      <w:pPr>
        <w:numPr>
          <w:ilvl w:val="0"/>
          <w:numId w:val="1090"/>
        </w:numPr>
        <w:pStyle w:val="Compact"/>
      </w:pPr>
      <w:r>
        <w:t xml:space="preserve">No commercial support offer verified</w:t>
      </w:r>
      <w:r>
        <w:t xml:space="preserve"> </w:t>
      </w:r>
      <w:r>
        <w:rPr>
          <w:rStyle w:val="ClaimLabel"/>
        </w:rPr>
        <w:t xml:space="preserve">NPV</w:t>
      </w:r>
      <w:r>
        <w:t xml:space="preserve">; a security policy with private reporting and CVE issuance exists</w:t>
      </w:r>
      <w:r>
        <w:t xml:space="preserve"> </w:t>
      </w:r>
      <w:r>
        <w:rPr>
          <w:rStyle w:val="ClaimLabel"/>
        </w:rPr>
        <w:t xml:space="preserve">VF</w:t>
      </w:r>
      <w:r>
        <w:rPr>
          <w:rStyle w:val="FootnoteReference"/>
        </w:rPr>
        <w:footnoteReference w:id="391"/>
      </w:r>
      <w:r>
        <w:t xml:space="preserve">, but release signing is not verified</w:t>
      </w:r>
      <w:r>
        <w:t xml:space="preserve"> </w:t>
      </w:r>
      <w:r>
        <w:rPr>
          <w:rStyle w:val="ClaimLabel"/>
        </w:rPr>
        <w:t xml:space="preserve">NPV</w:t>
      </w:r>
    </w:p>
    <w:p>
      <w:pPr>
        <w:numPr>
          <w:ilvl w:val="0"/>
          <w:numId w:val="1090"/>
        </w:numPr>
        <w:pStyle w:val="Compact"/>
      </w:pPr>
      <w:r>
        <w:t xml:space="preserve">Depends on Hugging Face stewardship and a small maintainer team</w:t>
      </w:r>
      <w:r>
        <w:t xml:space="preserve"> </w:t>
      </w:r>
      <w:r>
        <w:rPr>
          <w:rStyle w:val="ClaimLabel"/>
        </w:rPr>
        <w:t xml:space="preserve">AJ</w:t>
      </w:r>
    </w:p>
    <w:p>
      <w:pPr>
        <w:numPr>
          <w:ilvl w:val="0"/>
          <w:numId w:val="1090"/>
        </w:numPr>
        <w:pStyle w:val="Compact"/>
      </w:pPr>
      <w:r>
        <w:t xml:space="preserve">Model licences on the Hub vary; each model needs its own licence check (for example, Jina weights are CC-BY-NC-4.0)</w:t>
      </w:r>
      <w:r>
        <w:t xml:space="preserve"> </w:t>
      </w:r>
      <w:r>
        <w:rPr>
          <w:rStyle w:val="ClaimLabel"/>
        </w:rPr>
        <w:t xml:space="preserve">VF</w:t>
      </w:r>
      <w:r>
        <w:rPr>
          <w:rStyle w:val="FootnoteReference"/>
        </w:rPr>
        <w:footnoteReference w:id="393"/>
      </w:r>
      <w:r>
        <w:t xml:space="preserve"> </w:t>
      </w:r>
      <w:r>
        <w:rPr>
          <w:rStyle w:val="ClaimLabel"/>
        </w:rPr>
        <w:t xml:space="preserve">AJ</w:t>
      </w:r>
    </w:p>
    <w:p>
      <w:pPr>
        <w:pStyle w:val="FirstParagraph"/>
      </w:pPr>
      <w:r>
        <w:rPr>
          <w:bCs/>
          <w:b/>
        </w:rPr>
        <w:t xml:space="preserve">Choose when</w:t>
      </w:r>
    </w:p>
    <w:p>
      <w:pPr>
        <w:numPr>
          <w:ilvl w:val="0"/>
          <w:numId w:val="1091"/>
        </w:numPr>
        <w:pStyle w:val="Compact"/>
      </w:pPr>
      <w:r>
        <w:t xml:space="preserve">Embeddings or reranking must run inside the firm’s estate, including air-gapped</w:t>
      </w:r>
    </w:p>
    <w:p>
      <w:pPr>
        <w:numPr>
          <w:ilvl w:val="0"/>
          <w:numId w:val="1091"/>
        </w:numPr>
        <w:pStyle w:val="Compact"/>
      </w:pPr>
      <w:r>
        <w:t xml:space="preserve">Domain fine-tuning or a reproducible, pinned retrieval stack is required</w:t>
      </w:r>
    </w:p>
    <w:p>
      <w:pPr>
        <w:pStyle w:val="FirstParagraph"/>
      </w:pPr>
      <w:r>
        <w:rPr>
          <w:bCs/>
          <w:b/>
        </w:rPr>
        <w:t xml:space="preserve">Avoid when</w:t>
      </w:r>
    </w:p>
    <w:p>
      <w:pPr>
        <w:numPr>
          <w:ilvl w:val="0"/>
          <w:numId w:val="1092"/>
        </w:numPr>
        <w:pStyle w:val="Compact"/>
      </w:pPr>
      <w:r>
        <w:t xml:space="preserve">There is no team to operate model serving, patching and evaluation</w:t>
      </w:r>
    </w:p>
    <w:p>
      <w:pPr>
        <w:numPr>
          <w:ilvl w:val="0"/>
          <w:numId w:val="1092"/>
        </w:numPr>
        <w:pStyle w:val="Compact"/>
      </w:pPr>
      <w:r>
        <w:t xml:space="preserve">A vendor SLA is mandatory for the retrieval path</w:t>
      </w:r>
    </w:p>
    <w:p>
      <w:pPr>
        <w:pStyle w:val="FirstParagraph"/>
      </w:pPr>
      <w:r>
        <w:rPr>
          <w:bCs/>
          <w:b/>
        </w:rPr>
        <w:t xml:space="preserve">Nearest competitors:</w:t>
      </w:r>
      <w:r>
        <w:t xml:space="preserve"> </w:t>
      </w:r>
      <w:r>
        <w:t xml:space="preserve">L7-nvidia-nemo-retriever, L7-qwen3-embedding, L7-cohere</w:t>
      </w:r>
    </w:p>
    <w:p>
      <w:pPr>
        <w:pStyle w:val="BodyText"/>
      </w:pPr>
      <w:r>
        <w:rPr>
          <w:bCs/>
          <w:b/>
        </w:rPr>
        <w:t xml:space="preserve">Regulated-FS note.</w:t>
      </w:r>
      <w:r>
        <w:t xml:space="preserve"> </w:t>
      </w:r>
      <w:r>
        <w:t xml:space="preserve">Inherits host controls: residency, access and logging are whatever the firm’s platform provides</w:t>
      </w:r>
      <w:r>
        <w:t xml:space="preserve"> </w:t>
      </w:r>
      <w:r>
        <w:rPr>
          <w:rStyle w:val="ClaimLabel"/>
        </w:rPr>
        <w:t xml:space="preserve">AJ</w:t>
      </w:r>
      <w:r>
        <w:t xml:space="preserve">. Pin library and model versions and record both in the evidence pack</w:t>
      </w:r>
      <w:r>
        <w:t xml:space="preserve"> </w:t>
      </w:r>
      <w:r>
        <w:rPr>
          <w:rStyle w:val="ClaimLabel"/>
        </w:rPr>
        <w:t xml:space="preserve">Rec</w:t>
      </w:r>
      <w:r>
        <w:t xml:space="preserve">.</w:t>
      </w:r>
    </w:p>
    <w:p>
      <w:pPr>
        <w:pStyle w:val="BodyText"/>
      </w:pPr>
      <w:r>
        <w:rPr>
          <w:bCs/>
          <w:b/>
        </w:rPr>
        <w:t xml:space="preserve">Facts (as of 2026-10-08)</w:t>
      </w:r>
    </w:p>
    <w:tbl>
      <w:tblPr>
        <w:tblStyle w:val="Table"/>
        <w:tblW w:type="pct" w:w="5000"/>
        <w:tblLook w:firstRow="1" w:lastRow="0" w:firstColumn="0" w:lastColumn="0" w:noHBand="0" w:noVBand="0" w:val="0020"/>
        <w:jc w:val="start"/>
      </w:tblPr>
      <w:tblGrid>
        <w:gridCol w:w="1485"/>
        <w:gridCol w:w="4290"/>
        <w:gridCol w:w="1320"/>
        <w:gridCol w:w="825"/>
      </w:tblGrid>
      <w:tr>
        <w:trPr>
          <w:tblHeader w:val="true"/>
        </w:trPr>
        <w:tc>
          <w:tcPr/>
          <w:p>
            <w:pPr>
              <w:pStyle w:val="Compact"/>
              <w:jc w:val="left"/>
            </w:pPr>
            <w:r>
              <w:t xml:space="preserve">Field</w:t>
            </w:r>
          </w:p>
        </w:tc>
        <w:tc>
          <w:tcPr/>
          <w:p>
            <w:pPr>
              <w:pStyle w:val="Compact"/>
              <w:jc w:val="left"/>
            </w:pPr>
            <w:r>
              <w:t xml:space="preserve">Value</w:t>
            </w:r>
          </w:p>
        </w:tc>
        <w:tc>
          <w:tcPr/>
          <w:p>
            <w:pPr>
              <w:pStyle w:val="Compact"/>
              <w:jc w:val="left"/>
            </w:pPr>
            <w:r>
              <w:t xml:space="preserve">Label</w:t>
            </w:r>
          </w:p>
        </w:tc>
        <w:tc>
          <w:tcPr/>
          <w:p>
            <w:pPr>
              <w:pStyle w:val="Compact"/>
              <w:jc w:val="left"/>
            </w:pPr>
            <w:r>
              <w:t xml:space="preserve">Sources</w:t>
            </w:r>
          </w:p>
        </w:tc>
      </w:tr>
      <w:tr>
        <w:tc>
          <w:tcPr/>
          <w:p>
            <w:pPr>
              <w:pStyle w:val="Compact"/>
              <w:jc w:val="left"/>
            </w:pPr>
            <w:r>
              <w:t xml:space="preserve">Company</w:t>
            </w:r>
          </w:p>
        </w:tc>
        <w:tc>
          <w:tcPr/>
          <w:p>
            <w:pPr>
              <w:pStyle w:val="Compact"/>
              <w:jc w:val="left"/>
            </w:pPr>
            <w:r>
              <w:t xml:space="preserve">Hugging Face (maintainer Tom Aarsen); originally developed by UKP Lab, TU Darmstadt (author Nils Reimers)</w:t>
            </w:r>
          </w:p>
        </w:tc>
        <w:tc>
          <w:tcPr/>
          <w:p>
            <w:pPr>
              <w:pStyle w:val="Compact"/>
              <w:jc w:val="left"/>
            </w:pPr>
            <w:r>
              <w:t xml:space="preserve">Verified fact</w:t>
            </w:r>
          </w:p>
        </w:tc>
        <w:tc>
          <w:tcPr/>
          <w:p>
            <w:pPr>
              <w:pStyle w:val="Compact"/>
              <w:jc w:val="left"/>
            </w:pPr>
            <w:r>
              <w:t xml:space="preserve">A2-S029, A2-S028, V1-S092</w:t>
            </w:r>
          </w:p>
        </w:tc>
      </w:tr>
      <w:tr>
        <w:tc>
          <w:tcPr/>
          <w:p>
            <w:pPr>
              <w:pStyle w:val="Compact"/>
              <w:jc w:val="left"/>
            </w:pPr>
            <w:r>
              <w:t xml:space="preserve">Category</w:t>
            </w:r>
          </w:p>
        </w:tc>
        <w:tc>
          <w:tcPr/>
          <w:p>
            <w:pPr>
              <w:pStyle w:val="Compact"/>
              <w:jc w:val="left"/>
            </w:pPr>
            <w:r>
              <w:t xml:space="preserve">Open-source Python library for embedding, reranker (cross-encoder), sparse-encoder and multi-vector models</w:t>
            </w:r>
          </w:p>
        </w:tc>
        <w:tc>
          <w:tcPr/>
          <w:p>
            <w:pPr>
              <w:pStyle w:val="Compact"/>
              <w:jc w:val="left"/>
            </w:pPr>
            <w:r>
              <w:t xml:space="preserve">Verified fact</w:t>
            </w:r>
          </w:p>
        </w:tc>
        <w:tc>
          <w:tcPr/>
          <w:p>
            <w:pPr>
              <w:pStyle w:val="Compact"/>
              <w:jc w:val="left"/>
            </w:pPr>
            <w:r>
              <w:t xml:space="preserve">A2-S029</w:t>
            </w:r>
          </w:p>
        </w:tc>
      </w:tr>
      <w:tr>
        <w:tc>
          <w:tcPr/>
          <w:p>
            <w:pPr>
              <w:pStyle w:val="Compact"/>
              <w:jc w:val="left"/>
            </w:pPr>
            <w:r>
              <w:t xml:space="preserve">Version / lineup</w:t>
            </w:r>
          </w:p>
        </w:tc>
        <w:tc>
          <w:tcPr/>
          <w:p>
            <w:pPr>
              <w:pStyle w:val="Compact"/>
              <w:jc w:val="left"/>
            </w:pPr>
            <w:r>
              <w:t xml:space="preserve">6.1.0, released 18 September 2026 (6.0.0 on 18 August 2026)</w:t>
            </w:r>
          </w:p>
        </w:tc>
        <w:tc>
          <w:tcPr/>
          <w:p>
            <w:pPr>
              <w:pStyle w:val="Compact"/>
              <w:jc w:val="left"/>
            </w:pPr>
            <w:r>
              <w:t xml:space="preserve">Verified fact</w:t>
            </w:r>
          </w:p>
        </w:tc>
        <w:tc>
          <w:tcPr/>
          <w:p>
            <w:pPr>
              <w:pStyle w:val="Compact"/>
              <w:jc w:val="left"/>
            </w:pPr>
            <w:r>
              <w:t xml:space="preserve">A2-S029, A2-S032</w:t>
            </w:r>
          </w:p>
        </w:tc>
      </w:tr>
      <w:tr>
        <w:tc>
          <w:tcPr/>
          <w:p>
            <w:pPr>
              <w:pStyle w:val="Compact"/>
              <w:jc w:val="left"/>
            </w:pPr>
            <w:r>
              <w:t xml:space="preserve">Licence</w:t>
            </w:r>
          </w:p>
        </w:tc>
        <w:tc>
          <w:tcPr/>
          <w:p>
            <w:pPr>
              <w:pStyle w:val="Compact"/>
              <w:jc w:val="left"/>
            </w:pPr>
            <w:r>
              <w:t xml:space="preserve">Open source, Apache-2.0</w:t>
            </w:r>
          </w:p>
        </w:tc>
        <w:tc>
          <w:tcPr/>
          <w:p>
            <w:pPr>
              <w:pStyle w:val="Compact"/>
              <w:jc w:val="left"/>
            </w:pPr>
            <w:r>
              <w:t xml:space="preserve">Verified fact</w:t>
            </w:r>
          </w:p>
        </w:tc>
        <w:tc>
          <w:tcPr/>
          <w:p>
            <w:pPr>
              <w:pStyle w:val="Compact"/>
              <w:jc w:val="left"/>
            </w:pPr>
            <w:r>
              <w:t xml:space="preserve">A2-S029, A2-S028</w:t>
            </w:r>
          </w:p>
        </w:tc>
      </w:tr>
      <w:tr>
        <w:tc>
          <w:tcPr/>
          <w:p>
            <w:pPr>
              <w:pStyle w:val="Compact"/>
              <w:jc w:val="left"/>
            </w:pPr>
            <w:r>
              <w:t xml:space="preserve">Status events</w:t>
            </w:r>
          </w:p>
        </w:tc>
        <w:tc>
          <w:tcPr/>
          <w:p>
            <w:pPr>
              <w:pStyle w:val="Compact"/>
              <w:jc w:val="left"/>
            </w:pPr>
            <w:r>
              <w:t xml:space="preserve">Late 2023: Tom Aarsen took over maintainership; c. late 2025: project formally transitioned from UKP Lab to Hugging Face (date not confirmed); 18 August 2026: v6.0.0; 18 September 2026: v6.1.0</w:t>
            </w:r>
          </w:p>
        </w:tc>
        <w:tc>
          <w:tcPr/>
          <w:p>
            <w:pPr>
              <w:pStyle w:val="Compact"/>
              <w:jc w:val="left"/>
            </w:pPr>
            <w:r>
              <w:t xml:space="preserve">Verified fact</w:t>
            </w:r>
          </w:p>
        </w:tc>
        <w:tc>
          <w:tcPr/>
          <w:p>
            <w:pPr>
              <w:pStyle w:val="Compact"/>
              <w:jc w:val="left"/>
            </w:pPr>
            <w:r>
              <w:t xml:space="preserve">A2-S028, A2-S032, V1-S092</w:t>
            </w:r>
          </w:p>
        </w:tc>
      </w:tr>
      <w:tr>
        <w:tc>
          <w:tcPr/>
          <w:p>
            <w:pPr>
              <w:pStyle w:val="Compact"/>
              <w:jc w:val="left"/>
            </w:pPr>
            <w:r>
              <w:t xml:space="preserve">Strategic direction</w:t>
            </w:r>
          </w:p>
        </w:tc>
        <w:tc>
          <w:tcPr/>
          <w:p>
            <w:pPr>
              <w:pStyle w:val="Compact"/>
              <w:jc w:val="left"/>
            </w:pPr>
            <w:r>
              <w:t xml:space="preserve">Broadening from dense embeddings to Cross-Encoder rerankers (v4), Sparse Encoders (v5) and Multi-Vector Encoders for ColBERT-style late interaction (v6)</w:t>
            </w:r>
          </w:p>
        </w:tc>
        <w:tc>
          <w:tcPr/>
          <w:p>
            <w:pPr>
              <w:pStyle w:val="Compact"/>
              <w:jc w:val="left"/>
            </w:pPr>
            <w:r>
              <w:t xml:space="preserve">Verified fact</w:t>
            </w:r>
          </w:p>
        </w:tc>
        <w:tc>
          <w:tcPr/>
          <w:p>
            <w:pPr>
              <w:pStyle w:val="Compact"/>
              <w:jc w:val="left"/>
            </w:pPr>
            <w:r>
              <w:t xml:space="preserve">A2-S028, A2-S029</w:t>
            </w:r>
          </w:p>
        </w:tc>
      </w:tr>
      <w:tr>
        <w:tc>
          <w:tcPr/>
          <w:p>
            <w:pPr>
              <w:pStyle w:val="Compact"/>
              <w:jc w:val="left"/>
            </w:pPr>
            <w:r>
              <w:t xml:space="preserve">What it does</w:t>
            </w:r>
          </w:p>
        </w:tc>
        <w:tc>
          <w:tcPr/>
          <w:p>
            <w:pPr>
              <w:pStyle w:val="Compact"/>
              <w:jc w:val="left"/>
            </w:pPr>
            <w:r>
              <w:t xml:space="preserve">Computes embeddings, cross-encoder similarity scores, sparse embeddings and token-level multi-vector embeddings, and trains/fine-tunes such models; over 15,000 pre-trained models on Hugging Face.</w:t>
            </w:r>
          </w:p>
        </w:tc>
        <w:tc>
          <w:tcPr/>
          <w:p>
            <w:pPr>
              <w:pStyle w:val="Compact"/>
              <w:jc w:val="left"/>
            </w:pPr>
            <w:r>
              <w:t xml:space="preserve">Verified fact</w:t>
            </w:r>
          </w:p>
        </w:tc>
        <w:tc>
          <w:tcPr/>
          <w:p>
            <w:pPr>
              <w:pStyle w:val="Compact"/>
              <w:jc w:val="left"/>
            </w:pPr>
            <w:r>
              <w:t xml:space="preserve">A2-S029</w:t>
            </w:r>
          </w:p>
        </w:tc>
      </w:tr>
      <w:tr>
        <w:tc>
          <w:tcPr/>
          <w:p>
            <w:pPr>
              <w:pStyle w:val="Compact"/>
              <w:jc w:val="left"/>
            </w:pPr>
            <w:r>
              <w:t xml:space="preserve">Stack position</w:t>
            </w:r>
          </w:p>
        </w:tc>
        <w:tc>
          <w:tcPr/>
          <w:p>
            <w:pPr>
              <w:pStyle w:val="Compact"/>
              <w:jc w:val="left"/>
            </w:pPr>
            <w:r>
              <w:t xml:space="preserve">L7 tooling (library/runtime for self-hosted models), not a hosted model; complements rather than competes with API vendors.</w:t>
            </w:r>
          </w:p>
        </w:tc>
        <w:tc>
          <w:tcPr/>
          <w:p>
            <w:pPr>
              <w:pStyle w:val="Compact"/>
              <w:jc w:val="left"/>
            </w:pPr>
            <w:r>
              <w:t xml:space="preserve">Architectural judgement</w:t>
            </w:r>
          </w:p>
        </w:tc>
        <w:tc>
          <w:tcPr/>
          <w:p>
            <w:pPr>
              <w:pStyle w:val="Compact"/>
            </w:pPr>
          </w:p>
        </w:tc>
      </w:tr>
      <w:tr>
        <w:tc>
          <w:tcPr/>
          <w:p>
            <w:pPr>
              <w:pStyle w:val="Compact"/>
              <w:jc w:val="left"/>
            </w:pPr>
            <w:r>
              <w:t xml:space="preserve">Integration</w:t>
            </w:r>
          </w:p>
        </w:tc>
        <w:tc>
          <w:tcPr/>
          <w:p>
            <w:pPr>
              <w:pStyle w:val="Compact"/>
              <w:jc w:val="left"/>
            </w:pPr>
            <w:r>
              <w:t xml:space="preserve">Python library; models from Hugging Face Hub</w:t>
            </w:r>
          </w:p>
        </w:tc>
        <w:tc>
          <w:tcPr/>
          <w:p>
            <w:pPr>
              <w:pStyle w:val="Compact"/>
              <w:jc w:val="left"/>
            </w:pPr>
            <w:r>
              <w:t xml:space="preserve">Verified fact</w:t>
            </w:r>
          </w:p>
        </w:tc>
        <w:tc>
          <w:tcPr/>
          <w:p>
            <w:pPr>
              <w:pStyle w:val="Compact"/>
              <w:jc w:val="left"/>
            </w:pPr>
            <w:r>
              <w:t xml:space="preserve">A2-S029</w:t>
            </w:r>
          </w:p>
        </w:tc>
      </w:tr>
      <w:tr>
        <w:tc>
          <w:tcPr/>
          <w:p>
            <w:pPr>
              <w:pStyle w:val="Compact"/>
              <w:jc w:val="left"/>
            </w:pPr>
            <w:r>
              <w:t xml:space="preserve">Dependencies</w:t>
            </w:r>
          </w:p>
        </w:tc>
        <w:tc>
          <w:tcPr/>
          <w:p>
            <w:pPr>
              <w:pStyle w:val="Compact"/>
              <w:jc w:val="left"/>
            </w:pPr>
            <w:r>
              <w:t xml:space="preserve">Python &gt;=3.10; PyTorch/transformers ecosystem; optional image and audio extras</w:t>
            </w:r>
          </w:p>
        </w:tc>
        <w:tc>
          <w:tcPr/>
          <w:p>
            <w:pPr>
              <w:pStyle w:val="Compact"/>
              <w:jc w:val="left"/>
            </w:pPr>
            <w:r>
              <w:t xml:space="preserve">Verified fact</w:t>
            </w:r>
          </w:p>
        </w:tc>
        <w:tc>
          <w:tcPr/>
          <w:p>
            <w:pPr>
              <w:pStyle w:val="Compact"/>
              <w:jc w:val="left"/>
            </w:pPr>
            <w:r>
              <w:t xml:space="preserve">A2-S029</w:t>
            </w:r>
          </w:p>
        </w:tc>
      </w:tr>
      <w:tr>
        <w:tc>
          <w:tcPr/>
          <w:p>
            <w:pPr>
              <w:pStyle w:val="Compact"/>
              <w:jc w:val="left"/>
            </w:pPr>
            <w:r>
              <w:t xml:space="preserve">Certifications</w:t>
            </w:r>
          </w:p>
        </w:tc>
        <w:tc>
          <w:tcPr/>
          <w:p>
            <w:pPr>
              <w:pStyle w:val="Compact"/>
              <w:jc w:val="left"/>
            </w:pPr>
            <w:r>
              <w:t xml:space="preserve">Not applicable (open-source library)</w:t>
            </w:r>
          </w:p>
        </w:tc>
        <w:tc>
          <w:tcPr/>
          <w:p>
            <w:pPr>
              <w:pStyle w:val="Compact"/>
              <w:jc w:val="left"/>
            </w:pPr>
            <w:r>
              <w:t xml:space="preserve">Architectural judgement</w:t>
            </w:r>
          </w:p>
        </w:tc>
        <w:tc>
          <w:tcPr/>
          <w:p>
            <w:pPr>
              <w:pStyle w:val="Compact"/>
            </w:pPr>
          </w:p>
        </w:tc>
      </w:tr>
      <w:tr>
        <w:tc>
          <w:tcPr/>
          <w:p>
            <w:pPr>
              <w:pStyle w:val="Compact"/>
              <w:jc w:val="left"/>
            </w:pPr>
            <w:r>
              <w:t xml:space="preserve">GDPR / residency</w:t>
            </w:r>
          </w:p>
        </w:tc>
        <w:tc>
          <w:tcPr/>
          <w:p>
            <w:pPr>
              <w:pStyle w:val="Compact"/>
              <w:jc w:val="left"/>
            </w:pPr>
            <w:r>
              <w:t xml:space="preserve">Not applicable (runs in customer environment)</w:t>
            </w:r>
          </w:p>
        </w:tc>
        <w:tc>
          <w:tcPr/>
          <w:p>
            <w:pPr>
              <w:pStyle w:val="Compact"/>
              <w:jc w:val="left"/>
            </w:pPr>
            <w:r>
              <w:t xml:space="preserve">Architectural judgement</w:t>
            </w:r>
          </w:p>
        </w:tc>
        <w:tc>
          <w:tcPr/>
          <w:p>
            <w:pPr>
              <w:pStyle w:val="Compact"/>
            </w:pPr>
          </w:p>
        </w:tc>
      </w:tr>
      <w:tr>
        <w:tc>
          <w:tcPr/>
          <w:p>
            <w:pPr>
              <w:pStyle w:val="Compact"/>
              <w:jc w:val="left"/>
            </w:pPr>
            <w:r>
              <w:t xml:space="preserve">Security features</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Access controls</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Enterprise support</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Pricing</w:t>
            </w:r>
          </w:p>
        </w:tc>
        <w:tc>
          <w:tcPr/>
          <w:p>
            <w:pPr>
              <w:pStyle w:val="Compact"/>
              <w:jc w:val="left"/>
            </w:pPr>
            <w:r>
              <w:t xml:space="preserve">Free, open source (Apache-2.0)</w:t>
            </w:r>
          </w:p>
        </w:tc>
        <w:tc>
          <w:tcPr/>
          <w:p>
            <w:pPr>
              <w:pStyle w:val="Compact"/>
              <w:jc w:val="left"/>
            </w:pPr>
            <w:r>
              <w:t xml:space="preserve">Verified fact</w:t>
            </w:r>
          </w:p>
        </w:tc>
        <w:tc>
          <w:tcPr/>
          <w:p>
            <w:pPr>
              <w:pStyle w:val="Compact"/>
              <w:jc w:val="left"/>
            </w:pPr>
            <w:r>
              <w:t xml:space="preserve">A2-S029</w:t>
            </w:r>
          </w:p>
        </w:tc>
      </w:tr>
      <w:tr>
        <w:tc>
          <w:tcPr/>
          <w:p>
            <w:pPr>
              <w:pStyle w:val="Compact"/>
              <w:jc w:val="left"/>
            </w:pPr>
            <w:r>
              <w:t xml:space="preserve">Infrastructure cost</w:t>
            </w:r>
          </w:p>
        </w:tc>
        <w:tc>
          <w:tcPr/>
          <w:p>
            <w:pPr>
              <w:pStyle w:val="Compact"/>
              <w:jc w:val="left"/>
            </w:pPr>
            <w:r>
              <w:t xml:space="preserve">CPU/GPU compute for inference and fine-tuning; cost scales with model size and corpus volume</w:t>
            </w:r>
          </w:p>
        </w:tc>
        <w:tc>
          <w:tcPr/>
          <w:p>
            <w:pPr>
              <w:pStyle w:val="Compact"/>
              <w:jc w:val="left"/>
            </w:pPr>
            <w:r>
              <w:t xml:space="preserve">Architectural judgement</w:t>
            </w:r>
          </w:p>
        </w:tc>
        <w:tc>
          <w:tcPr/>
          <w:p>
            <w:pPr>
              <w:pStyle w:val="Compact"/>
            </w:pPr>
          </w:p>
        </w:tc>
      </w:tr>
      <w:tr>
        <w:tc>
          <w:tcPr/>
          <w:p>
            <w:pPr>
              <w:pStyle w:val="Compact"/>
              <w:jc w:val="left"/>
            </w:pPr>
            <w:r>
              <w:t xml:space="preserve">Ecosystem</w:t>
            </w:r>
          </w:p>
        </w:tc>
        <w:tc>
          <w:tcPr/>
          <w:p>
            <w:pPr>
              <w:pStyle w:val="Compact"/>
              <w:jc w:val="left"/>
            </w:pPr>
            <w:r>
              <w:t xml:space="preserve">Hugging Face Hub; many MTEB leaderboard models load via the library</w:t>
            </w:r>
          </w:p>
        </w:tc>
        <w:tc>
          <w:tcPr/>
          <w:p>
            <w:pPr>
              <w:pStyle w:val="Compact"/>
              <w:jc w:val="left"/>
            </w:pPr>
            <w:r>
              <w:t xml:space="preserve">Verified fact</w:t>
            </w:r>
          </w:p>
        </w:tc>
        <w:tc>
          <w:tcPr/>
          <w:p>
            <w:pPr>
              <w:pStyle w:val="Compact"/>
              <w:jc w:val="left"/>
            </w:pPr>
            <w:r>
              <w:t xml:space="preserve">A2-S029</w:t>
            </w:r>
          </w:p>
        </w:tc>
      </w:tr>
      <w:tr>
        <w:tc>
          <w:tcPr/>
          <w:p>
            <w:pPr>
              <w:pStyle w:val="Compact"/>
              <w:jc w:val="left"/>
            </w:pPr>
            <w:r>
              <w:t xml:space="preserve">Adoption signals</w:t>
            </w:r>
          </w:p>
        </w:tc>
        <w:tc>
          <w:tcPr/>
          <w:p>
            <w:pPr>
              <w:pStyle w:val="Compact"/>
              <w:jc w:val="left"/>
            </w:pPr>
            <w:r>
              <w:t xml:space="preserve">Over 15,000 pre-trained Sentence Transformers models on Hugging Face</w:t>
            </w:r>
          </w:p>
        </w:tc>
        <w:tc>
          <w:tcPr/>
          <w:p>
            <w:pPr>
              <w:pStyle w:val="Compact"/>
              <w:jc w:val="left"/>
            </w:pPr>
            <w:r>
              <w:t xml:space="preserve">Verified fact</w:t>
            </w:r>
          </w:p>
        </w:tc>
        <w:tc>
          <w:tcPr/>
          <w:p>
            <w:pPr>
              <w:pStyle w:val="Compact"/>
              <w:jc w:val="left"/>
            </w:pPr>
            <w:r>
              <w:t xml:space="preserve">A2-S029</w:t>
            </w:r>
          </w:p>
        </w:tc>
      </w:tr>
      <w:tr>
        <w:tc>
          <w:tcPr/>
          <w:p>
            <w:pPr>
              <w:pStyle w:val="Compact"/>
              <w:jc w:val="left"/>
            </w:pPr>
            <w:r>
              <w:t xml:space="preserve">Maturity</w:t>
            </w:r>
          </w:p>
        </w:tc>
        <w:tc>
          <w:tcPr/>
          <w:p>
            <w:pPr>
              <w:pStyle w:val="Compact"/>
              <w:jc w:val="left"/>
            </w:pPr>
            <w:r>
              <w:t xml:space="preserve">Introduced 2019; eight releases between May and September 2026</w:t>
            </w:r>
          </w:p>
        </w:tc>
        <w:tc>
          <w:tcPr/>
          <w:p>
            <w:pPr>
              <w:pStyle w:val="Compact"/>
              <w:jc w:val="left"/>
            </w:pPr>
            <w:r>
              <w:t xml:space="preserve">Verified fact</w:t>
            </w:r>
          </w:p>
        </w:tc>
        <w:tc>
          <w:tcPr/>
          <w:p>
            <w:pPr>
              <w:pStyle w:val="Compact"/>
              <w:jc w:val="left"/>
            </w:pPr>
            <w:r>
              <w:t xml:space="preserve">A2-S028, A2-S032</w:t>
            </w:r>
          </w:p>
        </w:tc>
      </w:tr>
      <w:tr>
        <w:tc>
          <w:tcPr/>
          <w:p>
            <w:pPr>
              <w:pStyle w:val="Compact"/>
              <w:jc w:val="left"/>
            </w:pPr>
            <w:r>
              <w:t xml:space="preserve">Deployment</w:t>
            </w:r>
          </w:p>
        </w:tc>
        <w:tc>
          <w:tcPr/>
          <w:p>
            <w:pPr>
              <w:pStyle w:val="Compact"/>
              <w:jc w:val="left"/>
            </w:pPr>
            <w:r>
              <w:t xml:space="preserve">saas: No (library); managed_cloud: Not publicly verified; vpc_byoc: Not publicly verified; private_cloud: Not publicly verified; self_hosted: Yes; on_prem: Yes</w:t>
            </w:r>
          </w:p>
        </w:tc>
        <w:tc>
          <w:tcPr/>
          <w:p>
            <w:pPr>
              <w:pStyle w:val="Compact"/>
            </w:pPr>
          </w:p>
        </w:tc>
        <w:tc>
          <w:tcPr/>
          <w:p>
            <w:pPr>
              <w:pStyle w:val="Compact"/>
            </w:pPr>
          </w:p>
        </w:tc>
      </w:tr>
    </w:tbl>
    <w:bookmarkEnd w:id="395"/>
    <w:bookmarkStart w:id="418" w:name="Xa19c7ee6fbcc80c931a166786c97e1c148b7f12"/>
    <w:p>
      <w:pPr>
        <w:pStyle w:val="Heading2"/>
      </w:pPr>
      <w:r>
        <w:t xml:space="preserve">Gemini Embedding 2 (model id gemini-embedding-2) (</w:t>
      </w:r>
      <w:r>
        <w:rPr>
          <w:rStyle w:val="VerbatimChar"/>
        </w:rPr>
        <w:t xml:space="preserve">L7-gemini-embedding</w:t>
      </w:r>
      <w:r>
        <w:t xml:space="preserve">)</w:t>
      </w:r>
    </w:p>
    <w:p>
      <w:pPr>
        <w:pStyle w:val="FirstParagraph"/>
      </w:pPr>
      <w:r>
        <w:rPr>
          <w:bCs/>
          <w:b/>
        </w:rPr>
        <w:t xml:space="preserve">Tier:</w:t>
      </w:r>
      <w:r>
        <w:t xml:space="preserve"> </w:t>
      </w:r>
      <w:r>
        <w:t xml:space="preserve">Strategic ·</w:t>
      </w:r>
      <w:r>
        <w:t xml:space="preserve"> </w:t>
      </w:r>
      <w:r>
        <w:rPr>
          <w:bCs/>
          <w:b/>
        </w:rPr>
        <w:t xml:space="preserve">Flags:</w:t>
      </w:r>
      <w:r>
        <w:t xml:space="preserve"> </w:t>
      </w:r>
      <w:r>
        <w:t xml:space="preserve">none ·</w:t>
      </w:r>
      <w:r>
        <w:t xml:space="preserve"> </w:t>
      </w:r>
      <w:r>
        <w:rPr>
          <w:bCs/>
          <w:b/>
        </w:rPr>
        <w:t xml:space="preserve">Original graphic label:</w:t>
      </w:r>
      <w:r>
        <w:t xml:space="preserve"> </w:t>
      </w:r>
      <w:r>
        <w:t xml:space="preserve">Gemini – Embedding 2</w:t>
      </w:r>
    </w:p>
    <w:p>
      <w:pPr>
        <w:pStyle w:val="BodyText"/>
      </w:pPr>
      <w:r>
        <w:rPr>
          <w:iCs/>
          <w:i/>
        </w:rPr>
        <w:t xml:space="preserve">Rationale:</w:t>
      </w:r>
      <w:r>
        <w:t xml:space="preserve"> </w:t>
      </w:r>
      <w:r>
        <w:t xml:space="preserve">Strategic, conditional: where Google Cloud is your primary cloud (CP3 Q2, rubric rule 10), consumed through Vertex AI. Google’s lead embedding model and the leading multimodal option; not where UK-only processing is mandatory, because the eu multi-region excludes the UK</w:t>
      </w:r>
      <w:r>
        <w:t xml:space="preserve"> </w:t>
      </w:r>
      <w:r>
        <w:rPr>
          <w:rStyle w:val="ClaimLabel"/>
        </w:rPr>
        <w:t xml:space="preserve">AJ</w:t>
      </w:r>
      <w:r>
        <w:t xml:space="preserve">.</w:t>
      </w:r>
    </w:p>
    <w:tbl>
      <w:tblPr>
        <w:tblStyle w:val="Table"/>
        <w:tblW w:type="pct" w:w="5000"/>
        <w:tblLook w:firstRow="1" w:lastRow="0" w:firstColumn="0" w:lastColumn="0" w:noHBand="0" w:noVBand="0" w:val="0020"/>
        <w:jc w:val="start"/>
      </w:tblPr>
      <w:tblGrid>
        <w:gridCol w:w="1545"/>
        <w:gridCol w:w="579"/>
        <w:gridCol w:w="5795"/>
      </w:tblGrid>
      <w:tr>
        <w:trPr>
          <w:tblHeader w:val="true"/>
        </w:trPr>
        <w:tc>
          <w:tcPr/>
          <w:p>
            <w:pPr>
              <w:pStyle w:val="Compact"/>
              <w:jc w:val="left"/>
            </w:pPr>
            <w:r>
              <w:t xml:space="preserve">Criterion</w:t>
            </w:r>
          </w:p>
        </w:tc>
        <w:tc>
          <w:tcPr/>
          <w:p>
            <w:pPr>
              <w:pStyle w:val="Compact"/>
              <w:jc w:val="right"/>
            </w:pPr>
            <w:r>
              <w:t xml:space="preserve">Score</w:t>
            </w:r>
          </w:p>
        </w:tc>
        <w:tc>
          <w:tcPr/>
          <w:p>
            <w:pPr>
              <w:pStyle w:val="Compact"/>
              <w:jc w:val="left"/>
            </w:pPr>
            <w:r>
              <w:t xml:space="preserve">Rationale</w:t>
            </w:r>
          </w:p>
        </w:tc>
      </w:tr>
      <w:tr>
        <w:tc>
          <w:tcPr/>
          <w:p>
            <w:pPr>
              <w:pStyle w:val="Compact"/>
              <w:jc w:val="left"/>
            </w:pPr>
            <w:r>
              <w:t xml:space="preserve">Technical</w:t>
            </w:r>
          </w:p>
        </w:tc>
        <w:tc>
          <w:tcPr/>
          <w:p>
            <w:pPr>
              <w:pStyle w:val="Compact"/>
              <w:jc w:val="right"/>
            </w:pPr>
            <w:r>
              <w:t xml:space="preserve">4</w:t>
            </w:r>
          </w:p>
        </w:tc>
        <w:tc>
          <w:tcPr/>
          <w:p>
            <w:pPr>
              <w:pStyle w:val="Compact"/>
              <w:jc w:val="left"/>
            </w:pPr>
            <w:r>
              <w:t xml:space="preserve">Multimodal, multilingual, Matryoshka 128-3,072; task types unsupported; Google’s reranker is the separate Vertex ranking API (B-REV-S026).</w:t>
            </w:r>
          </w:p>
        </w:tc>
      </w:tr>
      <w:tr>
        <w:tc>
          <w:tcPr/>
          <w:p>
            <w:pPr>
              <w:pStyle w:val="Compact"/>
              <w:jc w:val="left"/>
            </w:pPr>
            <w:r>
              <w:t xml:space="preserve">Enterprise readiness</w:t>
            </w:r>
          </w:p>
        </w:tc>
        <w:tc>
          <w:tcPr/>
          <w:p>
            <w:pPr>
              <w:pStyle w:val="Compact"/>
              <w:jc w:val="right"/>
            </w:pPr>
            <w:r>
              <w:t xml:space="preserve">4</w:t>
            </w:r>
          </w:p>
        </w:tc>
        <w:tc>
          <w:tcPr/>
          <w:p>
            <w:pPr>
              <w:pStyle w:val="Compact"/>
              <w:jc w:val="left"/>
            </w:pPr>
            <w:r>
              <w:t xml:space="preserve">Consumed through Google Cloud Vertex AI: IAM predefined, custom and endpoint-level roles, Cloud Audit Logs (Data Access logs for predict calls must be enabled) and SAML/OIDC federation verified at platform level</w:t>
            </w:r>
            <w:r>
              <w:t xml:space="preserve"> </w:t>
            </w:r>
            <w:r>
              <w:rPr>
                <w:rStyle w:val="ClaimLabel"/>
              </w:rPr>
              <w:t xml:space="preserve">VF</w:t>
            </w:r>
            <w:r>
              <w:rPr>
                <w:rStyle w:val="FootnoteReference"/>
              </w:rPr>
              <w:footnoteReference w:id="396"/>
            </w:r>
            <w:r>
              <w:t xml:space="preserve">; rule 6 (CP2 Q1) presumes platform controls, and no product-specific gap is evidenced, so 4; platform controls presumed (CP2 Q1); confirm per service. Not 5: SCIM and support terms are not evidenced.</w:t>
            </w:r>
          </w:p>
        </w:tc>
      </w:tr>
      <w:tr>
        <w:tc>
          <w:tcPr/>
          <w:p>
            <w:pPr>
              <w:pStyle w:val="Compact"/>
              <w:jc w:val="left"/>
            </w:pPr>
            <w:r>
              <w:t xml:space="preserve">Security and compliance</w:t>
            </w:r>
          </w:p>
        </w:tc>
        <w:tc>
          <w:tcPr/>
          <w:p>
            <w:pPr>
              <w:pStyle w:val="Compact"/>
              <w:jc w:val="right"/>
            </w:pPr>
            <w:r>
              <w:t xml:space="preserve">4</w:t>
            </w:r>
          </w:p>
        </w:tc>
        <w:tc>
          <w:tcPr/>
          <w:p>
            <w:pPr>
              <w:pStyle w:val="Compact"/>
              <w:jc w:val="left"/>
            </w:pPr>
            <w:r>
              <w:t xml:space="preserve">Strong platform certifications including ISO 42001 and FedRAMP High; generative AI on the platform supports CMEK, VPC-SC and data residency (B-REV-S009), but per-model scope for embedding calls is not confirmed, so 4.</w:t>
            </w:r>
          </w:p>
        </w:tc>
      </w:tr>
      <w:tr>
        <w:tc>
          <w:tcPr/>
          <w:p>
            <w:pPr>
              <w:pStyle w:val="Compact"/>
              <w:jc w:val="left"/>
            </w:pPr>
            <w:r>
              <w:t xml:space="preserve">Deployment flexibility</w:t>
            </w:r>
          </w:p>
        </w:tc>
        <w:tc>
          <w:tcPr/>
          <w:p>
            <w:pPr>
              <w:pStyle w:val="Compact"/>
              <w:jc w:val="right"/>
            </w:pPr>
            <w:r>
              <w:t xml:space="preserve">2</w:t>
            </w:r>
          </w:p>
        </w:tc>
        <w:tc>
          <w:tcPr/>
          <w:p>
            <w:pPr>
              <w:pStyle w:val="Compact"/>
              <w:jc w:val="left"/>
            </w:pPr>
            <w:r>
              <w:t xml:space="preserve">Gemini API and Vertex AI only (global, us, eu); no private or self-hosted route.</w:t>
            </w:r>
          </w:p>
        </w:tc>
      </w:tr>
      <w:tr>
        <w:tc>
          <w:tcPr/>
          <w:p>
            <w:pPr>
              <w:pStyle w:val="Compact"/>
              <w:jc w:val="left"/>
            </w:pPr>
            <w:r>
              <w:t xml:space="preserve">Ecosystem</w:t>
            </w:r>
          </w:p>
        </w:tc>
        <w:tc>
          <w:tcPr/>
          <w:p>
            <w:pPr>
              <w:pStyle w:val="Compact"/>
              <w:jc w:val="right"/>
            </w:pPr>
            <w:r>
              <w:t xml:space="preserve">3</w:t>
            </w:r>
          </w:p>
        </w:tc>
        <w:tc>
          <w:tcPr/>
          <w:p>
            <w:pPr>
              <w:pStyle w:val="Compact"/>
              <w:jc w:val="left"/>
            </w:pPr>
            <w:r>
              <w:t xml:space="preserve">Google platform integration and one named adopter (Box); wider ecosystem NPV.</w:t>
            </w:r>
          </w:p>
        </w:tc>
      </w:tr>
      <w:tr>
        <w:tc>
          <w:tcPr/>
          <w:p>
            <w:pPr>
              <w:pStyle w:val="Compact"/>
              <w:jc w:val="left"/>
            </w:pPr>
            <w:r>
              <w:t xml:space="preserve">Reliability and maturity</w:t>
            </w:r>
          </w:p>
        </w:tc>
        <w:tc>
          <w:tcPr/>
          <w:p>
            <w:pPr>
              <w:pStyle w:val="Compact"/>
              <w:jc w:val="right"/>
            </w:pPr>
            <w:r>
              <w:t xml:space="preserve">3</w:t>
            </w:r>
          </w:p>
        </w:tc>
        <w:tc>
          <w:tcPr/>
          <w:p>
            <w:pPr>
              <w:pStyle w:val="Compact"/>
              <w:jc w:val="left"/>
            </w:pPr>
            <w:r>
              <w:t xml:space="preserve">GA since April 2026 (about 5.5 months); pricing pages lagged the GA status.</w:t>
            </w:r>
          </w:p>
        </w:tc>
      </w:tr>
      <w:tr>
        <w:tc>
          <w:tcPr/>
          <w:p>
            <w:pPr>
              <w:pStyle w:val="Compact"/>
              <w:jc w:val="left"/>
            </w:pPr>
            <w:r>
              <w:t xml:space="preserve">Cost / TCO</w:t>
            </w:r>
          </w:p>
        </w:tc>
        <w:tc>
          <w:tcPr/>
          <w:p>
            <w:pPr>
              <w:pStyle w:val="Compact"/>
              <w:jc w:val="right"/>
            </w:pPr>
            <w:r>
              <w:t xml:space="preserve">3</w:t>
            </w:r>
          </w:p>
        </w:tc>
        <w:tc>
          <w:tcPr/>
          <w:p>
            <w:pPr>
              <w:pStyle w:val="Compact"/>
              <w:jc w:val="left"/>
            </w:pPr>
            <w:r>
              <w:t xml:space="preserve">Transparent, but text pricing above peers; multimodal priced per modality.</w:t>
            </w:r>
          </w:p>
        </w:tc>
      </w:tr>
      <w:tr>
        <w:tc>
          <w:tcPr/>
          <w:p>
            <w:pPr>
              <w:pStyle w:val="Compact"/>
              <w:jc w:val="left"/>
            </w:pPr>
            <w:r>
              <w:t xml:space="preserve">Lock-in / portability</w:t>
            </w:r>
          </w:p>
        </w:tc>
        <w:tc>
          <w:tcPr/>
          <w:p>
            <w:pPr>
              <w:pStyle w:val="Compact"/>
              <w:jc w:val="right"/>
            </w:pPr>
            <w:r>
              <w:t xml:space="preserve">2</w:t>
            </w:r>
          </w:p>
        </w:tc>
        <w:tc>
          <w:tcPr/>
          <w:p>
            <w:pPr>
              <w:pStyle w:val="Compact"/>
              <w:jc w:val="left"/>
            </w:pPr>
            <w:r>
              <w:t xml:space="preserve">Proprietary hosted API plus Google platform coupling; re-embedding to switch.</w:t>
            </w:r>
          </w:p>
        </w:tc>
      </w:tr>
      <w:tr>
        <w:tc>
          <w:tcPr/>
          <w:p>
            <w:pPr>
              <w:pStyle w:val="Compact"/>
              <w:jc w:val="left"/>
            </w:pPr>
            <w:r>
              <w:rPr>
                <w:bCs/>
                <w:b/>
              </w:rPr>
              <w:t xml:space="preserve">Total (generic / FS)</w:t>
            </w:r>
          </w:p>
        </w:tc>
        <w:tc>
          <w:tcPr/>
          <w:p>
            <w:pPr>
              <w:pStyle w:val="Compact"/>
              <w:jc w:val="right"/>
            </w:pPr>
            <w:r>
              <w:rPr>
                <w:bCs/>
                <w:b/>
              </w:rPr>
              <w:t xml:space="preserve">3.30 / 3.20</w:t>
            </w:r>
          </w:p>
        </w:tc>
        <w:tc>
          <w:tcPr/>
          <w:p>
            <w:pPr>
              <w:pStyle w:val="Compact"/>
            </w:pPr>
          </w:p>
        </w:tc>
      </w:tr>
    </w:tbl>
    <w:p>
      <w:pPr>
        <w:pStyle w:val="BodyText"/>
      </w:pPr>
      <w:r>
        <w:rPr>
          <w:iCs/>
          <w:i/>
        </w:rPr>
        <w:t xml:space="preserve">Evidence rules applied:</w:t>
      </w:r>
      <w:r>
        <w:t xml:space="preserve"> </w:t>
      </w:r>
      <w:r>
        <w:t xml:space="preserve">NPV cap lifted at CP2 review (8 October 2026): platform IAM, Cloud Audit Logs and federated SSO verified (B-REV-S007, S008, S012); Rule 6 (CP2 Q1, hyperscaler presumption) applied at CP2 rework: enterprise_readiness 3 -&gt; 4; platform controls presumed (CP2 Q1); confirm per service; Rule 8 (CP2 Q4) confirmed: platform-level certifications with per-model scope not confirmed, security_compliance 4</w:t>
      </w:r>
    </w:p>
    <w:p>
      <w:pPr>
        <w:pStyle w:val="BodyText"/>
      </w:pPr>
      <w:r>
        <w:rPr>
          <w:bCs/>
          <w:b/>
        </w:rPr>
        <w:t xml:space="preserve">Capabilities.</w:t>
      </w:r>
      <w:r>
        <w:t xml:space="preserve"> </w:t>
      </w:r>
      <w:r>
        <w:t xml:space="preserve">gemini-embedding-2 (GA 22 April 2026): one embedding space for text, images, video, audio and PDFs across 100+ languages; 8,192 text tokens; Matryoshka output 128-3,072 dims</w:t>
      </w:r>
      <w:r>
        <w:t xml:space="preserve"> </w:t>
      </w:r>
      <w:r>
        <w:rPr>
          <w:rStyle w:val="ClaimLabel"/>
        </w:rPr>
        <w:t xml:space="preserve">VF</w:t>
      </w:r>
      <w:r>
        <w:rPr>
          <w:rStyle w:val="FootnoteReference"/>
        </w:rPr>
        <w:footnoteReference w:id="399"/>
      </w:r>
      <w:r>
        <w:t xml:space="preserve">. Hosted on the Gemini API and Vertex AI (being renamed Gemini Enterprise Agent Platform)</w:t>
      </w:r>
      <w:r>
        <w:t xml:space="preserve"> </w:t>
      </w:r>
      <w:r>
        <w:rPr>
          <w:rStyle w:val="ClaimLabel"/>
        </w:rPr>
        <w:t xml:space="preserve">VF</w:t>
      </w:r>
      <w:r>
        <w:rPr>
          <w:rStyle w:val="FootnoteReference"/>
        </w:rPr>
        <w:footnoteReference w:id="402"/>
      </w:r>
      <w:r>
        <w:t xml:space="preserve">.</w:t>
      </w:r>
    </w:p>
    <w:p>
      <w:pPr>
        <w:pStyle w:val="BodyText"/>
      </w:pPr>
      <w:r>
        <w:rPr>
          <w:bCs/>
          <w:b/>
        </w:rPr>
        <w:t xml:space="preserve">Strengths</w:t>
      </w:r>
    </w:p>
    <w:p>
      <w:pPr>
        <w:numPr>
          <w:ilvl w:val="0"/>
          <w:numId w:val="1093"/>
        </w:numPr>
        <w:pStyle w:val="Compact"/>
      </w:pPr>
      <w:r>
        <w:t xml:space="preserve">Natively multimodal with Matryoshka dimensions, useful for scanned documents and charts</w:t>
      </w:r>
      <w:r>
        <w:t xml:space="preserve"> </w:t>
      </w:r>
      <w:r>
        <w:rPr>
          <w:rStyle w:val="ClaimLabel"/>
        </w:rPr>
        <w:t xml:space="preserve">VF</w:t>
      </w:r>
      <w:r>
        <w:rPr>
          <w:rStyle w:val="FootnoteReference"/>
        </w:rPr>
        <w:footnoteReference w:id="404"/>
      </w:r>
    </w:p>
    <w:p>
      <w:pPr>
        <w:numPr>
          <w:ilvl w:val="0"/>
          <w:numId w:val="1093"/>
        </w:numPr>
        <w:pStyle w:val="Compact"/>
      </w:pPr>
      <w:r>
        <w:t xml:space="preserve">Platform certifications for Generative AI on Vertex AI: SOC 2, ISO/IEC 27001, ISO/IEC 42001, HIPAA, FedRAMP High</w:t>
      </w:r>
      <w:r>
        <w:t xml:space="preserve"> </w:t>
      </w:r>
      <w:r>
        <w:rPr>
          <w:rStyle w:val="ClaimLabel"/>
        </w:rPr>
        <w:t xml:space="preserve">VF</w:t>
      </w:r>
      <w:r>
        <w:rPr>
          <w:rStyle w:val="FootnoteReference"/>
        </w:rPr>
        <w:footnoteReference w:id="405"/>
      </w:r>
    </w:p>
    <w:p>
      <w:pPr>
        <w:numPr>
          <w:ilvl w:val="0"/>
          <w:numId w:val="1093"/>
        </w:numPr>
        <w:pStyle w:val="Compact"/>
      </w:pPr>
      <w:r>
        <w:t xml:space="preserve">‘</w:t>
      </w:r>
      <w:r>
        <w:t xml:space="preserve">eu</w:t>
      </w:r>
      <w:r>
        <w:t xml:space="preserve">’</w:t>
      </w:r>
      <w:r>
        <w:t xml:space="preserve"> </w:t>
      </w:r>
      <w:r>
        <w:t xml:space="preserve">multi-region endpoint keeps data in EU member states</w:t>
      </w:r>
      <w:r>
        <w:t xml:space="preserve"> </w:t>
      </w:r>
      <w:r>
        <w:rPr>
          <w:rStyle w:val="ClaimLabel"/>
        </w:rPr>
        <w:t xml:space="preserve">VF</w:t>
      </w:r>
      <w:r>
        <w:rPr>
          <w:rStyle w:val="FootnoteReference"/>
        </w:rPr>
        <w:footnoteReference w:id="407"/>
      </w:r>
      <w:r>
        <w:t xml:space="preserve">; Batch at 50% of standard price</w:t>
      </w:r>
      <w:r>
        <w:t xml:space="preserve"> </w:t>
      </w:r>
      <w:r>
        <w:rPr>
          <w:rStyle w:val="ClaimLabel"/>
        </w:rPr>
        <w:t xml:space="preserve">VF</w:t>
      </w:r>
      <w:r>
        <w:rPr>
          <w:rStyle w:val="FootnoteReference"/>
        </w:rPr>
        <w:footnoteReference w:id="408"/>
      </w:r>
    </w:p>
    <w:p>
      <w:pPr>
        <w:pStyle w:val="FirstParagraph"/>
      </w:pPr>
      <w:r>
        <w:rPr>
          <w:bCs/>
          <w:b/>
        </w:rPr>
        <w:t xml:space="preserve">Limitations and risks</w:t>
      </w:r>
    </w:p>
    <w:p>
      <w:pPr>
        <w:numPr>
          <w:ilvl w:val="0"/>
          <w:numId w:val="1094"/>
        </w:numPr>
        <w:pStyle w:val="Compact"/>
      </w:pPr>
      <w:r>
        <w:t xml:space="preserve">EU multi-region excludes the UK and Switzerland</w:t>
      </w:r>
      <w:r>
        <w:t xml:space="preserve"> </w:t>
      </w:r>
      <w:r>
        <w:rPr>
          <w:rStyle w:val="ClaimLabel"/>
        </w:rPr>
        <w:t xml:space="preserve">VF</w:t>
      </w:r>
      <w:r>
        <w:rPr>
          <w:rStyle w:val="FootnoteReference"/>
        </w:rPr>
        <w:footnoteReference w:id="410"/>
      </w:r>
    </w:p>
    <w:p>
      <w:pPr>
        <w:numPr>
          <w:ilvl w:val="0"/>
          <w:numId w:val="1094"/>
        </w:numPr>
        <w:pStyle w:val="Compact"/>
      </w:pPr>
      <w:r>
        <w:t xml:space="preserve">Per-model certification coverage and CMEK applicability for embedding calls not confirmed</w:t>
      </w:r>
      <w:r>
        <w:t xml:space="preserve"> </w:t>
      </w:r>
      <w:r>
        <w:rPr>
          <w:rStyle w:val="ClaimLabel"/>
        </w:rPr>
        <w:t xml:space="preserve">VF</w:t>
      </w:r>
      <w:r>
        <w:rPr>
          <w:rStyle w:val="FootnoteReference"/>
        </w:rPr>
        <w:footnoteReference w:id="411"/>
      </w:r>
    </w:p>
    <w:p>
      <w:pPr>
        <w:numPr>
          <w:ilvl w:val="0"/>
          <w:numId w:val="1094"/>
        </w:numPr>
        <w:pStyle w:val="Compact"/>
      </w:pPr>
      <w:r>
        <w:t xml:space="preserve">Hosted only, no weights; coupling to Google platform services (File Search, Memory Bank)</w:t>
      </w:r>
      <w:r>
        <w:t xml:space="preserve"> </w:t>
      </w:r>
      <w:r>
        <w:rPr>
          <w:rStyle w:val="ClaimLabel"/>
        </w:rPr>
        <w:t xml:space="preserve">AJ</w:t>
      </w:r>
    </w:p>
    <w:p>
      <w:pPr>
        <w:numPr>
          <w:ilvl w:val="0"/>
          <w:numId w:val="1094"/>
        </w:numPr>
        <w:pStyle w:val="Compact"/>
      </w:pPr>
      <w:r>
        <w:t xml:space="preserve">task_type parameter not supported</w:t>
      </w:r>
      <w:r>
        <w:t xml:space="preserve"> </w:t>
      </w:r>
      <w:r>
        <w:rPr>
          <w:rStyle w:val="ClaimLabel"/>
        </w:rPr>
        <w:t xml:space="preserve">VF</w:t>
      </w:r>
      <w:r>
        <w:rPr>
          <w:rStyle w:val="FootnoteReference"/>
        </w:rPr>
        <w:footnoteReference w:id="412"/>
      </w:r>
      <w:r>
        <w:t xml:space="preserve">; Google’s reranker is a separate service, the Vertex ranking API (semantic-ranker models; version 005 in preview from 1 September 2026)</w:t>
      </w:r>
      <w:r>
        <w:t xml:space="preserve"> </w:t>
      </w:r>
      <w:r>
        <w:rPr>
          <w:rStyle w:val="ClaimLabel"/>
        </w:rPr>
        <w:t xml:space="preserve">VF</w:t>
      </w:r>
      <w:r>
        <w:rPr>
          <w:rStyle w:val="FootnoteReference"/>
        </w:rPr>
        <w:footnoteReference w:id="413"/>
      </w:r>
    </w:p>
    <w:p>
      <w:pPr>
        <w:numPr>
          <w:ilvl w:val="0"/>
          <w:numId w:val="1094"/>
        </w:numPr>
        <w:pStyle w:val="Compact"/>
      </w:pPr>
      <w:r>
        <w:t xml:space="preserve">Text price US$0.20 per 1M tokens is higher than most hosted peers (as of 7 October 2026)</w:t>
      </w:r>
      <w:r>
        <w:t xml:space="preserve"> </w:t>
      </w:r>
      <w:r>
        <w:rPr>
          <w:rStyle w:val="ClaimLabel"/>
        </w:rPr>
        <w:t xml:space="preserve">VF</w:t>
      </w:r>
      <w:r>
        <w:rPr>
          <w:rStyle w:val="FootnoteReference"/>
        </w:rPr>
        <w:footnoteReference w:id="415"/>
      </w:r>
    </w:p>
    <w:p>
      <w:pPr>
        <w:pStyle w:val="FirstParagraph"/>
      </w:pPr>
      <w:r>
        <w:rPr>
          <w:bCs/>
          <w:b/>
        </w:rPr>
        <w:t xml:space="preserve">Choose when</w:t>
      </w:r>
    </w:p>
    <w:p>
      <w:pPr>
        <w:numPr>
          <w:ilvl w:val="0"/>
          <w:numId w:val="1095"/>
        </w:numPr>
        <w:pStyle w:val="Compact"/>
      </w:pPr>
      <w:r>
        <w:t xml:space="preserve">The estate is Google Cloud-centred and EU processing is sufficient</w:t>
      </w:r>
    </w:p>
    <w:p>
      <w:pPr>
        <w:numPr>
          <w:ilvl w:val="0"/>
          <w:numId w:val="1095"/>
        </w:numPr>
        <w:pStyle w:val="Compact"/>
      </w:pPr>
      <w:r>
        <w:t xml:space="preserve">Retrieval must span images, audio, video or PDF pages in one vector space</w:t>
      </w:r>
    </w:p>
    <w:p>
      <w:pPr>
        <w:pStyle w:val="FirstParagraph"/>
      </w:pPr>
      <w:r>
        <w:rPr>
          <w:bCs/>
          <w:b/>
        </w:rPr>
        <w:t xml:space="preserve">Avoid when</w:t>
      </w:r>
    </w:p>
    <w:p>
      <w:pPr>
        <w:numPr>
          <w:ilvl w:val="0"/>
          <w:numId w:val="1096"/>
        </w:numPr>
        <w:pStyle w:val="Compact"/>
      </w:pPr>
      <w:r>
        <w:t xml:space="preserve">UK processing is mandatory</w:t>
      </w:r>
    </w:p>
    <w:p>
      <w:pPr>
        <w:numPr>
          <w:ilvl w:val="0"/>
          <w:numId w:val="1096"/>
        </w:numPr>
        <w:pStyle w:val="Compact"/>
      </w:pPr>
      <w:r>
        <w:t xml:space="preserve">Self-hosting or an exit route that keeps the same vectors is required</w:t>
      </w:r>
    </w:p>
    <w:p>
      <w:pPr>
        <w:pStyle w:val="FirstParagraph"/>
      </w:pPr>
      <w:r>
        <w:rPr>
          <w:bCs/>
          <w:b/>
        </w:rPr>
        <w:t xml:space="preserve">Nearest competitors:</w:t>
      </w:r>
      <w:r>
        <w:t xml:space="preserve"> </w:t>
      </w:r>
      <w:r>
        <w:t xml:space="preserve">L7-cohere, L7-voyage, L7-jina, L7-openai</w:t>
      </w:r>
    </w:p>
    <w:p>
      <w:pPr>
        <w:pStyle w:val="BodyText"/>
      </w:pPr>
      <w:r>
        <w:rPr>
          <w:bCs/>
          <w:b/>
        </w:rPr>
        <w:t xml:space="preserve">Regulated-FS note.</w:t>
      </w:r>
      <w:r>
        <w:t xml:space="preserve"> </w:t>
      </w:r>
      <w:r>
        <w:t xml:space="preserve">Google Cloud EMEA Limited is a designated DORA CTPP and UK CTP</w:t>
      </w:r>
      <w:r>
        <w:t xml:space="preserve"> </w:t>
      </w:r>
      <w:r>
        <w:rPr>
          <w:rStyle w:val="ClaimLabel"/>
        </w:rPr>
        <w:t xml:space="preserve">VF</w:t>
      </w:r>
      <w:r>
        <w:rPr>
          <w:rStyle w:val="FootnoteReference"/>
        </w:rPr>
        <w:footnoteReference w:id="416"/>
      </w:r>
      <w:r>
        <w:t xml:space="preserve">; consuming the model through Vertex AI places it with a designated provider, which does not remove the firm’s own outsourcing duties</w:t>
      </w:r>
      <w:r>
        <w:t xml:space="preserve"> </w:t>
      </w:r>
      <w:r>
        <w:rPr>
          <w:rStyle w:val="ClaimLabel"/>
        </w:rPr>
        <w:t xml:space="preserve">AJ</w:t>
      </w:r>
      <w:r>
        <w:t xml:space="preserve">. The</w:t>
      </w:r>
      <w:r>
        <w:t xml:space="preserve"> </w:t>
      </w:r>
      <w:r>
        <w:t xml:space="preserve">‘</w:t>
      </w:r>
      <w:r>
        <w:t xml:space="preserve">eu</w:t>
      </w:r>
      <w:r>
        <w:t xml:space="preserve">’</w:t>
      </w:r>
      <w:r>
        <w:t xml:space="preserve"> </w:t>
      </w:r>
      <w:r>
        <w:t xml:space="preserve">endpoint does not cover the UK</w:t>
      </w:r>
      <w:r>
        <w:t xml:space="preserve"> </w:t>
      </w:r>
      <w:r>
        <w:rPr>
          <w:rStyle w:val="ClaimLabel"/>
        </w:rPr>
        <w:t xml:space="preserve">VF</w:t>
      </w:r>
      <w:r>
        <w:rPr>
          <w:rStyle w:val="FootnoteReference"/>
        </w:rPr>
        <w:footnoteReference w:id="417"/>
      </w:r>
      <w:r>
        <w:t xml:space="preserve">.</w:t>
      </w:r>
    </w:p>
    <w:p>
      <w:pPr>
        <w:pStyle w:val="BodyText"/>
      </w:pPr>
      <w:r>
        <w:rPr>
          <w:bCs/>
          <w:b/>
        </w:rPr>
        <w:t xml:space="preserve">Facts (as of 2026-10-08)</w:t>
      </w:r>
    </w:p>
    <w:tbl>
      <w:tblPr>
        <w:tblStyle w:val="Table"/>
        <w:tblW w:type="pct" w:w="5000"/>
        <w:tblLook w:firstRow="1" w:lastRow="0" w:firstColumn="0" w:lastColumn="0" w:noHBand="0" w:noVBand="0" w:val="0020"/>
        <w:jc w:val="start"/>
      </w:tblPr>
      <w:tblGrid>
        <w:gridCol w:w="1485"/>
        <w:gridCol w:w="4290"/>
        <w:gridCol w:w="1320"/>
        <w:gridCol w:w="825"/>
      </w:tblGrid>
      <w:tr>
        <w:trPr>
          <w:tblHeader w:val="true"/>
        </w:trPr>
        <w:tc>
          <w:tcPr/>
          <w:p>
            <w:pPr>
              <w:pStyle w:val="Compact"/>
              <w:jc w:val="left"/>
            </w:pPr>
            <w:r>
              <w:t xml:space="preserve">Field</w:t>
            </w:r>
          </w:p>
        </w:tc>
        <w:tc>
          <w:tcPr/>
          <w:p>
            <w:pPr>
              <w:pStyle w:val="Compact"/>
              <w:jc w:val="left"/>
            </w:pPr>
            <w:r>
              <w:t xml:space="preserve">Value</w:t>
            </w:r>
          </w:p>
        </w:tc>
        <w:tc>
          <w:tcPr/>
          <w:p>
            <w:pPr>
              <w:pStyle w:val="Compact"/>
              <w:jc w:val="left"/>
            </w:pPr>
            <w:r>
              <w:t xml:space="preserve">Label</w:t>
            </w:r>
          </w:p>
        </w:tc>
        <w:tc>
          <w:tcPr/>
          <w:p>
            <w:pPr>
              <w:pStyle w:val="Compact"/>
              <w:jc w:val="left"/>
            </w:pPr>
            <w:r>
              <w:t xml:space="preserve">Sources</w:t>
            </w:r>
          </w:p>
        </w:tc>
      </w:tr>
      <w:tr>
        <w:tc>
          <w:tcPr/>
          <w:p>
            <w:pPr>
              <w:pStyle w:val="Compact"/>
              <w:jc w:val="left"/>
            </w:pPr>
            <w:r>
              <w:t xml:space="preserve">Company</w:t>
            </w:r>
          </w:p>
        </w:tc>
        <w:tc>
          <w:tcPr/>
          <w:p>
            <w:pPr>
              <w:pStyle w:val="Compact"/>
              <w:jc w:val="left"/>
            </w:pPr>
            <w:r>
              <w:t xml:space="preserve">Google (Google DeepMind / Google Cloud)</w:t>
            </w:r>
          </w:p>
        </w:tc>
        <w:tc>
          <w:tcPr/>
          <w:p>
            <w:pPr>
              <w:pStyle w:val="Compact"/>
              <w:jc w:val="left"/>
            </w:pPr>
            <w:r>
              <w:t xml:space="preserve">Verified fact</w:t>
            </w:r>
          </w:p>
        </w:tc>
        <w:tc>
          <w:tcPr/>
          <w:p>
            <w:pPr>
              <w:pStyle w:val="Compact"/>
              <w:jc w:val="left"/>
            </w:pPr>
            <w:r>
              <w:t xml:space="preserve">A2-S004</w:t>
            </w:r>
          </w:p>
        </w:tc>
      </w:tr>
      <w:tr>
        <w:tc>
          <w:tcPr/>
          <w:p>
            <w:pPr>
              <w:pStyle w:val="Compact"/>
              <w:jc w:val="left"/>
            </w:pPr>
            <w:r>
              <w:t xml:space="preserve">Category</w:t>
            </w:r>
          </w:p>
        </w:tc>
        <w:tc>
          <w:tcPr/>
          <w:p>
            <w:pPr>
              <w:pStyle w:val="Compact"/>
              <w:jc w:val="left"/>
            </w:pPr>
            <w:r>
              <w:t xml:space="preserve">Hosted multimodal embedding model API</w:t>
            </w:r>
          </w:p>
        </w:tc>
        <w:tc>
          <w:tcPr/>
          <w:p>
            <w:pPr>
              <w:pStyle w:val="Compact"/>
              <w:jc w:val="left"/>
            </w:pPr>
            <w:r>
              <w:t xml:space="preserve">Verified fact</w:t>
            </w:r>
          </w:p>
        </w:tc>
        <w:tc>
          <w:tcPr/>
          <w:p>
            <w:pPr>
              <w:pStyle w:val="Compact"/>
              <w:jc w:val="left"/>
            </w:pPr>
            <w:r>
              <w:t xml:space="preserve">A2-S004, A2-S005</w:t>
            </w:r>
          </w:p>
        </w:tc>
      </w:tr>
      <w:tr>
        <w:tc>
          <w:tcPr/>
          <w:p>
            <w:pPr>
              <w:pStyle w:val="Compact"/>
              <w:jc w:val="left"/>
            </w:pPr>
            <w:r>
              <w:t xml:space="preserve">Version / lineup</w:t>
            </w:r>
          </w:p>
        </w:tc>
        <w:tc>
          <w:tcPr/>
          <w:p>
            <w:pPr>
              <w:pStyle w:val="Compact"/>
              <w:jc w:val="left"/>
            </w:pPr>
            <w:r>
              <w:t xml:space="preserve">gemini-embedding-2: preview 10 March 2026 (gemini-embedding-2-preview), GA 22 April 2026; text-only gemini-embedding-001 remains available</w:t>
            </w:r>
          </w:p>
        </w:tc>
        <w:tc>
          <w:tcPr/>
          <w:p>
            <w:pPr>
              <w:pStyle w:val="Compact"/>
              <w:jc w:val="left"/>
            </w:pPr>
            <w:r>
              <w:t xml:space="preserve">Verified fact</w:t>
            </w:r>
          </w:p>
        </w:tc>
        <w:tc>
          <w:tcPr/>
          <w:p>
            <w:pPr>
              <w:pStyle w:val="Compact"/>
              <w:jc w:val="left"/>
            </w:pPr>
            <w:r>
              <w:t xml:space="preserve">A2-S004, A2-S005, A2-S039, V1-S073</w:t>
            </w:r>
          </w:p>
        </w:tc>
      </w:tr>
      <w:tr>
        <w:tc>
          <w:tcPr/>
          <w:p>
            <w:pPr>
              <w:pStyle w:val="Compact"/>
              <w:jc w:val="left"/>
            </w:pPr>
            <w:r>
              <w:t xml:space="preserve">Licence</w:t>
            </w:r>
          </w:p>
        </w:tc>
        <w:tc>
          <w:tcPr/>
          <w:p>
            <w:pPr>
              <w:pStyle w:val="Compact"/>
              <w:jc w:val="left"/>
            </w:pPr>
            <w:r>
              <w:t xml:space="preserve">Proprietary; hosted API only (Gemini API and Vertex AI / Gemini Enterprise Agent Platform)</w:t>
            </w:r>
          </w:p>
        </w:tc>
        <w:tc>
          <w:tcPr/>
          <w:p>
            <w:pPr>
              <w:pStyle w:val="Compact"/>
              <w:jc w:val="left"/>
            </w:pPr>
            <w:r>
              <w:t xml:space="preserve">Verified fact</w:t>
            </w:r>
          </w:p>
        </w:tc>
        <w:tc>
          <w:tcPr/>
          <w:p>
            <w:pPr>
              <w:pStyle w:val="Compact"/>
              <w:jc w:val="left"/>
            </w:pPr>
            <w:r>
              <w:t xml:space="preserve">A2-S004</w:t>
            </w:r>
          </w:p>
        </w:tc>
      </w:tr>
      <w:tr>
        <w:tc>
          <w:tcPr/>
          <w:p>
            <w:pPr>
              <w:pStyle w:val="Compact"/>
              <w:jc w:val="left"/>
            </w:pPr>
            <w:r>
              <w:t xml:space="preserve">Status events</w:t>
            </w:r>
          </w:p>
        </w:tc>
        <w:tc>
          <w:tcPr/>
          <w:p>
            <w:pPr>
              <w:pStyle w:val="Compact"/>
              <w:jc w:val="left"/>
            </w:pPr>
            <w:r>
              <w:t xml:space="preserve">10 March 2026: gemini-embedding-2-preview released; 22 April 2026: gemini-embedding-2 GA on Gemini API and Vertex AI; 2026: Google Cloud documentation renames Vertex AI generative AI docs to</w:t>
            </w:r>
            <w:r>
              <w:t xml:space="preserve"> </w:t>
            </w:r>
            <w:r>
              <w:t xml:space="preserve">‘</w:t>
            </w:r>
            <w:r>
              <w:t xml:space="preserve">Gemini Enterprise Agent Platform</w:t>
            </w:r>
            <w:r>
              <w:t xml:space="preserve">’</w:t>
            </w:r>
          </w:p>
        </w:tc>
        <w:tc>
          <w:tcPr/>
          <w:p>
            <w:pPr>
              <w:pStyle w:val="Compact"/>
              <w:jc w:val="left"/>
            </w:pPr>
            <w:r>
              <w:t xml:space="preserve">Verified fact</w:t>
            </w:r>
          </w:p>
        </w:tc>
        <w:tc>
          <w:tcPr/>
          <w:p>
            <w:pPr>
              <w:pStyle w:val="Compact"/>
              <w:jc w:val="left"/>
            </w:pPr>
            <w:r>
              <w:t xml:space="preserve">A2-S004, A2-S005, A2-S039</w:t>
            </w:r>
          </w:p>
        </w:tc>
      </w:tr>
      <w:tr>
        <w:tc>
          <w:tcPr/>
          <w:p>
            <w:pPr>
              <w:pStyle w:val="Compact"/>
              <w:jc w:val="left"/>
            </w:pPr>
            <w:r>
              <w:t xml:space="preserve">Strategic direction</w:t>
            </w:r>
          </w:p>
        </w:tc>
        <w:tc>
          <w:tcPr/>
          <w:p>
            <w:pPr>
              <w:pStyle w:val="Compact"/>
              <w:jc w:val="left"/>
            </w:pPr>
            <w:r>
              <w:t xml:space="preserve">Google’s first natively multimodal embedding model: text, images, video, audio and documents in one embedding space; positioned for agentic multimodal RAG; Gemini File Search API gained multimodal support</w:t>
            </w:r>
          </w:p>
        </w:tc>
        <w:tc>
          <w:tcPr/>
          <w:p>
            <w:pPr>
              <w:pStyle w:val="Compact"/>
              <w:jc w:val="left"/>
            </w:pPr>
            <w:r>
              <w:t xml:space="preserve">Verified fact</w:t>
            </w:r>
          </w:p>
        </w:tc>
        <w:tc>
          <w:tcPr/>
          <w:p>
            <w:pPr>
              <w:pStyle w:val="Compact"/>
              <w:jc w:val="left"/>
            </w:pPr>
            <w:r>
              <w:t xml:space="preserve">A2-S004, A2-S005</w:t>
            </w:r>
          </w:p>
        </w:tc>
      </w:tr>
      <w:tr>
        <w:tc>
          <w:tcPr/>
          <w:p>
            <w:pPr>
              <w:pStyle w:val="Compact"/>
              <w:jc w:val="left"/>
            </w:pPr>
            <w:r>
              <w:t xml:space="preserve">What it does</w:t>
            </w:r>
          </w:p>
        </w:tc>
        <w:tc>
          <w:tcPr/>
          <w:p>
            <w:pPr>
              <w:pStyle w:val="Compact"/>
              <w:jc w:val="left"/>
            </w:pPr>
            <w:r>
              <w:t xml:space="preserve">Maps text, images (up to 6 per request), video, audio (no transcription step) and PDFs (up to 6 pages) into a shared vector space across 100+ languages; 8,192 text-token input; Matryoshka output 128-3,072 dims (3,072/1,536/768 recommended) with automatic normalisation; multiple inputs in one request produce one aggregated embedding; task_type parameter not supported.</w:t>
            </w:r>
          </w:p>
        </w:tc>
        <w:tc>
          <w:tcPr/>
          <w:p>
            <w:pPr>
              <w:pStyle w:val="Compact"/>
              <w:jc w:val="left"/>
            </w:pPr>
            <w:r>
              <w:t xml:space="preserve">Verified fact</w:t>
            </w:r>
          </w:p>
        </w:tc>
        <w:tc>
          <w:tcPr/>
          <w:p>
            <w:pPr>
              <w:pStyle w:val="Compact"/>
              <w:jc w:val="left"/>
            </w:pPr>
            <w:r>
              <w:t xml:space="preserve">A2-S004, A2-S005</w:t>
            </w:r>
          </w:p>
        </w:tc>
      </w:tr>
      <w:tr>
        <w:tc>
          <w:tcPr/>
          <w:p>
            <w:pPr>
              <w:pStyle w:val="Compact"/>
              <w:jc w:val="left"/>
            </w:pPr>
            <w:r>
              <w:t xml:space="preserve">Stack position</w:t>
            </w:r>
          </w:p>
        </w:tc>
        <w:tc>
          <w:tcPr/>
          <w:p>
            <w:pPr>
              <w:pStyle w:val="Compact"/>
              <w:jc w:val="left"/>
            </w:pPr>
            <w:r>
              <w:t xml:space="preserve">L7 embedding model; placement correct. Also reached through Google platform services (File Search, Memory Bank), so it can be consumed implicitly inside higher layers.</w:t>
            </w:r>
          </w:p>
        </w:tc>
        <w:tc>
          <w:tcPr/>
          <w:p>
            <w:pPr>
              <w:pStyle w:val="Compact"/>
              <w:jc w:val="left"/>
            </w:pPr>
            <w:r>
              <w:t xml:space="preserve">Architectural judgement</w:t>
            </w:r>
          </w:p>
        </w:tc>
        <w:tc>
          <w:tcPr/>
          <w:p>
            <w:pPr>
              <w:pStyle w:val="Compact"/>
            </w:pPr>
          </w:p>
        </w:tc>
      </w:tr>
      <w:tr>
        <w:tc>
          <w:tcPr/>
          <w:p>
            <w:pPr>
              <w:pStyle w:val="Compact"/>
              <w:jc w:val="left"/>
            </w:pPr>
            <w:r>
              <w:t xml:space="preserve">Integration</w:t>
            </w:r>
          </w:p>
        </w:tc>
        <w:tc>
          <w:tcPr/>
          <w:p>
            <w:pPr>
              <w:pStyle w:val="Compact"/>
              <w:jc w:val="left"/>
            </w:pPr>
            <w:r>
              <w:t xml:space="preserve">Gemini API and Vertex AI SDK/REST; Batch API at 50% of standard price</w:t>
            </w:r>
          </w:p>
        </w:tc>
        <w:tc>
          <w:tcPr/>
          <w:p>
            <w:pPr>
              <w:pStyle w:val="Compact"/>
              <w:jc w:val="left"/>
            </w:pPr>
            <w:r>
              <w:t xml:space="preserve">Verified fact</w:t>
            </w:r>
          </w:p>
        </w:tc>
        <w:tc>
          <w:tcPr/>
          <w:p>
            <w:pPr>
              <w:pStyle w:val="Compact"/>
              <w:jc w:val="left"/>
            </w:pPr>
            <w:r>
              <w:t xml:space="preserve">A2-S005, A2-S038</w:t>
            </w:r>
          </w:p>
        </w:tc>
      </w:tr>
      <w:tr>
        <w:tc>
          <w:tcPr/>
          <w:p>
            <w:pPr>
              <w:pStyle w:val="Compact"/>
              <w:jc w:val="left"/>
            </w:pPr>
            <w:r>
              <w:t xml:space="preserve">Dependencies</w:t>
            </w:r>
          </w:p>
        </w:tc>
        <w:tc>
          <w:tcPr/>
          <w:p>
            <w:pPr>
              <w:pStyle w:val="Compact"/>
              <w:jc w:val="left"/>
            </w:pPr>
            <w:r>
              <w:t xml:space="preserve">Google Gemini API or Google Cloud Vertex AI (Gemini Enterprise Agent Platform)</w:t>
            </w:r>
          </w:p>
        </w:tc>
        <w:tc>
          <w:tcPr/>
          <w:p>
            <w:pPr>
              <w:pStyle w:val="Compact"/>
              <w:jc w:val="left"/>
            </w:pPr>
            <w:r>
              <w:t xml:space="preserve">Verified fact</w:t>
            </w:r>
          </w:p>
        </w:tc>
        <w:tc>
          <w:tcPr/>
          <w:p>
            <w:pPr>
              <w:pStyle w:val="Compact"/>
              <w:jc w:val="left"/>
            </w:pPr>
            <w:r>
              <w:t xml:space="preserve">A2-S004, A2-S039</w:t>
            </w:r>
          </w:p>
        </w:tc>
      </w:tr>
      <w:tr>
        <w:tc>
          <w:tcPr/>
          <w:p>
            <w:pPr>
              <w:pStyle w:val="Compact"/>
              <w:jc w:val="left"/>
            </w:pPr>
            <w:r>
              <w:t xml:space="preserve">Certifications</w:t>
            </w:r>
          </w:p>
        </w:tc>
        <w:tc>
          <w:tcPr/>
          <w:p>
            <w:pPr>
              <w:pStyle w:val="Compact"/>
              <w:jc w:val="left"/>
            </w:pPr>
            <w:r>
              <w:t xml:space="preserve">Generative AI on Vertex AI: SOC 2, ISO/IEC 27001, ISO/IEC 42001, HIPAA, FedRAMP High (scope per product/feature; per-model coverage for gemini-embedding-2 not confirmed)</w:t>
            </w:r>
          </w:p>
        </w:tc>
        <w:tc>
          <w:tcPr/>
          <w:p>
            <w:pPr>
              <w:pStyle w:val="Compact"/>
              <w:jc w:val="left"/>
            </w:pPr>
            <w:r>
              <w:t xml:space="preserve">Verified fact</w:t>
            </w:r>
          </w:p>
        </w:tc>
        <w:tc>
          <w:tcPr/>
          <w:p>
            <w:pPr>
              <w:pStyle w:val="Compact"/>
              <w:jc w:val="left"/>
            </w:pPr>
            <w:r>
              <w:t xml:space="preserve">A2-S043</w:t>
            </w:r>
          </w:p>
        </w:tc>
      </w:tr>
      <w:tr>
        <w:tc>
          <w:tcPr/>
          <w:p>
            <w:pPr>
              <w:pStyle w:val="Compact"/>
              <w:jc w:val="left"/>
            </w:pPr>
            <w:r>
              <w:t xml:space="preserve">GDPR / residency</w:t>
            </w:r>
          </w:p>
        </w:tc>
        <w:tc>
          <w:tcPr/>
          <w:p>
            <w:pPr>
              <w:pStyle w:val="Compact"/>
              <w:jc w:val="left"/>
            </w:pPr>
            <w:r>
              <w:t xml:space="preserve">Available on the</w:t>
            </w:r>
            <w:r>
              <w:t xml:space="preserve"> </w:t>
            </w:r>
            <w:r>
              <w:t xml:space="preserve">‘</w:t>
            </w:r>
            <w:r>
              <w:t xml:space="preserve">eu</w:t>
            </w:r>
            <w:r>
              <w:t xml:space="preserve">’</w:t>
            </w:r>
            <w:r>
              <w:t xml:space="preserve"> </w:t>
            </w:r>
            <w:r>
              <w:t xml:space="preserve">multi-region endpoint, which keeps data within EU member states (UK and Switzerland excluded); batch supported in global, us and eu</w:t>
            </w:r>
          </w:p>
        </w:tc>
        <w:tc>
          <w:tcPr/>
          <w:p>
            <w:pPr>
              <w:pStyle w:val="Compact"/>
              <w:jc w:val="left"/>
            </w:pPr>
            <w:r>
              <w:t xml:space="preserve">Verified fact</w:t>
            </w:r>
          </w:p>
        </w:tc>
        <w:tc>
          <w:tcPr/>
          <w:p>
            <w:pPr>
              <w:pStyle w:val="Compact"/>
              <w:jc w:val="left"/>
            </w:pPr>
            <w:r>
              <w:t xml:space="preserve">A2-S039</w:t>
            </w:r>
          </w:p>
        </w:tc>
      </w:tr>
      <w:tr>
        <w:tc>
          <w:tcPr/>
          <w:p>
            <w:pPr>
              <w:pStyle w:val="Compact"/>
              <w:jc w:val="left"/>
            </w:pPr>
            <w:r>
              <w:t xml:space="preserve">Security features</w:t>
            </w:r>
          </w:p>
        </w:tc>
        <w:tc>
          <w:tcPr/>
          <w:p>
            <w:pPr>
              <w:pStyle w:val="Compact"/>
              <w:jc w:val="left"/>
            </w:pPr>
            <w:r>
              <w:t xml:space="preserve">Vertex AI supports customer-managed encryption keys (CMEK) with location rules; applicability to gemini-embedding-2 calls not confirmed</w:t>
            </w:r>
          </w:p>
        </w:tc>
        <w:tc>
          <w:tcPr/>
          <w:p>
            <w:pPr>
              <w:pStyle w:val="Compact"/>
              <w:jc w:val="left"/>
            </w:pPr>
            <w:r>
              <w:t xml:space="preserve">Verified fact</w:t>
            </w:r>
          </w:p>
        </w:tc>
        <w:tc>
          <w:tcPr/>
          <w:p>
            <w:pPr>
              <w:pStyle w:val="Compact"/>
              <w:jc w:val="left"/>
            </w:pPr>
            <w:r>
              <w:t xml:space="preserve">A2-S039</w:t>
            </w:r>
          </w:p>
        </w:tc>
      </w:tr>
      <w:tr>
        <w:tc>
          <w:tcPr/>
          <w:p>
            <w:pPr>
              <w:pStyle w:val="Compact"/>
              <w:jc w:val="left"/>
            </w:pPr>
            <w:r>
              <w:t xml:space="preserve">Access controls</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Enterprise support</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Pricing</w:t>
            </w:r>
          </w:p>
        </w:tc>
        <w:tc>
          <w:tcPr/>
          <w:p>
            <w:pPr>
              <w:pStyle w:val="Compact"/>
              <w:jc w:val="left"/>
            </w:pPr>
            <w:r>
              <w:t xml:space="preserve">Gemini API paid tier per 1M tokens: text US$0.20, image US$0.45, audio US$6.50, video US$12.00; Batch: text US$0.10, image US$0.225, audio US$3.25, video US$6.00; free tier available. Vertex AI: text US$0.20 online / US$0.10 batch, image US$0.45 online.</w:t>
            </w:r>
          </w:p>
        </w:tc>
        <w:tc>
          <w:tcPr/>
          <w:p>
            <w:pPr>
              <w:pStyle w:val="Compact"/>
              <w:jc w:val="left"/>
            </w:pPr>
            <w:r>
              <w:t xml:space="preserve">Verified fact</w:t>
            </w:r>
          </w:p>
        </w:tc>
        <w:tc>
          <w:tcPr/>
          <w:p>
            <w:pPr>
              <w:pStyle w:val="Compact"/>
              <w:jc w:val="left"/>
            </w:pPr>
            <w:r>
              <w:t xml:space="preserve">A2-S038</w:t>
            </w:r>
          </w:p>
        </w:tc>
      </w:tr>
      <w:tr>
        <w:tc>
          <w:tcPr/>
          <w:p>
            <w:pPr>
              <w:pStyle w:val="Compact"/>
              <w:jc w:val="left"/>
            </w:pPr>
            <w:r>
              <w:t xml:space="preserve">Infrastructure cost</w:t>
            </w:r>
          </w:p>
        </w:tc>
        <w:tc>
          <w:tcPr/>
          <w:p>
            <w:pPr>
              <w:pStyle w:val="Compact"/>
              <w:jc w:val="left"/>
            </w:pPr>
            <w:r>
              <w:t xml:space="preserve">Not applicable: hosted only</w:t>
            </w:r>
          </w:p>
        </w:tc>
        <w:tc>
          <w:tcPr/>
          <w:p>
            <w:pPr>
              <w:pStyle w:val="Compact"/>
              <w:jc w:val="left"/>
            </w:pPr>
            <w:r>
              <w:t xml:space="preserve">Architectural judgement</w:t>
            </w:r>
          </w:p>
        </w:tc>
        <w:tc>
          <w:tcPr/>
          <w:p>
            <w:pPr>
              <w:pStyle w:val="Compact"/>
            </w:pPr>
          </w:p>
        </w:tc>
      </w:tr>
      <w:tr>
        <w:tc>
          <w:tcPr/>
          <w:p>
            <w:pPr>
              <w:pStyle w:val="Compact"/>
              <w:jc w:val="left"/>
            </w:pPr>
            <w:r>
              <w:t xml:space="preserve">Ecosystem</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Adoption signals</w:t>
            </w:r>
          </w:p>
        </w:tc>
        <w:tc>
          <w:tcPr/>
          <w:p>
            <w:pPr>
              <w:pStyle w:val="Compact"/>
              <w:jc w:val="left"/>
            </w:pPr>
            <w:r>
              <w:t xml:space="preserve">Box is integrating Gemini Embedding 2 multimodal capabilities into the Box Agentic Platform (Google Cloud blog)</w:t>
            </w:r>
          </w:p>
        </w:tc>
        <w:tc>
          <w:tcPr/>
          <w:p>
            <w:pPr>
              <w:pStyle w:val="Compact"/>
              <w:jc w:val="left"/>
            </w:pPr>
            <w:r>
              <w:t xml:space="preserve">Verified fact</w:t>
            </w:r>
          </w:p>
        </w:tc>
        <w:tc>
          <w:tcPr/>
          <w:p>
            <w:pPr>
              <w:pStyle w:val="Compact"/>
              <w:jc w:val="left"/>
            </w:pPr>
            <w:r>
              <w:t xml:space="preserve">A2-S047</w:t>
            </w:r>
          </w:p>
        </w:tc>
      </w:tr>
      <w:tr>
        <w:tc>
          <w:tcPr/>
          <w:p>
            <w:pPr>
              <w:pStyle w:val="Compact"/>
              <w:jc w:val="left"/>
            </w:pPr>
            <w:r>
              <w:t xml:space="preserve">Maturity</w:t>
            </w:r>
          </w:p>
        </w:tc>
        <w:tc>
          <w:tcPr/>
          <w:p>
            <w:pPr>
              <w:pStyle w:val="Compact"/>
              <w:jc w:val="left"/>
            </w:pPr>
            <w:r>
              <w:t xml:space="preserve">GA since 22 April 2026 (about 5.5 months)</w:t>
            </w:r>
          </w:p>
        </w:tc>
        <w:tc>
          <w:tcPr/>
          <w:p>
            <w:pPr>
              <w:pStyle w:val="Compact"/>
              <w:jc w:val="left"/>
            </w:pPr>
            <w:r>
              <w:t xml:space="preserve">Verified fact</w:t>
            </w:r>
          </w:p>
        </w:tc>
        <w:tc>
          <w:tcPr/>
          <w:p>
            <w:pPr>
              <w:pStyle w:val="Compact"/>
              <w:jc w:val="left"/>
            </w:pPr>
            <w:r>
              <w:t xml:space="preserve">A2-S004</w:t>
            </w:r>
          </w:p>
        </w:tc>
      </w:tr>
      <w:tr>
        <w:tc>
          <w:tcPr/>
          <w:p>
            <w:pPr>
              <w:pStyle w:val="Compact"/>
              <w:jc w:val="left"/>
            </w:pPr>
            <w:r>
              <w:t xml:space="preserve">Deployment</w:t>
            </w:r>
          </w:p>
        </w:tc>
        <w:tc>
          <w:tcPr/>
          <w:p>
            <w:pPr>
              <w:pStyle w:val="Compact"/>
              <w:jc w:val="left"/>
            </w:pPr>
            <w:r>
              <w:t xml:space="preserve">saas: Yes (Gemini Developer API); managed_cloud: Yes (Google Cloud Vertex AI / Gemini Enterprise Agent Platform; global, us and eu endpoints); vpc_byoc: Not publicly verified; private_cloud: Not publicly verified; self_hosted: No (no downloadable weights); on_prem: Not publicly verified</w:t>
            </w:r>
          </w:p>
        </w:tc>
        <w:tc>
          <w:tcPr/>
          <w:p>
            <w:pPr>
              <w:pStyle w:val="Compact"/>
            </w:pPr>
          </w:p>
        </w:tc>
        <w:tc>
          <w:tcPr/>
          <w:p>
            <w:pPr>
              <w:pStyle w:val="Compact"/>
            </w:pPr>
          </w:p>
        </w:tc>
      </w:tr>
    </w:tbl>
    <w:bookmarkEnd w:id="418"/>
    <w:bookmarkStart w:id="441" w:name="X743e1c9fb51bcb34bda56b4ac18800bc4e42df6"/>
    <w:p>
      <w:pPr>
        <w:pStyle w:val="Heading2"/>
      </w:pPr>
      <w:r>
        <w:t xml:space="preserve">OpenAI embeddings: text-embedding-3-large and text-embedding-3-small (</w:t>
      </w:r>
      <w:r>
        <w:rPr>
          <w:rStyle w:val="VerbatimChar"/>
        </w:rPr>
        <w:t xml:space="preserve">L7-openai</w:t>
      </w:r>
      <w:r>
        <w:t xml:space="preserve">)</w:t>
      </w:r>
    </w:p>
    <w:p>
      <w:pPr>
        <w:pStyle w:val="FirstParagraph"/>
      </w:pPr>
      <w:r>
        <w:rPr>
          <w:bCs/>
          <w:b/>
        </w:rPr>
        <w:t xml:space="preserve">Tier:</w:t>
      </w:r>
      <w:r>
        <w:t xml:space="preserve"> </w:t>
      </w:r>
      <w:r>
        <w:t xml:space="preserve">Tactical ·</w:t>
      </w:r>
      <w:r>
        <w:t xml:space="preserve"> </w:t>
      </w:r>
      <w:r>
        <w:rPr>
          <w:bCs/>
          <w:b/>
        </w:rPr>
        <w:t xml:space="preserve">Flags:</w:t>
      </w:r>
      <w:r>
        <w:t xml:space="preserve"> </w:t>
      </w:r>
      <w:r>
        <w:t xml:space="preserve">none ·</w:t>
      </w:r>
      <w:r>
        <w:t xml:space="preserve"> </w:t>
      </w:r>
      <w:r>
        <w:rPr>
          <w:bCs/>
          <w:b/>
        </w:rPr>
        <w:t xml:space="preserve">Original graphic label:</w:t>
      </w:r>
      <w:r>
        <w:t xml:space="preserve"> </w:t>
      </w:r>
      <w:r>
        <w:t xml:space="preserve">OpenAI – Embeddings 3</w:t>
      </w:r>
    </w:p>
    <w:p>
      <w:pPr>
        <w:pStyle w:val="BodyText"/>
      </w:pPr>
      <w:r>
        <w:rPr>
          <w:iCs/>
          <w:i/>
        </w:rPr>
        <w:t xml:space="preserve">Rationale:</w:t>
      </w:r>
      <w:r>
        <w:t xml:space="preserve"> </w:t>
      </w:r>
      <w:r>
        <w:t xml:space="preserve">Competent, well-controlled text embeddings, but hosted-only, text-only and without a reranker; a baseline, not a foundation.</w:t>
      </w:r>
    </w:p>
    <w:tbl>
      <w:tblPr>
        <w:tblStyle w:val="Table"/>
        <w:tblW w:type="pct" w:w="5000"/>
        <w:tblLook w:firstRow="1" w:lastRow="0" w:firstColumn="0" w:lastColumn="0" w:noHBand="0" w:noVBand="0" w:val="0020"/>
        <w:jc w:val="start"/>
      </w:tblPr>
      <w:tblGrid>
        <w:gridCol w:w="1545"/>
        <w:gridCol w:w="579"/>
        <w:gridCol w:w="5795"/>
      </w:tblGrid>
      <w:tr>
        <w:trPr>
          <w:tblHeader w:val="true"/>
        </w:trPr>
        <w:tc>
          <w:tcPr/>
          <w:p>
            <w:pPr>
              <w:pStyle w:val="Compact"/>
              <w:jc w:val="left"/>
            </w:pPr>
            <w:r>
              <w:t xml:space="preserve">Criterion</w:t>
            </w:r>
          </w:p>
        </w:tc>
        <w:tc>
          <w:tcPr/>
          <w:p>
            <w:pPr>
              <w:pStyle w:val="Compact"/>
              <w:jc w:val="right"/>
            </w:pPr>
            <w:r>
              <w:t xml:space="preserve">Score</w:t>
            </w:r>
          </w:p>
        </w:tc>
        <w:tc>
          <w:tcPr/>
          <w:p>
            <w:pPr>
              <w:pStyle w:val="Compact"/>
              <w:jc w:val="left"/>
            </w:pPr>
            <w:r>
              <w:t xml:space="preserve">Rationale</w:t>
            </w:r>
          </w:p>
        </w:tc>
      </w:tr>
      <w:tr>
        <w:tc>
          <w:tcPr/>
          <w:p>
            <w:pPr>
              <w:pStyle w:val="Compact"/>
              <w:jc w:val="left"/>
            </w:pPr>
            <w:r>
              <w:t xml:space="preserve">Technical</w:t>
            </w:r>
          </w:p>
        </w:tc>
        <w:tc>
          <w:tcPr/>
          <w:p>
            <w:pPr>
              <w:pStyle w:val="Compact"/>
              <w:jc w:val="right"/>
            </w:pPr>
            <w:r>
              <w:t xml:space="preserve">3</w:t>
            </w:r>
          </w:p>
        </w:tc>
        <w:tc>
          <w:tcPr/>
          <w:p>
            <w:pPr>
              <w:pStyle w:val="Compact"/>
              <w:jc w:val="left"/>
            </w:pPr>
            <w:r>
              <w:t xml:space="preserve">Core text embedding with shortening via</w:t>
            </w:r>
            <w:r>
              <w:t xml:space="preserve"> </w:t>
            </w:r>
            <w:r>
              <w:t xml:space="preserve">‘</w:t>
            </w:r>
            <w:r>
              <w:t xml:space="preserve">dimensions</w:t>
            </w:r>
            <w:r>
              <w:t xml:space="preserve">’</w:t>
            </w:r>
            <w:r>
              <w:t xml:space="preserve">; no reranker, no multimodal, 2024 generation.</w:t>
            </w:r>
          </w:p>
        </w:tc>
      </w:tr>
      <w:tr>
        <w:tc>
          <w:tcPr/>
          <w:p>
            <w:pPr>
              <w:pStyle w:val="Compact"/>
              <w:jc w:val="left"/>
            </w:pPr>
            <w:r>
              <w:t xml:space="preserve">Enterprise readiness</w:t>
            </w:r>
          </w:p>
        </w:tc>
        <w:tc>
          <w:tcPr/>
          <w:p>
            <w:pPr>
              <w:pStyle w:val="Compact"/>
              <w:jc w:val="right"/>
            </w:pPr>
            <w:r>
              <w:t xml:space="preserve">4</w:t>
            </w:r>
          </w:p>
        </w:tc>
        <w:tc>
          <w:tcPr/>
          <w:p>
            <w:pPr>
              <w:pStyle w:val="Compact"/>
              <w:jc w:val="left"/>
            </w:pPr>
            <w:r>
              <w:t xml:space="preserve">SAML/OIDC SSO, tenant SCIM for the API Platform (from 17 September 2026), organisation and project roles with custom roles, Admin API and audit logs of administrative events</w:t>
            </w:r>
            <w:r>
              <w:t xml:space="preserve"> </w:t>
            </w:r>
            <w:r>
              <w:rPr>
                <w:rStyle w:val="ClaimLabel"/>
              </w:rPr>
              <w:t xml:space="preserve">VF</w:t>
            </w:r>
            <w:r>
              <w:rPr>
                <w:rStyle w:val="FootnoteReference"/>
              </w:rPr>
              <w:footnoteReference w:id="419"/>
            </w:r>
            <w:r>
              <w:t xml:space="preserve">; support/SLA terms not verified and audit logs exclude request content with best-effort retention, so not 5.</w:t>
            </w:r>
          </w:p>
        </w:tc>
      </w:tr>
      <w:tr>
        <w:tc>
          <w:tcPr/>
          <w:p>
            <w:pPr>
              <w:pStyle w:val="Compact"/>
              <w:jc w:val="left"/>
            </w:pPr>
            <w:r>
              <w:t xml:space="preserve">Security and compliance</w:t>
            </w:r>
          </w:p>
        </w:tc>
        <w:tc>
          <w:tcPr/>
          <w:p>
            <w:pPr>
              <w:pStyle w:val="Compact"/>
              <w:jc w:val="right"/>
            </w:pPr>
            <w:r>
              <w:t xml:space="preserve">4</w:t>
            </w:r>
          </w:p>
        </w:tc>
        <w:tc>
          <w:tcPr/>
          <w:p>
            <w:pPr>
              <w:pStyle w:val="Compact"/>
              <w:jc w:val="left"/>
            </w:pPr>
            <w:r>
              <w:t xml:space="preserve">SOC 2 Type 2, ISO 27001/27701, HIPAA BAA, ZDR and EU residency for the endpoint; CMK not verified.</w:t>
            </w:r>
          </w:p>
        </w:tc>
      </w:tr>
      <w:tr>
        <w:tc>
          <w:tcPr/>
          <w:p>
            <w:pPr>
              <w:pStyle w:val="Compact"/>
              <w:jc w:val="left"/>
            </w:pPr>
            <w:r>
              <w:t xml:space="preserve">Deployment flexibility</w:t>
            </w:r>
          </w:p>
        </w:tc>
        <w:tc>
          <w:tcPr/>
          <w:p>
            <w:pPr>
              <w:pStyle w:val="Compact"/>
              <w:jc w:val="right"/>
            </w:pPr>
            <w:r>
              <w:t xml:space="preserve">2</w:t>
            </w:r>
          </w:p>
        </w:tc>
        <w:tc>
          <w:tcPr/>
          <w:p>
            <w:pPr>
              <w:pStyle w:val="Compact"/>
              <w:jc w:val="left"/>
            </w:pPr>
            <w:r>
              <w:t xml:space="preserve">Hosted SaaS only, with US and EU processing regions; no VPC or self-host verified.</w:t>
            </w:r>
          </w:p>
        </w:tc>
      </w:tr>
      <w:tr>
        <w:tc>
          <w:tcPr/>
          <w:p>
            <w:pPr>
              <w:pStyle w:val="Compact"/>
              <w:jc w:val="left"/>
            </w:pPr>
            <w:r>
              <w:t xml:space="preserve">Ecosystem</w:t>
            </w:r>
          </w:p>
        </w:tc>
        <w:tc>
          <w:tcPr/>
          <w:p>
            <w:pPr>
              <w:pStyle w:val="Compact"/>
              <w:jc w:val="right"/>
            </w:pPr>
            <w:r>
              <w:t xml:space="preserve">3</w:t>
            </w:r>
          </w:p>
        </w:tc>
        <w:tc>
          <w:tcPr/>
          <w:p>
            <w:pPr>
              <w:pStyle w:val="Compact"/>
              <w:jc w:val="left"/>
            </w:pPr>
            <w:r>
              <w:t xml:space="preserve">Standard REST endpoint, SDKs and Batch API; broader ecosystem evidence NPV in the dataset.</w:t>
            </w:r>
          </w:p>
        </w:tc>
      </w:tr>
      <w:tr>
        <w:tc>
          <w:tcPr/>
          <w:p>
            <w:pPr>
              <w:pStyle w:val="Compact"/>
              <w:jc w:val="left"/>
            </w:pPr>
            <w:r>
              <w:t xml:space="preserve">Reliability and maturity</w:t>
            </w:r>
          </w:p>
        </w:tc>
        <w:tc>
          <w:tcPr/>
          <w:p>
            <w:pPr>
              <w:pStyle w:val="Compact"/>
              <w:jc w:val="right"/>
            </w:pPr>
            <w:r>
              <w:t xml:space="preserve">4</w:t>
            </w:r>
          </w:p>
        </w:tc>
        <w:tc>
          <w:tcPr/>
          <w:p>
            <w:pPr>
              <w:pStyle w:val="Compact"/>
              <w:jc w:val="left"/>
            </w:pPr>
            <w:r>
              <w:t xml:space="preserve">GA since January 2024 and unchanged for about 2.7 years.</w:t>
            </w:r>
          </w:p>
        </w:tc>
      </w:tr>
      <w:tr>
        <w:tc>
          <w:tcPr/>
          <w:p>
            <w:pPr>
              <w:pStyle w:val="Compact"/>
              <w:jc w:val="left"/>
            </w:pPr>
            <w:r>
              <w:t xml:space="preserve">Cost / TCO</w:t>
            </w:r>
          </w:p>
        </w:tc>
        <w:tc>
          <w:tcPr/>
          <w:p>
            <w:pPr>
              <w:pStyle w:val="Compact"/>
              <w:jc w:val="right"/>
            </w:pPr>
            <w:r>
              <w:t xml:space="preserve">4</w:t>
            </w:r>
          </w:p>
        </w:tc>
        <w:tc>
          <w:tcPr/>
          <w:p>
            <w:pPr>
              <w:pStyle w:val="Compact"/>
              <w:jc w:val="left"/>
            </w:pPr>
            <w:r>
              <w:t xml:space="preserve">Transparent per-token pricing at the low end of the hosted market; Batch halves 3-large.</w:t>
            </w:r>
          </w:p>
        </w:tc>
      </w:tr>
      <w:tr>
        <w:tc>
          <w:tcPr/>
          <w:p>
            <w:pPr>
              <w:pStyle w:val="Compact"/>
              <w:jc w:val="left"/>
            </w:pPr>
            <w:r>
              <w:t xml:space="preserve">Lock-in / portability</w:t>
            </w:r>
          </w:p>
        </w:tc>
        <w:tc>
          <w:tcPr/>
          <w:p>
            <w:pPr>
              <w:pStyle w:val="Compact"/>
              <w:jc w:val="right"/>
            </w:pPr>
            <w:r>
              <w:t xml:space="preserve">2</w:t>
            </w:r>
          </w:p>
        </w:tc>
        <w:tc>
          <w:tcPr/>
          <w:p>
            <w:pPr>
              <w:pStyle w:val="Compact"/>
              <w:jc w:val="left"/>
            </w:pPr>
            <w:r>
              <w:t xml:space="preserve">Proprietary hosted API, no weights; switching forces full re-embedding.</w:t>
            </w:r>
          </w:p>
        </w:tc>
      </w:tr>
      <w:tr>
        <w:tc>
          <w:tcPr/>
          <w:p>
            <w:pPr>
              <w:pStyle w:val="Compact"/>
              <w:jc w:val="left"/>
            </w:pPr>
            <w:r>
              <w:rPr>
                <w:bCs/>
                <w:b/>
              </w:rPr>
              <w:t xml:space="preserve">Total (generic / FS)</w:t>
            </w:r>
          </w:p>
        </w:tc>
        <w:tc>
          <w:tcPr/>
          <w:p>
            <w:pPr>
              <w:pStyle w:val="Compact"/>
              <w:jc w:val="right"/>
            </w:pPr>
            <w:r>
              <w:rPr>
                <w:bCs/>
                <w:b/>
              </w:rPr>
              <w:t xml:space="preserve">3.30 / 3.20</w:t>
            </w:r>
          </w:p>
        </w:tc>
        <w:tc>
          <w:tcPr/>
          <w:p>
            <w:pPr>
              <w:pStyle w:val="Compact"/>
            </w:pPr>
          </w:p>
        </w:tc>
      </w:tr>
    </w:tbl>
    <w:p>
      <w:pPr>
        <w:pStyle w:val="BodyText"/>
      </w:pPr>
      <w:r>
        <w:rPr>
          <w:iCs/>
          <w:i/>
        </w:rPr>
        <w:t xml:space="preserve">Evidence rules applied:</w:t>
      </w:r>
      <w:r>
        <w:t xml:space="preserve"> </w:t>
      </w:r>
      <w:r>
        <w:t xml:space="preserve">NPV cap lifted at CP2 review (8 October 2026): SSO, RBAC and audit logs verified (B-REV-S004 to S006); Rules 7 and 8 checked at CP2 rework (8 October 2026): enterprise_readiness 4 and security_compliance 4 kept</w:t>
      </w:r>
    </w:p>
    <w:p>
      <w:pPr>
        <w:pStyle w:val="BodyText"/>
      </w:pPr>
      <w:r>
        <w:rPr>
          <w:bCs/>
          <w:b/>
        </w:rPr>
        <w:t xml:space="preserve">Capabilities.</w:t>
      </w:r>
      <w:r>
        <w:t xml:space="preserve"> </w:t>
      </w:r>
      <w:r>
        <w:t xml:space="preserve">Hosted text embeddings: text-embedding-3-large (3,072 dims by default, shortened with the</w:t>
      </w:r>
      <w:r>
        <w:t xml:space="preserve"> </w:t>
      </w:r>
      <w:r>
        <w:t xml:space="preserve">‘</w:t>
      </w:r>
      <w:r>
        <w:t xml:space="preserve">dimensions</w:t>
      </w:r>
      <w:r>
        <w:t xml:space="preserve">’</w:t>
      </w:r>
      <w:r>
        <w:t xml:space="preserve"> </w:t>
      </w:r>
      <w:r>
        <w:t xml:space="preserve">parameter) and text-embedding-3-small, 8,192-token input, released 25 January 2024</w:t>
      </w:r>
      <w:r>
        <w:t xml:space="preserve"> </w:t>
      </w:r>
      <w:r>
        <w:rPr>
          <w:rStyle w:val="ClaimLabel"/>
        </w:rPr>
        <w:t xml:space="preserve">VF</w:t>
      </w:r>
      <w:r>
        <w:rPr>
          <w:rStyle w:val="FootnoteReference"/>
        </w:rPr>
        <w:footnoteReference w:id="423"/>
      </w:r>
      <w:r>
        <w:t xml:space="preserve">. No first-party reranker was found</w:t>
      </w:r>
      <w:r>
        <w:t xml:space="preserve"> </w:t>
      </w:r>
      <w:r>
        <w:rPr>
          <w:rStyle w:val="ClaimLabel"/>
        </w:rPr>
        <w:t xml:space="preserve">VF</w:t>
      </w:r>
      <w:r>
        <w:rPr>
          <w:rStyle w:val="FootnoteReference"/>
        </w:rPr>
        <w:footnoteReference w:id="426"/>
      </w:r>
      <w:r>
        <w:t xml:space="preserve">.</w:t>
      </w:r>
    </w:p>
    <w:p>
      <w:pPr>
        <w:pStyle w:val="BodyText"/>
      </w:pPr>
      <w:r>
        <w:rPr>
          <w:bCs/>
          <w:b/>
        </w:rPr>
        <w:t xml:space="preserve">Strengths</w:t>
      </w:r>
    </w:p>
    <w:p>
      <w:pPr>
        <w:numPr>
          <w:ilvl w:val="0"/>
          <w:numId w:val="1097"/>
        </w:numPr>
        <w:pStyle w:val="Compact"/>
      </w:pPr>
      <w:r>
        <w:t xml:space="preserve">Stable, unchanged generation since January 2024, so a pinned model has not been forced to move</w:t>
      </w:r>
      <w:r>
        <w:t xml:space="preserve"> </w:t>
      </w:r>
      <w:r>
        <w:rPr>
          <w:rStyle w:val="ClaimLabel"/>
        </w:rPr>
        <w:t xml:space="preserve">VF</w:t>
      </w:r>
      <w:r>
        <w:rPr>
          <w:rStyle w:val="FootnoteReference"/>
        </w:rPr>
        <w:footnoteReference w:id="427"/>
      </w:r>
      <w:r>
        <w:t xml:space="preserve"> </w:t>
      </w:r>
      <w:r>
        <w:rPr>
          <w:rStyle w:val="ClaimLabel"/>
        </w:rPr>
        <w:t xml:space="preserve">AJ</w:t>
      </w:r>
    </w:p>
    <w:p>
      <w:pPr>
        <w:numPr>
          <w:ilvl w:val="0"/>
          <w:numId w:val="1097"/>
        </w:numPr>
        <w:pStyle w:val="Compact"/>
      </w:pPr>
      <w:r>
        <w:t xml:space="preserve">Strong documented controls for the endpoint: SOC 2 Type 2, ISO/IEC 27001 and 27701, ZDR-eligible /v1/embeddings, EU storage and processing residency with Modified Abuse Monitoring or ZDR, HIPAA BAA</w:t>
      </w:r>
      <w:r>
        <w:t xml:space="preserve"> </w:t>
      </w:r>
      <w:r>
        <w:rPr>
          <w:rStyle w:val="ClaimLabel"/>
        </w:rPr>
        <w:t xml:space="preserve">VF</w:t>
      </w:r>
      <w:r>
        <w:rPr>
          <w:rStyle w:val="FootnoteReference"/>
        </w:rPr>
        <w:footnoteReference w:id="428"/>
      </w:r>
    </w:p>
    <w:p>
      <w:pPr>
        <w:numPr>
          <w:ilvl w:val="0"/>
          <w:numId w:val="1097"/>
        </w:numPr>
        <w:pStyle w:val="Compact"/>
      </w:pPr>
      <w:r>
        <w:t xml:space="preserve">Low, transparent price: 3-small US$0.02 and 3-large US$0.13 per 1M tokens, Batch at half price for 3-large (as of 7 October 2026)</w:t>
      </w:r>
      <w:r>
        <w:t xml:space="preserve"> </w:t>
      </w:r>
      <w:r>
        <w:rPr>
          <w:rStyle w:val="ClaimLabel"/>
        </w:rPr>
        <w:t xml:space="preserve">VF</w:t>
      </w:r>
      <w:r>
        <w:rPr>
          <w:rStyle w:val="FootnoteReference"/>
        </w:rPr>
        <w:footnoteReference w:id="431"/>
      </w:r>
    </w:p>
    <w:p>
      <w:pPr>
        <w:numPr>
          <w:ilvl w:val="0"/>
          <w:numId w:val="1097"/>
        </w:numPr>
        <w:pStyle w:val="Compact"/>
      </w:pPr>
      <w:r>
        <w:t xml:space="preserve">API Platform identity and access: SAML/OIDC SSO, SCIM, organisation and project roles with custom roles, Admin API and audit logs</w:t>
      </w:r>
      <w:r>
        <w:t xml:space="preserve"> </w:t>
      </w:r>
      <w:r>
        <w:rPr>
          <w:rStyle w:val="ClaimLabel"/>
        </w:rPr>
        <w:t xml:space="preserve">VF</w:t>
      </w:r>
      <w:r>
        <w:rPr>
          <w:rStyle w:val="FootnoteReference"/>
        </w:rPr>
        <w:footnoteReference w:id="433"/>
      </w:r>
    </w:p>
    <w:p>
      <w:pPr>
        <w:pStyle w:val="FirstParagraph"/>
      </w:pPr>
      <w:r>
        <w:rPr>
          <w:bCs/>
          <w:b/>
        </w:rPr>
        <w:t xml:space="preserve">Limitations and risks</w:t>
      </w:r>
    </w:p>
    <w:p>
      <w:pPr>
        <w:numPr>
          <w:ilvl w:val="0"/>
          <w:numId w:val="1098"/>
        </w:numPr>
        <w:pStyle w:val="Compact"/>
      </w:pPr>
      <w:r>
        <w:t xml:space="preserve">Text only; no reranker, so a second vendor or library is needed for two-stage retrieval</w:t>
      </w:r>
      <w:r>
        <w:t xml:space="preserve"> </w:t>
      </w:r>
      <w:r>
        <w:rPr>
          <w:rStyle w:val="ClaimLabel"/>
        </w:rPr>
        <w:t xml:space="preserve">VF</w:t>
      </w:r>
      <w:r>
        <w:rPr>
          <w:rStyle w:val="FootnoteReference"/>
        </w:rPr>
        <w:footnoteReference w:id="434"/>
      </w:r>
      <w:r>
        <w:t xml:space="preserve"> </w:t>
      </w:r>
      <w:r>
        <w:rPr>
          <w:rStyle w:val="ClaimLabel"/>
        </w:rPr>
        <w:t xml:space="preserve">AJ</w:t>
      </w:r>
    </w:p>
    <w:p>
      <w:pPr>
        <w:numPr>
          <w:ilvl w:val="0"/>
          <w:numId w:val="1098"/>
        </w:numPr>
        <w:pStyle w:val="Compact"/>
      </w:pPr>
      <w:r>
        <w:t xml:space="preserve">Hosted only, no downloadable weights; vectors are model-specific, so exit means re-embedding the corpus</w:t>
      </w:r>
      <w:r>
        <w:t xml:space="preserve"> </w:t>
      </w:r>
      <w:r>
        <w:rPr>
          <w:rStyle w:val="ClaimLabel"/>
        </w:rPr>
        <w:t xml:space="preserve">AJ</w:t>
      </w:r>
    </w:p>
    <w:p>
      <w:pPr>
        <w:numPr>
          <w:ilvl w:val="0"/>
          <w:numId w:val="1098"/>
        </w:numPr>
        <w:pStyle w:val="Compact"/>
      </w:pPr>
      <w:r>
        <w:t xml:space="preserve">UK region is storage-only for embeddings; processing in Europe needs Modified Abuse Monitoring or ZDR</w:t>
      </w:r>
      <w:r>
        <w:t xml:space="preserve"> </w:t>
      </w:r>
      <w:r>
        <w:rPr>
          <w:rStyle w:val="ClaimLabel"/>
        </w:rPr>
        <w:t xml:space="preserve">VF</w:t>
      </w:r>
      <w:r>
        <w:rPr>
          <w:rStyle w:val="FootnoteReference"/>
        </w:rPr>
        <w:footnoteReference w:id="435"/>
      </w:r>
    </w:p>
    <w:p>
      <w:pPr>
        <w:numPr>
          <w:ilvl w:val="0"/>
          <w:numId w:val="1098"/>
        </w:numPr>
        <w:pStyle w:val="Compact"/>
      </w:pPr>
      <w:r>
        <w:t xml:space="preserve">Audit logs record administrative events only, not request content, and are kept on a best-effort basis, so they must be exported to the firm’s archive</w:t>
      </w:r>
      <w:r>
        <w:t xml:space="preserve"> </w:t>
      </w:r>
      <w:r>
        <w:rPr>
          <w:rStyle w:val="ClaimLabel"/>
        </w:rPr>
        <w:t xml:space="preserve">VF</w:t>
      </w:r>
      <w:r>
        <w:rPr>
          <w:rStyle w:val="FootnoteReference"/>
        </w:rPr>
        <w:footnoteReference w:id="436"/>
      </w:r>
      <w:r>
        <w:t xml:space="preserve">; CMK/BYOK not verified</w:t>
      </w:r>
      <w:r>
        <w:t xml:space="preserve"> </w:t>
      </w:r>
      <w:r>
        <w:rPr>
          <w:rStyle w:val="ClaimLabel"/>
        </w:rPr>
        <w:t xml:space="preserve">NPV</w:t>
      </w:r>
    </w:p>
    <w:p>
      <w:pPr>
        <w:numPr>
          <w:ilvl w:val="0"/>
          <w:numId w:val="1098"/>
        </w:numPr>
        <w:pStyle w:val="Compact"/>
      </w:pPr>
      <w:r>
        <w:t xml:space="preserve">Ageing generation with no announced successor; successor timing unknown</w:t>
      </w:r>
      <w:r>
        <w:t xml:space="preserve"> </w:t>
      </w:r>
      <w:r>
        <w:rPr>
          <w:rStyle w:val="ClaimLabel"/>
        </w:rPr>
        <w:t xml:space="preserve">AJ</w:t>
      </w:r>
    </w:p>
    <w:p>
      <w:pPr>
        <w:pStyle w:val="FirstParagraph"/>
      </w:pPr>
      <w:r>
        <w:rPr>
          <w:bCs/>
          <w:b/>
        </w:rPr>
        <w:t xml:space="preserve">Choose when</w:t>
      </w:r>
    </w:p>
    <w:p>
      <w:pPr>
        <w:numPr>
          <w:ilvl w:val="0"/>
          <w:numId w:val="1099"/>
        </w:numPr>
        <w:pStyle w:val="Compact"/>
      </w:pPr>
      <w:r>
        <w:t xml:space="preserve">OpenAI is already the contracted L1 provider with ZDR and EU residency approved, and the corpus is text-only</w:t>
      </w:r>
    </w:p>
    <w:p>
      <w:pPr>
        <w:numPr>
          <w:ilvl w:val="0"/>
          <w:numId w:val="1099"/>
        </w:numPr>
        <w:pStyle w:val="Compact"/>
      </w:pPr>
      <w:r>
        <w:t xml:space="preserve">A low-cost English or multilingual text baseline is needed for an in-domain bake-off</w:t>
      </w:r>
    </w:p>
    <w:p>
      <w:pPr>
        <w:pStyle w:val="FirstParagraph"/>
      </w:pPr>
      <w:r>
        <w:rPr>
          <w:bCs/>
          <w:b/>
        </w:rPr>
        <w:t xml:space="preserve">Avoid when</w:t>
      </w:r>
    </w:p>
    <w:p>
      <w:pPr>
        <w:numPr>
          <w:ilvl w:val="0"/>
          <w:numId w:val="1100"/>
        </w:numPr>
        <w:pStyle w:val="Compact"/>
      </w:pPr>
      <w:r>
        <w:t xml:space="preserve">Data must be processed in the UK or inside the firm’s own estate</w:t>
      </w:r>
    </w:p>
    <w:p>
      <w:pPr>
        <w:numPr>
          <w:ilvl w:val="0"/>
          <w:numId w:val="1100"/>
        </w:numPr>
        <w:pStyle w:val="Compact"/>
      </w:pPr>
      <w:r>
        <w:t xml:space="preserve">Multimodal retrieval (scanned factsheets, charts) or a single-vendor embed-plus-rerank pair is required</w:t>
      </w:r>
    </w:p>
    <w:p>
      <w:pPr>
        <w:pStyle w:val="FirstParagraph"/>
      </w:pPr>
      <w:r>
        <w:rPr>
          <w:bCs/>
          <w:b/>
        </w:rPr>
        <w:t xml:space="preserve">Nearest competitors:</w:t>
      </w:r>
      <w:r>
        <w:t xml:space="preserve"> </w:t>
      </w:r>
      <w:r>
        <w:t xml:space="preserve">L7-gemini-embedding, L7-cohere, L7-voyage</w:t>
      </w:r>
    </w:p>
    <w:p>
      <w:pPr>
        <w:pStyle w:val="BodyText"/>
      </w:pPr>
      <w:r>
        <w:rPr>
          <w:bCs/>
          <w:b/>
        </w:rPr>
        <w:t xml:space="preserve">Regulated-FS note.</w:t>
      </w:r>
      <w:r>
        <w:t xml:space="preserve"> </w:t>
      </w:r>
      <w:r>
        <w:t xml:space="preserve">Usable for EU-processed client data only under ZDR or Modified Abuse Monitoring on an EU project</w:t>
      </w:r>
      <w:r>
        <w:t xml:space="preserve"> </w:t>
      </w:r>
      <w:r>
        <w:rPr>
          <w:rStyle w:val="ClaimLabel"/>
        </w:rPr>
        <w:t xml:space="preserve">VF</w:t>
      </w:r>
      <w:r>
        <w:rPr>
          <w:rStyle w:val="FootnoteReference"/>
        </w:rPr>
        <w:footnoteReference w:id="437"/>
      </w:r>
      <w:r>
        <w:t xml:space="preserve">; UK processing is not offered for this endpoint</w:t>
      </w:r>
      <w:r>
        <w:t xml:space="preserve"> </w:t>
      </w:r>
      <w:r>
        <w:rPr>
          <w:rStyle w:val="ClaimLabel"/>
        </w:rPr>
        <w:t xml:space="preserve">VF</w:t>
      </w:r>
      <w:r>
        <w:rPr>
          <w:rStyle w:val="FootnoteReference"/>
        </w:rPr>
        <w:footnoteReference w:id="438"/>
      </w:r>
      <w:r>
        <w:t xml:space="preserve">. A direct OpenAI contract is an ICT third-party arrangement outside the DORA CTPP perimeter, so oversight sits with the firm</w:t>
      </w:r>
      <w:r>
        <w:t xml:space="preserve"> </w:t>
      </w:r>
      <w:r>
        <w:rPr>
          <w:rStyle w:val="ClaimLabel"/>
        </w:rPr>
        <w:t xml:space="preserve">VF</w:t>
      </w:r>
      <w:r>
        <w:rPr>
          <w:rStyle w:val="FootnoteReference"/>
        </w:rPr>
        <w:footnoteReference w:id="439"/>
      </w:r>
      <w:r>
        <w:t xml:space="preserve"> </w:t>
      </w:r>
      <w:r>
        <w:rPr>
          <w:rStyle w:val="ClaimLabel"/>
        </w:rPr>
        <w:t xml:space="preserve">AJ</w:t>
      </w:r>
      <w:r>
        <w:t xml:space="preserve">.</w:t>
      </w:r>
    </w:p>
    <w:p>
      <w:pPr>
        <w:pStyle w:val="BodyText"/>
      </w:pPr>
      <w:r>
        <w:rPr>
          <w:bCs/>
          <w:b/>
        </w:rPr>
        <w:t xml:space="preserve">Facts (as of 2026-10-07)</w:t>
      </w:r>
    </w:p>
    <w:tbl>
      <w:tblPr>
        <w:tblStyle w:val="Table"/>
        <w:tblW w:type="pct" w:w="5000"/>
        <w:tblLook w:firstRow="1" w:lastRow="0" w:firstColumn="0" w:lastColumn="0" w:noHBand="0" w:noVBand="0" w:val="0020"/>
        <w:jc w:val="start"/>
      </w:tblPr>
      <w:tblGrid>
        <w:gridCol w:w="1485"/>
        <w:gridCol w:w="4290"/>
        <w:gridCol w:w="1320"/>
        <w:gridCol w:w="825"/>
      </w:tblGrid>
      <w:tr>
        <w:trPr>
          <w:tblHeader w:val="true"/>
        </w:trPr>
        <w:tc>
          <w:tcPr/>
          <w:p>
            <w:pPr>
              <w:pStyle w:val="Compact"/>
              <w:jc w:val="left"/>
            </w:pPr>
            <w:r>
              <w:t xml:space="preserve">Field</w:t>
            </w:r>
          </w:p>
        </w:tc>
        <w:tc>
          <w:tcPr/>
          <w:p>
            <w:pPr>
              <w:pStyle w:val="Compact"/>
              <w:jc w:val="left"/>
            </w:pPr>
            <w:r>
              <w:t xml:space="preserve">Value</w:t>
            </w:r>
          </w:p>
        </w:tc>
        <w:tc>
          <w:tcPr/>
          <w:p>
            <w:pPr>
              <w:pStyle w:val="Compact"/>
              <w:jc w:val="left"/>
            </w:pPr>
            <w:r>
              <w:t xml:space="preserve">Label</w:t>
            </w:r>
          </w:p>
        </w:tc>
        <w:tc>
          <w:tcPr/>
          <w:p>
            <w:pPr>
              <w:pStyle w:val="Compact"/>
              <w:jc w:val="left"/>
            </w:pPr>
            <w:r>
              <w:t xml:space="preserve">Sources</w:t>
            </w:r>
          </w:p>
        </w:tc>
      </w:tr>
      <w:tr>
        <w:tc>
          <w:tcPr/>
          <w:p>
            <w:pPr>
              <w:pStyle w:val="Compact"/>
              <w:jc w:val="left"/>
            </w:pPr>
            <w:r>
              <w:t xml:space="preserve">Company</w:t>
            </w:r>
          </w:p>
        </w:tc>
        <w:tc>
          <w:tcPr/>
          <w:p>
            <w:pPr>
              <w:pStyle w:val="Compact"/>
              <w:jc w:val="left"/>
            </w:pPr>
            <w:r>
              <w:t xml:space="preserve">OpenAI</w:t>
            </w:r>
          </w:p>
        </w:tc>
        <w:tc>
          <w:tcPr/>
          <w:p>
            <w:pPr>
              <w:pStyle w:val="Compact"/>
              <w:jc w:val="left"/>
            </w:pPr>
            <w:r>
              <w:t xml:space="preserve">Verified fact</w:t>
            </w:r>
          </w:p>
        </w:tc>
        <w:tc>
          <w:tcPr/>
          <w:p>
            <w:pPr>
              <w:pStyle w:val="Compact"/>
              <w:jc w:val="left"/>
            </w:pPr>
            <w:r>
              <w:t xml:space="preserve">A2-S002</w:t>
            </w:r>
          </w:p>
        </w:tc>
      </w:tr>
      <w:tr>
        <w:tc>
          <w:tcPr/>
          <w:p>
            <w:pPr>
              <w:pStyle w:val="Compact"/>
              <w:jc w:val="left"/>
            </w:pPr>
            <w:r>
              <w:t xml:space="preserve">Category</w:t>
            </w:r>
          </w:p>
        </w:tc>
        <w:tc>
          <w:tcPr/>
          <w:p>
            <w:pPr>
              <w:pStyle w:val="Compact"/>
              <w:jc w:val="left"/>
            </w:pPr>
            <w:r>
              <w:t xml:space="preserve">Hosted text-embedding model API</w:t>
            </w:r>
          </w:p>
        </w:tc>
        <w:tc>
          <w:tcPr/>
          <w:p>
            <w:pPr>
              <w:pStyle w:val="Compact"/>
              <w:jc w:val="left"/>
            </w:pPr>
            <w:r>
              <w:t xml:space="preserve">Verified fact</w:t>
            </w:r>
          </w:p>
        </w:tc>
        <w:tc>
          <w:tcPr/>
          <w:p>
            <w:pPr>
              <w:pStyle w:val="Compact"/>
              <w:jc w:val="left"/>
            </w:pPr>
            <w:r>
              <w:t xml:space="preserve">A2-S003</w:t>
            </w:r>
          </w:p>
        </w:tc>
      </w:tr>
      <w:tr>
        <w:tc>
          <w:tcPr/>
          <w:p>
            <w:pPr>
              <w:pStyle w:val="Compact"/>
              <w:jc w:val="left"/>
            </w:pPr>
            <w:r>
              <w:t xml:space="preserve">Version / lineup</w:t>
            </w:r>
          </w:p>
        </w:tc>
        <w:tc>
          <w:tcPr/>
          <w:p>
            <w:pPr>
              <w:pStyle w:val="Compact"/>
              <w:jc w:val="left"/>
            </w:pPr>
            <w:r>
              <w:t xml:space="preserve">text-embedding-3-large (most capable; 3,072 dims default) and text-embedding-3-small, both released 25 January 2024; text-embedding-ada-002 still listed. No newer OpenAI embedding model found as of 7 October 2026.</w:t>
            </w:r>
          </w:p>
        </w:tc>
        <w:tc>
          <w:tcPr/>
          <w:p>
            <w:pPr>
              <w:pStyle w:val="Compact"/>
              <w:jc w:val="left"/>
            </w:pPr>
            <w:r>
              <w:t xml:space="preserve">Verified fact</w:t>
            </w:r>
          </w:p>
        </w:tc>
        <w:tc>
          <w:tcPr/>
          <w:p>
            <w:pPr>
              <w:pStyle w:val="Compact"/>
              <w:jc w:val="left"/>
            </w:pPr>
            <w:r>
              <w:t xml:space="preserve">A2-S001, A2-S002</w:t>
            </w:r>
          </w:p>
        </w:tc>
      </w:tr>
      <w:tr>
        <w:tc>
          <w:tcPr/>
          <w:p>
            <w:pPr>
              <w:pStyle w:val="Compact"/>
              <w:jc w:val="left"/>
            </w:pPr>
            <w:r>
              <w:t xml:space="preserve">Licence</w:t>
            </w:r>
          </w:p>
        </w:tc>
        <w:tc>
          <w:tcPr/>
          <w:p>
            <w:pPr>
              <w:pStyle w:val="Compact"/>
              <w:jc w:val="left"/>
            </w:pPr>
            <w:r>
              <w:t xml:space="preserve">Proprietary; available only as a hosted API</w:t>
            </w:r>
          </w:p>
        </w:tc>
        <w:tc>
          <w:tcPr/>
          <w:p>
            <w:pPr>
              <w:pStyle w:val="Compact"/>
              <w:jc w:val="left"/>
            </w:pPr>
            <w:r>
              <w:t xml:space="preserve">Verified fact</w:t>
            </w:r>
          </w:p>
        </w:tc>
        <w:tc>
          <w:tcPr/>
          <w:p>
            <w:pPr>
              <w:pStyle w:val="Compact"/>
              <w:jc w:val="left"/>
            </w:pPr>
            <w:r>
              <w:t xml:space="preserve">A2-S001, A2-S003</w:t>
            </w:r>
          </w:p>
        </w:tc>
      </w:tr>
      <w:tr>
        <w:tc>
          <w:tcPr/>
          <w:p>
            <w:pPr>
              <w:pStyle w:val="Compact"/>
              <w:jc w:val="left"/>
            </w:pPr>
            <w:r>
              <w:t xml:space="preserve">Status events</w:t>
            </w:r>
          </w:p>
        </w:tc>
        <w:tc>
          <w:tcPr/>
          <w:p>
            <w:pPr>
              <w:pStyle w:val="Compact"/>
              <w:jc w:val="left"/>
            </w:pPr>
            <w:r>
              <w:t xml:space="preserve">25 January 2024: text-embedding-3-small/-large launched; ada-002 not deprecated at launch</w:t>
            </w:r>
          </w:p>
        </w:tc>
        <w:tc>
          <w:tcPr/>
          <w:p>
            <w:pPr>
              <w:pStyle w:val="Compact"/>
              <w:jc w:val="left"/>
            </w:pPr>
            <w:r>
              <w:t xml:space="preserve">Verified fact</w:t>
            </w:r>
          </w:p>
        </w:tc>
        <w:tc>
          <w:tcPr/>
          <w:p>
            <w:pPr>
              <w:pStyle w:val="Compact"/>
              <w:jc w:val="left"/>
            </w:pPr>
            <w:r>
              <w:t xml:space="preserve">A2-S002</w:t>
            </w:r>
          </w:p>
        </w:tc>
      </w:tr>
      <w:tr>
        <w:tc>
          <w:tcPr/>
          <w:p>
            <w:pPr>
              <w:pStyle w:val="Compact"/>
              <w:jc w:val="left"/>
            </w:pPr>
            <w:r>
              <w:t xml:space="preserve">Strategic direction</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What it does</w:t>
            </w:r>
          </w:p>
        </w:tc>
        <w:tc>
          <w:tcPr/>
          <w:p>
            <w:pPr>
              <w:pStyle w:val="Compact"/>
              <w:jc w:val="left"/>
            </w:pPr>
            <w:r>
              <w:t xml:space="preserve">Converts text into dense vectors for search, clustering and recommendation. Output defaults to 3,072 dimensions for 3-large and can be shortened via the</w:t>
            </w:r>
            <w:r>
              <w:t xml:space="preserve"> </w:t>
            </w:r>
            <w:r>
              <w:t xml:space="preserve">‘</w:t>
            </w:r>
            <w:r>
              <w:t xml:space="preserve">dimensions</w:t>
            </w:r>
            <w:r>
              <w:t xml:space="preserve">’</w:t>
            </w:r>
            <w:r>
              <w:t xml:space="preserve"> </w:t>
            </w:r>
            <w:r>
              <w:t xml:space="preserve">parameter; maximum input 8,192 tokens.</w:t>
            </w:r>
          </w:p>
        </w:tc>
        <w:tc>
          <w:tcPr/>
          <w:p>
            <w:pPr>
              <w:pStyle w:val="Compact"/>
              <w:jc w:val="left"/>
            </w:pPr>
            <w:r>
              <w:t xml:space="preserve">Verified fact</w:t>
            </w:r>
          </w:p>
        </w:tc>
        <w:tc>
          <w:tcPr/>
          <w:p>
            <w:pPr>
              <w:pStyle w:val="Compact"/>
              <w:jc w:val="left"/>
            </w:pPr>
            <w:r>
              <w:t xml:space="preserve">A2-S001, A2-S003</w:t>
            </w:r>
          </w:p>
        </w:tc>
      </w:tr>
      <w:tr>
        <w:tc>
          <w:tcPr/>
          <w:p>
            <w:pPr>
              <w:pStyle w:val="Compact"/>
              <w:jc w:val="left"/>
            </w:pPr>
            <w:r>
              <w:t xml:space="preserve">Stack position</w:t>
            </w:r>
          </w:p>
        </w:tc>
        <w:tc>
          <w:tcPr/>
          <w:p>
            <w:pPr>
              <w:pStyle w:val="Compact"/>
              <w:jc w:val="left"/>
            </w:pPr>
            <w:r>
              <w:t xml:space="preserve">L7 embedding model; placement in the graphic is correct. Embedding only (no first-party reranker found), so a separate reranker is needed for two-stage retrieval.</w:t>
            </w:r>
          </w:p>
        </w:tc>
        <w:tc>
          <w:tcPr/>
          <w:p>
            <w:pPr>
              <w:pStyle w:val="Compact"/>
              <w:jc w:val="left"/>
            </w:pPr>
            <w:r>
              <w:t xml:space="preserve">Architectural judgement</w:t>
            </w:r>
          </w:p>
        </w:tc>
        <w:tc>
          <w:tcPr/>
          <w:p>
            <w:pPr>
              <w:pStyle w:val="Compact"/>
            </w:pPr>
          </w:p>
        </w:tc>
      </w:tr>
      <w:tr>
        <w:tc>
          <w:tcPr/>
          <w:p>
            <w:pPr>
              <w:pStyle w:val="Compact"/>
              <w:jc w:val="left"/>
            </w:pPr>
            <w:r>
              <w:t xml:space="preserve">Integration</w:t>
            </w:r>
          </w:p>
        </w:tc>
        <w:tc>
          <w:tcPr/>
          <w:p>
            <w:pPr>
              <w:pStyle w:val="Compact"/>
              <w:jc w:val="left"/>
            </w:pPr>
            <w:r>
              <w:t xml:space="preserve">REST /v1/embeddings endpoint and OpenAI SDKs; Batch API at half the standard per-token price for 3-large</w:t>
            </w:r>
          </w:p>
        </w:tc>
        <w:tc>
          <w:tcPr/>
          <w:p>
            <w:pPr>
              <w:pStyle w:val="Compact"/>
              <w:jc w:val="left"/>
            </w:pPr>
            <w:r>
              <w:t xml:space="preserve">Verified fact</w:t>
            </w:r>
          </w:p>
        </w:tc>
        <w:tc>
          <w:tcPr/>
          <w:p>
            <w:pPr>
              <w:pStyle w:val="Compact"/>
              <w:jc w:val="left"/>
            </w:pPr>
            <w:r>
              <w:t xml:space="preserve">A2-S003, A2-S035</w:t>
            </w:r>
          </w:p>
        </w:tc>
      </w:tr>
      <w:tr>
        <w:tc>
          <w:tcPr/>
          <w:p>
            <w:pPr>
              <w:pStyle w:val="Compact"/>
              <w:jc w:val="left"/>
            </w:pPr>
            <w:r>
              <w:t xml:space="preserve">Dependencies</w:t>
            </w:r>
          </w:p>
        </w:tc>
        <w:tc>
          <w:tcPr/>
          <w:p>
            <w:pPr>
              <w:pStyle w:val="Compact"/>
              <w:jc w:val="left"/>
            </w:pPr>
            <w:r>
              <w:t xml:space="preserve">OpenAI API platform (cloud service)</w:t>
            </w:r>
          </w:p>
        </w:tc>
        <w:tc>
          <w:tcPr/>
          <w:p>
            <w:pPr>
              <w:pStyle w:val="Compact"/>
              <w:jc w:val="left"/>
            </w:pPr>
            <w:r>
              <w:t xml:space="preserve">Verified fact</w:t>
            </w:r>
          </w:p>
        </w:tc>
        <w:tc>
          <w:tcPr/>
          <w:p>
            <w:pPr>
              <w:pStyle w:val="Compact"/>
              <w:jc w:val="left"/>
            </w:pPr>
            <w:r>
              <w:t xml:space="preserve">A2-S003</w:t>
            </w:r>
          </w:p>
        </w:tc>
      </w:tr>
      <w:tr>
        <w:tc>
          <w:tcPr/>
          <w:p>
            <w:pPr>
              <w:pStyle w:val="Compact"/>
              <w:jc w:val="left"/>
            </w:pPr>
            <w:r>
              <w:t xml:space="preserve">Certifications</w:t>
            </w:r>
          </w:p>
        </w:tc>
        <w:tc>
          <w:tcPr/>
          <w:p>
            <w:pPr>
              <w:pStyle w:val="Compact"/>
              <w:jc w:val="left"/>
            </w:pPr>
            <w:r>
              <w:t xml:space="preserve">SOC 2 Type 2 (API and business products); ISO/IEC 27001:2022 and 27701:2019; CSA STAR Level 1; /v1/embeddings on HIPAA-eligible list with BAA and Modified Retention</w:t>
            </w:r>
          </w:p>
        </w:tc>
        <w:tc>
          <w:tcPr/>
          <w:p>
            <w:pPr>
              <w:pStyle w:val="Compact"/>
              <w:jc w:val="left"/>
            </w:pPr>
            <w:r>
              <w:t xml:space="preserve">Verified fact</w:t>
            </w:r>
          </w:p>
        </w:tc>
        <w:tc>
          <w:tcPr/>
          <w:p>
            <w:pPr>
              <w:pStyle w:val="Compact"/>
              <w:jc w:val="left"/>
            </w:pPr>
            <w:r>
              <w:t xml:space="preserve">A2-S036, A2-S144</w:t>
            </w:r>
          </w:p>
        </w:tc>
      </w:tr>
      <w:tr>
        <w:tc>
          <w:tcPr/>
          <w:p>
            <w:pPr>
              <w:pStyle w:val="Compact"/>
              <w:jc w:val="left"/>
            </w:pPr>
            <w:r>
              <w:t xml:space="preserve">GDPR / residency</w:t>
            </w:r>
          </w:p>
        </w:tc>
        <w:tc>
          <w:tcPr/>
          <w:p>
            <w:pPr>
              <w:pStyle w:val="Compact"/>
              <w:jc w:val="left"/>
            </w:pPr>
            <w:r>
              <w:t xml:space="preserve">/v1/embeddings: Zero Data Retention eligible (prior approval); data residency per project - US and Europe support storage and processing (Europe requires Modified Abuse Monitoring or ZDR); UK, Australia, Canada, Japan, India, Singapore, South Korea storage only; Europe projects handle requests in-region with ZDR; DPA available</w:t>
            </w:r>
          </w:p>
        </w:tc>
        <w:tc>
          <w:tcPr/>
          <w:p>
            <w:pPr>
              <w:pStyle w:val="Compact"/>
              <w:jc w:val="left"/>
            </w:pPr>
            <w:r>
              <w:t xml:space="preserve">Verified fact</w:t>
            </w:r>
          </w:p>
        </w:tc>
        <w:tc>
          <w:tcPr/>
          <w:p>
            <w:pPr>
              <w:pStyle w:val="Compact"/>
              <w:jc w:val="left"/>
            </w:pPr>
            <w:r>
              <w:t xml:space="preserve">A2-S144, A2-S037</w:t>
            </w:r>
          </w:p>
        </w:tc>
      </w:tr>
      <w:tr>
        <w:tc>
          <w:tcPr/>
          <w:p>
            <w:pPr>
              <w:pStyle w:val="Compact"/>
              <w:jc w:val="left"/>
            </w:pPr>
            <w:r>
              <w:t xml:space="preserve">Security features</w:t>
            </w:r>
          </w:p>
        </w:tc>
        <w:tc>
          <w:tcPr/>
          <w:p>
            <w:pPr>
              <w:pStyle w:val="Compact"/>
              <w:jc w:val="left"/>
            </w:pPr>
            <w:r>
              <w:t xml:space="preserve">AES-256 at rest, TLS 1.2+ in transit; customer API data not used for training by default. CMK/BYOK for the API not verified.</w:t>
            </w:r>
          </w:p>
        </w:tc>
        <w:tc>
          <w:tcPr/>
          <w:p>
            <w:pPr>
              <w:pStyle w:val="Compact"/>
              <w:jc w:val="left"/>
            </w:pPr>
            <w:r>
              <w:t xml:space="preserve">Verified fact</w:t>
            </w:r>
          </w:p>
        </w:tc>
        <w:tc>
          <w:tcPr/>
          <w:p>
            <w:pPr>
              <w:pStyle w:val="Compact"/>
              <w:jc w:val="left"/>
            </w:pPr>
            <w:r>
              <w:t xml:space="preserve">A2-S037</w:t>
            </w:r>
          </w:p>
        </w:tc>
      </w:tr>
      <w:tr>
        <w:tc>
          <w:tcPr/>
          <w:p>
            <w:pPr>
              <w:pStyle w:val="Compact"/>
              <w:jc w:val="left"/>
            </w:pPr>
            <w:r>
              <w:t xml:space="preserve">Access controls</w:t>
            </w:r>
          </w:p>
        </w:tc>
        <w:tc>
          <w:tcPr/>
          <w:p>
            <w:pPr>
              <w:pStyle w:val="Compact"/>
              <w:jc w:val="left"/>
            </w:pPr>
            <w:r>
              <w:t xml:space="preserve">SSO/MFA advertised for the API platform; SCIM, RBAC granularity and audit-log scope not verified in this run</w:t>
            </w:r>
          </w:p>
        </w:tc>
        <w:tc>
          <w:tcPr/>
          <w:p>
            <w:pPr>
              <w:pStyle w:val="Compact"/>
              <w:jc w:val="left"/>
            </w:pPr>
            <w:r>
              <w:t xml:space="preserve">Verified fact</w:t>
            </w:r>
          </w:p>
        </w:tc>
        <w:tc>
          <w:tcPr/>
          <w:p>
            <w:pPr>
              <w:pStyle w:val="Compact"/>
              <w:jc w:val="left"/>
            </w:pPr>
            <w:r>
              <w:t xml:space="preserve">A2-S036</w:t>
            </w:r>
          </w:p>
        </w:tc>
      </w:tr>
      <w:tr>
        <w:tc>
          <w:tcPr/>
          <w:p>
            <w:pPr>
              <w:pStyle w:val="Compact"/>
              <w:jc w:val="left"/>
            </w:pPr>
            <w:r>
              <w:t xml:space="preserve">Enterprise support</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Pricing</w:t>
            </w:r>
          </w:p>
        </w:tc>
        <w:tc>
          <w:tcPr/>
          <w:p>
            <w:pPr>
              <w:pStyle w:val="Compact"/>
              <w:jc w:val="left"/>
            </w:pPr>
            <w:r>
              <w:t xml:space="preserve">text-embedding-3-large US$0.13 per 1M tokens (Batch US$0.065); text-embedding-3-small US$0.02 per 1M tokens</w:t>
            </w:r>
          </w:p>
        </w:tc>
        <w:tc>
          <w:tcPr/>
          <w:p>
            <w:pPr>
              <w:pStyle w:val="Compact"/>
              <w:jc w:val="left"/>
            </w:pPr>
            <w:r>
              <w:t xml:space="preserve">Verified fact</w:t>
            </w:r>
          </w:p>
        </w:tc>
        <w:tc>
          <w:tcPr/>
          <w:p>
            <w:pPr>
              <w:pStyle w:val="Compact"/>
              <w:jc w:val="left"/>
            </w:pPr>
            <w:r>
              <w:t xml:space="preserve">A2-S001, A2-S035</w:t>
            </w:r>
          </w:p>
        </w:tc>
      </w:tr>
      <w:tr>
        <w:tc>
          <w:tcPr/>
          <w:p>
            <w:pPr>
              <w:pStyle w:val="Compact"/>
              <w:jc w:val="left"/>
            </w:pPr>
            <w:r>
              <w:t xml:space="preserve">Infrastructure cost</w:t>
            </w:r>
          </w:p>
        </w:tc>
        <w:tc>
          <w:tcPr/>
          <w:p>
            <w:pPr>
              <w:pStyle w:val="Compact"/>
              <w:jc w:val="left"/>
            </w:pPr>
            <w:r>
              <w:t xml:space="preserve">Not applicable: hosted only; cost is per token</w:t>
            </w:r>
          </w:p>
        </w:tc>
        <w:tc>
          <w:tcPr/>
          <w:p>
            <w:pPr>
              <w:pStyle w:val="Compact"/>
              <w:jc w:val="left"/>
            </w:pPr>
            <w:r>
              <w:t xml:space="preserve">Architectural judgement</w:t>
            </w:r>
          </w:p>
        </w:tc>
        <w:tc>
          <w:tcPr/>
          <w:p>
            <w:pPr>
              <w:pStyle w:val="Compact"/>
            </w:pPr>
          </w:p>
        </w:tc>
      </w:tr>
      <w:tr>
        <w:tc>
          <w:tcPr/>
          <w:p>
            <w:pPr>
              <w:pStyle w:val="Compact"/>
              <w:jc w:val="left"/>
            </w:pPr>
            <w:r>
              <w:t xml:space="preserve">Ecosystem</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Adoption signals</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Maturity</w:t>
            </w:r>
          </w:p>
        </w:tc>
        <w:tc>
          <w:tcPr/>
          <w:p>
            <w:pPr>
              <w:pStyle w:val="Compact"/>
              <w:jc w:val="left"/>
            </w:pPr>
            <w:r>
              <w:t xml:space="preserve">GA since January 2024; no successor model announced in the ~2.7 years since</w:t>
            </w:r>
          </w:p>
        </w:tc>
        <w:tc>
          <w:tcPr/>
          <w:p>
            <w:pPr>
              <w:pStyle w:val="Compact"/>
              <w:jc w:val="left"/>
            </w:pPr>
            <w:r>
              <w:t xml:space="preserve">Verified fact</w:t>
            </w:r>
          </w:p>
        </w:tc>
        <w:tc>
          <w:tcPr/>
          <w:p>
            <w:pPr>
              <w:pStyle w:val="Compact"/>
              <w:jc w:val="left"/>
            </w:pPr>
            <w:r>
              <w:t xml:space="preserve">A2-S002, A2-S001</w:t>
            </w:r>
          </w:p>
        </w:tc>
      </w:tr>
      <w:tr>
        <w:tc>
          <w:tcPr/>
          <w:p>
            <w:pPr>
              <w:pStyle w:val="Compact"/>
              <w:jc w:val="left"/>
            </w:pPr>
            <w:r>
              <w:t xml:space="preserve">Deployment</w:t>
            </w:r>
          </w:p>
        </w:tc>
        <w:tc>
          <w:tcPr/>
          <w:p>
            <w:pPr>
              <w:pStyle w:val="Compact"/>
              <w:jc w:val="left"/>
            </w:pPr>
            <w:r>
              <w:t xml:space="preserve">saas: Yes; managed_cloud: Not publicly verified; vpc_byoc: Not publicly verified; private_cloud: Not publicly verified; self_hosted: No (no downloadable weights published); on_prem: No</w:t>
            </w:r>
          </w:p>
        </w:tc>
        <w:tc>
          <w:tcPr/>
          <w:p>
            <w:pPr>
              <w:pStyle w:val="Compact"/>
            </w:pPr>
          </w:p>
        </w:tc>
        <w:tc>
          <w:tcPr/>
          <w:p>
            <w:pPr>
              <w:pStyle w:val="Compact"/>
            </w:pPr>
          </w:p>
        </w:tc>
      </w:tr>
    </w:tbl>
    <w:bookmarkEnd w:id="441"/>
    <w:bookmarkStart w:id="462" w:name="X7d2065f109ed0f33e18928f182751518306fb15"/>
    <w:p>
      <w:pPr>
        <w:pStyle w:val="Heading2"/>
      </w:pPr>
      <w:r>
        <w:t xml:space="preserve">Jina AI search foundation models (jina-embeddings-v5-text, jina-embeddings-v5-omni, jina-reranker-v3.5), part of Elastic (</w:t>
      </w:r>
      <w:r>
        <w:rPr>
          <w:rStyle w:val="VerbatimChar"/>
        </w:rPr>
        <w:t xml:space="preserve">L7-jina</w:t>
      </w:r>
      <w:r>
        <w:t xml:space="preserve">)</w:t>
      </w:r>
    </w:p>
    <w:p>
      <w:pPr>
        <w:pStyle w:val="FirstParagraph"/>
      </w:pPr>
      <w:r>
        <w:rPr>
          <w:bCs/>
          <w:b/>
        </w:rPr>
        <w:t xml:space="preserve">Tier:</w:t>
      </w:r>
      <w:r>
        <w:t xml:space="preserve"> </w:t>
      </w:r>
      <w:r>
        <w:t xml:space="preserve">Tactical ·</w:t>
      </w:r>
      <w:r>
        <w:t xml:space="preserve"> </w:t>
      </w:r>
      <w:r>
        <w:rPr>
          <w:bCs/>
          <w:b/>
        </w:rPr>
        <w:t xml:space="preserve">Flags:</w:t>
      </w:r>
      <w:r>
        <w:t xml:space="preserve"> </w:t>
      </w:r>
      <w:r>
        <w:t xml:space="preserve">Acquired ·</w:t>
      </w:r>
      <w:r>
        <w:t xml:space="preserve"> </w:t>
      </w:r>
      <w:r>
        <w:rPr>
          <w:bCs/>
          <w:b/>
        </w:rPr>
        <w:t xml:space="preserve">Original graphic label:</w:t>
      </w:r>
      <w:r>
        <w:t xml:space="preserve"> </w:t>
      </w:r>
      <w:r>
        <w:t xml:space="preserve">Jina AI – Embeddings v3</w:t>
      </w:r>
    </w:p>
    <w:p>
      <w:pPr>
        <w:pStyle w:val="BodyText"/>
      </w:pPr>
      <w:r>
        <w:rPr>
          <w:iCs/>
          <w:i/>
        </w:rPr>
        <w:t xml:space="preserve">Rationale:</w:t>
      </w:r>
      <w:r>
        <w:t xml:space="preserve"> </w:t>
      </w:r>
      <w:r>
        <w:t xml:space="preserve">Natural choice inside Elastic estates; non-commercial weights and an opaque price list make it a poor neutral default.</w:t>
      </w:r>
    </w:p>
    <w:tbl>
      <w:tblPr>
        <w:tblStyle w:val="Table"/>
        <w:tblW w:type="pct" w:w="5000"/>
        <w:tblLook w:firstRow="1" w:lastRow="0" w:firstColumn="0" w:lastColumn="0" w:noHBand="0" w:noVBand="0" w:val="0020"/>
        <w:jc w:val="start"/>
      </w:tblPr>
      <w:tblGrid>
        <w:gridCol w:w="1545"/>
        <w:gridCol w:w="579"/>
        <w:gridCol w:w="5795"/>
      </w:tblGrid>
      <w:tr>
        <w:trPr>
          <w:tblHeader w:val="true"/>
        </w:trPr>
        <w:tc>
          <w:tcPr/>
          <w:p>
            <w:pPr>
              <w:pStyle w:val="Compact"/>
              <w:jc w:val="left"/>
            </w:pPr>
            <w:r>
              <w:t xml:space="preserve">Criterion</w:t>
            </w:r>
          </w:p>
        </w:tc>
        <w:tc>
          <w:tcPr/>
          <w:p>
            <w:pPr>
              <w:pStyle w:val="Compact"/>
              <w:jc w:val="right"/>
            </w:pPr>
            <w:r>
              <w:t xml:space="preserve">Score</w:t>
            </w:r>
          </w:p>
        </w:tc>
        <w:tc>
          <w:tcPr/>
          <w:p>
            <w:pPr>
              <w:pStyle w:val="Compact"/>
              <w:jc w:val="left"/>
            </w:pPr>
            <w:r>
              <w:t xml:space="preserve">Rationale</w:t>
            </w:r>
          </w:p>
        </w:tc>
      </w:tr>
      <w:tr>
        <w:tc>
          <w:tcPr/>
          <w:p>
            <w:pPr>
              <w:pStyle w:val="Compact"/>
              <w:jc w:val="left"/>
            </w:pPr>
            <w:r>
              <w:t xml:space="preserve">Technical</w:t>
            </w:r>
          </w:p>
        </w:tc>
        <w:tc>
          <w:tcPr/>
          <w:p>
            <w:pPr>
              <w:pStyle w:val="Compact"/>
              <w:jc w:val="right"/>
            </w:pPr>
            <w:r>
              <w:t xml:space="preserve">4</w:t>
            </w:r>
          </w:p>
        </w:tc>
        <w:tc>
          <w:tcPr/>
          <w:p>
            <w:pPr>
              <w:pStyle w:val="Compact"/>
              <w:jc w:val="left"/>
            </w:pPr>
            <w:r>
              <w:t xml:space="preserve">Multilingual, multimodal, long-context embeddings and listwise and multimodal rerankers.</w:t>
            </w:r>
          </w:p>
        </w:tc>
      </w:tr>
      <w:tr>
        <w:tc>
          <w:tcPr/>
          <w:p>
            <w:pPr>
              <w:pStyle w:val="Compact"/>
              <w:jc w:val="left"/>
            </w:pPr>
            <w:r>
              <w:t xml:space="preserve">Enterprise readiness</w:t>
            </w:r>
          </w:p>
        </w:tc>
        <w:tc>
          <w:tcPr/>
          <w:p>
            <w:pPr>
              <w:pStyle w:val="Compact"/>
              <w:jc w:val="right"/>
            </w:pPr>
            <w:r>
              <w:t xml:space="preserve">3</w:t>
            </w:r>
          </w:p>
        </w:tc>
        <w:tc>
          <w:tcPr/>
          <w:p>
            <w:pPr>
              <w:pStyle w:val="Compact"/>
              <w:jc w:val="left"/>
            </w:pPr>
            <w:r>
              <w:t xml:space="preserve">Scored on the recommended Elastic Inference Service route: Elastic Cloud SAML SSO and RBAC at platform level</w:t>
            </w:r>
            <w:r>
              <w:t xml:space="preserve"> </w:t>
            </w:r>
            <w:r>
              <w:rPr>
                <w:rStyle w:val="ClaimLabel"/>
              </w:rPr>
              <w:t xml:space="preserve">VF</w:t>
            </w:r>
            <w:r>
              <w:rPr>
                <w:rStyle w:val="FootnoteReference"/>
              </w:rPr>
              <w:footnoteReference w:id="442"/>
            </w:r>
            <w:r>
              <w:t xml:space="preserve">; audit logging of EIS calls not evidenced. The standalone Jina API (API keys only) would stay capped at 2.</w:t>
            </w:r>
          </w:p>
        </w:tc>
      </w:tr>
      <w:tr>
        <w:tc>
          <w:tcPr/>
          <w:p>
            <w:pPr>
              <w:pStyle w:val="Compact"/>
              <w:jc w:val="left"/>
            </w:pPr>
            <w:r>
              <w:t xml:space="preserve">Security and compliance</w:t>
            </w:r>
          </w:p>
        </w:tc>
        <w:tc>
          <w:tcPr/>
          <w:p>
            <w:pPr>
              <w:pStyle w:val="Compact"/>
              <w:jc w:val="right"/>
            </w:pPr>
            <w:r>
              <w:t xml:space="preserve">3</w:t>
            </w:r>
          </w:p>
        </w:tc>
        <w:tc>
          <w:tcPr/>
          <w:p>
            <w:pPr>
              <w:pStyle w:val="Compact"/>
              <w:jc w:val="left"/>
            </w:pPr>
            <w:r>
              <w:t xml:space="preserve">Elastic Cloud SOC 2 Type II and ISO 27001 cover the EIS route; hosted Jina API scope unconfirmed.</w:t>
            </w:r>
          </w:p>
        </w:tc>
      </w:tr>
      <w:tr>
        <w:tc>
          <w:tcPr/>
          <w:p>
            <w:pPr>
              <w:pStyle w:val="Compact"/>
              <w:jc w:val="left"/>
            </w:pPr>
            <w:r>
              <w:t xml:space="preserve">Deployment flexibility</w:t>
            </w:r>
          </w:p>
        </w:tc>
        <w:tc>
          <w:tcPr/>
          <w:p>
            <w:pPr>
              <w:pStyle w:val="Compact"/>
              <w:jc w:val="right"/>
            </w:pPr>
            <w:r>
              <w:t xml:space="preserve">4</w:t>
            </w:r>
          </w:p>
        </w:tc>
        <w:tc>
          <w:tcPr/>
          <w:p>
            <w:pPr>
              <w:pStyle w:val="Compact"/>
              <w:jc w:val="left"/>
            </w:pPr>
            <w:r>
              <w:t xml:space="preserve">SaaS API, Elastic Inference Service, on-prem Docker with air-gap; VPC NPV.</w:t>
            </w:r>
          </w:p>
        </w:tc>
      </w:tr>
      <w:tr>
        <w:tc>
          <w:tcPr/>
          <w:p>
            <w:pPr>
              <w:pStyle w:val="Compact"/>
              <w:jc w:val="left"/>
            </w:pPr>
            <w:r>
              <w:t xml:space="preserve">Ecosystem</w:t>
            </w:r>
          </w:p>
        </w:tc>
        <w:tc>
          <w:tcPr/>
          <w:p>
            <w:pPr>
              <w:pStyle w:val="Compact"/>
              <w:jc w:val="right"/>
            </w:pPr>
            <w:r>
              <w:t xml:space="preserve">4</w:t>
            </w:r>
          </w:p>
        </w:tc>
        <w:tc>
          <w:tcPr/>
          <w:p>
            <w:pPr>
              <w:pStyle w:val="Compact"/>
              <w:jc w:val="left"/>
            </w:pPr>
            <w:r>
              <w:t xml:space="preserve">Default in Elasticsearch semantic_text; Hugging Face and vLLM recipes.</w:t>
            </w:r>
          </w:p>
        </w:tc>
      </w:tr>
      <w:tr>
        <w:tc>
          <w:tcPr/>
          <w:p>
            <w:pPr>
              <w:pStyle w:val="Compact"/>
              <w:jc w:val="left"/>
            </w:pPr>
            <w:r>
              <w:t xml:space="preserve">Reliability and maturity</w:t>
            </w:r>
          </w:p>
        </w:tc>
        <w:tc>
          <w:tcPr/>
          <w:p>
            <w:pPr>
              <w:pStyle w:val="Compact"/>
              <w:jc w:val="right"/>
            </w:pPr>
            <w:r>
              <w:t xml:space="preserve">3</w:t>
            </w:r>
          </w:p>
        </w:tc>
        <w:tc>
          <w:tcPr/>
          <w:p>
            <w:pPr>
              <w:pStyle w:val="Compact"/>
              <w:jc w:val="left"/>
            </w:pPr>
            <w:r>
              <w:t xml:space="preserve">Three releases in February-July 2026; ownership changed October 2025.</w:t>
            </w:r>
          </w:p>
        </w:tc>
      </w:tr>
      <w:tr>
        <w:tc>
          <w:tcPr/>
          <w:p>
            <w:pPr>
              <w:pStyle w:val="Compact"/>
              <w:jc w:val="left"/>
            </w:pPr>
            <w:r>
              <w:t xml:space="preserve">Cost / TCO</w:t>
            </w:r>
          </w:p>
        </w:tc>
        <w:tc>
          <w:tcPr/>
          <w:p>
            <w:pPr>
              <w:pStyle w:val="Compact"/>
              <w:jc w:val="right"/>
            </w:pPr>
            <w:r>
              <w:t xml:space="preserve">2</w:t>
            </w:r>
          </w:p>
        </w:tc>
        <w:tc>
          <w:tcPr/>
          <w:p>
            <w:pPr>
              <w:pStyle w:val="Compact"/>
              <w:jc w:val="left"/>
            </w:pPr>
            <w:r>
              <w:t xml:space="preserve">API rates not retrieved, on-prem by quote, CC-BY-NC weights: opaque for planning.</w:t>
            </w:r>
          </w:p>
        </w:tc>
      </w:tr>
      <w:tr>
        <w:tc>
          <w:tcPr/>
          <w:p>
            <w:pPr>
              <w:pStyle w:val="Compact"/>
              <w:jc w:val="left"/>
            </w:pPr>
            <w:r>
              <w:t xml:space="preserve">Lock-in / portability</w:t>
            </w:r>
          </w:p>
        </w:tc>
        <w:tc>
          <w:tcPr/>
          <w:p>
            <w:pPr>
              <w:pStyle w:val="Compact"/>
              <w:jc w:val="right"/>
            </w:pPr>
            <w:r>
              <w:t xml:space="preserve">2</w:t>
            </w:r>
          </w:p>
        </w:tc>
        <w:tc>
          <w:tcPr/>
          <w:p>
            <w:pPr>
              <w:pStyle w:val="Compact"/>
              <w:jc w:val="left"/>
            </w:pPr>
            <w:r>
              <w:t xml:space="preserve">CC-BY-NC weights route commercial use through Elastic (would be 3); reduced by 1 for the 2025 acquisition.</w:t>
            </w:r>
          </w:p>
        </w:tc>
      </w:tr>
      <w:tr>
        <w:tc>
          <w:tcPr/>
          <w:p>
            <w:pPr>
              <w:pStyle w:val="Compact"/>
              <w:jc w:val="left"/>
            </w:pPr>
            <w:r>
              <w:rPr>
                <w:bCs/>
                <w:b/>
              </w:rPr>
              <w:t xml:space="preserve">Total (generic / FS)</w:t>
            </w:r>
          </w:p>
        </w:tc>
        <w:tc>
          <w:tcPr/>
          <w:p>
            <w:pPr>
              <w:pStyle w:val="Compact"/>
              <w:jc w:val="right"/>
            </w:pPr>
            <w:r>
              <w:rPr>
                <w:bCs/>
                <w:b/>
              </w:rPr>
              <w:t xml:space="preserve">3.30 / 3.15</w:t>
            </w:r>
          </w:p>
        </w:tc>
        <w:tc>
          <w:tcPr/>
          <w:p>
            <w:pPr>
              <w:pStyle w:val="Compact"/>
            </w:pPr>
          </w:p>
        </w:tc>
      </w:tr>
    </w:tbl>
    <w:p>
      <w:pPr>
        <w:pStyle w:val="BodyText"/>
      </w:pPr>
      <w:r>
        <w:rPr>
          <w:iCs/>
          <w:i/>
        </w:rPr>
        <w:t xml:space="preserve">Evidence rules applied:</w:t>
      </w:r>
      <w:r>
        <w:t xml:space="preserve"> </w:t>
      </w:r>
      <w:r>
        <w:t xml:space="preserve">NPV cap lifted at CP2 review for the Elastic Inference Service route (B-REV-S019); the standalone Jina API remains capped at 2 (API keys only); Rule 7 (CP2 Q2) checked at CP2 rework: SSO and RBAC verified on Elastic Cloud, audit logging of EIS calls not evidenced, so 3 kept; rule 8 (CP2 Q4) confirmed for security 3 (Elastic Cloud certifications, Jina API scope unconfirmed)</w:t>
      </w:r>
    </w:p>
    <w:p>
      <w:pPr>
        <w:pStyle w:val="BodyText"/>
      </w:pPr>
      <w:r>
        <w:rPr>
          <w:bCs/>
          <w:b/>
        </w:rPr>
        <w:t xml:space="preserve">Capabilities.</w:t>
      </w:r>
      <w:r>
        <w:t xml:space="preserve"> </w:t>
      </w:r>
      <w:r>
        <w:t xml:space="preserve">Jina AI, part of Elastic since 9 October 2025</w:t>
      </w:r>
      <w:r>
        <w:t xml:space="preserve"> </w:t>
      </w:r>
      <w:r>
        <w:rPr>
          <w:rStyle w:val="ClaimLabel"/>
        </w:rPr>
        <w:t xml:space="preserve">VF</w:t>
      </w:r>
      <w:r>
        <w:rPr>
          <w:rStyle w:val="FootnoteReference"/>
        </w:rPr>
        <w:footnoteReference w:id="444"/>
      </w:r>
      <w:r>
        <w:t xml:space="preserve">: jina-embeddings-v5-text (February 2026; 32,768-token context, 1,024 dims), v5-omni (May 2026; text, image, audio, video, PDF, with text vectors identical to v5-text), jina-reranker-v3.5 (July 2026, listwise) and jina-reranker-m0 (multimodal)</w:t>
      </w:r>
      <w:r>
        <w:t xml:space="preserve"> </w:t>
      </w:r>
      <w:r>
        <w:rPr>
          <w:rStyle w:val="ClaimLabel"/>
        </w:rPr>
        <w:t xml:space="preserve">VF</w:t>
      </w:r>
      <w:r>
        <w:rPr>
          <w:rStyle w:val="FootnoteReference"/>
        </w:rPr>
        <w:footnoteReference w:id="446"/>
      </w:r>
      <w:r>
        <w:t xml:space="preserve">.</w:t>
      </w:r>
    </w:p>
    <w:p>
      <w:pPr>
        <w:pStyle w:val="BodyText"/>
      </w:pPr>
      <w:r>
        <w:rPr>
          <w:bCs/>
          <w:b/>
        </w:rPr>
        <w:t xml:space="preserve">Strengths</w:t>
      </w:r>
    </w:p>
    <w:p>
      <w:pPr>
        <w:numPr>
          <w:ilvl w:val="0"/>
          <w:numId w:val="1101"/>
        </w:numPr>
        <w:pStyle w:val="Compact"/>
      </w:pPr>
      <w:r>
        <w:t xml:space="preserve">Default embedding model behind Elasticsearch semantic_text, so it is the low-effort path for Elastic estates</w:t>
      </w:r>
      <w:r>
        <w:t xml:space="preserve"> </w:t>
      </w:r>
      <w:r>
        <w:rPr>
          <w:rStyle w:val="ClaimLabel"/>
        </w:rPr>
        <w:t xml:space="preserve">VF</w:t>
      </w:r>
      <w:r>
        <w:rPr>
          <w:rStyle w:val="FootnoteReference"/>
        </w:rPr>
        <w:footnoteReference w:id="450"/>
      </w:r>
    </w:p>
    <w:p>
      <w:pPr>
        <w:numPr>
          <w:ilvl w:val="0"/>
          <w:numId w:val="1101"/>
        </w:numPr>
        <w:pStyle w:val="Compact"/>
      </w:pPr>
      <w:r>
        <w:t xml:space="preserve">Commercial on-premises licence with Docker containers and air-gapped deployment</w:t>
      </w:r>
      <w:r>
        <w:t xml:space="preserve"> </w:t>
      </w:r>
      <w:r>
        <w:rPr>
          <w:rStyle w:val="ClaimLabel"/>
        </w:rPr>
        <w:t xml:space="preserve">VF</w:t>
      </w:r>
      <w:r>
        <w:rPr>
          <w:rStyle w:val="FootnoteReference"/>
        </w:rPr>
        <w:footnoteReference w:id="452"/>
      </w:r>
    </w:p>
    <w:p>
      <w:pPr>
        <w:numPr>
          <w:ilvl w:val="0"/>
          <w:numId w:val="1101"/>
        </w:numPr>
        <w:pStyle w:val="Compact"/>
      </w:pPr>
      <w:r>
        <w:t xml:space="preserve">v5-omni text vectors match v5-text, so adding modalities need not force text re-embedding</w:t>
      </w:r>
      <w:r>
        <w:t xml:space="preserve"> </w:t>
      </w:r>
      <w:r>
        <w:rPr>
          <w:rStyle w:val="ClaimLabel"/>
        </w:rPr>
        <w:t xml:space="preserve">VF</w:t>
      </w:r>
      <w:r>
        <w:rPr>
          <w:rStyle w:val="FootnoteReference"/>
        </w:rPr>
        <w:footnoteReference w:id="455"/>
      </w:r>
    </w:p>
    <w:p>
      <w:pPr>
        <w:pStyle w:val="FirstParagraph"/>
      </w:pPr>
      <w:r>
        <w:rPr>
          <w:bCs/>
          <w:b/>
        </w:rPr>
        <w:t xml:space="preserve">Limitations and risks</w:t>
      </w:r>
    </w:p>
    <w:p>
      <w:pPr>
        <w:numPr>
          <w:ilvl w:val="0"/>
          <w:numId w:val="1102"/>
        </w:numPr>
        <w:pStyle w:val="Compact"/>
      </w:pPr>
      <w:r>
        <w:t xml:space="preserve">Weights are CC-BY-NC-4.0: commercial self-hosting needs the Jina API, a marketplace, Elastic Inference Service or an on-prem licence</w:t>
      </w:r>
      <w:r>
        <w:t xml:space="preserve"> </w:t>
      </w:r>
      <w:r>
        <w:rPr>
          <w:rStyle w:val="ClaimLabel"/>
        </w:rPr>
        <w:t xml:space="preserve">VF</w:t>
      </w:r>
      <w:r>
        <w:rPr>
          <w:rStyle w:val="FootnoteReference"/>
        </w:rPr>
        <w:footnoteReference w:id="456"/>
      </w:r>
    </w:p>
    <w:p>
      <w:pPr>
        <w:numPr>
          <w:ilvl w:val="0"/>
          <w:numId w:val="1102"/>
        </w:numPr>
        <w:pStyle w:val="Compact"/>
      </w:pPr>
      <w:r>
        <w:t xml:space="preserve">Acquired by Elastic (October 2025); Jina’s own policies predate the acquisition</w:t>
      </w:r>
      <w:r>
        <w:t xml:space="preserve"> </w:t>
      </w:r>
      <w:r>
        <w:rPr>
          <w:rStyle w:val="ClaimLabel"/>
        </w:rPr>
        <w:t xml:space="preserve">VF</w:t>
      </w:r>
      <w:r>
        <w:rPr>
          <w:rStyle w:val="FootnoteReference"/>
        </w:rPr>
        <w:footnoteReference w:id="457"/>
      </w:r>
    </w:p>
    <w:p>
      <w:pPr>
        <w:numPr>
          <w:ilvl w:val="0"/>
          <w:numId w:val="1102"/>
        </w:numPr>
        <w:pStyle w:val="Compact"/>
      </w:pPr>
      <w:r>
        <w:t xml:space="preserve">Hosted Jina API SOC 2 scope not confirmed; Elastic Cloud holds ISO 27001/27017/27018 and SOC 2 Type II</w:t>
      </w:r>
      <w:r>
        <w:t xml:space="preserve"> </w:t>
      </w:r>
      <w:r>
        <w:rPr>
          <w:rStyle w:val="ClaimLabel"/>
        </w:rPr>
        <w:t xml:space="preserve">VF</w:t>
      </w:r>
      <w:r>
        <w:rPr>
          <w:rStyle w:val="FootnoteReference"/>
        </w:rPr>
        <w:footnoteReference w:id="458"/>
      </w:r>
    </w:p>
    <w:p>
      <w:pPr>
        <w:numPr>
          <w:ilvl w:val="0"/>
          <w:numId w:val="1102"/>
        </w:numPr>
        <w:pStyle w:val="Compact"/>
      </w:pPr>
      <w:r>
        <w:t xml:space="preserve">API per-token rates not retrieved; on-prem licence priced via sales</w:t>
      </w:r>
      <w:r>
        <w:t xml:space="preserve"> </w:t>
      </w:r>
      <w:r>
        <w:rPr>
          <w:rStyle w:val="ClaimLabel"/>
        </w:rPr>
        <w:t xml:space="preserve">VF</w:t>
      </w:r>
      <w:r>
        <w:rPr>
          <w:rStyle w:val="FootnoteReference"/>
        </w:rPr>
        <w:footnoteReference w:id="459"/>
      </w:r>
    </w:p>
    <w:p>
      <w:pPr>
        <w:numPr>
          <w:ilvl w:val="0"/>
          <w:numId w:val="1102"/>
        </w:numPr>
        <w:pStyle w:val="Compact"/>
      </w:pPr>
      <w:r>
        <w:t xml:space="preserve">Vendor-reported 63.20 nDCG@10 on BEIR is not a decision input</w:t>
      </w:r>
      <w:r>
        <w:t xml:space="preserve"> </w:t>
      </w:r>
      <w:r>
        <w:rPr>
          <w:rStyle w:val="ClaimLabel"/>
        </w:rPr>
        <w:t xml:space="preserve">R</w:t>
      </w:r>
      <w:r>
        <w:rPr>
          <w:rStyle w:val="FootnoteReference"/>
        </w:rPr>
        <w:footnoteReference w:id="460"/>
      </w:r>
    </w:p>
    <w:p>
      <w:pPr>
        <w:pStyle w:val="FirstParagraph"/>
      </w:pPr>
      <w:r>
        <w:rPr>
          <w:bCs/>
          <w:b/>
        </w:rPr>
        <w:t xml:space="preserve">Choose when</w:t>
      </w:r>
    </w:p>
    <w:p>
      <w:pPr>
        <w:numPr>
          <w:ilvl w:val="0"/>
          <w:numId w:val="1103"/>
        </w:numPr>
        <w:pStyle w:val="Compact"/>
      </w:pPr>
      <w:r>
        <w:t xml:space="preserve">Elasticsearch is the L6 store and the firm wants embedding and reranking inside the same platform</w:t>
      </w:r>
    </w:p>
    <w:p>
      <w:pPr>
        <w:numPr>
          <w:ilvl w:val="0"/>
          <w:numId w:val="1103"/>
        </w:numPr>
        <w:pStyle w:val="Compact"/>
      </w:pPr>
      <w:r>
        <w:t xml:space="preserve">Air-gapped multimodal retrieval is needed under a commercial licence</w:t>
      </w:r>
    </w:p>
    <w:p>
      <w:pPr>
        <w:pStyle w:val="FirstParagraph"/>
      </w:pPr>
      <w:r>
        <w:rPr>
          <w:bCs/>
          <w:b/>
        </w:rPr>
        <w:t xml:space="preserve">Avoid when</w:t>
      </w:r>
    </w:p>
    <w:p>
      <w:pPr>
        <w:numPr>
          <w:ilvl w:val="0"/>
          <w:numId w:val="1104"/>
        </w:numPr>
        <w:pStyle w:val="Compact"/>
      </w:pPr>
      <w:r>
        <w:t xml:space="preserve">The plan assumes free commercial self-hosting of the weights</w:t>
      </w:r>
    </w:p>
    <w:p>
      <w:pPr>
        <w:numPr>
          <w:ilvl w:val="0"/>
          <w:numId w:val="1104"/>
        </w:numPr>
        <w:pStyle w:val="Compact"/>
      </w:pPr>
      <w:r>
        <w:t xml:space="preserve">Store and embedding vendor must be independent for concentration reasons</w:t>
      </w:r>
    </w:p>
    <w:p>
      <w:pPr>
        <w:pStyle w:val="FirstParagraph"/>
      </w:pPr>
      <w:r>
        <w:rPr>
          <w:bCs/>
          <w:b/>
        </w:rPr>
        <w:t xml:space="preserve">Nearest competitors:</w:t>
      </w:r>
      <w:r>
        <w:t xml:space="preserve"> </w:t>
      </w:r>
      <w:r>
        <w:t xml:space="preserve">L7-voyage, L7-cohere, L7-qwen3-embedding, L7-sentence-transformers</w:t>
      </w:r>
    </w:p>
    <w:p>
      <w:pPr>
        <w:pStyle w:val="BodyText"/>
      </w:pPr>
      <w:r>
        <w:rPr>
          <w:bCs/>
          <w:b/>
        </w:rPr>
        <w:t xml:space="preserve">Regulated-FS note.</w:t>
      </w:r>
      <w:r>
        <w:t xml:space="preserve"> </w:t>
      </w:r>
      <w:r>
        <w:t xml:space="preserve">Data processing is now under Elastic’s terms; region details for the hosted API not verified</w:t>
      </w:r>
      <w:r>
        <w:t xml:space="preserve"> </w:t>
      </w:r>
      <w:r>
        <w:rPr>
          <w:rStyle w:val="ClaimLabel"/>
        </w:rPr>
        <w:t xml:space="preserve">VF</w:t>
      </w:r>
      <w:r>
        <w:rPr>
          <w:rStyle w:val="FootnoteReference"/>
        </w:rPr>
        <w:footnoteReference w:id="461"/>
      </w:r>
      <w:r>
        <w:t xml:space="preserve">. Confirm the licence route in writing before any self-hosted production use</w:t>
      </w:r>
      <w:r>
        <w:t xml:space="preserve"> </w:t>
      </w:r>
      <w:r>
        <w:rPr>
          <w:rStyle w:val="ClaimLabel"/>
        </w:rPr>
        <w:t xml:space="preserve">Rec</w:t>
      </w:r>
      <w:r>
        <w:t xml:space="preserve">.</w:t>
      </w:r>
    </w:p>
    <w:p>
      <w:pPr>
        <w:pStyle w:val="BodyText"/>
      </w:pPr>
      <w:r>
        <w:rPr>
          <w:bCs/>
          <w:b/>
        </w:rPr>
        <w:t xml:space="preserve">Facts (as of 2026-10-08)</w:t>
      </w:r>
    </w:p>
    <w:tbl>
      <w:tblPr>
        <w:tblStyle w:val="Table"/>
        <w:tblW w:type="pct" w:w="5000"/>
        <w:tblLook w:firstRow="1" w:lastRow="0" w:firstColumn="0" w:lastColumn="0" w:noHBand="0" w:noVBand="0" w:val="0020"/>
        <w:jc w:val="start"/>
      </w:tblPr>
      <w:tblGrid>
        <w:gridCol w:w="1485"/>
        <w:gridCol w:w="4290"/>
        <w:gridCol w:w="1320"/>
        <w:gridCol w:w="825"/>
      </w:tblGrid>
      <w:tr>
        <w:trPr>
          <w:tblHeader w:val="true"/>
        </w:trPr>
        <w:tc>
          <w:tcPr/>
          <w:p>
            <w:pPr>
              <w:pStyle w:val="Compact"/>
              <w:jc w:val="left"/>
            </w:pPr>
            <w:r>
              <w:t xml:space="preserve">Field</w:t>
            </w:r>
          </w:p>
        </w:tc>
        <w:tc>
          <w:tcPr/>
          <w:p>
            <w:pPr>
              <w:pStyle w:val="Compact"/>
              <w:jc w:val="left"/>
            </w:pPr>
            <w:r>
              <w:t xml:space="preserve">Value</w:t>
            </w:r>
          </w:p>
        </w:tc>
        <w:tc>
          <w:tcPr/>
          <w:p>
            <w:pPr>
              <w:pStyle w:val="Compact"/>
              <w:jc w:val="left"/>
            </w:pPr>
            <w:r>
              <w:t xml:space="preserve">Label</w:t>
            </w:r>
          </w:p>
        </w:tc>
        <w:tc>
          <w:tcPr/>
          <w:p>
            <w:pPr>
              <w:pStyle w:val="Compact"/>
              <w:jc w:val="left"/>
            </w:pPr>
            <w:r>
              <w:t xml:space="preserve">Sources</w:t>
            </w:r>
          </w:p>
        </w:tc>
      </w:tr>
      <w:tr>
        <w:tc>
          <w:tcPr/>
          <w:p>
            <w:pPr>
              <w:pStyle w:val="Compact"/>
              <w:jc w:val="left"/>
            </w:pPr>
            <w:r>
              <w:t xml:space="preserve">Company</w:t>
            </w:r>
          </w:p>
        </w:tc>
        <w:tc>
          <w:tcPr/>
          <w:p>
            <w:pPr>
              <w:pStyle w:val="Compact"/>
              <w:jc w:val="left"/>
            </w:pPr>
            <w:r>
              <w:t xml:space="preserve">Jina AI GmbH, acquired by Elastic N.V. (completed October 2025)</w:t>
            </w:r>
          </w:p>
        </w:tc>
        <w:tc>
          <w:tcPr/>
          <w:p>
            <w:pPr>
              <w:pStyle w:val="Compact"/>
              <w:jc w:val="left"/>
            </w:pPr>
            <w:r>
              <w:t xml:space="preserve">Verified fact</w:t>
            </w:r>
          </w:p>
        </w:tc>
        <w:tc>
          <w:tcPr/>
          <w:p>
            <w:pPr>
              <w:pStyle w:val="Compact"/>
              <w:jc w:val="left"/>
            </w:pPr>
            <w:r>
              <w:t xml:space="preserve">A2-S023, A2-S024</w:t>
            </w:r>
          </w:p>
        </w:tc>
      </w:tr>
      <w:tr>
        <w:tc>
          <w:tcPr/>
          <w:p>
            <w:pPr>
              <w:pStyle w:val="Compact"/>
              <w:jc w:val="left"/>
            </w:pPr>
            <w:r>
              <w:t xml:space="preserve">Category</w:t>
            </w:r>
          </w:p>
        </w:tc>
        <w:tc>
          <w:tcPr/>
          <w:p>
            <w:pPr>
              <w:pStyle w:val="Compact"/>
              <w:jc w:val="left"/>
            </w:pPr>
            <w:r>
              <w:t xml:space="preserve">Embedding and reranking models (hosted API, Elastic Inference Service, on-prem licence, open weights for non-commercial use)</w:t>
            </w:r>
          </w:p>
        </w:tc>
        <w:tc>
          <w:tcPr/>
          <w:p>
            <w:pPr>
              <w:pStyle w:val="Compact"/>
              <w:jc w:val="left"/>
            </w:pPr>
            <w:r>
              <w:t xml:space="preserve">Verified fact</w:t>
            </w:r>
          </w:p>
        </w:tc>
        <w:tc>
          <w:tcPr/>
          <w:p>
            <w:pPr>
              <w:pStyle w:val="Compact"/>
              <w:jc w:val="left"/>
            </w:pPr>
            <w:r>
              <w:t xml:space="preserve">A2-S042, A2-S024</w:t>
            </w:r>
          </w:p>
        </w:tc>
      </w:tr>
      <w:tr>
        <w:tc>
          <w:tcPr/>
          <w:p>
            <w:pPr>
              <w:pStyle w:val="Compact"/>
              <w:jc w:val="left"/>
            </w:pPr>
            <w:r>
              <w:t xml:space="preserve">Version / lineup</w:t>
            </w:r>
          </w:p>
        </w:tc>
        <w:tc>
          <w:tcPr/>
          <w:p>
            <w:pPr>
              <w:pStyle w:val="Compact"/>
              <w:jc w:val="left"/>
            </w:pPr>
            <w:r>
              <w:t xml:space="preserve">jina-embeddings-v5-text small (677M params, 32,768-token context, 1,024 dims) and nano (239M) - February 2026; jina-embeddings-v5-omni small and nano - May 2026 (default API embedding model); jina-reranker-v3.5 (0.6B listwise) - July 2026; jina-reranker-m0 (multimodal) also listed</w:t>
            </w:r>
          </w:p>
        </w:tc>
        <w:tc>
          <w:tcPr/>
          <w:p>
            <w:pPr>
              <w:pStyle w:val="Compact"/>
              <w:jc w:val="left"/>
            </w:pPr>
            <w:r>
              <w:t xml:space="preserve">Verified fact</w:t>
            </w:r>
          </w:p>
        </w:tc>
        <w:tc>
          <w:tcPr/>
          <w:p>
            <w:pPr>
              <w:pStyle w:val="Compact"/>
              <w:jc w:val="left"/>
            </w:pPr>
            <w:r>
              <w:t xml:space="preserve">A2-S025, A2-S026, V1-S026</w:t>
            </w:r>
          </w:p>
        </w:tc>
      </w:tr>
      <w:tr>
        <w:tc>
          <w:tcPr/>
          <w:p>
            <w:pPr>
              <w:pStyle w:val="Compact"/>
              <w:jc w:val="left"/>
            </w:pPr>
            <w:r>
              <w:t xml:space="preserve">Licence</w:t>
            </w:r>
          </w:p>
        </w:tc>
        <w:tc>
          <w:tcPr/>
          <w:p>
            <w:pPr>
              <w:pStyle w:val="Compact"/>
              <w:jc w:val="left"/>
            </w:pPr>
            <w:r>
              <w:t xml:space="preserve">Model weights CC-BY-NC-4.0 (commercial use via Jina API, cloud marketplaces, Elastic Inference Service or on-prem licence); jina-embeddings-v4 under Qwen Research Licence (no commercial use)</w:t>
            </w:r>
          </w:p>
        </w:tc>
        <w:tc>
          <w:tcPr/>
          <w:p>
            <w:pPr>
              <w:pStyle w:val="Compact"/>
              <w:jc w:val="left"/>
            </w:pPr>
            <w:r>
              <w:t xml:space="preserve">Verified fact</w:t>
            </w:r>
          </w:p>
        </w:tc>
        <w:tc>
          <w:tcPr/>
          <w:p>
            <w:pPr>
              <w:pStyle w:val="Compact"/>
              <w:jc w:val="left"/>
            </w:pPr>
            <w:r>
              <w:t xml:space="preserve">A2-S024, A2-S042, V1-S026</w:t>
            </w:r>
          </w:p>
        </w:tc>
      </w:tr>
      <w:tr>
        <w:tc>
          <w:tcPr/>
          <w:p>
            <w:pPr>
              <w:pStyle w:val="Compact"/>
              <w:jc w:val="left"/>
            </w:pPr>
            <w:r>
              <w:t xml:space="preserve">Status events</w:t>
            </w:r>
          </w:p>
        </w:tc>
        <w:tc>
          <w:tcPr/>
          <w:p>
            <w:pPr>
              <w:pStyle w:val="Compact"/>
              <w:jc w:val="left"/>
            </w:pPr>
            <w:r>
              <w:t xml:space="preserve">9 October 2025: Elastic completes acquisition of Jina AI (IR release); February 2026: jina-embeddings-v5-text; May 2026: jina-embeddings-v5-omni; June 2026: v5-omni small/nano available on Elastic Inference Service; July 2026: jina-reranker-v3.5</w:t>
            </w:r>
          </w:p>
        </w:tc>
        <w:tc>
          <w:tcPr/>
          <w:p>
            <w:pPr>
              <w:pStyle w:val="Compact"/>
              <w:jc w:val="left"/>
            </w:pPr>
            <w:r>
              <w:t xml:space="preserve">Verified fact</w:t>
            </w:r>
          </w:p>
        </w:tc>
        <w:tc>
          <w:tcPr/>
          <w:p>
            <w:pPr>
              <w:pStyle w:val="Compact"/>
              <w:jc w:val="left"/>
            </w:pPr>
            <w:r>
              <w:t xml:space="preserve">A2-S023, A2-S025, A2-S027, A2-S026, V1-S025</w:t>
            </w:r>
          </w:p>
        </w:tc>
      </w:tr>
      <w:tr>
        <w:tc>
          <w:tcPr/>
          <w:p>
            <w:pPr>
              <w:pStyle w:val="Compact"/>
              <w:jc w:val="left"/>
            </w:pPr>
            <w:r>
              <w:t xml:space="preserve">Strategic direction</w:t>
            </w:r>
          </w:p>
        </w:tc>
        <w:tc>
          <w:tcPr/>
          <w:p>
            <w:pPr>
              <w:pStyle w:val="Compact"/>
              <w:jc w:val="left"/>
            </w:pPr>
            <w:r>
              <w:t xml:space="preserve">Being integrated into Elastic: Jina models served on Elastic Inference Service alongside ELSER; rerankers for visual and long-context multilingual documents</w:t>
            </w:r>
          </w:p>
        </w:tc>
        <w:tc>
          <w:tcPr/>
          <w:p>
            <w:pPr>
              <w:pStyle w:val="Compact"/>
              <w:jc w:val="left"/>
            </w:pPr>
            <w:r>
              <w:t xml:space="preserve">Verified fact</w:t>
            </w:r>
          </w:p>
        </w:tc>
        <w:tc>
          <w:tcPr/>
          <w:p>
            <w:pPr>
              <w:pStyle w:val="Compact"/>
              <w:jc w:val="left"/>
            </w:pPr>
            <w:r>
              <w:t xml:space="preserve">A2-S023, A2-S027, A2-S042</w:t>
            </w:r>
          </w:p>
        </w:tc>
      </w:tr>
      <w:tr>
        <w:tc>
          <w:tcPr/>
          <w:p>
            <w:pPr>
              <w:pStyle w:val="Compact"/>
              <w:jc w:val="left"/>
            </w:pPr>
            <w:r>
              <w:t xml:space="preserve">What it does</w:t>
            </w:r>
          </w:p>
        </w:tc>
        <w:tc>
          <w:tcPr/>
          <w:p>
            <w:pPr>
              <w:pStyle w:val="Compact"/>
              <w:jc w:val="left"/>
            </w:pPr>
            <w:r>
              <w:t xml:space="preserve">Multilingual and multimodal embedding models (text, image, audio, video, PDF in one space) and listwise rerankers; v3.5 reranker reports 63.20 nDCG@10 on BEIR and up to 1.56x faster than v3 on long documents (vendor-reported).</w:t>
            </w:r>
          </w:p>
        </w:tc>
        <w:tc>
          <w:tcPr/>
          <w:p>
            <w:pPr>
              <w:pStyle w:val="Compact"/>
              <w:jc w:val="left"/>
            </w:pPr>
            <w:r>
              <w:t xml:space="preserve">Verified fact</w:t>
            </w:r>
          </w:p>
        </w:tc>
        <w:tc>
          <w:tcPr/>
          <w:p>
            <w:pPr>
              <w:pStyle w:val="Compact"/>
              <w:jc w:val="left"/>
            </w:pPr>
            <w:r>
              <w:t xml:space="preserve">A2-S025, A2-S026</w:t>
            </w:r>
          </w:p>
        </w:tc>
      </w:tr>
      <w:tr>
        <w:tc>
          <w:tcPr/>
          <w:p>
            <w:pPr>
              <w:pStyle w:val="Compact"/>
              <w:jc w:val="left"/>
            </w:pPr>
            <w:r>
              <w:t xml:space="preserve">Stack position</w:t>
            </w:r>
          </w:p>
        </w:tc>
        <w:tc>
          <w:tcPr/>
          <w:p>
            <w:pPr>
              <w:pStyle w:val="Compact"/>
              <w:jc w:val="left"/>
            </w:pPr>
            <w:r>
              <w:t xml:space="preserve">L7 embed + rerank; now also a native component of Elasticsearch (L6) via Elastic Inference Service.</w:t>
            </w:r>
          </w:p>
        </w:tc>
        <w:tc>
          <w:tcPr/>
          <w:p>
            <w:pPr>
              <w:pStyle w:val="Compact"/>
              <w:jc w:val="left"/>
            </w:pPr>
            <w:r>
              <w:t xml:space="preserve">Architectural judgement</w:t>
            </w:r>
          </w:p>
        </w:tc>
        <w:tc>
          <w:tcPr/>
          <w:p>
            <w:pPr>
              <w:pStyle w:val="Compact"/>
            </w:pPr>
          </w:p>
        </w:tc>
      </w:tr>
      <w:tr>
        <w:tc>
          <w:tcPr/>
          <w:p>
            <w:pPr>
              <w:pStyle w:val="Compact"/>
              <w:jc w:val="left"/>
            </w:pPr>
            <w:r>
              <w:t xml:space="preserve">Integration</w:t>
            </w:r>
          </w:p>
        </w:tc>
        <w:tc>
          <w:tcPr/>
          <w:p>
            <w:pPr>
              <w:pStyle w:val="Compact"/>
              <w:jc w:val="left"/>
            </w:pPr>
            <w:r>
              <w:t xml:space="preserve">Jina Embedding and Reranker APIs (token-billed); Elasticsearch open inference API / EIS; Hugging Face weights; vLLM recipes</w:t>
            </w:r>
          </w:p>
        </w:tc>
        <w:tc>
          <w:tcPr/>
          <w:p>
            <w:pPr>
              <w:pStyle w:val="Compact"/>
              <w:jc w:val="left"/>
            </w:pPr>
            <w:r>
              <w:t xml:space="preserve">Verified fact</w:t>
            </w:r>
          </w:p>
        </w:tc>
        <w:tc>
          <w:tcPr/>
          <w:p>
            <w:pPr>
              <w:pStyle w:val="Compact"/>
              <w:jc w:val="left"/>
            </w:pPr>
            <w:r>
              <w:t xml:space="preserve">A2-S042, A2-S025</w:t>
            </w:r>
          </w:p>
        </w:tc>
      </w:tr>
      <w:tr>
        <w:tc>
          <w:tcPr/>
          <w:p>
            <w:pPr>
              <w:pStyle w:val="Compact"/>
              <w:jc w:val="left"/>
            </w:pPr>
            <w:r>
              <w:t xml:space="preserve">Dependencies</w:t>
            </w:r>
          </w:p>
        </w:tc>
        <w:tc>
          <w:tcPr/>
          <w:p>
            <w:pPr>
              <w:pStyle w:val="Compact"/>
              <w:jc w:val="left"/>
            </w:pPr>
            <w:r>
              <w:t xml:space="preserve">Jina hosted API; or Elastic Cloud (EIS); or Docker containers on customer infrastructure (on-prem licence)</w:t>
            </w:r>
          </w:p>
        </w:tc>
        <w:tc>
          <w:tcPr/>
          <w:p>
            <w:pPr>
              <w:pStyle w:val="Compact"/>
              <w:jc w:val="left"/>
            </w:pPr>
            <w:r>
              <w:t xml:space="preserve">Verified fact</w:t>
            </w:r>
          </w:p>
        </w:tc>
        <w:tc>
          <w:tcPr/>
          <w:p>
            <w:pPr>
              <w:pStyle w:val="Compact"/>
              <w:jc w:val="left"/>
            </w:pPr>
            <w:r>
              <w:t xml:space="preserve">A2-S042, A2-S045</w:t>
            </w:r>
          </w:p>
        </w:tc>
      </w:tr>
      <w:tr>
        <w:tc>
          <w:tcPr/>
          <w:p>
            <w:pPr>
              <w:pStyle w:val="Compact"/>
              <w:jc w:val="left"/>
            </w:pPr>
            <w:r>
              <w:t xml:space="preserve">Certifications</w:t>
            </w:r>
          </w:p>
        </w:tc>
        <w:tc>
          <w:tcPr/>
          <w:p>
            <w:pPr>
              <w:pStyle w:val="Compact"/>
              <w:jc w:val="left"/>
            </w:pPr>
            <w:r>
              <w:t xml:space="preserve">Elastic Cloud: ISO 27001, ISO 27017, ISO 27018, SOC 2 Type II; coverage of the hosted Jina API not confirmed</w:t>
            </w:r>
          </w:p>
        </w:tc>
        <w:tc>
          <w:tcPr/>
          <w:p>
            <w:pPr>
              <w:pStyle w:val="Compact"/>
              <w:jc w:val="left"/>
            </w:pPr>
            <w:r>
              <w:t xml:space="preserve">Verified fact</w:t>
            </w:r>
          </w:p>
        </w:tc>
        <w:tc>
          <w:tcPr/>
          <w:p>
            <w:pPr>
              <w:pStyle w:val="Compact"/>
              <w:jc w:val="left"/>
            </w:pPr>
            <w:r>
              <w:t xml:space="preserve">A2-S045</w:t>
            </w:r>
          </w:p>
        </w:tc>
      </w:tr>
      <w:tr>
        <w:tc>
          <w:tcPr/>
          <w:p>
            <w:pPr>
              <w:pStyle w:val="Compact"/>
              <w:jc w:val="left"/>
            </w:pPr>
            <w:r>
              <w:t xml:space="preserve">GDPR / residency</w:t>
            </w:r>
          </w:p>
        </w:tc>
        <w:tc>
          <w:tcPr/>
          <w:p>
            <w:pPr>
              <w:pStyle w:val="Compact"/>
              <w:jc w:val="left"/>
            </w:pPr>
            <w:r>
              <w:t xml:space="preserve">Jina data processing now governed by Elastic’s data processing terms; region details not verified</w:t>
            </w:r>
          </w:p>
        </w:tc>
        <w:tc>
          <w:tcPr/>
          <w:p>
            <w:pPr>
              <w:pStyle w:val="Compact"/>
              <w:jc w:val="left"/>
            </w:pPr>
            <w:r>
              <w:t xml:space="preserve">Verified fact</w:t>
            </w:r>
          </w:p>
        </w:tc>
        <w:tc>
          <w:tcPr/>
          <w:p>
            <w:pPr>
              <w:pStyle w:val="Compact"/>
              <w:jc w:val="left"/>
            </w:pPr>
            <w:r>
              <w:t xml:space="preserve">A2-S024</w:t>
            </w:r>
          </w:p>
        </w:tc>
      </w:tr>
      <w:tr>
        <w:tc>
          <w:tcPr/>
          <w:p>
            <w:pPr>
              <w:pStyle w:val="Compact"/>
              <w:jc w:val="left"/>
            </w:pPr>
            <w:r>
              <w:t xml:space="preserve">Security features</w:t>
            </w:r>
          </w:p>
        </w:tc>
        <w:tc>
          <w:tcPr/>
          <w:p>
            <w:pPr>
              <w:pStyle w:val="Compact"/>
              <w:jc w:val="left"/>
            </w:pPr>
            <w:r>
              <w:t xml:space="preserve">Customer data encrypted in transit and at rest with per-customer keys; request data not used for training (Jina legal page)</w:t>
            </w:r>
          </w:p>
        </w:tc>
        <w:tc>
          <w:tcPr/>
          <w:p>
            <w:pPr>
              <w:pStyle w:val="Compact"/>
              <w:jc w:val="left"/>
            </w:pPr>
            <w:r>
              <w:t xml:space="preserve">Verified fact</w:t>
            </w:r>
          </w:p>
        </w:tc>
        <w:tc>
          <w:tcPr/>
          <w:p>
            <w:pPr>
              <w:pStyle w:val="Compact"/>
              <w:jc w:val="left"/>
            </w:pPr>
            <w:r>
              <w:t xml:space="preserve">A2-S045</w:t>
            </w:r>
          </w:p>
        </w:tc>
      </w:tr>
      <w:tr>
        <w:tc>
          <w:tcPr/>
          <w:p>
            <w:pPr>
              <w:pStyle w:val="Compact"/>
              <w:jc w:val="left"/>
            </w:pPr>
            <w:r>
              <w:t xml:space="preserve">Access controls</w:t>
            </w:r>
          </w:p>
        </w:tc>
        <w:tc>
          <w:tcPr/>
          <w:p>
            <w:pPr>
              <w:pStyle w:val="Compact"/>
              <w:jc w:val="left"/>
            </w:pPr>
            <w:r>
              <w:t xml:space="preserve">API-key access managed by customer; other controls not verified</w:t>
            </w:r>
          </w:p>
        </w:tc>
        <w:tc>
          <w:tcPr/>
          <w:p>
            <w:pPr>
              <w:pStyle w:val="Compact"/>
              <w:jc w:val="left"/>
            </w:pPr>
            <w:r>
              <w:t xml:space="preserve">Verified fact</w:t>
            </w:r>
          </w:p>
        </w:tc>
        <w:tc>
          <w:tcPr/>
          <w:p>
            <w:pPr>
              <w:pStyle w:val="Compact"/>
              <w:jc w:val="left"/>
            </w:pPr>
            <w:r>
              <w:t xml:space="preserve">A2-S045</w:t>
            </w:r>
          </w:p>
        </w:tc>
      </w:tr>
      <w:tr>
        <w:tc>
          <w:tcPr/>
          <w:p>
            <w:pPr>
              <w:pStyle w:val="Compact"/>
              <w:jc w:val="left"/>
            </w:pPr>
            <w:r>
              <w:t xml:space="preserve">Enterprise support</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Pricing</w:t>
            </w:r>
          </w:p>
        </w:tc>
        <w:tc>
          <w:tcPr/>
          <w:p>
            <w:pPr>
              <w:pStyle w:val="Compact"/>
              <w:jc w:val="left"/>
            </w:pPr>
            <w:r>
              <w:t xml:space="preserve">Jina API billed per token processed (rates not retrieved); EIS billed per million input tokens on Elastic Cloud; on-prem annual licence via Elastic Sales. Rate limits: Free 100 RPM/100K TPM, Paid 500 RPM/2M TPM, Premium 5,000 RPM/50M TPM.</w:t>
            </w:r>
          </w:p>
        </w:tc>
        <w:tc>
          <w:tcPr/>
          <w:p>
            <w:pPr>
              <w:pStyle w:val="Compact"/>
              <w:jc w:val="left"/>
            </w:pPr>
            <w:r>
              <w:t xml:space="preserve">Verified fact</w:t>
            </w:r>
          </w:p>
        </w:tc>
        <w:tc>
          <w:tcPr/>
          <w:p>
            <w:pPr>
              <w:pStyle w:val="Compact"/>
              <w:jc w:val="left"/>
            </w:pPr>
            <w:r>
              <w:t xml:space="preserve">A2-S042</w:t>
            </w:r>
          </w:p>
        </w:tc>
      </w:tr>
      <w:tr>
        <w:tc>
          <w:tcPr/>
          <w:p>
            <w:pPr>
              <w:pStyle w:val="Compact"/>
              <w:jc w:val="left"/>
            </w:pPr>
            <w:r>
              <w:t xml:space="preserve">Infrastructure cost</w:t>
            </w:r>
          </w:p>
        </w:tc>
        <w:tc>
          <w:tcPr/>
          <w:p>
            <w:pPr>
              <w:pStyle w:val="Compact"/>
              <w:jc w:val="left"/>
            </w:pPr>
            <w:r>
              <w:t xml:space="preserve">On-prem licence priced by models deployed and inference hardware, not per token</w:t>
            </w:r>
          </w:p>
        </w:tc>
        <w:tc>
          <w:tcPr/>
          <w:p>
            <w:pPr>
              <w:pStyle w:val="Compact"/>
              <w:jc w:val="left"/>
            </w:pPr>
            <w:r>
              <w:t xml:space="preserve">Verified fact</w:t>
            </w:r>
          </w:p>
        </w:tc>
        <w:tc>
          <w:tcPr/>
          <w:p>
            <w:pPr>
              <w:pStyle w:val="Compact"/>
              <w:jc w:val="left"/>
            </w:pPr>
            <w:r>
              <w:t xml:space="preserve">A2-S042</w:t>
            </w:r>
          </w:p>
        </w:tc>
      </w:tr>
      <w:tr>
        <w:tc>
          <w:tcPr/>
          <w:p>
            <w:pPr>
              <w:pStyle w:val="Compact"/>
              <w:jc w:val="left"/>
            </w:pPr>
            <w:r>
              <w:t xml:space="preserve">Ecosystem</w:t>
            </w:r>
          </w:p>
        </w:tc>
        <w:tc>
          <w:tcPr/>
          <w:p>
            <w:pPr>
              <w:pStyle w:val="Compact"/>
              <w:jc w:val="left"/>
            </w:pPr>
            <w:r>
              <w:t xml:space="preserve">Elasticsearch integration via open inference API and EIS; Hugging Face; vLLM</w:t>
            </w:r>
          </w:p>
        </w:tc>
        <w:tc>
          <w:tcPr/>
          <w:p>
            <w:pPr>
              <w:pStyle w:val="Compact"/>
              <w:jc w:val="left"/>
            </w:pPr>
            <w:r>
              <w:t xml:space="preserve">Verified fact</w:t>
            </w:r>
          </w:p>
        </w:tc>
        <w:tc>
          <w:tcPr/>
          <w:p>
            <w:pPr>
              <w:pStyle w:val="Compact"/>
              <w:jc w:val="left"/>
            </w:pPr>
            <w:r>
              <w:t xml:space="preserve">A2-S042, A2-S025</w:t>
            </w:r>
          </w:p>
        </w:tc>
      </w:tr>
      <w:tr>
        <w:tc>
          <w:tcPr/>
          <w:p>
            <w:pPr>
              <w:pStyle w:val="Compact"/>
              <w:jc w:val="left"/>
            </w:pPr>
            <w:r>
              <w:t xml:space="preserve">Adoption signals</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Maturity</w:t>
            </w:r>
          </w:p>
        </w:tc>
        <w:tc>
          <w:tcPr/>
          <w:p>
            <w:pPr>
              <w:pStyle w:val="Compact"/>
              <w:jc w:val="left"/>
            </w:pPr>
            <w:r>
              <w:t xml:space="preserve">Rapid cadence: three model releases in Feb-Jul 2026 after acquisition</w:t>
            </w:r>
          </w:p>
        </w:tc>
        <w:tc>
          <w:tcPr/>
          <w:p>
            <w:pPr>
              <w:pStyle w:val="Compact"/>
              <w:jc w:val="left"/>
            </w:pPr>
            <w:r>
              <w:t xml:space="preserve">Verified fact</w:t>
            </w:r>
          </w:p>
        </w:tc>
        <w:tc>
          <w:tcPr/>
          <w:p>
            <w:pPr>
              <w:pStyle w:val="Compact"/>
              <w:jc w:val="left"/>
            </w:pPr>
            <w:r>
              <w:t xml:space="preserve">A2-S025, A2-S026</w:t>
            </w:r>
          </w:p>
        </w:tc>
      </w:tr>
      <w:tr>
        <w:tc>
          <w:tcPr/>
          <w:p>
            <w:pPr>
              <w:pStyle w:val="Compact"/>
              <w:jc w:val="left"/>
            </w:pPr>
            <w:r>
              <w:t xml:space="preserve">Deployment</w:t>
            </w:r>
          </w:p>
        </w:tc>
        <w:tc>
          <w:tcPr/>
          <w:p>
            <w:pPr>
              <w:pStyle w:val="Compact"/>
              <w:jc w:val="left"/>
            </w:pPr>
            <w:r>
              <w:t xml:space="preserve">saas: Yes (Jina API); managed_cloud: Yes (Elastic Inference Service on Elastic Cloud; cloud marketplaces); vpc_byoc: Not publicly verified; private_cloud: Not publicly verified; self_hosted: Yes (commercial on-prem licence; Docker containers, air-gapped supported); on_prem: Yes</w:t>
            </w:r>
          </w:p>
        </w:tc>
        <w:tc>
          <w:tcPr/>
          <w:p>
            <w:pPr>
              <w:pStyle w:val="Compact"/>
            </w:pPr>
          </w:p>
        </w:tc>
        <w:tc>
          <w:tcPr/>
          <w:p>
            <w:pPr>
              <w:pStyle w:val="Compact"/>
            </w:pPr>
          </w:p>
        </w:tc>
      </w:tr>
    </w:tbl>
    <w:bookmarkEnd w:id="462"/>
    <w:bookmarkStart w:id="475" w:name="X806e82b11a90685f60e4b5a229cc3b95fb8436d"/>
    <w:p>
      <w:pPr>
        <w:pStyle w:val="Heading2"/>
      </w:pPr>
      <w:r>
        <w:t xml:space="preserve">Qwen3-Embedding and Qwen3-Reranker (open weights); Qwen3-VL-Embedding / Qwen3-VL-Reranker (multimodal); hosted as text-embedding-v4 and qwen3-rerank on Alibaba Cloud Model Studio (</w:t>
      </w:r>
      <w:r>
        <w:rPr>
          <w:rStyle w:val="VerbatimChar"/>
        </w:rPr>
        <w:t xml:space="preserve">L7-qwen3-embedding</w:t>
      </w:r>
      <w:r>
        <w:t xml:space="preserve">)</w:t>
      </w:r>
    </w:p>
    <w:p>
      <w:pPr>
        <w:pStyle w:val="FirstParagraph"/>
      </w:pPr>
      <w:r>
        <w:rPr>
          <w:bCs/>
          <w:b/>
        </w:rPr>
        <w:t xml:space="preserve">Tier:</w:t>
      </w:r>
      <w:r>
        <w:t xml:space="preserve"> </w:t>
      </w:r>
      <w:r>
        <w:t xml:space="preserve">Tactical ·</w:t>
      </w:r>
      <w:r>
        <w:t xml:space="preserve"> </w:t>
      </w:r>
      <w:r>
        <w:rPr>
          <w:bCs/>
          <w:b/>
        </w:rPr>
        <w:t xml:space="preserve">Flags:</w:t>
      </w:r>
      <w:r>
        <w:t xml:space="preserve"> </w:t>
      </w:r>
      <w:r>
        <w:t xml:space="preserve">none ·</w:t>
      </w:r>
      <w:r>
        <w:t xml:space="preserve"> </w:t>
      </w:r>
      <w:r>
        <w:rPr>
          <w:bCs/>
          <w:b/>
        </w:rPr>
        <w:t xml:space="preserve">Original graphic label:</w:t>
      </w:r>
      <w:r>
        <w:t xml:space="preserve"> </w:t>
      </w:r>
      <w:r>
        <w:t xml:space="preserve">Qwen3 – Embeddings</w:t>
      </w:r>
    </w:p>
    <w:p>
      <w:pPr>
        <w:pStyle w:val="BodyText"/>
      </w:pPr>
      <w:r>
        <w:rPr>
          <w:iCs/>
          <w:i/>
        </w:rPr>
        <w:t xml:space="preserve">Rationale:</w:t>
      </w:r>
      <w:r>
        <w:t xml:space="preserve"> </w:t>
      </w:r>
      <w:r>
        <w:t xml:space="preserve">Capable Apache 2.0 embed-plus-rerank pair for self-hosting; usable only after provenance review and with in-house operations.</w:t>
      </w:r>
    </w:p>
    <w:tbl>
      <w:tblPr>
        <w:tblStyle w:val="Table"/>
        <w:tblW w:type="pct" w:w="5000"/>
        <w:tblLook w:firstRow="1" w:lastRow="0" w:firstColumn="0" w:lastColumn="0" w:noHBand="0" w:noVBand="0" w:val="0020"/>
        <w:jc w:val="start"/>
      </w:tblPr>
      <w:tblGrid>
        <w:gridCol w:w="1545"/>
        <w:gridCol w:w="579"/>
        <w:gridCol w:w="5795"/>
      </w:tblGrid>
      <w:tr>
        <w:trPr>
          <w:tblHeader w:val="true"/>
        </w:trPr>
        <w:tc>
          <w:tcPr/>
          <w:p>
            <w:pPr>
              <w:pStyle w:val="Compact"/>
              <w:jc w:val="left"/>
            </w:pPr>
            <w:r>
              <w:t xml:space="preserve">Criterion</w:t>
            </w:r>
          </w:p>
        </w:tc>
        <w:tc>
          <w:tcPr/>
          <w:p>
            <w:pPr>
              <w:pStyle w:val="Compact"/>
              <w:jc w:val="right"/>
            </w:pPr>
            <w:r>
              <w:t xml:space="preserve">Score</w:t>
            </w:r>
          </w:p>
        </w:tc>
        <w:tc>
          <w:tcPr/>
          <w:p>
            <w:pPr>
              <w:pStyle w:val="Compact"/>
              <w:jc w:val="left"/>
            </w:pPr>
            <w:r>
              <w:t xml:space="preserve">Rationale</w:t>
            </w:r>
          </w:p>
        </w:tc>
      </w:tr>
      <w:tr>
        <w:tc>
          <w:tcPr/>
          <w:p>
            <w:pPr>
              <w:pStyle w:val="Compact"/>
              <w:jc w:val="left"/>
            </w:pPr>
            <w:r>
              <w:t xml:space="preserve">Technical</w:t>
            </w:r>
          </w:p>
        </w:tc>
        <w:tc>
          <w:tcPr/>
          <w:p>
            <w:pPr>
              <w:pStyle w:val="Compact"/>
              <w:jc w:val="right"/>
            </w:pPr>
            <w:r>
              <w:t xml:space="preserve">4</w:t>
            </w:r>
          </w:p>
        </w:tc>
        <w:tc>
          <w:tcPr/>
          <w:p>
            <w:pPr>
              <w:pStyle w:val="Compact"/>
              <w:jc w:val="left"/>
            </w:pPr>
            <w:r>
              <w:t xml:space="preserve">Embed and rerank in three sizes, 32K context, 119 languages, multimodal VL variants.</w:t>
            </w:r>
          </w:p>
        </w:tc>
      </w:tr>
      <w:tr>
        <w:tc>
          <w:tcPr/>
          <w:p>
            <w:pPr>
              <w:pStyle w:val="Compact"/>
              <w:jc w:val="left"/>
            </w:pPr>
            <w:r>
              <w:t xml:space="preserve">Enterprise readiness</w:t>
            </w:r>
          </w:p>
        </w:tc>
        <w:tc>
          <w:tcPr/>
          <w:p>
            <w:pPr>
              <w:pStyle w:val="Compact"/>
              <w:jc w:val="right"/>
            </w:pPr>
            <w:r>
              <w:t xml:space="preserve">2</w:t>
            </w:r>
          </w:p>
        </w:tc>
        <w:tc>
          <w:tcPr/>
          <w:p>
            <w:pPr>
              <w:pStyle w:val="Compact"/>
              <w:jc w:val="left"/>
            </w:pPr>
            <w:r>
              <w:t xml:space="preserve">Rule 2 (self-hosted open weights; hosted Model Studio route not recommended): enables in-estate serving only; no commercial support for self-hosting verified, so 2.</w:t>
            </w:r>
          </w:p>
        </w:tc>
      </w:tr>
      <w:tr>
        <w:tc>
          <w:tcPr/>
          <w:p>
            <w:pPr>
              <w:pStyle w:val="Compact"/>
              <w:jc w:val="left"/>
            </w:pPr>
            <w:r>
              <w:t xml:space="preserve">Security and compliance</w:t>
            </w:r>
          </w:p>
        </w:tc>
        <w:tc>
          <w:tcPr/>
          <w:p>
            <w:pPr>
              <w:pStyle w:val="Compact"/>
              <w:jc w:val="right"/>
            </w:pPr>
            <w:r>
              <w:t xml:space="preserve">2</w:t>
            </w:r>
          </w:p>
        </w:tc>
        <w:tc>
          <w:tcPr/>
          <w:p>
            <w:pPr>
              <w:pStyle w:val="Compact"/>
              <w:jc w:val="left"/>
            </w:pPr>
            <w:r>
              <w:t xml:space="preserve">Rule 2: Apache-2.0 licence is clear, but no security policy or signed-release evidence was verified and a model-provenance review is outstanding, so 2; inherits host controls.</w:t>
            </w:r>
          </w:p>
        </w:tc>
      </w:tr>
      <w:tr>
        <w:tc>
          <w:tcPr/>
          <w:p>
            <w:pPr>
              <w:pStyle w:val="Compact"/>
              <w:jc w:val="left"/>
            </w:pPr>
            <w:r>
              <w:t xml:space="preserve">Deployment flexibility</w:t>
            </w:r>
          </w:p>
        </w:tc>
        <w:tc>
          <w:tcPr/>
          <w:p>
            <w:pPr>
              <w:pStyle w:val="Compact"/>
              <w:jc w:val="right"/>
            </w:pPr>
            <w:r>
              <w:t xml:space="preserve">4</w:t>
            </w:r>
          </w:p>
        </w:tc>
        <w:tc>
          <w:tcPr/>
          <w:p>
            <w:pPr>
              <w:pStyle w:val="Compact"/>
              <w:jc w:val="left"/>
            </w:pPr>
            <w:r>
              <w:t xml:space="preserve">Self-host, on-prem and disconnected use via open weights, plus SaaS outside the EU.</w:t>
            </w:r>
          </w:p>
        </w:tc>
      </w:tr>
      <w:tr>
        <w:tc>
          <w:tcPr/>
          <w:p>
            <w:pPr>
              <w:pStyle w:val="Compact"/>
              <w:jc w:val="left"/>
            </w:pPr>
            <w:r>
              <w:t xml:space="preserve">Ecosystem</w:t>
            </w:r>
          </w:p>
        </w:tc>
        <w:tc>
          <w:tcPr/>
          <w:p>
            <w:pPr>
              <w:pStyle w:val="Compact"/>
              <w:jc w:val="right"/>
            </w:pPr>
            <w:r>
              <w:t xml:space="preserve">3</w:t>
            </w:r>
          </w:p>
        </w:tc>
        <w:tc>
          <w:tcPr/>
          <w:p>
            <w:pPr>
              <w:pStyle w:val="Compact"/>
              <w:jc w:val="left"/>
            </w:pPr>
            <w:r>
              <w:t xml:space="preserve">Hugging Face and ModelScope weights; OpenAI-compatible batch API on Model Studio; wider ecosystem NPV.</w:t>
            </w:r>
          </w:p>
        </w:tc>
      </w:tr>
      <w:tr>
        <w:tc>
          <w:tcPr/>
          <w:p>
            <w:pPr>
              <w:pStyle w:val="Compact"/>
              <w:jc w:val="left"/>
            </w:pPr>
            <w:r>
              <w:t xml:space="preserve">Reliability and maturity</w:t>
            </w:r>
          </w:p>
        </w:tc>
        <w:tc>
          <w:tcPr/>
          <w:p>
            <w:pPr>
              <w:pStyle w:val="Compact"/>
              <w:jc w:val="right"/>
            </w:pPr>
            <w:r>
              <w:t xml:space="preserve">3</w:t>
            </w:r>
          </w:p>
        </w:tc>
        <w:tc>
          <w:tcPr/>
          <w:p>
            <w:pPr>
              <w:pStyle w:val="Compact"/>
              <w:jc w:val="left"/>
            </w:pPr>
            <w:r>
              <w:t xml:space="preserve">Released June 2025 with a January 2026 multimodal successor; long-term support NPV.</w:t>
            </w:r>
          </w:p>
        </w:tc>
      </w:tr>
      <w:tr>
        <w:tc>
          <w:tcPr/>
          <w:p>
            <w:pPr>
              <w:pStyle w:val="Compact"/>
              <w:jc w:val="left"/>
            </w:pPr>
            <w:r>
              <w:t xml:space="preserve">Cost / TCO</w:t>
            </w:r>
          </w:p>
        </w:tc>
        <w:tc>
          <w:tcPr/>
          <w:p>
            <w:pPr>
              <w:pStyle w:val="Compact"/>
              <w:jc w:val="right"/>
            </w:pPr>
            <w:r>
              <w:t xml:space="preserve">4</w:t>
            </w:r>
          </w:p>
        </w:tc>
        <w:tc>
          <w:tcPr/>
          <w:p>
            <w:pPr>
              <w:pStyle w:val="Compact"/>
              <w:jc w:val="left"/>
            </w:pPr>
            <w:r>
              <w:t xml:space="preserve">Free weights; cost is GPU and operations, light for 0.6B, heavier for 8B.</w:t>
            </w:r>
          </w:p>
        </w:tc>
      </w:tr>
      <w:tr>
        <w:tc>
          <w:tcPr/>
          <w:p>
            <w:pPr>
              <w:pStyle w:val="Compact"/>
              <w:jc w:val="left"/>
            </w:pPr>
            <w:r>
              <w:t xml:space="preserve">Lock-in / portability</w:t>
            </w:r>
          </w:p>
        </w:tc>
        <w:tc>
          <w:tcPr/>
          <w:p>
            <w:pPr>
              <w:pStyle w:val="Compact"/>
              <w:jc w:val="right"/>
            </w:pPr>
            <w:r>
              <w:t xml:space="preserve">4</w:t>
            </w:r>
          </w:p>
        </w:tc>
        <w:tc>
          <w:tcPr/>
          <w:p>
            <w:pPr>
              <w:pStyle w:val="Compact"/>
              <w:jc w:val="left"/>
            </w:pPr>
            <w:r>
              <w:t xml:space="preserve">Apache 2.0 and self-hostable; single-vendor governance and model-specific vectors keep it below 5.</w:t>
            </w:r>
          </w:p>
        </w:tc>
      </w:tr>
      <w:tr>
        <w:tc>
          <w:tcPr/>
          <w:p>
            <w:pPr>
              <w:pStyle w:val="Compact"/>
              <w:jc w:val="left"/>
            </w:pPr>
            <w:r>
              <w:rPr>
                <w:bCs/>
                <w:b/>
              </w:rPr>
              <w:t xml:space="preserve">Total (generic / FS)</w:t>
            </w:r>
          </w:p>
        </w:tc>
        <w:tc>
          <w:tcPr/>
          <w:p>
            <w:pPr>
              <w:pStyle w:val="Compact"/>
              <w:jc w:val="right"/>
            </w:pPr>
            <w:r>
              <w:rPr>
                <w:bCs/>
                <w:b/>
              </w:rPr>
              <w:t xml:space="preserve">3.20 / 3.15</w:t>
            </w:r>
          </w:p>
        </w:tc>
        <w:tc>
          <w:tcPr/>
          <w:p>
            <w:pPr>
              <w:pStyle w:val="Compact"/>
            </w:pPr>
          </w:p>
        </w:tc>
      </w:tr>
    </w:tbl>
    <w:p>
      <w:pPr>
        <w:pStyle w:val="BodyText"/>
      </w:pPr>
      <w:r>
        <w:rPr>
          <w:iCs/>
          <w:i/>
        </w:rPr>
        <w:t xml:space="preserve">Evidence rules applied:</w:t>
      </w:r>
      <w:r>
        <w:t xml:space="preserve"> </w:t>
      </w:r>
      <w:r>
        <w:t xml:space="preserve">Rule 2 (self-hosted open weights) applied instead of the NPV cap, because the recommendation is self-host only; scores unchanged at 2 on project hygiene and support, not on missing hosted certifications; Rule 7 (CP2 Q2) checked at CP2 rework: no SSO, RBAC or audit control verified; rule 2 scores kept</w:t>
      </w:r>
    </w:p>
    <w:p>
      <w:pPr>
        <w:pStyle w:val="BodyText"/>
      </w:pPr>
      <w:r>
        <w:rPr>
          <w:bCs/>
          <w:b/>
        </w:rPr>
        <w:t xml:space="preserve">Capabilities.</w:t>
      </w:r>
      <w:r>
        <w:t xml:space="preserve"> </w:t>
      </w:r>
      <w:r>
        <w:t xml:space="preserve">Open-weight Qwen3-Embedding and Qwen3-Reranker in 0.6B, 4B and 8B (June 2025; 32K context; 119 languages; Apache 2.0) and Qwen3-VL-Embedding/-Reranker (January 2026)</w:t>
      </w:r>
      <w:r>
        <w:t xml:space="preserve"> </w:t>
      </w:r>
      <w:r>
        <w:rPr>
          <w:rStyle w:val="ClaimLabel"/>
        </w:rPr>
        <w:t xml:space="preserve">VF</w:t>
      </w:r>
      <w:r>
        <w:rPr>
          <w:rStyle w:val="FootnoteReference"/>
        </w:rPr>
        <w:footnoteReference w:id="463"/>
      </w:r>
      <w:r>
        <w:t xml:space="preserve">. Hosted as text-embedding-v4 (64-2,048 dims) and qwen3-rerank on Alibaba Cloud Model Studio</w:t>
      </w:r>
      <w:r>
        <w:t xml:space="preserve"> </w:t>
      </w:r>
      <w:r>
        <w:rPr>
          <w:rStyle w:val="ClaimLabel"/>
        </w:rPr>
        <w:t xml:space="preserve">VF</w:t>
      </w:r>
      <w:r>
        <w:rPr>
          <w:rStyle w:val="FootnoteReference"/>
        </w:rPr>
        <w:footnoteReference w:id="467"/>
      </w:r>
      <w:r>
        <w:t xml:space="preserve">.</w:t>
      </w:r>
    </w:p>
    <w:p>
      <w:pPr>
        <w:pStyle w:val="BodyText"/>
      </w:pPr>
      <w:r>
        <w:rPr>
          <w:bCs/>
          <w:b/>
        </w:rPr>
        <w:t xml:space="preserve">Strengths</w:t>
      </w:r>
    </w:p>
    <w:p>
      <w:pPr>
        <w:numPr>
          <w:ilvl w:val="0"/>
          <w:numId w:val="1105"/>
        </w:numPr>
        <w:pStyle w:val="Compact"/>
      </w:pPr>
      <w:r>
        <w:t xml:space="preserve">Apache 2.0 embed and rerank pair that can run fully inside the firm’s estate, including disconnected environments</w:t>
      </w:r>
      <w:r>
        <w:t xml:space="preserve"> </w:t>
      </w:r>
      <w:r>
        <w:rPr>
          <w:rStyle w:val="ClaimLabel"/>
        </w:rPr>
        <w:t xml:space="preserve">VF</w:t>
      </w:r>
      <w:r>
        <w:rPr>
          <w:rStyle w:val="FootnoteReference"/>
        </w:rPr>
        <w:footnoteReference w:id="469"/>
      </w:r>
      <w:r>
        <w:t xml:space="preserve"> </w:t>
      </w:r>
      <w:r>
        <w:rPr>
          <w:rStyle w:val="ClaimLabel"/>
        </w:rPr>
        <w:t xml:space="preserve">AJ</w:t>
      </w:r>
    </w:p>
    <w:p>
      <w:pPr>
        <w:numPr>
          <w:ilvl w:val="0"/>
          <w:numId w:val="1105"/>
        </w:numPr>
        <w:pStyle w:val="Compact"/>
      </w:pPr>
      <w:r>
        <w:t xml:space="preserve">Three sizes allow a cost/quality trade-off; 0.6B runs on modest hardware</w:t>
      </w:r>
      <w:r>
        <w:t xml:space="preserve"> </w:t>
      </w:r>
      <w:r>
        <w:rPr>
          <w:rStyle w:val="ClaimLabel"/>
        </w:rPr>
        <w:t xml:space="preserve">AJ</w:t>
      </w:r>
    </w:p>
    <w:p>
      <w:pPr>
        <w:numPr>
          <w:ilvl w:val="0"/>
          <w:numId w:val="1105"/>
        </w:numPr>
        <w:pStyle w:val="Compact"/>
      </w:pPr>
      <w:r>
        <w:t xml:space="preserve">Multimodal successors (VL) in the same family</w:t>
      </w:r>
      <w:r>
        <w:t xml:space="preserve"> </w:t>
      </w:r>
      <w:r>
        <w:rPr>
          <w:rStyle w:val="ClaimLabel"/>
        </w:rPr>
        <w:t xml:space="preserve">VF</w:t>
      </w:r>
      <w:r>
        <w:rPr>
          <w:rStyle w:val="FootnoteReference"/>
        </w:rPr>
        <w:footnoteReference w:id="470"/>
      </w:r>
    </w:p>
    <w:p>
      <w:pPr>
        <w:pStyle w:val="FirstParagraph"/>
      </w:pPr>
      <w:r>
        <w:rPr>
          <w:bCs/>
          <w:b/>
        </w:rPr>
        <w:t xml:space="preserve">Limitations and risks</w:t>
      </w:r>
    </w:p>
    <w:p>
      <w:pPr>
        <w:numPr>
          <w:ilvl w:val="0"/>
          <w:numId w:val="1106"/>
        </w:numPr>
        <w:pStyle w:val="Compact"/>
      </w:pPr>
      <w:r>
        <w:t xml:space="preserve">Chinese-origin model; FS firms will require provenance and supply-chain review before use</w:t>
      </w:r>
      <w:r>
        <w:t xml:space="preserve"> </w:t>
      </w:r>
      <w:r>
        <w:rPr>
          <w:rStyle w:val="ClaimLabel"/>
        </w:rPr>
        <w:t xml:space="preserve">AJ</w:t>
      </w:r>
    </w:p>
    <w:p>
      <w:pPr>
        <w:numPr>
          <w:ilvl w:val="0"/>
          <w:numId w:val="1106"/>
        </w:numPr>
        <w:pStyle w:val="Compact"/>
      </w:pPr>
      <w:r>
        <w:t xml:space="preserve">Hosted Model Studio regions are Singapore, Hong Kong and Beijing; no EU region verified</w:t>
      </w:r>
      <w:r>
        <w:t xml:space="preserve"> </w:t>
      </w:r>
      <w:r>
        <w:rPr>
          <w:rStyle w:val="ClaimLabel"/>
        </w:rPr>
        <w:t xml:space="preserve">VF</w:t>
      </w:r>
      <w:r>
        <w:rPr>
          <w:rStyle w:val="FootnoteReference"/>
        </w:rPr>
        <w:footnoteReference w:id="471"/>
      </w:r>
    </w:p>
    <w:p>
      <w:pPr>
        <w:numPr>
          <w:ilvl w:val="0"/>
          <w:numId w:val="1106"/>
        </w:numPr>
        <w:pStyle w:val="Compact"/>
      </w:pPr>
      <w:r>
        <w:t xml:space="preserve">No commercial support or certifications verified</w:t>
      </w:r>
      <w:r>
        <w:t xml:space="preserve"> </w:t>
      </w:r>
      <w:r>
        <w:rPr>
          <w:rStyle w:val="ClaimLabel"/>
        </w:rPr>
        <w:t xml:space="preserve">NPV</w:t>
      </w:r>
      <w:r>
        <w:t xml:space="preserve">; Qwen3-VL embedding licence not verified</w:t>
      </w:r>
      <w:r>
        <w:t xml:space="preserve"> </w:t>
      </w:r>
      <w:r>
        <w:rPr>
          <w:rStyle w:val="ClaimLabel"/>
        </w:rPr>
        <w:t xml:space="preserve">NPV</w:t>
      </w:r>
    </w:p>
    <w:p>
      <w:pPr>
        <w:numPr>
          <w:ilvl w:val="0"/>
          <w:numId w:val="1106"/>
        </w:numPr>
        <w:pStyle w:val="Compact"/>
      </w:pPr>
      <w:r>
        <w:t xml:space="preserve">MTEB No.1 claim dates from 5 June 2025 and is vendor-reported; current rank not verified</w:t>
      </w:r>
      <w:r>
        <w:t xml:space="preserve"> </w:t>
      </w:r>
      <w:r>
        <w:rPr>
          <w:rStyle w:val="ClaimLabel"/>
        </w:rPr>
        <w:t xml:space="preserve">R</w:t>
      </w:r>
      <w:r>
        <w:rPr>
          <w:rStyle w:val="FootnoteReference"/>
        </w:rPr>
        <w:footnoteReference w:id="472"/>
      </w:r>
    </w:p>
    <w:p>
      <w:pPr>
        <w:numPr>
          <w:ilvl w:val="0"/>
          <w:numId w:val="1106"/>
        </w:numPr>
        <w:pStyle w:val="Compact"/>
      </w:pPr>
      <w:r>
        <w:t xml:space="preserve">Self-hosting the 8B models needs datacentre GPUs and an in-house serving team</w:t>
      </w:r>
      <w:r>
        <w:t xml:space="preserve"> </w:t>
      </w:r>
      <w:r>
        <w:rPr>
          <w:rStyle w:val="ClaimLabel"/>
        </w:rPr>
        <w:t xml:space="preserve">AJ</w:t>
      </w:r>
    </w:p>
    <w:p>
      <w:pPr>
        <w:pStyle w:val="FirstParagraph"/>
      </w:pPr>
      <w:r>
        <w:rPr>
          <w:bCs/>
          <w:b/>
        </w:rPr>
        <w:t xml:space="preserve">Choose when</w:t>
      </w:r>
    </w:p>
    <w:p>
      <w:pPr>
        <w:numPr>
          <w:ilvl w:val="0"/>
          <w:numId w:val="1107"/>
        </w:numPr>
        <w:pStyle w:val="Compact"/>
      </w:pPr>
      <w:r>
        <w:t xml:space="preserve">A self-hosted, permissively licensed embed-plus-rerank pair is required and provenance review approves it</w:t>
      </w:r>
    </w:p>
    <w:p>
      <w:pPr>
        <w:numPr>
          <w:ilvl w:val="0"/>
          <w:numId w:val="1107"/>
        </w:numPr>
        <w:pStyle w:val="Compact"/>
      </w:pPr>
      <w:r>
        <w:t xml:space="preserve">Multilingual corpora need in-estate processing at low marginal cost</w:t>
      </w:r>
    </w:p>
    <w:p>
      <w:pPr>
        <w:pStyle w:val="FirstParagraph"/>
      </w:pPr>
      <w:r>
        <w:rPr>
          <w:bCs/>
          <w:b/>
        </w:rPr>
        <w:t xml:space="preserve">Avoid when</w:t>
      </w:r>
    </w:p>
    <w:p>
      <w:pPr>
        <w:numPr>
          <w:ilvl w:val="0"/>
          <w:numId w:val="1108"/>
        </w:numPr>
        <w:pStyle w:val="Compact"/>
      </w:pPr>
      <w:r>
        <w:t xml:space="preserve">Policy excludes Chinese-origin model weights, or only the hosted API would be used</w:t>
      </w:r>
    </w:p>
    <w:p>
      <w:pPr>
        <w:numPr>
          <w:ilvl w:val="0"/>
          <w:numId w:val="1108"/>
        </w:numPr>
        <w:pStyle w:val="Compact"/>
      </w:pPr>
      <w:r>
        <w:t xml:space="preserve">There is no capacity to operate GPU inference</w:t>
      </w:r>
    </w:p>
    <w:p>
      <w:pPr>
        <w:pStyle w:val="FirstParagraph"/>
      </w:pPr>
      <w:r>
        <w:rPr>
          <w:bCs/>
          <w:b/>
        </w:rPr>
        <w:t xml:space="preserve">Nearest competitors:</w:t>
      </w:r>
      <w:r>
        <w:t xml:space="preserve"> </w:t>
      </w:r>
      <w:r>
        <w:t xml:space="preserve">L7-sentence-transformers, L7-nvidia-nemo-retriever, L7-jina, L7-voyage</w:t>
      </w:r>
    </w:p>
    <w:p>
      <w:pPr>
        <w:pStyle w:val="BodyText"/>
      </w:pPr>
      <w:r>
        <w:rPr>
          <w:bCs/>
          <w:b/>
        </w:rPr>
        <w:t xml:space="preserve">Regulated-FS note.</w:t>
      </w:r>
      <w:r>
        <w:t xml:space="preserve"> </w:t>
      </w:r>
      <w:r>
        <w:t xml:space="preserve">Self-hosted weights keep client data in the firm’s estate; the hosted API is not a fit for EU/UK client data on verified regions</w:t>
      </w:r>
      <w:r>
        <w:t xml:space="preserve"> </w:t>
      </w:r>
      <w:r>
        <w:rPr>
          <w:rStyle w:val="ClaimLabel"/>
        </w:rPr>
        <w:t xml:space="preserve">VF</w:t>
      </w:r>
      <w:r>
        <w:rPr>
          <w:rStyle w:val="FootnoteReference"/>
        </w:rPr>
        <w:footnoteReference w:id="473"/>
      </w:r>
      <w:r>
        <w:t xml:space="preserve">. Hosted prices come from Alibaba’s own pricing page</w:t>
      </w:r>
      <w:r>
        <w:t xml:space="preserve"> </w:t>
      </w:r>
      <w:r>
        <w:rPr>
          <w:rStyle w:val="ClaimLabel"/>
        </w:rPr>
        <w:t xml:space="preserve">VF</w:t>
      </w:r>
      <w:r>
        <w:rPr>
          <w:rStyle w:val="FootnoteReference"/>
        </w:rPr>
        <w:footnoteReference w:id="474"/>
      </w:r>
      <w:r>
        <w:t xml:space="preserve">, but the hosted route is not the recommended one for client data, so they are not a decision input</w:t>
      </w:r>
      <w:r>
        <w:t xml:space="preserve"> </w:t>
      </w:r>
      <w:r>
        <w:rPr>
          <w:rStyle w:val="ClaimLabel"/>
        </w:rPr>
        <w:t xml:space="preserve">AJ</w:t>
      </w:r>
      <w:r>
        <w:t xml:space="preserve">.</w:t>
      </w:r>
    </w:p>
    <w:p>
      <w:pPr>
        <w:pStyle w:val="BodyText"/>
      </w:pPr>
      <w:r>
        <w:rPr>
          <w:bCs/>
          <w:b/>
        </w:rPr>
        <w:t xml:space="preserve">Facts (as of 2026-10-08)</w:t>
      </w:r>
    </w:p>
    <w:tbl>
      <w:tblPr>
        <w:tblStyle w:val="Table"/>
        <w:tblW w:type="pct" w:w="5000"/>
        <w:tblLook w:firstRow="1" w:lastRow="0" w:firstColumn="0" w:lastColumn="0" w:noHBand="0" w:noVBand="0" w:val="0020"/>
        <w:jc w:val="start"/>
      </w:tblPr>
      <w:tblGrid>
        <w:gridCol w:w="1485"/>
        <w:gridCol w:w="4290"/>
        <w:gridCol w:w="1320"/>
        <w:gridCol w:w="825"/>
      </w:tblGrid>
      <w:tr>
        <w:trPr>
          <w:tblHeader w:val="true"/>
        </w:trPr>
        <w:tc>
          <w:tcPr/>
          <w:p>
            <w:pPr>
              <w:pStyle w:val="Compact"/>
              <w:jc w:val="left"/>
            </w:pPr>
            <w:r>
              <w:t xml:space="preserve">Field</w:t>
            </w:r>
          </w:p>
        </w:tc>
        <w:tc>
          <w:tcPr/>
          <w:p>
            <w:pPr>
              <w:pStyle w:val="Compact"/>
              <w:jc w:val="left"/>
            </w:pPr>
            <w:r>
              <w:t xml:space="preserve">Value</w:t>
            </w:r>
          </w:p>
        </w:tc>
        <w:tc>
          <w:tcPr/>
          <w:p>
            <w:pPr>
              <w:pStyle w:val="Compact"/>
              <w:jc w:val="left"/>
            </w:pPr>
            <w:r>
              <w:t xml:space="preserve">Label</w:t>
            </w:r>
          </w:p>
        </w:tc>
        <w:tc>
          <w:tcPr/>
          <w:p>
            <w:pPr>
              <w:pStyle w:val="Compact"/>
              <w:jc w:val="left"/>
            </w:pPr>
            <w:r>
              <w:t xml:space="preserve">Sources</w:t>
            </w:r>
          </w:p>
        </w:tc>
      </w:tr>
      <w:tr>
        <w:tc>
          <w:tcPr/>
          <w:p>
            <w:pPr>
              <w:pStyle w:val="Compact"/>
              <w:jc w:val="left"/>
            </w:pPr>
            <w:r>
              <w:t xml:space="preserve">Company</w:t>
            </w:r>
          </w:p>
        </w:tc>
        <w:tc>
          <w:tcPr/>
          <w:p>
            <w:pPr>
              <w:pStyle w:val="Compact"/>
              <w:jc w:val="left"/>
            </w:pPr>
            <w:r>
              <w:t xml:space="preserve">Alibaba Group (Qwen team; Alibaba Cloud)</w:t>
            </w:r>
          </w:p>
        </w:tc>
        <w:tc>
          <w:tcPr/>
          <w:p>
            <w:pPr>
              <w:pStyle w:val="Compact"/>
              <w:jc w:val="left"/>
            </w:pPr>
            <w:r>
              <w:t xml:space="preserve">Verified fact</w:t>
            </w:r>
          </w:p>
        </w:tc>
        <w:tc>
          <w:tcPr/>
          <w:p>
            <w:pPr>
              <w:pStyle w:val="Compact"/>
              <w:jc w:val="left"/>
            </w:pPr>
            <w:r>
              <w:t xml:space="preserve">A2-S020, A2-S022</w:t>
            </w:r>
          </w:p>
        </w:tc>
      </w:tr>
      <w:tr>
        <w:tc>
          <w:tcPr/>
          <w:p>
            <w:pPr>
              <w:pStyle w:val="Compact"/>
              <w:jc w:val="left"/>
            </w:pPr>
            <w:r>
              <w:t xml:space="preserve">Category</w:t>
            </w:r>
          </w:p>
        </w:tc>
        <w:tc>
          <w:tcPr/>
          <w:p>
            <w:pPr>
              <w:pStyle w:val="Compact"/>
              <w:jc w:val="left"/>
            </w:pPr>
            <w:r>
              <w:t xml:space="preserve">Open-weight embedding and reranking models, also offered as hosted API</w:t>
            </w:r>
          </w:p>
        </w:tc>
        <w:tc>
          <w:tcPr/>
          <w:p>
            <w:pPr>
              <w:pStyle w:val="Compact"/>
              <w:jc w:val="left"/>
            </w:pPr>
            <w:r>
              <w:t xml:space="preserve">Verified fact</w:t>
            </w:r>
          </w:p>
        </w:tc>
        <w:tc>
          <w:tcPr/>
          <w:p>
            <w:pPr>
              <w:pStyle w:val="Compact"/>
              <w:jc w:val="left"/>
            </w:pPr>
            <w:r>
              <w:t xml:space="preserve">A2-S020, A2-S022</w:t>
            </w:r>
          </w:p>
        </w:tc>
      </w:tr>
      <w:tr>
        <w:tc>
          <w:tcPr/>
          <w:p>
            <w:pPr>
              <w:pStyle w:val="Compact"/>
              <w:jc w:val="left"/>
            </w:pPr>
            <w:r>
              <w:t xml:space="preserve">Version / lineup</w:t>
            </w:r>
          </w:p>
        </w:tc>
        <w:tc>
          <w:tcPr/>
          <w:p>
            <w:pPr>
              <w:pStyle w:val="Compact"/>
              <w:jc w:val="left"/>
            </w:pPr>
            <w:r>
              <w:t xml:space="preserve">Qwen3-Embedding and Qwen3-Reranker in 0.6B, 4B and 8B (June 2025; 32K context; 119 languages); Qwen3-VL-Embedding and Qwen3-VL-Reranker (January 2026); hosted text-embedding-v4, qwen3.7-text-embedding, qwen3-rerank, qwen3-vl-rerank</w:t>
            </w:r>
          </w:p>
        </w:tc>
        <w:tc>
          <w:tcPr/>
          <w:p>
            <w:pPr>
              <w:pStyle w:val="Compact"/>
              <w:jc w:val="left"/>
            </w:pPr>
            <w:r>
              <w:t xml:space="preserve">Verified fact</w:t>
            </w:r>
          </w:p>
        </w:tc>
        <w:tc>
          <w:tcPr/>
          <w:p>
            <w:pPr>
              <w:pStyle w:val="Compact"/>
              <w:jc w:val="left"/>
            </w:pPr>
            <w:r>
              <w:t xml:space="preserve">A2-S020, A2-S021, A2-S022</w:t>
            </w:r>
          </w:p>
        </w:tc>
      </w:tr>
      <w:tr>
        <w:tc>
          <w:tcPr/>
          <w:p>
            <w:pPr>
              <w:pStyle w:val="Compact"/>
              <w:jc w:val="left"/>
            </w:pPr>
            <w:r>
              <w:t xml:space="preserve">Licence</w:t>
            </w:r>
          </w:p>
        </w:tc>
        <w:tc>
          <w:tcPr/>
          <w:p>
            <w:pPr>
              <w:pStyle w:val="Compact"/>
              <w:jc w:val="left"/>
            </w:pPr>
            <w:r>
              <w:t xml:space="preserve">Open weights, Apache 2.0 (Qwen3-Embedding/Reranker); hosted API proprietary service</w:t>
            </w:r>
          </w:p>
        </w:tc>
        <w:tc>
          <w:tcPr/>
          <w:p>
            <w:pPr>
              <w:pStyle w:val="Compact"/>
              <w:jc w:val="left"/>
            </w:pPr>
            <w:r>
              <w:t xml:space="preserve">Verified fact</w:t>
            </w:r>
          </w:p>
        </w:tc>
        <w:tc>
          <w:tcPr/>
          <w:p>
            <w:pPr>
              <w:pStyle w:val="Compact"/>
              <w:jc w:val="left"/>
            </w:pPr>
            <w:r>
              <w:t xml:space="preserve">A2-S020</w:t>
            </w:r>
          </w:p>
        </w:tc>
      </w:tr>
      <w:tr>
        <w:tc>
          <w:tcPr/>
          <w:p>
            <w:pPr>
              <w:pStyle w:val="Compact"/>
              <w:jc w:val="left"/>
            </w:pPr>
            <w:r>
              <w:t xml:space="preserve">Status events</w:t>
            </w:r>
          </w:p>
        </w:tc>
        <w:tc>
          <w:tcPr/>
          <w:p>
            <w:pPr>
              <w:pStyle w:val="Compact"/>
              <w:jc w:val="left"/>
            </w:pPr>
            <w:r>
              <w:t xml:space="preserve">June 2025: Qwen3-Embedding and Qwen3-Reranker released (Apache 2.0); January 2026 (paper 8 January 2026): Qwen3-VL-Embedding and Qwen3-VL-Reranker (2B and 8B) released</w:t>
            </w:r>
          </w:p>
        </w:tc>
        <w:tc>
          <w:tcPr/>
          <w:p>
            <w:pPr>
              <w:pStyle w:val="Compact"/>
              <w:jc w:val="left"/>
            </w:pPr>
            <w:r>
              <w:t xml:space="preserve">Verified fact</w:t>
            </w:r>
          </w:p>
        </w:tc>
        <w:tc>
          <w:tcPr/>
          <w:p>
            <w:pPr>
              <w:pStyle w:val="Compact"/>
              <w:jc w:val="left"/>
            </w:pPr>
            <w:r>
              <w:t xml:space="preserve">A2-S020, A2-S021, V1-S093</w:t>
            </w:r>
          </w:p>
        </w:tc>
      </w:tr>
      <w:tr>
        <w:tc>
          <w:tcPr/>
          <w:p>
            <w:pPr>
              <w:pStyle w:val="Compact"/>
              <w:jc w:val="left"/>
            </w:pPr>
            <w:r>
              <w:t xml:space="preserve">Strategic direction</w:t>
            </w:r>
          </w:p>
        </w:tc>
        <w:tc>
          <w:tcPr/>
          <w:p>
            <w:pPr>
              <w:pStyle w:val="Compact"/>
              <w:jc w:val="left"/>
            </w:pPr>
            <w:r>
              <w:t xml:space="preserve">Extending to multimodal retrieval (Qwen3-VL-Embedding/Reranker) and newer hosted embedding versions (qwen3.7-text-embedding, 201 languages)</w:t>
            </w:r>
          </w:p>
        </w:tc>
        <w:tc>
          <w:tcPr/>
          <w:p>
            <w:pPr>
              <w:pStyle w:val="Compact"/>
              <w:jc w:val="left"/>
            </w:pPr>
            <w:r>
              <w:t xml:space="preserve">Verified fact</w:t>
            </w:r>
          </w:p>
        </w:tc>
        <w:tc>
          <w:tcPr/>
          <w:p>
            <w:pPr>
              <w:pStyle w:val="Compact"/>
              <w:jc w:val="left"/>
            </w:pPr>
            <w:r>
              <w:t xml:space="preserve">A2-S021, A2-S022</w:t>
            </w:r>
          </w:p>
        </w:tc>
      </w:tr>
      <w:tr>
        <w:tc>
          <w:tcPr/>
          <w:p>
            <w:pPr>
              <w:pStyle w:val="Compact"/>
              <w:jc w:val="left"/>
            </w:pPr>
            <w:r>
              <w:t xml:space="preserve">What it does</w:t>
            </w:r>
          </w:p>
        </w:tc>
        <w:tc>
          <w:tcPr/>
          <w:p>
            <w:pPr>
              <w:pStyle w:val="Compact"/>
              <w:jc w:val="left"/>
            </w:pPr>
            <w:r>
              <w:t xml:space="preserve">Text embedding and reranking models built on Qwen3 foundation models; hosted text-embedding-v4 supports 64-2,048 dims (1,024 default).</w:t>
            </w:r>
          </w:p>
        </w:tc>
        <w:tc>
          <w:tcPr/>
          <w:p>
            <w:pPr>
              <w:pStyle w:val="Compact"/>
              <w:jc w:val="left"/>
            </w:pPr>
            <w:r>
              <w:t xml:space="preserve">Verified fact</w:t>
            </w:r>
          </w:p>
        </w:tc>
        <w:tc>
          <w:tcPr/>
          <w:p>
            <w:pPr>
              <w:pStyle w:val="Compact"/>
              <w:jc w:val="left"/>
            </w:pPr>
            <w:r>
              <w:t xml:space="preserve">A2-S020, A2-S022</w:t>
            </w:r>
          </w:p>
        </w:tc>
      </w:tr>
      <w:tr>
        <w:tc>
          <w:tcPr/>
          <w:p>
            <w:pPr>
              <w:pStyle w:val="Compact"/>
              <w:jc w:val="left"/>
            </w:pPr>
            <w:r>
              <w:t xml:space="preserve">Stack position</w:t>
            </w:r>
          </w:p>
        </w:tc>
        <w:tc>
          <w:tcPr/>
          <w:p>
            <w:pPr>
              <w:pStyle w:val="Compact"/>
              <w:jc w:val="left"/>
            </w:pPr>
            <w:r>
              <w:t xml:space="preserve">L7; family covers both embed and rerank, so the graphic understates it.</w:t>
            </w:r>
          </w:p>
        </w:tc>
        <w:tc>
          <w:tcPr/>
          <w:p>
            <w:pPr>
              <w:pStyle w:val="Compact"/>
              <w:jc w:val="left"/>
            </w:pPr>
            <w:r>
              <w:t xml:space="preserve">Architectural judgement</w:t>
            </w:r>
          </w:p>
        </w:tc>
        <w:tc>
          <w:tcPr/>
          <w:p>
            <w:pPr>
              <w:pStyle w:val="Compact"/>
            </w:pPr>
          </w:p>
        </w:tc>
      </w:tr>
      <w:tr>
        <w:tc>
          <w:tcPr/>
          <w:p>
            <w:pPr>
              <w:pStyle w:val="Compact"/>
              <w:jc w:val="left"/>
            </w:pPr>
            <w:r>
              <w:t xml:space="preserve">Integration</w:t>
            </w:r>
          </w:p>
        </w:tc>
        <w:tc>
          <w:tcPr/>
          <w:p>
            <w:pPr>
              <w:pStyle w:val="Compact"/>
              <w:jc w:val="left"/>
            </w:pPr>
            <w:r>
              <w:t xml:space="preserve">Hugging Face / ModelScope weights; Model Studio API including OpenAI-compatible batch API</w:t>
            </w:r>
          </w:p>
        </w:tc>
        <w:tc>
          <w:tcPr/>
          <w:p>
            <w:pPr>
              <w:pStyle w:val="Compact"/>
              <w:jc w:val="left"/>
            </w:pPr>
            <w:r>
              <w:t xml:space="preserve">Verified fact</w:t>
            </w:r>
          </w:p>
        </w:tc>
        <w:tc>
          <w:tcPr/>
          <w:p>
            <w:pPr>
              <w:pStyle w:val="Compact"/>
              <w:jc w:val="left"/>
            </w:pPr>
            <w:r>
              <w:t xml:space="preserve">A2-S020, A2-S022</w:t>
            </w:r>
          </w:p>
        </w:tc>
      </w:tr>
      <w:tr>
        <w:tc>
          <w:tcPr/>
          <w:p>
            <w:pPr>
              <w:pStyle w:val="Compact"/>
              <w:jc w:val="left"/>
            </w:pPr>
            <w:r>
              <w:t xml:space="preserve">Dependencies</w:t>
            </w:r>
          </w:p>
        </w:tc>
        <w:tc>
          <w:tcPr/>
          <w:p>
            <w:pPr>
              <w:pStyle w:val="Compact"/>
              <w:jc w:val="left"/>
            </w:pPr>
            <w:r>
              <w:t xml:space="preserve">Self-host on GPU/CPU from Hugging Face/ModelScope weights, or Alibaba Cloud Model Studio</w:t>
            </w:r>
          </w:p>
        </w:tc>
        <w:tc>
          <w:tcPr/>
          <w:p>
            <w:pPr>
              <w:pStyle w:val="Compact"/>
              <w:jc w:val="left"/>
            </w:pPr>
            <w:r>
              <w:t xml:space="preserve">Verified fact</w:t>
            </w:r>
          </w:p>
        </w:tc>
        <w:tc>
          <w:tcPr/>
          <w:p>
            <w:pPr>
              <w:pStyle w:val="Compact"/>
              <w:jc w:val="left"/>
            </w:pPr>
            <w:r>
              <w:t xml:space="preserve">A2-S020, A2-S022</w:t>
            </w:r>
          </w:p>
        </w:tc>
      </w:tr>
      <w:tr>
        <w:tc>
          <w:tcPr/>
          <w:p>
            <w:pPr>
              <w:pStyle w:val="Compact"/>
              <w:jc w:val="left"/>
            </w:pPr>
            <w:r>
              <w:t xml:space="preserve">Certifications</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GDPR / residency</w:t>
            </w:r>
          </w:p>
        </w:tc>
        <w:tc>
          <w:tcPr/>
          <w:p>
            <w:pPr>
              <w:pStyle w:val="Compact"/>
              <w:jc w:val="left"/>
            </w:pPr>
            <w:r>
              <w:t xml:space="preserve">Model Studio pricing lists Singapore, Hong Kong and Beijing regions; no EU region verified</w:t>
            </w:r>
          </w:p>
        </w:tc>
        <w:tc>
          <w:tcPr/>
          <w:p>
            <w:pPr>
              <w:pStyle w:val="Compact"/>
              <w:jc w:val="left"/>
            </w:pPr>
            <w:r>
              <w:t xml:space="preserve">Verified fact</w:t>
            </w:r>
          </w:p>
        </w:tc>
        <w:tc>
          <w:tcPr/>
          <w:p>
            <w:pPr>
              <w:pStyle w:val="Compact"/>
              <w:jc w:val="left"/>
            </w:pPr>
            <w:r>
              <w:t xml:space="preserve">A2-S022</w:t>
            </w:r>
          </w:p>
        </w:tc>
      </w:tr>
      <w:tr>
        <w:tc>
          <w:tcPr/>
          <w:p>
            <w:pPr>
              <w:pStyle w:val="Compact"/>
              <w:jc w:val="left"/>
            </w:pPr>
            <w:r>
              <w:t xml:space="preserve">Security features</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Access controls</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Enterprise support</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Pricing</w:t>
            </w:r>
          </w:p>
        </w:tc>
        <w:tc>
          <w:tcPr/>
          <w:p>
            <w:pPr>
              <w:pStyle w:val="Compact"/>
              <w:jc w:val="left"/>
            </w:pPr>
            <w:r>
              <w:t xml:space="preserve">Model Studio: text-embedding-v4 US$0.07 per 1M tokens (Singapore; US$0.072 Beijing); qwen3.7-text-embedding US$0.07 (Singapore); qwen3-rerank US$0.10 per 1M input tokens (Singapore), output free; 1M free tokens for 90 days. Open weights free.</w:t>
            </w:r>
          </w:p>
        </w:tc>
        <w:tc>
          <w:tcPr/>
          <w:p>
            <w:pPr>
              <w:pStyle w:val="Compact"/>
              <w:jc w:val="left"/>
            </w:pPr>
            <w:r>
              <w:t xml:space="preserve">Verified fact</w:t>
            </w:r>
          </w:p>
        </w:tc>
        <w:tc>
          <w:tcPr/>
          <w:p>
            <w:pPr>
              <w:pStyle w:val="Compact"/>
              <w:jc w:val="left"/>
            </w:pPr>
            <w:r>
              <w:t xml:space="preserve">A2-S022</w:t>
            </w:r>
          </w:p>
        </w:tc>
      </w:tr>
      <w:tr>
        <w:tc>
          <w:tcPr/>
          <w:p>
            <w:pPr>
              <w:pStyle w:val="Compact"/>
              <w:jc w:val="left"/>
            </w:pPr>
            <w:r>
              <w:t xml:space="preserve">Infrastructure cost</w:t>
            </w:r>
          </w:p>
        </w:tc>
        <w:tc>
          <w:tcPr/>
          <w:p>
            <w:pPr>
              <w:pStyle w:val="Compact"/>
              <w:jc w:val="left"/>
            </w:pPr>
            <w:r>
              <w:t xml:space="preserve">Self-hosting cost driven by GPU size: 0.6B runs on modest hardware; 8B needs a datacentre GPU for production throughput</w:t>
            </w:r>
          </w:p>
        </w:tc>
        <w:tc>
          <w:tcPr/>
          <w:p>
            <w:pPr>
              <w:pStyle w:val="Compact"/>
              <w:jc w:val="left"/>
            </w:pPr>
            <w:r>
              <w:t xml:space="preserve">Architectural judgement</w:t>
            </w:r>
          </w:p>
        </w:tc>
        <w:tc>
          <w:tcPr/>
          <w:p>
            <w:pPr>
              <w:pStyle w:val="Compact"/>
            </w:pPr>
          </w:p>
        </w:tc>
      </w:tr>
      <w:tr>
        <w:tc>
          <w:tcPr/>
          <w:p>
            <w:pPr>
              <w:pStyle w:val="Compact"/>
              <w:jc w:val="left"/>
            </w:pPr>
            <w:r>
              <w:t xml:space="preserve">Ecosystem</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Adoption signals</w:t>
            </w:r>
          </w:p>
        </w:tc>
        <w:tc>
          <w:tcPr/>
          <w:p>
            <w:pPr>
              <w:pStyle w:val="Compact"/>
              <w:jc w:val="left"/>
            </w:pPr>
            <w:r>
              <w:t xml:space="preserve">8B embedding ranked No.1 on MTEB multilingual (score 70.58) as of 5 June 2025 (vendor-reported); Jina reports its v3.5 reranker beating Qwen3-Reranker-4B on BEIR</w:t>
            </w:r>
          </w:p>
        </w:tc>
        <w:tc>
          <w:tcPr/>
          <w:p>
            <w:pPr>
              <w:pStyle w:val="Compact"/>
              <w:jc w:val="left"/>
            </w:pPr>
            <w:r>
              <w:t xml:space="preserve">Verified fact</w:t>
            </w:r>
          </w:p>
        </w:tc>
        <w:tc>
          <w:tcPr/>
          <w:p>
            <w:pPr>
              <w:pStyle w:val="Compact"/>
              <w:jc w:val="left"/>
            </w:pPr>
            <w:r>
              <w:t xml:space="preserve">A2-S020, A2-S026</w:t>
            </w:r>
          </w:p>
        </w:tc>
      </w:tr>
      <w:tr>
        <w:tc>
          <w:tcPr/>
          <w:p>
            <w:pPr>
              <w:pStyle w:val="Compact"/>
              <w:jc w:val="left"/>
            </w:pPr>
            <w:r>
              <w:t xml:space="preserve">Maturity</w:t>
            </w:r>
          </w:p>
        </w:tc>
        <w:tc>
          <w:tcPr/>
          <w:p>
            <w:pPr>
              <w:pStyle w:val="Compact"/>
              <w:jc w:val="left"/>
            </w:pPr>
            <w:r>
              <w:t xml:space="preserve">Open-weight release June 2025; multimodal successor January 2026</w:t>
            </w:r>
          </w:p>
        </w:tc>
        <w:tc>
          <w:tcPr/>
          <w:p>
            <w:pPr>
              <w:pStyle w:val="Compact"/>
              <w:jc w:val="left"/>
            </w:pPr>
            <w:r>
              <w:t xml:space="preserve">Verified fact</w:t>
            </w:r>
          </w:p>
        </w:tc>
        <w:tc>
          <w:tcPr/>
          <w:p>
            <w:pPr>
              <w:pStyle w:val="Compact"/>
              <w:jc w:val="left"/>
            </w:pPr>
            <w:r>
              <w:t xml:space="preserve">A2-S020, A2-S021</w:t>
            </w:r>
          </w:p>
        </w:tc>
      </w:tr>
      <w:tr>
        <w:tc>
          <w:tcPr/>
          <w:p>
            <w:pPr>
              <w:pStyle w:val="Compact"/>
              <w:jc w:val="left"/>
            </w:pPr>
            <w:r>
              <w:t xml:space="preserve">Deployment</w:t>
            </w:r>
          </w:p>
        </w:tc>
        <w:tc>
          <w:tcPr/>
          <w:p>
            <w:pPr>
              <w:pStyle w:val="Compact"/>
              <w:jc w:val="left"/>
            </w:pPr>
            <w:r>
              <w:t xml:space="preserve">saas: Yes (Alibaba Cloud Model Studio); managed_cloud: Not publicly verified; vpc_byoc: Not publicly verified; private_cloud: Not publicly verified; self_hosted: Yes (open weights); on_prem: Yes (open weights)</w:t>
            </w:r>
          </w:p>
        </w:tc>
        <w:tc>
          <w:tcPr/>
          <w:p>
            <w:pPr>
              <w:pStyle w:val="Compact"/>
            </w:pPr>
          </w:p>
        </w:tc>
        <w:tc>
          <w:tcPr/>
          <w:p>
            <w:pPr>
              <w:pStyle w:val="Compact"/>
            </w:pPr>
          </w:p>
        </w:tc>
      </w:tr>
    </w:tbl>
    <w:bookmarkEnd w:id="475"/>
    <w:bookmarkStart w:id="505" w:name="X1b8a2e2a5ddb829add2f0eb8546c2f841070c31"/>
    <w:p>
      <w:pPr>
        <w:pStyle w:val="Heading2"/>
      </w:pPr>
      <w:r>
        <w:t xml:space="preserve">Voyage AI by MongoDB (Voyage 4 embedding family; Rerank 3 rerankers) (</w:t>
      </w:r>
      <w:r>
        <w:rPr>
          <w:rStyle w:val="VerbatimChar"/>
        </w:rPr>
        <w:t xml:space="preserve">L7-voyage</w:t>
      </w:r>
      <w:r>
        <w:t xml:space="preserve">)</w:t>
      </w:r>
    </w:p>
    <w:p>
      <w:pPr>
        <w:pStyle w:val="FirstParagraph"/>
      </w:pPr>
      <w:r>
        <w:rPr>
          <w:bCs/>
          <w:b/>
        </w:rPr>
        <w:t xml:space="preserve">Tier:</w:t>
      </w:r>
      <w:r>
        <w:t xml:space="preserve"> </w:t>
      </w:r>
      <w:r>
        <w:t xml:space="preserve">Tactical ·</w:t>
      </w:r>
      <w:r>
        <w:t xml:space="preserve"> </w:t>
      </w:r>
      <w:r>
        <w:rPr>
          <w:bCs/>
          <w:b/>
        </w:rPr>
        <w:t xml:space="preserve">Flags:</w:t>
      </w:r>
      <w:r>
        <w:t xml:space="preserve"> </w:t>
      </w:r>
      <w:r>
        <w:t xml:space="preserve">Acquired ·</w:t>
      </w:r>
      <w:r>
        <w:t xml:space="preserve"> </w:t>
      </w:r>
      <w:r>
        <w:rPr>
          <w:bCs/>
          <w:b/>
        </w:rPr>
        <w:t xml:space="preserve">Original graphic label:</w:t>
      </w:r>
      <w:r>
        <w:t xml:space="preserve"> </w:t>
      </w:r>
      <w:r>
        <w:t xml:space="preserve">Voyage AI – Voyage-3</w:t>
      </w:r>
    </w:p>
    <w:p>
      <w:pPr>
        <w:pStyle w:val="BodyText"/>
      </w:pPr>
      <w:r>
        <w:rPr>
          <w:iCs/>
          <w:i/>
        </w:rPr>
        <w:t xml:space="preserve">Rationale:</w:t>
      </w:r>
      <w:r>
        <w:t xml:space="preserve"> </w:t>
      </w:r>
      <w:r>
        <w:t xml:space="preserve">Technically the deepest lineup, but certifications are unverified, key APIs are in preview and ownership now couples it to MongoDB.</w:t>
      </w:r>
    </w:p>
    <w:tbl>
      <w:tblPr>
        <w:tblStyle w:val="Table"/>
        <w:tblW w:type="pct" w:w="5000"/>
        <w:tblLook w:firstRow="1" w:lastRow="0" w:firstColumn="0" w:lastColumn="0" w:noHBand="0" w:noVBand="0" w:val="0020"/>
        <w:jc w:val="start"/>
      </w:tblPr>
      <w:tblGrid>
        <w:gridCol w:w="1545"/>
        <w:gridCol w:w="579"/>
        <w:gridCol w:w="5795"/>
      </w:tblGrid>
      <w:tr>
        <w:trPr>
          <w:tblHeader w:val="true"/>
        </w:trPr>
        <w:tc>
          <w:tcPr/>
          <w:p>
            <w:pPr>
              <w:pStyle w:val="Compact"/>
              <w:jc w:val="left"/>
            </w:pPr>
            <w:r>
              <w:t xml:space="preserve">Criterion</w:t>
            </w:r>
          </w:p>
        </w:tc>
        <w:tc>
          <w:tcPr/>
          <w:p>
            <w:pPr>
              <w:pStyle w:val="Compact"/>
              <w:jc w:val="right"/>
            </w:pPr>
            <w:r>
              <w:t xml:space="preserve">Score</w:t>
            </w:r>
          </w:p>
        </w:tc>
        <w:tc>
          <w:tcPr/>
          <w:p>
            <w:pPr>
              <w:pStyle w:val="Compact"/>
              <w:jc w:val="left"/>
            </w:pPr>
            <w:r>
              <w:t xml:space="preserve">Rationale</w:t>
            </w:r>
          </w:p>
        </w:tc>
      </w:tr>
      <w:tr>
        <w:tc>
          <w:tcPr/>
          <w:p>
            <w:pPr>
              <w:pStyle w:val="Compact"/>
              <w:jc w:val="left"/>
            </w:pPr>
            <w:r>
              <w:t xml:space="preserve">Technical</w:t>
            </w:r>
          </w:p>
        </w:tc>
        <w:tc>
          <w:tcPr/>
          <w:p>
            <w:pPr>
              <w:pStyle w:val="Compact"/>
              <w:jc w:val="right"/>
            </w:pPr>
            <w:r>
              <w:t xml:space="preserve">5</w:t>
            </w:r>
          </w:p>
        </w:tc>
        <w:tc>
          <w:tcPr/>
          <w:p>
            <w:pPr>
              <w:pStyle w:val="Compact"/>
              <w:jc w:val="left"/>
            </w:pPr>
            <w:r>
              <w:t xml:space="preserve">Leading breadth in primary docs: domain, contextual, multimodal, shared space, quantisation and rerankers.</w:t>
            </w:r>
          </w:p>
        </w:tc>
      </w:tr>
      <w:tr>
        <w:tc>
          <w:tcPr/>
          <w:p>
            <w:pPr>
              <w:pStyle w:val="Compact"/>
              <w:jc w:val="left"/>
            </w:pPr>
            <w:r>
              <w:t xml:space="preserve">Enterprise readiness</w:t>
            </w:r>
          </w:p>
        </w:tc>
        <w:tc>
          <w:tcPr/>
          <w:p>
            <w:pPr>
              <w:pStyle w:val="Compact"/>
              <w:jc w:val="right"/>
            </w:pPr>
            <w:r>
              <w:t xml:space="preserve">3</w:t>
            </w:r>
          </w:p>
        </w:tc>
        <w:tc>
          <w:tcPr/>
          <w:p>
            <w:pPr>
              <w:pStyle w:val="Compact"/>
              <w:jc w:val="left"/>
            </w:pPr>
            <w:r>
              <w:t xml:space="preserve">Scored on the Atlas route recommended for MongoDB estates: Voyage model API keys are governed by Atlas organisation and project roles (Organization Owner, Project Owner, Project Model Owner and read-only roles), with an Admin API endpoint for model keys</w:t>
            </w:r>
            <w:r>
              <w:t xml:space="preserve"> </w:t>
            </w:r>
            <w:r>
              <w:rPr>
                <w:rStyle w:val="ClaimLabel"/>
              </w:rPr>
              <w:t xml:space="preserve">VF</w:t>
            </w:r>
            <w:r>
              <w:rPr>
                <w:rStyle w:val="FootnoteReference"/>
              </w:rPr>
              <w:footnoteReference w:id="476"/>
            </w:r>
            <w:r>
              <w:t xml:space="preserve">. One verified control lifts the NPV cap to 3 under rule 7 (CP2 Q2); SSO and audit logging of model-key use are not stated. The AWS Marketplace in-VPC route (A2-S044) would score 4 under rule 6 (CP2 Q1).</w:t>
            </w:r>
          </w:p>
        </w:tc>
      </w:tr>
      <w:tr>
        <w:tc>
          <w:tcPr/>
          <w:p>
            <w:pPr>
              <w:pStyle w:val="Compact"/>
              <w:jc w:val="left"/>
            </w:pPr>
            <w:r>
              <w:t xml:space="preserve">Security and compliance</w:t>
            </w:r>
          </w:p>
        </w:tc>
        <w:tc>
          <w:tcPr/>
          <w:p>
            <w:pPr>
              <w:pStyle w:val="Compact"/>
              <w:jc w:val="right"/>
            </w:pPr>
            <w:r>
              <w:t xml:space="preserve">2</w:t>
            </w:r>
          </w:p>
        </w:tc>
        <w:tc>
          <w:tcPr/>
          <w:p>
            <w:pPr>
              <w:pStyle w:val="Compact"/>
              <w:jc w:val="left"/>
            </w:pPr>
            <w:r>
              <w:t xml:space="preserve">SOC 2/HIPAA appear only as a reported homepage listing; trust-portal scope unverified.</w:t>
            </w:r>
          </w:p>
        </w:tc>
      </w:tr>
      <w:tr>
        <w:tc>
          <w:tcPr/>
          <w:p>
            <w:pPr>
              <w:pStyle w:val="Compact"/>
              <w:jc w:val="left"/>
            </w:pPr>
            <w:r>
              <w:t xml:space="preserve">Deployment flexibility</w:t>
            </w:r>
          </w:p>
        </w:tc>
        <w:tc>
          <w:tcPr/>
          <w:p>
            <w:pPr>
              <w:pStyle w:val="Compact"/>
              <w:jc w:val="right"/>
            </w:pPr>
            <w:r>
              <w:t xml:space="preserve">3</w:t>
            </w:r>
          </w:p>
        </w:tc>
        <w:tc>
          <w:tcPr/>
          <w:p>
            <w:pPr>
              <w:pStyle w:val="Compact"/>
              <w:jc w:val="left"/>
            </w:pPr>
            <w:r>
              <w:t xml:space="preserve">SaaS, Atlas, AWS/Azure marketplaces and in-VPC SageMaker; only nano is self-hostable.</w:t>
            </w:r>
          </w:p>
        </w:tc>
      </w:tr>
      <w:tr>
        <w:tc>
          <w:tcPr/>
          <w:p>
            <w:pPr>
              <w:pStyle w:val="Compact"/>
              <w:jc w:val="left"/>
            </w:pPr>
            <w:r>
              <w:t xml:space="preserve">Ecosystem</w:t>
            </w:r>
          </w:p>
        </w:tc>
        <w:tc>
          <w:tcPr/>
          <w:p>
            <w:pPr>
              <w:pStyle w:val="Compact"/>
              <w:jc w:val="right"/>
            </w:pPr>
            <w:r>
              <w:t xml:space="preserve">4</w:t>
            </w:r>
          </w:p>
        </w:tc>
        <w:tc>
          <w:tcPr/>
          <w:p>
            <w:pPr>
              <w:pStyle w:val="Compact"/>
              <w:jc w:val="left"/>
            </w:pPr>
            <w:r>
              <w:t xml:space="preserve">Native in MongoDB, on AWS and Azure marketplaces; listed in Anthropic’s embeddings docs (author conflict noted).</w:t>
            </w:r>
          </w:p>
        </w:tc>
      </w:tr>
      <w:tr>
        <w:tc>
          <w:tcPr/>
          <w:p>
            <w:pPr>
              <w:pStyle w:val="Compact"/>
              <w:jc w:val="left"/>
            </w:pPr>
            <w:r>
              <w:t xml:space="preserve">Reliability and maturity</w:t>
            </w:r>
          </w:p>
        </w:tc>
        <w:tc>
          <w:tcPr/>
          <w:p>
            <w:pPr>
              <w:pStyle w:val="Compact"/>
              <w:jc w:val="right"/>
            </w:pPr>
            <w:r>
              <w:t xml:space="preserve">3</w:t>
            </w:r>
          </w:p>
        </w:tc>
        <w:tc>
          <w:tcPr/>
          <w:p>
            <w:pPr>
              <w:pStyle w:val="Compact"/>
              <w:jc w:val="left"/>
            </w:pPr>
            <w:r>
              <w:t xml:space="preserve">Frequent generations; MongoDB-integrated APIs and rerank-3 in preview; ownership changed in February 2025.</w:t>
            </w:r>
          </w:p>
        </w:tc>
      </w:tr>
      <w:tr>
        <w:tc>
          <w:tcPr/>
          <w:p>
            <w:pPr>
              <w:pStyle w:val="Compact"/>
              <w:jc w:val="left"/>
            </w:pPr>
            <w:r>
              <w:t xml:space="preserve">Cost / TCO</w:t>
            </w:r>
          </w:p>
        </w:tc>
        <w:tc>
          <w:tcPr/>
          <w:p>
            <w:pPr>
              <w:pStyle w:val="Compact"/>
              <w:jc w:val="right"/>
            </w:pPr>
            <w:r>
              <w:t xml:space="preserve">4</w:t>
            </w:r>
          </w:p>
        </w:tc>
        <w:tc>
          <w:tcPr/>
          <w:p>
            <w:pPr>
              <w:pStyle w:val="Compact"/>
              <w:jc w:val="left"/>
            </w:pPr>
            <w:r>
              <w:t xml:space="preserve">Transparent, low per-token pricing with a large free allowance.</w:t>
            </w:r>
          </w:p>
        </w:tc>
      </w:tr>
      <w:tr>
        <w:tc>
          <w:tcPr/>
          <w:p>
            <w:pPr>
              <w:pStyle w:val="Compact"/>
              <w:jc w:val="left"/>
            </w:pPr>
            <w:r>
              <w:t xml:space="preserve">Lock-in / portability</w:t>
            </w:r>
          </w:p>
        </w:tc>
        <w:tc>
          <w:tcPr/>
          <w:p>
            <w:pPr>
              <w:pStyle w:val="Compact"/>
              <w:jc w:val="right"/>
            </w:pPr>
            <w:r>
              <w:t xml:space="preserve">2</w:t>
            </w:r>
          </w:p>
        </w:tc>
        <w:tc>
          <w:tcPr/>
          <w:p>
            <w:pPr>
              <w:pStyle w:val="Compact"/>
              <w:jc w:val="left"/>
            </w:pPr>
            <w:r>
              <w:t xml:space="preserve">Proprietary API (except nano) on standard interfaces would be 3; reduced by 1 for the 2025 acquisition.</w:t>
            </w:r>
          </w:p>
        </w:tc>
      </w:tr>
      <w:tr>
        <w:tc>
          <w:tcPr/>
          <w:p>
            <w:pPr>
              <w:pStyle w:val="Compact"/>
              <w:jc w:val="left"/>
            </w:pPr>
            <w:r>
              <w:rPr>
                <w:bCs/>
                <w:b/>
              </w:rPr>
              <w:t xml:space="preserve">Total (generic / FS)</w:t>
            </w:r>
          </w:p>
        </w:tc>
        <w:tc>
          <w:tcPr/>
          <w:p>
            <w:pPr>
              <w:pStyle w:val="Compact"/>
              <w:jc w:val="right"/>
            </w:pPr>
            <w:r>
              <w:rPr>
                <w:bCs/>
                <w:b/>
              </w:rPr>
              <w:t xml:space="preserve">3.40 / 3.05</w:t>
            </w:r>
          </w:p>
        </w:tc>
        <w:tc>
          <w:tcPr/>
          <w:p>
            <w:pPr>
              <w:pStyle w:val="Compact"/>
            </w:pPr>
          </w:p>
        </w:tc>
      </w:tr>
    </w:tbl>
    <w:p>
      <w:pPr>
        <w:pStyle w:val="BodyText"/>
      </w:pPr>
      <w:r>
        <w:rPr>
          <w:iCs/>
          <w:i/>
        </w:rPr>
        <w:t xml:space="preserve">Evidence rules applied:</w:t>
      </w:r>
      <w:r>
        <w:t xml:space="preserve"> </w:t>
      </w:r>
      <w:r>
        <w:t xml:space="preserve">NPV cap on enterprise_readiness lifted at CP2 rework (8 October 2026) under rule 7 (CP2 Q2): Atlas organisation and project roles govern model API keys (B-REV-S028); SSO and audit logging for key use not stated, so 3; security_compliance capped at 2 (kept): certifications only Reported from a homepage listing; MongoDB’s SOC 2 scope page does not name Voyage and excludes preview features (B-REV-S027)</w:t>
      </w:r>
    </w:p>
    <w:p>
      <w:pPr>
        <w:pStyle w:val="BodyText"/>
      </w:pPr>
      <w:r>
        <w:rPr>
          <w:bCs/>
          <w:b/>
        </w:rPr>
        <w:t xml:space="preserve">Capabilities.</w:t>
      </w:r>
      <w:r>
        <w:t xml:space="preserve"> </w:t>
      </w:r>
      <w:r>
        <w:t xml:space="preserve">Voyage AI by MongoDB: Voyage 4 family (voyage-4-large, voyage-4, voyage-4-lite, open-weight voyage-4-nano) in one shared embedding space; voyage-code-4, voyage-context-4 (contextualised chunks), voyage-multimodal-3.5, domain models voyage-finance-2 and voyage-law-2; rerank-3 and rerank-3-lite (30 September 2026) with 32K-token context</w:t>
      </w:r>
      <w:r>
        <w:t xml:space="preserve"> </w:t>
      </w:r>
      <w:r>
        <w:rPr>
          <w:rStyle w:val="ClaimLabel"/>
        </w:rPr>
        <w:t xml:space="preserve">VF</w:t>
      </w:r>
      <w:r>
        <w:rPr>
          <w:rStyle w:val="FootnoteReference"/>
        </w:rPr>
        <w:footnoteReference w:id="478"/>
      </w:r>
      <w:r>
        <w:t xml:space="preserve">. rerank-3 is listed as Preview on MongoDB’s model lifecycle page</w:t>
      </w:r>
      <w:r>
        <w:t xml:space="preserve"> </w:t>
      </w:r>
      <w:r>
        <w:rPr>
          <w:rStyle w:val="ClaimLabel"/>
        </w:rPr>
        <w:t xml:space="preserve">VF</w:t>
      </w:r>
      <w:r>
        <w:rPr>
          <w:rStyle w:val="FootnoteReference"/>
        </w:rPr>
        <w:footnoteReference w:id="482"/>
      </w:r>
      <w:r>
        <w:t xml:space="preserve">.</w:t>
      </w:r>
    </w:p>
    <w:p>
      <w:pPr>
        <w:pStyle w:val="BodyText"/>
      </w:pPr>
      <w:r>
        <w:rPr>
          <w:bCs/>
          <w:b/>
        </w:rPr>
        <w:t xml:space="preserve">Strengths</w:t>
      </w:r>
    </w:p>
    <w:p>
      <w:pPr>
        <w:numPr>
          <w:ilvl w:val="0"/>
          <w:numId w:val="1109"/>
        </w:numPr>
        <w:pStyle w:val="Compact"/>
      </w:pPr>
      <w:r>
        <w:t xml:space="preserve">Broadest lineup against this layer’s research questions: domain (finance), contextual, code, multimodal, quantisation including binary, and instruction-following rerankers</w:t>
      </w:r>
      <w:r>
        <w:t xml:space="preserve"> </w:t>
      </w:r>
      <w:r>
        <w:rPr>
          <w:rStyle w:val="ClaimLabel"/>
        </w:rPr>
        <w:t xml:space="preserve">VF</w:t>
      </w:r>
      <w:r>
        <w:rPr>
          <w:rStyle w:val="FootnoteReference"/>
        </w:rPr>
        <w:footnoteReference w:id="483"/>
      </w:r>
    </w:p>
    <w:p>
      <w:pPr>
        <w:numPr>
          <w:ilvl w:val="0"/>
          <w:numId w:val="1109"/>
        </w:numPr>
        <w:pStyle w:val="Compact"/>
      </w:pPr>
      <w:r>
        <w:t xml:space="preserve">Shared Voyage 4 space lets a team index with a large model and query with a small one without re-embedding</w:t>
      </w:r>
      <w:r>
        <w:t xml:space="preserve"> </w:t>
      </w:r>
      <w:r>
        <w:rPr>
          <w:rStyle w:val="ClaimLabel"/>
        </w:rPr>
        <w:t xml:space="preserve">VF</w:t>
      </w:r>
      <w:r>
        <w:rPr>
          <w:rStyle w:val="FootnoteReference"/>
        </w:rPr>
        <w:footnoteReference w:id="484"/>
      </w:r>
    </w:p>
    <w:p>
      <w:pPr>
        <w:numPr>
          <w:ilvl w:val="0"/>
          <w:numId w:val="1109"/>
        </w:numPr>
        <w:pStyle w:val="Compact"/>
      </w:pPr>
      <w:r>
        <w:t xml:space="preserve">Low published prices: voyage-4 US$0.06 per 1M tokens with 200M free tokens per model; rerank-3 US$0.05, rerank-3-lite US$0.02 per 1M tokens (as of 7 October 2026)</w:t>
      </w:r>
      <w:r>
        <w:t xml:space="preserve"> </w:t>
      </w:r>
      <w:r>
        <w:rPr>
          <w:rStyle w:val="ClaimLabel"/>
        </w:rPr>
        <w:t xml:space="preserve">VF</w:t>
      </w:r>
      <w:r>
        <w:rPr>
          <w:rStyle w:val="FootnoteReference"/>
        </w:rPr>
        <w:footnoteReference w:id="485"/>
      </w:r>
    </w:p>
    <w:p>
      <w:pPr>
        <w:numPr>
          <w:ilvl w:val="0"/>
          <w:numId w:val="1109"/>
        </w:numPr>
        <w:pStyle w:val="Compact"/>
      </w:pPr>
      <w:r>
        <w:t xml:space="preserve">In-VPC route via the AWS Marketplace model package in the customer’s account</w:t>
      </w:r>
      <w:r>
        <w:t xml:space="preserve"> </w:t>
      </w:r>
      <w:r>
        <w:rPr>
          <w:rStyle w:val="ClaimLabel"/>
        </w:rPr>
        <w:t xml:space="preserve">VF</w:t>
      </w:r>
      <w:r>
        <w:rPr>
          <w:rStyle w:val="FootnoteReference"/>
        </w:rPr>
        <w:footnoteReference w:id="486"/>
      </w:r>
    </w:p>
    <w:p>
      <w:pPr>
        <w:pStyle w:val="FirstParagraph"/>
      </w:pPr>
      <w:r>
        <w:rPr>
          <w:bCs/>
          <w:b/>
        </w:rPr>
        <w:t xml:space="preserve">Limitations and risks</w:t>
      </w:r>
    </w:p>
    <w:p>
      <w:pPr>
        <w:numPr>
          <w:ilvl w:val="0"/>
          <w:numId w:val="1110"/>
        </w:numPr>
        <w:pStyle w:val="Compact"/>
      </w:pPr>
      <w:r>
        <w:t xml:space="preserve">Acquired by MongoDB (closed 17 February 2025)</w:t>
      </w:r>
      <w:r>
        <w:t xml:space="preserve"> </w:t>
      </w:r>
      <w:r>
        <w:rPr>
          <w:rStyle w:val="ClaimLabel"/>
        </w:rPr>
        <w:t xml:space="preserve">VF</w:t>
      </w:r>
      <w:r>
        <w:rPr>
          <w:rStyle w:val="FootnoteReference"/>
        </w:rPr>
        <w:footnoteReference w:id="488"/>
      </w:r>
      <w:r>
        <w:t xml:space="preserve">; roadmap now tied to MongoDB</w:t>
      </w:r>
      <w:r>
        <w:t xml:space="preserve"> </w:t>
      </w:r>
      <w:r>
        <w:rPr>
          <w:rStyle w:val="ClaimLabel"/>
        </w:rPr>
        <w:t xml:space="preserve">AJ</w:t>
      </w:r>
    </w:p>
    <w:p>
      <w:pPr>
        <w:numPr>
          <w:ilvl w:val="0"/>
          <w:numId w:val="1110"/>
        </w:numPr>
        <w:pStyle w:val="Compact"/>
      </w:pPr>
      <w:r>
        <w:t xml:space="preserve">Certifications rest on a homepage listing; trust-portal report scope not verified</w:t>
      </w:r>
      <w:r>
        <w:t xml:space="preserve"> </w:t>
      </w:r>
      <w:r>
        <w:rPr>
          <w:rStyle w:val="ClaimLabel"/>
        </w:rPr>
        <w:t xml:space="preserve">R</w:t>
      </w:r>
      <w:r>
        <w:rPr>
          <w:rStyle w:val="FootnoteReference"/>
        </w:rPr>
        <w:footnoteReference w:id="491"/>
      </w:r>
      <w:r>
        <w:t xml:space="preserve">; MongoDB points standalone Voyage to a separate trust portal</w:t>
      </w:r>
      <w:r>
        <w:t xml:space="preserve"> </w:t>
      </w:r>
      <w:r>
        <w:rPr>
          <w:rStyle w:val="ClaimLabel"/>
        </w:rPr>
        <w:t xml:space="preserve">VF</w:t>
      </w:r>
      <w:r>
        <w:rPr>
          <w:rStyle w:val="FootnoteReference"/>
        </w:rPr>
        <w:footnoteReference w:id="492"/>
      </w:r>
    </w:p>
    <w:p>
      <w:pPr>
        <w:numPr>
          <w:ilvl w:val="0"/>
          <w:numId w:val="1110"/>
        </w:numPr>
        <w:pStyle w:val="Compact"/>
      </w:pPr>
      <w:r>
        <w:t xml:space="preserve">rerank-3 is Preview on MongoDB’s lifecycle page; Atlas Embedding and Reranking API and Automated Embedding are public preview</w:t>
      </w:r>
      <w:r>
        <w:t xml:space="preserve"> </w:t>
      </w:r>
      <w:r>
        <w:rPr>
          <w:rStyle w:val="ClaimLabel"/>
        </w:rPr>
        <w:t xml:space="preserve">VF</w:t>
      </w:r>
      <w:r>
        <w:rPr>
          <w:rStyle w:val="FootnoteReference"/>
        </w:rPr>
        <w:footnoteReference w:id="494"/>
      </w:r>
    </w:p>
    <w:p>
      <w:pPr>
        <w:numPr>
          <w:ilvl w:val="0"/>
          <w:numId w:val="1110"/>
        </w:numPr>
        <w:pStyle w:val="Compact"/>
      </w:pPr>
      <w:r>
        <w:t xml:space="preserve">Only voyage-4-nano can be self-hosted</w:t>
      </w:r>
      <w:r>
        <w:t xml:space="preserve"> </w:t>
      </w:r>
      <w:r>
        <w:rPr>
          <w:rStyle w:val="ClaimLabel"/>
        </w:rPr>
        <w:t xml:space="preserve">VF</w:t>
      </w:r>
      <w:r>
        <w:rPr>
          <w:rStyle w:val="FootnoteReference"/>
        </w:rPr>
        <w:footnoteReference w:id="497"/>
      </w:r>
    </w:p>
    <w:p>
      <w:pPr>
        <w:numPr>
          <w:ilvl w:val="0"/>
          <w:numId w:val="1110"/>
        </w:numPr>
        <w:pStyle w:val="Compact"/>
      </w:pPr>
      <w:r>
        <w:t xml:space="preserve">Vendor claims that rerank-3 beats competitors are not decision inputs</w:t>
      </w:r>
      <w:r>
        <w:t xml:space="preserve"> </w:t>
      </w:r>
      <w:r>
        <w:rPr>
          <w:rStyle w:val="ClaimLabel"/>
        </w:rPr>
        <w:t xml:space="preserve">R</w:t>
      </w:r>
      <w:r>
        <w:rPr>
          <w:rStyle w:val="FootnoteReference"/>
        </w:rPr>
        <w:footnoteReference w:id="499"/>
      </w:r>
    </w:p>
    <w:p>
      <w:pPr>
        <w:numPr>
          <w:ilvl w:val="0"/>
          <w:numId w:val="1110"/>
        </w:numPr>
        <w:pStyle w:val="Compact"/>
      </w:pPr>
      <w:r>
        <w:t xml:space="preserve">Atlas roles govern who can create, edit or delete model API keys</w:t>
      </w:r>
      <w:r>
        <w:t xml:space="preserve"> </w:t>
      </w:r>
      <w:r>
        <w:rPr>
          <w:rStyle w:val="ClaimLabel"/>
        </w:rPr>
        <w:t xml:space="preserve">VF</w:t>
      </w:r>
      <w:r>
        <w:rPr>
          <w:rStyle w:val="FootnoteReference"/>
        </w:rPr>
        <w:footnoteReference w:id="501"/>
      </w:r>
      <w:r>
        <w:t xml:space="preserve">, but SSO and audit logging of key use are not stated</w:t>
      </w:r>
      <w:r>
        <w:t xml:space="preserve"> </w:t>
      </w:r>
      <w:r>
        <w:rPr>
          <w:rStyle w:val="ClaimLabel"/>
        </w:rPr>
        <w:t xml:space="preserve">NPV</w:t>
      </w:r>
    </w:p>
    <w:p>
      <w:pPr>
        <w:pStyle w:val="FirstParagraph"/>
      </w:pPr>
      <w:r>
        <w:rPr>
          <w:bCs/>
          <w:b/>
        </w:rPr>
        <w:t xml:space="preserve">Choose when</w:t>
      </w:r>
    </w:p>
    <w:p>
      <w:pPr>
        <w:numPr>
          <w:ilvl w:val="0"/>
          <w:numId w:val="1111"/>
        </w:numPr>
        <w:pStyle w:val="Compact"/>
      </w:pPr>
      <w:r>
        <w:t xml:space="preserve">MongoDB is the L6 store, or the firm accepts MongoDB as a strategic supplier</w:t>
      </w:r>
    </w:p>
    <w:p>
      <w:pPr>
        <w:numPr>
          <w:ilvl w:val="0"/>
          <w:numId w:val="1111"/>
        </w:numPr>
        <w:pStyle w:val="Compact"/>
      </w:pPr>
      <w:r>
        <w:t xml:space="preserve">Finance-domain vocabulary and contextualised chunks matter, subject to in-domain evaluation</w:t>
      </w:r>
    </w:p>
    <w:p>
      <w:pPr>
        <w:numPr>
          <w:ilvl w:val="0"/>
          <w:numId w:val="1111"/>
        </w:numPr>
        <w:pStyle w:val="Compact"/>
      </w:pPr>
      <w:r>
        <w:t xml:space="preserve">EU processing via the Atlas Europe Geography is acceptable</w:t>
      </w:r>
    </w:p>
    <w:p>
      <w:pPr>
        <w:pStyle w:val="FirstParagraph"/>
      </w:pPr>
      <w:r>
        <w:rPr>
          <w:bCs/>
          <w:b/>
        </w:rPr>
        <w:t xml:space="preserve">Avoid when</w:t>
      </w:r>
    </w:p>
    <w:p>
      <w:pPr>
        <w:numPr>
          <w:ilvl w:val="0"/>
          <w:numId w:val="1112"/>
        </w:numPr>
        <w:pStyle w:val="Compact"/>
      </w:pPr>
      <w:r>
        <w:t xml:space="preserve">UK processing or on-premises hosting of the main models is mandatory</w:t>
      </w:r>
    </w:p>
    <w:p>
      <w:pPr>
        <w:numPr>
          <w:ilvl w:val="0"/>
          <w:numId w:val="1112"/>
        </w:numPr>
        <w:pStyle w:val="Compact"/>
      </w:pPr>
      <w:r>
        <w:t xml:space="preserve">Independence between the retrieval-store vendor and the embedding vendor is a concentration requirement</w:t>
      </w:r>
    </w:p>
    <w:p>
      <w:pPr>
        <w:pStyle w:val="FirstParagraph"/>
      </w:pPr>
      <w:r>
        <w:rPr>
          <w:bCs/>
          <w:b/>
        </w:rPr>
        <w:t xml:space="preserve">Nearest competitors:</w:t>
      </w:r>
      <w:r>
        <w:t xml:space="preserve"> </w:t>
      </w:r>
      <w:r>
        <w:t xml:space="preserve">L7-cohere, L7-jina, L7-qwen3-embedding, L7-openai</w:t>
      </w:r>
    </w:p>
    <w:p>
      <w:pPr>
        <w:pStyle w:val="BodyText"/>
      </w:pPr>
      <w:r>
        <w:rPr>
          <w:bCs/>
          <w:b/>
        </w:rPr>
        <w:t xml:space="preserve">Regulated-FS note.</w:t>
      </w:r>
      <w:r>
        <w:t xml:space="preserve"> </w:t>
      </w:r>
      <w:r>
        <w:t xml:space="preserve">The Atlas Embedding and Reranking API offers an EEA Geography with no fallback outside it, at a 10% premium</w:t>
      </w:r>
      <w:r>
        <w:t xml:space="preserve"> </w:t>
      </w:r>
      <w:r>
        <w:rPr>
          <w:rStyle w:val="ClaimLabel"/>
        </w:rPr>
        <w:t xml:space="preserve">VF</w:t>
      </w:r>
      <w:r>
        <w:rPr>
          <w:rStyle w:val="FootnoteReference"/>
        </w:rPr>
        <w:footnoteReference w:id="502"/>
      </w:r>
      <w:r>
        <w:t xml:space="preserve">; Automated Embedding and Native Reranking do not yet support Geography targeting</w:t>
      </w:r>
      <w:r>
        <w:t xml:space="preserve"> </w:t>
      </w:r>
      <w:r>
        <w:rPr>
          <w:rStyle w:val="ClaimLabel"/>
        </w:rPr>
        <w:t xml:space="preserve">VF</w:t>
      </w:r>
      <w:r>
        <w:rPr>
          <w:rStyle w:val="FootnoteReference"/>
        </w:rPr>
        <w:footnoteReference w:id="504"/>
      </w:r>
      <w:r>
        <w:t xml:space="preserve">. Request the Voyage SOC 2 report and its scope before use with client data</w:t>
      </w:r>
      <w:r>
        <w:t xml:space="preserve"> </w:t>
      </w:r>
      <w:r>
        <w:rPr>
          <w:rStyle w:val="ClaimLabel"/>
        </w:rPr>
        <w:t xml:space="preserve">Rec</w:t>
      </w:r>
      <w:r>
        <w:t xml:space="preserve">.</w:t>
      </w:r>
    </w:p>
    <w:p>
      <w:pPr>
        <w:pStyle w:val="BodyText"/>
      </w:pPr>
      <w:r>
        <w:rPr>
          <w:bCs/>
          <w:b/>
        </w:rPr>
        <w:t xml:space="preserve">Facts (as of 2026-10-08)</w:t>
      </w:r>
    </w:p>
    <w:tbl>
      <w:tblPr>
        <w:tblStyle w:val="Table"/>
        <w:tblW w:type="pct" w:w="5000"/>
        <w:tblLook w:firstRow="1" w:lastRow="0" w:firstColumn="0" w:lastColumn="0" w:noHBand="0" w:noVBand="0" w:val="0020"/>
        <w:jc w:val="start"/>
      </w:tblPr>
      <w:tblGrid>
        <w:gridCol w:w="1485"/>
        <w:gridCol w:w="4290"/>
        <w:gridCol w:w="1320"/>
        <w:gridCol w:w="825"/>
      </w:tblGrid>
      <w:tr>
        <w:trPr>
          <w:tblHeader w:val="true"/>
        </w:trPr>
        <w:tc>
          <w:tcPr/>
          <w:p>
            <w:pPr>
              <w:pStyle w:val="Compact"/>
              <w:jc w:val="left"/>
            </w:pPr>
            <w:r>
              <w:t xml:space="preserve">Field</w:t>
            </w:r>
          </w:p>
        </w:tc>
        <w:tc>
          <w:tcPr/>
          <w:p>
            <w:pPr>
              <w:pStyle w:val="Compact"/>
              <w:jc w:val="left"/>
            </w:pPr>
            <w:r>
              <w:t xml:space="preserve">Value</w:t>
            </w:r>
          </w:p>
        </w:tc>
        <w:tc>
          <w:tcPr/>
          <w:p>
            <w:pPr>
              <w:pStyle w:val="Compact"/>
              <w:jc w:val="left"/>
            </w:pPr>
            <w:r>
              <w:t xml:space="preserve">Label</w:t>
            </w:r>
          </w:p>
        </w:tc>
        <w:tc>
          <w:tcPr/>
          <w:p>
            <w:pPr>
              <w:pStyle w:val="Compact"/>
              <w:jc w:val="left"/>
            </w:pPr>
            <w:r>
              <w:t xml:space="preserve">Sources</w:t>
            </w:r>
          </w:p>
        </w:tc>
      </w:tr>
      <w:tr>
        <w:tc>
          <w:tcPr/>
          <w:p>
            <w:pPr>
              <w:pStyle w:val="Compact"/>
              <w:jc w:val="left"/>
            </w:pPr>
            <w:r>
              <w:t xml:space="preserve">Company</w:t>
            </w:r>
          </w:p>
        </w:tc>
        <w:tc>
          <w:tcPr/>
          <w:p>
            <w:pPr>
              <w:pStyle w:val="Compact"/>
              <w:jc w:val="left"/>
            </w:pPr>
            <w:r>
              <w:t xml:space="preserve">Voyage AI, acquired by MongoDB, Inc. (closed 17 February 2025)</w:t>
            </w:r>
          </w:p>
        </w:tc>
        <w:tc>
          <w:tcPr/>
          <w:p>
            <w:pPr>
              <w:pStyle w:val="Compact"/>
              <w:jc w:val="left"/>
            </w:pPr>
            <w:r>
              <w:t xml:space="preserve">Verified fact</w:t>
            </w:r>
          </w:p>
        </w:tc>
        <w:tc>
          <w:tcPr/>
          <w:p>
            <w:pPr>
              <w:pStyle w:val="Compact"/>
              <w:jc w:val="left"/>
            </w:pPr>
            <w:r>
              <w:t xml:space="preserve">A2-S033</w:t>
            </w:r>
          </w:p>
        </w:tc>
      </w:tr>
      <w:tr>
        <w:tc>
          <w:tcPr/>
          <w:p>
            <w:pPr>
              <w:pStyle w:val="Compact"/>
              <w:jc w:val="left"/>
            </w:pPr>
            <w:r>
              <w:t xml:space="preserve">Category</w:t>
            </w:r>
          </w:p>
        </w:tc>
        <w:tc>
          <w:tcPr/>
          <w:p>
            <w:pPr>
              <w:pStyle w:val="Compact"/>
              <w:jc w:val="left"/>
            </w:pPr>
            <w:r>
              <w:t xml:space="preserve">Embedding and reranking models (hosted API, marketplace model packages, one open-weight model)</w:t>
            </w:r>
          </w:p>
        </w:tc>
        <w:tc>
          <w:tcPr/>
          <w:p>
            <w:pPr>
              <w:pStyle w:val="Compact"/>
              <w:jc w:val="left"/>
            </w:pPr>
            <w:r>
              <w:t xml:space="preserve">Verified fact</w:t>
            </w:r>
          </w:p>
        </w:tc>
        <w:tc>
          <w:tcPr/>
          <w:p>
            <w:pPr>
              <w:pStyle w:val="Compact"/>
              <w:jc w:val="left"/>
            </w:pPr>
            <w:r>
              <w:t xml:space="preserve">A2-S007, A2-S044</w:t>
            </w:r>
          </w:p>
        </w:tc>
      </w:tr>
      <w:tr>
        <w:tc>
          <w:tcPr/>
          <w:p>
            <w:pPr>
              <w:pStyle w:val="Compact"/>
              <w:jc w:val="left"/>
            </w:pPr>
            <w:r>
              <w:t xml:space="preserve">Version / lineup</w:t>
            </w:r>
          </w:p>
        </w:tc>
        <w:tc>
          <w:tcPr/>
          <w:p>
            <w:pPr>
              <w:pStyle w:val="Compact"/>
              <w:jc w:val="left"/>
            </w:pPr>
            <w:r>
              <w:t xml:space="preserve">Voyage 4 (launched 15 January 2026): voyage-4-large, voyage-4, voyage-4-lite, voyage-4-nano (open weights); plus voyage-code-4, voyage-context-4 (contextualised chunk embeddings), voyage-multimodal-3.5 (text, image, video); domain models voyage-finance-2 and voyage-law-2. Rerankers: rerank-3 and rerank-3-lite (announced 30 September 2026; MongoDB model-lifecycle page lists them as Preview), rerank-2.5 series retained for existing users.</w:t>
            </w:r>
          </w:p>
        </w:tc>
        <w:tc>
          <w:tcPr/>
          <w:p>
            <w:pPr>
              <w:pStyle w:val="Compact"/>
              <w:jc w:val="left"/>
            </w:pPr>
            <w:r>
              <w:t xml:space="preserve">Verified fact</w:t>
            </w:r>
          </w:p>
        </w:tc>
        <w:tc>
          <w:tcPr/>
          <w:p>
            <w:pPr>
              <w:pStyle w:val="Compact"/>
              <w:jc w:val="left"/>
            </w:pPr>
            <w:r>
              <w:t xml:space="preserve">A2-S006, A2-S007, A2-S034, A2-S071, V1-S024</w:t>
            </w:r>
          </w:p>
        </w:tc>
      </w:tr>
      <w:tr>
        <w:tc>
          <w:tcPr/>
          <w:p>
            <w:pPr>
              <w:pStyle w:val="Compact"/>
              <w:jc w:val="left"/>
            </w:pPr>
            <w:r>
              <w:t xml:space="preserve">Licence</w:t>
            </w:r>
          </w:p>
        </w:tc>
        <w:tc>
          <w:tcPr/>
          <w:p>
            <w:pPr>
              <w:pStyle w:val="Compact"/>
              <w:jc w:val="left"/>
            </w:pPr>
            <w:r>
              <w:t xml:space="preserve">Proprietary hosted models; voyage-4-nano is open-weight under Apache 2.0</w:t>
            </w:r>
          </w:p>
        </w:tc>
        <w:tc>
          <w:tcPr/>
          <w:p>
            <w:pPr>
              <w:pStyle w:val="Compact"/>
              <w:jc w:val="left"/>
            </w:pPr>
            <w:r>
              <w:t xml:space="preserve">Verified fact</w:t>
            </w:r>
          </w:p>
        </w:tc>
        <w:tc>
          <w:tcPr/>
          <w:p>
            <w:pPr>
              <w:pStyle w:val="Compact"/>
              <w:jc w:val="left"/>
            </w:pPr>
            <w:r>
              <w:t xml:space="preserve">A2-S006, A2-S071</w:t>
            </w:r>
          </w:p>
        </w:tc>
      </w:tr>
      <w:tr>
        <w:tc>
          <w:tcPr/>
          <w:p>
            <w:pPr>
              <w:pStyle w:val="Compact"/>
              <w:jc w:val="left"/>
            </w:pPr>
            <w:r>
              <w:t xml:space="preserve">Status events</w:t>
            </w:r>
          </w:p>
        </w:tc>
        <w:tc>
          <w:tcPr/>
          <w:p>
            <w:pPr>
              <w:pStyle w:val="Compact"/>
              <w:jc w:val="left"/>
            </w:pPr>
            <w:r>
              <w:t xml:space="preserve">17 February 2025: acquired by MongoDB (announced 24 February 2025); August 2025: rerank-2.5 / rerank-2.5-lite with instruction following; 15 January 2026: Voyage 4 family launched; Voyage 3.x becomes previous generation; 30 September 2026: rerank-3 / rerank-3-lite launched; rerank-2.5 becomes previous generation</w:t>
            </w:r>
          </w:p>
        </w:tc>
        <w:tc>
          <w:tcPr/>
          <w:p>
            <w:pPr>
              <w:pStyle w:val="Compact"/>
              <w:jc w:val="left"/>
            </w:pPr>
            <w:r>
              <w:t xml:space="preserve">Verified fact</w:t>
            </w:r>
          </w:p>
        </w:tc>
        <w:tc>
          <w:tcPr/>
          <w:p>
            <w:pPr>
              <w:pStyle w:val="Compact"/>
              <w:jc w:val="left"/>
            </w:pPr>
            <w:r>
              <w:t xml:space="preserve">A2-S033, A2-S006, A2-S034, V1-S023, V1-S024</w:t>
            </w:r>
          </w:p>
        </w:tc>
      </w:tr>
      <w:tr>
        <w:tc>
          <w:tcPr/>
          <w:p>
            <w:pPr>
              <w:pStyle w:val="Compact"/>
              <w:jc w:val="left"/>
            </w:pPr>
            <w:r>
              <w:t xml:space="preserve">Strategic direction</w:t>
            </w:r>
          </w:p>
        </w:tc>
        <w:tc>
          <w:tcPr/>
          <w:p>
            <w:pPr>
              <w:pStyle w:val="Compact"/>
              <w:jc w:val="left"/>
            </w:pPr>
            <w:r>
              <w:t xml:space="preserve">Being folded into MongoDB: Embedding and Reranking API on Atlas (public preview) and Automated Embedding in MongoDB Vector Search (public preview on Community Edition; Atlas</w:t>
            </w:r>
            <w:r>
              <w:t xml:space="preserve"> </w:t>
            </w:r>
            <w:r>
              <w:t xml:space="preserve">‘</w:t>
            </w:r>
            <w:r>
              <w:t xml:space="preserve">coming soon</w:t>
            </w:r>
            <w:r>
              <w:t xml:space="preserve">’</w:t>
            </w:r>
            <w:r>
              <w:t xml:space="preserve"> </w:t>
            </w:r>
            <w:r>
              <w:t xml:space="preserve">as of January 2026). Voyage 4 models share one embedding space so documents and queries can use different model sizes.</w:t>
            </w:r>
          </w:p>
        </w:tc>
        <w:tc>
          <w:tcPr/>
          <w:p>
            <w:pPr>
              <w:pStyle w:val="Compact"/>
              <w:jc w:val="left"/>
            </w:pPr>
            <w:r>
              <w:t xml:space="preserve">Verified fact</w:t>
            </w:r>
          </w:p>
        </w:tc>
        <w:tc>
          <w:tcPr/>
          <w:p>
            <w:pPr>
              <w:pStyle w:val="Compact"/>
              <w:jc w:val="left"/>
            </w:pPr>
            <w:r>
              <w:t xml:space="preserve">A2-S008, A2-S077, A2-S078, A2-S006</w:t>
            </w:r>
          </w:p>
        </w:tc>
      </w:tr>
      <w:tr>
        <w:tc>
          <w:tcPr/>
          <w:p>
            <w:pPr>
              <w:pStyle w:val="Compact"/>
              <w:jc w:val="left"/>
            </w:pPr>
            <w:r>
              <w:t xml:space="preserve">What it does</w:t>
            </w:r>
          </w:p>
        </w:tc>
        <w:tc>
          <w:tcPr/>
          <w:p>
            <w:pPr>
              <w:pStyle w:val="Compact"/>
              <w:jc w:val="left"/>
            </w:pPr>
            <w:r>
              <w:t xml:space="preserve">General-purpose, code, domain-specific, contextualised and multimodal embedding models plus instruction-following rerankers (32K-token context). voyage-4: 32,000-token context, 1,024 default dims (256/512/2,048 options), multiple quantisation options including binary.</w:t>
            </w:r>
          </w:p>
        </w:tc>
        <w:tc>
          <w:tcPr/>
          <w:p>
            <w:pPr>
              <w:pStyle w:val="Compact"/>
              <w:jc w:val="left"/>
            </w:pPr>
            <w:r>
              <w:t xml:space="preserve">Verified fact</w:t>
            </w:r>
          </w:p>
        </w:tc>
        <w:tc>
          <w:tcPr/>
          <w:p>
            <w:pPr>
              <w:pStyle w:val="Compact"/>
              <w:jc w:val="left"/>
            </w:pPr>
            <w:r>
              <w:t xml:space="preserve">A2-S007, A2-S006, A2-S034</w:t>
            </w:r>
          </w:p>
        </w:tc>
      </w:tr>
      <w:tr>
        <w:tc>
          <w:tcPr/>
          <w:p>
            <w:pPr>
              <w:pStyle w:val="Compact"/>
              <w:jc w:val="left"/>
            </w:pPr>
            <w:r>
              <w:t xml:space="preserve">Stack position</w:t>
            </w:r>
          </w:p>
        </w:tc>
        <w:tc>
          <w:tcPr/>
          <w:p>
            <w:pPr>
              <w:pStyle w:val="Compact"/>
              <w:jc w:val="left"/>
            </w:pPr>
            <w:r>
              <w:t xml:space="preserve">L7, covering both embedding and reranking; increasingly also embedded inside L6 (MongoDB Vector Search automated embedding).</w:t>
            </w:r>
          </w:p>
        </w:tc>
        <w:tc>
          <w:tcPr/>
          <w:p>
            <w:pPr>
              <w:pStyle w:val="Compact"/>
              <w:jc w:val="left"/>
            </w:pPr>
            <w:r>
              <w:t xml:space="preserve">Architectural judgement</w:t>
            </w:r>
          </w:p>
        </w:tc>
        <w:tc>
          <w:tcPr/>
          <w:p>
            <w:pPr>
              <w:pStyle w:val="Compact"/>
            </w:pPr>
          </w:p>
        </w:tc>
      </w:tr>
      <w:tr>
        <w:tc>
          <w:tcPr/>
          <w:p>
            <w:pPr>
              <w:pStyle w:val="Compact"/>
              <w:jc w:val="left"/>
            </w:pPr>
            <w:r>
              <w:t xml:space="preserve">Integration</w:t>
            </w:r>
          </w:p>
        </w:tc>
        <w:tc>
          <w:tcPr/>
          <w:p>
            <w:pPr>
              <w:pStyle w:val="Compact"/>
              <w:jc w:val="left"/>
            </w:pPr>
            <w:r>
              <w:t xml:space="preserve">REST API and SDKs; Atlas Embedding and Reranking API; AWS and Azure Marketplace; automated embedding inside MongoDB Vector Search</w:t>
            </w:r>
          </w:p>
        </w:tc>
        <w:tc>
          <w:tcPr/>
          <w:p>
            <w:pPr>
              <w:pStyle w:val="Compact"/>
              <w:jc w:val="left"/>
            </w:pPr>
            <w:r>
              <w:t xml:space="preserve">Verified fact</w:t>
            </w:r>
          </w:p>
        </w:tc>
        <w:tc>
          <w:tcPr/>
          <w:p>
            <w:pPr>
              <w:pStyle w:val="Compact"/>
              <w:jc w:val="left"/>
            </w:pPr>
            <w:r>
              <w:t xml:space="preserve">A2-S033, A2-S077, A2-S078</w:t>
            </w:r>
          </w:p>
        </w:tc>
      </w:tr>
      <w:tr>
        <w:tc>
          <w:tcPr/>
          <w:p>
            <w:pPr>
              <w:pStyle w:val="Compact"/>
              <w:jc w:val="left"/>
            </w:pPr>
            <w:r>
              <w:t xml:space="preserve">Dependencies</w:t>
            </w:r>
          </w:p>
        </w:tc>
        <w:tc>
          <w:tcPr/>
          <w:p>
            <w:pPr>
              <w:pStyle w:val="Compact"/>
              <w:jc w:val="left"/>
            </w:pPr>
            <w:r>
              <w:t xml:space="preserve">Voyage/MongoDB hosted API, or AWS SageMaker (GPU instances such as ml.g5.xlarge) for marketplace model packages; voyage-4-nano runs anywhere (Hugging Face weights)</w:t>
            </w:r>
          </w:p>
        </w:tc>
        <w:tc>
          <w:tcPr/>
          <w:p>
            <w:pPr>
              <w:pStyle w:val="Compact"/>
              <w:jc w:val="left"/>
            </w:pPr>
            <w:r>
              <w:t xml:space="preserve">Verified fact</w:t>
            </w:r>
          </w:p>
        </w:tc>
        <w:tc>
          <w:tcPr/>
          <w:p>
            <w:pPr>
              <w:pStyle w:val="Compact"/>
              <w:jc w:val="left"/>
            </w:pPr>
            <w:r>
              <w:t xml:space="preserve">A2-S044, A2-S071</w:t>
            </w:r>
          </w:p>
        </w:tc>
      </w:tr>
      <w:tr>
        <w:tc>
          <w:tcPr/>
          <w:p>
            <w:pPr>
              <w:pStyle w:val="Compact"/>
              <w:jc w:val="left"/>
            </w:pPr>
            <w:r>
              <w:t xml:space="preserve">Certifications</w:t>
            </w:r>
          </w:p>
        </w:tc>
        <w:tc>
          <w:tcPr/>
          <w:p>
            <w:pPr>
              <w:pStyle w:val="Compact"/>
              <w:jc w:val="left"/>
            </w:pPr>
            <w:r>
              <w:t xml:space="preserve">SOC 2 and HIPAA listed in Voyage AI homepage/terms; MongoDB Trust Portal refers standalone Voyage to a separate VoyageAI Trust Portal (report scope not verified)</w:t>
            </w:r>
          </w:p>
        </w:tc>
        <w:tc>
          <w:tcPr/>
          <w:p>
            <w:pPr>
              <w:pStyle w:val="Compact"/>
              <w:jc w:val="left"/>
            </w:pPr>
            <w:r>
              <w:t xml:space="preserve">Reported</w:t>
            </w:r>
          </w:p>
        </w:tc>
        <w:tc>
          <w:tcPr/>
          <w:p>
            <w:pPr>
              <w:pStyle w:val="Compact"/>
              <w:jc w:val="left"/>
            </w:pPr>
            <w:r>
              <w:t xml:space="preserve">A2-S044, A2-S143, A2-S138</w:t>
            </w:r>
          </w:p>
        </w:tc>
      </w:tr>
      <w:tr>
        <w:tc>
          <w:tcPr/>
          <w:p>
            <w:pPr>
              <w:pStyle w:val="Compact"/>
              <w:jc w:val="left"/>
            </w:pPr>
            <w:r>
              <w:t xml:space="preserve">GDPR / residency</w:t>
            </w:r>
          </w:p>
        </w:tc>
        <w:tc>
          <w:tcPr/>
          <w:p>
            <w:pPr>
              <w:pStyle w:val="Compact"/>
              <w:jc w:val="left"/>
            </w:pPr>
            <w:r>
              <w:t xml:space="preserve">Atlas Embedding and Reranking API: Europe Geography (EEA regions) and US Geography processing boundaries, no fallback outside the Geography, 10% price premium (announced 1 September 2026, public preview at launch); Voyage-hosted API: opt-out of training gives zero-day retention</w:t>
            </w:r>
          </w:p>
        </w:tc>
        <w:tc>
          <w:tcPr/>
          <w:p>
            <w:pPr>
              <w:pStyle w:val="Compact"/>
              <w:jc w:val="left"/>
            </w:pPr>
            <w:r>
              <w:t xml:space="preserve">Verified fact</w:t>
            </w:r>
          </w:p>
        </w:tc>
        <w:tc>
          <w:tcPr/>
          <w:p>
            <w:pPr>
              <w:pStyle w:val="Compact"/>
              <w:jc w:val="left"/>
            </w:pPr>
            <w:r>
              <w:t xml:space="preserve">A2-S142, A2-S143</w:t>
            </w:r>
          </w:p>
        </w:tc>
      </w:tr>
      <w:tr>
        <w:tc>
          <w:tcPr/>
          <w:p>
            <w:pPr>
              <w:pStyle w:val="Compact"/>
              <w:jc w:val="left"/>
            </w:pPr>
            <w:r>
              <w:t xml:space="preserve">Security features</w:t>
            </w:r>
          </w:p>
        </w:tc>
        <w:tc>
          <w:tcPr/>
          <w:p>
            <w:pPr>
              <w:pStyle w:val="Compact"/>
              <w:jc w:val="left"/>
            </w:pPr>
            <w:r>
              <w:t xml:space="preserve">In-VPC marketplace deployment keeps data flow and API access in the customer’s account (AWS acts as sub-processor)</w:t>
            </w:r>
          </w:p>
        </w:tc>
        <w:tc>
          <w:tcPr/>
          <w:p>
            <w:pPr>
              <w:pStyle w:val="Compact"/>
              <w:jc w:val="left"/>
            </w:pPr>
            <w:r>
              <w:t xml:space="preserve">Verified fact</w:t>
            </w:r>
          </w:p>
        </w:tc>
        <w:tc>
          <w:tcPr/>
          <w:p>
            <w:pPr>
              <w:pStyle w:val="Compact"/>
              <w:jc w:val="left"/>
            </w:pPr>
            <w:r>
              <w:t xml:space="preserve">A2-S044</w:t>
            </w:r>
          </w:p>
        </w:tc>
      </w:tr>
      <w:tr>
        <w:tc>
          <w:tcPr/>
          <w:p>
            <w:pPr>
              <w:pStyle w:val="Compact"/>
              <w:jc w:val="left"/>
            </w:pPr>
            <w:r>
              <w:t xml:space="preserve">Access controls</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Enterprise support</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Pricing</w:t>
            </w:r>
          </w:p>
        </w:tc>
        <w:tc>
          <w:tcPr/>
          <w:p>
            <w:pPr>
              <w:pStyle w:val="Compact"/>
              <w:jc w:val="left"/>
            </w:pPr>
            <w:r>
              <w:t xml:space="preserve">voyage-4 US$0.06 per 1M tokens, first 200M tokens free per model; rerank-3 US$0.05 and rerank-3-lite US$0.02 per 1M tokens</w:t>
            </w:r>
          </w:p>
        </w:tc>
        <w:tc>
          <w:tcPr/>
          <w:p>
            <w:pPr>
              <w:pStyle w:val="Compact"/>
              <w:jc w:val="left"/>
            </w:pPr>
            <w:r>
              <w:t xml:space="preserve">Verified fact</w:t>
            </w:r>
          </w:p>
        </w:tc>
        <w:tc>
          <w:tcPr/>
          <w:p>
            <w:pPr>
              <w:pStyle w:val="Compact"/>
              <w:jc w:val="left"/>
            </w:pPr>
            <w:r>
              <w:t xml:space="preserve">A2-S007, A2-S034</w:t>
            </w:r>
          </w:p>
        </w:tc>
      </w:tr>
      <w:tr>
        <w:tc>
          <w:tcPr/>
          <w:p>
            <w:pPr>
              <w:pStyle w:val="Compact"/>
              <w:jc w:val="left"/>
            </w:pPr>
            <w:r>
              <w:t xml:space="preserve">Infrastructure cost</w:t>
            </w:r>
          </w:p>
        </w:tc>
        <w:tc>
          <w:tcPr/>
          <w:p>
            <w:pPr>
              <w:pStyle w:val="Compact"/>
              <w:jc w:val="left"/>
            </w:pPr>
            <w:r>
              <w:t xml:space="preserve">Marketplace self-deployment requires SageMaker GPU instances (e.g. ml.g5.xlarge); default quotas are often zero</w:t>
            </w:r>
          </w:p>
        </w:tc>
        <w:tc>
          <w:tcPr/>
          <w:p>
            <w:pPr>
              <w:pStyle w:val="Compact"/>
              <w:jc w:val="left"/>
            </w:pPr>
            <w:r>
              <w:t xml:space="preserve">Verified fact</w:t>
            </w:r>
          </w:p>
        </w:tc>
        <w:tc>
          <w:tcPr/>
          <w:p>
            <w:pPr>
              <w:pStyle w:val="Compact"/>
              <w:jc w:val="left"/>
            </w:pPr>
            <w:r>
              <w:t xml:space="preserve">A2-S044</w:t>
            </w:r>
          </w:p>
        </w:tc>
      </w:tr>
      <w:tr>
        <w:tc>
          <w:tcPr/>
          <w:p>
            <w:pPr>
              <w:pStyle w:val="Compact"/>
              <w:jc w:val="left"/>
            </w:pPr>
            <w:r>
              <w:t xml:space="preserve">Ecosystem</w:t>
            </w:r>
          </w:p>
        </w:tc>
        <w:tc>
          <w:tcPr/>
          <w:p>
            <w:pPr>
              <w:pStyle w:val="Compact"/>
              <w:jc w:val="left"/>
            </w:pPr>
            <w:r>
              <w:t xml:space="preserve">Recommended in Anthropic’s Claude embeddings documentation; available via AWS and Azure marketplaces; native in MongoDB</w:t>
            </w:r>
          </w:p>
        </w:tc>
        <w:tc>
          <w:tcPr/>
          <w:p>
            <w:pPr>
              <w:pStyle w:val="Compact"/>
              <w:jc w:val="left"/>
            </w:pPr>
            <w:r>
              <w:t xml:space="preserve">Verified fact</w:t>
            </w:r>
          </w:p>
        </w:tc>
        <w:tc>
          <w:tcPr/>
          <w:p>
            <w:pPr>
              <w:pStyle w:val="Compact"/>
              <w:jc w:val="left"/>
            </w:pPr>
            <w:r>
              <w:t xml:space="preserve">A2-S071, A2-S033, A2-S078</w:t>
            </w:r>
          </w:p>
        </w:tc>
      </w:tr>
      <w:tr>
        <w:tc>
          <w:tcPr/>
          <w:p>
            <w:pPr>
              <w:pStyle w:val="Compact"/>
              <w:jc w:val="left"/>
            </w:pPr>
            <w:r>
              <w:t xml:space="preserve">Adoption signals</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Maturity</w:t>
            </w:r>
          </w:p>
        </w:tc>
        <w:tc>
          <w:tcPr/>
          <w:p>
            <w:pPr>
              <w:pStyle w:val="Compact"/>
              <w:jc w:val="left"/>
            </w:pPr>
            <w:r>
              <w:t xml:space="preserve">Frequent model generations (rerank-2.5 Aug 2025, Voyage 4 Jan 2026, rerank-3 Sep 2026); MongoDB-integrated APIs still in public preview</w:t>
            </w:r>
          </w:p>
        </w:tc>
        <w:tc>
          <w:tcPr/>
          <w:p>
            <w:pPr>
              <w:pStyle w:val="Compact"/>
              <w:jc w:val="left"/>
            </w:pPr>
            <w:r>
              <w:t xml:space="preserve">Verified fact</w:t>
            </w:r>
          </w:p>
        </w:tc>
        <w:tc>
          <w:tcPr/>
          <w:p>
            <w:pPr>
              <w:pStyle w:val="Compact"/>
              <w:jc w:val="left"/>
            </w:pPr>
            <w:r>
              <w:t xml:space="preserve">A2-S034, A2-S006, A2-S077</w:t>
            </w:r>
          </w:p>
        </w:tc>
      </w:tr>
      <w:tr>
        <w:tc>
          <w:tcPr/>
          <w:p>
            <w:pPr>
              <w:pStyle w:val="Compact"/>
              <w:jc w:val="left"/>
            </w:pPr>
            <w:r>
              <w:t xml:space="preserve">Deployment</w:t>
            </w:r>
          </w:p>
        </w:tc>
        <w:tc>
          <w:tcPr/>
          <w:p>
            <w:pPr>
              <w:pStyle w:val="Compact"/>
              <w:jc w:val="left"/>
            </w:pPr>
            <w:r>
              <w:t xml:space="preserve">saas: Yes; managed_cloud: Yes (AWS Marketplace, Azure Marketplace, MongoDB Atlas); vpc_byoc: Yes (model package deployed in the customer’s AWS account and VPC via SageMaker); private_cloud: Not publicly verified; self_hosted: Partial (voyage-4-nano open weights only); on_prem: Not publicly verified</w:t>
            </w:r>
          </w:p>
        </w:tc>
        <w:tc>
          <w:tcPr/>
          <w:p>
            <w:pPr>
              <w:pStyle w:val="Compact"/>
            </w:pPr>
          </w:p>
        </w:tc>
        <w:tc>
          <w:tcPr/>
          <w:p>
            <w:pPr>
              <w:pStyle w:val="Compact"/>
            </w:pPr>
          </w:p>
        </w:tc>
      </w:tr>
    </w:tbl>
    <w:bookmarkEnd w:id="505"/>
    <w:bookmarkStart w:id="517" w:name="X230adf59a2963949340e1e59102f4a712caf331"/>
    <w:p>
      <w:pPr>
        <w:pStyle w:val="Heading2"/>
      </w:pPr>
      <w:r>
        <w:t xml:space="preserve">NVIDIA NeMo Retriever embedding and reranking NIM microservices (Nemotron embedding/reranking models) (</w:t>
      </w:r>
      <w:r>
        <w:rPr>
          <w:rStyle w:val="VerbatimChar"/>
        </w:rPr>
        <w:t xml:space="preserve">L7-nvidia-nemo-retriever</w:t>
      </w:r>
      <w:r>
        <w:t xml:space="preserve">)</w:t>
      </w:r>
    </w:p>
    <w:p>
      <w:pPr>
        <w:pStyle w:val="FirstParagraph"/>
      </w:pPr>
      <w:r>
        <w:rPr>
          <w:bCs/>
          <w:b/>
        </w:rPr>
        <w:t xml:space="preserve">Tier:</w:t>
      </w:r>
      <w:r>
        <w:t xml:space="preserve"> </w:t>
      </w:r>
      <w:r>
        <w:t xml:space="preserve">Tactical ·</w:t>
      </w:r>
      <w:r>
        <w:t xml:space="preserve"> </w:t>
      </w:r>
      <w:r>
        <w:rPr>
          <w:bCs/>
          <w:b/>
        </w:rPr>
        <w:t xml:space="preserve">Flags:</w:t>
      </w:r>
      <w:r>
        <w:t xml:space="preserve"> </w:t>
      </w:r>
      <w:r>
        <w:t xml:space="preserve">Renamed ·</w:t>
      </w:r>
      <w:r>
        <w:t xml:space="preserve"> </w:t>
      </w:r>
      <w:r>
        <w:rPr>
          <w:bCs/>
          <w:b/>
        </w:rPr>
        <w:t xml:space="preserve">Original graphic label:</w:t>
      </w:r>
      <w:r>
        <w:t xml:space="preserve"> </w:t>
      </w:r>
      <w:r>
        <w:t xml:space="preserve">NVIDIA – Embed</w:t>
      </w:r>
    </w:p>
    <w:p>
      <w:pPr>
        <w:pStyle w:val="BodyText"/>
      </w:pPr>
      <w:r>
        <w:rPr>
          <w:iCs/>
          <w:i/>
        </w:rPr>
        <w:t xml:space="preserve">Rationale:</w:t>
      </w:r>
      <w:r>
        <w:t xml:space="preserve"> </w:t>
      </w:r>
      <w:r>
        <w:t xml:space="preserve">Sound self-hosted runtime for NVIDIA-standardised estates; licence cost and GPU coupling make it a poor neutral default.</w:t>
      </w:r>
    </w:p>
    <w:tbl>
      <w:tblPr>
        <w:tblStyle w:val="Table"/>
        <w:tblW w:type="pct" w:w="5000"/>
        <w:tblLook w:firstRow="1" w:lastRow="0" w:firstColumn="0" w:lastColumn="0" w:noHBand="0" w:noVBand="0" w:val="0020"/>
        <w:jc w:val="start"/>
      </w:tblPr>
      <w:tblGrid>
        <w:gridCol w:w="1545"/>
        <w:gridCol w:w="579"/>
        <w:gridCol w:w="5795"/>
      </w:tblGrid>
      <w:tr>
        <w:trPr>
          <w:tblHeader w:val="true"/>
        </w:trPr>
        <w:tc>
          <w:tcPr/>
          <w:p>
            <w:pPr>
              <w:pStyle w:val="Compact"/>
              <w:jc w:val="left"/>
            </w:pPr>
            <w:r>
              <w:t xml:space="preserve">Criterion</w:t>
            </w:r>
          </w:p>
        </w:tc>
        <w:tc>
          <w:tcPr/>
          <w:p>
            <w:pPr>
              <w:pStyle w:val="Compact"/>
              <w:jc w:val="right"/>
            </w:pPr>
            <w:r>
              <w:t xml:space="preserve">Score</w:t>
            </w:r>
          </w:p>
        </w:tc>
        <w:tc>
          <w:tcPr/>
          <w:p>
            <w:pPr>
              <w:pStyle w:val="Compact"/>
              <w:jc w:val="left"/>
            </w:pPr>
            <w:r>
              <w:t xml:space="preserve">Rationale</w:t>
            </w:r>
          </w:p>
        </w:tc>
      </w:tr>
      <w:tr>
        <w:tc>
          <w:tcPr/>
          <w:p>
            <w:pPr>
              <w:pStyle w:val="Compact"/>
              <w:jc w:val="left"/>
            </w:pPr>
            <w:r>
              <w:t xml:space="preserve">Technical</w:t>
            </w:r>
          </w:p>
        </w:tc>
        <w:tc>
          <w:tcPr/>
          <w:p>
            <w:pPr>
              <w:pStyle w:val="Compact"/>
              <w:jc w:val="right"/>
            </w:pPr>
            <w:r>
              <w:t xml:space="preserve">3</w:t>
            </w:r>
          </w:p>
        </w:tc>
        <w:tc>
          <w:tcPr/>
          <w:p>
            <w:pPr>
              <w:pStyle w:val="Compact"/>
              <w:jc w:val="left"/>
            </w:pPr>
            <w:r>
              <w:t xml:space="preserve">Embed and rerank including multimodal; shorter context and fixed dimensions; Matryoshka not evidenced.</w:t>
            </w:r>
          </w:p>
        </w:tc>
      </w:tr>
      <w:tr>
        <w:tc>
          <w:tcPr/>
          <w:p>
            <w:pPr>
              <w:pStyle w:val="Compact"/>
              <w:jc w:val="left"/>
            </w:pPr>
            <w:r>
              <w:t xml:space="preserve">Enterprise readiness</w:t>
            </w:r>
          </w:p>
        </w:tc>
        <w:tc>
          <w:tcPr/>
          <w:p>
            <w:pPr>
              <w:pStyle w:val="Compact"/>
              <w:jc w:val="right"/>
            </w:pPr>
            <w:r>
              <w:t xml:space="preserve">3</w:t>
            </w:r>
          </w:p>
        </w:tc>
        <w:tc>
          <w:tcPr/>
          <w:p>
            <w:pPr>
              <w:pStyle w:val="Compact"/>
              <w:jc w:val="left"/>
            </w:pPr>
            <w:r>
              <w:t xml:space="preserve">Commercial subscription with Helm/Kubernetes deployment; inherits host IAM; support terms NPV.</w:t>
            </w:r>
          </w:p>
        </w:tc>
      </w:tr>
      <w:tr>
        <w:tc>
          <w:tcPr/>
          <w:p>
            <w:pPr>
              <w:pStyle w:val="Compact"/>
              <w:jc w:val="left"/>
            </w:pPr>
            <w:r>
              <w:t xml:space="preserve">Security and compliance</w:t>
            </w:r>
          </w:p>
        </w:tc>
        <w:tc>
          <w:tcPr/>
          <w:p>
            <w:pPr>
              <w:pStyle w:val="Compact"/>
              <w:jc w:val="right"/>
            </w:pPr>
            <w:r>
              <w:t xml:space="preserve">3</w:t>
            </w:r>
          </w:p>
        </w:tc>
        <w:tc>
          <w:tcPr/>
          <w:p>
            <w:pPr>
              <w:pStyle w:val="Compact"/>
              <w:jc w:val="left"/>
            </w:pPr>
            <w:r>
              <w:t xml:space="preserve">Self-hosted container (certifications not applicable); licence clear; container hardening evidence NPV.</w:t>
            </w:r>
          </w:p>
        </w:tc>
      </w:tr>
      <w:tr>
        <w:tc>
          <w:tcPr/>
          <w:p>
            <w:pPr>
              <w:pStyle w:val="Compact"/>
              <w:jc w:val="left"/>
            </w:pPr>
            <w:r>
              <w:t xml:space="preserve">Deployment flexibility</w:t>
            </w:r>
          </w:p>
        </w:tc>
        <w:tc>
          <w:tcPr/>
          <w:p>
            <w:pPr>
              <w:pStyle w:val="Compact"/>
              <w:jc w:val="right"/>
            </w:pPr>
            <w:r>
              <w:t xml:space="preserve">4</w:t>
            </w:r>
          </w:p>
        </w:tc>
        <w:tc>
          <w:tcPr/>
          <w:p>
            <w:pPr>
              <w:pStyle w:val="Compact"/>
              <w:jc w:val="left"/>
            </w:pPr>
            <w:r>
              <w:t xml:space="preserve">Any cloud or data centre with supported GPUs, NVIDIA API Catalog for development; air-gap NPV.</w:t>
            </w:r>
          </w:p>
        </w:tc>
      </w:tr>
      <w:tr>
        <w:tc>
          <w:tcPr/>
          <w:p>
            <w:pPr>
              <w:pStyle w:val="Compact"/>
              <w:jc w:val="left"/>
            </w:pPr>
            <w:r>
              <w:t xml:space="preserve">Ecosystem</w:t>
            </w:r>
          </w:p>
        </w:tc>
        <w:tc>
          <w:tcPr/>
          <w:p>
            <w:pPr>
              <w:pStyle w:val="Compact"/>
              <w:jc w:val="right"/>
            </w:pPr>
            <w:r>
              <w:t xml:space="preserve">3</w:t>
            </w:r>
          </w:p>
        </w:tc>
        <w:tc>
          <w:tcPr/>
          <w:p>
            <w:pPr>
              <w:pStyle w:val="Compact"/>
              <w:jc w:val="left"/>
            </w:pPr>
            <w:r>
              <w:t xml:space="preserve">NeMo Retriever pipeline and Helm chart; wider ecosystem NPV.</w:t>
            </w:r>
          </w:p>
        </w:tc>
      </w:tr>
      <w:tr>
        <w:tc>
          <w:tcPr/>
          <w:p>
            <w:pPr>
              <w:pStyle w:val="Compact"/>
              <w:jc w:val="left"/>
            </w:pPr>
            <w:r>
              <w:t xml:space="preserve">Reliability and maturity</w:t>
            </w:r>
          </w:p>
        </w:tc>
        <w:tc>
          <w:tcPr/>
          <w:p>
            <w:pPr>
              <w:pStyle w:val="Compact"/>
              <w:jc w:val="right"/>
            </w:pPr>
            <w:r>
              <w:t xml:space="preserve">3</w:t>
            </w:r>
          </w:p>
        </w:tc>
        <w:tc>
          <w:tcPr/>
          <w:p>
            <w:pPr>
              <w:pStyle w:val="Compact"/>
              <w:jc w:val="left"/>
            </w:pPr>
            <w:r>
              <w:t xml:space="preserve">Frequent NIM releases; inconsistent version dating across pages.</w:t>
            </w:r>
          </w:p>
        </w:tc>
      </w:tr>
      <w:tr>
        <w:tc>
          <w:tcPr/>
          <w:p>
            <w:pPr>
              <w:pStyle w:val="Compact"/>
              <w:jc w:val="left"/>
            </w:pPr>
            <w:r>
              <w:t xml:space="preserve">Cost / TCO</w:t>
            </w:r>
          </w:p>
        </w:tc>
        <w:tc>
          <w:tcPr/>
          <w:p>
            <w:pPr>
              <w:pStyle w:val="Compact"/>
              <w:jc w:val="right"/>
            </w:pPr>
            <w:r>
              <w:t xml:space="preserve">2</w:t>
            </w:r>
          </w:p>
        </w:tc>
        <w:tc>
          <w:tcPr/>
          <w:p>
            <w:pPr>
              <w:pStyle w:val="Compact"/>
              <w:jc w:val="left"/>
            </w:pPr>
            <w:r>
              <w:t xml:space="preserve">Per-GPU licence on top of GPU infrastructure.</w:t>
            </w:r>
          </w:p>
        </w:tc>
      </w:tr>
      <w:tr>
        <w:tc>
          <w:tcPr/>
          <w:p>
            <w:pPr>
              <w:pStyle w:val="Compact"/>
              <w:jc w:val="left"/>
            </w:pPr>
            <w:r>
              <w:t xml:space="preserve">Lock-in / portability</w:t>
            </w:r>
          </w:p>
        </w:tc>
        <w:tc>
          <w:tcPr/>
          <w:p>
            <w:pPr>
              <w:pStyle w:val="Compact"/>
              <w:jc w:val="right"/>
            </w:pPr>
            <w:r>
              <w:t xml:space="preserve">2</w:t>
            </w:r>
          </w:p>
        </w:tc>
        <w:tc>
          <w:tcPr/>
          <w:p>
            <w:pPr>
              <w:pStyle w:val="Compact"/>
              <w:jc w:val="left"/>
            </w:pPr>
            <w:r>
              <w:t xml:space="preserve">Tied to NVIDIA GPUs and the AI Enterprise licence; per-model licences vary.</w:t>
            </w:r>
          </w:p>
        </w:tc>
      </w:tr>
      <w:tr>
        <w:tc>
          <w:tcPr/>
          <w:p>
            <w:pPr>
              <w:pStyle w:val="Compact"/>
              <w:jc w:val="left"/>
            </w:pPr>
            <w:r>
              <w:rPr>
                <w:bCs/>
                <w:b/>
              </w:rPr>
              <w:t xml:space="preserve">Total (generic / FS)</w:t>
            </w:r>
          </w:p>
        </w:tc>
        <w:tc>
          <w:tcPr/>
          <w:p>
            <w:pPr>
              <w:pStyle w:val="Compact"/>
              <w:jc w:val="right"/>
            </w:pPr>
            <w:r>
              <w:rPr>
                <w:bCs/>
                <w:b/>
              </w:rPr>
              <w:t xml:space="preserve">3.00 / 2.95</w:t>
            </w:r>
          </w:p>
        </w:tc>
        <w:tc>
          <w:tcPr/>
          <w:p>
            <w:pPr>
              <w:pStyle w:val="Compact"/>
            </w:pPr>
          </w:p>
        </w:tc>
      </w:tr>
    </w:tbl>
    <w:p>
      <w:pPr>
        <w:pStyle w:val="BodyText"/>
      </w:pPr>
      <w:r>
        <w:rPr>
          <w:iCs/>
          <w:i/>
        </w:rPr>
        <w:t xml:space="preserve">Evidence rules applied:</w:t>
      </w:r>
      <w:r>
        <w:t xml:space="preserve"> </w:t>
      </w:r>
      <w:r>
        <w:t xml:space="preserve">NPV cap not applied to security_compliance: self-hosted container, vendor certifications not applicable; scored on in-estate deployment and licence clarity; Rule 6 (CP2 Q1) not applied at CP2 rework: no hyperscaler-consumed route is in the fact base; scores kept</w:t>
      </w:r>
    </w:p>
    <w:p>
      <w:pPr>
        <w:pStyle w:val="BodyText"/>
      </w:pPr>
      <w:r>
        <w:rPr>
          <w:bCs/>
          <w:b/>
        </w:rPr>
        <w:t xml:space="preserve">Capabilities.</w:t>
      </w:r>
      <w:r>
        <w:t xml:space="preserve"> </w:t>
      </w:r>
      <w:r>
        <w:t xml:space="preserve">NVIDIA NeMo Retriever embedding and reranking NIM microservices: Embedding NIM 2.3 (nemotron-3-embed-1b added in 2.2; llama-nemotron-embed-1b-v2; llama-nemotron-embed-vl-1b-v2) and Reranking NIM 2.0.0 (llama-nemotron-rerank-vl-1b-v2, rerank-1b-v2, rerank-500m-v2), deployed by Helm on Kubernetes or Docker</w:t>
      </w:r>
      <w:r>
        <w:t xml:space="preserve"> </w:t>
      </w:r>
      <w:r>
        <w:rPr>
          <w:rStyle w:val="ClaimLabel"/>
        </w:rPr>
        <w:t xml:space="preserve">VF</w:t>
      </w:r>
      <w:r>
        <w:rPr>
          <w:rStyle w:val="FootnoteReference"/>
        </w:rPr>
        <w:footnoteReference w:id="506"/>
      </w:r>
      <w:r>
        <w:t xml:space="preserve">.</w:t>
      </w:r>
    </w:p>
    <w:p>
      <w:pPr>
        <w:pStyle w:val="BodyText"/>
      </w:pPr>
      <w:r>
        <w:rPr>
          <w:bCs/>
          <w:b/>
        </w:rPr>
        <w:t xml:space="preserve">Strengths</w:t>
      </w:r>
    </w:p>
    <w:p>
      <w:pPr>
        <w:numPr>
          <w:ilvl w:val="0"/>
          <w:numId w:val="1113"/>
        </w:numPr>
        <w:pStyle w:val="Compact"/>
      </w:pPr>
      <w:r>
        <w:t xml:space="preserve">Embed and rerank, text and multimodal, as GPU-optimised containers that run in any cloud or data centre with supported GPUs</w:t>
      </w:r>
      <w:r>
        <w:t xml:space="preserve"> </w:t>
      </w:r>
      <w:r>
        <w:rPr>
          <w:rStyle w:val="ClaimLabel"/>
        </w:rPr>
        <w:t xml:space="preserve">VF</w:t>
      </w:r>
      <w:r>
        <w:rPr>
          <w:rStyle w:val="FootnoteReference"/>
        </w:rPr>
        <w:footnoteReference w:id="510"/>
      </w:r>
    </w:p>
    <w:p>
      <w:pPr>
        <w:numPr>
          <w:ilvl w:val="0"/>
          <w:numId w:val="1113"/>
        </w:numPr>
        <w:pStyle w:val="Compact"/>
      </w:pPr>
      <w:r>
        <w:t xml:space="preserve">Client data stays in the firm’s environment when self-hosted</w:t>
      </w:r>
      <w:r>
        <w:t xml:space="preserve"> </w:t>
      </w:r>
      <w:r>
        <w:rPr>
          <w:rStyle w:val="ClaimLabel"/>
        </w:rPr>
        <w:t xml:space="preserve">AJ</w:t>
      </w:r>
    </w:p>
    <w:p>
      <w:pPr>
        <w:numPr>
          <w:ilvl w:val="0"/>
          <w:numId w:val="1113"/>
        </w:numPr>
        <w:pStyle w:val="Compact"/>
      </w:pPr>
      <w:r>
        <w:t xml:space="preserve">Fits estates that already standardise on NVIDIA AI Enterprise for L2 serving</w:t>
      </w:r>
      <w:r>
        <w:t xml:space="preserve"> </w:t>
      </w:r>
      <w:r>
        <w:rPr>
          <w:rStyle w:val="ClaimLabel"/>
        </w:rPr>
        <w:t xml:space="preserve">AJ</w:t>
      </w:r>
    </w:p>
    <w:p>
      <w:pPr>
        <w:pStyle w:val="FirstParagraph"/>
      </w:pPr>
      <w:r>
        <w:rPr>
          <w:bCs/>
          <w:b/>
        </w:rPr>
        <w:t xml:space="preserve">Limitations and risks</w:t>
      </w:r>
    </w:p>
    <w:p>
      <w:pPr>
        <w:numPr>
          <w:ilvl w:val="0"/>
          <w:numId w:val="1114"/>
        </w:numPr>
        <w:pStyle w:val="Compact"/>
      </w:pPr>
      <w:r>
        <w:t xml:space="preserve">Production use requires NVIDIA AI Enterprise, from US$4,500 per GPU per year or about US$1 per GPU per hour in cloud (as of 7 October 2026)</w:t>
      </w:r>
      <w:r>
        <w:t xml:space="preserve"> </w:t>
      </w:r>
      <w:r>
        <w:rPr>
          <w:rStyle w:val="ClaimLabel"/>
        </w:rPr>
        <w:t xml:space="preserve">VF</w:t>
      </w:r>
      <w:r>
        <w:rPr>
          <w:rStyle w:val="FootnoteReference"/>
        </w:rPr>
        <w:footnoteReference w:id="512"/>
      </w:r>
    </w:p>
    <w:p>
      <w:pPr>
        <w:numPr>
          <w:ilvl w:val="0"/>
          <w:numId w:val="1114"/>
        </w:numPr>
        <w:pStyle w:val="Compact"/>
      </w:pPr>
      <w:r>
        <w:t xml:space="preserve">Two-layer licensing (container agreement plus per-model licences that vary)</w:t>
      </w:r>
      <w:r>
        <w:t xml:space="preserve"> </w:t>
      </w:r>
      <w:r>
        <w:rPr>
          <w:rStyle w:val="ClaimLabel"/>
        </w:rPr>
        <w:t xml:space="preserve">VF</w:t>
      </w:r>
      <w:r>
        <w:rPr>
          <w:rStyle w:val="FootnoteReference"/>
        </w:rPr>
        <w:footnoteReference w:id="513"/>
      </w:r>
    </w:p>
    <w:p>
      <w:pPr>
        <w:numPr>
          <w:ilvl w:val="0"/>
          <w:numId w:val="1114"/>
        </w:numPr>
        <w:pStyle w:val="Compact"/>
      </w:pPr>
      <w:r>
        <w:t xml:space="preserve">Shorter limits than API peers: nemotron-3-embed-1b is text-only, fixed 2,048 dims, 4,096-token maximum</w:t>
      </w:r>
      <w:r>
        <w:t xml:space="preserve"> </w:t>
      </w:r>
      <w:r>
        <w:rPr>
          <w:rStyle w:val="ClaimLabel"/>
        </w:rPr>
        <w:t xml:space="preserve">VF</w:t>
      </w:r>
      <w:r>
        <w:rPr>
          <w:rStyle w:val="FootnoteReference"/>
        </w:rPr>
        <w:footnoteReference w:id="515"/>
      </w:r>
    </w:p>
    <w:p>
      <w:pPr>
        <w:numPr>
          <w:ilvl w:val="0"/>
          <w:numId w:val="1114"/>
        </w:numPr>
        <w:pStyle w:val="Compact"/>
      </w:pPr>
      <w:r>
        <w:t xml:space="preserve">Helm chart warns that a text-only reranker silently degrades multimodal reranking</w:t>
      </w:r>
      <w:r>
        <w:t xml:space="preserve"> </w:t>
      </w:r>
      <w:r>
        <w:rPr>
          <w:rStyle w:val="ClaimLabel"/>
        </w:rPr>
        <w:t xml:space="preserve">VF</w:t>
      </w:r>
      <w:r>
        <w:rPr>
          <w:rStyle w:val="FootnoteReference"/>
        </w:rPr>
        <w:footnoteReference w:id="516"/>
      </w:r>
    </w:p>
    <w:p>
      <w:pPr>
        <w:numPr>
          <w:ilvl w:val="0"/>
          <w:numId w:val="1114"/>
        </w:numPr>
        <w:pStyle w:val="Compact"/>
      </w:pPr>
      <w:r>
        <w:t xml:space="preserve">Release dates inconsistent across NGC and Hugging Face pages; container security features NPV</w:t>
      </w:r>
    </w:p>
    <w:p>
      <w:pPr>
        <w:pStyle w:val="FirstParagraph"/>
      </w:pPr>
      <w:r>
        <w:rPr>
          <w:bCs/>
          <w:b/>
        </w:rPr>
        <w:t xml:space="preserve">Choose when</w:t>
      </w:r>
    </w:p>
    <w:p>
      <w:pPr>
        <w:numPr>
          <w:ilvl w:val="0"/>
          <w:numId w:val="1115"/>
        </w:numPr>
        <w:pStyle w:val="Compact"/>
      </w:pPr>
      <w:r>
        <w:t xml:space="preserve">The firm already licenses NVIDIA AI Enterprise and runs GPU Kubernetes</w:t>
      </w:r>
    </w:p>
    <w:p>
      <w:pPr>
        <w:numPr>
          <w:ilvl w:val="0"/>
          <w:numId w:val="1115"/>
        </w:numPr>
        <w:pStyle w:val="Compact"/>
      </w:pPr>
      <w:r>
        <w:t xml:space="preserve">A vendor-supported, self-hosted embed-plus-rerank runtime is required</w:t>
      </w:r>
    </w:p>
    <w:p>
      <w:pPr>
        <w:pStyle w:val="FirstParagraph"/>
      </w:pPr>
      <w:r>
        <w:rPr>
          <w:bCs/>
          <w:b/>
        </w:rPr>
        <w:t xml:space="preserve">Avoid when</w:t>
      </w:r>
    </w:p>
    <w:p>
      <w:pPr>
        <w:numPr>
          <w:ilvl w:val="0"/>
          <w:numId w:val="1116"/>
        </w:numPr>
        <w:pStyle w:val="Compact"/>
      </w:pPr>
      <w:r>
        <w:t xml:space="preserve">Retrieval volumes do not justify per-GPU licences</w:t>
      </w:r>
    </w:p>
    <w:p>
      <w:pPr>
        <w:numPr>
          <w:ilvl w:val="0"/>
          <w:numId w:val="1116"/>
        </w:numPr>
        <w:pStyle w:val="Compact"/>
      </w:pPr>
      <w:r>
        <w:t xml:space="preserve">The firm wants to avoid deepening GPU-vendor concentration</w:t>
      </w:r>
    </w:p>
    <w:p>
      <w:pPr>
        <w:pStyle w:val="FirstParagraph"/>
      </w:pPr>
      <w:r>
        <w:rPr>
          <w:bCs/>
          <w:b/>
        </w:rPr>
        <w:t xml:space="preserve">Nearest competitors:</w:t>
      </w:r>
      <w:r>
        <w:t xml:space="preserve"> </w:t>
      </w:r>
      <w:r>
        <w:t xml:space="preserve">L7-sentence-transformers, L7-qwen3-embedding, L7-cohere</w:t>
      </w:r>
    </w:p>
    <w:p>
      <w:pPr>
        <w:pStyle w:val="BodyText"/>
      </w:pPr>
      <w:r>
        <w:rPr>
          <w:bCs/>
          <w:b/>
        </w:rPr>
        <w:t xml:space="preserve">Regulated-FS note.</w:t>
      </w:r>
      <w:r>
        <w:t xml:space="preserve"> </w:t>
      </w:r>
      <w:r>
        <w:t xml:space="preserve">Self-hosting removes cross-border transfer questions for the retrieval path</w:t>
      </w:r>
      <w:r>
        <w:t xml:space="preserve"> </w:t>
      </w:r>
      <w:r>
        <w:rPr>
          <w:rStyle w:val="ClaimLabel"/>
        </w:rPr>
        <w:t xml:space="preserve">AJ</w:t>
      </w:r>
      <w:r>
        <w:t xml:space="preserve">; the AI Enterprise subscription becomes the third-party arrangement to register</w:t>
      </w:r>
      <w:r>
        <w:t xml:space="preserve"> </w:t>
      </w:r>
      <w:r>
        <w:rPr>
          <w:rStyle w:val="ClaimLabel"/>
        </w:rPr>
        <w:t xml:space="preserve">AJ</w:t>
      </w:r>
      <w:r>
        <w:t xml:space="preserve">.</w:t>
      </w:r>
    </w:p>
    <w:p>
      <w:pPr>
        <w:pStyle w:val="BodyText"/>
      </w:pPr>
      <w:r>
        <w:rPr>
          <w:bCs/>
          <w:b/>
        </w:rPr>
        <w:t xml:space="preserve">Facts (as of 2026-10-08)</w:t>
      </w:r>
    </w:p>
    <w:tbl>
      <w:tblPr>
        <w:tblStyle w:val="Table"/>
        <w:tblW w:type="pct" w:w="5000"/>
        <w:tblLook w:firstRow="1" w:lastRow="0" w:firstColumn="0" w:lastColumn="0" w:noHBand="0" w:noVBand="0" w:val="0020"/>
        <w:jc w:val="start"/>
      </w:tblPr>
      <w:tblGrid>
        <w:gridCol w:w="1485"/>
        <w:gridCol w:w="4290"/>
        <w:gridCol w:w="1320"/>
        <w:gridCol w:w="825"/>
      </w:tblGrid>
      <w:tr>
        <w:trPr>
          <w:tblHeader w:val="true"/>
        </w:trPr>
        <w:tc>
          <w:tcPr/>
          <w:p>
            <w:pPr>
              <w:pStyle w:val="Compact"/>
              <w:jc w:val="left"/>
            </w:pPr>
            <w:r>
              <w:t xml:space="preserve">Field</w:t>
            </w:r>
          </w:p>
        </w:tc>
        <w:tc>
          <w:tcPr/>
          <w:p>
            <w:pPr>
              <w:pStyle w:val="Compact"/>
              <w:jc w:val="left"/>
            </w:pPr>
            <w:r>
              <w:t xml:space="preserve">Value</w:t>
            </w:r>
          </w:p>
        </w:tc>
        <w:tc>
          <w:tcPr/>
          <w:p>
            <w:pPr>
              <w:pStyle w:val="Compact"/>
              <w:jc w:val="left"/>
            </w:pPr>
            <w:r>
              <w:t xml:space="preserve">Label</w:t>
            </w:r>
          </w:p>
        </w:tc>
        <w:tc>
          <w:tcPr/>
          <w:p>
            <w:pPr>
              <w:pStyle w:val="Compact"/>
              <w:jc w:val="left"/>
            </w:pPr>
            <w:r>
              <w:t xml:space="preserve">Sources</w:t>
            </w:r>
          </w:p>
        </w:tc>
      </w:tr>
      <w:tr>
        <w:tc>
          <w:tcPr/>
          <w:p>
            <w:pPr>
              <w:pStyle w:val="Compact"/>
              <w:jc w:val="left"/>
            </w:pPr>
            <w:r>
              <w:t xml:space="preserve">Company</w:t>
            </w:r>
          </w:p>
        </w:tc>
        <w:tc>
          <w:tcPr/>
          <w:p>
            <w:pPr>
              <w:pStyle w:val="Compact"/>
              <w:jc w:val="left"/>
            </w:pPr>
            <w:r>
              <w:t xml:space="preserve">NVIDIA</w:t>
            </w:r>
          </w:p>
        </w:tc>
        <w:tc>
          <w:tcPr/>
          <w:p>
            <w:pPr>
              <w:pStyle w:val="Compact"/>
              <w:jc w:val="left"/>
            </w:pPr>
            <w:r>
              <w:t xml:space="preserve">Verified fact</w:t>
            </w:r>
          </w:p>
        </w:tc>
        <w:tc>
          <w:tcPr/>
          <w:p>
            <w:pPr>
              <w:pStyle w:val="Compact"/>
              <w:jc w:val="left"/>
            </w:pPr>
            <w:r>
              <w:t xml:space="preserve">A2-S030</w:t>
            </w:r>
          </w:p>
        </w:tc>
      </w:tr>
      <w:tr>
        <w:tc>
          <w:tcPr/>
          <w:p>
            <w:pPr>
              <w:pStyle w:val="Compact"/>
              <w:jc w:val="left"/>
            </w:pPr>
            <w:r>
              <w:t xml:space="preserve">Category</w:t>
            </w:r>
          </w:p>
        </w:tc>
        <w:tc>
          <w:tcPr/>
          <w:p>
            <w:pPr>
              <w:pStyle w:val="Compact"/>
              <w:jc w:val="left"/>
            </w:pPr>
            <w:r>
              <w:t xml:space="preserve">Containerised embedding and reranking inference microservices (NIM) with NVIDIA models</w:t>
            </w:r>
          </w:p>
        </w:tc>
        <w:tc>
          <w:tcPr/>
          <w:p>
            <w:pPr>
              <w:pStyle w:val="Compact"/>
              <w:jc w:val="left"/>
            </w:pPr>
            <w:r>
              <w:t xml:space="preserve">Verified fact</w:t>
            </w:r>
          </w:p>
        </w:tc>
        <w:tc>
          <w:tcPr/>
          <w:p>
            <w:pPr>
              <w:pStyle w:val="Compact"/>
              <w:jc w:val="left"/>
            </w:pPr>
            <w:r>
              <w:t xml:space="preserve">A2-S031, A2-S040</w:t>
            </w:r>
          </w:p>
        </w:tc>
      </w:tr>
      <w:tr>
        <w:tc>
          <w:tcPr/>
          <w:p>
            <w:pPr>
              <w:pStyle w:val="Compact"/>
              <w:jc w:val="left"/>
            </w:pPr>
            <w:r>
              <w:t xml:space="preserve">Version / lineup</w:t>
            </w:r>
          </w:p>
        </w:tc>
        <w:tc>
          <w:tcPr/>
          <w:p>
            <w:pPr>
              <w:pStyle w:val="Compact"/>
              <w:jc w:val="left"/>
            </w:pPr>
            <w:r>
              <w:t xml:space="preserve">Embedding NIM 2.3: nemotron-3-embed-1b, llama-nemotron-embed-1b-v2, llama-nemotron-embed-vl-1b-v2 (multimodal). Reranking NIM 2.0.0: llama-nemotron-rerank-vl-1b-v2 (multimodal, NGC update 3 August 2026), llama-nemotron-rerank-1b-v2, llama-nemotron-rerank-500m-v2 (8,192-token max).</w:t>
            </w:r>
          </w:p>
        </w:tc>
        <w:tc>
          <w:tcPr/>
          <w:p>
            <w:pPr>
              <w:pStyle w:val="Compact"/>
              <w:jc w:val="left"/>
            </w:pPr>
            <w:r>
              <w:t xml:space="preserve">Verified fact</w:t>
            </w:r>
          </w:p>
        </w:tc>
        <w:tc>
          <w:tcPr/>
          <w:p>
            <w:pPr>
              <w:pStyle w:val="Compact"/>
              <w:jc w:val="left"/>
            </w:pPr>
            <w:r>
              <w:t xml:space="preserve">A2-S031, A2-S030</w:t>
            </w:r>
          </w:p>
        </w:tc>
      </w:tr>
      <w:tr>
        <w:tc>
          <w:tcPr/>
          <w:p>
            <w:pPr>
              <w:pStyle w:val="Compact"/>
              <w:jc w:val="left"/>
            </w:pPr>
            <w:r>
              <w:t xml:space="preserve">Licence</w:t>
            </w:r>
          </w:p>
        </w:tc>
        <w:tc>
          <w:tcPr/>
          <w:p>
            <w:pPr>
              <w:pStyle w:val="Compact"/>
              <w:jc w:val="left"/>
            </w:pPr>
            <w:r>
              <w:t xml:space="preserve">Proprietary container (NVIDIA Software License Agreement + AI product terms); models under NVIDIA Open Model License (varies by model); production use requires NVIDIA AI Enterprise</w:t>
            </w:r>
          </w:p>
        </w:tc>
        <w:tc>
          <w:tcPr/>
          <w:p>
            <w:pPr>
              <w:pStyle w:val="Compact"/>
              <w:jc w:val="left"/>
            </w:pPr>
            <w:r>
              <w:t xml:space="preserve">Verified fact</w:t>
            </w:r>
          </w:p>
        </w:tc>
        <w:tc>
          <w:tcPr/>
          <w:p>
            <w:pPr>
              <w:pStyle w:val="Compact"/>
              <w:jc w:val="left"/>
            </w:pPr>
            <w:r>
              <w:t xml:space="preserve">A2-S041, A2-S040</w:t>
            </w:r>
          </w:p>
        </w:tc>
      </w:tr>
      <w:tr>
        <w:tc>
          <w:tcPr/>
          <w:p>
            <w:pPr>
              <w:pStyle w:val="Compact"/>
              <w:jc w:val="left"/>
            </w:pPr>
            <w:r>
              <w:t xml:space="preserve">Status events</w:t>
            </w:r>
          </w:p>
        </w:tc>
        <w:tc>
          <w:tcPr/>
          <w:p>
            <w:pPr>
              <w:pStyle w:val="Compact"/>
              <w:jc w:val="left"/>
            </w:pPr>
            <w:r>
              <w:t xml:space="preserve">Reranking NIM 1.11.0: multimodal reranker llama-nemotron-rerank-vl-1b-v2 introduced; Reranking NIM 2.0.0: major runtime upgrade; Embedding NIM 2.2: nemotron-3-embed-1b added (text-only, fixed 2,048 dims, 4,096-token max); NIM 2.3 current</w:t>
            </w:r>
          </w:p>
        </w:tc>
        <w:tc>
          <w:tcPr/>
          <w:p>
            <w:pPr>
              <w:pStyle w:val="Compact"/>
              <w:jc w:val="left"/>
            </w:pPr>
            <w:r>
              <w:t xml:space="preserve">Verified fact</w:t>
            </w:r>
          </w:p>
        </w:tc>
        <w:tc>
          <w:tcPr/>
          <w:p>
            <w:pPr>
              <w:pStyle w:val="Compact"/>
              <w:jc w:val="left"/>
            </w:pPr>
            <w:r>
              <w:t xml:space="preserve">A2-S030, A2-S031, V1-S094</w:t>
            </w:r>
          </w:p>
        </w:tc>
      </w:tr>
      <w:tr>
        <w:tc>
          <w:tcPr/>
          <w:p>
            <w:pPr>
              <w:pStyle w:val="Compact"/>
              <w:jc w:val="left"/>
            </w:pPr>
            <w:r>
              <w:t xml:space="preserve">Strategic direction</w:t>
            </w:r>
          </w:p>
        </w:tc>
        <w:tc>
          <w:tcPr/>
          <w:p>
            <w:pPr>
              <w:pStyle w:val="Compact"/>
              <w:jc w:val="left"/>
            </w:pPr>
            <w:r>
              <w:t xml:space="preserve">Moving to multimodal (text + image) embedding and reranking as defaults in the NeMo Retriever Helm chart</w:t>
            </w:r>
          </w:p>
        </w:tc>
        <w:tc>
          <w:tcPr/>
          <w:p>
            <w:pPr>
              <w:pStyle w:val="Compact"/>
              <w:jc w:val="left"/>
            </w:pPr>
            <w:r>
              <w:t xml:space="preserve">Verified fact</w:t>
            </w:r>
          </w:p>
        </w:tc>
        <w:tc>
          <w:tcPr/>
          <w:p>
            <w:pPr>
              <w:pStyle w:val="Compact"/>
              <w:jc w:val="left"/>
            </w:pPr>
            <w:r>
              <w:t xml:space="preserve">A2-S031, A2-S030</w:t>
            </w:r>
          </w:p>
        </w:tc>
      </w:tr>
      <w:tr>
        <w:tc>
          <w:tcPr/>
          <w:p>
            <w:pPr>
              <w:pStyle w:val="Compact"/>
              <w:jc w:val="left"/>
            </w:pPr>
            <w:r>
              <w:t xml:space="preserve">What it does</w:t>
            </w:r>
          </w:p>
        </w:tc>
        <w:tc>
          <w:tcPr/>
          <w:p>
            <w:pPr>
              <w:pStyle w:val="Compact"/>
              <w:jc w:val="left"/>
            </w:pPr>
            <w:r>
              <w:t xml:space="preserve">GPU-optimised microservices that serve NVIDIA embedding and reranking models behind an API, deployable via Helm on Kubernetes or Docker, as part of the NeMo Retriever RAG pipeline.</w:t>
            </w:r>
          </w:p>
        </w:tc>
        <w:tc>
          <w:tcPr/>
          <w:p>
            <w:pPr>
              <w:pStyle w:val="Compact"/>
              <w:jc w:val="left"/>
            </w:pPr>
            <w:r>
              <w:t xml:space="preserve">Verified fact</w:t>
            </w:r>
          </w:p>
        </w:tc>
        <w:tc>
          <w:tcPr/>
          <w:p>
            <w:pPr>
              <w:pStyle w:val="Compact"/>
              <w:jc w:val="left"/>
            </w:pPr>
            <w:r>
              <w:t xml:space="preserve">A2-S031, A2-S030</w:t>
            </w:r>
          </w:p>
        </w:tc>
      </w:tr>
      <w:tr>
        <w:tc>
          <w:tcPr/>
          <w:p>
            <w:pPr>
              <w:pStyle w:val="Compact"/>
              <w:jc w:val="left"/>
            </w:pPr>
            <w:r>
              <w:t xml:space="preserve">Stack position</w:t>
            </w:r>
          </w:p>
        </w:tc>
        <w:tc>
          <w:tcPr/>
          <w:p>
            <w:pPr>
              <w:pStyle w:val="Compact"/>
              <w:jc w:val="left"/>
            </w:pPr>
            <w:r>
              <w:t xml:space="preserve">L7 runtime + models (embed and rerank) - straddles L7 and L2 (serving). Graphic label</w:t>
            </w:r>
            <w:r>
              <w:t xml:space="preserve"> </w:t>
            </w:r>
            <w:r>
              <w:t xml:space="preserve">‘</w:t>
            </w:r>
            <w:r>
              <w:t xml:space="preserve">Embed</w:t>
            </w:r>
            <w:r>
              <w:t xml:space="preserve">’</w:t>
            </w:r>
            <w:r>
              <w:t xml:space="preserve"> </w:t>
            </w:r>
            <w:r>
              <w:t xml:space="preserve">understates the reranking component.</w:t>
            </w:r>
          </w:p>
        </w:tc>
        <w:tc>
          <w:tcPr/>
          <w:p>
            <w:pPr>
              <w:pStyle w:val="Compact"/>
              <w:jc w:val="left"/>
            </w:pPr>
            <w:r>
              <w:t xml:space="preserve">Architectural judgement</w:t>
            </w:r>
          </w:p>
        </w:tc>
        <w:tc>
          <w:tcPr/>
          <w:p>
            <w:pPr>
              <w:pStyle w:val="Compact"/>
            </w:pPr>
          </w:p>
        </w:tc>
      </w:tr>
      <w:tr>
        <w:tc>
          <w:tcPr/>
          <w:p>
            <w:pPr>
              <w:pStyle w:val="Compact"/>
              <w:jc w:val="left"/>
            </w:pPr>
            <w:r>
              <w:t xml:space="preserve">Integration</w:t>
            </w:r>
          </w:p>
        </w:tc>
        <w:tc>
          <w:tcPr/>
          <w:p>
            <w:pPr>
              <w:pStyle w:val="Compact"/>
              <w:jc w:val="left"/>
            </w:pPr>
            <w:r>
              <w:t xml:space="preserve">NIM REST APIs; NVIDIA API catalog Retrieval APIs for hosted trial; Helm chart</w:t>
            </w:r>
          </w:p>
        </w:tc>
        <w:tc>
          <w:tcPr/>
          <w:p>
            <w:pPr>
              <w:pStyle w:val="Compact"/>
              <w:jc w:val="left"/>
            </w:pPr>
            <w:r>
              <w:t xml:space="preserve">Verified fact</w:t>
            </w:r>
          </w:p>
        </w:tc>
        <w:tc>
          <w:tcPr/>
          <w:p>
            <w:pPr>
              <w:pStyle w:val="Compact"/>
              <w:jc w:val="left"/>
            </w:pPr>
            <w:r>
              <w:t xml:space="preserve">A2-S031</w:t>
            </w:r>
          </w:p>
        </w:tc>
      </w:tr>
      <w:tr>
        <w:tc>
          <w:tcPr/>
          <w:p>
            <w:pPr>
              <w:pStyle w:val="Compact"/>
              <w:jc w:val="left"/>
            </w:pPr>
            <w:r>
              <w:t xml:space="preserve">Dependencies</w:t>
            </w:r>
          </w:p>
        </w:tc>
        <w:tc>
          <w:tcPr/>
          <w:p>
            <w:pPr>
              <w:pStyle w:val="Compact"/>
              <w:jc w:val="left"/>
            </w:pPr>
            <w:r>
              <w:t xml:space="preserve">NVIDIA GPUs; NGC container registry; Kubernetes/Helm for the NeMo Retriever chart</w:t>
            </w:r>
          </w:p>
        </w:tc>
        <w:tc>
          <w:tcPr/>
          <w:p>
            <w:pPr>
              <w:pStyle w:val="Compact"/>
              <w:jc w:val="left"/>
            </w:pPr>
            <w:r>
              <w:t xml:space="preserve">Verified fact</w:t>
            </w:r>
          </w:p>
        </w:tc>
        <w:tc>
          <w:tcPr/>
          <w:p>
            <w:pPr>
              <w:pStyle w:val="Compact"/>
              <w:jc w:val="left"/>
            </w:pPr>
            <w:r>
              <w:t xml:space="preserve">A2-S031</w:t>
            </w:r>
          </w:p>
        </w:tc>
      </w:tr>
      <w:tr>
        <w:tc>
          <w:tcPr/>
          <w:p>
            <w:pPr>
              <w:pStyle w:val="Compact"/>
              <w:jc w:val="left"/>
            </w:pPr>
            <w:r>
              <w:t xml:space="preserve">Certifications</w:t>
            </w:r>
          </w:p>
        </w:tc>
        <w:tc>
          <w:tcPr/>
          <w:p>
            <w:pPr>
              <w:pStyle w:val="Compact"/>
              <w:jc w:val="left"/>
            </w:pPr>
            <w:r>
              <w:t xml:space="preserve">Not applicable to self-hosted containers; NVIDIA-hosted service certifications not researched</w:t>
            </w:r>
          </w:p>
        </w:tc>
        <w:tc>
          <w:tcPr/>
          <w:p>
            <w:pPr>
              <w:pStyle w:val="Compact"/>
              <w:jc w:val="left"/>
            </w:pPr>
            <w:r>
              <w:t xml:space="preserve">Architectural judgement</w:t>
            </w:r>
          </w:p>
        </w:tc>
        <w:tc>
          <w:tcPr/>
          <w:p>
            <w:pPr>
              <w:pStyle w:val="Compact"/>
            </w:pPr>
          </w:p>
        </w:tc>
      </w:tr>
      <w:tr>
        <w:tc>
          <w:tcPr/>
          <w:p>
            <w:pPr>
              <w:pStyle w:val="Compact"/>
              <w:jc w:val="left"/>
            </w:pPr>
            <w:r>
              <w:t xml:space="preserve">GDPR / residency</w:t>
            </w:r>
          </w:p>
        </w:tc>
        <w:tc>
          <w:tcPr/>
          <w:p>
            <w:pPr>
              <w:pStyle w:val="Compact"/>
              <w:jc w:val="left"/>
            </w:pPr>
            <w:r>
              <w:t xml:space="preserve">Runs in customer environment when self-hosted</w:t>
            </w:r>
          </w:p>
        </w:tc>
        <w:tc>
          <w:tcPr/>
          <w:p>
            <w:pPr>
              <w:pStyle w:val="Compact"/>
              <w:jc w:val="left"/>
            </w:pPr>
            <w:r>
              <w:t xml:space="preserve">Architectural judgement</w:t>
            </w:r>
          </w:p>
        </w:tc>
        <w:tc>
          <w:tcPr/>
          <w:p>
            <w:pPr>
              <w:pStyle w:val="Compact"/>
            </w:pPr>
          </w:p>
        </w:tc>
      </w:tr>
      <w:tr>
        <w:tc>
          <w:tcPr/>
          <w:p>
            <w:pPr>
              <w:pStyle w:val="Compact"/>
              <w:jc w:val="left"/>
            </w:pPr>
            <w:r>
              <w:t xml:space="preserve">Security features</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Access controls</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Enterprise support</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Pricing</w:t>
            </w:r>
          </w:p>
        </w:tc>
        <w:tc>
          <w:tcPr/>
          <w:p>
            <w:pPr>
              <w:pStyle w:val="Compact"/>
              <w:jc w:val="left"/>
            </w:pPr>
            <w:r>
              <w:t xml:space="preserve">Free for research/development/test via NVIDIA Developer Program (up to 16 GPUs); production requires NVIDIA AI Enterprise from US$4,500 per GPU per year or ~US$1 per GPU per hour in cloud; 90-day trial</w:t>
            </w:r>
          </w:p>
        </w:tc>
        <w:tc>
          <w:tcPr/>
          <w:p>
            <w:pPr>
              <w:pStyle w:val="Compact"/>
              <w:jc w:val="left"/>
            </w:pPr>
            <w:r>
              <w:t xml:space="preserve">Verified fact</w:t>
            </w:r>
          </w:p>
        </w:tc>
        <w:tc>
          <w:tcPr/>
          <w:p>
            <w:pPr>
              <w:pStyle w:val="Compact"/>
              <w:jc w:val="left"/>
            </w:pPr>
            <w:r>
              <w:t xml:space="preserve">A2-S040</w:t>
            </w:r>
          </w:p>
        </w:tc>
      </w:tr>
      <w:tr>
        <w:tc>
          <w:tcPr/>
          <w:p>
            <w:pPr>
              <w:pStyle w:val="Compact"/>
              <w:jc w:val="left"/>
            </w:pPr>
            <w:r>
              <w:t xml:space="preserve">Infrastructure cost</w:t>
            </w:r>
          </w:p>
        </w:tc>
        <w:tc>
          <w:tcPr/>
          <w:p>
            <w:pPr>
              <w:pStyle w:val="Compact"/>
              <w:jc w:val="left"/>
            </w:pPr>
            <w:r>
              <w:t xml:space="preserve">GPU-bound: licence is per GPU plus GPU infrastructure</w:t>
            </w:r>
          </w:p>
        </w:tc>
        <w:tc>
          <w:tcPr/>
          <w:p>
            <w:pPr>
              <w:pStyle w:val="Compact"/>
              <w:jc w:val="left"/>
            </w:pPr>
            <w:r>
              <w:t xml:space="preserve">Verified fact</w:t>
            </w:r>
          </w:p>
        </w:tc>
        <w:tc>
          <w:tcPr/>
          <w:p>
            <w:pPr>
              <w:pStyle w:val="Compact"/>
              <w:jc w:val="left"/>
            </w:pPr>
            <w:r>
              <w:t xml:space="preserve">A2-S040</w:t>
            </w:r>
          </w:p>
        </w:tc>
      </w:tr>
      <w:tr>
        <w:tc>
          <w:tcPr/>
          <w:p>
            <w:pPr>
              <w:pStyle w:val="Compact"/>
              <w:jc w:val="left"/>
            </w:pPr>
            <w:r>
              <w:t xml:space="preserve">Ecosystem</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Adoption signals</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Maturity</w:t>
            </w:r>
          </w:p>
        </w:tc>
        <w:tc>
          <w:tcPr/>
          <w:p>
            <w:pPr>
              <w:pStyle w:val="Compact"/>
              <w:jc w:val="left"/>
            </w:pPr>
            <w:r>
              <w:t xml:space="preserve">Frequent releases (NIM 2.x; Helm 26.08.1 recommended)</w:t>
            </w:r>
          </w:p>
        </w:tc>
        <w:tc>
          <w:tcPr/>
          <w:p>
            <w:pPr>
              <w:pStyle w:val="Compact"/>
              <w:jc w:val="left"/>
            </w:pPr>
            <w:r>
              <w:t xml:space="preserve">Verified fact</w:t>
            </w:r>
          </w:p>
        </w:tc>
        <w:tc>
          <w:tcPr/>
          <w:p>
            <w:pPr>
              <w:pStyle w:val="Compact"/>
              <w:jc w:val="left"/>
            </w:pPr>
            <w:r>
              <w:t xml:space="preserve">A2-S031</w:t>
            </w:r>
          </w:p>
        </w:tc>
      </w:tr>
      <w:tr>
        <w:tc>
          <w:tcPr/>
          <w:p>
            <w:pPr>
              <w:pStyle w:val="Compact"/>
              <w:jc w:val="left"/>
            </w:pPr>
            <w:r>
              <w:t xml:space="preserve">Deployment</w:t>
            </w:r>
          </w:p>
        </w:tc>
        <w:tc>
          <w:tcPr/>
          <w:p>
            <w:pPr>
              <w:pStyle w:val="Compact"/>
              <w:jc w:val="left"/>
            </w:pPr>
            <w:r>
              <w:t xml:space="preserve">saas: Yes for development (NVIDIA API catalog); partner-hosted serverless NIM for production; managed_cloud: Not publicly verified; vpc_byoc: Not publicly verified; private_cloud: Not publicly verified; self_hosted: Yes (any cloud or data centre with supported GPUs); on_prem: Yes</w:t>
            </w:r>
          </w:p>
        </w:tc>
        <w:tc>
          <w:tcPr/>
          <w:p>
            <w:pPr>
              <w:pStyle w:val="Compact"/>
            </w:pPr>
          </w:p>
        </w:tc>
        <w:tc>
          <w:tcPr/>
          <w:p>
            <w:pPr>
              <w:pStyle w:val="Compact"/>
            </w:pPr>
          </w:p>
        </w:tc>
      </w:tr>
    </w:tbl>
    <w:bookmarkEnd w:id="517"/>
    <w:bookmarkStart w:id="520" w:name="not-publicly-verified-l7-ethicalagents"/>
    <w:p>
      <w:pPr>
        <w:pStyle w:val="Heading2"/>
      </w:pPr>
      <w:r>
        <w:t xml:space="preserve">Not publicly verified (</w:t>
      </w:r>
      <w:r>
        <w:rPr>
          <w:rStyle w:val="VerbatimChar"/>
        </w:rPr>
        <w:t xml:space="preserve">L7-ethicalagents</w:t>
      </w:r>
      <w:r>
        <w:t xml:space="preserve">)</w:t>
      </w:r>
    </w:p>
    <w:p>
      <w:pPr>
        <w:pStyle w:val="FirstParagraph"/>
      </w:pPr>
      <w:r>
        <w:rPr>
          <w:bCs/>
          <w:b/>
        </w:rPr>
        <w:t xml:space="preserve">Tier:</w:t>
      </w:r>
      <w:r>
        <w:t xml:space="preserve"> </w:t>
      </w:r>
      <w:r>
        <w:t xml:space="preserve">Not scored ·</w:t>
      </w:r>
      <w:r>
        <w:t xml:space="preserve"> </w:t>
      </w:r>
      <w:r>
        <w:rPr>
          <w:bCs/>
          <w:b/>
        </w:rPr>
        <w:t xml:space="preserve">Flags:</w:t>
      </w:r>
      <w:r>
        <w:t xml:space="preserve"> </w:t>
      </w:r>
      <w:r>
        <w:t xml:space="preserve">Not publicly verified ·</w:t>
      </w:r>
      <w:r>
        <w:t xml:space="preserve"> </w:t>
      </w:r>
      <w:r>
        <w:rPr>
          <w:bCs/>
          <w:b/>
        </w:rPr>
        <w:t xml:space="preserve">Original graphic label:</w:t>
      </w:r>
      <w:r>
        <w:t xml:space="preserve"> </w:t>
      </w:r>
      <w:r>
        <w:t xml:space="preserve">EthicalAgents – embeddings</w:t>
      </w:r>
    </w:p>
    <w:p>
      <w:pPr>
        <w:pStyle w:val="BodyText"/>
      </w:pPr>
      <w:r>
        <w:rPr>
          <w:iCs/>
          <w:i/>
        </w:rPr>
        <w:t xml:space="preserve">Rationale:</w:t>
      </w:r>
      <w:r>
        <w:t xml:space="preserve"> </w:t>
      </w:r>
      <w:r>
        <w:t xml:space="preserve">Could not be verified; removed per CP1 Q4(a).</w:t>
      </w:r>
    </w:p>
    <w:p>
      <w:pPr>
        <w:pStyle w:val="BodyText"/>
      </w:pPr>
      <w:r>
        <w:rPr>
          <w:bCs/>
          <w:b/>
        </w:rPr>
        <w:t xml:space="preserve">Capabilities.</w:t>
      </w:r>
      <w:r>
        <w:t xml:space="preserve"> </w:t>
      </w:r>
      <w:r>
        <w:t xml:space="preserve">Not publicly verified: no product of this name found after six searches by Stage A and a fresh search by the verifier</w:t>
      </w:r>
      <w:r>
        <w:t xml:space="preserve"> </w:t>
      </w:r>
      <w:r>
        <w:rPr>
          <w:rStyle w:val="ClaimLabel"/>
        </w:rPr>
        <w:t xml:space="preserve">VF</w:t>
      </w:r>
      <w:r>
        <w:rPr>
          <w:rStyle w:val="FootnoteReference"/>
        </w:rPr>
        <w:footnoteReference w:id="518"/>
      </w:r>
      <w:r>
        <w:t xml:space="preserve">.</w:t>
      </w:r>
    </w:p>
    <w:p>
      <w:pPr>
        <w:pStyle w:val="BodyText"/>
      </w:pPr>
      <w:r>
        <w:rPr>
          <w:bCs/>
          <w:b/>
        </w:rPr>
        <w:t xml:space="preserve">Limitations and risks</w:t>
      </w:r>
    </w:p>
    <w:p>
      <w:pPr>
        <w:numPr>
          <w:ilvl w:val="0"/>
          <w:numId w:val="1117"/>
        </w:numPr>
        <w:pStyle w:val="Compact"/>
      </w:pPr>
      <w:r>
        <w:t xml:space="preserve">No evidence the product exists</w:t>
      </w:r>
      <w:r>
        <w:t xml:space="preserve"> </w:t>
      </w:r>
      <w:r>
        <w:rPr>
          <w:rStyle w:val="ClaimLabel"/>
        </w:rPr>
        <w:t xml:space="preserve">NPV</w:t>
      </w:r>
    </w:p>
    <w:p>
      <w:pPr>
        <w:pStyle w:val="FirstParagraph"/>
      </w:pPr>
      <w:r>
        <w:rPr>
          <w:bCs/>
          <w:b/>
        </w:rPr>
        <w:t xml:space="preserve">Avoid when</w:t>
      </w:r>
    </w:p>
    <w:p>
      <w:pPr>
        <w:numPr>
          <w:ilvl w:val="0"/>
          <w:numId w:val="1118"/>
        </w:numPr>
        <w:pStyle w:val="Compact"/>
      </w:pPr>
      <w:r>
        <w:t xml:space="preserve">Do not select: removed per CP1 decision Q4(a)</w:t>
      </w:r>
    </w:p>
    <w:p>
      <w:pPr>
        <w:pStyle w:val="FirstParagraph"/>
      </w:pPr>
      <w:r>
        <w:rPr>
          <w:bCs/>
          <w:b/>
        </w:rPr>
        <w:t xml:space="preserve">Regulated-FS note.</w:t>
      </w:r>
      <w:r>
        <w:t xml:space="preserve"> </w:t>
      </w:r>
      <w:r>
        <w:t xml:space="preserve">Removed from the analysis per CP1 decision Q4(a).</w:t>
      </w:r>
    </w:p>
    <w:p>
      <w:pPr>
        <w:pStyle w:val="BodyText"/>
      </w:pPr>
      <w:r>
        <w:rPr>
          <w:bCs/>
          <w:b/>
        </w:rPr>
        <w:t xml:space="preserve">Facts (as of 2026-10-08)</w:t>
      </w:r>
    </w:p>
    <w:tbl>
      <w:tblPr>
        <w:tblStyle w:val="Table"/>
        <w:tblW w:type="pct" w:w="5000"/>
        <w:tblLook w:firstRow="1" w:lastRow="0" w:firstColumn="0" w:lastColumn="0" w:noHBand="0" w:noVBand="0" w:val="0020"/>
        <w:jc w:val="start"/>
      </w:tblPr>
      <w:tblGrid>
        <w:gridCol w:w="1485"/>
        <w:gridCol w:w="4290"/>
        <w:gridCol w:w="1320"/>
        <w:gridCol w:w="825"/>
      </w:tblGrid>
      <w:tr>
        <w:trPr>
          <w:tblHeader w:val="true"/>
        </w:trPr>
        <w:tc>
          <w:tcPr/>
          <w:p>
            <w:pPr>
              <w:pStyle w:val="Compact"/>
              <w:jc w:val="left"/>
            </w:pPr>
            <w:r>
              <w:t xml:space="preserve">Field</w:t>
            </w:r>
          </w:p>
        </w:tc>
        <w:tc>
          <w:tcPr/>
          <w:p>
            <w:pPr>
              <w:pStyle w:val="Compact"/>
              <w:jc w:val="left"/>
            </w:pPr>
            <w:r>
              <w:t xml:space="preserve">Value</w:t>
            </w:r>
          </w:p>
        </w:tc>
        <w:tc>
          <w:tcPr/>
          <w:p>
            <w:pPr>
              <w:pStyle w:val="Compact"/>
              <w:jc w:val="left"/>
            </w:pPr>
            <w:r>
              <w:t xml:space="preserve">Label</w:t>
            </w:r>
          </w:p>
        </w:tc>
        <w:tc>
          <w:tcPr/>
          <w:p>
            <w:pPr>
              <w:pStyle w:val="Compact"/>
              <w:jc w:val="left"/>
            </w:pPr>
            <w:r>
              <w:t xml:space="preserve">Sources</w:t>
            </w:r>
          </w:p>
        </w:tc>
      </w:tr>
      <w:tr>
        <w:tc>
          <w:tcPr/>
          <w:p>
            <w:pPr>
              <w:pStyle w:val="Compact"/>
              <w:jc w:val="left"/>
            </w:pPr>
            <w:r>
              <w:t xml:space="preserve">Company</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Category</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Version / lineup</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Licence</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Strategic direction</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What it does</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Stack position</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Integration</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Dependencies</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Certifications</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GDPR / residency</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Security features</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Access controls</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Enterprise support</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Pricing</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Infrastructure cost</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Ecosystem</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Adoption signals</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Maturity</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Deployment</w:t>
            </w:r>
          </w:p>
        </w:tc>
        <w:tc>
          <w:tcPr/>
          <w:p>
            <w:pPr>
              <w:pStyle w:val="Compact"/>
              <w:jc w:val="left"/>
            </w:pPr>
            <w:r>
              <w:t xml:space="preserve">saas: Not publicly verified; managed_cloud: Not publicly verified; vpc_byoc: Not publicly verified; private_cloud: Not publicly verified; self_hosted: Not publicly verified; on_prem: Not publicly verified</w:t>
            </w:r>
          </w:p>
        </w:tc>
        <w:tc>
          <w:tcPr/>
          <w:p>
            <w:pPr>
              <w:pStyle w:val="Compact"/>
            </w:pPr>
          </w:p>
        </w:tc>
        <w:tc>
          <w:tcPr/>
          <w:p>
            <w:pPr>
              <w:pStyle w:val="Compact"/>
            </w:pPr>
          </w:p>
        </w:tc>
      </w:tr>
    </w:tbl>
    <w:bookmarkEnd w:id="520"/>
    <w:bookmarkStart w:id="523" w:name="not-publicly-verified-l7-ragoos"/>
    <w:p>
      <w:pPr>
        <w:pStyle w:val="Heading2"/>
      </w:pPr>
      <w:r>
        <w:t xml:space="preserve">Not publicly verified (</w:t>
      </w:r>
      <w:r>
        <w:rPr>
          <w:rStyle w:val="VerbatimChar"/>
        </w:rPr>
        <w:t xml:space="preserve">L7-ragoos</w:t>
      </w:r>
      <w:r>
        <w:t xml:space="preserve">)</w:t>
      </w:r>
    </w:p>
    <w:p>
      <w:pPr>
        <w:pStyle w:val="FirstParagraph"/>
      </w:pPr>
      <w:r>
        <w:rPr>
          <w:bCs/>
          <w:b/>
        </w:rPr>
        <w:t xml:space="preserve">Tier:</w:t>
      </w:r>
      <w:r>
        <w:t xml:space="preserve"> </w:t>
      </w:r>
      <w:r>
        <w:t xml:space="preserve">Not scored ·</w:t>
      </w:r>
      <w:r>
        <w:t xml:space="preserve"> </w:t>
      </w:r>
      <w:r>
        <w:rPr>
          <w:bCs/>
          <w:b/>
        </w:rPr>
        <w:t xml:space="preserve">Flags:</w:t>
      </w:r>
      <w:r>
        <w:t xml:space="preserve"> </w:t>
      </w:r>
      <w:r>
        <w:t xml:space="preserve">Not publicly verified ·</w:t>
      </w:r>
      <w:r>
        <w:t xml:space="preserve"> </w:t>
      </w:r>
      <w:r>
        <w:rPr>
          <w:bCs/>
          <w:b/>
        </w:rPr>
        <w:t xml:space="preserve">Original graphic label:</w:t>
      </w:r>
      <w:r>
        <w:t xml:space="preserve"> </w:t>
      </w:r>
      <w:r>
        <w:t xml:space="preserve">Ragoos – RAG re-rankers</w:t>
      </w:r>
    </w:p>
    <w:p>
      <w:pPr>
        <w:pStyle w:val="BodyText"/>
      </w:pPr>
      <w:r>
        <w:rPr>
          <w:iCs/>
          <w:i/>
        </w:rPr>
        <w:t xml:space="preserve">Rationale:</w:t>
      </w:r>
      <w:r>
        <w:t xml:space="preserve"> </w:t>
      </w:r>
      <w:r>
        <w:t xml:space="preserve">Could not be verified; removed per CP1 Q4(a).</w:t>
      </w:r>
    </w:p>
    <w:p>
      <w:pPr>
        <w:pStyle w:val="BodyText"/>
      </w:pPr>
      <w:r>
        <w:rPr>
          <w:bCs/>
          <w:b/>
        </w:rPr>
        <w:t xml:space="preserve">Capabilities.</w:t>
      </w:r>
      <w:r>
        <w:t xml:space="preserve"> </w:t>
      </w:r>
      <w:r>
        <w:t xml:space="preserve">Not publicly verified: no product of this name found after six searches by Stage A and a fresh search by the verifier</w:t>
      </w:r>
      <w:r>
        <w:t xml:space="preserve"> </w:t>
      </w:r>
      <w:r>
        <w:rPr>
          <w:rStyle w:val="ClaimLabel"/>
        </w:rPr>
        <w:t xml:space="preserve">VF</w:t>
      </w:r>
      <w:r>
        <w:rPr>
          <w:rStyle w:val="FootnoteReference"/>
        </w:rPr>
        <w:footnoteReference w:id="521"/>
      </w:r>
      <w:r>
        <w:t xml:space="preserve">.</w:t>
      </w:r>
    </w:p>
    <w:p>
      <w:pPr>
        <w:pStyle w:val="BodyText"/>
      </w:pPr>
      <w:r>
        <w:rPr>
          <w:bCs/>
          <w:b/>
        </w:rPr>
        <w:t xml:space="preserve">Limitations and risks</w:t>
      </w:r>
    </w:p>
    <w:p>
      <w:pPr>
        <w:numPr>
          <w:ilvl w:val="0"/>
          <w:numId w:val="1119"/>
        </w:numPr>
        <w:pStyle w:val="Compact"/>
      </w:pPr>
      <w:r>
        <w:t xml:space="preserve">No evidence the product exists</w:t>
      </w:r>
      <w:r>
        <w:t xml:space="preserve"> </w:t>
      </w:r>
      <w:r>
        <w:rPr>
          <w:rStyle w:val="ClaimLabel"/>
        </w:rPr>
        <w:t xml:space="preserve">NPV</w:t>
      </w:r>
    </w:p>
    <w:p>
      <w:pPr>
        <w:pStyle w:val="FirstParagraph"/>
      </w:pPr>
      <w:r>
        <w:rPr>
          <w:bCs/>
          <w:b/>
        </w:rPr>
        <w:t xml:space="preserve">Avoid when</w:t>
      </w:r>
    </w:p>
    <w:p>
      <w:pPr>
        <w:numPr>
          <w:ilvl w:val="0"/>
          <w:numId w:val="1120"/>
        </w:numPr>
        <w:pStyle w:val="Compact"/>
      </w:pPr>
      <w:r>
        <w:t xml:space="preserve">Do not select: removed per CP1 decision Q4(a)</w:t>
      </w:r>
    </w:p>
    <w:p>
      <w:pPr>
        <w:pStyle w:val="FirstParagraph"/>
      </w:pPr>
      <w:r>
        <w:rPr>
          <w:bCs/>
          <w:b/>
        </w:rPr>
        <w:t xml:space="preserve">Regulated-FS note.</w:t>
      </w:r>
      <w:r>
        <w:t xml:space="preserve"> </w:t>
      </w:r>
      <w:r>
        <w:t xml:space="preserve">Removed from the analysis per CP1 decision Q4(a).</w:t>
      </w:r>
    </w:p>
    <w:p>
      <w:pPr>
        <w:pStyle w:val="BodyText"/>
      </w:pPr>
      <w:r>
        <w:rPr>
          <w:bCs/>
          <w:b/>
        </w:rPr>
        <w:t xml:space="preserve">Facts (as of 2026-10-08)</w:t>
      </w:r>
    </w:p>
    <w:tbl>
      <w:tblPr>
        <w:tblStyle w:val="Table"/>
        <w:tblW w:type="pct" w:w="5000"/>
        <w:tblLook w:firstRow="1" w:lastRow="0" w:firstColumn="0" w:lastColumn="0" w:noHBand="0" w:noVBand="0" w:val="0020"/>
        <w:jc w:val="start"/>
      </w:tblPr>
      <w:tblGrid>
        <w:gridCol w:w="1485"/>
        <w:gridCol w:w="4290"/>
        <w:gridCol w:w="1320"/>
        <w:gridCol w:w="825"/>
      </w:tblGrid>
      <w:tr>
        <w:trPr>
          <w:tblHeader w:val="true"/>
        </w:trPr>
        <w:tc>
          <w:tcPr/>
          <w:p>
            <w:pPr>
              <w:pStyle w:val="Compact"/>
              <w:jc w:val="left"/>
            </w:pPr>
            <w:r>
              <w:t xml:space="preserve">Field</w:t>
            </w:r>
          </w:p>
        </w:tc>
        <w:tc>
          <w:tcPr/>
          <w:p>
            <w:pPr>
              <w:pStyle w:val="Compact"/>
              <w:jc w:val="left"/>
            </w:pPr>
            <w:r>
              <w:t xml:space="preserve">Value</w:t>
            </w:r>
          </w:p>
        </w:tc>
        <w:tc>
          <w:tcPr/>
          <w:p>
            <w:pPr>
              <w:pStyle w:val="Compact"/>
              <w:jc w:val="left"/>
            </w:pPr>
            <w:r>
              <w:t xml:space="preserve">Label</w:t>
            </w:r>
          </w:p>
        </w:tc>
        <w:tc>
          <w:tcPr/>
          <w:p>
            <w:pPr>
              <w:pStyle w:val="Compact"/>
              <w:jc w:val="left"/>
            </w:pPr>
            <w:r>
              <w:t xml:space="preserve">Sources</w:t>
            </w:r>
          </w:p>
        </w:tc>
      </w:tr>
      <w:tr>
        <w:tc>
          <w:tcPr/>
          <w:p>
            <w:pPr>
              <w:pStyle w:val="Compact"/>
              <w:jc w:val="left"/>
            </w:pPr>
            <w:r>
              <w:t xml:space="preserve">Company</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Category</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Version / lineup</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Licence</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Strategic direction</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What it does</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Stack position</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Integration</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Dependencies</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Certifications</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GDPR / residency</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Security features</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Access controls</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Enterprise support</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Pricing</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Infrastructure cost</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Ecosystem</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Adoption signals</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Maturity</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Deployment</w:t>
            </w:r>
          </w:p>
        </w:tc>
        <w:tc>
          <w:tcPr/>
          <w:p>
            <w:pPr>
              <w:pStyle w:val="Compact"/>
              <w:jc w:val="left"/>
            </w:pPr>
            <w:r>
              <w:t xml:space="preserve">saas: Not publicly verified; managed_cloud: Not publicly verified; vpc_byoc: Not publicly verified; private_cloud: Not publicly verified; self_hosted: Not publicly verified; on_prem: Not publicly verified</w:t>
            </w:r>
          </w:p>
        </w:tc>
        <w:tc>
          <w:tcPr/>
          <w:p>
            <w:pPr>
              <w:pStyle w:val="Compact"/>
            </w:pPr>
          </w:p>
        </w:tc>
        <w:tc>
          <w:tcPr/>
          <w:p>
            <w:pPr>
              <w:pStyle w:val="Compact"/>
            </w:pPr>
          </w:p>
        </w:tc>
      </w:tr>
    </w:tbl>
    <w:bookmarkEnd w:id="523"/>
    <w:bookmarkEnd w:id="524"/>
    <w:bookmarkStart w:id="700" w:name="l6-retrieval-and-knowledge-stores"/>
    <w:p>
      <w:pPr>
        <w:pStyle w:val="Heading1"/>
      </w:pPr>
      <w:r>
        <w:t xml:space="preserve">L6: Retrieval and knowledge stores</w:t>
      </w:r>
    </w:p>
    <w:bookmarkStart w:id="536" w:name="Xa1c477e0e2ba51f8a2586f9865ea282d81c1b89"/>
    <w:p>
      <w:pPr>
        <w:pStyle w:val="Heading2"/>
      </w:pPr>
      <w:r>
        <w:t xml:space="preserve">Elasticsearch (Elastic Search AI Platform) (</w:t>
      </w:r>
      <w:r>
        <w:rPr>
          <w:rStyle w:val="VerbatimChar"/>
        </w:rPr>
        <w:t xml:space="preserve">L6-elasticsearch</w:t>
      </w:r>
      <w:r>
        <w:t xml:space="preserve">)</w:t>
      </w:r>
    </w:p>
    <w:p>
      <w:pPr>
        <w:pStyle w:val="FirstParagraph"/>
      </w:pPr>
      <w:r>
        <w:rPr>
          <w:bCs/>
          <w:b/>
        </w:rPr>
        <w:t xml:space="preserve">Tier:</w:t>
      </w:r>
      <w:r>
        <w:t xml:space="preserve"> </w:t>
      </w:r>
      <w:r>
        <w:t xml:space="preserve">Strategic ·</w:t>
      </w:r>
      <w:r>
        <w:t xml:space="preserve"> </w:t>
      </w:r>
      <w:r>
        <w:rPr>
          <w:bCs/>
          <w:b/>
        </w:rPr>
        <w:t xml:space="preserve">Flags:</w:t>
      </w:r>
      <w:r>
        <w:t xml:space="preserve"> </w:t>
      </w:r>
      <w:r>
        <w:t xml:space="preserve">none ·</w:t>
      </w:r>
      <w:r>
        <w:t xml:space="preserve"> </w:t>
      </w:r>
      <w:r>
        <w:rPr>
          <w:bCs/>
          <w:b/>
        </w:rPr>
        <w:t xml:space="preserve">Original graphic label:</w:t>
      </w:r>
      <w:r>
        <w:t xml:space="preserve"> </w:t>
      </w:r>
      <w:r>
        <w:t xml:space="preserve">Elasticsearch – hybrid search</w:t>
      </w:r>
    </w:p>
    <w:p>
      <w:pPr>
        <w:pStyle w:val="BodyText"/>
      </w:pPr>
      <w:r>
        <w:rPr>
          <w:iCs/>
          <w:i/>
        </w:rPr>
        <w:t xml:space="preserve">Rationale:</w:t>
      </w:r>
      <w:r>
        <w:t xml:space="preserve"> </w:t>
      </w:r>
      <w:r>
        <w:t xml:space="preserve">Strategic, conditional: where Elastic is already operated, because cost scores 2</w:t>
      </w:r>
      <w:r>
        <w:t xml:space="preserve"> </w:t>
      </w:r>
      <w:r>
        <w:rPr>
          <w:rStyle w:val="ClaimLabel"/>
        </w:rPr>
        <w:t xml:space="preserve">AJ</w:t>
      </w:r>
      <w:r>
        <w:t xml:space="preserve">.</w:t>
      </w:r>
    </w:p>
    <w:tbl>
      <w:tblPr>
        <w:tblStyle w:val="Table"/>
        <w:tblW w:type="pct" w:w="5000"/>
        <w:tblLook w:firstRow="1" w:lastRow="0" w:firstColumn="0" w:lastColumn="0" w:noHBand="0" w:noVBand="0" w:val="0020"/>
        <w:jc w:val="start"/>
      </w:tblPr>
      <w:tblGrid>
        <w:gridCol w:w="1545"/>
        <w:gridCol w:w="579"/>
        <w:gridCol w:w="5795"/>
      </w:tblGrid>
      <w:tr>
        <w:trPr>
          <w:tblHeader w:val="true"/>
        </w:trPr>
        <w:tc>
          <w:tcPr/>
          <w:p>
            <w:pPr>
              <w:pStyle w:val="Compact"/>
              <w:jc w:val="left"/>
            </w:pPr>
            <w:r>
              <w:t xml:space="preserve">Criterion</w:t>
            </w:r>
          </w:p>
        </w:tc>
        <w:tc>
          <w:tcPr/>
          <w:p>
            <w:pPr>
              <w:pStyle w:val="Compact"/>
              <w:jc w:val="right"/>
            </w:pPr>
            <w:r>
              <w:t xml:space="preserve">Score</w:t>
            </w:r>
          </w:p>
        </w:tc>
        <w:tc>
          <w:tcPr/>
          <w:p>
            <w:pPr>
              <w:pStyle w:val="Compact"/>
              <w:jc w:val="left"/>
            </w:pPr>
            <w:r>
              <w:t xml:space="preserve">Rationale</w:t>
            </w:r>
          </w:p>
        </w:tc>
      </w:tr>
      <w:tr>
        <w:tc>
          <w:tcPr/>
          <w:p>
            <w:pPr>
              <w:pStyle w:val="Compact"/>
              <w:jc w:val="left"/>
            </w:pPr>
            <w:r>
              <w:t xml:space="preserve">Technical</w:t>
            </w:r>
          </w:p>
        </w:tc>
        <w:tc>
          <w:tcPr/>
          <w:p>
            <w:pPr>
              <w:pStyle w:val="Compact"/>
              <w:jc w:val="right"/>
            </w:pPr>
            <w:r>
              <w:t xml:space="preserve">5</w:t>
            </w:r>
          </w:p>
        </w:tc>
        <w:tc>
          <w:tcPr/>
          <w:p>
            <w:pPr>
              <w:pStyle w:val="Compact"/>
              <w:jc w:val="left"/>
            </w:pPr>
            <w:r>
              <w:t xml:space="preserve">BM25, quantised vectors, RRF/linear fusion, restrictive-filter optimisation and document-level security cover the layer’s research questions</w:t>
            </w:r>
          </w:p>
        </w:tc>
      </w:tr>
      <w:tr>
        <w:tc>
          <w:tcPr/>
          <w:p>
            <w:pPr>
              <w:pStyle w:val="Compact"/>
              <w:jc w:val="left"/>
            </w:pPr>
            <w:r>
              <w:t xml:space="preserve">Enterprise readiness</w:t>
            </w:r>
          </w:p>
        </w:tc>
        <w:tc>
          <w:tcPr/>
          <w:p>
            <w:pPr>
              <w:pStyle w:val="Compact"/>
              <w:jc w:val="right"/>
            </w:pPr>
            <w:r>
              <w:t xml:space="preserve">4</w:t>
            </w:r>
          </w:p>
        </w:tc>
        <w:tc>
          <w:tcPr/>
          <w:p>
            <w:pPr>
              <w:pStyle w:val="Compact"/>
              <w:jc w:val="left"/>
            </w:pPr>
            <w:r>
              <w:t xml:space="preserve">SAML/OIDC SSO, RBAC, DLS/FLS and audit logging (A2-S134; Elastic Cloud SSO/RBAC B-REV-S019), plus the Elastic Cloud API with role-bearing organisation API keys (B-REVA-S003): rule 7 allows 4; SCIM not found, Cloud audit tier and SLA not confirmed</w:t>
            </w:r>
          </w:p>
        </w:tc>
      </w:tr>
      <w:tr>
        <w:tc>
          <w:tcPr/>
          <w:p>
            <w:pPr>
              <w:pStyle w:val="Compact"/>
              <w:jc w:val="left"/>
            </w:pPr>
            <w:r>
              <w:t xml:space="preserve">Security and compliance</w:t>
            </w:r>
          </w:p>
        </w:tc>
        <w:tc>
          <w:tcPr/>
          <w:p>
            <w:pPr>
              <w:pStyle w:val="Compact"/>
              <w:jc w:val="right"/>
            </w:pPr>
            <w:r>
              <w:t xml:space="preserve">5</w:t>
            </w:r>
          </w:p>
        </w:tc>
        <w:tc>
          <w:tcPr/>
          <w:p>
            <w:pPr>
              <w:pStyle w:val="Compact"/>
              <w:jc w:val="left"/>
            </w:pPr>
            <w:r>
              <w:t xml:space="preserve">Elastic Cloud ISO 27001 and SOC 2 Type II within the product, plus CMK</w:t>
            </w:r>
          </w:p>
        </w:tc>
      </w:tr>
      <w:tr>
        <w:tc>
          <w:tcPr/>
          <w:p>
            <w:pPr>
              <w:pStyle w:val="Compact"/>
              <w:jc w:val="left"/>
            </w:pPr>
            <w:r>
              <w:t xml:space="preserve">Deployment flexibility</w:t>
            </w:r>
          </w:p>
        </w:tc>
        <w:tc>
          <w:tcPr/>
          <w:p>
            <w:pPr>
              <w:pStyle w:val="Compact"/>
              <w:jc w:val="right"/>
            </w:pPr>
            <w:r>
              <w:t xml:space="preserve">4</w:t>
            </w:r>
          </w:p>
        </w:tc>
        <w:tc>
          <w:tcPr/>
          <w:p>
            <w:pPr>
              <w:pStyle w:val="Compact"/>
              <w:jc w:val="left"/>
            </w:pPr>
            <w:r>
              <w:t xml:space="preserve">Hosted and Serverless on three clouds, self-managed and on-prem; no BYOC evidenced</w:t>
            </w:r>
          </w:p>
        </w:tc>
      </w:tr>
      <w:tr>
        <w:tc>
          <w:tcPr/>
          <w:p>
            <w:pPr>
              <w:pStyle w:val="Compact"/>
              <w:jc w:val="left"/>
            </w:pPr>
            <w:r>
              <w:t xml:space="preserve">Ecosystem</w:t>
            </w:r>
          </w:p>
        </w:tc>
        <w:tc>
          <w:tcPr/>
          <w:p>
            <w:pPr>
              <w:pStyle w:val="Compact"/>
              <w:jc w:val="right"/>
            </w:pPr>
            <w:r>
              <w:t xml:space="preserve">5</w:t>
            </w:r>
          </w:p>
        </w:tc>
        <w:tc>
          <w:tcPr/>
          <w:p>
            <w:pPr>
              <w:pStyle w:val="Compact"/>
              <w:jc w:val="left"/>
            </w:pPr>
            <w:r>
              <w:t xml:space="preserve">De-facto search standard; REST; OpenSearch fork</w:t>
            </w:r>
          </w:p>
        </w:tc>
      </w:tr>
      <w:tr>
        <w:tc>
          <w:tcPr/>
          <w:p>
            <w:pPr>
              <w:pStyle w:val="Compact"/>
              <w:jc w:val="left"/>
            </w:pPr>
            <w:r>
              <w:t xml:space="preserve">Reliability and maturity</w:t>
            </w:r>
          </w:p>
        </w:tc>
        <w:tc>
          <w:tcPr/>
          <w:p>
            <w:pPr>
              <w:pStyle w:val="Compact"/>
              <w:jc w:val="right"/>
            </w:pPr>
            <w:r>
              <w:t xml:space="preserve">5</w:t>
            </w:r>
          </w:p>
        </w:tc>
        <w:tc>
          <w:tcPr/>
          <w:p>
            <w:pPr>
              <w:pStyle w:val="Compact"/>
              <w:jc w:val="left"/>
            </w:pPr>
            <w:r>
              <w:t xml:space="preserve">Years of production use; frequent minors</w:t>
            </w:r>
          </w:p>
        </w:tc>
      </w:tr>
      <w:tr>
        <w:tc>
          <w:tcPr/>
          <w:p>
            <w:pPr>
              <w:pStyle w:val="Compact"/>
              <w:jc w:val="left"/>
            </w:pPr>
            <w:r>
              <w:t xml:space="preserve">Cost / TCO</w:t>
            </w:r>
          </w:p>
        </w:tc>
        <w:tc>
          <w:tcPr/>
          <w:p>
            <w:pPr>
              <w:pStyle w:val="Compact"/>
              <w:jc w:val="right"/>
            </w:pPr>
            <w:r>
              <w:t xml:space="preserve">2</w:t>
            </w:r>
          </w:p>
        </w:tc>
        <w:tc>
          <w:tcPr/>
          <w:p>
            <w:pPr>
              <w:pStyle w:val="Compact"/>
              <w:jc w:val="left"/>
            </w:pPr>
            <w:r>
              <w:t xml:space="preserve">Paid tiers for key security features; cluster pricing not verified; operations heavy</w:t>
            </w:r>
          </w:p>
        </w:tc>
      </w:tr>
      <w:tr>
        <w:tc>
          <w:tcPr/>
          <w:p>
            <w:pPr>
              <w:pStyle w:val="Compact"/>
              <w:jc w:val="left"/>
            </w:pPr>
            <w:r>
              <w:t xml:space="preserve">Lock-in / portability</w:t>
            </w:r>
          </w:p>
        </w:tc>
        <w:tc>
          <w:tcPr/>
          <w:p>
            <w:pPr>
              <w:pStyle w:val="Compact"/>
              <w:jc w:val="right"/>
            </w:pPr>
            <w:r>
              <w:t xml:space="preserve">3</w:t>
            </w:r>
          </w:p>
        </w:tc>
        <w:tc>
          <w:tcPr/>
          <w:p>
            <w:pPr>
              <w:pStyle w:val="Compact"/>
              <w:jc w:val="left"/>
            </w:pPr>
            <w:r>
              <w:t xml:space="preserve">AGPL option but paid features proprietary; SSPL/ELv2 alternatives (rule 4)</w:t>
            </w:r>
          </w:p>
        </w:tc>
      </w:tr>
      <w:tr>
        <w:tc>
          <w:tcPr/>
          <w:p>
            <w:pPr>
              <w:pStyle w:val="Compact"/>
              <w:jc w:val="left"/>
            </w:pPr>
            <w:r>
              <w:rPr>
                <w:bCs/>
                <w:b/>
              </w:rPr>
              <w:t xml:space="preserve">Total (generic / FS)</w:t>
            </w:r>
          </w:p>
        </w:tc>
        <w:tc>
          <w:tcPr/>
          <w:p>
            <w:pPr>
              <w:pStyle w:val="Compact"/>
              <w:jc w:val="right"/>
            </w:pPr>
            <w:r>
              <w:rPr>
                <w:bCs/>
                <w:b/>
              </w:rPr>
              <w:t xml:space="preserve">4.30 / 4.25</w:t>
            </w:r>
          </w:p>
        </w:tc>
        <w:tc>
          <w:tcPr/>
          <w:p>
            <w:pPr>
              <w:pStyle w:val="Compact"/>
            </w:pPr>
          </w:p>
        </w:tc>
      </w:tr>
    </w:tbl>
    <w:p>
      <w:pPr>
        <w:pStyle w:val="BodyText"/>
      </w:pPr>
      <w:r>
        <w:rPr>
          <w:bCs/>
          <w:b/>
        </w:rPr>
        <w:t xml:space="preserve">Capabilities.</w:t>
      </w:r>
      <w:r>
        <w:t xml:space="preserve"> </w:t>
      </w:r>
      <w:r>
        <w:t xml:space="preserve">Distributed search engine combining BM25, dense/sparse vectors (BBQ/DiskBBQ default since 9.1), RRF and linear hybrid retrievers, semantic_text auto-embedding (Jina v5 default) and document-level security; Elastic 9.5 GA 4 August 2026</w:t>
      </w:r>
      <w:r>
        <w:t xml:space="preserve"> </w:t>
      </w:r>
      <w:r>
        <w:rPr>
          <w:rStyle w:val="ClaimLabel"/>
        </w:rPr>
        <w:t xml:space="preserve">VF</w:t>
      </w:r>
      <w:r>
        <w:rPr>
          <w:rStyle w:val="FootnoteReference"/>
        </w:rPr>
        <w:footnoteReference w:id="525"/>
      </w:r>
      <w:r>
        <w:t xml:space="preserve">.</w:t>
      </w:r>
    </w:p>
    <w:p>
      <w:pPr>
        <w:pStyle w:val="BodyText"/>
      </w:pPr>
      <w:r>
        <w:rPr>
          <w:bCs/>
          <w:b/>
        </w:rPr>
        <w:t xml:space="preserve">Strengths</w:t>
      </w:r>
    </w:p>
    <w:p>
      <w:pPr>
        <w:numPr>
          <w:ilvl w:val="0"/>
          <w:numId w:val="1121"/>
        </w:numPr>
        <w:pStyle w:val="Compact"/>
      </w:pPr>
      <w:r>
        <w:t xml:space="preserve">Mature lexical plus vector and hybrid retrieval in one engine</w:t>
      </w:r>
      <w:r>
        <w:t xml:space="preserve"> </w:t>
      </w:r>
      <w:r>
        <w:rPr>
          <w:rStyle w:val="ClaimLabel"/>
        </w:rPr>
        <w:t xml:space="preserve">VF</w:t>
      </w:r>
      <w:r>
        <w:rPr>
          <w:rStyle w:val="FootnoteReference"/>
        </w:rPr>
        <w:footnoteReference w:id="527"/>
      </w:r>
      <w:r>
        <w:t xml:space="preserve"> </w:t>
      </w:r>
      <w:r>
        <w:rPr>
          <w:rStyle w:val="ClaimLabel"/>
        </w:rPr>
        <w:t xml:space="preserve">AJ</w:t>
      </w:r>
    </w:p>
    <w:p>
      <w:pPr>
        <w:numPr>
          <w:ilvl w:val="0"/>
          <w:numId w:val="1121"/>
        </w:numPr>
        <w:pStyle w:val="Compact"/>
      </w:pPr>
      <w:r>
        <w:t xml:space="preserve">Field- and document-level security maps to entitlement-aware retrieval</w:t>
      </w:r>
      <w:r>
        <w:t xml:space="preserve"> </w:t>
      </w:r>
      <w:r>
        <w:rPr>
          <w:rStyle w:val="ClaimLabel"/>
        </w:rPr>
        <w:t xml:space="preserve">VF</w:t>
      </w:r>
      <w:r>
        <w:rPr>
          <w:rStyle w:val="FootnoteReference"/>
        </w:rPr>
        <w:footnoteReference w:id="528"/>
      </w:r>
    </w:p>
    <w:p>
      <w:pPr>
        <w:numPr>
          <w:ilvl w:val="0"/>
          <w:numId w:val="1121"/>
        </w:numPr>
        <w:pStyle w:val="Compact"/>
      </w:pPr>
      <w:r>
        <w:t xml:space="preserve">Elastic Cloud ISO 27001/27017/27018, SOC 2 Type II; CMK on Hosted Enterprise; Private Link incl. London</w:t>
      </w:r>
      <w:r>
        <w:t xml:space="preserve"> </w:t>
      </w:r>
      <w:r>
        <w:rPr>
          <w:rStyle w:val="ClaimLabel"/>
        </w:rPr>
        <w:t xml:space="preserve">VF</w:t>
      </w:r>
      <w:r>
        <w:rPr>
          <w:rStyle w:val="FootnoteReference"/>
        </w:rPr>
        <w:footnoteReference w:id="529"/>
      </w:r>
    </w:p>
    <w:p>
      <w:pPr>
        <w:numPr>
          <w:ilvl w:val="0"/>
          <w:numId w:val="1121"/>
        </w:numPr>
        <w:pStyle w:val="Compact"/>
      </w:pPr>
      <w:r>
        <w:t xml:space="preserve">AGPLv3 option and OpenSearch fork as exit routes</w:t>
      </w:r>
      <w:r>
        <w:t xml:space="preserve"> </w:t>
      </w:r>
      <w:r>
        <w:rPr>
          <w:rStyle w:val="ClaimLabel"/>
        </w:rPr>
        <w:t xml:space="preserve">VF</w:t>
      </w:r>
      <w:r>
        <w:rPr>
          <w:rStyle w:val="FootnoteReference"/>
        </w:rPr>
        <w:footnoteReference w:id="530"/>
      </w:r>
    </w:p>
    <w:p>
      <w:pPr>
        <w:pStyle w:val="FirstParagraph"/>
      </w:pPr>
      <w:r>
        <w:rPr>
          <w:bCs/>
          <w:b/>
        </w:rPr>
        <w:t xml:space="preserve">Limitations and risks</w:t>
      </w:r>
    </w:p>
    <w:p>
      <w:pPr>
        <w:numPr>
          <w:ilvl w:val="0"/>
          <w:numId w:val="1122"/>
        </w:numPr>
        <w:pStyle w:val="Compact"/>
      </w:pPr>
      <w:r>
        <w:t xml:space="preserve">Security features in paid tiers (Platinum/Enterprise)</w:t>
      </w:r>
      <w:r>
        <w:t xml:space="preserve"> </w:t>
      </w:r>
      <w:r>
        <w:rPr>
          <w:rStyle w:val="ClaimLabel"/>
        </w:rPr>
        <w:t xml:space="preserve">VF</w:t>
      </w:r>
      <w:r>
        <w:rPr>
          <w:rStyle w:val="FootnoteReference"/>
        </w:rPr>
        <w:footnoteReference w:id="533"/>
      </w:r>
    </w:p>
    <w:p>
      <w:pPr>
        <w:numPr>
          <w:ilvl w:val="0"/>
          <w:numId w:val="1122"/>
        </w:numPr>
        <w:pStyle w:val="Compact"/>
      </w:pPr>
      <w:r>
        <w:t xml:space="preserve">Cluster pricing not verified; heavy operations when self-managed</w:t>
      </w:r>
      <w:r>
        <w:t xml:space="preserve"> </w:t>
      </w:r>
      <w:r>
        <w:rPr>
          <w:rStyle w:val="ClaimLabel"/>
        </w:rPr>
        <w:t xml:space="preserve">NPV</w:t>
      </w:r>
      <w:r>
        <w:t xml:space="preserve"> </w:t>
      </w:r>
      <w:r>
        <w:rPr>
          <w:rStyle w:val="ClaimLabel"/>
        </w:rPr>
        <w:t xml:space="preserve">AJ</w:t>
      </w:r>
    </w:p>
    <w:p>
      <w:pPr>
        <w:numPr>
          <w:ilvl w:val="0"/>
          <w:numId w:val="1122"/>
        </w:numPr>
        <w:pStyle w:val="Compact"/>
      </w:pPr>
      <w:r>
        <w:t xml:space="preserve">Bundled Jina embedding couples L6 and L7</w:t>
      </w:r>
      <w:r>
        <w:t xml:space="preserve"> </w:t>
      </w:r>
      <w:r>
        <w:rPr>
          <w:rStyle w:val="ClaimLabel"/>
        </w:rPr>
        <w:t xml:space="preserve">VF</w:t>
      </w:r>
      <w:r>
        <w:rPr>
          <w:rStyle w:val="FootnoteReference"/>
        </w:rPr>
        <w:footnoteReference w:id="534"/>
      </w:r>
    </w:p>
    <w:p>
      <w:pPr>
        <w:numPr>
          <w:ilvl w:val="0"/>
          <w:numId w:val="1122"/>
        </w:numPr>
        <w:pStyle w:val="Compact"/>
      </w:pPr>
      <w:r>
        <w:t xml:space="preserve">VectorDB index mode only in technical preview</w:t>
      </w:r>
      <w:r>
        <w:t xml:space="preserve"> </w:t>
      </w:r>
      <w:r>
        <w:rPr>
          <w:rStyle w:val="ClaimLabel"/>
        </w:rPr>
        <w:t xml:space="preserve">VF</w:t>
      </w:r>
      <w:r>
        <w:rPr>
          <w:rStyle w:val="FootnoteReference"/>
        </w:rPr>
        <w:footnoteReference w:id="535"/>
      </w:r>
    </w:p>
    <w:p>
      <w:pPr>
        <w:pStyle w:val="FirstParagraph"/>
      </w:pPr>
      <w:r>
        <w:rPr>
          <w:bCs/>
          <w:b/>
        </w:rPr>
        <w:t xml:space="preserve">Choose when</w:t>
      </w:r>
    </w:p>
    <w:p>
      <w:pPr>
        <w:numPr>
          <w:ilvl w:val="0"/>
          <w:numId w:val="1123"/>
        </w:numPr>
        <w:pStyle w:val="Compact"/>
      </w:pPr>
      <w:r>
        <w:t xml:space="preserve">Elastic or OpenSearch is already an operated platform, or the corpus is lexical-heavy</w:t>
      </w:r>
      <w:r>
        <w:t xml:space="preserve"> </w:t>
      </w:r>
      <w:r>
        <w:rPr>
          <w:rStyle w:val="ClaimLabel"/>
        </w:rPr>
        <w:t xml:space="preserve">AJ</w:t>
      </w:r>
    </w:p>
    <w:p>
      <w:pPr>
        <w:pStyle w:val="FirstParagraph"/>
      </w:pPr>
      <w:r>
        <w:rPr>
          <w:bCs/>
          <w:b/>
        </w:rPr>
        <w:t xml:space="preserve">Avoid when</w:t>
      </w:r>
    </w:p>
    <w:p>
      <w:pPr>
        <w:numPr>
          <w:ilvl w:val="0"/>
          <w:numId w:val="1124"/>
        </w:numPr>
        <w:pStyle w:val="Compact"/>
      </w:pPr>
      <w:r>
        <w:t xml:space="preserve">It would be introduced only for vectors with no search team</w:t>
      </w:r>
      <w:r>
        <w:t xml:space="preserve"> </w:t>
      </w:r>
      <w:r>
        <w:rPr>
          <w:rStyle w:val="ClaimLabel"/>
        </w:rPr>
        <w:t xml:space="preserve">AJ</w:t>
      </w:r>
    </w:p>
    <w:p>
      <w:pPr>
        <w:pStyle w:val="FirstParagraph"/>
      </w:pPr>
      <w:r>
        <w:rPr>
          <w:bCs/>
          <w:b/>
        </w:rPr>
        <w:t xml:space="preserve">Nearest competitors:</w:t>
      </w:r>
      <w:r>
        <w:t xml:space="preserve"> </w:t>
      </w:r>
      <w:r>
        <w:t xml:space="preserve">L6-mongodb-atlas-vector-search, L6-weaviate, OpenSearch (no record)</w:t>
      </w:r>
    </w:p>
    <w:p>
      <w:pPr>
        <w:pStyle w:val="BodyText"/>
      </w:pPr>
      <w:r>
        <w:rPr>
          <w:bCs/>
          <w:b/>
        </w:rPr>
        <w:t xml:space="preserve">Regulated-FS note.</w:t>
      </w:r>
      <w:r>
        <w:t xml:space="preserve"> </w:t>
      </w:r>
      <w:r>
        <w:t xml:space="preserve">Use document-level security for entitlements; pin the semantic_text model; choose AGPL distribution only after legal review</w:t>
      </w:r>
      <w:r>
        <w:t xml:space="preserve"> </w:t>
      </w:r>
      <w:r>
        <w:rPr>
          <w:rStyle w:val="ClaimLabel"/>
        </w:rPr>
        <w:t xml:space="preserve">Rec</w:t>
      </w:r>
      <w:r>
        <w:t xml:space="preserve">.</w:t>
      </w:r>
    </w:p>
    <w:p>
      <w:pPr>
        <w:pStyle w:val="BodyText"/>
      </w:pPr>
      <w:r>
        <w:rPr>
          <w:bCs/>
          <w:b/>
        </w:rPr>
        <w:t xml:space="preserve">Facts (as of 2026-10-08)</w:t>
      </w:r>
    </w:p>
    <w:tbl>
      <w:tblPr>
        <w:tblStyle w:val="Table"/>
        <w:tblW w:type="pct" w:w="5000"/>
        <w:tblLook w:firstRow="1" w:lastRow="0" w:firstColumn="0" w:lastColumn="0" w:noHBand="0" w:noVBand="0" w:val="0020"/>
        <w:jc w:val="start"/>
      </w:tblPr>
      <w:tblGrid>
        <w:gridCol w:w="1485"/>
        <w:gridCol w:w="4290"/>
        <w:gridCol w:w="1320"/>
        <w:gridCol w:w="825"/>
      </w:tblGrid>
      <w:tr>
        <w:trPr>
          <w:tblHeader w:val="true"/>
        </w:trPr>
        <w:tc>
          <w:tcPr/>
          <w:p>
            <w:pPr>
              <w:pStyle w:val="Compact"/>
              <w:jc w:val="left"/>
            </w:pPr>
            <w:r>
              <w:t xml:space="preserve">Field</w:t>
            </w:r>
          </w:p>
        </w:tc>
        <w:tc>
          <w:tcPr/>
          <w:p>
            <w:pPr>
              <w:pStyle w:val="Compact"/>
              <w:jc w:val="left"/>
            </w:pPr>
            <w:r>
              <w:t xml:space="preserve">Value</w:t>
            </w:r>
          </w:p>
        </w:tc>
        <w:tc>
          <w:tcPr/>
          <w:p>
            <w:pPr>
              <w:pStyle w:val="Compact"/>
              <w:jc w:val="left"/>
            </w:pPr>
            <w:r>
              <w:t xml:space="preserve">Label</w:t>
            </w:r>
          </w:p>
        </w:tc>
        <w:tc>
          <w:tcPr/>
          <w:p>
            <w:pPr>
              <w:pStyle w:val="Compact"/>
              <w:jc w:val="left"/>
            </w:pPr>
            <w:r>
              <w:t xml:space="preserve">Sources</w:t>
            </w:r>
          </w:p>
        </w:tc>
      </w:tr>
      <w:tr>
        <w:tc>
          <w:tcPr/>
          <w:p>
            <w:pPr>
              <w:pStyle w:val="Compact"/>
              <w:jc w:val="left"/>
            </w:pPr>
            <w:r>
              <w:t xml:space="preserve">Company</w:t>
            </w:r>
          </w:p>
        </w:tc>
        <w:tc>
          <w:tcPr/>
          <w:p>
            <w:pPr>
              <w:pStyle w:val="Compact"/>
              <w:jc w:val="left"/>
            </w:pPr>
            <w:r>
              <w:t xml:space="preserve">Elastic N.V. (NYSE: ESTC)</w:t>
            </w:r>
          </w:p>
        </w:tc>
        <w:tc>
          <w:tcPr/>
          <w:p>
            <w:pPr>
              <w:pStyle w:val="Compact"/>
              <w:jc w:val="left"/>
            </w:pPr>
            <w:r>
              <w:t xml:space="preserve">Verified fact</w:t>
            </w:r>
          </w:p>
        </w:tc>
        <w:tc>
          <w:tcPr/>
          <w:p>
            <w:pPr>
              <w:pStyle w:val="Compact"/>
              <w:jc w:val="left"/>
            </w:pPr>
            <w:r>
              <w:t xml:space="preserve">A2-S023</w:t>
            </w:r>
          </w:p>
        </w:tc>
      </w:tr>
      <w:tr>
        <w:tc>
          <w:tcPr/>
          <w:p>
            <w:pPr>
              <w:pStyle w:val="Compact"/>
              <w:jc w:val="left"/>
            </w:pPr>
            <w:r>
              <w:t xml:space="preserve">Category</w:t>
            </w:r>
          </w:p>
        </w:tc>
        <w:tc>
          <w:tcPr/>
          <w:p>
            <w:pPr>
              <w:pStyle w:val="Compact"/>
              <w:jc w:val="left"/>
            </w:pPr>
            <w:r>
              <w:t xml:space="preserve">Search engine with full-text (BM25), vector and hybrid retrieval; general-purpose search platform</w:t>
            </w:r>
          </w:p>
        </w:tc>
        <w:tc>
          <w:tcPr/>
          <w:p>
            <w:pPr>
              <w:pStyle w:val="Compact"/>
              <w:jc w:val="left"/>
            </w:pPr>
            <w:r>
              <w:t xml:space="preserve">Verified fact</w:t>
            </w:r>
          </w:p>
        </w:tc>
        <w:tc>
          <w:tcPr/>
          <w:p>
            <w:pPr>
              <w:pStyle w:val="Compact"/>
              <w:jc w:val="left"/>
            </w:pPr>
            <w:r>
              <w:t xml:space="preserve">A2-S023, A2-S042</w:t>
            </w:r>
          </w:p>
        </w:tc>
      </w:tr>
      <w:tr>
        <w:tc>
          <w:tcPr/>
          <w:p>
            <w:pPr>
              <w:pStyle w:val="Compact"/>
              <w:jc w:val="left"/>
            </w:pPr>
            <w:r>
              <w:t xml:space="preserve">Version / lineup</w:t>
            </w:r>
          </w:p>
        </w:tc>
        <w:tc>
          <w:tcPr/>
          <w:p>
            <w:pPr>
              <w:pStyle w:val="Compact"/>
              <w:jc w:val="left"/>
            </w:pPr>
            <w:r>
              <w:t xml:space="preserve">Elastic Stack 9.5 (GA 4 August 2026; patch 9.5.4); Python client 9.5.1 (9 September 2026)</w:t>
            </w:r>
          </w:p>
        </w:tc>
        <w:tc>
          <w:tcPr/>
          <w:p>
            <w:pPr>
              <w:pStyle w:val="Compact"/>
              <w:jc w:val="left"/>
            </w:pPr>
            <w:r>
              <w:t xml:space="preserve">Verified fact</w:t>
            </w:r>
          </w:p>
        </w:tc>
        <w:tc>
          <w:tcPr/>
          <w:p>
            <w:pPr>
              <w:pStyle w:val="Compact"/>
              <w:jc w:val="left"/>
            </w:pPr>
            <w:r>
              <w:t xml:space="preserve">A2-S133, A2-S057, V1-S085</w:t>
            </w:r>
          </w:p>
        </w:tc>
      </w:tr>
      <w:tr>
        <w:tc>
          <w:tcPr/>
          <w:p>
            <w:pPr>
              <w:pStyle w:val="Compact"/>
              <w:jc w:val="left"/>
            </w:pPr>
            <w:r>
              <w:t xml:space="preserve">Licence</w:t>
            </w:r>
          </w:p>
        </w:tc>
        <w:tc>
          <w:tcPr/>
          <w:p>
            <w:pPr>
              <w:pStyle w:val="Compact"/>
              <w:jc w:val="left"/>
            </w:pPr>
            <w:r>
              <w:t xml:space="preserve">Source: triple licence - AGPLv3 (OSI open source, added 2024; core under AGPL since 8.16), SSPL 1.0 or Elastic License 2.0; paid features proprietary; clients Apache-2.0</w:t>
            </w:r>
          </w:p>
        </w:tc>
        <w:tc>
          <w:tcPr/>
          <w:p>
            <w:pPr>
              <w:pStyle w:val="Compact"/>
              <w:jc w:val="left"/>
            </w:pPr>
            <w:r>
              <w:t xml:space="preserve">Verified fact</w:t>
            </w:r>
          </w:p>
        </w:tc>
        <w:tc>
          <w:tcPr/>
          <w:p>
            <w:pPr>
              <w:pStyle w:val="Compact"/>
              <w:jc w:val="left"/>
            </w:pPr>
            <w:r>
              <w:t xml:space="preserve">A2-S132</w:t>
            </w:r>
          </w:p>
        </w:tc>
      </w:tr>
      <w:tr>
        <w:tc>
          <w:tcPr/>
          <w:p>
            <w:pPr>
              <w:pStyle w:val="Compact"/>
              <w:jc w:val="left"/>
            </w:pPr>
            <w:r>
              <w:t xml:space="preserve">Status events</w:t>
            </w:r>
          </w:p>
        </w:tc>
        <w:tc>
          <w:tcPr/>
          <w:p>
            <w:pPr>
              <w:pStyle w:val="Compact"/>
              <w:jc w:val="left"/>
            </w:pPr>
            <w:r>
              <w:t xml:space="preserve">9 October 2025: Elastic completes acquisition of Jina AI; June 2026: jina-embeddings-v5-omni on Elastic Inference Service</w:t>
            </w:r>
          </w:p>
        </w:tc>
        <w:tc>
          <w:tcPr/>
          <w:p>
            <w:pPr>
              <w:pStyle w:val="Compact"/>
              <w:jc w:val="left"/>
            </w:pPr>
            <w:r>
              <w:t xml:space="preserve">Verified fact</w:t>
            </w:r>
          </w:p>
        </w:tc>
        <w:tc>
          <w:tcPr/>
          <w:p>
            <w:pPr>
              <w:pStyle w:val="Compact"/>
              <w:jc w:val="left"/>
            </w:pPr>
            <w:r>
              <w:t xml:space="preserve">A2-S023, A2-S027, V1-S025</w:t>
            </w:r>
          </w:p>
        </w:tc>
      </w:tr>
      <w:tr>
        <w:tc>
          <w:tcPr/>
          <w:p>
            <w:pPr>
              <w:pStyle w:val="Compact"/>
              <w:jc w:val="left"/>
            </w:pPr>
            <w:r>
              <w:t xml:space="preserve">Strategic direction</w:t>
            </w:r>
          </w:p>
        </w:tc>
        <w:tc>
          <w:tcPr/>
          <w:p>
            <w:pPr>
              <w:pStyle w:val="Compact"/>
              <w:jc w:val="left"/>
            </w:pPr>
            <w:r>
              <w:t xml:space="preserve">‘</w:t>
            </w:r>
            <w:r>
              <w:t xml:space="preserve">Search AI Company</w:t>
            </w:r>
            <w:r>
              <w:t xml:space="preserve">’</w:t>
            </w:r>
            <w:r>
              <w:t xml:space="preserve">: acquired Jina AI for multimodal/multilingual embeddings and rerankers complementing ELSER; Elastic Inference Service hosts Jina v5-omni models</w:t>
            </w:r>
          </w:p>
        </w:tc>
        <w:tc>
          <w:tcPr/>
          <w:p>
            <w:pPr>
              <w:pStyle w:val="Compact"/>
              <w:jc w:val="left"/>
            </w:pPr>
            <w:r>
              <w:t xml:space="preserve">Verified fact</w:t>
            </w:r>
          </w:p>
        </w:tc>
        <w:tc>
          <w:tcPr/>
          <w:p>
            <w:pPr>
              <w:pStyle w:val="Compact"/>
              <w:jc w:val="left"/>
            </w:pPr>
            <w:r>
              <w:t xml:space="preserve">A2-S023, A2-S027, A2-S042</w:t>
            </w:r>
          </w:p>
        </w:tc>
      </w:tr>
      <w:tr>
        <w:tc>
          <w:tcPr/>
          <w:p>
            <w:pPr>
              <w:pStyle w:val="Compact"/>
              <w:jc w:val="left"/>
            </w:pPr>
            <w:r>
              <w:t xml:space="preserve">What it does</w:t>
            </w:r>
          </w:p>
        </w:tc>
        <w:tc>
          <w:tcPr/>
          <w:p>
            <w:pPr>
              <w:pStyle w:val="Compact"/>
              <w:jc w:val="left"/>
            </w:pPr>
            <w:r>
              <w:t xml:space="preserve">Distributed search engine combining BM25, dense/sparse vectors (BBQ/DiskBBQ quantisation, default since 9.1) and hybrid retrievers (RRF, linear with l2_norm), semantic_text fields with automatic chunking and embedding (default Jina v5), MMR diversification; 9.5 adds VectorDB index mode (preview) and multimodal semantic field (preview).</w:t>
            </w:r>
          </w:p>
        </w:tc>
        <w:tc>
          <w:tcPr/>
          <w:p>
            <w:pPr>
              <w:pStyle w:val="Compact"/>
              <w:jc w:val="left"/>
            </w:pPr>
            <w:r>
              <w:t xml:space="preserve">Verified fact</w:t>
            </w:r>
          </w:p>
        </w:tc>
        <w:tc>
          <w:tcPr/>
          <w:p>
            <w:pPr>
              <w:pStyle w:val="Compact"/>
              <w:jc w:val="left"/>
            </w:pPr>
            <w:r>
              <w:t xml:space="preserve">A2-S133, A2-S042, A2-S023</w:t>
            </w:r>
          </w:p>
        </w:tc>
      </w:tr>
      <w:tr>
        <w:tc>
          <w:tcPr/>
          <w:p>
            <w:pPr>
              <w:pStyle w:val="Compact"/>
              <w:jc w:val="left"/>
            </w:pPr>
            <w:r>
              <w:t xml:space="preserve">Stack position</w:t>
            </w:r>
          </w:p>
        </w:tc>
        <w:tc>
          <w:tcPr/>
          <w:p>
            <w:pPr>
              <w:pStyle w:val="Compact"/>
              <w:jc w:val="left"/>
            </w:pPr>
            <w:r>
              <w:t xml:space="preserve">L6 retrieval store with built-in L7 inference; a</w:t>
            </w:r>
            <w:r>
              <w:t xml:space="preserve"> </w:t>
            </w:r>
            <w:r>
              <w:t xml:space="preserve">‘</w:t>
            </w:r>
            <w:r>
              <w:t xml:space="preserve">retrieval/knowledge store</w:t>
            </w:r>
            <w:r>
              <w:t xml:space="preserve">’</w:t>
            </w:r>
            <w:r>
              <w:t xml:space="preserve"> </w:t>
            </w:r>
            <w:r>
              <w:t xml:space="preserve">rather than a pure vector DB.</w:t>
            </w:r>
          </w:p>
        </w:tc>
        <w:tc>
          <w:tcPr/>
          <w:p>
            <w:pPr>
              <w:pStyle w:val="Compact"/>
              <w:jc w:val="left"/>
            </w:pPr>
            <w:r>
              <w:t xml:space="preserve">Architectural judgement</w:t>
            </w:r>
          </w:p>
        </w:tc>
        <w:tc>
          <w:tcPr/>
          <w:p>
            <w:pPr>
              <w:pStyle w:val="Compact"/>
            </w:pPr>
          </w:p>
        </w:tc>
      </w:tr>
      <w:tr>
        <w:tc>
          <w:tcPr/>
          <w:p>
            <w:pPr>
              <w:pStyle w:val="Compact"/>
              <w:jc w:val="left"/>
            </w:pPr>
            <w:r>
              <w:t xml:space="preserve">Integration</w:t>
            </w:r>
          </w:p>
        </w:tc>
        <w:tc>
          <w:tcPr/>
          <w:p>
            <w:pPr>
              <w:pStyle w:val="Compact"/>
              <w:jc w:val="left"/>
            </w:pPr>
            <w:r>
              <w:t xml:space="preserve">REST API, official language clients (e.g. Python 9.5.1), open inference API, Elastic Inference Service</w:t>
            </w:r>
          </w:p>
        </w:tc>
        <w:tc>
          <w:tcPr/>
          <w:p>
            <w:pPr>
              <w:pStyle w:val="Compact"/>
              <w:jc w:val="left"/>
            </w:pPr>
            <w:r>
              <w:t xml:space="preserve">Verified fact</w:t>
            </w:r>
          </w:p>
        </w:tc>
        <w:tc>
          <w:tcPr/>
          <w:p>
            <w:pPr>
              <w:pStyle w:val="Compact"/>
              <w:jc w:val="left"/>
            </w:pPr>
            <w:r>
              <w:t xml:space="preserve">A2-S057, A2-S042</w:t>
            </w:r>
          </w:p>
        </w:tc>
      </w:tr>
      <w:tr>
        <w:tc>
          <w:tcPr/>
          <w:p>
            <w:pPr>
              <w:pStyle w:val="Compact"/>
              <w:jc w:val="left"/>
            </w:pPr>
            <w:r>
              <w:t xml:space="preserve">Dependencies</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Certifications</w:t>
            </w:r>
          </w:p>
        </w:tc>
        <w:tc>
          <w:tcPr/>
          <w:p>
            <w:pPr>
              <w:pStyle w:val="Compact"/>
              <w:jc w:val="left"/>
            </w:pPr>
            <w:r>
              <w:t xml:space="preserve">Elastic Cloud: ISO 27001, ISO 27017, ISO 27018, SOC 2 Type II (report via Trust Center)</w:t>
            </w:r>
          </w:p>
        </w:tc>
        <w:tc>
          <w:tcPr/>
          <w:p>
            <w:pPr>
              <w:pStyle w:val="Compact"/>
              <w:jc w:val="left"/>
            </w:pPr>
            <w:r>
              <w:t xml:space="preserve">Verified fact</w:t>
            </w:r>
          </w:p>
        </w:tc>
        <w:tc>
          <w:tcPr/>
          <w:p>
            <w:pPr>
              <w:pStyle w:val="Compact"/>
              <w:jc w:val="left"/>
            </w:pPr>
            <w:r>
              <w:t xml:space="preserve">A2-S045</w:t>
            </w:r>
          </w:p>
        </w:tc>
      </w:tr>
      <w:tr>
        <w:tc>
          <w:tcPr/>
          <w:p>
            <w:pPr>
              <w:pStyle w:val="Compact"/>
              <w:jc w:val="left"/>
            </w:pPr>
            <w:r>
              <w:t xml:space="preserve">GDPR / residency</w:t>
            </w:r>
          </w:p>
        </w:tc>
        <w:tc>
          <w:tcPr/>
          <w:p>
            <w:pPr>
              <w:pStyle w:val="Compact"/>
              <w:jc w:val="left"/>
            </w:pPr>
            <w:r>
              <w:t xml:space="preserve">EU/UK hosted regions: AWS Frankfurt, Zurich, Stockholm, Milan, Ireland, London, Paris; GCP Finland, Belgium, London, Frankfurt, Netherlands, Paris; Azure Ireland, UK South, Netherlands; Serverless in AWS Frankfurt, Ireland, London and others</w:t>
            </w:r>
          </w:p>
        </w:tc>
        <w:tc>
          <w:tcPr/>
          <w:p>
            <w:pPr>
              <w:pStyle w:val="Compact"/>
              <w:jc w:val="left"/>
            </w:pPr>
            <w:r>
              <w:t xml:space="preserve">Verified fact</w:t>
            </w:r>
          </w:p>
        </w:tc>
        <w:tc>
          <w:tcPr/>
          <w:p>
            <w:pPr>
              <w:pStyle w:val="Compact"/>
              <w:jc w:val="left"/>
            </w:pPr>
            <w:r>
              <w:t xml:space="preserve">A2-S135</w:t>
            </w:r>
          </w:p>
        </w:tc>
      </w:tr>
      <w:tr>
        <w:tc>
          <w:tcPr/>
          <w:p>
            <w:pPr>
              <w:pStyle w:val="Compact"/>
              <w:jc w:val="left"/>
            </w:pPr>
            <w:r>
              <w:t xml:space="preserve">Security features</w:t>
            </w:r>
          </w:p>
        </w:tc>
        <w:tc>
          <w:tcPr/>
          <w:p>
            <w:pPr>
              <w:pStyle w:val="Compact"/>
              <w:jc w:val="left"/>
            </w:pPr>
            <w:r>
              <w:t xml:space="preserve">Encryption at rest by default; customer-managed keys (AWS KMS, Azure Key Vault, Google Cloud KMS) on Elastic Cloud Hosted with Enterprise subscription (Serverless BYOK on roadmap); AWS PrivateLink, Azure Private Link, GCP Private Service Connect incl. London</w:t>
            </w:r>
          </w:p>
        </w:tc>
        <w:tc>
          <w:tcPr/>
          <w:p>
            <w:pPr>
              <w:pStyle w:val="Compact"/>
              <w:jc w:val="left"/>
            </w:pPr>
            <w:r>
              <w:t xml:space="preserve">Verified fact</w:t>
            </w:r>
          </w:p>
        </w:tc>
        <w:tc>
          <w:tcPr/>
          <w:p>
            <w:pPr>
              <w:pStyle w:val="Compact"/>
              <w:jc w:val="left"/>
            </w:pPr>
            <w:r>
              <w:t xml:space="preserve">A2-S134</w:t>
            </w:r>
          </w:p>
        </w:tc>
      </w:tr>
      <w:tr>
        <w:tc>
          <w:tcPr/>
          <w:p>
            <w:pPr>
              <w:pStyle w:val="Compact"/>
              <w:jc w:val="left"/>
            </w:pPr>
            <w:r>
              <w:t xml:space="preserve">Access controls</w:t>
            </w:r>
          </w:p>
        </w:tc>
        <w:tc>
          <w:tcPr/>
          <w:p>
            <w:pPr>
              <w:pStyle w:val="Compact"/>
              <w:jc w:val="left"/>
            </w:pPr>
            <w:r>
              <w:t xml:space="preserve">SAML/OIDC SSO, RBAC, field/document-level security and audit logging (self-managed: Platinum tier); Elastic Cloud tier mapping not confirmed</w:t>
            </w:r>
          </w:p>
        </w:tc>
        <w:tc>
          <w:tcPr/>
          <w:p>
            <w:pPr>
              <w:pStyle w:val="Compact"/>
              <w:jc w:val="left"/>
            </w:pPr>
            <w:r>
              <w:t xml:space="preserve">Verified fact</w:t>
            </w:r>
          </w:p>
        </w:tc>
        <w:tc>
          <w:tcPr/>
          <w:p>
            <w:pPr>
              <w:pStyle w:val="Compact"/>
              <w:jc w:val="left"/>
            </w:pPr>
            <w:r>
              <w:t xml:space="preserve">A2-S134</w:t>
            </w:r>
          </w:p>
        </w:tc>
      </w:tr>
      <w:tr>
        <w:tc>
          <w:tcPr/>
          <w:p>
            <w:pPr>
              <w:pStyle w:val="Compact"/>
              <w:jc w:val="left"/>
            </w:pPr>
            <w:r>
              <w:t xml:space="preserve">Enterprise support</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Pricing</w:t>
            </w:r>
          </w:p>
        </w:tc>
        <w:tc>
          <w:tcPr/>
          <w:p>
            <w:pPr>
              <w:pStyle w:val="Compact"/>
              <w:jc w:val="left"/>
            </w:pPr>
            <w:r>
              <w:t xml:space="preserve">Elastic Inference Service billed per million tokens on Elastic Cloud (consumption-based); cluster pricing not verified</w:t>
            </w:r>
          </w:p>
        </w:tc>
        <w:tc>
          <w:tcPr/>
          <w:p>
            <w:pPr>
              <w:pStyle w:val="Compact"/>
              <w:jc w:val="left"/>
            </w:pPr>
            <w:r>
              <w:t xml:space="preserve">Verified fact</w:t>
            </w:r>
          </w:p>
        </w:tc>
        <w:tc>
          <w:tcPr/>
          <w:p>
            <w:pPr>
              <w:pStyle w:val="Compact"/>
              <w:jc w:val="left"/>
            </w:pPr>
            <w:r>
              <w:t xml:space="preserve">A2-S042</w:t>
            </w:r>
          </w:p>
        </w:tc>
      </w:tr>
      <w:tr>
        <w:tc>
          <w:tcPr/>
          <w:p>
            <w:pPr>
              <w:pStyle w:val="Compact"/>
              <w:jc w:val="left"/>
            </w:pPr>
            <w:r>
              <w:t xml:space="preserve">Infrastructure cost</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Ecosystem</w:t>
            </w:r>
          </w:p>
        </w:tc>
        <w:tc>
          <w:tcPr/>
          <w:p>
            <w:pPr>
              <w:pStyle w:val="Compact"/>
              <w:jc w:val="left"/>
            </w:pPr>
            <w:r>
              <w:t xml:space="preserve">Jina models and ELSER via Elastic Inference Service; OpenSearch fork as alternative (OpenSearch 3.9.0, 29 September 2026; opensearch-py 3.2.0, Apache-2.0)</w:t>
            </w:r>
          </w:p>
        </w:tc>
        <w:tc>
          <w:tcPr/>
          <w:p>
            <w:pPr>
              <w:pStyle w:val="Compact"/>
              <w:jc w:val="left"/>
            </w:pPr>
            <w:r>
              <w:t xml:space="preserve">Verified fact</w:t>
            </w:r>
          </w:p>
        </w:tc>
        <w:tc>
          <w:tcPr/>
          <w:p>
            <w:pPr>
              <w:pStyle w:val="Compact"/>
              <w:jc w:val="left"/>
            </w:pPr>
            <w:r>
              <w:t xml:space="preserve">A2-S023, A2-S136, A2-S058</w:t>
            </w:r>
          </w:p>
        </w:tc>
      </w:tr>
      <w:tr>
        <w:tc>
          <w:tcPr/>
          <w:p>
            <w:pPr>
              <w:pStyle w:val="Compact"/>
              <w:jc w:val="left"/>
            </w:pPr>
            <w:r>
              <w:t xml:space="preserve">Adoption signals</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Maturity</w:t>
            </w:r>
          </w:p>
        </w:tc>
        <w:tc>
          <w:tcPr/>
          <w:p>
            <w:pPr>
              <w:pStyle w:val="Compact"/>
              <w:jc w:val="left"/>
            </w:pPr>
            <w:r>
              <w:t xml:space="preserve">Mature; frequent minors (9.0-9.5 in ~16 months)</w:t>
            </w:r>
          </w:p>
        </w:tc>
        <w:tc>
          <w:tcPr/>
          <w:p>
            <w:pPr>
              <w:pStyle w:val="Compact"/>
              <w:jc w:val="left"/>
            </w:pPr>
            <w:r>
              <w:t xml:space="preserve">Verified fact</w:t>
            </w:r>
          </w:p>
        </w:tc>
        <w:tc>
          <w:tcPr/>
          <w:p>
            <w:pPr>
              <w:pStyle w:val="Compact"/>
              <w:jc w:val="left"/>
            </w:pPr>
            <w:r>
              <w:t xml:space="preserve">A2-S133</w:t>
            </w:r>
          </w:p>
        </w:tc>
      </w:tr>
      <w:tr>
        <w:tc>
          <w:tcPr/>
          <w:p>
            <w:pPr>
              <w:pStyle w:val="Compact"/>
              <w:jc w:val="left"/>
            </w:pPr>
            <w:r>
              <w:t xml:space="preserve">Deployment</w:t>
            </w:r>
          </w:p>
        </w:tc>
        <w:tc>
          <w:tcPr/>
          <w:p>
            <w:pPr>
              <w:pStyle w:val="Compact"/>
              <w:jc w:val="left"/>
            </w:pPr>
            <w:r>
              <w:t xml:space="preserve">saas: Yes (Elastic Cloud Hosted and Serverless); managed_cloud: Yes (AWS, GCP, Azure); vpc_byoc: Not publicly verified; private_cloud: Not publicly verified; self_hosted: Yes (self-managed; AGPL/SSPL/ELv2 source); on_prem: Yes</w:t>
            </w:r>
          </w:p>
        </w:tc>
        <w:tc>
          <w:tcPr/>
          <w:p>
            <w:pPr>
              <w:pStyle w:val="Compact"/>
            </w:pPr>
          </w:p>
        </w:tc>
        <w:tc>
          <w:tcPr/>
          <w:p>
            <w:pPr>
              <w:pStyle w:val="Compact"/>
            </w:pPr>
          </w:p>
        </w:tc>
      </w:tr>
    </w:tbl>
    <w:bookmarkEnd w:id="536"/>
    <w:bookmarkStart w:id="553" w:name="X8318a60c61646eabdcf165ea76ad00ea976fc71"/>
    <w:p>
      <w:pPr>
        <w:pStyle w:val="Heading2"/>
      </w:pPr>
      <w:r>
        <w:t xml:space="preserve">Milvus (open source) and Zilliz Cloud (managed Milvus) (</w:t>
      </w:r>
      <w:r>
        <w:rPr>
          <w:rStyle w:val="VerbatimChar"/>
        </w:rPr>
        <w:t xml:space="preserve">L6-milvus-zilliz</w:t>
      </w:r>
      <w:r>
        <w:t xml:space="preserve">)</w:t>
      </w:r>
    </w:p>
    <w:p>
      <w:pPr>
        <w:pStyle w:val="FirstParagraph"/>
      </w:pPr>
      <w:r>
        <w:rPr>
          <w:bCs/>
          <w:b/>
        </w:rPr>
        <w:t xml:space="preserve">Tier:</w:t>
      </w:r>
      <w:r>
        <w:t xml:space="preserve"> </w:t>
      </w:r>
      <w:r>
        <w:t xml:space="preserve">Strategic ·</w:t>
      </w:r>
      <w:r>
        <w:t xml:space="preserve"> </w:t>
      </w:r>
      <w:r>
        <w:rPr>
          <w:bCs/>
          <w:b/>
        </w:rPr>
        <w:t xml:space="preserve">Flags:</w:t>
      </w:r>
      <w:r>
        <w:t xml:space="preserve"> </w:t>
      </w:r>
      <w:r>
        <w:t xml:space="preserve">none ·</w:t>
      </w:r>
      <w:r>
        <w:t xml:space="preserve"> </w:t>
      </w:r>
      <w:r>
        <w:rPr>
          <w:bCs/>
          <w:b/>
        </w:rPr>
        <w:t xml:space="preserve">Original graphic label:</w:t>
      </w:r>
      <w:r>
        <w:t xml:space="preserve"> </w:t>
      </w:r>
      <w:r>
        <w:t xml:space="preserve">Milvus – vector search</w:t>
      </w:r>
    </w:p>
    <w:p>
      <w:pPr>
        <w:pStyle w:val="BodyText"/>
      </w:pPr>
      <w:r>
        <w:rPr>
          <w:iCs/>
          <w:i/>
        </w:rPr>
        <w:t xml:space="preserve">Rationale:</w:t>
      </w:r>
      <w:r>
        <w:t xml:space="preserve"> </w:t>
      </w:r>
      <w:r>
        <w:t xml:space="preserve">Foundation-governed, permissively licensed engine with a certified managed and BYOC route; scale option behind Qdrant</w:t>
      </w:r>
      <w:r>
        <w:t xml:space="preserve"> </w:t>
      </w:r>
      <w:r>
        <w:rPr>
          <w:rStyle w:val="ClaimLabel"/>
        </w:rPr>
        <w:t xml:space="preserve">AJ</w:t>
      </w:r>
      <w:r>
        <w:t xml:space="preserve">.</w:t>
      </w:r>
    </w:p>
    <w:tbl>
      <w:tblPr>
        <w:tblStyle w:val="Table"/>
        <w:tblW w:type="pct" w:w="5000"/>
        <w:tblLook w:firstRow="1" w:lastRow="0" w:firstColumn="0" w:lastColumn="0" w:noHBand="0" w:noVBand="0" w:val="0020"/>
        <w:jc w:val="start"/>
      </w:tblPr>
      <w:tblGrid>
        <w:gridCol w:w="1545"/>
        <w:gridCol w:w="579"/>
        <w:gridCol w:w="5795"/>
      </w:tblGrid>
      <w:tr>
        <w:trPr>
          <w:tblHeader w:val="true"/>
        </w:trPr>
        <w:tc>
          <w:tcPr/>
          <w:p>
            <w:pPr>
              <w:pStyle w:val="Compact"/>
              <w:jc w:val="left"/>
            </w:pPr>
            <w:r>
              <w:t xml:space="preserve">Criterion</w:t>
            </w:r>
          </w:p>
        </w:tc>
        <w:tc>
          <w:tcPr/>
          <w:p>
            <w:pPr>
              <w:pStyle w:val="Compact"/>
              <w:jc w:val="right"/>
            </w:pPr>
            <w:r>
              <w:t xml:space="preserve">Score</w:t>
            </w:r>
          </w:p>
        </w:tc>
        <w:tc>
          <w:tcPr/>
          <w:p>
            <w:pPr>
              <w:pStyle w:val="Compact"/>
              <w:jc w:val="left"/>
            </w:pPr>
            <w:r>
              <w:t xml:space="preserve">Rationale</w:t>
            </w:r>
          </w:p>
        </w:tc>
      </w:tr>
      <w:tr>
        <w:tc>
          <w:tcPr/>
          <w:p>
            <w:pPr>
              <w:pStyle w:val="Compact"/>
              <w:jc w:val="left"/>
            </w:pPr>
            <w:r>
              <w:t xml:space="preserve">Technical</w:t>
            </w:r>
          </w:p>
        </w:tc>
        <w:tc>
          <w:tcPr/>
          <w:p>
            <w:pPr>
              <w:pStyle w:val="Compact"/>
              <w:jc w:val="right"/>
            </w:pPr>
            <w:r>
              <w:t xml:space="preserve">4</w:t>
            </w:r>
          </w:p>
        </w:tc>
        <w:tc>
          <w:tcPr/>
          <w:p>
            <w:pPr>
              <w:pStyle w:val="Compact"/>
              <w:jc w:val="left"/>
            </w:pPr>
            <w:r>
              <w:t xml:space="preserve">Dense/sparse, BM25, JSON indexing, lake-native storage; multi-tenancy and filtered performance not evidenced</w:t>
            </w:r>
          </w:p>
        </w:tc>
      </w:tr>
      <w:tr>
        <w:tc>
          <w:tcPr/>
          <w:p>
            <w:pPr>
              <w:pStyle w:val="Compact"/>
              <w:jc w:val="left"/>
            </w:pPr>
            <w:r>
              <w:t xml:space="preserve">Enterprise readiness</w:t>
            </w:r>
          </w:p>
        </w:tc>
        <w:tc>
          <w:tcPr/>
          <w:p>
            <w:pPr>
              <w:pStyle w:val="Compact"/>
              <w:jc w:val="right"/>
            </w:pPr>
            <w:r>
              <w:t xml:space="preserve">4</w:t>
            </w:r>
          </w:p>
        </w:tc>
        <w:tc>
          <w:tcPr/>
          <w:p>
            <w:pPr>
              <w:pStyle w:val="Compact"/>
              <w:jc w:val="left"/>
            </w:pPr>
            <w:r>
              <w:t xml:space="preserve">SSO, audit logs and 99.95% SLA on Enterprise Dedicated (A2-S120), plus organisation, project and cluster RBAC with custom roles and SCIM (B-REVA-S001): all three controls plus SLA and SCIM (rule 7)</w:t>
            </w:r>
          </w:p>
        </w:tc>
      </w:tr>
      <w:tr>
        <w:tc>
          <w:tcPr/>
          <w:p>
            <w:pPr>
              <w:pStyle w:val="Compact"/>
              <w:jc w:val="left"/>
            </w:pPr>
            <w:r>
              <w:t xml:space="preserve">Security and compliance</w:t>
            </w:r>
          </w:p>
        </w:tc>
        <w:tc>
          <w:tcPr/>
          <w:p>
            <w:pPr>
              <w:pStyle w:val="Compact"/>
              <w:jc w:val="right"/>
            </w:pPr>
            <w:r>
              <w:t xml:space="preserve">4</w:t>
            </w:r>
          </w:p>
        </w:tc>
        <w:tc>
          <w:tcPr/>
          <w:p>
            <w:pPr>
              <w:pStyle w:val="Compact"/>
              <w:jc w:val="left"/>
            </w:pPr>
            <w:r>
              <w:t xml:space="preserve">Combined record: Zilliz Cloud has product-scoped SOC 2 Type II and ISO 27001 plus CMEK (would reach 5 under rule 8), but the self-hosted Milvus route is scored on rule 2 hygiene, which is not evidenced; 4 reflects the recommended mix of self-host and BYOC</w:t>
            </w:r>
          </w:p>
        </w:tc>
      </w:tr>
      <w:tr>
        <w:tc>
          <w:tcPr/>
          <w:p>
            <w:pPr>
              <w:pStyle w:val="Compact"/>
              <w:jc w:val="left"/>
            </w:pPr>
            <w:r>
              <w:t xml:space="preserve">Deployment flexibility</w:t>
            </w:r>
          </w:p>
        </w:tc>
        <w:tc>
          <w:tcPr/>
          <w:p>
            <w:pPr>
              <w:pStyle w:val="Compact"/>
              <w:jc w:val="right"/>
            </w:pPr>
            <w:r>
              <w:t xml:space="preserve">5</w:t>
            </w:r>
          </w:p>
        </w:tc>
        <w:tc>
          <w:tcPr/>
          <w:p>
            <w:pPr>
              <w:pStyle w:val="Compact"/>
              <w:jc w:val="left"/>
            </w:pPr>
            <w:r>
              <w:t xml:space="preserve">SaaS on three clouds, BYOC, self-host, on-prem</w:t>
            </w:r>
          </w:p>
        </w:tc>
      </w:tr>
      <w:tr>
        <w:tc>
          <w:tcPr/>
          <w:p>
            <w:pPr>
              <w:pStyle w:val="Compact"/>
              <w:jc w:val="left"/>
            </w:pPr>
            <w:r>
              <w:t xml:space="preserve">Ecosystem</w:t>
            </w:r>
          </w:p>
        </w:tc>
        <w:tc>
          <w:tcPr/>
          <w:p>
            <w:pPr>
              <w:pStyle w:val="Compact"/>
              <w:jc w:val="right"/>
            </w:pPr>
            <w:r>
              <w:t xml:space="preserve">4</w:t>
            </w:r>
          </w:p>
        </w:tc>
        <w:tc>
          <w:tcPr/>
          <w:p>
            <w:pPr>
              <w:pStyle w:val="Compact"/>
              <w:jc w:val="left"/>
            </w:pPr>
            <w:r>
              <w:t xml:space="preserve">pymilvus; mainstream integrations</w:t>
            </w:r>
          </w:p>
        </w:tc>
      </w:tr>
      <w:tr>
        <w:tc>
          <w:tcPr/>
          <w:p>
            <w:pPr>
              <w:pStyle w:val="Compact"/>
              <w:jc w:val="left"/>
            </w:pPr>
            <w:r>
              <w:t xml:space="preserve">Reliability and maturity</w:t>
            </w:r>
          </w:p>
        </w:tc>
        <w:tc>
          <w:tcPr/>
          <w:p>
            <w:pPr>
              <w:pStyle w:val="Compact"/>
              <w:jc w:val="right"/>
            </w:pPr>
            <w:r>
              <w:t xml:space="preserve">4</w:t>
            </w:r>
          </w:p>
        </w:tc>
        <w:tc>
          <w:tcPr/>
          <w:p>
            <w:pPr>
              <w:pStyle w:val="Compact"/>
              <w:jc w:val="left"/>
            </w:pPr>
            <w:r>
              <w:t xml:space="preserve">LF AI &amp; Data graduated; 2.6 maintained; 3.0 GA only ten weeks</w:t>
            </w:r>
          </w:p>
        </w:tc>
      </w:tr>
      <w:tr>
        <w:tc>
          <w:tcPr/>
          <w:p>
            <w:pPr>
              <w:pStyle w:val="Compact"/>
              <w:jc w:val="left"/>
            </w:pPr>
            <w:r>
              <w:t xml:space="preserve">Cost / TCO</w:t>
            </w:r>
          </w:p>
        </w:tc>
        <w:tc>
          <w:tcPr/>
          <w:p>
            <w:pPr>
              <w:pStyle w:val="Compact"/>
              <w:jc w:val="right"/>
            </w:pPr>
            <w:r>
              <w:t xml:space="preserve">3</w:t>
            </w:r>
          </w:p>
        </w:tc>
        <w:tc>
          <w:tcPr/>
          <w:p>
            <w:pPr>
              <w:pStyle w:val="Compact"/>
              <w:jc w:val="left"/>
            </w:pPr>
            <w:r>
              <w:t xml:space="preserve">OSS free but distributed operations heavy; Zilliz BYOC pricing unpublished</w:t>
            </w:r>
          </w:p>
        </w:tc>
      </w:tr>
      <w:tr>
        <w:tc>
          <w:tcPr/>
          <w:p>
            <w:pPr>
              <w:pStyle w:val="Compact"/>
              <w:jc w:val="left"/>
            </w:pPr>
            <w:r>
              <w:t xml:space="preserve">Lock-in / portability</w:t>
            </w:r>
          </w:p>
        </w:tc>
        <w:tc>
          <w:tcPr/>
          <w:p>
            <w:pPr>
              <w:pStyle w:val="Compact"/>
              <w:jc w:val="right"/>
            </w:pPr>
            <w:r>
              <w:t xml:space="preserve">5</w:t>
            </w:r>
          </w:p>
        </w:tc>
        <w:tc>
          <w:tcPr/>
          <w:p>
            <w:pPr>
              <w:pStyle w:val="Compact"/>
              <w:jc w:val="left"/>
            </w:pPr>
            <w:r>
              <w:t xml:space="preserve">Apache-2.0 under neutral foundation governance</w:t>
            </w:r>
          </w:p>
        </w:tc>
      </w:tr>
      <w:tr>
        <w:tc>
          <w:tcPr/>
          <w:p>
            <w:pPr>
              <w:pStyle w:val="Compact"/>
              <w:jc w:val="left"/>
            </w:pPr>
            <w:r>
              <w:rPr>
                <w:bCs/>
                <w:b/>
              </w:rPr>
              <w:t xml:space="preserve">Total (generic / FS)</w:t>
            </w:r>
          </w:p>
        </w:tc>
        <w:tc>
          <w:tcPr/>
          <w:p>
            <w:pPr>
              <w:pStyle w:val="Compact"/>
              <w:jc w:val="right"/>
            </w:pPr>
            <w:r>
              <w:rPr>
                <w:bCs/>
                <w:b/>
              </w:rPr>
              <w:t xml:space="preserve">4.10 / 4.25</w:t>
            </w:r>
          </w:p>
        </w:tc>
        <w:tc>
          <w:tcPr/>
          <w:p>
            <w:pPr>
              <w:pStyle w:val="Compact"/>
            </w:pPr>
          </w:p>
        </w:tc>
      </w:tr>
    </w:tbl>
    <w:p>
      <w:pPr>
        <w:pStyle w:val="BodyText"/>
      </w:pPr>
      <w:r>
        <w:rPr>
          <w:bCs/>
          <w:b/>
        </w:rPr>
        <w:t xml:space="preserve">Capabilities.</w:t>
      </w:r>
      <w:r>
        <w:t xml:space="preserve"> </w:t>
      </w:r>
      <w:r>
        <w:t xml:space="preserve">Apache-2.0 distributed vector database (LF AI &amp; Data graduated) with dense/sparse vectors, BM25, JSON path indexing and online schema changes; Milvus 3.0</w:t>
      </w:r>
      <w:r>
        <w:t xml:space="preserve"> </w:t>
      </w:r>
      <w:r>
        <w:t xml:space="preserve">‘</w:t>
      </w:r>
      <w:r>
        <w:t xml:space="preserve">lake-native</w:t>
      </w:r>
      <w:r>
        <w:t xml:space="preserve">’</w:t>
      </w:r>
      <w:r>
        <w:t xml:space="preserve"> </w:t>
      </w:r>
      <w:r>
        <w:t xml:space="preserve">GA 29 July 2026; Zilliz Cloud as managed and BYOC</w:t>
      </w:r>
      <w:r>
        <w:t xml:space="preserve"> </w:t>
      </w:r>
      <w:r>
        <w:t xml:space="preserve">‘</w:t>
      </w:r>
      <w:r>
        <w:t xml:space="preserve">Vector Lakebase</w:t>
      </w:r>
      <w:r>
        <w:t xml:space="preserve">’</w:t>
      </w:r>
      <w:r>
        <w:t xml:space="preserve"> </w:t>
      </w:r>
      <w:r>
        <w:rPr>
          <w:rStyle w:val="ClaimLabel"/>
        </w:rPr>
        <w:t xml:space="preserve">VF</w:t>
      </w:r>
      <w:r>
        <w:rPr>
          <w:rStyle w:val="FootnoteReference"/>
        </w:rPr>
        <w:footnoteReference w:id="537"/>
      </w:r>
      <w:r>
        <w:t xml:space="preserve">.</w:t>
      </w:r>
    </w:p>
    <w:p>
      <w:pPr>
        <w:pStyle w:val="BodyText"/>
      </w:pPr>
      <w:r>
        <w:rPr>
          <w:bCs/>
          <w:b/>
        </w:rPr>
        <w:t xml:space="preserve">Strengths</w:t>
      </w:r>
    </w:p>
    <w:p>
      <w:pPr>
        <w:numPr>
          <w:ilvl w:val="0"/>
          <w:numId w:val="1125"/>
        </w:numPr>
        <w:pStyle w:val="Compact"/>
      </w:pPr>
      <w:r>
        <w:t xml:space="preserve">Foundation governance and Apache-2.0</w:t>
      </w:r>
      <w:r>
        <w:t xml:space="preserve"> </w:t>
      </w:r>
      <w:r>
        <w:rPr>
          <w:rStyle w:val="ClaimLabel"/>
        </w:rPr>
        <w:t xml:space="preserve">VF</w:t>
      </w:r>
      <w:r>
        <w:rPr>
          <w:rStyle w:val="FootnoteReference"/>
        </w:rPr>
        <w:footnoteReference w:id="542"/>
      </w:r>
    </w:p>
    <w:p>
      <w:pPr>
        <w:numPr>
          <w:ilvl w:val="0"/>
          <w:numId w:val="1125"/>
        </w:numPr>
        <w:pStyle w:val="Compact"/>
      </w:pPr>
      <w:r>
        <w:t xml:space="preserve">Zilliz Cloud SOC 2 Type II (incl. BYOC) and ISO 27001; CMEK on Business Critical</w:t>
      </w:r>
      <w:r>
        <w:t xml:space="preserve"> </w:t>
      </w:r>
      <w:r>
        <w:rPr>
          <w:rStyle w:val="ClaimLabel"/>
        </w:rPr>
        <w:t xml:space="preserve">VF</w:t>
      </w:r>
      <w:r>
        <w:rPr>
          <w:rStyle w:val="FootnoteReference"/>
        </w:rPr>
        <w:footnoteReference w:id="543"/>
      </w:r>
    </w:p>
    <w:p>
      <w:pPr>
        <w:numPr>
          <w:ilvl w:val="0"/>
          <w:numId w:val="1125"/>
        </w:numPr>
        <w:pStyle w:val="Compact"/>
      </w:pPr>
      <w:r>
        <w:t xml:space="preserve">Enterprise Dedicated with SSO, audit logs and 99.95% SLA</w:t>
      </w:r>
      <w:r>
        <w:t xml:space="preserve"> </w:t>
      </w:r>
      <w:r>
        <w:rPr>
          <w:rStyle w:val="ClaimLabel"/>
        </w:rPr>
        <w:t xml:space="preserve">VF</w:t>
      </w:r>
      <w:r>
        <w:rPr>
          <w:rStyle w:val="FootnoteReference"/>
        </w:rPr>
        <w:footnoteReference w:id="545"/>
      </w:r>
    </w:p>
    <w:p>
      <w:pPr>
        <w:numPr>
          <w:ilvl w:val="0"/>
          <w:numId w:val="1125"/>
        </w:numPr>
        <w:pStyle w:val="Compact"/>
      </w:pPr>
      <w:r>
        <w:t xml:space="preserve">Same API from Lite to Distributed to Zilliz Cloud</w:t>
      </w:r>
      <w:r>
        <w:t xml:space="preserve"> </w:t>
      </w:r>
      <w:r>
        <w:rPr>
          <w:rStyle w:val="ClaimLabel"/>
        </w:rPr>
        <w:t xml:space="preserve">VF</w:t>
      </w:r>
      <w:r>
        <w:rPr>
          <w:rStyle w:val="FootnoteReference"/>
        </w:rPr>
        <w:footnoteReference w:id="546"/>
      </w:r>
    </w:p>
    <w:p>
      <w:pPr>
        <w:numPr>
          <w:ilvl w:val="0"/>
          <w:numId w:val="1125"/>
        </w:numPr>
        <w:pStyle w:val="Compact"/>
      </w:pPr>
      <w:r>
        <w:t xml:space="preserve">Organisation, project and cluster RBAC with custom roles, IdP group mapping and SCIM on Zilliz Cloud</w:t>
      </w:r>
      <w:r>
        <w:t xml:space="preserve"> </w:t>
      </w:r>
      <w:r>
        <w:rPr>
          <w:rStyle w:val="ClaimLabel"/>
        </w:rPr>
        <w:t xml:space="preserve">VF</w:t>
      </w:r>
      <w:r>
        <w:rPr>
          <w:rStyle w:val="FootnoteReference"/>
        </w:rPr>
        <w:footnoteReference w:id="547"/>
      </w:r>
    </w:p>
    <w:p>
      <w:pPr>
        <w:pStyle w:val="FirstParagraph"/>
      </w:pPr>
      <w:r>
        <w:rPr>
          <w:bCs/>
          <w:b/>
        </w:rPr>
        <w:t xml:space="preserve">Limitations and risks</w:t>
      </w:r>
    </w:p>
    <w:p>
      <w:pPr>
        <w:numPr>
          <w:ilvl w:val="0"/>
          <w:numId w:val="1126"/>
        </w:numPr>
        <w:pStyle w:val="Compact"/>
      </w:pPr>
      <w:r>
        <w:t xml:space="preserve">3.0 not guaranteed compatible with 2.6 servers</w:t>
      </w:r>
      <w:r>
        <w:t xml:space="preserve"> </w:t>
      </w:r>
      <w:r>
        <w:rPr>
          <w:rStyle w:val="ClaimLabel"/>
        </w:rPr>
        <w:t xml:space="preserve">VF</w:t>
      </w:r>
      <w:r>
        <w:rPr>
          <w:rStyle w:val="FootnoteReference"/>
        </w:rPr>
        <w:footnoteReference w:id="549"/>
      </w:r>
    </w:p>
    <w:p>
      <w:pPr>
        <w:numPr>
          <w:ilvl w:val="0"/>
          <w:numId w:val="1126"/>
        </w:numPr>
        <w:pStyle w:val="Compact"/>
      </w:pPr>
      <w:r>
        <w:t xml:space="preserve">Milvus Lite has no authentication, roles or TLS</w:t>
      </w:r>
      <w:r>
        <w:t xml:space="preserve"> </w:t>
      </w:r>
      <w:r>
        <w:rPr>
          <w:rStyle w:val="ClaimLabel"/>
        </w:rPr>
        <w:t xml:space="preserve">VF</w:t>
      </w:r>
      <w:r>
        <w:rPr>
          <w:rStyle w:val="FootnoteReference"/>
        </w:rPr>
        <w:footnoteReference w:id="550"/>
      </w:r>
    </w:p>
    <w:p>
      <w:pPr>
        <w:numPr>
          <w:ilvl w:val="0"/>
          <w:numId w:val="1126"/>
        </w:numPr>
        <w:pStyle w:val="Compact"/>
      </w:pPr>
      <w:r>
        <w:t xml:space="preserve">Distributed Milvus is a heavy operational commitment</w:t>
      </w:r>
      <w:r>
        <w:t xml:space="preserve"> </w:t>
      </w:r>
      <w:r>
        <w:rPr>
          <w:rStyle w:val="ClaimLabel"/>
        </w:rPr>
        <w:t xml:space="preserve">AJ</w:t>
      </w:r>
    </w:p>
    <w:p>
      <w:pPr>
        <w:numPr>
          <w:ilvl w:val="0"/>
          <w:numId w:val="1126"/>
        </w:numPr>
        <w:pStyle w:val="Compact"/>
      </w:pPr>
      <w:r>
        <w:t xml:space="preserve">Zilliz last disclosed raise 2022</w:t>
      </w:r>
      <w:r>
        <w:t xml:space="preserve"> </w:t>
      </w:r>
      <w:r>
        <w:rPr>
          <w:rStyle w:val="ClaimLabel"/>
        </w:rPr>
        <w:t xml:space="preserve">VF</w:t>
      </w:r>
      <w:r>
        <w:rPr>
          <w:rStyle w:val="FootnoteReference"/>
        </w:rPr>
        <w:footnoteReference w:id="551"/>
      </w:r>
    </w:p>
    <w:p>
      <w:pPr>
        <w:pStyle w:val="FirstParagraph"/>
      </w:pPr>
      <w:r>
        <w:rPr>
          <w:bCs/>
          <w:b/>
        </w:rPr>
        <w:t xml:space="preserve">Choose when</w:t>
      </w:r>
    </w:p>
    <w:p>
      <w:pPr>
        <w:numPr>
          <w:ilvl w:val="0"/>
          <w:numId w:val="1127"/>
        </w:numPr>
        <w:pStyle w:val="Compact"/>
      </w:pPr>
      <w:r>
        <w:t xml:space="preserve">Very large corpora, open-source portability with managed or BYOC options, or vectors alongside lakehouse data</w:t>
      </w:r>
      <w:r>
        <w:t xml:space="preserve"> </w:t>
      </w:r>
      <w:r>
        <w:rPr>
          <w:rStyle w:val="ClaimLabel"/>
        </w:rPr>
        <w:t xml:space="preserve">AJ</w:t>
      </w:r>
    </w:p>
    <w:p>
      <w:pPr>
        <w:pStyle w:val="FirstParagraph"/>
      </w:pPr>
      <w:r>
        <w:rPr>
          <w:bCs/>
          <w:b/>
        </w:rPr>
        <w:t xml:space="preserve">Avoid when</w:t>
      </w:r>
    </w:p>
    <w:p>
      <w:pPr>
        <w:numPr>
          <w:ilvl w:val="0"/>
          <w:numId w:val="1128"/>
        </w:numPr>
        <w:pStyle w:val="Compact"/>
      </w:pPr>
      <w:r>
        <w:t xml:space="preserve">A small team must self-operate Distributed Milvus</w:t>
      </w:r>
      <w:r>
        <w:t xml:space="preserve"> </w:t>
      </w:r>
      <w:r>
        <w:rPr>
          <w:rStyle w:val="ClaimLabel"/>
        </w:rPr>
        <w:t xml:space="preserve">AJ</w:t>
      </w:r>
    </w:p>
    <w:p>
      <w:pPr>
        <w:numPr>
          <w:ilvl w:val="0"/>
          <w:numId w:val="1128"/>
        </w:numPr>
        <w:pStyle w:val="Compact"/>
      </w:pPr>
      <w:r>
        <w:t xml:space="preserve">3.0 features are needed before the 3.x line matures</w:t>
      </w:r>
      <w:r>
        <w:t xml:space="preserve"> </w:t>
      </w:r>
      <w:r>
        <w:rPr>
          <w:rStyle w:val="ClaimLabel"/>
        </w:rPr>
        <w:t xml:space="preserve">AJ</w:t>
      </w:r>
    </w:p>
    <w:p>
      <w:pPr>
        <w:pStyle w:val="FirstParagraph"/>
      </w:pPr>
      <w:r>
        <w:rPr>
          <w:bCs/>
          <w:b/>
        </w:rPr>
        <w:t xml:space="preserve">Nearest competitors:</w:t>
      </w:r>
      <w:r>
        <w:t xml:space="preserve"> </w:t>
      </w:r>
      <w:r>
        <w:t xml:space="preserve">L6-qdrant, L6-pinecone, L6-weaviate</w:t>
      </w:r>
    </w:p>
    <w:p>
      <w:pPr>
        <w:pStyle w:val="BodyText"/>
      </w:pPr>
      <w:r>
        <w:rPr>
          <w:bCs/>
          <w:b/>
        </w:rPr>
        <w:t xml:space="preserve">Regulated-FS note.</w:t>
      </w:r>
      <w:r>
        <w:t xml:space="preserve"> </w:t>
      </w:r>
      <w:r>
        <w:t xml:space="preserve">Stay on 2.6 or a validated 3.0.x until regression tests pass; Zilliz BYOC for residency; never expose Lite beyond a laptop</w:t>
      </w:r>
      <w:r>
        <w:t xml:space="preserve"> </w:t>
      </w:r>
      <w:r>
        <w:rPr>
          <w:rStyle w:val="ClaimLabel"/>
        </w:rPr>
        <w:t xml:space="preserve">Rec</w:t>
      </w:r>
      <w:r>
        <w:t xml:space="preserve">.</w:t>
      </w:r>
    </w:p>
    <w:p>
      <w:pPr>
        <w:pStyle w:val="BodyText"/>
      </w:pPr>
      <w:r>
        <w:rPr>
          <w:bCs/>
          <w:b/>
        </w:rPr>
        <w:t xml:space="preserve">Facts (as of 2026-10-08)</w:t>
      </w:r>
    </w:p>
    <w:tbl>
      <w:tblPr>
        <w:tblStyle w:val="Table"/>
        <w:tblW w:type="pct" w:w="5000"/>
        <w:tblLook w:firstRow="1" w:lastRow="0" w:firstColumn="0" w:lastColumn="0" w:noHBand="0" w:noVBand="0" w:val="0020"/>
        <w:jc w:val="start"/>
      </w:tblPr>
      <w:tblGrid>
        <w:gridCol w:w="1485"/>
        <w:gridCol w:w="4290"/>
        <w:gridCol w:w="1320"/>
        <w:gridCol w:w="825"/>
      </w:tblGrid>
      <w:tr>
        <w:trPr>
          <w:tblHeader w:val="true"/>
        </w:trPr>
        <w:tc>
          <w:tcPr/>
          <w:p>
            <w:pPr>
              <w:pStyle w:val="Compact"/>
              <w:jc w:val="left"/>
            </w:pPr>
            <w:r>
              <w:t xml:space="preserve">Field</w:t>
            </w:r>
          </w:p>
        </w:tc>
        <w:tc>
          <w:tcPr/>
          <w:p>
            <w:pPr>
              <w:pStyle w:val="Compact"/>
              <w:jc w:val="left"/>
            </w:pPr>
            <w:r>
              <w:t xml:space="preserve">Value</w:t>
            </w:r>
          </w:p>
        </w:tc>
        <w:tc>
          <w:tcPr/>
          <w:p>
            <w:pPr>
              <w:pStyle w:val="Compact"/>
              <w:jc w:val="left"/>
            </w:pPr>
            <w:r>
              <w:t xml:space="preserve">Label</w:t>
            </w:r>
          </w:p>
        </w:tc>
        <w:tc>
          <w:tcPr/>
          <w:p>
            <w:pPr>
              <w:pStyle w:val="Compact"/>
              <w:jc w:val="left"/>
            </w:pPr>
            <w:r>
              <w:t xml:space="preserve">Sources</w:t>
            </w:r>
          </w:p>
        </w:tc>
      </w:tr>
      <w:tr>
        <w:tc>
          <w:tcPr/>
          <w:p>
            <w:pPr>
              <w:pStyle w:val="Compact"/>
              <w:jc w:val="left"/>
            </w:pPr>
            <w:r>
              <w:t xml:space="preserve">Company</w:t>
            </w:r>
          </w:p>
        </w:tc>
        <w:tc>
          <w:tcPr/>
          <w:p>
            <w:pPr>
              <w:pStyle w:val="Compact"/>
              <w:jc w:val="left"/>
            </w:pPr>
            <w:r>
              <w:t xml:space="preserve">Milvus: open-source project, graduated LF AI &amp; Data project; Zilliz (creator and main maintainer) offers Zilliz Cloud</w:t>
            </w:r>
          </w:p>
        </w:tc>
        <w:tc>
          <w:tcPr/>
          <w:p>
            <w:pPr>
              <w:pStyle w:val="Compact"/>
              <w:jc w:val="left"/>
            </w:pPr>
            <w:r>
              <w:t xml:space="preserve">Verified fact</w:t>
            </w:r>
          </w:p>
        </w:tc>
        <w:tc>
          <w:tcPr/>
          <w:p>
            <w:pPr>
              <w:pStyle w:val="Compact"/>
              <w:jc w:val="left"/>
            </w:pPr>
            <w:r>
              <w:t xml:space="preserve">A2-S118, A2-S053</w:t>
            </w:r>
          </w:p>
        </w:tc>
      </w:tr>
      <w:tr>
        <w:tc>
          <w:tcPr/>
          <w:p>
            <w:pPr>
              <w:pStyle w:val="Compact"/>
              <w:jc w:val="left"/>
            </w:pPr>
            <w:r>
              <w:t xml:space="preserve">Category</w:t>
            </w:r>
          </w:p>
        </w:tc>
        <w:tc>
          <w:tcPr/>
          <w:p>
            <w:pPr>
              <w:pStyle w:val="Compact"/>
              <w:jc w:val="left"/>
            </w:pPr>
            <w:r>
              <w:t xml:space="preserve">Distributed open-source vector database (</w:t>
            </w:r>
            <w:r>
              <w:t xml:space="preserve">‘</w:t>
            </w:r>
            <w:r>
              <w:t xml:space="preserve">lake-native</w:t>
            </w:r>
            <w:r>
              <w:t xml:space="preserve">’</w:t>
            </w:r>
            <w:r>
              <w:t xml:space="preserve"> </w:t>
            </w:r>
            <w:r>
              <w:t xml:space="preserve">from 3.0) plus managed</w:t>
            </w:r>
            <w:r>
              <w:t xml:space="preserve"> </w:t>
            </w:r>
            <w:r>
              <w:t xml:space="preserve">‘</w:t>
            </w:r>
            <w:r>
              <w:t xml:space="preserve">Vector Lakebase</w:t>
            </w:r>
            <w:r>
              <w:t xml:space="preserve">’</w:t>
            </w:r>
            <w:r>
              <w:t xml:space="preserve"> </w:t>
            </w:r>
            <w:r>
              <w:t xml:space="preserve">(Zilliz Cloud)</w:t>
            </w:r>
          </w:p>
        </w:tc>
        <w:tc>
          <w:tcPr/>
          <w:p>
            <w:pPr>
              <w:pStyle w:val="Compact"/>
              <w:jc w:val="left"/>
            </w:pPr>
            <w:r>
              <w:t xml:space="preserve">Verified fact</w:t>
            </w:r>
          </w:p>
        </w:tc>
        <w:tc>
          <w:tcPr/>
          <w:p>
            <w:pPr>
              <w:pStyle w:val="Compact"/>
              <w:jc w:val="left"/>
            </w:pPr>
            <w:r>
              <w:t xml:space="preserve">A2-S118</w:t>
            </w:r>
          </w:p>
        </w:tc>
      </w:tr>
      <w:tr>
        <w:tc>
          <w:tcPr/>
          <w:p>
            <w:pPr>
              <w:pStyle w:val="Compact"/>
              <w:jc w:val="left"/>
            </w:pPr>
            <w:r>
              <w:t xml:space="preserve">Version / lineup</w:t>
            </w:r>
          </w:p>
        </w:tc>
        <w:tc>
          <w:tcPr/>
          <w:p>
            <w:pPr>
              <w:pStyle w:val="Compact"/>
              <w:jc w:val="left"/>
            </w:pPr>
            <w:r>
              <w:t xml:space="preserve">Milvus 3.0.2 (20 September 2026); 3.0.0 GA 29 July 2026; 2.6.24 (16 September 2026) still maintained; PyMilvus 3.0.2; Milvus Lite 3.2.1. Zilliz Cloud: Milvus 3.0.x in Private Review for on-demand compute</w:t>
            </w:r>
          </w:p>
        </w:tc>
        <w:tc>
          <w:tcPr/>
          <w:p>
            <w:pPr>
              <w:pStyle w:val="Compact"/>
              <w:jc w:val="left"/>
            </w:pPr>
            <w:r>
              <w:t xml:space="preserve">Verified fact</w:t>
            </w:r>
          </w:p>
        </w:tc>
        <w:tc>
          <w:tcPr/>
          <w:p>
            <w:pPr>
              <w:pStyle w:val="Compact"/>
              <w:jc w:val="left"/>
            </w:pPr>
            <w:r>
              <w:t xml:space="preserve">A2-S117, A2-S118, A2-S053, A2-S054, V1-S031</w:t>
            </w:r>
          </w:p>
        </w:tc>
      </w:tr>
      <w:tr>
        <w:tc>
          <w:tcPr/>
          <w:p>
            <w:pPr>
              <w:pStyle w:val="Compact"/>
              <w:jc w:val="left"/>
            </w:pPr>
            <w:r>
              <w:t xml:space="preserve">Licence</w:t>
            </w:r>
          </w:p>
        </w:tc>
        <w:tc>
          <w:tcPr/>
          <w:p>
            <w:pPr>
              <w:pStyle w:val="Compact"/>
              <w:jc w:val="left"/>
            </w:pPr>
            <w:r>
              <w:t xml:space="preserve">Open source, Apache-2.0 (Milvus 3.0); Zilliz Cloud commercial</w:t>
            </w:r>
          </w:p>
        </w:tc>
        <w:tc>
          <w:tcPr/>
          <w:p>
            <w:pPr>
              <w:pStyle w:val="Compact"/>
              <w:jc w:val="left"/>
            </w:pPr>
            <w:r>
              <w:t xml:space="preserve">Verified fact</w:t>
            </w:r>
          </w:p>
        </w:tc>
        <w:tc>
          <w:tcPr/>
          <w:p>
            <w:pPr>
              <w:pStyle w:val="Compact"/>
              <w:jc w:val="left"/>
            </w:pPr>
            <w:r>
              <w:t xml:space="preserve">A2-S118</w:t>
            </w:r>
          </w:p>
        </w:tc>
      </w:tr>
      <w:tr>
        <w:tc>
          <w:tcPr/>
          <w:p>
            <w:pPr>
              <w:pStyle w:val="Compact"/>
              <w:jc w:val="left"/>
            </w:pPr>
            <w:r>
              <w:t xml:space="preserve">Status events</w:t>
            </w:r>
          </w:p>
        </w:tc>
        <w:tc>
          <w:tcPr/>
          <w:p>
            <w:pPr>
              <w:pStyle w:val="Compact"/>
              <w:jc w:val="left"/>
            </w:pPr>
            <w:r>
              <w:t xml:space="preserve">June 2025: Milvus 2.6 (BM25 full-text speedups, JSON path indexing); 16 July 2026: Milvus 3.0 announced; 29 July 2026: Milvus 3.0.0 GA (not guaranteed compatible with 2.6 servers); 20 September 2026: 3.0.2</w:t>
            </w:r>
          </w:p>
        </w:tc>
        <w:tc>
          <w:tcPr/>
          <w:p>
            <w:pPr>
              <w:pStyle w:val="Compact"/>
              <w:jc w:val="left"/>
            </w:pPr>
            <w:r>
              <w:t xml:space="preserve">Verified fact</w:t>
            </w:r>
          </w:p>
        </w:tc>
        <w:tc>
          <w:tcPr/>
          <w:p>
            <w:pPr>
              <w:pStyle w:val="Compact"/>
              <w:jc w:val="left"/>
            </w:pPr>
            <w:r>
              <w:t xml:space="preserve">A2-S117, A2-S118</w:t>
            </w:r>
          </w:p>
        </w:tc>
      </w:tr>
      <w:tr>
        <w:tc>
          <w:tcPr/>
          <w:p>
            <w:pPr>
              <w:pStyle w:val="Compact"/>
              <w:jc w:val="left"/>
            </w:pPr>
            <w:r>
              <w:t xml:space="preserve">Strategic direction</w:t>
            </w:r>
          </w:p>
        </w:tc>
        <w:tc>
          <w:tcPr/>
          <w:p>
            <w:pPr>
              <w:pStyle w:val="Compact"/>
              <w:jc w:val="left"/>
            </w:pPr>
            <w:r>
              <w:t xml:space="preserve">Repositioning as</w:t>
            </w:r>
            <w:r>
              <w:t xml:space="preserve"> </w:t>
            </w:r>
            <w:r>
              <w:t xml:space="preserve">‘</w:t>
            </w:r>
            <w:r>
              <w:t xml:space="preserve">lake-native</w:t>
            </w:r>
            <w:r>
              <w:t xml:space="preserve">’</w:t>
            </w:r>
            <w:r>
              <w:t xml:space="preserve">: indexes over vectors kept in object storage and open formats (Loon engine, Vortex columnar format), External Collections for lakehouse workflows; Zilliz Cloud as</w:t>
            </w:r>
            <w:r>
              <w:t xml:space="preserve"> </w:t>
            </w:r>
            <w:r>
              <w:t xml:space="preserve">‘</w:t>
            </w:r>
            <w:r>
              <w:t xml:space="preserve">Vector Lakebase</w:t>
            </w:r>
            <w:r>
              <w:t xml:space="preserve">’</w:t>
            </w:r>
          </w:p>
        </w:tc>
        <w:tc>
          <w:tcPr/>
          <w:p>
            <w:pPr>
              <w:pStyle w:val="Compact"/>
              <w:jc w:val="left"/>
            </w:pPr>
            <w:r>
              <w:t xml:space="preserve">Verified fact</w:t>
            </w:r>
          </w:p>
        </w:tc>
        <w:tc>
          <w:tcPr/>
          <w:p>
            <w:pPr>
              <w:pStyle w:val="Compact"/>
              <w:jc w:val="left"/>
            </w:pPr>
            <w:r>
              <w:t xml:space="preserve">A2-S118, A2-S117</w:t>
            </w:r>
          </w:p>
        </w:tc>
      </w:tr>
      <w:tr>
        <w:tc>
          <w:tcPr/>
          <w:p>
            <w:pPr>
              <w:pStyle w:val="Compact"/>
              <w:jc w:val="left"/>
            </w:pPr>
            <w:r>
              <w:t xml:space="preserve">What it does</w:t>
            </w:r>
          </w:p>
        </w:tc>
        <w:tc>
          <w:tcPr/>
          <w:p>
            <w:pPr>
              <w:pStyle w:val="Compact"/>
              <w:jc w:val="left"/>
            </w:pPr>
            <w:r>
              <w:t xml:space="preserve">Vector database with dense/sparse vectors (SINDI sparse index), BM25 full-text, JSON path indexing, faceted search, online schema changes; tiers from Milvus Lite to Distributed and Zilliz Cloud.</w:t>
            </w:r>
          </w:p>
        </w:tc>
        <w:tc>
          <w:tcPr/>
          <w:p>
            <w:pPr>
              <w:pStyle w:val="Compact"/>
              <w:jc w:val="left"/>
            </w:pPr>
            <w:r>
              <w:t xml:space="preserve">Verified fact</w:t>
            </w:r>
          </w:p>
        </w:tc>
        <w:tc>
          <w:tcPr/>
          <w:p>
            <w:pPr>
              <w:pStyle w:val="Compact"/>
              <w:jc w:val="left"/>
            </w:pPr>
            <w:r>
              <w:t xml:space="preserve">A2-S117, A2-S054</w:t>
            </w:r>
          </w:p>
        </w:tc>
      </w:tr>
      <w:tr>
        <w:tc>
          <w:tcPr/>
          <w:p>
            <w:pPr>
              <w:pStyle w:val="Compact"/>
              <w:jc w:val="left"/>
            </w:pPr>
            <w:r>
              <w:t xml:space="preserve">Stack position</w:t>
            </w:r>
          </w:p>
        </w:tc>
        <w:tc>
          <w:tcPr/>
          <w:p>
            <w:pPr>
              <w:pStyle w:val="Compact"/>
              <w:jc w:val="left"/>
            </w:pPr>
            <w:r>
              <w:t xml:space="preserve">L6 dedicated vector database; placement correct.</w:t>
            </w:r>
          </w:p>
        </w:tc>
        <w:tc>
          <w:tcPr/>
          <w:p>
            <w:pPr>
              <w:pStyle w:val="Compact"/>
              <w:jc w:val="left"/>
            </w:pPr>
            <w:r>
              <w:t xml:space="preserve">Architectural judgement</w:t>
            </w:r>
          </w:p>
        </w:tc>
        <w:tc>
          <w:tcPr/>
          <w:p>
            <w:pPr>
              <w:pStyle w:val="Compact"/>
            </w:pPr>
          </w:p>
        </w:tc>
      </w:tr>
      <w:tr>
        <w:tc>
          <w:tcPr/>
          <w:p>
            <w:pPr>
              <w:pStyle w:val="Compact"/>
              <w:jc w:val="left"/>
            </w:pPr>
            <w:r>
              <w:t xml:space="preserve">Integration</w:t>
            </w:r>
          </w:p>
        </w:tc>
        <w:tc>
          <w:tcPr/>
          <w:p>
            <w:pPr>
              <w:pStyle w:val="Compact"/>
              <w:jc w:val="left"/>
            </w:pPr>
            <w:r>
              <w:t xml:space="preserve">pymilvus SDK (gRPC); same API across Lite, Standalone, Distributed and Zilliz Cloud</w:t>
            </w:r>
          </w:p>
        </w:tc>
        <w:tc>
          <w:tcPr/>
          <w:p>
            <w:pPr>
              <w:pStyle w:val="Compact"/>
              <w:jc w:val="left"/>
            </w:pPr>
            <w:r>
              <w:t xml:space="preserve">Verified fact</w:t>
            </w:r>
          </w:p>
        </w:tc>
        <w:tc>
          <w:tcPr/>
          <w:p>
            <w:pPr>
              <w:pStyle w:val="Compact"/>
              <w:jc w:val="left"/>
            </w:pPr>
            <w:r>
              <w:t xml:space="preserve">A2-S054</w:t>
            </w:r>
          </w:p>
        </w:tc>
      </w:tr>
      <w:tr>
        <w:tc>
          <w:tcPr/>
          <w:p>
            <w:pPr>
              <w:pStyle w:val="Compact"/>
              <w:jc w:val="left"/>
            </w:pPr>
            <w:r>
              <w:t xml:space="preserve">Dependencies</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Certifications</w:t>
            </w:r>
          </w:p>
        </w:tc>
        <w:tc>
          <w:tcPr/>
          <w:p>
            <w:pPr>
              <w:pStyle w:val="Compact"/>
              <w:jc w:val="left"/>
            </w:pPr>
            <w:r>
              <w:t xml:space="preserve">Zilliz Cloud: SOC 2 Type II (scope incl. Free, Serverless, Dedicated, BYOC; report under NDA) and ISO/IEC 27001; GDPR-ready and HIPAA-ready (HIPAA-eligible on Business Critical)</w:t>
            </w:r>
          </w:p>
        </w:tc>
        <w:tc>
          <w:tcPr/>
          <w:p>
            <w:pPr>
              <w:pStyle w:val="Compact"/>
              <w:jc w:val="left"/>
            </w:pPr>
            <w:r>
              <w:t xml:space="preserve">Verified fact</w:t>
            </w:r>
          </w:p>
        </w:tc>
        <w:tc>
          <w:tcPr/>
          <w:p>
            <w:pPr>
              <w:pStyle w:val="Compact"/>
              <w:jc w:val="left"/>
            </w:pPr>
            <w:r>
              <w:t xml:space="preserve">A2-S119, A2-S120</w:t>
            </w:r>
          </w:p>
        </w:tc>
      </w:tr>
      <w:tr>
        <w:tc>
          <w:tcPr/>
          <w:p>
            <w:pPr>
              <w:pStyle w:val="Compact"/>
              <w:jc w:val="left"/>
            </w:pPr>
            <w:r>
              <w:t xml:space="preserve">GDPR / residency</w:t>
            </w:r>
          </w:p>
        </w:tc>
        <w:tc>
          <w:tcPr/>
          <w:p>
            <w:pPr>
              <w:pStyle w:val="Compact"/>
              <w:jc w:val="left"/>
            </w:pPr>
            <w:r>
              <w:t xml:space="preserve">EU regions: AWS Frankfurt and Ireland, GCP Frankfurt, Azure Germany West Central and North Europe (Ireland)</w:t>
            </w:r>
          </w:p>
        </w:tc>
        <w:tc>
          <w:tcPr/>
          <w:p>
            <w:pPr>
              <w:pStyle w:val="Compact"/>
              <w:jc w:val="left"/>
            </w:pPr>
            <w:r>
              <w:t xml:space="preserve">Verified fact</w:t>
            </w:r>
          </w:p>
        </w:tc>
        <w:tc>
          <w:tcPr/>
          <w:p>
            <w:pPr>
              <w:pStyle w:val="Compact"/>
              <w:jc w:val="left"/>
            </w:pPr>
            <w:r>
              <w:t xml:space="preserve">A2-S121</w:t>
            </w:r>
          </w:p>
        </w:tc>
      </w:tr>
      <w:tr>
        <w:tc>
          <w:tcPr/>
          <w:p>
            <w:pPr>
              <w:pStyle w:val="Compact"/>
              <w:jc w:val="left"/>
            </w:pPr>
            <w:r>
              <w:t xml:space="preserve">Security features</w:t>
            </w:r>
          </w:p>
        </w:tc>
        <w:tc>
          <w:tcPr/>
          <w:p>
            <w:pPr>
              <w:pStyle w:val="Compact"/>
              <w:jc w:val="left"/>
            </w:pPr>
            <w:r>
              <w:t xml:space="preserve">CMEK and HIPAA eligibility on Business Critical; private endpoints on Enterprise; BYOC shared-responsibility model (customer manages VPC and storage encryption)</w:t>
            </w:r>
          </w:p>
        </w:tc>
        <w:tc>
          <w:tcPr/>
          <w:p>
            <w:pPr>
              <w:pStyle w:val="Compact"/>
              <w:jc w:val="left"/>
            </w:pPr>
            <w:r>
              <w:t xml:space="preserve">Verified fact</w:t>
            </w:r>
          </w:p>
        </w:tc>
        <w:tc>
          <w:tcPr/>
          <w:p>
            <w:pPr>
              <w:pStyle w:val="Compact"/>
              <w:jc w:val="left"/>
            </w:pPr>
            <w:r>
              <w:t xml:space="preserve">A2-S120, A2-S119</w:t>
            </w:r>
          </w:p>
        </w:tc>
      </w:tr>
      <w:tr>
        <w:tc>
          <w:tcPr/>
          <w:p>
            <w:pPr>
              <w:pStyle w:val="Compact"/>
              <w:jc w:val="left"/>
            </w:pPr>
            <w:r>
              <w:t xml:space="preserve">Access controls</w:t>
            </w:r>
          </w:p>
        </w:tc>
        <w:tc>
          <w:tcPr/>
          <w:p>
            <w:pPr>
              <w:pStyle w:val="Compact"/>
              <w:jc w:val="left"/>
            </w:pPr>
            <w:r>
              <w:t xml:space="preserve">SSO and audit logs on Enterprise Dedicated</w:t>
            </w:r>
          </w:p>
        </w:tc>
        <w:tc>
          <w:tcPr/>
          <w:p>
            <w:pPr>
              <w:pStyle w:val="Compact"/>
              <w:jc w:val="left"/>
            </w:pPr>
            <w:r>
              <w:t xml:space="preserve">Verified fact</w:t>
            </w:r>
          </w:p>
        </w:tc>
        <w:tc>
          <w:tcPr/>
          <w:p>
            <w:pPr>
              <w:pStyle w:val="Compact"/>
              <w:jc w:val="left"/>
            </w:pPr>
            <w:r>
              <w:t xml:space="preserve">A2-S120</w:t>
            </w:r>
          </w:p>
        </w:tc>
      </w:tr>
      <w:tr>
        <w:tc>
          <w:tcPr/>
          <w:p>
            <w:pPr>
              <w:pStyle w:val="Compact"/>
              <w:jc w:val="left"/>
            </w:pPr>
            <w:r>
              <w:t xml:space="preserve">Enterprise support</w:t>
            </w:r>
          </w:p>
        </w:tc>
        <w:tc>
          <w:tcPr/>
          <w:p>
            <w:pPr>
              <w:pStyle w:val="Compact"/>
              <w:jc w:val="left"/>
            </w:pPr>
            <w:r>
              <w:t xml:space="preserve">Enterprise Dedicated with 99.95% uptime SLA</w:t>
            </w:r>
          </w:p>
        </w:tc>
        <w:tc>
          <w:tcPr/>
          <w:p>
            <w:pPr>
              <w:pStyle w:val="Compact"/>
              <w:jc w:val="left"/>
            </w:pPr>
            <w:r>
              <w:t xml:space="preserve">Verified fact</w:t>
            </w:r>
          </w:p>
        </w:tc>
        <w:tc>
          <w:tcPr/>
          <w:p>
            <w:pPr>
              <w:pStyle w:val="Compact"/>
              <w:jc w:val="left"/>
            </w:pPr>
            <w:r>
              <w:t xml:space="preserve">A2-S120</w:t>
            </w:r>
          </w:p>
        </w:tc>
      </w:tr>
      <w:tr>
        <w:tc>
          <w:tcPr/>
          <w:p>
            <w:pPr>
              <w:pStyle w:val="Compact"/>
              <w:jc w:val="left"/>
            </w:pPr>
            <w:r>
              <w:t xml:space="preserve">Pricing</w:t>
            </w:r>
          </w:p>
        </w:tc>
        <w:tc>
          <w:tcPr/>
          <w:p>
            <w:pPr>
              <w:pStyle w:val="Compact"/>
              <w:jc w:val="left"/>
            </w:pPr>
            <w:r>
              <w:t xml:space="preserve">Zilliz Cloud: Serverless from US$0/month; Enterprise Dedicated from US$197/month; storage standardised at US$0.04/GB-month from 1 January 2026 (announced late 2025); BYOC not published. Milvus open source free.</w:t>
            </w:r>
          </w:p>
        </w:tc>
        <w:tc>
          <w:tcPr/>
          <w:p>
            <w:pPr>
              <w:pStyle w:val="Compact"/>
              <w:jc w:val="left"/>
            </w:pPr>
            <w:r>
              <w:t xml:space="preserve">Verified fact</w:t>
            </w:r>
          </w:p>
        </w:tc>
        <w:tc>
          <w:tcPr/>
          <w:p>
            <w:pPr>
              <w:pStyle w:val="Compact"/>
              <w:jc w:val="left"/>
            </w:pPr>
            <w:r>
              <w:t xml:space="preserve">A2-S120</w:t>
            </w:r>
          </w:p>
        </w:tc>
      </w:tr>
      <w:tr>
        <w:tc>
          <w:tcPr/>
          <w:p>
            <w:pPr>
              <w:pStyle w:val="Compact"/>
              <w:jc w:val="left"/>
            </w:pPr>
            <w:r>
              <w:t xml:space="preserve">Infrastructure cost</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Ecosystem</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Adoption signals</w:t>
            </w:r>
          </w:p>
        </w:tc>
        <w:tc>
          <w:tcPr/>
          <w:p>
            <w:pPr>
              <w:pStyle w:val="Compact"/>
              <w:jc w:val="left"/>
            </w:pPr>
            <w:r>
              <w:t xml:space="preserve">Zilliz total funding US$113M (Series B extension US$60M, August 2022); no 2025-2026 round found</w:t>
            </w:r>
          </w:p>
        </w:tc>
        <w:tc>
          <w:tcPr/>
          <w:p>
            <w:pPr>
              <w:pStyle w:val="Compact"/>
              <w:jc w:val="left"/>
            </w:pPr>
            <w:r>
              <w:t xml:space="preserve">Verified fact</w:t>
            </w:r>
          </w:p>
        </w:tc>
        <w:tc>
          <w:tcPr/>
          <w:p>
            <w:pPr>
              <w:pStyle w:val="Compact"/>
              <w:jc w:val="left"/>
            </w:pPr>
            <w:r>
              <w:t xml:space="preserve">A2-S122</w:t>
            </w:r>
          </w:p>
        </w:tc>
      </w:tr>
      <w:tr>
        <w:tc>
          <w:tcPr/>
          <w:p>
            <w:pPr>
              <w:pStyle w:val="Compact"/>
              <w:jc w:val="left"/>
            </w:pPr>
            <w:r>
              <w:t xml:space="preserve">Maturity</w:t>
            </w:r>
          </w:p>
        </w:tc>
        <w:tc>
          <w:tcPr/>
          <w:p>
            <w:pPr>
              <w:pStyle w:val="Compact"/>
              <w:jc w:val="left"/>
            </w:pPr>
            <w:r>
              <w:t xml:space="preserve">Mature 2.x line still patched; 3.0 GA July 2026 with breaking compatibility</w:t>
            </w:r>
          </w:p>
        </w:tc>
        <w:tc>
          <w:tcPr/>
          <w:p>
            <w:pPr>
              <w:pStyle w:val="Compact"/>
              <w:jc w:val="left"/>
            </w:pPr>
            <w:r>
              <w:t xml:space="preserve">Verified fact</w:t>
            </w:r>
          </w:p>
        </w:tc>
        <w:tc>
          <w:tcPr/>
          <w:p>
            <w:pPr>
              <w:pStyle w:val="Compact"/>
              <w:jc w:val="left"/>
            </w:pPr>
            <w:r>
              <w:t xml:space="preserve">A2-S117</w:t>
            </w:r>
          </w:p>
        </w:tc>
      </w:tr>
      <w:tr>
        <w:tc>
          <w:tcPr/>
          <w:p>
            <w:pPr>
              <w:pStyle w:val="Compact"/>
              <w:jc w:val="left"/>
            </w:pPr>
            <w:r>
              <w:t xml:space="preserve">Deployment</w:t>
            </w:r>
          </w:p>
        </w:tc>
        <w:tc>
          <w:tcPr/>
          <w:p>
            <w:pPr>
              <w:pStyle w:val="Compact"/>
              <w:jc w:val="left"/>
            </w:pPr>
            <w:r>
              <w:t xml:space="preserve">saas: Yes (Zilliz Cloud Serverless/Dedicated); managed_cloud: Yes (AWS, GCP, Azure); vpc_byoc: Yes (Zilliz BYOC: data plane in customer cloud account); private_cloud: Not publicly verified; self_hosted: Yes (Standalone, Distributed); on_prem: Yes</w:t>
            </w:r>
          </w:p>
        </w:tc>
        <w:tc>
          <w:tcPr/>
          <w:p>
            <w:pPr>
              <w:pStyle w:val="Compact"/>
            </w:pPr>
          </w:p>
        </w:tc>
        <w:tc>
          <w:tcPr/>
          <w:p>
            <w:pPr>
              <w:pStyle w:val="Compact"/>
            </w:pPr>
          </w:p>
        </w:tc>
      </w:tr>
    </w:tbl>
    <w:bookmarkEnd w:id="553"/>
    <w:bookmarkStart w:id="568" w:name="Xee2b84332588e633871672486860a9c83f4e21b"/>
    <w:p>
      <w:pPr>
        <w:pStyle w:val="Heading2"/>
      </w:pPr>
      <w:r>
        <w:t xml:space="preserve">PostgreSQL with the pgvector extension (</w:t>
      </w:r>
      <w:r>
        <w:rPr>
          <w:rStyle w:val="VerbatimChar"/>
        </w:rPr>
        <w:t xml:space="preserve">L6-pgvector</w:t>
      </w:r>
      <w:r>
        <w:t xml:space="preserve">)</w:t>
      </w:r>
    </w:p>
    <w:p>
      <w:pPr>
        <w:pStyle w:val="FirstParagraph"/>
      </w:pPr>
      <w:r>
        <w:rPr>
          <w:bCs/>
          <w:b/>
        </w:rPr>
        <w:t xml:space="preserve">Tier:</w:t>
      </w:r>
      <w:r>
        <w:t xml:space="preserve"> </w:t>
      </w:r>
      <w:r>
        <w:t xml:space="preserve">Strategic ·</w:t>
      </w:r>
      <w:r>
        <w:t xml:space="preserve"> </w:t>
      </w:r>
      <w:r>
        <w:rPr>
          <w:bCs/>
          <w:b/>
        </w:rPr>
        <w:t xml:space="preserve">Flags:</w:t>
      </w:r>
      <w:r>
        <w:t xml:space="preserve"> </w:t>
      </w:r>
      <w:r>
        <w:t xml:space="preserve">none ·</w:t>
      </w:r>
      <w:r>
        <w:t xml:space="preserve"> </w:t>
      </w:r>
      <w:r>
        <w:rPr>
          <w:bCs/>
          <w:b/>
        </w:rPr>
        <w:t xml:space="preserve">Original graphic label:</w:t>
      </w:r>
      <w:r>
        <w:t xml:space="preserve"> </w:t>
      </w:r>
      <w:r>
        <w:t xml:space="preserve">Postgres – + pgvector</w:t>
      </w:r>
    </w:p>
    <w:p>
      <w:pPr>
        <w:pStyle w:val="BodyText"/>
      </w:pPr>
      <w:r>
        <w:rPr>
          <w:iCs/>
          <w:i/>
        </w:rPr>
        <w:t xml:space="preserve">Rationale:</w:t>
      </w:r>
      <w:r>
        <w:t xml:space="preserve"> </w:t>
      </w:r>
      <w:r>
        <w:t xml:space="preserve">Lowest-increment, permissively licensed, transactionally integrated option on every hyperscaler; the default answer to</w:t>
      </w:r>
      <w:r>
        <w:t xml:space="preserve"> </w:t>
      </w:r>
      <w:r>
        <w:t xml:space="preserve">‘</w:t>
      </w:r>
      <w:r>
        <w:t xml:space="preserve">do we need a dedicated vector DB?</w:t>
      </w:r>
      <w:r>
        <w:t xml:space="preserve">’</w:t>
      </w:r>
      <w:r>
        <w:t xml:space="preserve"> </w:t>
      </w:r>
      <w:r>
        <w:rPr>
          <w:rStyle w:val="ClaimLabel"/>
        </w:rPr>
        <w:t xml:space="preserve">AJ</w:t>
      </w:r>
      <w:r>
        <w:t xml:space="preserve">.</w:t>
      </w:r>
    </w:p>
    <w:tbl>
      <w:tblPr>
        <w:tblStyle w:val="Table"/>
        <w:tblW w:type="pct" w:w="5000"/>
        <w:tblLook w:firstRow="1" w:lastRow="0" w:firstColumn="0" w:lastColumn="0" w:noHBand="0" w:noVBand="0" w:val="0020"/>
        <w:jc w:val="start"/>
      </w:tblPr>
      <w:tblGrid>
        <w:gridCol w:w="1545"/>
        <w:gridCol w:w="579"/>
        <w:gridCol w:w="5795"/>
      </w:tblGrid>
      <w:tr>
        <w:trPr>
          <w:tblHeader w:val="true"/>
        </w:trPr>
        <w:tc>
          <w:tcPr/>
          <w:p>
            <w:pPr>
              <w:pStyle w:val="Compact"/>
              <w:jc w:val="left"/>
            </w:pPr>
            <w:r>
              <w:t xml:space="preserve">Criterion</w:t>
            </w:r>
          </w:p>
        </w:tc>
        <w:tc>
          <w:tcPr/>
          <w:p>
            <w:pPr>
              <w:pStyle w:val="Compact"/>
              <w:jc w:val="right"/>
            </w:pPr>
            <w:r>
              <w:t xml:space="preserve">Score</w:t>
            </w:r>
          </w:p>
        </w:tc>
        <w:tc>
          <w:tcPr/>
          <w:p>
            <w:pPr>
              <w:pStyle w:val="Compact"/>
              <w:jc w:val="left"/>
            </w:pPr>
            <w:r>
              <w:t xml:space="preserve">Rationale</w:t>
            </w:r>
          </w:p>
        </w:tc>
      </w:tr>
      <w:tr>
        <w:tc>
          <w:tcPr/>
          <w:p>
            <w:pPr>
              <w:pStyle w:val="Compact"/>
              <w:jc w:val="left"/>
            </w:pPr>
            <w:r>
              <w:t xml:space="preserve">Technical</w:t>
            </w:r>
          </w:p>
        </w:tc>
        <w:tc>
          <w:tcPr/>
          <w:p>
            <w:pPr>
              <w:pStyle w:val="Compact"/>
              <w:jc w:val="right"/>
            </w:pPr>
            <w:r>
              <w:t xml:space="preserve">4</w:t>
            </w:r>
          </w:p>
        </w:tc>
        <w:tc>
          <w:tcPr/>
          <w:p>
            <w:pPr>
              <w:pStyle w:val="Compact"/>
              <w:jc w:val="left"/>
            </w:pPr>
            <w:r>
              <w:t xml:space="preserve">Dense+sparse, HNSW/IVFFlat, filter-aware scans and SQL joins; no native BM25 and scale limits keep it below 5</w:t>
            </w:r>
          </w:p>
        </w:tc>
      </w:tr>
      <w:tr>
        <w:tc>
          <w:tcPr/>
          <w:p>
            <w:pPr>
              <w:pStyle w:val="Compact"/>
              <w:jc w:val="left"/>
            </w:pPr>
            <w:r>
              <w:t xml:space="preserve">Enterprise readiness</w:t>
            </w:r>
          </w:p>
        </w:tc>
        <w:tc>
          <w:tcPr/>
          <w:p>
            <w:pPr>
              <w:pStyle w:val="Compact"/>
              <w:jc w:val="right"/>
            </w:pPr>
            <w:r>
              <w:t xml:space="preserve">4</w:t>
            </w:r>
          </w:p>
        </w:tc>
        <w:tc>
          <w:tcPr/>
          <w:p>
            <w:pPr>
              <w:pStyle w:val="Compact"/>
              <w:jc w:val="left"/>
            </w:pPr>
            <w:r>
              <w:t xml:space="preserve">Rule 2: inherits host controls; consumed via RDS/Aurora, Azure or Cloud SQL/AlloyDB so platform controls presumed (CP2 Q1); confirm per service</w:t>
            </w:r>
          </w:p>
        </w:tc>
      </w:tr>
      <w:tr>
        <w:tc>
          <w:tcPr/>
          <w:p>
            <w:pPr>
              <w:pStyle w:val="Compact"/>
              <w:jc w:val="left"/>
            </w:pPr>
            <w:r>
              <w:t xml:space="preserve">Security and compliance</w:t>
            </w:r>
          </w:p>
        </w:tc>
        <w:tc>
          <w:tcPr/>
          <w:p>
            <w:pPr>
              <w:pStyle w:val="Compact"/>
              <w:jc w:val="right"/>
            </w:pPr>
            <w:r>
              <w:t xml:space="preserve">3</w:t>
            </w:r>
          </w:p>
        </w:tc>
        <w:tc>
          <w:tcPr/>
          <w:p>
            <w:pPr>
              <w:pStyle w:val="Compact"/>
              <w:jc w:val="left"/>
            </w:pPr>
            <w:r>
              <w:t xml:space="preserve">Rule 2 hygiene: permissive licence and prompt CVE fixes, but two 2026 memory-safety CVEs (one CVSS 8.8) and host patch lag; signed releases not verified</w:t>
            </w:r>
          </w:p>
        </w:tc>
      </w:tr>
      <w:tr>
        <w:tc>
          <w:tcPr/>
          <w:p>
            <w:pPr>
              <w:pStyle w:val="Compact"/>
              <w:jc w:val="left"/>
            </w:pPr>
            <w:r>
              <w:t xml:space="preserve">Deployment flexibility</w:t>
            </w:r>
          </w:p>
        </w:tc>
        <w:tc>
          <w:tcPr/>
          <w:p>
            <w:pPr>
              <w:pStyle w:val="Compact"/>
              <w:jc w:val="right"/>
            </w:pPr>
            <w:r>
              <w:t xml:space="preserve">5</w:t>
            </w:r>
          </w:p>
        </w:tc>
        <w:tc>
          <w:tcPr/>
          <w:p>
            <w:pPr>
              <w:pStyle w:val="Compact"/>
              <w:jc w:val="left"/>
            </w:pPr>
            <w:r>
              <w:t xml:space="preserve">Self-host, on-prem and air-gap, plus managed services on AWS, Azure and Google Cloud</w:t>
            </w:r>
          </w:p>
        </w:tc>
      </w:tr>
      <w:tr>
        <w:tc>
          <w:tcPr/>
          <w:p>
            <w:pPr>
              <w:pStyle w:val="Compact"/>
              <w:jc w:val="left"/>
            </w:pPr>
            <w:r>
              <w:t xml:space="preserve">Ecosystem</w:t>
            </w:r>
          </w:p>
        </w:tc>
        <w:tc>
          <w:tcPr/>
          <w:p>
            <w:pPr>
              <w:pStyle w:val="Compact"/>
              <w:jc w:val="right"/>
            </w:pPr>
            <w:r>
              <w:t xml:space="preserve">5</w:t>
            </w:r>
          </w:p>
        </w:tc>
        <w:tc>
          <w:tcPr/>
          <w:p>
            <w:pPr>
              <w:pStyle w:val="Compact"/>
              <w:jc w:val="left"/>
            </w:pPr>
            <w:r>
              <w:t xml:space="preserve">SQL; supported by all three hyperscalers’ managed PostgreSQL and Bedrock Knowledge Bases via Aurora</w:t>
            </w:r>
          </w:p>
        </w:tc>
      </w:tr>
      <w:tr>
        <w:tc>
          <w:tcPr/>
          <w:p>
            <w:pPr>
              <w:pStyle w:val="Compact"/>
              <w:jc w:val="left"/>
            </w:pPr>
            <w:r>
              <w:t xml:space="preserve">Reliability and maturity</w:t>
            </w:r>
          </w:p>
        </w:tc>
        <w:tc>
          <w:tcPr/>
          <w:p>
            <w:pPr>
              <w:pStyle w:val="Compact"/>
              <w:jc w:val="right"/>
            </w:pPr>
            <w:r>
              <w:t xml:space="preserve">4</w:t>
            </w:r>
          </w:p>
        </w:tc>
        <w:tc>
          <w:tcPr/>
          <w:p>
            <w:pPr>
              <w:pStyle w:val="Compact"/>
              <w:jc w:val="left"/>
            </w:pPr>
            <w:r>
              <w:t xml:space="preserve">Active 0.8.x maintenance (five 2026 releases) on a long-established database; still pre-1.0 versioning</w:t>
            </w:r>
          </w:p>
        </w:tc>
      </w:tr>
      <w:tr>
        <w:tc>
          <w:tcPr/>
          <w:p>
            <w:pPr>
              <w:pStyle w:val="Compact"/>
              <w:jc w:val="left"/>
            </w:pPr>
            <w:r>
              <w:t xml:space="preserve">Cost / TCO</w:t>
            </w:r>
          </w:p>
        </w:tc>
        <w:tc>
          <w:tcPr/>
          <w:p>
            <w:pPr>
              <w:pStyle w:val="Compact"/>
              <w:jc w:val="right"/>
            </w:pPr>
            <w:r>
              <w:t xml:space="preserve">5</w:t>
            </w:r>
          </w:p>
        </w:tc>
        <w:tc>
          <w:tcPr/>
          <w:p>
            <w:pPr>
              <w:pStyle w:val="Compact"/>
              <w:jc w:val="left"/>
            </w:pPr>
            <w:r>
              <w:t xml:space="preserve">Free; cost is PostgreSQL compute and RAM already operated</w:t>
            </w:r>
          </w:p>
        </w:tc>
      </w:tr>
      <w:tr>
        <w:tc>
          <w:tcPr/>
          <w:p>
            <w:pPr>
              <w:pStyle w:val="Compact"/>
              <w:jc w:val="left"/>
            </w:pPr>
            <w:r>
              <w:t xml:space="preserve">Lock-in / portability</w:t>
            </w:r>
          </w:p>
        </w:tc>
        <w:tc>
          <w:tcPr/>
          <w:p>
            <w:pPr>
              <w:pStyle w:val="Compact"/>
              <w:jc w:val="right"/>
            </w:pPr>
            <w:r>
              <w:t xml:space="preserve">5</w:t>
            </w:r>
          </w:p>
        </w:tc>
        <w:tc>
          <w:tcPr/>
          <w:p>
            <w:pPr>
              <w:pStyle w:val="Compact"/>
              <w:jc w:val="left"/>
            </w:pPr>
            <w:r>
              <w:t xml:space="preserve">PostgreSQL License, SQL interface, multiple managed hosts</w:t>
            </w:r>
          </w:p>
        </w:tc>
      </w:tr>
      <w:tr>
        <w:tc>
          <w:tcPr/>
          <w:p>
            <w:pPr>
              <w:pStyle w:val="Compact"/>
              <w:jc w:val="left"/>
            </w:pPr>
            <w:r>
              <w:rPr>
                <w:bCs/>
                <w:b/>
              </w:rPr>
              <w:t xml:space="preserve">Total (generic / FS)</w:t>
            </w:r>
          </w:p>
        </w:tc>
        <w:tc>
          <w:tcPr/>
          <w:p>
            <w:pPr>
              <w:pStyle w:val="Compact"/>
              <w:jc w:val="right"/>
            </w:pPr>
            <w:r>
              <w:rPr>
                <w:bCs/>
                <w:b/>
              </w:rPr>
              <w:t xml:space="preserve">4.25 / 4.20</w:t>
            </w:r>
          </w:p>
        </w:tc>
        <w:tc>
          <w:tcPr/>
          <w:p>
            <w:pPr>
              <w:pStyle w:val="Compact"/>
            </w:pPr>
          </w:p>
        </w:tc>
      </w:tr>
    </w:tbl>
    <w:p>
      <w:pPr>
        <w:pStyle w:val="BodyText"/>
      </w:pPr>
      <w:r>
        <w:rPr>
          <w:iCs/>
          <w:i/>
        </w:rPr>
        <w:t xml:space="preserve">Evidence rules applied:</w:t>
      </w:r>
      <w:r>
        <w:t xml:space="preserve"> </w:t>
      </w:r>
      <w:r>
        <w:t xml:space="preserve">Rule 2 (self-hosted software): security scored on project hygiene; enterprise readiness on host controls with CP2 Q1 presumption for managed hyperscaler PostgreSQL</w:t>
      </w:r>
    </w:p>
    <w:p>
      <w:pPr>
        <w:pStyle w:val="BodyText"/>
      </w:pPr>
      <w:r>
        <w:rPr>
          <w:bCs/>
          <w:b/>
        </w:rPr>
        <w:t xml:space="preserve">Capabilities.</w:t>
      </w:r>
      <w:r>
        <w:t xml:space="preserve"> </w:t>
      </w:r>
      <w:r>
        <w:t xml:space="preserve">PostgreSQL extension adding vector types (incl. sparsevec) and HNSW/IVFFlat ANN indexes, so vectors sit beside relational data and SQL filters; iterative index scans and filter-aware index selection since 0.8.0; 0.8.7 released 1 October 2026</w:t>
      </w:r>
      <w:r>
        <w:t xml:space="preserve"> </w:t>
      </w:r>
      <w:r>
        <w:rPr>
          <w:rStyle w:val="ClaimLabel"/>
        </w:rPr>
        <w:t xml:space="preserve">VF</w:t>
      </w:r>
      <w:r>
        <w:rPr>
          <w:rStyle w:val="FootnoteReference"/>
        </w:rPr>
        <w:footnoteReference w:id="554"/>
      </w:r>
      <w:r>
        <w:t xml:space="preserve">.</w:t>
      </w:r>
    </w:p>
    <w:p>
      <w:pPr>
        <w:pStyle w:val="BodyText"/>
      </w:pPr>
      <w:r>
        <w:rPr>
          <w:bCs/>
          <w:b/>
        </w:rPr>
        <w:t xml:space="preserve">Strengths</w:t>
      </w:r>
    </w:p>
    <w:p>
      <w:pPr>
        <w:numPr>
          <w:ilvl w:val="0"/>
          <w:numId w:val="1129"/>
        </w:numPr>
        <w:pStyle w:val="Compact"/>
      </w:pPr>
      <w:r>
        <w:t xml:space="preserve">Transactional integration: vectors, metadata and entitlement tables in one ACID database</w:t>
      </w:r>
      <w:r>
        <w:t xml:space="preserve"> </w:t>
      </w:r>
      <w:r>
        <w:rPr>
          <w:rStyle w:val="ClaimLabel"/>
        </w:rPr>
        <w:t xml:space="preserve">AJ</w:t>
      </w:r>
    </w:p>
    <w:p>
      <w:pPr>
        <w:numPr>
          <w:ilvl w:val="0"/>
          <w:numId w:val="1129"/>
        </w:numPr>
        <w:pStyle w:val="Compact"/>
      </w:pPr>
      <w:r>
        <w:t xml:space="preserve">PostgreSQL License (permissive, OSI)</w:t>
      </w:r>
      <w:r>
        <w:t xml:space="preserve"> </w:t>
      </w:r>
      <w:r>
        <w:rPr>
          <w:rStyle w:val="ClaimLabel"/>
        </w:rPr>
        <w:t xml:space="preserve">VF</w:t>
      </w:r>
      <w:r>
        <w:rPr>
          <w:rStyle w:val="FootnoteReference"/>
        </w:rPr>
        <w:footnoteReference w:id="558"/>
      </w:r>
    </w:p>
    <w:p>
      <w:pPr>
        <w:numPr>
          <w:ilvl w:val="0"/>
          <w:numId w:val="1129"/>
        </w:numPr>
        <w:pStyle w:val="Compact"/>
      </w:pPr>
      <w:r>
        <w:t xml:space="preserve">Managed on Amazon RDS/Aurora, Azure Database for PostgreSQL, Cloud SQL and AlloyDB</w:t>
      </w:r>
      <w:r>
        <w:t xml:space="preserve"> </w:t>
      </w:r>
      <w:r>
        <w:rPr>
          <w:rStyle w:val="ClaimLabel"/>
        </w:rPr>
        <w:t xml:space="preserve">VF</w:t>
      </w:r>
      <w:r>
        <w:rPr>
          <w:rStyle w:val="FootnoteReference"/>
        </w:rPr>
        <w:footnoteReference w:id="560"/>
      </w:r>
    </w:p>
    <w:p>
      <w:pPr>
        <w:numPr>
          <w:ilvl w:val="0"/>
          <w:numId w:val="1129"/>
        </w:numPr>
        <w:pStyle w:val="Compact"/>
      </w:pPr>
      <w:r>
        <w:t xml:space="preserve">Security fixes shipped promptly in 2026 (0.8.2, 0.8.7)</w:t>
      </w:r>
      <w:r>
        <w:t xml:space="preserve"> </w:t>
      </w:r>
      <w:r>
        <w:rPr>
          <w:rStyle w:val="ClaimLabel"/>
        </w:rPr>
        <w:t xml:space="preserve">VF</w:t>
      </w:r>
      <w:r>
        <w:rPr>
          <w:rStyle w:val="FootnoteReference"/>
        </w:rPr>
        <w:footnoteReference w:id="563"/>
      </w:r>
    </w:p>
    <w:p>
      <w:pPr>
        <w:pStyle w:val="FirstParagraph"/>
      </w:pPr>
      <w:r>
        <w:rPr>
          <w:bCs/>
          <w:b/>
        </w:rPr>
        <w:t xml:space="preserve">Limitations and risks</w:t>
      </w:r>
    </w:p>
    <w:p>
      <w:pPr>
        <w:numPr>
          <w:ilvl w:val="0"/>
          <w:numId w:val="1130"/>
        </w:numPr>
        <w:pStyle w:val="Compact"/>
      </w:pPr>
      <w:r>
        <w:t xml:space="preserve">CVE-2026-103484 (CVSS 8.8, IVFFlat build, possible code execution) fixed in 0.8.7; CVE-2026-3172 fixed in 0.8.2</w:t>
      </w:r>
      <w:r>
        <w:t xml:space="preserve"> </w:t>
      </w:r>
      <w:r>
        <w:rPr>
          <w:rStyle w:val="ClaimLabel"/>
        </w:rPr>
        <w:t xml:space="preserve">VF</w:t>
      </w:r>
      <w:r>
        <w:rPr>
          <w:rStyle w:val="FootnoteReference"/>
        </w:rPr>
        <w:footnoteReference w:id="564"/>
      </w:r>
    </w:p>
    <w:p>
      <w:pPr>
        <w:numPr>
          <w:ilvl w:val="0"/>
          <w:numId w:val="1130"/>
        </w:numPr>
        <w:pStyle w:val="Compact"/>
      </w:pPr>
      <w:r>
        <w:t xml:space="preserve">Managed hosts lag upstream (latest RDS release seen carries 0.8.2) and Azure manages the version</w:t>
      </w:r>
      <w:r>
        <w:t xml:space="preserve"> </w:t>
      </w:r>
      <w:r>
        <w:rPr>
          <w:rStyle w:val="ClaimLabel"/>
        </w:rPr>
        <w:t xml:space="preserve">VF</w:t>
      </w:r>
      <w:r>
        <w:rPr>
          <w:rStyle w:val="FootnoteReference"/>
        </w:rPr>
        <w:footnoteReference w:id="566"/>
      </w:r>
    </w:p>
    <w:p>
      <w:pPr>
        <w:numPr>
          <w:ilvl w:val="0"/>
          <w:numId w:val="1130"/>
        </w:numPr>
        <w:pStyle w:val="Compact"/>
      </w:pPr>
      <w:r>
        <w:t xml:space="preserve">No BM25 ranking in the extension; hybrid needs sparsevec or app-side fusion</w:t>
      </w:r>
      <w:r>
        <w:t xml:space="preserve"> </w:t>
      </w:r>
      <w:r>
        <w:rPr>
          <w:rStyle w:val="ClaimLabel"/>
        </w:rPr>
        <w:t xml:space="preserve">VF</w:t>
      </w:r>
      <w:r>
        <w:rPr>
          <w:rStyle w:val="FootnoteReference"/>
        </w:rPr>
        <w:footnoteReference w:id="567"/>
      </w:r>
      <w:r>
        <w:t xml:space="preserve"> </w:t>
      </w:r>
      <w:r>
        <w:rPr>
          <w:rStyle w:val="ClaimLabel"/>
        </w:rPr>
        <w:t xml:space="preserve">AJ</w:t>
      </w:r>
    </w:p>
    <w:p>
      <w:pPr>
        <w:numPr>
          <w:ilvl w:val="0"/>
          <w:numId w:val="1130"/>
        </w:numPr>
        <w:pStyle w:val="Compact"/>
      </w:pPr>
      <w:r>
        <w:t xml:space="preserve">HNSW indexes are memory-hungry; large-scale filtered behaviour not evidenced</w:t>
      </w:r>
      <w:r>
        <w:t xml:space="preserve"> </w:t>
      </w:r>
      <w:r>
        <w:rPr>
          <w:rStyle w:val="ClaimLabel"/>
        </w:rPr>
        <w:t xml:space="preserve">AJ</w:t>
      </w:r>
      <w:r>
        <w:t xml:space="preserve"> </w:t>
      </w:r>
      <w:r>
        <w:rPr>
          <w:rStyle w:val="ClaimLabel"/>
        </w:rPr>
        <w:t xml:space="preserve">NPV</w:t>
      </w:r>
    </w:p>
    <w:p>
      <w:pPr>
        <w:pStyle w:val="FirstParagraph"/>
      </w:pPr>
      <w:r>
        <w:rPr>
          <w:bCs/>
          <w:b/>
        </w:rPr>
        <w:t xml:space="preserve">Choose when</w:t>
      </w:r>
    </w:p>
    <w:p>
      <w:pPr>
        <w:numPr>
          <w:ilvl w:val="0"/>
          <w:numId w:val="1131"/>
        </w:numPr>
        <w:pStyle w:val="Compact"/>
      </w:pPr>
      <w:r>
        <w:t xml:space="preserve">PostgreSQL is a firm standard and the corpus is millions, not billions, of chunks</w:t>
      </w:r>
      <w:r>
        <w:t xml:space="preserve"> </w:t>
      </w:r>
      <w:r>
        <w:rPr>
          <w:rStyle w:val="ClaimLabel"/>
        </w:rPr>
        <w:t xml:space="preserve">AJ</w:t>
      </w:r>
    </w:p>
    <w:p>
      <w:pPr>
        <w:numPr>
          <w:ilvl w:val="0"/>
          <w:numId w:val="1131"/>
        </w:numPr>
        <w:pStyle w:val="Compact"/>
      </w:pPr>
      <w:r>
        <w:t xml:space="preserve">Entitlements already live in relational tables</w:t>
      </w:r>
      <w:r>
        <w:t xml:space="preserve"> </w:t>
      </w:r>
      <w:r>
        <w:rPr>
          <w:rStyle w:val="ClaimLabel"/>
        </w:rPr>
        <w:t xml:space="preserve">AJ</w:t>
      </w:r>
    </w:p>
    <w:p>
      <w:pPr>
        <w:pStyle w:val="FirstParagraph"/>
      </w:pPr>
      <w:r>
        <w:rPr>
          <w:bCs/>
          <w:b/>
        </w:rPr>
        <w:t xml:space="preserve">Avoid when</w:t>
      </w:r>
    </w:p>
    <w:p>
      <w:pPr>
        <w:numPr>
          <w:ilvl w:val="0"/>
          <w:numId w:val="1132"/>
        </w:numPr>
        <w:pStyle w:val="Compact"/>
      </w:pPr>
      <w:r>
        <w:t xml:space="preserve">Thousands of isolated tenants with independent scaling are needed</w:t>
      </w:r>
      <w:r>
        <w:t xml:space="preserve"> </w:t>
      </w:r>
      <w:r>
        <w:rPr>
          <w:rStyle w:val="ClaimLabel"/>
        </w:rPr>
        <w:t xml:space="preserve">AJ</w:t>
      </w:r>
    </w:p>
    <w:p>
      <w:pPr>
        <w:numPr>
          <w:ilvl w:val="0"/>
          <w:numId w:val="1132"/>
        </w:numPr>
        <w:pStyle w:val="Compact"/>
      </w:pPr>
      <w:r>
        <w:t xml:space="preserve">Low-latency search over a very large corpus under selective filters</w:t>
      </w:r>
      <w:r>
        <w:t xml:space="preserve"> </w:t>
      </w:r>
      <w:r>
        <w:rPr>
          <w:rStyle w:val="ClaimLabel"/>
        </w:rPr>
        <w:t xml:space="preserve">AJ</w:t>
      </w:r>
    </w:p>
    <w:p>
      <w:pPr>
        <w:pStyle w:val="FirstParagraph"/>
      </w:pPr>
      <w:r>
        <w:rPr>
          <w:bCs/>
          <w:b/>
        </w:rPr>
        <w:t xml:space="preserve">Nearest competitors:</w:t>
      </w:r>
      <w:r>
        <w:t xml:space="preserve"> </w:t>
      </w:r>
      <w:r>
        <w:t xml:space="preserve">L6-mongodb-atlas-vector-search, L6-elasticsearch, L6-qdrant</w:t>
      </w:r>
    </w:p>
    <w:p>
      <w:pPr>
        <w:pStyle w:val="BodyText"/>
      </w:pPr>
      <w:r>
        <w:rPr>
          <w:bCs/>
          <w:b/>
        </w:rPr>
        <w:t xml:space="preserve">Regulated-FS note.</w:t>
      </w:r>
      <w:r>
        <w:t xml:space="preserve"> </w:t>
      </w:r>
      <w:r>
        <w:t xml:space="preserve">Default for UK/EU managed PostgreSQL; track host pgvector version against CVEs; restrict index-creation rights; one schema per segregated mandate</w:t>
      </w:r>
      <w:r>
        <w:t xml:space="preserve"> </w:t>
      </w:r>
      <w:r>
        <w:rPr>
          <w:rStyle w:val="ClaimLabel"/>
        </w:rPr>
        <w:t xml:space="preserve">Rec</w:t>
      </w:r>
      <w:r>
        <w:t xml:space="preserve">.</w:t>
      </w:r>
    </w:p>
    <w:p>
      <w:pPr>
        <w:pStyle w:val="BodyText"/>
      </w:pPr>
      <w:r>
        <w:rPr>
          <w:bCs/>
          <w:b/>
        </w:rPr>
        <w:t xml:space="preserve">Facts (as of 2026-10-08)</w:t>
      </w:r>
    </w:p>
    <w:tbl>
      <w:tblPr>
        <w:tblStyle w:val="Table"/>
        <w:tblW w:type="pct" w:w="5000"/>
        <w:tblLook w:firstRow="1" w:lastRow="0" w:firstColumn="0" w:lastColumn="0" w:noHBand="0" w:noVBand="0" w:val="0020"/>
        <w:jc w:val="start"/>
      </w:tblPr>
      <w:tblGrid>
        <w:gridCol w:w="1485"/>
        <w:gridCol w:w="4290"/>
        <w:gridCol w:w="1320"/>
        <w:gridCol w:w="825"/>
      </w:tblGrid>
      <w:tr>
        <w:trPr>
          <w:tblHeader w:val="true"/>
        </w:trPr>
        <w:tc>
          <w:tcPr/>
          <w:p>
            <w:pPr>
              <w:pStyle w:val="Compact"/>
              <w:jc w:val="left"/>
            </w:pPr>
            <w:r>
              <w:t xml:space="preserve">Field</w:t>
            </w:r>
          </w:p>
        </w:tc>
        <w:tc>
          <w:tcPr/>
          <w:p>
            <w:pPr>
              <w:pStyle w:val="Compact"/>
              <w:jc w:val="left"/>
            </w:pPr>
            <w:r>
              <w:t xml:space="preserve">Value</w:t>
            </w:r>
          </w:p>
        </w:tc>
        <w:tc>
          <w:tcPr/>
          <w:p>
            <w:pPr>
              <w:pStyle w:val="Compact"/>
              <w:jc w:val="left"/>
            </w:pPr>
            <w:r>
              <w:t xml:space="preserve">Label</w:t>
            </w:r>
          </w:p>
        </w:tc>
        <w:tc>
          <w:tcPr/>
          <w:p>
            <w:pPr>
              <w:pStyle w:val="Compact"/>
              <w:jc w:val="left"/>
            </w:pPr>
            <w:r>
              <w:t xml:space="preserve">Sources</w:t>
            </w:r>
          </w:p>
        </w:tc>
      </w:tr>
      <w:tr>
        <w:tc>
          <w:tcPr/>
          <w:p>
            <w:pPr>
              <w:pStyle w:val="Compact"/>
              <w:jc w:val="left"/>
            </w:pPr>
            <w:r>
              <w:t xml:space="preserve">Company</w:t>
            </w:r>
          </w:p>
        </w:tc>
        <w:tc>
          <w:tcPr/>
          <w:p>
            <w:pPr>
              <w:pStyle w:val="Compact"/>
              <w:jc w:val="left"/>
            </w:pPr>
            <w:r>
              <w:t xml:space="preserve">pgvector open-source project (lead author Andrew Kane per Python client) on PostgreSQL</w:t>
            </w:r>
          </w:p>
        </w:tc>
        <w:tc>
          <w:tcPr/>
          <w:p>
            <w:pPr>
              <w:pStyle w:val="Compact"/>
              <w:jc w:val="left"/>
            </w:pPr>
            <w:r>
              <w:t xml:space="preserve">Verified fact</w:t>
            </w:r>
          </w:p>
        </w:tc>
        <w:tc>
          <w:tcPr/>
          <w:p>
            <w:pPr>
              <w:pStyle w:val="Compact"/>
              <w:jc w:val="left"/>
            </w:pPr>
            <w:r>
              <w:t xml:space="preserve">A2-S050, A2-S061</w:t>
            </w:r>
          </w:p>
        </w:tc>
      </w:tr>
      <w:tr>
        <w:tc>
          <w:tcPr/>
          <w:p>
            <w:pPr>
              <w:pStyle w:val="Compact"/>
              <w:jc w:val="left"/>
            </w:pPr>
            <w:r>
              <w:t xml:space="preserve">Category</w:t>
            </w:r>
          </w:p>
        </w:tc>
        <w:tc>
          <w:tcPr/>
          <w:p>
            <w:pPr>
              <w:pStyle w:val="Compact"/>
              <w:jc w:val="left"/>
            </w:pPr>
            <w:r>
              <w:t xml:space="preserve">Vector search extension for a general-purpose relational database</w:t>
            </w:r>
          </w:p>
        </w:tc>
        <w:tc>
          <w:tcPr/>
          <w:p>
            <w:pPr>
              <w:pStyle w:val="Compact"/>
              <w:jc w:val="left"/>
            </w:pPr>
            <w:r>
              <w:t xml:space="preserve">Verified fact</w:t>
            </w:r>
          </w:p>
        </w:tc>
        <w:tc>
          <w:tcPr/>
          <w:p>
            <w:pPr>
              <w:pStyle w:val="Compact"/>
              <w:jc w:val="left"/>
            </w:pPr>
            <w:r>
              <w:t xml:space="preserve">A2-S061</w:t>
            </w:r>
          </w:p>
        </w:tc>
      </w:tr>
      <w:tr>
        <w:tc>
          <w:tcPr/>
          <w:p>
            <w:pPr>
              <w:pStyle w:val="Compact"/>
              <w:jc w:val="left"/>
            </w:pPr>
            <w:r>
              <w:t xml:space="preserve">Version / lineup</w:t>
            </w:r>
          </w:p>
        </w:tc>
        <w:tc>
          <w:tcPr/>
          <w:p>
            <w:pPr>
              <w:pStyle w:val="Compact"/>
              <w:jc w:val="left"/>
            </w:pPr>
            <w:r>
              <w:t xml:space="preserve">pgvector 0.8.7 (released 1 October 2026 per CHANGELOG; announced on postgresql.org 5 October 2026); earlier 2026 releases 0.8.2 (Feb), 0.8.3 (17 Jun), 0.8.4 (30 Jun), 0.8.5 (8 Jul), 0.8.6 (29 Jul). Python client pgvector 0.5.0 (6 July 2026).</w:t>
            </w:r>
          </w:p>
        </w:tc>
        <w:tc>
          <w:tcPr/>
          <w:p>
            <w:pPr>
              <w:pStyle w:val="Compact"/>
              <w:jc w:val="left"/>
            </w:pPr>
            <w:r>
              <w:t xml:space="preserve">Verified fact</w:t>
            </w:r>
          </w:p>
        </w:tc>
        <w:tc>
          <w:tcPr/>
          <w:p>
            <w:pPr>
              <w:pStyle w:val="Compact"/>
              <w:jc w:val="left"/>
            </w:pPr>
            <w:r>
              <w:t xml:space="preserve">A2-S061, A2-S062, A2-S063, A2-S050, V1-S020, V1-S022</w:t>
            </w:r>
          </w:p>
        </w:tc>
      </w:tr>
      <w:tr>
        <w:tc>
          <w:tcPr/>
          <w:p>
            <w:pPr>
              <w:pStyle w:val="Compact"/>
              <w:jc w:val="left"/>
            </w:pPr>
            <w:r>
              <w:t xml:space="preserve">Licence</w:t>
            </w:r>
          </w:p>
        </w:tc>
        <w:tc>
          <w:tcPr/>
          <w:p>
            <w:pPr>
              <w:pStyle w:val="Compact"/>
              <w:jc w:val="left"/>
            </w:pPr>
            <w:r>
              <w:t xml:space="preserve">Open source: PostgreSQL License (permissive, OSI-approved) for the extension; pgvector-python is MIT</w:t>
            </w:r>
          </w:p>
        </w:tc>
        <w:tc>
          <w:tcPr/>
          <w:p>
            <w:pPr>
              <w:pStyle w:val="Compact"/>
              <w:jc w:val="left"/>
            </w:pPr>
            <w:r>
              <w:t xml:space="preserve">Verified fact</w:t>
            </w:r>
          </w:p>
        </w:tc>
        <w:tc>
          <w:tcPr/>
          <w:p>
            <w:pPr>
              <w:pStyle w:val="Compact"/>
              <w:jc w:val="left"/>
            </w:pPr>
            <w:r>
              <w:t xml:space="preserve">A2-S050, V1-S021</w:t>
            </w:r>
          </w:p>
        </w:tc>
      </w:tr>
      <w:tr>
        <w:tc>
          <w:tcPr/>
          <w:p>
            <w:pPr>
              <w:pStyle w:val="Compact"/>
              <w:jc w:val="left"/>
            </w:pPr>
            <w:r>
              <w:t xml:space="preserve">Status events</w:t>
            </w:r>
          </w:p>
        </w:tc>
        <w:tc>
          <w:tcPr/>
          <w:p>
            <w:pPr>
              <w:pStyle w:val="Compact"/>
              <w:jc w:val="left"/>
            </w:pPr>
            <w:r>
              <w:t xml:space="preserve">February 2026: 0.8.2 fixes CVE-2026-3172 (parallel HNSW build buffer overflow); 1 October 2026 (announced 5 October): 0.8.7 fixes an IVFFlat index-build buffer overflow (CVE-2026-103484, CVSS 8.8) that can allow arbitrary code execution by a user able to create IVFFlat indexes; Adjacent: pgvecto.rs deprecated in favour of VectorChord (early 2025); Timescale renamed Tiger Data (17 June 2025), pgvectorscale continues</w:t>
            </w:r>
          </w:p>
        </w:tc>
        <w:tc>
          <w:tcPr/>
          <w:p>
            <w:pPr>
              <w:pStyle w:val="Compact"/>
              <w:jc w:val="left"/>
            </w:pPr>
            <w:r>
              <w:t xml:space="preserve">Verified fact</w:t>
            </w:r>
          </w:p>
        </w:tc>
        <w:tc>
          <w:tcPr/>
          <w:p>
            <w:pPr>
              <w:pStyle w:val="Compact"/>
              <w:jc w:val="left"/>
            </w:pPr>
            <w:r>
              <w:t xml:space="preserve">A2-S062, A2-S061, A2-S066, A2-S067, A2-S064, A2-S065, V1-S020, V1-S022</w:t>
            </w:r>
          </w:p>
        </w:tc>
      </w:tr>
      <w:tr>
        <w:tc>
          <w:tcPr/>
          <w:p>
            <w:pPr>
              <w:pStyle w:val="Compact"/>
              <w:jc w:val="left"/>
            </w:pPr>
            <w:r>
              <w:t xml:space="preserve">Strategic direction</w:t>
            </w:r>
          </w:p>
        </w:tc>
        <w:tc>
          <w:tcPr/>
          <w:p>
            <w:pPr>
              <w:pStyle w:val="Compact"/>
              <w:jc w:val="left"/>
            </w:pPr>
            <w:r>
              <w:t xml:space="preserve">Maintenance and security fixes on the 0.8.x line in 2026 (HNSW vacuuming, IVFFlat memory); supports dense and sparse (sparsevec) vectors</w:t>
            </w:r>
          </w:p>
        </w:tc>
        <w:tc>
          <w:tcPr/>
          <w:p>
            <w:pPr>
              <w:pStyle w:val="Compact"/>
              <w:jc w:val="left"/>
            </w:pPr>
            <w:r>
              <w:t xml:space="preserve">Verified fact</w:t>
            </w:r>
          </w:p>
        </w:tc>
        <w:tc>
          <w:tcPr/>
          <w:p>
            <w:pPr>
              <w:pStyle w:val="Compact"/>
              <w:jc w:val="left"/>
            </w:pPr>
            <w:r>
              <w:t xml:space="preserve">A2-S063, A2-S061</w:t>
            </w:r>
          </w:p>
        </w:tc>
      </w:tr>
      <w:tr>
        <w:tc>
          <w:tcPr/>
          <w:p>
            <w:pPr>
              <w:pStyle w:val="Compact"/>
              <w:jc w:val="left"/>
            </w:pPr>
            <w:r>
              <w:t xml:space="preserve">What it does</w:t>
            </w:r>
          </w:p>
        </w:tc>
        <w:tc>
          <w:tcPr/>
          <w:p>
            <w:pPr>
              <w:pStyle w:val="Compact"/>
              <w:jc w:val="left"/>
            </w:pPr>
            <w:r>
              <w:t xml:space="preserve">Adds vector data types (including sparsevec) and HNSW and IVFFlat approximate-nearest-neighbour indexes to PostgreSQL, so vectors live alongside relational data and SQL filters.</w:t>
            </w:r>
          </w:p>
        </w:tc>
        <w:tc>
          <w:tcPr/>
          <w:p>
            <w:pPr>
              <w:pStyle w:val="Compact"/>
              <w:jc w:val="left"/>
            </w:pPr>
            <w:r>
              <w:t xml:space="preserve">Verified fact</w:t>
            </w:r>
          </w:p>
        </w:tc>
        <w:tc>
          <w:tcPr/>
          <w:p>
            <w:pPr>
              <w:pStyle w:val="Compact"/>
              <w:jc w:val="left"/>
            </w:pPr>
            <w:r>
              <w:t xml:space="preserve">A2-S063, A2-S061</w:t>
            </w:r>
          </w:p>
        </w:tc>
      </w:tr>
      <w:tr>
        <w:tc>
          <w:tcPr/>
          <w:p>
            <w:pPr>
              <w:pStyle w:val="Compact"/>
              <w:jc w:val="left"/>
            </w:pPr>
            <w:r>
              <w:t xml:space="preserve">Stack position</w:t>
            </w:r>
          </w:p>
        </w:tc>
        <w:tc>
          <w:tcPr/>
          <w:p>
            <w:pPr>
              <w:pStyle w:val="Compact"/>
              <w:jc w:val="left"/>
            </w:pPr>
            <w:r>
              <w:t xml:space="preserve">L6 retrieval store inside the operational/analytical database tier; strong fit where transactional integration and SQL filtering matter.</w:t>
            </w:r>
          </w:p>
        </w:tc>
        <w:tc>
          <w:tcPr/>
          <w:p>
            <w:pPr>
              <w:pStyle w:val="Compact"/>
              <w:jc w:val="left"/>
            </w:pPr>
            <w:r>
              <w:t xml:space="preserve">Architectural judgement</w:t>
            </w:r>
          </w:p>
        </w:tc>
        <w:tc>
          <w:tcPr/>
          <w:p>
            <w:pPr>
              <w:pStyle w:val="Compact"/>
            </w:pPr>
          </w:p>
        </w:tc>
      </w:tr>
      <w:tr>
        <w:tc>
          <w:tcPr/>
          <w:p>
            <w:pPr>
              <w:pStyle w:val="Compact"/>
              <w:jc w:val="left"/>
            </w:pPr>
            <w:r>
              <w:t xml:space="preserve">Integration</w:t>
            </w:r>
          </w:p>
        </w:tc>
        <w:tc>
          <w:tcPr/>
          <w:p>
            <w:pPr>
              <w:pStyle w:val="Compact"/>
              <w:jc w:val="left"/>
            </w:pPr>
            <w:r>
              <w:t xml:space="preserve">SQL; client libraries such as pgvector-python</w:t>
            </w:r>
          </w:p>
        </w:tc>
        <w:tc>
          <w:tcPr/>
          <w:p>
            <w:pPr>
              <w:pStyle w:val="Compact"/>
              <w:jc w:val="left"/>
            </w:pPr>
            <w:r>
              <w:t xml:space="preserve">Verified fact</w:t>
            </w:r>
          </w:p>
        </w:tc>
        <w:tc>
          <w:tcPr/>
          <w:p>
            <w:pPr>
              <w:pStyle w:val="Compact"/>
              <w:jc w:val="left"/>
            </w:pPr>
            <w:r>
              <w:t xml:space="preserve">A2-S050</w:t>
            </w:r>
          </w:p>
        </w:tc>
      </w:tr>
      <w:tr>
        <w:tc>
          <w:tcPr/>
          <w:p>
            <w:pPr>
              <w:pStyle w:val="Compact"/>
              <w:jc w:val="left"/>
            </w:pPr>
            <w:r>
              <w:t xml:space="preserve">Dependencies</w:t>
            </w:r>
          </w:p>
        </w:tc>
        <w:tc>
          <w:tcPr/>
          <w:p>
            <w:pPr>
              <w:pStyle w:val="Compact"/>
              <w:jc w:val="left"/>
            </w:pPr>
            <w:r>
              <w:t xml:space="preserve">PostgreSQL server (Postgres 18 referenced in 2026 fixes)</w:t>
            </w:r>
          </w:p>
        </w:tc>
        <w:tc>
          <w:tcPr/>
          <w:p>
            <w:pPr>
              <w:pStyle w:val="Compact"/>
              <w:jc w:val="left"/>
            </w:pPr>
            <w:r>
              <w:t xml:space="preserve">Verified fact</w:t>
            </w:r>
          </w:p>
        </w:tc>
        <w:tc>
          <w:tcPr/>
          <w:p>
            <w:pPr>
              <w:pStyle w:val="Compact"/>
              <w:jc w:val="left"/>
            </w:pPr>
            <w:r>
              <w:t xml:space="preserve">A2-S063</w:t>
            </w:r>
          </w:p>
        </w:tc>
      </w:tr>
      <w:tr>
        <w:tc>
          <w:tcPr/>
          <w:p>
            <w:pPr>
              <w:pStyle w:val="Compact"/>
              <w:jc w:val="left"/>
            </w:pPr>
            <w:r>
              <w:t xml:space="preserve">Certifications</w:t>
            </w:r>
          </w:p>
        </w:tc>
        <w:tc>
          <w:tcPr/>
          <w:p>
            <w:pPr>
              <w:pStyle w:val="Compact"/>
              <w:jc w:val="left"/>
            </w:pPr>
            <w:r>
              <w:t xml:space="preserve">Depends on the hosting Postgres service; not applicable to the extension</w:t>
            </w:r>
          </w:p>
        </w:tc>
        <w:tc>
          <w:tcPr/>
          <w:p>
            <w:pPr>
              <w:pStyle w:val="Compact"/>
              <w:jc w:val="left"/>
            </w:pPr>
            <w:r>
              <w:t xml:space="preserve">Architectural judgement</w:t>
            </w:r>
          </w:p>
        </w:tc>
        <w:tc>
          <w:tcPr/>
          <w:p>
            <w:pPr>
              <w:pStyle w:val="Compact"/>
            </w:pPr>
          </w:p>
        </w:tc>
      </w:tr>
      <w:tr>
        <w:tc>
          <w:tcPr/>
          <w:p>
            <w:pPr>
              <w:pStyle w:val="Compact"/>
              <w:jc w:val="left"/>
            </w:pPr>
            <w:r>
              <w:t xml:space="preserve">GDPR / residency</w:t>
            </w:r>
          </w:p>
        </w:tc>
        <w:tc>
          <w:tcPr/>
          <w:p>
            <w:pPr>
              <w:pStyle w:val="Compact"/>
              <w:jc w:val="left"/>
            </w:pPr>
            <w:r>
              <w:t xml:space="preserve">Depends on hosting choice</w:t>
            </w:r>
          </w:p>
        </w:tc>
        <w:tc>
          <w:tcPr/>
          <w:p>
            <w:pPr>
              <w:pStyle w:val="Compact"/>
              <w:jc w:val="left"/>
            </w:pPr>
            <w:r>
              <w:t xml:space="preserve">Architectural judgement</w:t>
            </w:r>
          </w:p>
        </w:tc>
        <w:tc>
          <w:tcPr/>
          <w:p>
            <w:pPr>
              <w:pStyle w:val="Compact"/>
            </w:pPr>
          </w:p>
        </w:tc>
      </w:tr>
      <w:tr>
        <w:tc>
          <w:tcPr/>
          <w:p>
            <w:pPr>
              <w:pStyle w:val="Compact"/>
              <w:jc w:val="left"/>
            </w:pPr>
            <w:r>
              <w:t xml:space="preserve">Security features</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Access controls</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Enterprise support</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Pricing</w:t>
            </w:r>
          </w:p>
        </w:tc>
        <w:tc>
          <w:tcPr/>
          <w:p>
            <w:pPr>
              <w:pStyle w:val="Compact"/>
              <w:jc w:val="left"/>
            </w:pPr>
            <w:r>
              <w:t xml:space="preserve">Free, open source</w:t>
            </w:r>
          </w:p>
        </w:tc>
        <w:tc>
          <w:tcPr/>
          <w:p>
            <w:pPr>
              <w:pStyle w:val="Compact"/>
              <w:jc w:val="left"/>
            </w:pPr>
            <w:r>
              <w:t xml:space="preserve">Verified fact</w:t>
            </w:r>
          </w:p>
        </w:tc>
        <w:tc>
          <w:tcPr/>
          <w:p>
            <w:pPr>
              <w:pStyle w:val="Compact"/>
              <w:jc w:val="left"/>
            </w:pPr>
            <w:r>
              <w:t xml:space="preserve">A2-S050, A2-S061</w:t>
            </w:r>
          </w:p>
        </w:tc>
      </w:tr>
      <w:tr>
        <w:tc>
          <w:tcPr/>
          <w:p>
            <w:pPr>
              <w:pStyle w:val="Compact"/>
              <w:jc w:val="left"/>
            </w:pPr>
            <w:r>
              <w:t xml:space="preserve">Infrastructure cost</w:t>
            </w:r>
          </w:p>
        </w:tc>
        <w:tc>
          <w:tcPr/>
          <w:p>
            <w:pPr>
              <w:pStyle w:val="Compact"/>
              <w:jc w:val="left"/>
            </w:pPr>
            <w:r>
              <w:t xml:space="preserve">Cost is Postgres compute/RAM (HNSW indexes are memory-hungry) and storage; no separate vector service</w:t>
            </w:r>
          </w:p>
        </w:tc>
        <w:tc>
          <w:tcPr/>
          <w:p>
            <w:pPr>
              <w:pStyle w:val="Compact"/>
              <w:jc w:val="left"/>
            </w:pPr>
            <w:r>
              <w:t xml:space="preserve">Architectural judgement</w:t>
            </w:r>
          </w:p>
        </w:tc>
        <w:tc>
          <w:tcPr/>
          <w:p>
            <w:pPr>
              <w:pStyle w:val="Compact"/>
            </w:pPr>
          </w:p>
        </w:tc>
      </w:tr>
      <w:tr>
        <w:tc>
          <w:tcPr/>
          <w:p>
            <w:pPr>
              <w:pStyle w:val="Compact"/>
              <w:jc w:val="left"/>
            </w:pPr>
            <w:r>
              <w:t xml:space="preserve">Ecosystem</w:t>
            </w:r>
          </w:p>
        </w:tc>
        <w:tc>
          <w:tcPr/>
          <w:p>
            <w:pPr>
              <w:pStyle w:val="Compact"/>
              <w:jc w:val="left"/>
            </w:pPr>
            <w:r>
              <w:t xml:space="preserve">Extensions: pgvectorscale (Tiger Data; up to 16,000 dims) and VectorChord (successor to pgvecto.rs)</w:t>
            </w:r>
          </w:p>
        </w:tc>
        <w:tc>
          <w:tcPr/>
          <w:p>
            <w:pPr>
              <w:pStyle w:val="Compact"/>
              <w:jc w:val="left"/>
            </w:pPr>
            <w:r>
              <w:t xml:space="preserve">Verified fact</w:t>
            </w:r>
          </w:p>
        </w:tc>
        <w:tc>
          <w:tcPr/>
          <w:p>
            <w:pPr>
              <w:pStyle w:val="Compact"/>
              <w:jc w:val="left"/>
            </w:pPr>
            <w:r>
              <w:t xml:space="preserve">A2-S064, A2-S066</w:t>
            </w:r>
          </w:p>
        </w:tc>
      </w:tr>
      <w:tr>
        <w:tc>
          <w:tcPr/>
          <w:p>
            <w:pPr>
              <w:pStyle w:val="Compact"/>
              <w:jc w:val="left"/>
            </w:pPr>
            <w:r>
              <w:t xml:space="preserve">Adoption signals</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Maturity</w:t>
            </w:r>
          </w:p>
        </w:tc>
        <w:tc>
          <w:tcPr/>
          <w:p>
            <w:pPr>
              <w:pStyle w:val="Compact"/>
              <w:jc w:val="left"/>
            </w:pPr>
            <w:r>
              <w:t xml:space="preserve">Active 0.8.x maintenance with five 2026 releases</w:t>
            </w:r>
          </w:p>
        </w:tc>
        <w:tc>
          <w:tcPr/>
          <w:p>
            <w:pPr>
              <w:pStyle w:val="Compact"/>
              <w:jc w:val="left"/>
            </w:pPr>
            <w:r>
              <w:t xml:space="preserve">Verified fact</w:t>
            </w:r>
          </w:p>
        </w:tc>
        <w:tc>
          <w:tcPr/>
          <w:p>
            <w:pPr>
              <w:pStyle w:val="Compact"/>
              <w:jc w:val="left"/>
            </w:pPr>
            <w:r>
              <w:t xml:space="preserve">A2-S061, A2-S062, A2-S063</w:t>
            </w:r>
          </w:p>
        </w:tc>
      </w:tr>
      <w:tr>
        <w:tc>
          <w:tcPr/>
          <w:p>
            <w:pPr>
              <w:pStyle w:val="Compact"/>
              <w:jc w:val="left"/>
            </w:pPr>
            <w:r>
              <w:t xml:space="preserve">Deployment</w:t>
            </w:r>
          </w:p>
        </w:tc>
        <w:tc>
          <w:tcPr/>
          <w:p>
            <w:pPr>
              <w:pStyle w:val="Compact"/>
              <w:jc w:val="left"/>
            </w:pPr>
            <w:r>
              <w:t xml:space="preserve">saas: Not publicly verified; managed_cloud: Not publicly verified; vpc_byoc: Not publicly verified; private_cloud: Not publicly verified; self_hosted: Yes; on_prem: Yes</w:t>
            </w:r>
          </w:p>
        </w:tc>
        <w:tc>
          <w:tcPr/>
          <w:p>
            <w:pPr>
              <w:pStyle w:val="Compact"/>
            </w:pPr>
          </w:p>
        </w:tc>
        <w:tc>
          <w:tcPr/>
          <w:p>
            <w:pPr>
              <w:pStyle w:val="Compact"/>
            </w:pPr>
          </w:p>
        </w:tc>
      </w:tr>
    </w:tbl>
    <w:bookmarkEnd w:id="568"/>
    <w:bookmarkStart w:id="588" w:name="X6235ec00f4d4fed1af9fb1afeb6841298d5fcb0"/>
    <w:p>
      <w:pPr>
        <w:pStyle w:val="Heading2"/>
      </w:pPr>
      <w:r>
        <w:t xml:space="preserve">Qdrant (open-source vector search engine; Qdrant Cloud, Hybrid Cloud, Private Cloud) (</w:t>
      </w:r>
      <w:r>
        <w:rPr>
          <w:rStyle w:val="VerbatimChar"/>
        </w:rPr>
        <w:t xml:space="preserve">L6-qdrant</w:t>
      </w:r>
      <w:r>
        <w:t xml:space="preserve">)</w:t>
      </w:r>
    </w:p>
    <w:p>
      <w:pPr>
        <w:pStyle w:val="FirstParagraph"/>
      </w:pPr>
      <w:r>
        <w:rPr>
          <w:bCs/>
          <w:b/>
        </w:rPr>
        <w:t xml:space="preserve">Tier:</w:t>
      </w:r>
      <w:r>
        <w:t xml:space="preserve"> </w:t>
      </w:r>
      <w:r>
        <w:t xml:space="preserve">Strategic ·</w:t>
      </w:r>
      <w:r>
        <w:t xml:space="preserve"> </w:t>
      </w:r>
      <w:r>
        <w:rPr>
          <w:bCs/>
          <w:b/>
        </w:rPr>
        <w:t xml:space="preserve">Flags:</w:t>
      </w:r>
      <w:r>
        <w:t xml:space="preserve"> </w:t>
      </w:r>
      <w:r>
        <w:t xml:space="preserve">none ·</w:t>
      </w:r>
      <w:r>
        <w:t xml:space="preserve"> </w:t>
      </w:r>
      <w:r>
        <w:rPr>
          <w:bCs/>
          <w:b/>
        </w:rPr>
        <w:t xml:space="preserve">Original graphic label:</w:t>
      </w:r>
      <w:r>
        <w:t xml:space="preserve"> </w:t>
      </w:r>
      <w:r>
        <w:t xml:space="preserve">Qdrant – open source</w:t>
      </w:r>
    </w:p>
    <w:p>
      <w:pPr>
        <w:pStyle w:val="BodyText"/>
      </w:pPr>
      <w:r>
        <w:rPr>
          <w:iCs/>
          <w:i/>
        </w:rPr>
        <w:t xml:space="preserve">Rationale:</w:t>
      </w:r>
      <w:r>
        <w:t xml:space="preserve"> </w:t>
      </w:r>
      <w:r>
        <w:t xml:space="preserve">Permissive licence, filter-aware multi-tenant engine and air-gap-capable deployment make it the default dedicated engine when a trigger is met</w:t>
      </w:r>
      <w:r>
        <w:t xml:space="preserve"> </w:t>
      </w:r>
      <w:r>
        <w:rPr>
          <w:rStyle w:val="ClaimLabel"/>
        </w:rPr>
        <w:t xml:space="preserve">AJ</w:t>
      </w:r>
      <w:r>
        <w:t xml:space="preserve">.</w:t>
      </w:r>
    </w:p>
    <w:tbl>
      <w:tblPr>
        <w:tblStyle w:val="Table"/>
        <w:tblW w:type="pct" w:w="5000"/>
        <w:tblLook w:firstRow="1" w:lastRow="0" w:firstColumn="0" w:lastColumn="0" w:noHBand="0" w:noVBand="0" w:val="0020"/>
        <w:jc w:val="start"/>
      </w:tblPr>
      <w:tblGrid>
        <w:gridCol w:w="1545"/>
        <w:gridCol w:w="579"/>
        <w:gridCol w:w="5795"/>
      </w:tblGrid>
      <w:tr>
        <w:trPr>
          <w:tblHeader w:val="true"/>
        </w:trPr>
        <w:tc>
          <w:tcPr/>
          <w:p>
            <w:pPr>
              <w:pStyle w:val="Compact"/>
              <w:jc w:val="left"/>
            </w:pPr>
            <w:r>
              <w:t xml:space="preserve">Criterion</w:t>
            </w:r>
          </w:p>
        </w:tc>
        <w:tc>
          <w:tcPr/>
          <w:p>
            <w:pPr>
              <w:pStyle w:val="Compact"/>
              <w:jc w:val="right"/>
            </w:pPr>
            <w:r>
              <w:t xml:space="preserve">Score</w:t>
            </w:r>
          </w:p>
        </w:tc>
        <w:tc>
          <w:tcPr/>
          <w:p>
            <w:pPr>
              <w:pStyle w:val="Compact"/>
              <w:jc w:val="left"/>
            </w:pPr>
            <w:r>
              <w:t xml:space="preserve">Rationale</w:t>
            </w:r>
          </w:p>
        </w:tc>
      </w:tr>
      <w:tr>
        <w:tc>
          <w:tcPr/>
          <w:p>
            <w:pPr>
              <w:pStyle w:val="Compact"/>
              <w:jc w:val="left"/>
            </w:pPr>
            <w:r>
              <w:t xml:space="preserve">Technical</w:t>
            </w:r>
          </w:p>
        </w:tc>
        <w:tc>
          <w:tcPr/>
          <w:p>
            <w:pPr>
              <w:pStyle w:val="Compact"/>
              <w:jc w:val="right"/>
            </w:pPr>
            <w:r>
              <w:t xml:space="preserve">4</w:t>
            </w:r>
          </w:p>
        </w:tc>
        <w:tc>
          <w:tcPr/>
          <w:p>
            <w:pPr>
              <w:pStyle w:val="Compact"/>
              <w:jc w:val="left"/>
            </w:pPr>
            <w:r>
              <w:t xml:space="preserve">Dense/sparse, ACORN filtering, RRF, multitenancy, quantisation; BM25 not evidenced</w:t>
            </w:r>
          </w:p>
        </w:tc>
      </w:tr>
      <w:tr>
        <w:tc>
          <w:tcPr/>
          <w:p>
            <w:pPr>
              <w:pStyle w:val="Compact"/>
              <w:jc w:val="left"/>
            </w:pPr>
            <w:r>
              <w:t xml:space="preserve">Enterprise readiness</w:t>
            </w:r>
          </w:p>
        </w:tc>
        <w:tc>
          <w:tcPr/>
          <w:p>
            <w:pPr>
              <w:pStyle w:val="Compact"/>
              <w:jc w:val="right"/>
            </w:pPr>
            <w:r>
              <w:t xml:space="preserve">4</w:t>
            </w:r>
          </w:p>
        </w:tc>
        <w:tc>
          <w:tcPr/>
          <w:p>
            <w:pPr>
              <w:pStyle w:val="Compact"/>
              <w:jc w:val="left"/>
            </w:pPr>
            <w:r>
              <w:t xml:space="preserve">Cloud RBAC with custom roles, SSO (Premium add-on) and audit access logging (B-L6-S007), plus the Cloud Management API and a 99.9% (99.95% multi-AZ) SLA on Premium (B-REVA-S002): rule 7 allows 4; SCIM not verified</w:t>
            </w:r>
          </w:p>
        </w:tc>
      </w:tr>
      <w:tr>
        <w:tc>
          <w:tcPr/>
          <w:p>
            <w:pPr>
              <w:pStyle w:val="Compact"/>
              <w:jc w:val="left"/>
            </w:pPr>
            <w:r>
              <w:t xml:space="preserve">Security and compliance</w:t>
            </w:r>
          </w:p>
        </w:tc>
        <w:tc>
          <w:tcPr/>
          <w:p>
            <w:pPr>
              <w:pStyle w:val="Compact"/>
              <w:jc w:val="right"/>
            </w:pPr>
            <w:r>
              <w:t xml:space="preserve">3</w:t>
            </w:r>
          </w:p>
        </w:tc>
        <w:tc>
          <w:tcPr/>
          <w:p>
            <w:pPr>
              <w:pStyle w:val="Compact"/>
              <w:jc w:val="left"/>
            </w:pPr>
            <w:r>
              <w:t xml:space="preserve">SOC 2 Type II and HIPAA but no ISO 27001: maximum 3 in this layer</w:t>
            </w:r>
          </w:p>
        </w:tc>
      </w:tr>
      <w:tr>
        <w:tc>
          <w:tcPr/>
          <w:p>
            <w:pPr>
              <w:pStyle w:val="Compact"/>
              <w:jc w:val="left"/>
            </w:pPr>
            <w:r>
              <w:t xml:space="preserve">Deployment flexibility</w:t>
            </w:r>
          </w:p>
        </w:tc>
        <w:tc>
          <w:tcPr/>
          <w:p>
            <w:pPr>
              <w:pStyle w:val="Compact"/>
              <w:jc w:val="right"/>
            </w:pPr>
            <w:r>
              <w:t xml:space="preserve">5</w:t>
            </w:r>
          </w:p>
        </w:tc>
        <w:tc>
          <w:tcPr/>
          <w:p>
            <w:pPr>
              <w:pStyle w:val="Compact"/>
              <w:jc w:val="left"/>
            </w:pPr>
            <w:r>
              <w:t xml:space="preserve">SaaS, hybrid, private incl. air-gap, self-host</w:t>
            </w:r>
          </w:p>
        </w:tc>
      </w:tr>
      <w:tr>
        <w:tc>
          <w:tcPr/>
          <w:p>
            <w:pPr>
              <w:pStyle w:val="Compact"/>
              <w:jc w:val="left"/>
            </w:pPr>
            <w:r>
              <w:t xml:space="preserve">Ecosystem</w:t>
            </w:r>
          </w:p>
        </w:tc>
        <w:tc>
          <w:tcPr/>
          <w:p>
            <w:pPr>
              <w:pStyle w:val="Compact"/>
              <w:jc w:val="right"/>
            </w:pPr>
            <w:r>
              <w:t xml:space="preserve">4</w:t>
            </w:r>
          </w:p>
        </w:tc>
        <w:tc>
          <w:tcPr/>
          <w:p>
            <w:pPr>
              <w:pStyle w:val="Compact"/>
              <w:jc w:val="left"/>
            </w:pPr>
            <w:r>
              <w:t xml:space="preserve">REST/gRPC with OpenAPI, FastEmbed, three clouds</w:t>
            </w:r>
          </w:p>
        </w:tc>
      </w:tr>
      <w:tr>
        <w:tc>
          <w:tcPr/>
          <w:p>
            <w:pPr>
              <w:pStyle w:val="Compact"/>
              <w:jc w:val="left"/>
            </w:pPr>
            <w:r>
              <w:t xml:space="preserve">Reliability and maturity</w:t>
            </w:r>
          </w:p>
        </w:tc>
        <w:tc>
          <w:tcPr/>
          <w:p>
            <w:pPr>
              <w:pStyle w:val="Compact"/>
              <w:jc w:val="right"/>
            </w:pPr>
            <w:r>
              <w:t xml:space="preserve">3</w:t>
            </w:r>
          </w:p>
        </w:tc>
        <w:tc>
          <w:tcPr/>
          <w:p>
            <w:pPr>
              <w:pStyle w:val="Compact"/>
              <w:jc w:val="left"/>
            </w:pPr>
            <w:r>
              <w:t xml:space="preserve">Frequent releases but breaking storage migration at 1.16; vendor-governed</w:t>
            </w:r>
          </w:p>
        </w:tc>
      </w:tr>
      <w:tr>
        <w:tc>
          <w:tcPr/>
          <w:p>
            <w:pPr>
              <w:pStyle w:val="Compact"/>
              <w:jc w:val="left"/>
            </w:pPr>
            <w:r>
              <w:t xml:space="preserve">Cost / TCO</w:t>
            </w:r>
          </w:p>
        </w:tc>
        <w:tc>
          <w:tcPr/>
          <w:p>
            <w:pPr>
              <w:pStyle w:val="Compact"/>
              <w:jc w:val="right"/>
            </w:pPr>
            <w:r>
              <w:t xml:space="preserve">4</w:t>
            </w:r>
          </w:p>
        </w:tc>
        <w:tc>
          <w:tcPr/>
          <w:p>
            <w:pPr>
              <w:pStyle w:val="Compact"/>
              <w:jc w:val="left"/>
            </w:pPr>
            <w:r>
              <w:t xml:space="preserve">Free OSS; managed from US$25 (as captured)</w:t>
            </w:r>
          </w:p>
        </w:tc>
      </w:tr>
      <w:tr>
        <w:tc>
          <w:tcPr/>
          <w:p>
            <w:pPr>
              <w:pStyle w:val="Compact"/>
              <w:jc w:val="left"/>
            </w:pPr>
            <w:r>
              <w:t xml:space="preserve">Lock-in / portability</w:t>
            </w:r>
          </w:p>
        </w:tc>
        <w:tc>
          <w:tcPr/>
          <w:p>
            <w:pPr>
              <w:pStyle w:val="Compact"/>
              <w:jc w:val="right"/>
            </w:pPr>
            <w:r>
              <w:t xml:space="preserve">4</w:t>
            </w:r>
          </w:p>
        </w:tc>
        <w:tc>
          <w:tcPr/>
          <w:p>
            <w:pPr>
              <w:pStyle w:val="Compact"/>
              <w:jc w:val="left"/>
            </w:pPr>
            <w:r>
              <w:t xml:space="preserve">Apache-2.0 and self-hostable; single-vendor governance</w:t>
            </w:r>
          </w:p>
        </w:tc>
      </w:tr>
      <w:tr>
        <w:tc>
          <w:tcPr/>
          <w:p>
            <w:pPr>
              <w:pStyle w:val="Compact"/>
              <w:jc w:val="left"/>
            </w:pPr>
            <w:r>
              <w:rPr>
                <w:bCs/>
                <w:b/>
              </w:rPr>
              <w:t xml:space="preserve">Total (generic / FS)</w:t>
            </w:r>
          </w:p>
        </w:tc>
        <w:tc>
          <w:tcPr/>
          <w:p>
            <w:pPr>
              <w:pStyle w:val="Compact"/>
              <w:jc w:val="right"/>
            </w:pPr>
            <w:r>
              <w:rPr>
                <w:bCs/>
                <w:b/>
              </w:rPr>
              <w:t xml:space="preserve">3.90 / 3.85</w:t>
            </w:r>
          </w:p>
        </w:tc>
        <w:tc>
          <w:tcPr/>
          <w:p>
            <w:pPr>
              <w:pStyle w:val="Compact"/>
            </w:pPr>
          </w:p>
        </w:tc>
      </w:tr>
    </w:tbl>
    <w:p>
      <w:pPr>
        <w:pStyle w:val="BodyText"/>
      </w:pPr>
      <w:r>
        <w:rPr>
          <w:bCs/>
          <w:b/>
        </w:rPr>
        <w:t xml:space="preserve">Capabilities.</w:t>
      </w:r>
      <w:r>
        <w:t xml:space="preserve"> </w:t>
      </w:r>
      <w:r>
        <w:t xml:space="preserve">Apache-2.0 Rust vector search engine with dense and sparse vectors, payload filtering (ACORN), weighted RRF fusion, tiered multitenancy, quantisation and audit access logging; server 1.19.2 (5 October 2026)</w:t>
      </w:r>
      <w:r>
        <w:t xml:space="preserve"> </w:t>
      </w:r>
      <w:r>
        <w:rPr>
          <w:rStyle w:val="ClaimLabel"/>
        </w:rPr>
        <w:t xml:space="preserve">VF</w:t>
      </w:r>
      <w:r>
        <w:rPr>
          <w:rStyle w:val="FootnoteReference"/>
        </w:rPr>
        <w:footnoteReference w:id="569"/>
      </w:r>
      <w:r>
        <w:t xml:space="preserve">.</w:t>
      </w:r>
    </w:p>
    <w:p>
      <w:pPr>
        <w:pStyle w:val="BodyText"/>
      </w:pPr>
      <w:r>
        <w:rPr>
          <w:bCs/>
          <w:b/>
        </w:rPr>
        <w:t xml:space="preserve">Strengths</w:t>
      </w:r>
    </w:p>
    <w:p>
      <w:pPr>
        <w:numPr>
          <w:ilvl w:val="0"/>
          <w:numId w:val="1133"/>
        </w:numPr>
        <w:pStyle w:val="Compact"/>
      </w:pPr>
      <w:r>
        <w:t xml:space="preserve">Filter-aware search and tiered multitenancy suit entitlement-heavy, many-tenant retrieval</w:t>
      </w:r>
      <w:r>
        <w:t xml:space="preserve"> </w:t>
      </w:r>
      <w:r>
        <w:rPr>
          <w:rStyle w:val="ClaimLabel"/>
        </w:rPr>
        <w:t xml:space="preserve">VF</w:t>
      </w:r>
      <w:r>
        <w:rPr>
          <w:rStyle w:val="FootnoteReference"/>
        </w:rPr>
        <w:footnoteReference w:id="573"/>
      </w:r>
      <w:r>
        <w:t xml:space="preserve"> </w:t>
      </w:r>
      <w:r>
        <w:rPr>
          <w:rStyle w:val="ClaimLabel"/>
        </w:rPr>
        <w:t xml:space="preserve">AJ</w:t>
      </w:r>
    </w:p>
    <w:p>
      <w:pPr>
        <w:numPr>
          <w:ilvl w:val="0"/>
          <w:numId w:val="1133"/>
        </w:numPr>
        <w:pStyle w:val="Compact"/>
      </w:pPr>
      <w:r>
        <w:t xml:space="preserve">Managed, Hybrid (customer network) and Private Cloud incl. air-gapped, plus self-host</w:t>
      </w:r>
      <w:r>
        <w:t xml:space="preserve"> </w:t>
      </w:r>
      <w:r>
        <w:rPr>
          <w:rStyle w:val="ClaimLabel"/>
        </w:rPr>
        <w:t xml:space="preserve">VF</w:t>
      </w:r>
      <w:r>
        <w:rPr>
          <w:rStyle w:val="FootnoteReference"/>
        </w:rPr>
        <w:footnoteReference w:id="574"/>
      </w:r>
    </w:p>
    <w:p>
      <w:pPr>
        <w:numPr>
          <w:ilvl w:val="0"/>
          <w:numId w:val="1133"/>
        </w:numPr>
        <w:pStyle w:val="Compact"/>
      </w:pPr>
      <w:r>
        <w:t xml:space="preserve">Cloud RBAC with custom roles, SSO add-on, collection-scoped JWT keys</w:t>
      </w:r>
      <w:r>
        <w:t xml:space="preserve"> </w:t>
      </w:r>
      <w:r>
        <w:rPr>
          <w:rStyle w:val="ClaimLabel"/>
        </w:rPr>
        <w:t xml:space="preserve">VF</w:t>
      </w:r>
      <w:r>
        <w:rPr>
          <w:rStyle w:val="FootnoteReference"/>
        </w:rPr>
        <w:footnoteReference w:id="576"/>
      </w:r>
    </w:p>
    <w:p>
      <w:pPr>
        <w:numPr>
          <w:ilvl w:val="0"/>
          <w:numId w:val="1133"/>
        </w:numPr>
        <w:pStyle w:val="Compact"/>
      </w:pPr>
      <w:r>
        <w:t xml:space="preserve">Apache-2.0; US$50M Series B March 2026</w:t>
      </w:r>
      <w:r>
        <w:t xml:space="preserve"> </w:t>
      </w:r>
      <w:r>
        <w:rPr>
          <w:rStyle w:val="ClaimLabel"/>
        </w:rPr>
        <w:t xml:space="preserve">VF</w:t>
      </w:r>
      <w:r>
        <w:rPr>
          <w:rStyle w:val="FootnoteReference"/>
        </w:rPr>
        <w:footnoteReference w:id="578"/>
      </w:r>
    </w:p>
    <w:p>
      <w:pPr>
        <w:numPr>
          <w:ilvl w:val="0"/>
          <w:numId w:val="1133"/>
        </w:numPr>
        <w:pStyle w:val="Compact"/>
      </w:pPr>
      <w:r>
        <w:t xml:space="preserve">Cloud Management API with management keys; 99.9% uptime SLA on Premium (99.95% multi-AZ)</w:t>
      </w:r>
      <w:r>
        <w:t xml:space="preserve"> </w:t>
      </w:r>
      <w:r>
        <w:rPr>
          <w:rStyle w:val="ClaimLabel"/>
        </w:rPr>
        <w:t xml:space="preserve">VF</w:t>
      </w:r>
      <w:r>
        <w:rPr>
          <w:rStyle w:val="FootnoteReference"/>
        </w:rPr>
        <w:footnoteReference w:id="580"/>
      </w:r>
    </w:p>
    <w:p>
      <w:pPr>
        <w:pStyle w:val="FirstParagraph"/>
      </w:pPr>
      <w:r>
        <w:rPr>
          <w:bCs/>
          <w:b/>
        </w:rPr>
        <w:t xml:space="preserve">Limitations and risks</w:t>
      </w:r>
    </w:p>
    <w:p>
      <w:pPr>
        <w:numPr>
          <w:ilvl w:val="0"/>
          <w:numId w:val="1134"/>
        </w:numPr>
        <w:pStyle w:val="Compact"/>
      </w:pPr>
      <w:r>
        <w:t xml:space="preserve">No ISO 27001 found; HIPAA BAA documented for Managed Cloud only</w:t>
      </w:r>
      <w:r>
        <w:t xml:space="preserve"> </w:t>
      </w:r>
      <w:r>
        <w:rPr>
          <w:rStyle w:val="ClaimLabel"/>
        </w:rPr>
        <w:t xml:space="preserve">VF</w:t>
      </w:r>
      <w:r>
        <w:rPr>
          <w:rStyle w:val="FootnoteReference"/>
        </w:rPr>
        <w:footnoteReference w:id="582"/>
      </w:r>
    </w:p>
    <w:p>
      <w:pPr>
        <w:numPr>
          <w:ilvl w:val="0"/>
          <w:numId w:val="1134"/>
        </w:numPr>
        <w:pStyle w:val="Compact"/>
      </w:pPr>
      <w:r>
        <w:t xml:space="preserve">Upgrade cannot skip 1.16 (storage migration)</w:t>
      </w:r>
      <w:r>
        <w:t xml:space="preserve"> </w:t>
      </w:r>
      <w:r>
        <w:rPr>
          <w:rStyle w:val="ClaimLabel"/>
        </w:rPr>
        <w:t xml:space="preserve">VF</w:t>
      </w:r>
      <w:r>
        <w:rPr>
          <w:rStyle w:val="FootnoteReference"/>
        </w:rPr>
        <w:footnoteReference w:id="584"/>
      </w:r>
    </w:p>
    <w:p>
      <w:pPr>
        <w:numPr>
          <w:ilvl w:val="0"/>
          <w:numId w:val="1134"/>
        </w:numPr>
        <w:pStyle w:val="Compact"/>
      </w:pPr>
      <w:r>
        <w:t xml:space="preserve">SSO is a Premium add-on</w:t>
      </w:r>
      <w:r>
        <w:t xml:space="preserve"> </w:t>
      </w:r>
      <w:r>
        <w:rPr>
          <w:rStyle w:val="ClaimLabel"/>
        </w:rPr>
        <w:t xml:space="preserve">VF</w:t>
      </w:r>
      <w:r>
        <w:rPr>
          <w:rStyle w:val="FootnoteReference"/>
        </w:rPr>
        <w:footnoteReference w:id="585"/>
      </w:r>
    </w:p>
    <w:p>
      <w:pPr>
        <w:numPr>
          <w:ilvl w:val="0"/>
          <w:numId w:val="1134"/>
        </w:numPr>
        <w:pStyle w:val="Compact"/>
      </w:pPr>
      <w:r>
        <w:t xml:space="preserve">Managed pricing evidence thin and possibly stale</w:t>
      </w:r>
      <w:r>
        <w:t xml:space="preserve"> </w:t>
      </w:r>
      <w:r>
        <w:rPr>
          <w:rStyle w:val="ClaimLabel"/>
        </w:rPr>
        <w:t xml:space="preserve">VF</w:t>
      </w:r>
      <w:r>
        <w:rPr>
          <w:rStyle w:val="FootnoteReference"/>
        </w:rPr>
        <w:footnoteReference w:id="586"/>
      </w:r>
    </w:p>
    <w:p>
      <w:pPr>
        <w:numPr>
          <w:ilvl w:val="0"/>
          <w:numId w:val="1134"/>
        </w:numPr>
        <w:pStyle w:val="Compact"/>
      </w:pPr>
      <w:r>
        <w:t xml:space="preserve">Management and database keys are not revoked when the creating user leaves; offboarding must revoke them</w:t>
      </w:r>
      <w:r>
        <w:t xml:space="preserve"> </w:t>
      </w:r>
      <w:r>
        <w:rPr>
          <w:rStyle w:val="ClaimLabel"/>
        </w:rPr>
        <w:t xml:space="preserve">VF</w:t>
      </w:r>
      <w:r>
        <w:rPr>
          <w:rStyle w:val="FootnoteReference"/>
        </w:rPr>
        <w:footnoteReference w:id="587"/>
      </w:r>
    </w:p>
    <w:p>
      <w:pPr>
        <w:pStyle w:val="FirstParagraph"/>
      </w:pPr>
      <w:r>
        <w:rPr>
          <w:bCs/>
          <w:b/>
        </w:rPr>
        <w:t xml:space="preserve">Choose when</w:t>
      </w:r>
    </w:p>
    <w:p>
      <w:pPr>
        <w:numPr>
          <w:ilvl w:val="0"/>
          <w:numId w:val="1135"/>
        </w:numPr>
        <w:pStyle w:val="Compact"/>
      </w:pPr>
      <w:r>
        <w:t xml:space="preserve">A dedicated engine is needed in your own estate or cloud account, with strong filtering and tenant isolation</w:t>
      </w:r>
      <w:r>
        <w:t xml:space="preserve"> </w:t>
      </w:r>
      <w:r>
        <w:rPr>
          <w:rStyle w:val="ClaimLabel"/>
        </w:rPr>
        <w:t xml:space="preserve">AJ</w:t>
      </w:r>
    </w:p>
    <w:p>
      <w:pPr>
        <w:pStyle w:val="FirstParagraph"/>
      </w:pPr>
      <w:r>
        <w:rPr>
          <w:bCs/>
          <w:b/>
        </w:rPr>
        <w:t xml:space="preserve">Avoid when</w:t>
      </w:r>
    </w:p>
    <w:p>
      <w:pPr>
        <w:numPr>
          <w:ilvl w:val="0"/>
          <w:numId w:val="1136"/>
        </w:numPr>
        <w:pStyle w:val="Compact"/>
      </w:pPr>
      <w:r>
        <w:t xml:space="preserve">ISO 27001 is a hard gate for a vendor-operated service</w:t>
      </w:r>
      <w:r>
        <w:t xml:space="preserve"> </w:t>
      </w:r>
      <w:r>
        <w:rPr>
          <w:rStyle w:val="ClaimLabel"/>
        </w:rPr>
        <w:t xml:space="preserve">AJ</w:t>
      </w:r>
    </w:p>
    <w:p>
      <w:pPr>
        <w:pStyle w:val="FirstParagraph"/>
      </w:pPr>
      <w:r>
        <w:rPr>
          <w:bCs/>
          <w:b/>
        </w:rPr>
        <w:t xml:space="preserve">Nearest competitors:</w:t>
      </w:r>
      <w:r>
        <w:t xml:space="preserve"> </w:t>
      </w:r>
      <w:r>
        <w:t xml:space="preserve">L6-milvus-zilliz, L6-weaviate, L6-pinecone</w:t>
      </w:r>
    </w:p>
    <w:p>
      <w:pPr>
        <w:pStyle w:val="BodyText"/>
      </w:pPr>
      <w:r>
        <w:rPr>
          <w:bCs/>
          <w:b/>
        </w:rPr>
        <w:t xml:space="preserve">Regulated-FS note.</w:t>
      </w:r>
      <w:r>
        <w:t xml:space="preserve"> </w:t>
      </w:r>
      <w:r>
        <w:t xml:space="preserve">Self-host or Hybrid Cloud for client data; collection-scoped keys per service; enable audit access logging</w:t>
      </w:r>
      <w:r>
        <w:t xml:space="preserve"> </w:t>
      </w:r>
      <w:r>
        <w:rPr>
          <w:rStyle w:val="ClaimLabel"/>
        </w:rPr>
        <w:t xml:space="preserve">Rec</w:t>
      </w:r>
      <w:r>
        <w:t xml:space="preserve">.</w:t>
      </w:r>
    </w:p>
    <w:p>
      <w:pPr>
        <w:pStyle w:val="BodyText"/>
      </w:pPr>
      <w:r>
        <w:rPr>
          <w:bCs/>
          <w:b/>
        </w:rPr>
        <w:t xml:space="preserve">Facts (as of 2026-10-08)</w:t>
      </w:r>
    </w:p>
    <w:tbl>
      <w:tblPr>
        <w:tblStyle w:val="Table"/>
        <w:tblW w:type="pct" w:w="5000"/>
        <w:tblLook w:firstRow="1" w:lastRow="0" w:firstColumn="0" w:lastColumn="0" w:noHBand="0" w:noVBand="0" w:val="0020"/>
        <w:jc w:val="start"/>
      </w:tblPr>
      <w:tblGrid>
        <w:gridCol w:w="1485"/>
        <w:gridCol w:w="4290"/>
        <w:gridCol w:w="1320"/>
        <w:gridCol w:w="825"/>
      </w:tblGrid>
      <w:tr>
        <w:trPr>
          <w:tblHeader w:val="true"/>
        </w:trPr>
        <w:tc>
          <w:tcPr/>
          <w:p>
            <w:pPr>
              <w:pStyle w:val="Compact"/>
              <w:jc w:val="left"/>
            </w:pPr>
            <w:r>
              <w:t xml:space="preserve">Field</w:t>
            </w:r>
          </w:p>
        </w:tc>
        <w:tc>
          <w:tcPr/>
          <w:p>
            <w:pPr>
              <w:pStyle w:val="Compact"/>
              <w:jc w:val="left"/>
            </w:pPr>
            <w:r>
              <w:t xml:space="preserve">Value</w:t>
            </w:r>
          </w:p>
        </w:tc>
        <w:tc>
          <w:tcPr/>
          <w:p>
            <w:pPr>
              <w:pStyle w:val="Compact"/>
              <w:jc w:val="left"/>
            </w:pPr>
            <w:r>
              <w:t xml:space="preserve">Label</w:t>
            </w:r>
          </w:p>
        </w:tc>
        <w:tc>
          <w:tcPr/>
          <w:p>
            <w:pPr>
              <w:pStyle w:val="Compact"/>
              <w:jc w:val="left"/>
            </w:pPr>
            <w:r>
              <w:t xml:space="preserve">Sources</w:t>
            </w:r>
          </w:p>
        </w:tc>
      </w:tr>
      <w:tr>
        <w:tc>
          <w:tcPr/>
          <w:p>
            <w:pPr>
              <w:pStyle w:val="Compact"/>
              <w:jc w:val="left"/>
            </w:pPr>
            <w:r>
              <w:t xml:space="preserve">Company</w:t>
            </w:r>
          </w:p>
        </w:tc>
        <w:tc>
          <w:tcPr/>
          <w:p>
            <w:pPr>
              <w:pStyle w:val="Compact"/>
              <w:jc w:val="left"/>
            </w:pPr>
            <w:r>
              <w:t xml:space="preserve">Qdrant (Qdrant Solutions GmbH, Berlin-headquartered)</w:t>
            </w:r>
          </w:p>
        </w:tc>
        <w:tc>
          <w:tcPr/>
          <w:p>
            <w:pPr>
              <w:pStyle w:val="Compact"/>
              <w:jc w:val="left"/>
            </w:pPr>
            <w:r>
              <w:t xml:space="preserve">Verified fact</w:t>
            </w:r>
          </w:p>
        </w:tc>
        <w:tc>
          <w:tcPr/>
          <w:p>
            <w:pPr>
              <w:pStyle w:val="Compact"/>
              <w:jc w:val="left"/>
            </w:pPr>
            <w:r>
              <w:t xml:space="preserve">A2-S105, A2-S107</w:t>
            </w:r>
          </w:p>
        </w:tc>
      </w:tr>
      <w:tr>
        <w:tc>
          <w:tcPr/>
          <w:p>
            <w:pPr>
              <w:pStyle w:val="Compact"/>
              <w:jc w:val="left"/>
            </w:pPr>
            <w:r>
              <w:t xml:space="preserve">Category</w:t>
            </w:r>
          </w:p>
        </w:tc>
        <w:tc>
          <w:tcPr/>
          <w:p>
            <w:pPr>
              <w:pStyle w:val="Compact"/>
              <w:jc w:val="left"/>
            </w:pPr>
            <w:r>
              <w:t xml:space="preserve">Open-source vector search engine with managed, hybrid and private cloud offerings</w:t>
            </w:r>
          </w:p>
        </w:tc>
        <w:tc>
          <w:tcPr/>
          <w:p>
            <w:pPr>
              <w:pStyle w:val="Compact"/>
              <w:jc w:val="left"/>
            </w:pPr>
            <w:r>
              <w:t xml:space="preserve">Verified fact</w:t>
            </w:r>
          </w:p>
        </w:tc>
        <w:tc>
          <w:tcPr/>
          <w:p>
            <w:pPr>
              <w:pStyle w:val="Compact"/>
              <w:jc w:val="left"/>
            </w:pPr>
            <w:r>
              <w:t xml:space="preserve">A2-S107, A2-S106</w:t>
            </w:r>
          </w:p>
        </w:tc>
      </w:tr>
      <w:tr>
        <w:tc>
          <w:tcPr/>
          <w:p>
            <w:pPr>
              <w:pStyle w:val="Compact"/>
              <w:jc w:val="left"/>
            </w:pPr>
            <w:r>
              <w:t xml:space="preserve">Version / lineup</w:t>
            </w:r>
          </w:p>
        </w:tc>
        <w:tc>
          <w:tcPr/>
          <w:p>
            <w:pPr>
              <w:pStyle w:val="Compact"/>
              <w:jc w:val="left"/>
            </w:pPr>
            <w:r>
              <w:t xml:space="preserve">Server v1.19.2 (5 October 2026; 1.19.0 on 5 August 2026); Private Cloud validated 1.19.0 (4 September 2026); Python client 1.19.1 (16 September 2026)</w:t>
            </w:r>
          </w:p>
        </w:tc>
        <w:tc>
          <w:tcPr/>
          <w:p>
            <w:pPr>
              <w:pStyle w:val="Compact"/>
              <w:jc w:val="left"/>
            </w:pPr>
            <w:r>
              <w:t xml:space="preserve">Verified fact</w:t>
            </w:r>
          </w:p>
        </w:tc>
        <w:tc>
          <w:tcPr/>
          <w:p>
            <w:pPr>
              <w:pStyle w:val="Compact"/>
              <w:jc w:val="left"/>
            </w:pPr>
            <w:r>
              <w:t xml:space="preserve">A2-S102, A2-S104, A2-S052</w:t>
            </w:r>
          </w:p>
        </w:tc>
      </w:tr>
      <w:tr>
        <w:tc>
          <w:tcPr/>
          <w:p>
            <w:pPr>
              <w:pStyle w:val="Compact"/>
              <w:jc w:val="left"/>
            </w:pPr>
            <w:r>
              <w:t xml:space="preserve">Licence</w:t>
            </w:r>
          </w:p>
        </w:tc>
        <w:tc>
          <w:tcPr/>
          <w:p>
            <w:pPr>
              <w:pStyle w:val="Compact"/>
              <w:jc w:val="left"/>
            </w:pPr>
            <w:r>
              <w:t xml:space="preserve">Open source, Apache-2.0 (server and client); managed/hybrid/private cloud commercial</w:t>
            </w:r>
          </w:p>
        </w:tc>
        <w:tc>
          <w:tcPr/>
          <w:p>
            <w:pPr>
              <w:pStyle w:val="Compact"/>
              <w:jc w:val="left"/>
            </w:pPr>
            <w:r>
              <w:t xml:space="preserve">Verified fact</w:t>
            </w:r>
          </w:p>
        </w:tc>
        <w:tc>
          <w:tcPr/>
          <w:p>
            <w:pPr>
              <w:pStyle w:val="Compact"/>
              <w:jc w:val="left"/>
            </w:pPr>
            <w:r>
              <w:t xml:space="preserve">A2-S108, A2-S052</w:t>
            </w:r>
          </w:p>
        </w:tc>
      </w:tr>
      <w:tr>
        <w:tc>
          <w:tcPr/>
          <w:p>
            <w:pPr>
              <w:pStyle w:val="Compact"/>
              <w:jc w:val="left"/>
            </w:pPr>
            <w:r>
              <w:t xml:space="preserve">Status events</w:t>
            </w:r>
          </w:p>
        </w:tc>
        <w:tc>
          <w:tcPr/>
          <w:p>
            <w:pPr>
              <w:pStyle w:val="Compact"/>
              <w:jc w:val="left"/>
            </w:pPr>
            <w:r>
              <w:t xml:space="preserve">1.16: RocksDB to Gridstore storage migration (cannot be skipped on upgrade); 12 March 2026: US$50M Series B led by AVP; 27 March 2026: 1.17.1; 17 July 2026: 1.18.3; 5 August 2026: 1.19.0; 5 October 2026: 1.19.2</w:t>
            </w:r>
          </w:p>
        </w:tc>
        <w:tc>
          <w:tcPr/>
          <w:p>
            <w:pPr>
              <w:pStyle w:val="Compact"/>
              <w:jc w:val="left"/>
            </w:pPr>
            <w:r>
              <w:t xml:space="preserve">Verified fact</w:t>
            </w:r>
          </w:p>
        </w:tc>
        <w:tc>
          <w:tcPr/>
          <w:p>
            <w:pPr>
              <w:pStyle w:val="Compact"/>
              <w:jc w:val="left"/>
            </w:pPr>
            <w:r>
              <w:t xml:space="preserve">A2-S102, A2-S103, A2-S107</w:t>
            </w:r>
          </w:p>
        </w:tc>
      </w:tr>
      <w:tr>
        <w:tc>
          <w:tcPr/>
          <w:p>
            <w:pPr>
              <w:pStyle w:val="Compact"/>
              <w:jc w:val="left"/>
            </w:pPr>
            <w:r>
              <w:t xml:space="preserve">Strategic direction</w:t>
            </w:r>
          </w:p>
        </w:tc>
        <w:tc>
          <w:tcPr/>
          <w:p>
            <w:pPr>
              <w:pStyle w:val="Compact"/>
              <w:jc w:val="left"/>
            </w:pPr>
            <w:r>
              <w:t xml:space="preserve">‘</w:t>
            </w:r>
            <w:r>
              <w:t xml:space="preserve">Composable vector search as core infrastructure</w:t>
            </w:r>
            <w:r>
              <w:t xml:space="preserve">’</w:t>
            </w:r>
            <w:r>
              <w:t xml:space="preserve"> </w:t>
            </w:r>
            <w:r>
              <w:t xml:space="preserve">from agentic workflows to edge devices (Series B, March 2026); recent releases add relevance-feedback queries, weighted RRF, audit access logging, tiered multitenancy, TurboQuant quantisation and low-memory mode</w:t>
            </w:r>
          </w:p>
        </w:tc>
        <w:tc>
          <w:tcPr/>
          <w:p>
            <w:pPr>
              <w:pStyle w:val="Compact"/>
              <w:jc w:val="left"/>
            </w:pPr>
            <w:r>
              <w:t xml:space="preserve">Verified fact</w:t>
            </w:r>
          </w:p>
        </w:tc>
        <w:tc>
          <w:tcPr/>
          <w:p>
            <w:pPr>
              <w:pStyle w:val="Compact"/>
              <w:jc w:val="left"/>
            </w:pPr>
            <w:r>
              <w:t xml:space="preserve">A2-S107, A2-S103, A2-S102</w:t>
            </w:r>
          </w:p>
        </w:tc>
      </w:tr>
      <w:tr>
        <w:tc>
          <w:tcPr/>
          <w:p>
            <w:pPr>
              <w:pStyle w:val="Compact"/>
              <w:jc w:val="left"/>
            </w:pPr>
            <w:r>
              <w:t xml:space="preserve">What it does</w:t>
            </w:r>
          </w:p>
        </w:tc>
        <w:tc>
          <w:tcPr/>
          <w:p>
            <w:pPr>
              <w:pStyle w:val="Compact"/>
              <w:jc w:val="left"/>
            </w:pPr>
            <w:r>
              <w:t xml:space="preserve">Rust vector search engine with dense and sparse vectors, payload filtering (ACORN filtered search), hybrid fusion (weighted RRF), multitenancy, quantisation; client local mode and FastEmbed; Qdrant Cloud server-side inference on paid plans.</w:t>
            </w:r>
          </w:p>
        </w:tc>
        <w:tc>
          <w:tcPr/>
          <w:p>
            <w:pPr>
              <w:pStyle w:val="Compact"/>
              <w:jc w:val="left"/>
            </w:pPr>
            <w:r>
              <w:t xml:space="preserve">Verified fact</w:t>
            </w:r>
          </w:p>
        </w:tc>
        <w:tc>
          <w:tcPr/>
          <w:p>
            <w:pPr>
              <w:pStyle w:val="Compact"/>
              <w:jc w:val="left"/>
            </w:pPr>
            <w:r>
              <w:t xml:space="preserve">A2-S103, A2-S102, A2-S052</w:t>
            </w:r>
          </w:p>
        </w:tc>
      </w:tr>
      <w:tr>
        <w:tc>
          <w:tcPr/>
          <w:p>
            <w:pPr>
              <w:pStyle w:val="Compact"/>
              <w:jc w:val="left"/>
            </w:pPr>
            <w:r>
              <w:t xml:space="preserve">Stack position</w:t>
            </w:r>
          </w:p>
        </w:tc>
        <w:tc>
          <w:tcPr/>
          <w:p>
            <w:pPr>
              <w:pStyle w:val="Compact"/>
              <w:jc w:val="left"/>
            </w:pPr>
            <w:r>
              <w:t xml:space="preserve">L6 dedicated vector search engine; placement correct.</w:t>
            </w:r>
          </w:p>
        </w:tc>
        <w:tc>
          <w:tcPr/>
          <w:p>
            <w:pPr>
              <w:pStyle w:val="Compact"/>
              <w:jc w:val="left"/>
            </w:pPr>
            <w:r>
              <w:t xml:space="preserve">Architectural judgement</w:t>
            </w:r>
          </w:p>
        </w:tc>
        <w:tc>
          <w:tcPr/>
          <w:p>
            <w:pPr>
              <w:pStyle w:val="Compact"/>
            </w:pPr>
          </w:p>
        </w:tc>
      </w:tr>
      <w:tr>
        <w:tc>
          <w:tcPr/>
          <w:p>
            <w:pPr>
              <w:pStyle w:val="Compact"/>
              <w:jc w:val="left"/>
            </w:pPr>
            <w:r>
              <w:t xml:space="preserve">Integration</w:t>
            </w:r>
          </w:p>
        </w:tc>
        <w:tc>
          <w:tcPr/>
          <w:p>
            <w:pPr>
              <w:pStyle w:val="Compact"/>
              <w:jc w:val="left"/>
            </w:pPr>
            <w:r>
              <w:t xml:space="preserve">REST/gRPC API (OpenAPI), Python client with sync/async, FastEmbed (ONNX) embeddings, Qdrant Cloud inference</w:t>
            </w:r>
          </w:p>
        </w:tc>
        <w:tc>
          <w:tcPr/>
          <w:p>
            <w:pPr>
              <w:pStyle w:val="Compact"/>
              <w:jc w:val="left"/>
            </w:pPr>
            <w:r>
              <w:t xml:space="preserve">Verified fact</w:t>
            </w:r>
          </w:p>
        </w:tc>
        <w:tc>
          <w:tcPr/>
          <w:p>
            <w:pPr>
              <w:pStyle w:val="Compact"/>
              <w:jc w:val="left"/>
            </w:pPr>
            <w:r>
              <w:t xml:space="preserve">A2-S052</w:t>
            </w:r>
          </w:p>
        </w:tc>
      </w:tr>
      <w:tr>
        <w:tc>
          <w:tcPr/>
          <w:p>
            <w:pPr>
              <w:pStyle w:val="Compact"/>
              <w:jc w:val="left"/>
            </w:pPr>
            <w:r>
              <w:t xml:space="preserve">Dependencies</w:t>
            </w:r>
          </w:p>
        </w:tc>
        <w:tc>
          <w:tcPr/>
          <w:p>
            <w:pPr>
              <w:pStyle w:val="Compact"/>
              <w:jc w:val="left"/>
            </w:pPr>
            <w:r>
              <w:t xml:space="preserve">Self-hosted Docker/Kubernetes, or Qdrant Cloud on AWS, GCP, Azure</w:t>
            </w:r>
          </w:p>
        </w:tc>
        <w:tc>
          <w:tcPr/>
          <w:p>
            <w:pPr>
              <w:pStyle w:val="Compact"/>
              <w:jc w:val="left"/>
            </w:pPr>
            <w:r>
              <w:t xml:space="preserve">Verified fact</w:t>
            </w:r>
          </w:p>
        </w:tc>
        <w:tc>
          <w:tcPr/>
          <w:p>
            <w:pPr>
              <w:pStyle w:val="Compact"/>
              <w:jc w:val="left"/>
            </w:pPr>
            <w:r>
              <w:t xml:space="preserve">A2-S052, A2-S105</w:t>
            </w:r>
          </w:p>
        </w:tc>
      </w:tr>
      <w:tr>
        <w:tc>
          <w:tcPr/>
          <w:p>
            <w:pPr>
              <w:pStyle w:val="Compact"/>
              <w:jc w:val="left"/>
            </w:pPr>
            <w:r>
              <w:t xml:space="preserve">Certifications</w:t>
            </w:r>
          </w:p>
        </w:tc>
        <w:tc>
          <w:tcPr/>
          <w:p>
            <w:pPr>
              <w:pStyle w:val="Compact"/>
              <w:jc w:val="left"/>
            </w:pPr>
            <w:r>
              <w:t xml:space="preserve">SOC 2 Type II (renewed over 12-month period); HIPAA compliance with BAA (Managed Cloud / on request); ISO 27001 not found</w:t>
            </w:r>
          </w:p>
        </w:tc>
        <w:tc>
          <w:tcPr/>
          <w:p>
            <w:pPr>
              <w:pStyle w:val="Compact"/>
              <w:jc w:val="left"/>
            </w:pPr>
            <w:r>
              <w:t xml:space="preserve">Verified fact</w:t>
            </w:r>
          </w:p>
        </w:tc>
        <w:tc>
          <w:tcPr/>
          <w:p>
            <w:pPr>
              <w:pStyle w:val="Compact"/>
              <w:jc w:val="left"/>
            </w:pPr>
            <w:r>
              <w:t xml:space="preserve">A2-S105, V1-S069</w:t>
            </w:r>
          </w:p>
        </w:tc>
      </w:tr>
      <w:tr>
        <w:tc>
          <w:tcPr/>
          <w:p>
            <w:pPr>
              <w:pStyle w:val="Compact"/>
              <w:jc w:val="left"/>
            </w:pPr>
            <w:r>
              <w:t xml:space="preserve">GDPR / residency</w:t>
            </w:r>
          </w:p>
        </w:tc>
        <w:tc>
          <w:tcPr/>
          <w:p>
            <w:pPr>
              <w:pStyle w:val="Compact"/>
              <w:jc w:val="left"/>
            </w:pPr>
            <w:r>
              <w:t xml:space="preserve">DPA for GDPR; EU customers can keep data in EU regions exclusively; Cloud Inference runs in the EU for EU-region clusters</w:t>
            </w:r>
          </w:p>
        </w:tc>
        <w:tc>
          <w:tcPr/>
          <w:p>
            <w:pPr>
              <w:pStyle w:val="Compact"/>
              <w:jc w:val="left"/>
            </w:pPr>
            <w:r>
              <w:t xml:space="preserve">Verified fact</w:t>
            </w:r>
          </w:p>
        </w:tc>
        <w:tc>
          <w:tcPr/>
          <w:p>
            <w:pPr>
              <w:pStyle w:val="Compact"/>
              <w:jc w:val="left"/>
            </w:pPr>
            <w:r>
              <w:t xml:space="preserve">A2-S105</w:t>
            </w:r>
          </w:p>
        </w:tc>
      </w:tr>
      <w:tr>
        <w:tc>
          <w:tcPr/>
          <w:p>
            <w:pPr>
              <w:pStyle w:val="Compact"/>
              <w:jc w:val="left"/>
            </w:pPr>
            <w:r>
              <w:t xml:space="preserve">Security features</w:t>
            </w:r>
          </w:p>
        </w:tc>
        <w:tc>
          <w:tcPr/>
          <w:p>
            <w:pPr>
              <w:pStyle w:val="Compact"/>
              <w:jc w:val="left"/>
            </w:pPr>
            <w:r>
              <w:t xml:space="preserve">Paid managed clusters on dedicated resources; Hybrid/Private Cloud keep data in customer environment; v1.19.2 warns at startup when no API keys configured</w:t>
            </w:r>
          </w:p>
        </w:tc>
        <w:tc>
          <w:tcPr/>
          <w:p>
            <w:pPr>
              <w:pStyle w:val="Compact"/>
              <w:jc w:val="left"/>
            </w:pPr>
            <w:r>
              <w:t xml:space="preserve">Verified fact</w:t>
            </w:r>
          </w:p>
        </w:tc>
        <w:tc>
          <w:tcPr/>
          <w:p>
            <w:pPr>
              <w:pStyle w:val="Compact"/>
              <w:jc w:val="left"/>
            </w:pPr>
            <w:r>
              <w:t xml:space="preserve">A2-S106, A2-S102</w:t>
            </w:r>
          </w:p>
        </w:tc>
      </w:tr>
      <w:tr>
        <w:tc>
          <w:tcPr/>
          <w:p>
            <w:pPr>
              <w:pStyle w:val="Compact"/>
              <w:jc w:val="left"/>
            </w:pPr>
            <w:r>
              <w:t xml:space="preserve">Access controls</w:t>
            </w:r>
          </w:p>
        </w:tc>
        <w:tc>
          <w:tcPr/>
          <w:p>
            <w:pPr>
              <w:pStyle w:val="Compact"/>
              <w:jc w:val="left"/>
            </w:pPr>
            <w:r>
              <w:t xml:space="preserve">Audit access logging added in 1.17; SSO/RBAC for Qdrant Cloud not verified</w:t>
            </w:r>
          </w:p>
        </w:tc>
        <w:tc>
          <w:tcPr/>
          <w:p>
            <w:pPr>
              <w:pStyle w:val="Compact"/>
              <w:jc w:val="left"/>
            </w:pPr>
            <w:r>
              <w:t xml:space="preserve">Verified fact</w:t>
            </w:r>
          </w:p>
        </w:tc>
        <w:tc>
          <w:tcPr/>
          <w:p>
            <w:pPr>
              <w:pStyle w:val="Compact"/>
              <w:jc w:val="left"/>
            </w:pPr>
            <w:r>
              <w:t xml:space="preserve">A2-S103</w:t>
            </w:r>
          </w:p>
        </w:tc>
      </w:tr>
      <w:tr>
        <w:tc>
          <w:tcPr/>
          <w:p>
            <w:pPr>
              <w:pStyle w:val="Compact"/>
              <w:jc w:val="left"/>
            </w:pPr>
            <w:r>
              <w:t xml:space="preserve">Enterprise support</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Pricing</w:t>
            </w:r>
          </w:p>
        </w:tc>
        <w:tc>
          <w:tcPr/>
          <w:p>
            <w:pPr>
              <w:pStyle w:val="Compact"/>
              <w:jc w:val="left"/>
            </w:pPr>
            <w:r>
              <w:t xml:space="preserve">Managed Cloud priced on vCPU, RAM, disk and inference tokens,</w:t>
            </w:r>
            <w:r>
              <w:t xml:space="preserve"> </w:t>
            </w:r>
            <w:r>
              <w:t xml:space="preserve">‘</w:t>
            </w:r>
            <w:r>
              <w:t xml:space="preserve">from US$25</w:t>
            </w:r>
            <w:r>
              <w:t xml:space="preserve">’</w:t>
            </w:r>
            <w:r>
              <w:t xml:space="preserve">; Hybrid Cloud figure US$0.014 per hour (unit unclear); Private Cloud and Enterprise on request</w:t>
            </w:r>
          </w:p>
        </w:tc>
        <w:tc>
          <w:tcPr/>
          <w:p>
            <w:pPr>
              <w:pStyle w:val="Compact"/>
              <w:jc w:val="left"/>
            </w:pPr>
            <w:r>
              <w:t xml:space="preserve">Verified fact</w:t>
            </w:r>
          </w:p>
        </w:tc>
        <w:tc>
          <w:tcPr/>
          <w:p>
            <w:pPr>
              <w:pStyle w:val="Compact"/>
              <w:jc w:val="left"/>
            </w:pPr>
            <w:r>
              <w:t xml:space="preserve">A2-S106</w:t>
            </w:r>
          </w:p>
        </w:tc>
      </w:tr>
      <w:tr>
        <w:tc>
          <w:tcPr/>
          <w:p>
            <w:pPr>
              <w:pStyle w:val="Compact"/>
              <w:jc w:val="left"/>
            </w:pPr>
            <w:r>
              <w:t xml:space="preserve">Infrastructure cost</w:t>
            </w:r>
          </w:p>
        </w:tc>
        <w:tc>
          <w:tcPr/>
          <w:p>
            <w:pPr>
              <w:pStyle w:val="Compact"/>
              <w:jc w:val="left"/>
            </w:pPr>
            <w:r>
              <w:t xml:space="preserve">Self-hosting cost driven by RAM (or disk with on-disk/inline storage) and CPU; quantisation reduces memory</w:t>
            </w:r>
          </w:p>
        </w:tc>
        <w:tc>
          <w:tcPr/>
          <w:p>
            <w:pPr>
              <w:pStyle w:val="Compact"/>
              <w:jc w:val="left"/>
            </w:pPr>
            <w:r>
              <w:t xml:space="preserve">Architectural judgement</w:t>
            </w:r>
          </w:p>
        </w:tc>
        <w:tc>
          <w:tcPr/>
          <w:p>
            <w:pPr>
              <w:pStyle w:val="Compact"/>
            </w:pPr>
          </w:p>
        </w:tc>
      </w:tr>
      <w:tr>
        <w:tc>
          <w:tcPr/>
          <w:p>
            <w:pPr>
              <w:pStyle w:val="Compact"/>
              <w:jc w:val="left"/>
            </w:pPr>
            <w:r>
              <w:t xml:space="preserve">Ecosystem</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Adoption signals</w:t>
            </w:r>
          </w:p>
        </w:tc>
        <w:tc>
          <w:tcPr/>
          <w:p>
            <w:pPr>
              <w:pStyle w:val="Compact"/>
              <w:jc w:val="left"/>
            </w:pPr>
            <w:r>
              <w:t xml:space="preserve">US$50M Series B (12 March 2026; AVP, Bosch Ventures, Unusual Ventures, Spark Capital, 42CAP); total funding US$87.8M (TechTarget); earlier US$28M Series A and US$7.5M seed; Canva quoted as customer</w:t>
            </w:r>
          </w:p>
        </w:tc>
        <w:tc>
          <w:tcPr/>
          <w:p>
            <w:pPr>
              <w:pStyle w:val="Compact"/>
              <w:jc w:val="left"/>
            </w:pPr>
            <w:r>
              <w:t xml:space="preserve">Verified fact</w:t>
            </w:r>
          </w:p>
        </w:tc>
        <w:tc>
          <w:tcPr/>
          <w:p>
            <w:pPr>
              <w:pStyle w:val="Compact"/>
              <w:jc w:val="left"/>
            </w:pPr>
            <w:r>
              <w:t xml:space="preserve">A2-S107, V1-S032</w:t>
            </w:r>
          </w:p>
        </w:tc>
      </w:tr>
      <w:tr>
        <w:tc>
          <w:tcPr/>
          <w:p>
            <w:pPr>
              <w:pStyle w:val="Compact"/>
              <w:jc w:val="left"/>
            </w:pPr>
            <w:r>
              <w:t xml:space="preserve">Maturity</w:t>
            </w:r>
          </w:p>
        </w:tc>
        <w:tc>
          <w:tcPr/>
          <w:p>
            <w:pPr>
              <w:pStyle w:val="Compact"/>
              <w:jc w:val="left"/>
            </w:pPr>
            <w:r>
              <w:t xml:space="preserve">Monthly-ish minor releases (1.16-1.19 in about a year); breaking storage migration at 1.16</w:t>
            </w:r>
          </w:p>
        </w:tc>
        <w:tc>
          <w:tcPr/>
          <w:p>
            <w:pPr>
              <w:pStyle w:val="Compact"/>
              <w:jc w:val="left"/>
            </w:pPr>
            <w:r>
              <w:t xml:space="preserve">Verified fact</w:t>
            </w:r>
          </w:p>
        </w:tc>
        <w:tc>
          <w:tcPr/>
          <w:p>
            <w:pPr>
              <w:pStyle w:val="Compact"/>
              <w:jc w:val="left"/>
            </w:pPr>
            <w:r>
              <w:t xml:space="preserve">A2-S102</w:t>
            </w:r>
          </w:p>
        </w:tc>
      </w:tr>
      <w:tr>
        <w:tc>
          <w:tcPr/>
          <w:p>
            <w:pPr>
              <w:pStyle w:val="Compact"/>
              <w:jc w:val="left"/>
            </w:pPr>
            <w:r>
              <w:t xml:space="preserve">Deployment</w:t>
            </w:r>
          </w:p>
        </w:tc>
        <w:tc>
          <w:tcPr/>
          <w:p>
            <w:pPr>
              <w:pStyle w:val="Compact"/>
              <w:jc w:val="left"/>
            </w:pPr>
            <w:r>
              <w:t xml:space="preserve">saas: Yes (Qdrant Managed Cloud); managed_cloud: Yes (AWS, GCP, Azure); vpc_byoc: Yes (Hybrid Cloud: clusters in customer network, managed via Qdrant Cloud UI; Enterprise plan); private_cloud: Yes (Private Cloud, incl. air-gapped); self_hosted: Yes; on_prem: Yes</w:t>
            </w:r>
          </w:p>
        </w:tc>
        <w:tc>
          <w:tcPr/>
          <w:p>
            <w:pPr>
              <w:pStyle w:val="Compact"/>
            </w:pPr>
          </w:p>
        </w:tc>
        <w:tc>
          <w:tcPr/>
          <w:p>
            <w:pPr>
              <w:pStyle w:val="Compact"/>
            </w:pPr>
          </w:p>
        </w:tc>
      </w:tr>
    </w:tbl>
    <w:bookmarkEnd w:id="588"/>
    <w:bookmarkStart w:id="611" w:name="Xb741860b9f0ea742b420d8bb85005c87edfce86"/>
    <w:p>
      <w:pPr>
        <w:pStyle w:val="Heading2"/>
      </w:pPr>
      <w:r>
        <w:t xml:space="preserve">Pinecone (vector database; Pinecone Nexus knowledge engine) (</w:t>
      </w:r>
      <w:r>
        <w:rPr>
          <w:rStyle w:val="VerbatimChar"/>
        </w:rPr>
        <w:t xml:space="preserve">L6-pinecone</w:t>
      </w:r>
      <w:r>
        <w:t xml:space="preserve">)</w:t>
      </w:r>
    </w:p>
    <w:p>
      <w:pPr>
        <w:pStyle w:val="FirstParagraph"/>
      </w:pPr>
      <w:r>
        <w:rPr>
          <w:bCs/>
          <w:b/>
        </w:rPr>
        <w:t xml:space="preserve">Tier:</w:t>
      </w:r>
      <w:r>
        <w:t xml:space="preserve"> </w:t>
      </w:r>
      <w:r>
        <w:t xml:space="preserve">Tactical ·</w:t>
      </w:r>
      <w:r>
        <w:t xml:space="preserve"> </w:t>
      </w:r>
      <w:r>
        <w:rPr>
          <w:bCs/>
          <w:b/>
        </w:rPr>
        <w:t xml:space="preserve">Flags:</w:t>
      </w:r>
      <w:r>
        <w:t xml:space="preserve"> </w:t>
      </w:r>
      <w:r>
        <w:t xml:space="preserve">none ·</w:t>
      </w:r>
      <w:r>
        <w:t xml:space="preserve"> </w:t>
      </w:r>
      <w:r>
        <w:rPr>
          <w:bCs/>
          <w:b/>
        </w:rPr>
        <w:t xml:space="preserve">Original graphic label:</w:t>
      </w:r>
      <w:r>
        <w:t xml:space="preserve"> </w:t>
      </w:r>
      <w:r>
        <w:t xml:space="preserve">Pinecone – managed</w:t>
      </w:r>
    </w:p>
    <w:p>
      <w:pPr>
        <w:pStyle w:val="BodyText"/>
      </w:pPr>
      <w:r>
        <w:rPr>
          <w:iCs/>
          <w:i/>
        </w:rPr>
        <w:t xml:space="preserve">Rationale:</w:t>
      </w:r>
      <w:r>
        <w:t xml:space="preserve"> </w:t>
      </w:r>
      <w:r>
        <w:t xml:space="preserve">Scores 3.80 FS but lock-in is 2 and it would be a net-new proprietary dependency whose vendor is widening into L5/L8 (Nexus); a criterion at 2 is accepted as a Strategic condition only where it rides on an existing platform commitment (Elastic, MongoDB), so Pinecone is held at Tactical until an exit route is decided</w:t>
      </w:r>
      <w:r>
        <w:t xml:space="preserve"> </w:t>
      </w:r>
      <w:r>
        <w:rPr>
          <w:rStyle w:val="ClaimLabel"/>
        </w:rPr>
        <w:t xml:space="preserve">AJ</w:t>
      </w:r>
      <w:r>
        <w:t xml:space="preserve">.</w:t>
      </w:r>
    </w:p>
    <w:tbl>
      <w:tblPr>
        <w:tblStyle w:val="Table"/>
        <w:tblW w:type="pct" w:w="5000"/>
        <w:tblLook w:firstRow="1" w:lastRow="0" w:firstColumn="0" w:lastColumn="0" w:noHBand="0" w:noVBand="0" w:val="0020"/>
        <w:jc w:val="start"/>
      </w:tblPr>
      <w:tblGrid>
        <w:gridCol w:w="1545"/>
        <w:gridCol w:w="579"/>
        <w:gridCol w:w="5795"/>
      </w:tblGrid>
      <w:tr>
        <w:trPr>
          <w:tblHeader w:val="true"/>
        </w:trPr>
        <w:tc>
          <w:tcPr/>
          <w:p>
            <w:pPr>
              <w:pStyle w:val="Compact"/>
              <w:jc w:val="left"/>
            </w:pPr>
            <w:r>
              <w:t xml:space="preserve">Criterion</w:t>
            </w:r>
          </w:p>
        </w:tc>
        <w:tc>
          <w:tcPr/>
          <w:p>
            <w:pPr>
              <w:pStyle w:val="Compact"/>
              <w:jc w:val="right"/>
            </w:pPr>
            <w:r>
              <w:t xml:space="preserve">Score</w:t>
            </w:r>
          </w:p>
        </w:tc>
        <w:tc>
          <w:tcPr/>
          <w:p>
            <w:pPr>
              <w:pStyle w:val="Compact"/>
              <w:jc w:val="left"/>
            </w:pPr>
            <w:r>
              <w:t xml:space="preserve">Rationale</w:t>
            </w:r>
          </w:p>
        </w:tc>
      </w:tr>
      <w:tr>
        <w:tc>
          <w:tcPr/>
          <w:p>
            <w:pPr>
              <w:pStyle w:val="Compact"/>
              <w:jc w:val="left"/>
            </w:pPr>
            <w:r>
              <w:t xml:space="preserve">Technical</w:t>
            </w:r>
          </w:p>
        </w:tc>
        <w:tc>
          <w:tcPr/>
          <w:p>
            <w:pPr>
              <w:pStyle w:val="Compact"/>
              <w:jc w:val="right"/>
            </w:pPr>
            <w:r>
              <w:t xml:space="preserve">4</w:t>
            </w:r>
          </w:p>
        </w:tc>
        <w:tc>
          <w:tcPr/>
          <w:p>
            <w:pPr>
              <w:pStyle w:val="Compact"/>
              <w:jc w:val="left"/>
            </w:pPr>
            <w:r>
              <w:t xml:space="preserve">Dense+sparse cascading retrieval, filters, namespaces, DRN scale; BM25 not evidenced</w:t>
            </w:r>
          </w:p>
        </w:tc>
      </w:tr>
      <w:tr>
        <w:tc>
          <w:tcPr/>
          <w:p>
            <w:pPr>
              <w:pStyle w:val="Compact"/>
              <w:jc w:val="left"/>
            </w:pPr>
            <w:r>
              <w:t xml:space="preserve">Enterprise readiness</w:t>
            </w:r>
          </w:p>
        </w:tc>
        <w:tc>
          <w:tcPr/>
          <w:p>
            <w:pPr>
              <w:pStyle w:val="Compact"/>
              <w:jc w:val="right"/>
            </w:pPr>
            <w:r>
              <w:t xml:space="preserve">4</w:t>
            </w:r>
          </w:p>
        </w:tc>
        <w:tc>
          <w:tcPr/>
          <w:p>
            <w:pPr>
              <w:pStyle w:val="Compact"/>
              <w:jc w:val="left"/>
            </w:pPr>
            <w:r>
              <w:t xml:space="preserve">SSO, SCIM, RBAC and audit logs verified on Enterprise; SLA not verified</w:t>
            </w:r>
          </w:p>
        </w:tc>
      </w:tr>
      <w:tr>
        <w:tc>
          <w:tcPr/>
          <w:p>
            <w:pPr>
              <w:pStyle w:val="Compact"/>
              <w:jc w:val="left"/>
            </w:pPr>
            <w:r>
              <w:t xml:space="preserve">Security and compliance</w:t>
            </w:r>
          </w:p>
        </w:tc>
        <w:tc>
          <w:tcPr/>
          <w:p>
            <w:pPr>
              <w:pStyle w:val="Compact"/>
              <w:jc w:val="right"/>
            </w:pPr>
            <w:r>
              <w:t xml:space="preserve">5</w:t>
            </w:r>
          </w:p>
        </w:tc>
        <w:tc>
          <w:tcPr/>
          <w:p>
            <w:pPr>
              <w:pStyle w:val="Compact"/>
              <w:jc w:val="left"/>
            </w:pPr>
            <w:r>
              <w:t xml:space="preserve">SOC 2 Type II and ISO 27001 from the product’s own trust centre plus CMEK</w:t>
            </w:r>
          </w:p>
        </w:tc>
      </w:tr>
      <w:tr>
        <w:tc>
          <w:tcPr/>
          <w:p>
            <w:pPr>
              <w:pStyle w:val="Compact"/>
              <w:jc w:val="left"/>
            </w:pPr>
            <w:r>
              <w:t xml:space="preserve">Deployment flexibility</w:t>
            </w:r>
          </w:p>
        </w:tc>
        <w:tc>
          <w:tcPr/>
          <w:p>
            <w:pPr>
              <w:pStyle w:val="Compact"/>
              <w:jc w:val="right"/>
            </w:pPr>
            <w:r>
              <w:t xml:space="preserve">4</w:t>
            </w:r>
          </w:p>
        </w:tc>
        <w:tc>
          <w:tcPr/>
          <w:p>
            <w:pPr>
              <w:pStyle w:val="Compact"/>
              <w:jc w:val="left"/>
            </w:pPr>
            <w:r>
              <w:t xml:space="preserve">SaaS on three clouds plus BYOC; no self-host or air-gap</w:t>
            </w:r>
          </w:p>
        </w:tc>
      </w:tr>
      <w:tr>
        <w:tc>
          <w:tcPr/>
          <w:p>
            <w:pPr>
              <w:pStyle w:val="Compact"/>
              <w:jc w:val="left"/>
            </w:pPr>
            <w:r>
              <w:t xml:space="preserve">Ecosystem</w:t>
            </w:r>
          </w:p>
        </w:tc>
        <w:tc>
          <w:tcPr/>
          <w:p>
            <w:pPr>
              <w:pStyle w:val="Compact"/>
              <w:jc w:val="right"/>
            </w:pPr>
            <w:r>
              <w:t xml:space="preserve">3</w:t>
            </w:r>
          </w:p>
        </w:tc>
        <w:tc>
          <w:tcPr/>
          <w:p>
            <w:pPr>
              <w:pStyle w:val="Compact"/>
              <w:jc w:val="left"/>
            </w:pPr>
            <w:r>
              <w:t xml:space="preserve">Proprietary REST/SDK; OneLake and Marketplace integrations</w:t>
            </w:r>
          </w:p>
        </w:tc>
      </w:tr>
      <w:tr>
        <w:tc>
          <w:tcPr/>
          <w:p>
            <w:pPr>
              <w:pStyle w:val="Compact"/>
              <w:jc w:val="left"/>
            </w:pPr>
            <w:r>
              <w:t xml:space="preserve">Reliability and maturity</w:t>
            </w:r>
          </w:p>
        </w:tc>
        <w:tc>
          <w:tcPr/>
          <w:p>
            <w:pPr>
              <w:pStyle w:val="Compact"/>
              <w:jc w:val="right"/>
            </w:pPr>
            <w:r>
              <w:t xml:space="preserve">4</w:t>
            </w:r>
          </w:p>
        </w:tc>
        <w:tc>
          <w:tcPr/>
          <w:p>
            <w:pPr>
              <w:pStyle w:val="Compact"/>
              <w:jc w:val="left"/>
            </w:pPr>
            <w:r>
              <w:t xml:space="preserve">Core service mature; SDK v10 breaking; Nexus GA only since August 2026</w:t>
            </w:r>
          </w:p>
        </w:tc>
      </w:tr>
      <w:tr>
        <w:tc>
          <w:tcPr/>
          <w:p>
            <w:pPr>
              <w:pStyle w:val="Compact"/>
              <w:jc w:val="left"/>
            </w:pPr>
            <w:r>
              <w:t xml:space="preserve">Cost / TCO</w:t>
            </w:r>
          </w:p>
        </w:tc>
        <w:tc>
          <w:tcPr/>
          <w:p>
            <w:pPr>
              <w:pStyle w:val="Compact"/>
              <w:jc w:val="right"/>
            </w:pPr>
            <w:r>
              <w:t xml:space="preserve">3</w:t>
            </w:r>
          </w:p>
        </w:tc>
        <w:tc>
          <w:tcPr/>
          <w:p>
            <w:pPr>
              <w:pStyle w:val="Compact"/>
              <w:jc w:val="left"/>
            </w:pPr>
            <w:r>
              <w:t xml:space="preserve">Transparent unit pricing but Standard/Enterprise minimums and idle BYOC nodes</w:t>
            </w:r>
          </w:p>
        </w:tc>
      </w:tr>
      <w:tr>
        <w:tc>
          <w:tcPr/>
          <w:p>
            <w:pPr>
              <w:pStyle w:val="Compact"/>
              <w:jc w:val="left"/>
            </w:pPr>
            <w:r>
              <w:t xml:space="preserve">Lock-in / portability</w:t>
            </w:r>
          </w:p>
        </w:tc>
        <w:tc>
          <w:tcPr/>
          <w:p>
            <w:pPr>
              <w:pStyle w:val="Compact"/>
              <w:jc w:val="right"/>
            </w:pPr>
            <w:r>
              <w:t xml:space="preserve">2</w:t>
            </w:r>
          </w:p>
        </w:tc>
        <w:tc>
          <w:tcPr/>
          <w:p>
            <w:pPr>
              <w:pStyle w:val="Compact"/>
              <w:jc w:val="left"/>
            </w:pPr>
            <w:r>
              <w:t xml:space="preserve">Proprietary API and format; Nexus/KnowQL coupling</w:t>
            </w:r>
          </w:p>
        </w:tc>
      </w:tr>
      <w:tr>
        <w:tc>
          <w:tcPr/>
          <w:p>
            <w:pPr>
              <w:pStyle w:val="Compact"/>
              <w:jc w:val="left"/>
            </w:pPr>
            <w:r>
              <w:rPr>
                <w:bCs/>
                <w:b/>
              </w:rPr>
              <w:t xml:space="preserve">Total (generic / FS)</w:t>
            </w:r>
          </w:p>
        </w:tc>
        <w:tc>
          <w:tcPr/>
          <w:p>
            <w:pPr>
              <w:pStyle w:val="Compact"/>
              <w:jc w:val="right"/>
            </w:pPr>
            <w:r>
              <w:rPr>
                <w:bCs/>
                <w:b/>
              </w:rPr>
              <w:t xml:space="preserve">3.85 / 3.80</w:t>
            </w:r>
          </w:p>
        </w:tc>
        <w:tc>
          <w:tcPr/>
          <w:p>
            <w:pPr>
              <w:pStyle w:val="Compact"/>
            </w:pPr>
          </w:p>
        </w:tc>
      </w:tr>
    </w:tbl>
    <w:p>
      <w:pPr>
        <w:pStyle w:val="BodyText"/>
      </w:pPr>
      <w:r>
        <w:rPr>
          <w:bCs/>
          <w:b/>
        </w:rPr>
        <w:t xml:space="preserve">Capabilities.</w:t>
      </w:r>
      <w:r>
        <w:t xml:space="preserve"> </w:t>
      </w:r>
      <w:r>
        <w:t xml:space="preserve">Fully managed vector/document index with metadata filtering, namespaces, server-side embedding, hosted rerankers and a sparse model for cascading retrieval; Dedicated Read Nodes GA April 2026; Nexus knowledge engine GA 6 August 2026</w:t>
      </w:r>
      <w:r>
        <w:t xml:space="preserve"> </w:t>
      </w:r>
      <w:r>
        <w:rPr>
          <w:rStyle w:val="ClaimLabel"/>
        </w:rPr>
        <w:t xml:space="preserve">VF</w:t>
      </w:r>
      <w:r>
        <w:rPr>
          <w:rStyle w:val="FootnoteReference"/>
        </w:rPr>
        <w:footnoteReference w:id="589"/>
      </w:r>
      <w:r>
        <w:t xml:space="preserve">.</w:t>
      </w:r>
    </w:p>
    <w:p>
      <w:pPr>
        <w:pStyle w:val="BodyText"/>
      </w:pPr>
      <w:r>
        <w:rPr>
          <w:bCs/>
          <w:b/>
        </w:rPr>
        <w:t xml:space="preserve">Strengths</w:t>
      </w:r>
    </w:p>
    <w:p>
      <w:pPr>
        <w:numPr>
          <w:ilvl w:val="0"/>
          <w:numId w:val="1137"/>
        </w:numPr>
        <w:pStyle w:val="Compact"/>
      </w:pPr>
      <w:r>
        <w:t xml:space="preserve">SOC 2 Type II, ISO 27001:2022, HIPAA BAA, project-level CMEK, PrivateLink</w:t>
      </w:r>
      <w:r>
        <w:t xml:space="preserve"> </w:t>
      </w:r>
      <w:r>
        <w:rPr>
          <w:rStyle w:val="ClaimLabel"/>
        </w:rPr>
        <w:t xml:space="preserve">VF</w:t>
      </w:r>
      <w:r>
        <w:rPr>
          <w:rStyle w:val="FootnoteReference"/>
        </w:rPr>
        <w:footnoteReference w:id="594"/>
      </w:r>
    </w:p>
    <w:p>
      <w:pPr>
        <w:numPr>
          <w:ilvl w:val="0"/>
          <w:numId w:val="1137"/>
        </w:numPr>
        <w:pStyle w:val="Compact"/>
      </w:pPr>
      <w:r>
        <w:t xml:space="preserve">SAML SSO, SCIM, RBAC for users, service accounts and API keys, audit logs on Enterprise</w:t>
      </w:r>
      <w:r>
        <w:t xml:space="preserve"> </w:t>
      </w:r>
      <w:r>
        <w:rPr>
          <w:rStyle w:val="ClaimLabel"/>
        </w:rPr>
        <w:t xml:space="preserve">VF</w:t>
      </w:r>
      <w:r>
        <w:rPr>
          <w:rStyle w:val="FootnoteReference"/>
        </w:rPr>
        <w:footnoteReference w:id="597"/>
      </w:r>
    </w:p>
    <w:p>
      <w:pPr>
        <w:numPr>
          <w:ilvl w:val="0"/>
          <w:numId w:val="1137"/>
        </w:numPr>
        <w:pStyle w:val="Compact"/>
      </w:pPr>
      <w:r>
        <w:t xml:space="preserve">BYOC GA on AWS, GCP and Azure with no vendor inbound access</w:t>
      </w:r>
      <w:r>
        <w:t xml:space="preserve"> </w:t>
      </w:r>
      <w:r>
        <w:rPr>
          <w:rStyle w:val="ClaimLabel"/>
        </w:rPr>
        <w:t xml:space="preserve">VF</w:t>
      </w:r>
      <w:r>
        <w:rPr>
          <w:rStyle w:val="FootnoteReference"/>
        </w:rPr>
        <w:footnoteReference w:id="600"/>
      </w:r>
    </w:p>
    <w:p>
      <w:pPr>
        <w:numPr>
          <w:ilvl w:val="0"/>
          <w:numId w:val="1137"/>
        </w:numPr>
        <w:pStyle w:val="Compact"/>
      </w:pPr>
      <w:r>
        <w:t xml:space="preserve">EU serverless regions in Ireland, Frankfurt and the Netherlands</w:t>
      </w:r>
      <w:r>
        <w:t xml:space="preserve"> </w:t>
      </w:r>
      <w:r>
        <w:rPr>
          <w:rStyle w:val="ClaimLabel"/>
        </w:rPr>
        <w:t xml:space="preserve">VF</w:t>
      </w:r>
      <w:r>
        <w:rPr>
          <w:rStyle w:val="FootnoteReference"/>
        </w:rPr>
        <w:footnoteReference w:id="602"/>
      </w:r>
    </w:p>
    <w:p>
      <w:pPr>
        <w:pStyle w:val="FirstParagraph"/>
      </w:pPr>
      <w:r>
        <w:rPr>
          <w:bCs/>
          <w:b/>
        </w:rPr>
        <w:t xml:space="preserve">Limitations and risks</w:t>
      </w:r>
    </w:p>
    <w:p>
      <w:pPr>
        <w:numPr>
          <w:ilvl w:val="0"/>
          <w:numId w:val="1138"/>
        </w:numPr>
        <w:pStyle w:val="Compact"/>
      </w:pPr>
      <w:r>
        <w:t xml:space="preserve">Proprietary API and service; Nexus/KnowQL deepen coupling</w:t>
      </w:r>
      <w:r>
        <w:t xml:space="preserve"> </w:t>
      </w:r>
      <w:r>
        <w:rPr>
          <w:rStyle w:val="ClaimLabel"/>
        </w:rPr>
        <w:t xml:space="preserve">VF</w:t>
      </w:r>
      <w:r>
        <w:rPr>
          <w:rStyle w:val="FootnoteReference"/>
        </w:rPr>
        <w:footnoteReference w:id="604"/>
      </w:r>
      <w:r>
        <w:t xml:space="preserve"> </w:t>
      </w:r>
      <w:r>
        <w:rPr>
          <w:rStyle w:val="ClaimLabel"/>
        </w:rPr>
        <w:t xml:space="preserve">AJ</w:t>
      </w:r>
    </w:p>
    <w:p>
      <w:pPr>
        <w:numPr>
          <w:ilvl w:val="0"/>
          <w:numId w:val="1138"/>
        </w:numPr>
        <w:pStyle w:val="Compact"/>
      </w:pPr>
      <w:r>
        <w:t xml:space="preserve">BYOC needs Enterprise and supports Dedicated Read Nodes only; some features absent in BYOC as of late August 2026</w:t>
      </w:r>
      <w:r>
        <w:t xml:space="preserve"> </w:t>
      </w:r>
      <w:r>
        <w:rPr>
          <w:rStyle w:val="ClaimLabel"/>
        </w:rPr>
        <w:t xml:space="preserve">VF</w:t>
      </w:r>
      <w:r>
        <w:rPr>
          <w:rStyle w:val="FootnoteReference"/>
        </w:rPr>
        <w:footnoteReference w:id="605"/>
      </w:r>
    </w:p>
    <w:p>
      <w:pPr>
        <w:numPr>
          <w:ilvl w:val="0"/>
          <w:numId w:val="1138"/>
        </w:numPr>
        <w:pStyle w:val="Compact"/>
      </w:pPr>
      <w:r>
        <w:t xml:space="preserve">SDK v10 breaking changes (September 2026)</w:t>
      </w:r>
      <w:r>
        <w:t xml:space="preserve"> </w:t>
      </w:r>
      <w:r>
        <w:rPr>
          <w:rStyle w:val="ClaimLabel"/>
        </w:rPr>
        <w:t xml:space="preserve">VF</w:t>
      </w:r>
      <w:r>
        <w:rPr>
          <w:rStyle w:val="FootnoteReference"/>
        </w:rPr>
        <w:footnoteReference w:id="606"/>
      </w:r>
    </w:p>
    <w:p>
      <w:pPr>
        <w:numPr>
          <w:ilvl w:val="0"/>
          <w:numId w:val="1138"/>
        </w:numPr>
        <w:pStyle w:val="Compact"/>
      </w:pPr>
      <w:r>
        <w:t xml:space="preserve">Last disclosed funding 2023; CEO change September 2025</w:t>
      </w:r>
      <w:r>
        <w:t xml:space="preserve"> </w:t>
      </w:r>
      <w:r>
        <w:rPr>
          <w:rStyle w:val="ClaimLabel"/>
        </w:rPr>
        <w:t xml:space="preserve">VF</w:t>
      </w:r>
      <w:r>
        <w:rPr>
          <w:rStyle w:val="FootnoteReference"/>
        </w:rPr>
        <w:footnoteReference w:id="607"/>
      </w:r>
    </w:p>
    <w:p>
      <w:pPr>
        <w:numPr>
          <w:ilvl w:val="0"/>
          <w:numId w:val="1138"/>
        </w:numPr>
        <w:pStyle w:val="Compact"/>
      </w:pPr>
      <w:r>
        <w:t xml:space="preserve">BYOC nodes billed whether idle or busy</w:t>
      </w:r>
      <w:r>
        <w:t xml:space="preserve"> </w:t>
      </w:r>
      <w:r>
        <w:rPr>
          <w:rStyle w:val="ClaimLabel"/>
        </w:rPr>
        <w:t xml:space="preserve">VF</w:t>
      </w:r>
      <w:r>
        <w:rPr>
          <w:rStyle w:val="FootnoteReference"/>
        </w:rPr>
        <w:footnoteReference w:id="610"/>
      </w:r>
    </w:p>
    <w:p>
      <w:pPr>
        <w:pStyle w:val="FirstParagraph"/>
      </w:pPr>
      <w:r>
        <w:rPr>
          <w:bCs/>
          <w:b/>
        </w:rPr>
        <w:t xml:space="preserve">Choose when</w:t>
      </w:r>
    </w:p>
    <w:p>
      <w:pPr>
        <w:numPr>
          <w:ilvl w:val="0"/>
          <w:numId w:val="1139"/>
        </w:numPr>
        <w:pStyle w:val="Compact"/>
      </w:pPr>
      <w:r>
        <w:t xml:space="preserve">A managed dedicated store at scale with enterprise identity, keys and BYOC is required</w:t>
      </w:r>
      <w:r>
        <w:t xml:space="preserve"> </w:t>
      </w:r>
      <w:r>
        <w:rPr>
          <w:rStyle w:val="ClaimLabel"/>
        </w:rPr>
        <w:t xml:space="preserve">AJ</w:t>
      </w:r>
    </w:p>
    <w:p>
      <w:pPr>
        <w:pStyle w:val="FirstParagraph"/>
      </w:pPr>
      <w:r>
        <w:rPr>
          <w:bCs/>
          <w:b/>
        </w:rPr>
        <w:t xml:space="preserve">Avoid when</w:t>
      </w:r>
    </w:p>
    <w:p>
      <w:pPr>
        <w:numPr>
          <w:ilvl w:val="0"/>
          <w:numId w:val="1140"/>
        </w:numPr>
        <w:pStyle w:val="Compact"/>
      </w:pPr>
      <w:r>
        <w:t xml:space="preserve">Self-hosting or air-gap is required</w:t>
      </w:r>
      <w:r>
        <w:t xml:space="preserve"> </w:t>
      </w:r>
      <w:r>
        <w:rPr>
          <w:rStyle w:val="ClaimLabel"/>
        </w:rPr>
        <w:t xml:space="preserve">AJ</w:t>
      </w:r>
    </w:p>
    <w:p>
      <w:pPr>
        <w:numPr>
          <w:ilvl w:val="0"/>
          <w:numId w:val="1140"/>
        </w:numPr>
        <w:pStyle w:val="Compact"/>
      </w:pPr>
      <w:r>
        <w:t xml:space="preserve">Nexus would become the only home of curated knowledge</w:t>
      </w:r>
      <w:r>
        <w:t xml:space="preserve"> </w:t>
      </w:r>
      <w:r>
        <w:rPr>
          <w:rStyle w:val="ClaimLabel"/>
        </w:rPr>
        <w:t xml:space="preserve">AJ</w:t>
      </w:r>
    </w:p>
    <w:p>
      <w:pPr>
        <w:pStyle w:val="FirstParagraph"/>
      </w:pPr>
      <w:r>
        <w:rPr>
          <w:bCs/>
          <w:b/>
        </w:rPr>
        <w:t xml:space="preserve">Nearest competitors:</w:t>
      </w:r>
      <w:r>
        <w:t xml:space="preserve"> </w:t>
      </w:r>
      <w:r>
        <w:t xml:space="preserve">L6-milvus-zilliz, L6-qdrant, L6-turbopuffer</w:t>
      </w:r>
    </w:p>
    <w:p>
      <w:pPr>
        <w:pStyle w:val="BodyText"/>
      </w:pPr>
      <w:r>
        <w:rPr>
          <w:bCs/>
          <w:b/>
        </w:rPr>
        <w:t xml:space="preserve">Regulated-FS note.</w:t>
      </w:r>
      <w:r>
        <w:t xml:space="preserve"> </w:t>
      </w:r>
      <w:r>
        <w:t xml:space="preserve">Use Enterprise BYOC or an EU region; keep source of truth and raw text outside; treat Nexus as a separate decision with its own exit plan</w:t>
      </w:r>
      <w:r>
        <w:t xml:space="preserve"> </w:t>
      </w:r>
      <w:r>
        <w:rPr>
          <w:rStyle w:val="ClaimLabel"/>
        </w:rPr>
        <w:t xml:space="preserve">Rec</w:t>
      </w:r>
      <w:r>
        <w:t xml:space="preserve">.</w:t>
      </w:r>
    </w:p>
    <w:p>
      <w:pPr>
        <w:pStyle w:val="BodyText"/>
      </w:pPr>
      <w:r>
        <w:rPr>
          <w:bCs/>
          <w:b/>
        </w:rPr>
        <w:t xml:space="preserve">Facts (as of 2026-10-08)</w:t>
      </w:r>
    </w:p>
    <w:tbl>
      <w:tblPr>
        <w:tblStyle w:val="Table"/>
        <w:tblW w:type="pct" w:w="5000"/>
        <w:tblLook w:firstRow="1" w:lastRow="0" w:firstColumn="0" w:lastColumn="0" w:noHBand="0" w:noVBand="0" w:val="0020"/>
        <w:jc w:val="start"/>
      </w:tblPr>
      <w:tblGrid>
        <w:gridCol w:w="1485"/>
        <w:gridCol w:w="4290"/>
        <w:gridCol w:w="1320"/>
        <w:gridCol w:w="825"/>
      </w:tblGrid>
      <w:tr>
        <w:trPr>
          <w:tblHeader w:val="true"/>
        </w:trPr>
        <w:tc>
          <w:tcPr/>
          <w:p>
            <w:pPr>
              <w:pStyle w:val="Compact"/>
              <w:jc w:val="left"/>
            </w:pPr>
            <w:r>
              <w:t xml:space="preserve">Field</w:t>
            </w:r>
          </w:p>
        </w:tc>
        <w:tc>
          <w:tcPr/>
          <w:p>
            <w:pPr>
              <w:pStyle w:val="Compact"/>
              <w:jc w:val="left"/>
            </w:pPr>
            <w:r>
              <w:t xml:space="preserve">Value</w:t>
            </w:r>
          </w:p>
        </w:tc>
        <w:tc>
          <w:tcPr/>
          <w:p>
            <w:pPr>
              <w:pStyle w:val="Compact"/>
              <w:jc w:val="left"/>
            </w:pPr>
            <w:r>
              <w:t xml:space="preserve">Label</w:t>
            </w:r>
          </w:p>
        </w:tc>
        <w:tc>
          <w:tcPr/>
          <w:p>
            <w:pPr>
              <w:pStyle w:val="Compact"/>
              <w:jc w:val="left"/>
            </w:pPr>
            <w:r>
              <w:t xml:space="preserve">Sources</w:t>
            </w:r>
          </w:p>
        </w:tc>
      </w:tr>
      <w:tr>
        <w:tc>
          <w:tcPr/>
          <w:p>
            <w:pPr>
              <w:pStyle w:val="Compact"/>
              <w:jc w:val="left"/>
            </w:pPr>
            <w:r>
              <w:t xml:space="preserve">Company</w:t>
            </w:r>
          </w:p>
        </w:tc>
        <w:tc>
          <w:tcPr/>
          <w:p>
            <w:pPr>
              <w:pStyle w:val="Compact"/>
              <w:jc w:val="left"/>
            </w:pPr>
            <w:r>
              <w:t xml:space="preserve">Pinecone Systems, Inc. (New York); CEO Ash Ashutosh since September 2025, founder Edo Liberty Chief Scientist</w:t>
            </w:r>
          </w:p>
        </w:tc>
        <w:tc>
          <w:tcPr/>
          <w:p>
            <w:pPr>
              <w:pStyle w:val="Compact"/>
              <w:jc w:val="left"/>
            </w:pPr>
            <w:r>
              <w:t xml:space="preserve">Verified fact</w:t>
            </w:r>
          </w:p>
        </w:tc>
        <w:tc>
          <w:tcPr/>
          <w:p>
            <w:pPr>
              <w:pStyle w:val="Compact"/>
              <w:jc w:val="left"/>
            </w:pPr>
            <w:r>
              <w:t xml:space="preserve">A2-S051, A2-S072, A2-S068</w:t>
            </w:r>
          </w:p>
        </w:tc>
      </w:tr>
      <w:tr>
        <w:tc>
          <w:tcPr/>
          <w:p>
            <w:pPr>
              <w:pStyle w:val="Compact"/>
              <w:jc w:val="left"/>
            </w:pPr>
            <w:r>
              <w:t xml:space="preserve">Category</w:t>
            </w:r>
          </w:p>
        </w:tc>
        <w:tc>
          <w:tcPr/>
          <w:p>
            <w:pPr>
              <w:pStyle w:val="Compact"/>
              <w:jc w:val="left"/>
            </w:pPr>
            <w:r>
              <w:t xml:space="preserve">Managed vector database / knowledge infrastructure for AI</w:t>
            </w:r>
          </w:p>
        </w:tc>
        <w:tc>
          <w:tcPr/>
          <w:p>
            <w:pPr>
              <w:pStyle w:val="Compact"/>
              <w:jc w:val="left"/>
            </w:pPr>
            <w:r>
              <w:t xml:space="preserve">Verified fact</w:t>
            </w:r>
          </w:p>
        </w:tc>
        <w:tc>
          <w:tcPr/>
          <w:p>
            <w:pPr>
              <w:pStyle w:val="Compact"/>
              <w:jc w:val="left"/>
            </w:pPr>
            <w:r>
              <w:t xml:space="preserve">A2-S051, A2-S073</w:t>
            </w:r>
          </w:p>
        </w:tc>
      </w:tr>
      <w:tr>
        <w:tc>
          <w:tcPr/>
          <w:p>
            <w:pPr>
              <w:pStyle w:val="Compact"/>
              <w:jc w:val="left"/>
            </w:pPr>
            <w:r>
              <w:t xml:space="preserve">Version / lineup</w:t>
            </w:r>
          </w:p>
        </w:tc>
        <w:tc>
          <w:tcPr/>
          <w:p>
            <w:pPr>
              <w:pStyle w:val="Compact"/>
              <w:jc w:val="left"/>
            </w:pPr>
            <w:r>
              <w:t xml:space="preserve">Managed service (serverless on-demand and Dedicated Read Nodes; BYOC); Python SDK 10.0.0 (3 September 2026) introduces schema-based document indexes and a deployment parameter; Nexus GA 6 August 2026</w:t>
            </w:r>
          </w:p>
        </w:tc>
        <w:tc>
          <w:tcPr/>
          <w:p>
            <w:pPr>
              <w:pStyle w:val="Compact"/>
              <w:jc w:val="left"/>
            </w:pPr>
            <w:r>
              <w:t xml:space="preserve">Verified fact</w:t>
            </w:r>
          </w:p>
        </w:tc>
        <w:tc>
          <w:tcPr/>
          <w:p>
            <w:pPr>
              <w:pStyle w:val="Compact"/>
              <w:jc w:val="left"/>
            </w:pPr>
            <w:r>
              <w:t xml:space="preserve">A2-S051, A2-S072, A2-S069, A2-S073</w:t>
            </w:r>
          </w:p>
        </w:tc>
      </w:tr>
      <w:tr>
        <w:tc>
          <w:tcPr/>
          <w:p>
            <w:pPr>
              <w:pStyle w:val="Compact"/>
              <w:jc w:val="left"/>
            </w:pPr>
            <w:r>
              <w:t xml:space="preserve">Licence</w:t>
            </w:r>
          </w:p>
        </w:tc>
        <w:tc>
          <w:tcPr/>
          <w:p>
            <w:pPr>
              <w:pStyle w:val="Compact"/>
              <w:jc w:val="left"/>
            </w:pPr>
            <w:r>
              <w:t xml:space="preserve">Proprietary managed service; Python SDK Apache-2.0</w:t>
            </w:r>
          </w:p>
        </w:tc>
        <w:tc>
          <w:tcPr/>
          <w:p>
            <w:pPr>
              <w:pStyle w:val="Compact"/>
              <w:jc w:val="left"/>
            </w:pPr>
            <w:r>
              <w:t xml:space="preserve">Verified fact</w:t>
            </w:r>
          </w:p>
        </w:tc>
        <w:tc>
          <w:tcPr/>
          <w:p>
            <w:pPr>
              <w:pStyle w:val="Compact"/>
              <w:jc w:val="left"/>
            </w:pPr>
            <w:r>
              <w:t xml:space="preserve">A2-S051</w:t>
            </w:r>
          </w:p>
        </w:tc>
      </w:tr>
      <w:tr>
        <w:tc>
          <w:tcPr/>
          <w:p>
            <w:pPr>
              <w:pStyle w:val="Compact"/>
              <w:jc w:val="left"/>
            </w:pPr>
            <w:r>
              <w:t xml:space="preserve">Status events</w:t>
            </w:r>
          </w:p>
        </w:tc>
        <w:tc>
          <w:tcPr/>
          <w:p>
            <w:pPr>
              <w:pStyle w:val="Compact"/>
              <w:jc w:val="left"/>
            </w:pPr>
            <w:r>
              <w:t xml:space="preserve">September 2025: Ash Ashutosh appointed CEO; April 2026: Dedicated Read Nodes GA; May 2026: Nexus early access, Marketplace launch, US$20/month Builder tier; 3 June 2026: Nexus + Microsoft OneLake integration; July 2026: Nexus public preview; 6 August 2026: Nexus GA; 3 September 2026: Python SDK v10 (breaking API changes); Late September 2026: BYOC announced generally available on AWS, GCP and Azure (Enterprise plan; some features such as Assistant, Inference and on-demand indexes were not yet available in BYOC as of late August)</w:t>
            </w:r>
          </w:p>
        </w:tc>
        <w:tc>
          <w:tcPr/>
          <w:p>
            <w:pPr>
              <w:pStyle w:val="Compact"/>
              <w:jc w:val="left"/>
            </w:pPr>
            <w:r>
              <w:t xml:space="preserve">Verified fact</w:t>
            </w:r>
          </w:p>
        </w:tc>
        <w:tc>
          <w:tcPr/>
          <w:p>
            <w:pPr>
              <w:pStyle w:val="Compact"/>
              <w:jc w:val="left"/>
            </w:pPr>
            <w:r>
              <w:t xml:space="preserve">A2-S068, A2-S072, A2-S074, A2-S073, A2-S051, V1-S029, V1-S034</w:t>
            </w:r>
          </w:p>
        </w:tc>
      </w:tr>
      <w:tr>
        <w:tc>
          <w:tcPr/>
          <w:p>
            <w:pPr>
              <w:pStyle w:val="Compact"/>
              <w:jc w:val="left"/>
            </w:pPr>
            <w:r>
              <w:t xml:space="preserve">Strategic direction</w:t>
            </w:r>
          </w:p>
        </w:tc>
        <w:tc>
          <w:tcPr/>
          <w:p>
            <w:pPr>
              <w:pStyle w:val="Compact"/>
              <w:jc w:val="left"/>
            </w:pPr>
            <w:r>
              <w:t xml:space="preserve">Repositioning from vector database to knowledge infrastructure for agents: Nexus context compiler + composable retriever with KnowQL query language, field-level access control, citations, PII-aware ingestion and lineage; Microsoft OneLake integration (June 2026); Pinecone Marketplace (May 2026)</w:t>
            </w:r>
          </w:p>
        </w:tc>
        <w:tc>
          <w:tcPr/>
          <w:p>
            <w:pPr>
              <w:pStyle w:val="Compact"/>
              <w:jc w:val="left"/>
            </w:pPr>
            <w:r>
              <w:t xml:space="preserve">Verified fact</w:t>
            </w:r>
          </w:p>
        </w:tc>
        <w:tc>
          <w:tcPr/>
          <w:p>
            <w:pPr>
              <w:pStyle w:val="Compact"/>
              <w:jc w:val="left"/>
            </w:pPr>
            <w:r>
              <w:t xml:space="preserve">A2-S073, A2-S074</w:t>
            </w:r>
          </w:p>
        </w:tc>
      </w:tr>
      <w:tr>
        <w:tc>
          <w:tcPr/>
          <w:p>
            <w:pPr>
              <w:pStyle w:val="Compact"/>
              <w:jc w:val="left"/>
            </w:pPr>
            <w:r>
              <w:t xml:space="preserve">What it does</w:t>
            </w:r>
          </w:p>
        </w:tc>
        <w:tc>
          <w:tcPr/>
          <w:p>
            <w:pPr>
              <w:pStyle w:val="Compact"/>
              <w:jc w:val="left"/>
            </w:pPr>
            <w:r>
              <w:t xml:space="preserve">Fully managed vector/document index with metadata filtering, namespaces and server-side embedding (create_for_model), plus Nexus for compiling enterprise data into task-specific knowledge artifacts for agents.</w:t>
            </w:r>
          </w:p>
        </w:tc>
        <w:tc>
          <w:tcPr/>
          <w:p>
            <w:pPr>
              <w:pStyle w:val="Compact"/>
              <w:jc w:val="left"/>
            </w:pPr>
            <w:r>
              <w:t xml:space="preserve">Verified fact</w:t>
            </w:r>
          </w:p>
        </w:tc>
        <w:tc>
          <w:tcPr/>
          <w:p>
            <w:pPr>
              <w:pStyle w:val="Compact"/>
              <w:jc w:val="left"/>
            </w:pPr>
            <w:r>
              <w:t xml:space="preserve">A2-S051, A2-S073</w:t>
            </w:r>
          </w:p>
        </w:tc>
      </w:tr>
      <w:tr>
        <w:tc>
          <w:tcPr/>
          <w:p>
            <w:pPr>
              <w:pStyle w:val="Compact"/>
              <w:jc w:val="left"/>
            </w:pPr>
            <w:r>
              <w:t xml:space="preserve">Stack position</w:t>
            </w:r>
          </w:p>
        </w:tc>
        <w:tc>
          <w:tcPr/>
          <w:p>
            <w:pPr>
              <w:pStyle w:val="Compact"/>
              <w:jc w:val="left"/>
            </w:pPr>
            <w:r>
              <w:t xml:space="preserve">L6; with Nexus it also reaches into L5 memory/knowledge and L8 ingestion territory.</w:t>
            </w:r>
          </w:p>
        </w:tc>
        <w:tc>
          <w:tcPr/>
          <w:p>
            <w:pPr>
              <w:pStyle w:val="Compact"/>
              <w:jc w:val="left"/>
            </w:pPr>
            <w:r>
              <w:t xml:space="preserve">Architectural judgement</w:t>
            </w:r>
          </w:p>
        </w:tc>
        <w:tc>
          <w:tcPr/>
          <w:p>
            <w:pPr>
              <w:pStyle w:val="Compact"/>
            </w:pPr>
          </w:p>
        </w:tc>
      </w:tr>
      <w:tr>
        <w:tc>
          <w:tcPr/>
          <w:p>
            <w:pPr>
              <w:pStyle w:val="Compact"/>
              <w:jc w:val="left"/>
            </w:pPr>
            <w:r>
              <w:t xml:space="preserve">Integration</w:t>
            </w:r>
          </w:p>
        </w:tc>
        <w:tc>
          <w:tcPr/>
          <w:p>
            <w:pPr>
              <w:pStyle w:val="Compact"/>
              <w:jc w:val="left"/>
            </w:pPr>
            <w:r>
              <w:t xml:space="preserve">REST API and SDKs (Python v10); integrated inference: server-side embedding, hosted rerankers (pinecone-rerank-v0, cohere-rerank 3.5, bge-reranker-v2-m3) and sparse model pinecone-sparse-english-v0 for hybrid/cascading retrieval; Marketplace; OneLake connector for Nexus</w:t>
            </w:r>
          </w:p>
        </w:tc>
        <w:tc>
          <w:tcPr/>
          <w:p>
            <w:pPr>
              <w:pStyle w:val="Compact"/>
              <w:jc w:val="left"/>
            </w:pPr>
            <w:r>
              <w:t xml:space="preserve">Verified fact</w:t>
            </w:r>
          </w:p>
        </w:tc>
        <w:tc>
          <w:tcPr/>
          <w:p>
            <w:pPr>
              <w:pStyle w:val="Compact"/>
              <w:jc w:val="left"/>
            </w:pPr>
            <w:r>
              <w:t xml:space="preserve">A2-S051, A2-S101, A2-S073, A2-S074</w:t>
            </w:r>
          </w:p>
        </w:tc>
      </w:tr>
      <w:tr>
        <w:tc>
          <w:tcPr/>
          <w:p>
            <w:pPr>
              <w:pStyle w:val="Compact"/>
              <w:jc w:val="left"/>
            </w:pPr>
            <w:r>
              <w:t xml:space="preserve">Dependencies</w:t>
            </w:r>
          </w:p>
        </w:tc>
        <w:tc>
          <w:tcPr/>
          <w:p>
            <w:pPr>
              <w:pStyle w:val="Compact"/>
              <w:jc w:val="left"/>
            </w:pPr>
            <w:r>
              <w:t xml:space="preserve">Pinecone cloud on AWS, GCP or Azure; BYOC runs in the customer’s Kubernetes cluster with FoundationDB for metadata</w:t>
            </w:r>
          </w:p>
        </w:tc>
        <w:tc>
          <w:tcPr/>
          <w:p>
            <w:pPr>
              <w:pStyle w:val="Compact"/>
              <w:jc w:val="left"/>
            </w:pPr>
            <w:r>
              <w:t xml:space="preserve">Verified fact</w:t>
            </w:r>
          </w:p>
        </w:tc>
        <w:tc>
          <w:tcPr/>
          <w:p>
            <w:pPr>
              <w:pStyle w:val="Compact"/>
              <w:jc w:val="left"/>
            </w:pPr>
            <w:r>
              <w:t xml:space="preserve">A2-S069</w:t>
            </w:r>
          </w:p>
        </w:tc>
      </w:tr>
      <w:tr>
        <w:tc>
          <w:tcPr/>
          <w:p>
            <w:pPr>
              <w:pStyle w:val="Compact"/>
              <w:jc w:val="left"/>
            </w:pPr>
            <w:r>
              <w:t xml:space="preserve">Certifications</w:t>
            </w:r>
          </w:p>
        </w:tc>
        <w:tc>
          <w:tcPr/>
          <w:p>
            <w:pPr>
              <w:pStyle w:val="Compact"/>
              <w:jc w:val="left"/>
            </w:pPr>
            <w:r>
              <w:t xml:space="preserve">SOC 2 Type II (2025 report, zero deviations); ISO/IEC 27001:2022 (annual surveillance audit); HIPAA with BAA on request; GDPR-ready; CCPA</w:t>
            </w:r>
          </w:p>
        </w:tc>
        <w:tc>
          <w:tcPr/>
          <w:p>
            <w:pPr>
              <w:pStyle w:val="Compact"/>
              <w:jc w:val="left"/>
            </w:pPr>
            <w:r>
              <w:t xml:space="preserve">Verified fact</w:t>
            </w:r>
          </w:p>
        </w:tc>
        <w:tc>
          <w:tcPr/>
          <w:p>
            <w:pPr>
              <w:pStyle w:val="Compact"/>
              <w:jc w:val="left"/>
            </w:pPr>
            <w:r>
              <w:t xml:space="preserve">A2-S095, A2-S096, V1-S078</w:t>
            </w:r>
          </w:p>
        </w:tc>
      </w:tr>
      <w:tr>
        <w:tc>
          <w:tcPr/>
          <w:p>
            <w:pPr>
              <w:pStyle w:val="Compact"/>
              <w:jc w:val="left"/>
            </w:pPr>
            <w:r>
              <w:t xml:space="preserve">GDPR / residency</w:t>
            </w:r>
          </w:p>
        </w:tc>
        <w:tc>
          <w:tcPr/>
          <w:p>
            <w:pPr>
              <w:pStyle w:val="Compact"/>
              <w:jc w:val="left"/>
            </w:pPr>
            <w:r>
              <w:t xml:space="preserve">Frankfurt cloud region announced (newsroom headline; date not retrieved); Nexus BYOC data-residency reference exists</w:t>
            </w:r>
          </w:p>
        </w:tc>
        <w:tc>
          <w:tcPr/>
          <w:p>
            <w:pPr>
              <w:pStyle w:val="Compact"/>
              <w:jc w:val="left"/>
            </w:pPr>
            <w:r>
              <w:t xml:space="preserve">Reported</w:t>
            </w:r>
          </w:p>
        </w:tc>
        <w:tc>
          <w:tcPr/>
          <w:p>
            <w:pPr>
              <w:pStyle w:val="Compact"/>
              <w:jc w:val="left"/>
            </w:pPr>
            <w:r>
              <w:t xml:space="preserve">A2-S076</w:t>
            </w:r>
          </w:p>
        </w:tc>
      </w:tr>
      <w:tr>
        <w:tc>
          <w:tcPr/>
          <w:p>
            <w:pPr>
              <w:pStyle w:val="Compact"/>
              <w:jc w:val="left"/>
            </w:pPr>
            <w:r>
              <w:t xml:space="preserve">Security features</w:t>
            </w:r>
          </w:p>
        </w:tc>
        <w:tc>
          <w:tcPr/>
          <w:p>
            <w:pPr>
              <w:pStyle w:val="Compact"/>
              <w:jc w:val="left"/>
            </w:pPr>
            <w:r>
              <w:t xml:space="preserve">AES-256 at rest, TLS in transit; CMEK at project level (irreversible toggle); AWS PrivateLink GA for serverless indexes; BYOC data plane in customer VPC with no vendor SSH/VPN/inbound access</w:t>
            </w:r>
          </w:p>
        </w:tc>
        <w:tc>
          <w:tcPr/>
          <w:p>
            <w:pPr>
              <w:pStyle w:val="Compact"/>
              <w:jc w:val="left"/>
            </w:pPr>
            <w:r>
              <w:t xml:space="preserve">Verified fact</w:t>
            </w:r>
          </w:p>
        </w:tc>
        <w:tc>
          <w:tcPr/>
          <w:p>
            <w:pPr>
              <w:pStyle w:val="Compact"/>
              <w:jc w:val="left"/>
            </w:pPr>
            <w:r>
              <w:t xml:space="preserve">A2-S096, A2-S097, A2-S069</w:t>
            </w:r>
          </w:p>
        </w:tc>
      </w:tr>
      <w:tr>
        <w:tc>
          <w:tcPr/>
          <w:p>
            <w:pPr>
              <w:pStyle w:val="Compact"/>
              <w:jc w:val="left"/>
            </w:pPr>
            <w:r>
              <w:t xml:space="preserve">Access controls</w:t>
            </w:r>
          </w:p>
        </w:tc>
        <w:tc>
          <w:tcPr/>
          <w:p>
            <w:pPr>
              <w:pStyle w:val="Compact"/>
              <w:jc w:val="left"/>
            </w:pPr>
            <w:r>
              <w:t xml:space="preserve">SSO (SAML; Okta, Google Workforce) for Enterprise; SCIM + SAML; RBAC for users, service accounts and API keys (control/data plane roles); audit logs on Enterprise or HIPAA add-on (30-minute JSON batches); Nexus field-level access control</w:t>
            </w:r>
          </w:p>
        </w:tc>
        <w:tc>
          <w:tcPr/>
          <w:p>
            <w:pPr>
              <w:pStyle w:val="Compact"/>
              <w:jc w:val="left"/>
            </w:pPr>
            <w:r>
              <w:t xml:space="preserve">Verified fact</w:t>
            </w:r>
          </w:p>
        </w:tc>
        <w:tc>
          <w:tcPr/>
          <w:p>
            <w:pPr>
              <w:pStyle w:val="Compact"/>
              <w:jc w:val="left"/>
            </w:pPr>
            <w:r>
              <w:t xml:space="preserve">A2-S097, A2-S098, A2-S073</w:t>
            </w:r>
          </w:p>
        </w:tc>
      </w:tr>
      <w:tr>
        <w:tc>
          <w:tcPr/>
          <w:p>
            <w:pPr>
              <w:pStyle w:val="Compact"/>
              <w:jc w:val="left"/>
            </w:pPr>
            <w:r>
              <w:t xml:space="preserve">Enterprise support</w:t>
            </w:r>
          </w:p>
        </w:tc>
        <w:tc>
          <w:tcPr/>
          <w:p>
            <w:pPr>
              <w:pStyle w:val="Compact"/>
              <w:jc w:val="left"/>
            </w:pPr>
            <w:r>
              <w:t xml:space="preserve">Standard and Enterprise plans; Enterprise unlocks SSO, audit logs, BYOC</w:t>
            </w:r>
          </w:p>
        </w:tc>
        <w:tc>
          <w:tcPr/>
          <w:p>
            <w:pPr>
              <w:pStyle w:val="Compact"/>
              <w:jc w:val="left"/>
            </w:pPr>
            <w:r>
              <w:t xml:space="preserve">Verified fact</w:t>
            </w:r>
          </w:p>
        </w:tc>
        <w:tc>
          <w:tcPr/>
          <w:p>
            <w:pPr>
              <w:pStyle w:val="Compact"/>
              <w:jc w:val="left"/>
            </w:pPr>
            <w:r>
              <w:t xml:space="preserve">A2-S072, A2-S097, A2-S099</w:t>
            </w:r>
          </w:p>
        </w:tc>
      </w:tr>
      <w:tr>
        <w:tc>
          <w:tcPr/>
          <w:p>
            <w:pPr>
              <w:pStyle w:val="Compact"/>
              <w:jc w:val="left"/>
            </w:pPr>
            <w:r>
              <w:t xml:space="preserve">Pricing</w:t>
            </w:r>
          </w:p>
        </w:tc>
        <w:tc>
          <w:tcPr/>
          <w:p>
            <w:pPr>
              <w:pStyle w:val="Compact"/>
              <w:jc w:val="left"/>
            </w:pPr>
            <w:r>
              <w:t xml:space="preserve">Builder tier US$20/month (May 2026); Standard minimum US$50/month, Enterprise minimum US$500/month; committed-use rates (vary by cloud/region): Standard storage US$0.33/GB-month, writes US$4-4.50 per million WU, reads US$16-18 per million RU; Enterprise writes US$6-6.75, reads US$24-27 per million; query = 1 RU per GB of namespace (min 0.25); BYOC: platform fee + per-DRN rate + own cloud costs</w:t>
            </w:r>
          </w:p>
        </w:tc>
        <w:tc>
          <w:tcPr/>
          <w:p>
            <w:pPr>
              <w:pStyle w:val="Compact"/>
              <w:jc w:val="left"/>
            </w:pPr>
            <w:r>
              <w:t xml:space="preserve">Verified fact</w:t>
            </w:r>
          </w:p>
        </w:tc>
        <w:tc>
          <w:tcPr/>
          <w:p>
            <w:pPr>
              <w:pStyle w:val="Compact"/>
              <w:jc w:val="left"/>
            </w:pPr>
            <w:r>
              <w:t xml:space="preserve">A2-S074, A2-S099, A2-S100, A2-S069</w:t>
            </w:r>
          </w:p>
        </w:tc>
      </w:tr>
      <w:tr>
        <w:tc>
          <w:tcPr/>
          <w:p>
            <w:pPr>
              <w:pStyle w:val="Compact"/>
              <w:jc w:val="left"/>
            </w:pPr>
            <w:r>
              <w:t xml:space="preserve">Infrastructure cost</w:t>
            </w:r>
          </w:p>
        </w:tc>
        <w:tc>
          <w:tcPr/>
          <w:p>
            <w:pPr>
              <w:pStyle w:val="Compact"/>
              <w:jc w:val="left"/>
            </w:pPr>
            <w:r>
              <w:t xml:space="preserve">BYOC nodes billed whether idle or busy</w:t>
            </w:r>
          </w:p>
        </w:tc>
        <w:tc>
          <w:tcPr/>
          <w:p>
            <w:pPr>
              <w:pStyle w:val="Compact"/>
              <w:jc w:val="left"/>
            </w:pPr>
            <w:r>
              <w:t xml:space="preserve">Verified fact</w:t>
            </w:r>
          </w:p>
        </w:tc>
        <w:tc>
          <w:tcPr/>
          <w:p>
            <w:pPr>
              <w:pStyle w:val="Compact"/>
              <w:jc w:val="left"/>
            </w:pPr>
            <w:r>
              <w:t xml:space="preserve">A2-S069</w:t>
            </w:r>
          </w:p>
        </w:tc>
      </w:tr>
      <w:tr>
        <w:tc>
          <w:tcPr/>
          <w:p>
            <w:pPr>
              <w:pStyle w:val="Compact"/>
              <w:jc w:val="left"/>
            </w:pPr>
            <w:r>
              <w:t xml:space="preserve">Ecosystem</w:t>
            </w:r>
          </w:p>
        </w:tc>
        <w:tc>
          <w:tcPr/>
          <w:p>
            <w:pPr>
              <w:pStyle w:val="Compact"/>
              <w:jc w:val="left"/>
            </w:pPr>
            <w:r>
              <w:t xml:space="preserve">Microsoft OneLake (Nexus); Pinecone Marketplace</w:t>
            </w:r>
          </w:p>
        </w:tc>
        <w:tc>
          <w:tcPr/>
          <w:p>
            <w:pPr>
              <w:pStyle w:val="Compact"/>
              <w:jc w:val="left"/>
            </w:pPr>
            <w:r>
              <w:t xml:space="preserve">Verified fact</w:t>
            </w:r>
          </w:p>
        </w:tc>
        <w:tc>
          <w:tcPr/>
          <w:p>
            <w:pPr>
              <w:pStyle w:val="Compact"/>
              <w:jc w:val="left"/>
            </w:pPr>
            <w:r>
              <w:t xml:space="preserve">A2-S073, A2-S074</w:t>
            </w:r>
          </w:p>
        </w:tc>
      </w:tr>
      <w:tr>
        <w:tc>
          <w:tcPr/>
          <w:p>
            <w:pPr>
              <w:pStyle w:val="Compact"/>
              <w:jc w:val="left"/>
            </w:pPr>
            <w:r>
              <w:t xml:space="preserve">Adoption signals</w:t>
            </w:r>
          </w:p>
        </w:tc>
        <w:tc>
          <w:tcPr/>
          <w:p>
            <w:pPr>
              <w:pStyle w:val="Compact"/>
              <w:jc w:val="left"/>
            </w:pPr>
            <w:r>
              <w:t xml:space="preserve">US$138M total funding (Andreessen Horowitz, ICONIQ, Menlo, Wing); Series B US$100M at US$750M (2023); ZoomInfo DRN customer story (April 2026)</w:t>
            </w:r>
          </w:p>
        </w:tc>
        <w:tc>
          <w:tcPr/>
          <w:p>
            <w:pPr>
              <w:pStyle w:val="Compact"/>
              <w:jc w:val="left"/>
            </w:pPr>
            <w:r>
              <w:t xml:space="preserve">Verified fact</w:t>
            </w:r>
          </w:p>
        </w:tc>
        <w:tc>
          <w:tcPr/>
          <w:p>
            <w:pPr>
              <w:pStyle w:val="Compact"/>
              <w:jc w:val="left"/>
            </w:pPr>
            <w:r>
              <w:t xml:space="preserve">A2-S072, A2-S075</w:t>
            </w:r>
          </w:p>
        </w:tc>
      </w:tr>
      <w:tr>
        <w:tc>
          <w:tcPr/>
          <w:p>
            <w:pPr>
              <w:pStyle w:val="Compact"/>
              <w:jc w:val="left"/>
            </w:pPr>
            <w:r>
              <w:t xml:space="preserve">Maturity</w:t>
            </w:r>
          </w:p>
        </w:tc>
        <w:tc>
          <w:tcPr/>
          <w:p>
            <w:pPr>
              <w:pStyle w:val="Compact"/>
              <w:jc w:val="left"/>
            </w:pPr>
            <w:r>
              <w:t xml:space="preserve">Core service mature; Nexus GA since August 2026; SDK v10 is a breaking change</w:t>
            </w:r>
          </w:p>
        </w:tc>
        <w:tc>
          <w:tcPr/>
          <w:p>
            <w:pPr>
              <w:pStyle w:val="Compact"/>
              <w:jc w:val="left"/>
            </w:pPr>
            <w:r>
              <w:t xml:space="preserve">Verified fact</w:t>
            </w:r>
          </w:p>
        </w:tc>
        <w:tc>
          <w:tcPr/>
          <w:p>
            <w:pPr>
              <w:pStyle w:val="Compact"/>
              <w:jc w:val="left"/>
            </w:pPr>
            <w:r>
              <w:t xml:space="preserve">A2-S073, A2-S051</w:t>
            </w:r>
          </w:p>
        </w:tc>
      </w:tr>
      <w:tr>
        <w:tc>
          <w:tcPr/>
          <w:p>
            <w:pPr>
              <w:pStyle w:val="Compact"/>
              <w:jc w:val="left"/>
            </w:pPr>
            <w:r>
              <w:t xml:space="preserve">Deployment</w:t>
            </w:r>
          </w:p>
        </w:tc>
        <w:tc>
          <w:tcPr/>
          <w:p>
            <w:pPr>
              <w:pStyle w:val="Compact"/>
              <w:jc w:val="left"/>
            </w:pPr>
            <w:r>
              <w:t xml:space="preserve">saas: Yes; managed_cloud: Yes (AWS, GCP, Azure regions); vpc_byoc: Yes (Enterprise; AWS, GCP, Azure; Dedicated Read Node indexes only; zero vendor access); private_cloud: Not publicly verified; self_hosted: No; on_prem: No</w:t>
            </w:r>
          </w:p>
        </w:tc>
        <w:tc>
          <w:tcPr/>
          <w:p>
            <w:pPr>
              <w:pStyle w:val="Compact"/>
            </w:pPr>
          </w:p>
        </w:tc>
        <w:tc>
          <w:tcPr/>
          <w:p>
            <w:pPr>
              <w:pStyle w:val="Compact"/>
            </w:pPr>
          </w:p>
        </w:tc>
      </w:tr>
    </w:tbl>
    <w:bookmarkEnd w:id="611"/>
    <w:bookmarkStart w:id="630" w:name="Xf4d1679c6f9de21a7e1aec0a729b3b0ddea68fc"/>
    <w:p>
      <w:pPr>
        <w:pStyle w:val="Heading2"/>
      </w:pPr>
      <w:r>
        <w:t xml:space="preserve">Weaviate (database; Weaviate Cloud: Shared, Dedicated, BYOC) (</w:t>
      </w:r>
      <w:r>
        <w:rPr>
          <w:rStyle w:val="VerbatimChar"/>
        </w:rPr>
        <w:t xml:space="preserve">L6-weaviate</w:t>
      </w:r>
      <w:r>
        <w:t xml:space="preserve">)</w:t>
      </w:r>
    </w:p>
    <w:p>
      <w:pPr>
        <w:pStyle w:val="FirstParagraph"/>
      </w:pPr>
      <w:r>
        <w:rPr>
          <w:bCs/>
          <w:b/>
        </w:rPr>
        <w:t xml:space="preserve">Tier:</w:t>
      </w:r>
      <w:r>
        <w:t xml:space="preserve"> </w:t>
      </w:r>
      <w:r>
        <w:t xml:space="preserve">Tactical ·</w:t>
      </w:r>
      <w:r>
        <w:t xml:space="preserve"> </w:t>
      </w:r>
      <w:r>
        <w:rPr>
          <w:bCs/>
          <w:b/>
        </w:rPr>
        <w:t xml:space="preserve">Flags:</w:t>
      </w:r>
      <w:r>
        <w:t xml:space="preserve"> </w:t>
      </w:r>
      <w:r>
        <w:t xml:space="preserve">none ·</w:t>
      </w:r>
      <w:r>
        <w:t xml:space="preserve"> </w:t>
      </w:r>
      <w:r>
        <w:rPr>
          <w:bCs/>
          <w:b/>
        </w:rPr>
        <w:t xml:space="preserve">Original graphic label:</w:t>
      </w:r>
      <w:r>
        <w:t xml:space="preserve"> </w:t>
      </w:r>
      <w:r>
        <w:t xml:space="preserve">Weaviate – open source</w:t>
      </w:r>
    </w:p>
    <w:p>
      <w:pPr>
        <w:pStyle w:val="BodyText"/>
      </w:pPr>
      <w:r>
        <w:rPr>
          <w:iCs/>
          <w:i/>
        </w:rPr>
        <w:t xml:space="preserve">Rationale:</w:t>
      </w:r>
      <w:r>
        <w:t xml:space="preserve"> </w:t>
      </w:r>
      <w:r>
        <w:t xml:space="preserve">Capable and ISO-certified, but the open-core licence transition is incomplete and unannounced</w:t>
      </w:r>
      <w:r>
        <w:t xml:space="preserve"> </w:t>
      </w:r>
      <w:r>
        <w:rPr>
          <w:rStyle w:val="ClaimLabel"/>
        </w:rPr>
        <w:t xml:space="preserve">AJ</w:t>
      </w:r>
      <w:r>
        <w:t xml:space="preserve">.</w:t>
      </w:r>
    </w:p>
    <w:tbl>
      <w:tblPr>
        <w:tblStyle w:val="Table"/>
        <w:tblW w:type="pct" w:w="5000"/>
        <w:tblLook w:firstRow="1" w:lastRow="0" w:firstColumn="0" w:lastColumn="0" w:noHBand="0" w:noVBand="0" w:val="0020"/>
        <w:jc w:val="start"/>
      </w:tblPr>
      <w:tblGrid>
        <w:gridCol w:w="1545"/>
        <w:gridCol w:w="579"/>
        <w:gridCol w:w="5795"/>
      </w:tblGrid>
      <w:tr>
        <w:trPr>
          <w:tblHeader w:val="true"/>
        </w:trPr>
        <w:tc>
          <w:tcPr/>
          <w:p>
            <w:pPr>
              <w:pStyle w:val="Compact"/>
              <w:jc w:val="left"/>
            </w:pPr>
            <w:r>
              <w:t xml:space="preserve">Criterion</w:t>
            </w:r>
          </w:p>
        </w:tc>
        <w:tc>
          <w:tcPr/>
          <w:p>
            <w:pPr>
              <w:pStyle w:val="Compact"/>
              <w:jc w:val="right"/>
            </w:pPr>
            <w:r>
              <w:t xml:space="preserve">Score</w:t>
            </w:r>
          </w:p>
        </w:tc>
        <w:tc>
          <w:tcPr/>
          <w:p>
            <w:pPr>
              <w:pStyle w:val="Compact"/>
              <w:jc w:val="left"/>
            </w:pPr>
            <w:r>
              <w:t xml:space="preserve">Rationale</w:t>
            </w:r>
          </w:p>
        </w:tc>
      </w:tr>
      <w:tr>
        <w:tc>
          <w:tcPr/>
          <w:p>
            <w:pPr>
              <w:pStyle w:val="Compact"/>
              <w:jc w:val="left"/>
            </w:pPr>
            <w:r>
              <w:t xml:space="preserve">Technical</w:t>
            </w:r>
          </w:p>
        </w:tc>
        <w:tc>
          <w:tcPr/>
          <w:p>
            <w:pPr>
              <w:pStyle w:val="Compact"/>
              <w:jc w:val="right"/>
            </w:pPr>
            <w:r>
              <w:t xml:space="preserve">4</w:t>
            </w:r>
          </w:p>
        </w:tc>
        <w:tc>
          <w:tcPr/>
          <w:p>
            <w:pPr>
              <w:pStyle w:val="Compact"/>
              <w:jc w:val="left"/>
            </w:pPr>
            <w:r>
              <w:t xml:space="preserve">Hybrid search, filtering, MMR, Boost, quantisation; multi-tenancy not evidenced in the fact base</w:t>
            </w:r>
          </w:p>
        </w:tc>
      </w:tr>
      <w:tr>
        <w:tc>
          <w:tcPr/>
          <w:p>
            <w:pPr>
              <w:pStyle w:val="Compact"/>
              <w:jc w:val="left"/>
            </w:pPr>
            <w:r>
              <w:t xml:space="preserve">Enterprise readiness</w:t>
            </w:r>
          </w:p>
        </w:tc>
        <w:tc>
          <w:tcPr/>
          <w:p>
            <w:pPr>
              <w:pStyle w:val="Compact"/>
              <w:jc w:val="right"/>
            </w:pPr>
            <w:r>
              <w:t xml:space="preserve">3</w:t>
            </w:r>
          </w:p>
        </w:tc>
        <w:tc>
          <w:tcPr/>
          <w:p>
            <w:pPr>
              <w:pStyle w:val="Compact"/>
              <w:jc w:val="left"/>
            </w:pPr>
            <w:r>
              <w:t xml:space="preserve">RBAC, OIDC and audit logs verified for the database; SCIM, SLA and Cloud console RBAC not</w:t>
            </w:r>
          </w:p>
        </w:tc>
      </w:tr>
      <w:tr>
        <w:tc>
          <w:tcPr/>
          <w:p>
            <w:pPr>
              <w:pStyle w:val="Compact"/>
              <w:jc w:val="left"/>
            </w:pPr>
            <w:r>
              <w:t xml:space="preserve">Security and compliance</w:t>
            </w:r>
          </w:p>
        </w:tc>
        <w:tc>
          <w:tcPr/>
          <w:p>
            <w:pPr>
              <w:pStyle w:val="Compact"/>
              <w:jc w:val="right"/>
            </w:pPr>
            <w:r>
              <w:t xml:space="preserve">4</w:t>
            </w:r>
          </w:p>
        </w:tc>
        <w:tc>
          <w:tcPr/>
          <w:p>
            <w:pPr>
              <w:pStyle w:val="Compact"/>
              <w:jc w:val="left"/>
            </w:pPr>
            <w:r>
              <w:t xml:space="preserve">SOC 2 Type II and ISO 27001; CMEK not verified; BYOC scope not stated</w:t>
            </w:r>
          </w:p>
        </w:tc>
      </w:tr>
      <w:tr>
        <w:tc>
          <w:tcPr/>
          <w:p>
            <w:pPr>
              <w:pStyle w:val="Compact"/>
              <w:jc w:val="left"/>
            </w:pPr>
            <w:r>
              <w:t xml:space="preserve">Deployment flexibility</w:t>
            </w:r>
          </w:p>
        </w:tc>
        <w:tc>
          <w:tcPr/>
          <w:p>
            <w:pPr>
              <w:pStyle w:val="Compact"/>
              <w:jc w:val="right"/>
            </w:pPr>
            <w:r>
              <w:t xml:space="preserve">5</w:t>
            </w:r>
          </w:p>
        </w:tc>
        <w:tc>
          <w:tcPr/>
          <w:p>
            <w:pPr>
              <w:pStyle w:val="Compact"/>
              <w:jc w:val="left"/>
            </w:pPr>
            <w:r>
              <w:t xml:space="preserve">SaaS, dedicated, BYOC, self-host</w:t>
            </w:r>
          </w:p>
        </w:tc>
      </w:tr>
      <w:tr>
        <w:tc>
          <w:tcPr/>
          <w:p>
            <w:pPr>
              <w:pStyle w:val="Compact"/>
              <w:jc w:val="left"/>
            </w:pPr>
            <w:r>
              <w:t xml:space="preserve">Ecosystem</w:t>
            </w:r>
          </w:p>
        </w:tc>
        <w:tc>
          <w:tcPr/>
          <w:p>
            <w:pPr>
              <w:pStyle w:val="Compact"/>
              <w:jc w:val="right"/>
            </w:pPr>
            <w:r>
              <w:t xml:space="preserve">4</w:t>
            </w:r>
          </w:p>
        </w:tc>
        <w:tc>
          <w:tcPr/>
          <w:p>
            <w:pPr>
              <w:pStyle w:val="Compact"/>
              <w:jc w:val="left"/>
            </w:pPr>
            <w:r>
              <w:t xml:space="preserve">Mainstream clients and integrations</w:t>
            </w:r>
          </w:p>
        </w:tc>
      </w:tr>
      <w:tr>
        <w:tc>
          <w:tcPr/>
          <w:p>
            <w:pPr>
              <w:pStyle w:val="Compact"/>
              <w:jc w:val="left"/>
            </w:pPr>
            <w:r>
              <w:t xml:space="preserve">Reliability and maturity</w:t>
            </w:r>
          </w:p>
        </w:tc>
        <w:tc>
          <w:tcPr/>
          <w:p>
            <w:pPr>
              <w:pStyle w:val="Compact"/>
              <w:jc w:val="right"/>
            </w:pPr>
            <w:r>
              <w:t xml:space="preserve">3</w:t>
            </w:r>
          </w:p>
        </w:tc>
        <w:tc>
          <w:tcPr/>
          <w:p>
            <w:pPr>
              <w:pStyle w:val="Compact"/>
              <w:jc w:val="left"/>
            </w:pPr>
            <w:r>
              <w:t xml:space="preserve">Frequent minors, three-minor support window, licence change in flight</w:t>
            </w:r>
          </w:p>
        </w:tc>
      </w:tr>
      <w:tr>
        <w:tc>
          <w:tcPr/>
          <w:p>
            <w:pPr>
              <w:pStyle w:val="Compact"/>
              <w:jc w:val="left"/>
            </w:pPr>
            <w:r>
              <w:t xml:space="preserve">Cost / TCO</w:t>
            </w:r>
          </w:p>
        </w:tc>
        <w:tc>
          <w:tcPr/>
          <w:p>
            <w:pPr>
              <w:pStyle w:val="Compact"/>
              <w:jc w:val="right"/>
            </w:pPr>
            <w:r>
              <w:t xml:space="preserve">3</w:t>
            </w:r>
          </w:p>
        </w:tc>
        <w:tc>
          <w:tcPr/>
          <w:p>
            <w:pPr>
              <w:pStyle w:val="Compact"/>
              <w:jc w:val="left"/>
            </w:pPr>
            <w:r>
              <w:t xml:space="preserve">Open core; enterprise features behind licence keys; pricing naming conflicts</w:t>
            </w:r>
          </w:p>
        </w:tc>
      </w:tr>
      <w:tr>
        <w:tc>
          <w:tcPr/>
          <w:p>
            <w:pPr>
              <w:pStyle w:val="Compact"/>
              <w:jc w:val="left"/>
            </w:pPr>
            <w:r>
              <w:t xml:space="preserve">Lock-in / portability</w:t>
            </w:r>
          </w:p>
        </w:tc>
        <w:tc>
          <w:tcPr/>
          <w:p>
            <w:pPr>
              <w:pStyle w:val="Compact"/>
              <w:jc w:val="right"/>
            </w:pPr>
            <w:r>
              <w:t xml:space="preserve">3</w:t>
            </w:r>
          </w:p>
        </w:tc>
        <w:tc>
          <w:tcPr/>
          <w:p>
            <w:pPr>
              <w:pStyle w:val="Compact"/>
              <w:jc w:val="left"/>
            </w:pPr>
            <w:r>
              <w:t xml:space="preserve">BSD core but commercial enterprise features (rule 4)</w:t>
            </w:r>
          </w:p>
        </w:tc>
      </w:tr>
      <w:tr>
        <w:tc>
          <w:tcPr/>
          <w:p>
            <w:pPr>
              <w:pStyle w:val="Compact"/>
              <w:jc w:val="left"/>
            </w:pPr>
            <w:r>
              <w:rPr>
                <w:bCs/>
                <w:b/>
              </w:rPr>
              <w:t xml:space="preserve">Total (generic / FS)</w:t>
            </w:r>
          </w:p>
        </w:tc>
        <w:tc>
          <w:tcPr/>
          <w:p>
            <w:pPr>
              <w:pStyle w:val="Compact"/>
              <w:jc w:val="right"/>
            </w:pPr>
            <w:r>
              <w:rPr>
                <w:bCs/>
                <w:b/>
              </w:rPr>
              <w:t xml:space="preserve">3.75 / 3.70</w:t>
            </w:r>
          </w:p>
        </w:tc>
        <w:tc>
          <w:tcPr/>
          <w:p>
            <w:pPr>
              <w:pStyle w:val="Compact"/>
            </w:pPr>
          </w:p>
        </w:tc>
      </w:tr>
    </w:tbl>
    <w:p>
      <w:pPr>
        <w:pStyle w:val="BodyText"/>
      </w:pPr>
      <w:r>
        <w:rPr>
          <w:bCs/>
          <w:b/>
        </w:rPr>
        <w:t xml:space="preserve">Capabilities.</w:t>
      </w:r>
      <w:r>
        <w:t xml:space="preserve"> </w:t>
      </w:r>
      <w:r>
        <w:t xml:space="preserve">Vector database combining vector search with structured filtering and hybrid search; Boost API and MMR GA in 1.39; v1.39.7 (25 September 2026); open core in transition</w:t>
      </w:r>
      <w:r>
        <w:t xml:space="preserve"> </w:t>
      </w:r>
      <w:r>
        <w:rPr>
          <w:rStyle w:val="ClaimLabel"/>
        </w:rPr>
        <w:t xml:space="preserve">VF</w:t>
      </w:r>
      <w:r>
        <w:rPr>
          <w:rStyle w:val="FootnoteReference"/>
        </w:rPr>
        <w:footnoteReference w:id="612"/>
      </w:r>
      <w:r>
        <w:t xml:space="preserve">.</w:t>
      </w:r>
    </w:p>
    <w:p>
      <w:pPr>
        <w:pStyle w:val="BodyText"/>
      </w:pPr>
      <w:r>
        <w:rPr>
          <w:bCs/>
          <w:b/>
        </w:rPr>
        <w:t xml:space="preserve">Strengths</w:t>
      </w:r>
    </w:p>
    <w:p>
      <w:pPr>
        <w:numPr>
          <w:ilvl w:val="0"/>
          <w:numId w:val="1141"/>
        </w:numPr>
        <w:pStyle w:val="Compact"/>
      </w:pPr>
      <w:r>
        <w:t xml:space="preserve">SOC 2 Type II and ISO 27001:2022; HIPAA on Premium Dedicated (AWS)</w:t>
      </w:r>
      <w:r>
        <w:t xml:space="preserve"> </w:t>
      </w:r>
      <w:r>
        <w:rPr>
          <w:rStyle w:val="ClaimLabel"/>
        </w:rPr>
        <w:t xml:space="preserve">VF</w:t>
      </w:r>
      <w:r>
        <w:rPr>
          <w:rStyle w:val="FootnoteReference"/>
        </w:rPr>
        <w:footnoteReference w:id="616"/>
      </w:r>
    </w:p>
    <w:p>
      <w:pPr>
        <w:numPr>
          <w:ilvl w:val="0"/>
          <w:numId w:val="1141"/>
        </w:numPr>
        <w:pStyle w:val="Compact"/>
      </w:pPr>
      <w:r>
        <w:t xml:space="preserve">RBAC with custom roles, OIDC users and groups, automatic RBAC audit logging</w:t>
      </w:r>
      <w:r>
        <w:t xml:space="preserve"> </w:t>
      </w:r>
      <w:r>
        <w:rPr>
          <w:rStyle w:val="ClaimLabel"/>
        </w:rPr>
        <w:t xml:space="preserve">VF</w:t>
      </w:r>
      <w:r>
        <w:rPr>
          <w:rStyle w:val="FootnoteReference"/>
        </w:rPr>
        <w:footnoteReference w:id="620"/>
      </w:r>
    </w:p>
    <w:p>
      <w:pPr>
        <w:numPr>
          <w:ilvl w:val="0"/>
          <w:numId w:val="1141"/>
        </w:numPr>
        <w:pStyle w:val="Compact"/>
      </w:pPr>
      <w:r>
        <w:t xml:space="preserve">SaaS, Dedicated (~40 regions), BYOC and self-host</w:t>
      </w:r>
      <w:r>
        <w:t xml:space="preserve"> </w:t>
      </w:r>
      <w:r>
        <w:rPr>
          <w:rStyle w:val="ClaimLabel"/>
        </w:rPr>
        <w:t xml:space="preserve">VF</w:t>
      </w:r>
      <w:r>
        <w:rPr>
          <w:rStyle w:val="FootnoteReference"/>
        </w:rPr>
        <w:footnoteReference w:id="622"/>
      </w:r>
    </w:p>
    <w:p>
      <w:pPr>
        <w:pStyle w:val="FirstParagraph"/>
      </w:pPr>
      <w:r>
        <w:rPr>
          <w:bCs/>
          <w:b/>
        </w:rPr>
        <w:t xml:space="preserve">Limitations and risks</w:t>
      </w:r>
    </w:p>
    <w:p>
      <w:pPr>
        <w:numPr>
          <w:ilvl w:val="0"/>
          <w:numId w:val="1142"/>
        </w:numPr>
        <w:pStyle w:val="Compact"/>
      </w:pPr>
      <w:r>
        <w:t xml:space="preserve">Enterprise features moving to commercial</w:t>
      </w:r>
      <w:r>
        <w:t xml:space="preserve"> </w:t>
      </w:r>
      <w:r>
        <w:t xml:space="preserve">‘</w:t>
      </w:r>
      <w:r>
        <w:t xml:space="preserve">wl/</w:t>
      </w:r>
      <w:r>
        <w:t xml:space="preserve">’</w:t>
      </w:r>
      <w:r>
        <w:t xml:space="preserve"> </w:t>
      </w:r>
      <w:r>
        <w:t xml:space="preserve">licence (1.40 RC; unannounced)</w:t>
      </w:r>
      <w:r>
        <w:t xml:space="preserve"> </w:t>
      </w:r>
      <w:r>
        <w:rPr>
          <w:rStyle w:val="ClaimLabel"/>
        </w:rPr>
        <w:t xml:space="preserve">VF</w:t>
      </w:r>
      <w:r>
        <w:rPr>
          <w:rStyle w:val="FootnoteReference"/>
        </w:rPr>
        <w:footnoteReference w:id="624"/>
      </w:r>
    </w:p>
    <w:p>
      <w:pPr>
        <w:numPr>
          <w:ilvl w:val="0"/>
          <w:numId w:val="1142"/>
        </w:numPr>
        <w:pStyle w:val="Compact"/>
      </w:pPr>
      <w:r>
        <w:t xml:space="preserve">Only latest three minors supported</w:t>
      </w:r>
      <w:r>
        <w:t xml:space="preserve"> </w:t>
      </w:r>
      <w:r>
        <w:rPr>
          <w:rStyle w:val="ClaimLabel"/>
        </w:rPr>
        <w:t xml:space="preserve">VF</w:t>
      </w:r>
      <w:r>
        <w:rPr>
          <w:rStyle w:val="FootnoteReference"/>
        </w:rPr>
        <w:footnoteReference w:id="625"/>
      </w:r>
    </w:p>
    <w:p>
      <w:pPr>
        <w:numPr>
          <w:ilvl w:val="0"/>
          <w:numId w:val="1142"/>
        </w:numPr>
        <w:pStyle w:val="Compact"/>
      </w:pPr>
      <w:r>
        <w:t xml:space="preserve">Weaviate Cloud console RBAC not yet available; BYOC certification scope not stated</w:t>
      </w:r>
      <w:r>
        <w:t xml:space="preserve"> </w:t>
      </w:r>
      <w:r>
        <w:rPr>
          <w:rStyle w:val="ClaimLabel"/>
        </w:rPr>
        <w:t xml:space="preserve">VF</w:t>
      </w:r>
      <w:r>
        <w:rPr>
          <w:rStyle w:val="FootnoteReference"/>
        </w:rPr>
        <w:footnoteReference w:id="626"/>
      </w:r>
    </w:p>
    <w:p>
      <w:pPr>
        <w:numPr>
          <w:ilvl w:val="0"/>
          <w:numId w:val="1142"/>
        </w:numPr>
        <w:pStyle w:val="Compact"/>
      </w:pPr>
      <w:r>
        <w:t xml:space="preserve">Pricing tier names conflict; last confirmed funding 2023</w:t>
      </w:r>
      <w:r>
        <w:t xml:space="preserve"> </w:t>
      </w:r>
      <w:r>
        <w:rPr>
          <w:rStyle w:val="ClaimLabel"/>
        </w:rPr>
        <w:t xml:space="preserve">VF</w:t>
      </w:r>
      <w:r>
        <w:rPr>
          <w:rStyle w:val="FootnoteReference"/>
        </w:rPr>
        <w:footnoteReference w:id="627"/>
      </w:r>
      <w:r>
        <w:t xml:space="preserve"> </w:t>
      </w:r>
      <w:r>
        <w:rPr>
          <w:rStyle w:val="ClaimLabel"/>
        </w:rPr>
        <w:t xml:space="preserve">R</w:t>
      </w:r>
      <w:r>
        <w:rPr>
          <w:rStyle w:val="FootnoteReference"/>
        </w:rPr>
        <w:footnoteReference w:id="628"/>
      </w:r>
    </w:p>
    <w:p>
      <w:pPr>
        <w:pStyle w:val="FirstParagraph"/>
      </w:pPr>
      <w:r>
        <w:rPr>
          <w:bCs/>
          <w:b/>
        </w:rPr>
        <w:t xml:space="preserve">Choose when</w:t>
      </w:r>
    </w:p>
    <w:p>
      <w:pPr>
        <w:numPr>
          <w:ilvl w:val="0"/>
          <w:numId w:val="1143"/>
        </w:numPr>
        <w:pStyle w:val="Compact"/>
      </w:pPr>
      <w:r>
        <w:t xml:space="preserve">Weaviate is already in use, or hybrid search with an ISO-certified dedicated service is needed</w:t>
      </w:r>
      <w:r>
        <w:t xml:space="preserve"> </w:t>
      </w:r>
      <w:r>
        <w:rPr>
          <w:rStyle w:val="ClaimLabel"/>
        </w:rPr>
        <w:t xml:space="preserve">AJ</w:t>
      </w:r>
    </w:p>
    <w:p>
      <w:pPr>
        <w:pStyle w:val="FirstParagraph"/>
      </w:pPr>
      <w:r>
        <w:rPr>
          <w:bCs/>
          <w:b/>
        </w:rPr>
        <w:t xml:space="preserve">Avoid when</w:t>
      </w:r>
    </w:p>
    <w:p>
      <w:pPr>
        <w:numPr>
          <w:ilvl w:val="0"/>
          <w:numId w:val="1144"/>
        </w:numPr>
        <w:pStyle w:val="Compact"/>
      </w:pPr>
      <w:r>
        <w:t xml:space="preserve">Licence policy needs certainty about which features remain BSD</w:t>
      </w:r>
      <w:r>
        <w:t xml:space="preserve"> </w:t>
      </w:r>
      <w:r>
        <w:rPr>
          <w:rStyle w:val="ClaimLabel"/>
        </w:rPr>
        <w:t xml:space="preserve">AJ</w:t>
      </w:r>
    </w:p>
    <w:p>
      <w:pPr>
        <w:pStyle w:val="FirstParagraph"/>
      </w:pPr>
      <w:r>
        <w:rPr>
          <w:bCs/>
          <w:b/>
        </w:rPr>
        <w:t xml:space="preserve">Nearest competitors:</w:t>
      </w:r>
      <w:r>
        <w:t xml:space="preserve"> </w:t>
      </w:r>
      <w:r>
        <w:t xml:space="preserve">L6-qdrant, L6-milvus-zilliz, L6-elasticsearch</w:t>
      </w:r>
    </w:p>
    <w:p>
      <w:pPr>
        <w:pStyle w:val="BodyText"/>
      </w:pPr>
      <w:r>
        <w:rPr>
          <w:bCs/>
          <w:b/>
        </w:rPr>
        <w:t xml:space="preserve">Regulated-FS note.</w:t>
      </w:r>
      <w:r>
        <w:t xml:space="preserve"> </w:t>
      </w:r>
      <w:r>
        <w:t xml:space="preserve">Obtain a written statement of which security features fall under the commercial licence before standardising</w:t>
      </w:r>
      <w:r>
        <w:t xml:space="preserve"> </w:t>
      </w:r>
      <w:r>
        <w:rPr>
          <w:rStyle w:val="ClaimLabel"/>
        </w:rPr>
        <w:t xml:space="preserve">Rec</w:t>
      </w:r>
      <w:r>
        <w:t xml:space="preserve">.</w:t>
      </w:r>
    </w:p>
    <w:p>
      <w:pPr>
        <w:pStyle w:val="BodyText"/>
      </w:pPr>
      <w:r>
        <w:rPr>
          <w:bCs/>
          <w:b/>
        </w:rPr>
        <w:t xml:space="preserve">Facts (as of 2026-10-08)</w:t>
      </w:r>
    </w:p>
    <w:tbl>
      <w:tblPr>
        <w:tblStyle w:val="Table"/>
        <w:tblW w:type="pct" w:w="5000"/>
        <w:tblLook w:firstRow="1" w:lastRow="0" w:firstColumn="0" w:lastColumn="0" w:noHBand="0" w:noVBand="0" w:val="0020"/>
        <w:jc w:val="start"/>
      </w:tblPr>
      <w:tblGrid>
        <w:gridCol w:w="1485"/>
        <w:gridCol w:w="4290"/>
        <w:gridCol w:w="1320"/>
        <w:gridCol w:w="825"/>
      </w:tblGrid>
      <w:tr>
        <w:trPr>
          <w:tblHeader w:val="true"/>
        </w:trPr>
        <w:tc>
          <w:tcPr/>
          <w:p>
            <w:pPr>
              <w:pStyle w:val="Compact"/>
              <w:jc w:val="left"/>
            </w:pPr>
            <w:r>
              <w:t xml:space="preserve">Field</w:t>
            </w:r>
          </w:p>
        </w:tc>
        <w:tc>
          <w:tcPr/>
          <w:p>
            <w:pPr>
              <w:pStyle w:val="Compact"/>
              <w:jc w:val="left"/>
            </w:pPr>
            <w:r>
              <w:t xml:space="preserve">Value</w:t>
            </w:r>
          </w:p>
        </w:tc>
        <w:tc>
          <w:tcPr/>
          <w:p>
            <w:pPr>
              <w:pStyle w:val="Compact"/>
              <w:jc w:val="left"/>
            </w:pPr>
            <w:r>
              <w:t xml:space="preserve">Label</w:t>
            </w:r>
          </w:p>
        </w:tc>
        <w:tc>
          <w:tcPr/>
          <w:p>
            <w:pPr>
              <w:pStyle w:val="Compact"/>
              <w:jc w:val="left"/>
            </w:pPr>
            <w:r>
              <w:t xml:space="preserve">Sources</w:t>
            </w:r>
          </w:p>
        </w:tc>
      </w:tr>
      <w:tr>
        <w:tc>
          <w:tcPr/>
          <w:p>
            <w:pPr>
              <w:pStyle w:val="Compact"/>
              <w:jc w:val="left"/>
            </w:pPr>
            <w:r>
              <w:t xml:space="preserve">Company</w:t>
            </w:r>
          </w:p>
        </w:tc>
        <w:tc>
          <w:tcPr/>
          <w:p>
            <w:pPr>
              <w:pStyle w:val="Compact"/>
              <w:jc w:val="left"/>
            </w:pPr>
            <w:r>
              <w:t xml:space="preserve">Weaviate B.V.</w:t>
            </w:r>
          </w:p>
        </w:tc>
        <w:tc>
          <w:tcPr/>
          <w:p>
            <w:pPr>
              <w:pStyle w:val="Compact"/>
              <w:jc w:val="left"/>
            </w:pPr>
            <w:r>
              <w:t xml:space="preserve">Verified fact</w:t>
            </w:r>
          </w:p>
        </w:tc>
        <w:tc>
          <w:tcPr/>
          <w:p>
            <w:pPr>
              <w:pStyle w:val="Compact"/>
              <w:jc w:val="left"/>
            </w:pPr>
            <w:r>
              <w:t xml:space="preserve">A2-S115, A2-S116</w:t>
            </w:r>
          </w:p>
        </w:tc>
      </w:tr>
      <w:tr>
        <w:tc>
          <w:tcPr/>
          <w:p>
            <w:pPr>
              <w:pStyle w:val="Compact"/>
              <w:jc w:val="left"/>
            </w:pPr>
            <w:r>
              <w:t xml:space="preserve">Category</w:t>
            </w:r>
          </w:p>
        </w:tc>
        <w:tc>
          <w:tcPr/>
          <w:p>
            <w:pPr>
              <w:pStyle w:val="Compact"/>
              <w:jc w:val="left"/>
            </w:pPr>
            <w:r>
              <w:t xml:space="preserve">Vector database with hybrid search, open core</w:t>
            </w:r>
          </w:p>
        </w:tc>
        <w:tc>
          <w:tcPr/>
          <w:p>
            <w:pPr>
              <w:pStyle w:val="Compact"/>
              <w:jc w:val="left"/>
            </w:pPr>
            <w:r>
              <w:t xml:space="preserve">Verified fact</w:t>
            </w:r>
          </w:p>
        </w:tc>
        <w:tc>
          <w:tcPr/>
          <w:p>
            <w:pPr>
              <w:pStyle w:val="Compact"/>
              <w:jc w:val="left"/>
            </w:pPr>
            <w:r>
              <w:t xml:space="preserve">A2-S110, A2-S115</w:t>
            </w:r>
          </w:p>
        </w:tc>
      </w:tr>
      <w:tr>
        <w:tc>
          <w:tcPr/>
          <w:p>
            <w:pPr>
              <w:pStyle w:val="Compact"/>
              <w:jc w:val="left"/>
            </w:pPr>
            <w:r>
              <w:t xml:space="preserve">Version / lineup</w:t>
            </w:r>
          </w:p>
        </w:tc>
        <w:tc>
          <w:tcPr/>
          <w:p>
            <w:pPr>
              <w:pStyle w:val="Compact"/>
              <w:jc w:val="left"/>
            </w:pPr>
            <w:r>
              <w:t xml:space="preserve">v1.39.7 (25 September 2026); v1.40.0-rc.1 (19 September 2026); supported minors 1.37-1.39; Python client 4.23.1</w:t>
            </w:r>
          </w:p>
        </w:tc>
        <w:tc>
          <w:tcPr/>
          <w:p>
            <w:pPr>
              <w:pStyle w:val="Compact"/>
              <w:jc w:val="left"/>
            </w:pPr>
            <w:r>
              <w:t xml:space="preserve">Verified fact</w:t>
            </w:r>
          </w:p>
        </w:tc>
        <w:tc>
          <w:tcPr/>
          <w:p>
            <w:pPr>
              <w:pStyle w:val="Compact"/>
              <w:jc w:val="left"/>
            </w:pPr>
            <w:r>
              <w:t xml:space="preserve">A2-S109, A2-S055</w:t>
            </w:r>
          </w:p>
        </w:tc>
      </w:tr>
      <w:tr>
        <w:tc>
          <w:tcPr/>
          <w:p>
            <w:pPr>
              <w:pStyle w:val="Compact"/>
              <w:jc w:val="left"/>
            </w:pPr>
            <w:r>
              <w:t xml:space="preserve">Licence</w:t>
            </w:r>
          </w:p>
        </w:tc>
        <w:tc>
          <w:tcPr/>
          <w:p>
            <w:pPr>
              <w:pStyle w:val="Compact"/>
              <w:jc w:val="left"/>
            </w:pPr>
            <w:r>
              <w:t xml:space="preserve">Open core: most code BSD-3-Clause;</w:t>
            </w:r>
            <w:r>
              <w:t xml:space="preserve"> </w:t>
            </w:r>
            <w:r>
              <w:t xml:space="preserve">‘</w:t>
            </w:r>
            <w:r>
              <w:t xml:space="preserve">wl/</w:t>
            </w:r>
            <w:r>
              <w:t xml:space="preserve">’</w:t>
            </w:r>
            <w:r>
              <w:t xml:space="preserve"> </w:t>
            </w:r>
            <w:r>
              <w:t xml:space="preserve">enterprise features under a separate commercial Weaviate licence with licence key (2026 change, in 1.40 RC; merge/stable status not confirmed)</w:t>
            </w:r>
          </w:p>
        </w:tc>
        <w:tc>
          <w:tcPr/>
          <w:p>
            <w:pPr>
              <w:pStyle w:val="Compact"/>
              <w:jc w:val="left"/>
            </w:pPr>
            <w:r>
              <w:t xml:space="preserve">Verified fact</w:t>
            </w:r>
          </w:p>
        </w:tc>
        <w:tc>
          <w:tcPr/>
          <w:p>
            <w:pPr>
              <w:pStyle w:val="Compact"/>
              <w:jc w:val="left"/>
            </w:pPr>
            <w:r>
              <w:t xml:space="preserve">A2-S115, A2-S109, V1-S070</w:t>
            </w:r>
          </w:p>
        </w:tc>
      </w:tr>
      <w:tr>
        <w:tc>
          <w:tcPr/>
          <w:p>
            <w:pPr>
              <w:pStyle w:val="Compact"/>
              <w:jc w:val="left"/>
            </w:pPr>
            <w:r>
              <w:t xml:space="preserve">Status events</w:t>
            </w:r>
          </w:p>
        </w:tc>
        <w:tc>
          <w:tcPr/>
          <w:p>
            <w:pPr>
              <w:pStyle w:val="Compact"/>
              <w:jc w:val="left"/>
            </w:pPr>
            <w:r>
              <w:t xml:space="preserve">April 2023: US$50M Series B (secondary source); 2026: enterprise</w:t>
            </w:r>
            <w:r>
              <w:t xml:space="preserve"> </w:t>
            </w:r>
            <w:r>
              <w:t xml:space="preserve">‘</w:t>
            </w:r>
            <w:r>
              <w:t xml:space="preserve">wl/</w:t>
            </w:r>
            <w:r>
              <w:t xml:space="preserve">’</w:t>
            </w:r>
            <w:r>
              <w:t xml:space="preserve"> </w:t>
            </w:r>
            <w:r>
              <w:t xml:space="preserve">licence and licence-key switch added (1.40.0-rc.1, 19 September 2026); 25 September 2026: v1.39.7</w:t>
            </w:r>
          </w:p>
        </w:tc>
        <w:tc>
          <w:tcPr/>
          <w:p>
            <w:pPr>
              <w:pStyle w:val="Compact"/>
              <w:jc w:val="left"/>
            </w:pPr>
            <w:r>
              <w:t xml:space="preserve">Verified fact</w:t>
            </w:r>
          </w:p>
        </w:tc>
        <w:tc>
          <w:tcPr/>
          <w:p>
            <w:pPr>
              <w:pStyle w:val="Compact"/>
              <w:jc w:val="left"/>
            </w:pPr>
            <w:r>
              <w:t xml:space="preserve">A2-S116, A2-S109, A2-S115</w:t>
            </w:r>
          </w:p>
        </w:tc>
      </w:tr>
      <w:tr>
        <w:tc>
          <w:tcPr/>
          <w:p>
            <w:pPr>
              <w:pStyle w:val="Compact"/>
              <w:jc w:val="left"/>
            </w:pPr>
            <w:r>
              <w:t xml:space="preserve">Strategic direction</w:t>
            </w:r>
          </w:p>
        </w:tc>
        <w:tc>
          <w:tcPr/>
          <w:p>
            <w:pPr>
              <w:pStyle w:val="Compact"/>
              <w:jc w:val="left"/>
            </w:pPr>
            <w:r>
              <w:t xml:space="preserve">Introducing an Enterprise Edition behind licence keys (2026); 1.39 GA of Boost API and MMR diversity, 4-bit Rotational Quantization preview, experimental Search REST API</w:t>
            </w:r>
          </w:p>
        </w:tc>
        <w:tc>
          <w:tcPr/>
          <w:p>
            <w:pPr>
              <w:pStyle w:val="Compact"/>
              <w:jc w:val="left"/>
            </w:pPr>
            <w:r>
              <w:t xml:space="preserve">Verified fact</w:t>
            </w:r>
          </w:p>
        </w:tc>
        <w:tc>
          <w:tcPr/>
          <w:p>
            <w:pPr>
              <w:pStyle w:val="Compact"/>
              <w:jc w:val="left"/>
            </w:pPr>
            <w:r>
              <w:t xml:space="preserve">A2-S115, A2-S110</w:t>
            </w:r>
          </w:p>
        </w:tc>
      </w:tr>
      <w:tr>
        <w:tc>
          <w:tcPr/>
          <w:p>
            <w:pPr>
              <w:pStyle w:val="Compact"/>
              <w:jc w:val="left"/>
            </w:pPr>
            <w:r>
              <w:t xml:space="preserve">What it does</w:t>
            </w:r>
          </w:p>
        </w:tc>
        <w:tc>
          <w:tcPr/>
          <w:p>
            <w:pPr>
              <w:pStyle w:val="Compact"/>
              <w:jc w:val="left"/>
            </w:pPr>
            <w:r>
              <w:t xml:space="preserve">Stores objects and vectors and combines vector search with structured filtering; features include Boost API, MMR diversity, rotational quantisation.</w:t>
            </w:r>
          </w:p>
        </w:tc>
        <w:tc>
          <w:tcPr/>
          <w:p>
            <w:pPr>
              <w:pStyle w:val="Compact"/>
              <w:jc w:val="left"/>
            </w:pPr>
            <w:r>
              <w:t xml:space="preserve">Verified fact</w:t>
            </w:r>
          </w:p>
        </w:tc>
        <w:tc>
          <w:tcPr/>
          <w:p>
            <w:pPr>
              <w:pStyle w:val="Compact"/>
              <w:jc w:val="left"/>
            </w:pPr>
            <w:r>
              <w:t xml:space="preserve">A2-S110, A2-S115</w:t>
            </w:r>
          </w:p>
        </w:tc>
      </w:tr>
      <w:tr>
        <w:tc>
          <w:tcPr/>
          <w:p>
            <w:pPr>
              <w:pStyle w:val="Compact"/>
              <w:jc w:val="left"/>
            </w:pPr>
            <w:r>
              <w:t xml:space="preserve">Stack position</w:t>
            </w:r>
          </w:p>
        </w:tc>
        <w:tc>
          <w:tcPr/>
          <w:p>
            <w:pPr>
              <w:pStyle w:val="Compact"/>
              <w:jc w:val="left"/>
            </w:pPr>
            <w:r>
              <w:t xml:space="preserve">L6 dedicated vector database; placement correct.</w:t>
            </w:r>
          </w:p>
        </w:tc>
        <w:tc>
          <w:tcPr/>
          <w:p>
            <w:pPr>
              <w:pStyle w:val="Compact"/>
              <w:jc w:val="left"/>
            </w:pPr>
            <w:r>
              <w:t xml:space="preserve">Architectural judgement</w:t>
            </w:r>
          </w:p>
        </w:tc>
        <w:tc>
          <w:tcPr/>
          <w:p>
            <w:pPr>
              <w:pStyle w:val="Compact"/>
            </w:pPr>
          </w:p>
        </w:tc>
      </w:tr>
      <w:tr>
        <w:tc>
          <w:tcPr/>
          <w:p>
            <w:pPr>
              <w:pStyle w:val="Compact"/>
              <w:jc w:val="left"/>
            </w:pPr>
            <w:r>
              <w:t xml:space="preserve">Integration</w:t>
            </w:r>
          </w:p>
        </w:tc>
        <w:tc>
          <w:tcPr/>
          <w:p>
            <w:pPr>
              <w:pStyle w:val="Compact"/>
              <w:jc w:val="left"/>
            </w:pPr>
            <w:r>
              <w:t xml:space="preserve">Python client (v4)</w:t>
            </w:r>
          </w:p>
        </w:tc>
        <w:tc>
          <w:tcPr/>
          <w:p>
            <w:pPr>
              <w:pStyle w:val="Compact"/>
              <w:jc w:val="left"/>
            </w:pPr>
            <w:r>
              <w:t xml:space="preserve">Verified fact</w:t>
            </w:r>
          </w:p>
        </w:tc>
        <w:tc>
          <w:tcPr/>
          <w:p>
            <w:pPr>
              <w:pStyle w:val="Compact"/>
              <w:jc w:val="left"/>
            </w:pPr>
            <w:r>
              <w:t xml:space="preserve">A2-S055</w:t>
            </w:r>
          </w:p>
        </w:tc>
      </w:tr>
      <w:tr>
        <w:tc>
          <w:tcPr/>
          <w:p>
            <w:pPr>
              <w:pStyle w:val="Compact"/>
              <w:jc w:val="left"/>
            </w:pPr>
            <w:r>
              <w:t xml:space="preserve">Dependencies</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Certifications</w:t>
            </w:r>
          </w:p>
        </w:tc>
        <w:tc>
          <w:tcPr/>
          <w:p>
            <w:pPr>
              <w:pStyle w:val="Compact"/>
              <w:jc w:val="left"/>
            </w:pPr>
            <w:r>
              <w:t xml:space="preserve">SOC 2 Type II (via Drata); ISO 27001:2022; HIPAA on Premium Dedicated (AWS) with signed BAA; BYOC certification scope not stated</w:t>
            </w:r>
          </w:p>
        </w:tc>
        <w:tc>
          <w:tcPr/>
          <w:p>
            <w:pPr>
              <w:pStyle w:val="Compact"/>
              <w:jc w:val="left"/>
            </w:pPr>
            <w:r>
              <w:t xml:space="preserve">Verified fact</w:t>
            </w:r>
          </w:p>
        </w:tc>
        <w:tc>
          <w:tcPr/>
          <w:p>
            <w:pPr>
              <w:pStyle w:val="Compact"/>
              <w:jc w:val="left"/>
            </w:pPr>
            <w:r>
              <w:t xml:space="preserve">A2-S111, A2-S112, A2-S113, A2-S114</w:t>
            </w:r>
          </w:p>
        </w:tc>
      </w:tr>
      <w:tr>
        <w:tc>
          <w:tcPr/>
          <w:p>
            <w:pPr>
              <w:pStyle w:val="Compact"/>
              <w:jc w:val="left"/>
            </w:pPr>
            <w:r>
              <w:t xml:space="preserve">GDPR / residency</w:t>
            </w:r>
          </w:p>
        </w:tc>
        <w:tc>
          <w:tcPr/>
          <w:p>
            <w:pPr>
              <w:pStyle w:val="Compact"/>
              <w:jc w:val="left"/>
            </w:pPr>
            <w:r>
              <w:t xml:space="preserve">Shared Cloud on AWS US East and Europe (Frankfurt); Premium Dedicated in ~40 regions</w:t>
            </w:r>
          </w:p>
        </w:tc>
        <w:tc>
          <w:tcPr/>
          <w:p>
            <w:pPr>
              <w:pStyle w:val="Compact"/>
              <w:jc w:val="left"/>
            </w:pPr>
            <w:r>
              <w:t xml:space="preserve">Verified fact</w:t>
            </w:r>
          </w:p>
        </w:tc>
        <w:tc>
          <w:tcPr/>
          <w:p>
            <w:pPr>
              <w:pStyle w:val="Compact"/>
              <w:jc w:val="left"/>
            </w:pPr>
            <w:r>
              <w:t xml:space="preserve">A2-S111</w:t>
            </w:r>
          </w:p>
        </w:tc>
      </w:tr>
      <w:tr>
        <w:tc>
          <w:tcPr/>
          <w:p>
            <w:pPr>
              <w:pStyle w:val="Compact"/>
              <w:jc w:val="left"/>
            </w:pPr>
            <w:r>
              <w:t xml:space="preserve">Security features</w:t>
            </w:r>
          </w:p>
        </w:tc>
        <w:tc>
          <w:tcPr/>
          <w:p>
            <w:pPr>
              <w:pStyle w:val="Compact"/>
              <w:jc w:val="left"/>
            </w:pPr>
            <w:r>
              <w:t xml:space="preserve">Encryption in transit and at rest, immutable backups (HIPAA offering)</w:t>
            </w:r>
          </w:p>
        </w:tc>
        <w:tc>
          <w:tcPr/>
          <w:p>
            <w:pPr>
              <w:pStyle w:val="Compact"/>
              <w:jc w:val="left"/>
            </w:pPr>
            <w:r>
              <w:t xml:space="preserve">Verified fact</w:t>
            </w:r>
          </w:p>
        </w:tc>
        <w:tc>
          <w:tcPr/>
          <w:p>
            <w:pPr>
              <w:pStyle w:val="Compact"/>
              <w:jc w:val="left"/>
            </w:pPr>
            <w:r>
              <w:t xml:space="preserve">A2-S113</w:t>
            </w:r>
          </w:p>
        </w:tc>
      </w:tr>
      <w:tr>
        <w:tc>
          <w:tcPr/>
          <w:p>
            <w:pPr>
              <w:pStyle w:val="Compact"/>
              <w:jc w:val="left"/>
            </w:pPr>
            <w:r>
              <w:t xml:space="preserve">Access controls</w:t>
            </w:r>
          </w:p>
        </w:tc>
        <w:tc>
          <w:tcPr/>
          <w:p>
            <w:pPr>
              <w:pStyle w:val="Compact"/>
              <w:jc w:val="left"/>
            </w:pPr>
            <w:r>
              <w:t xml:space="preserve">Role-based access controls</w:t>
            </w:r>
          </w:p>
        </w:tc>
        <w:tc>
          <w:tcPr/>
          <w:p>
            <w:pPr>
              <w:pStyle w:val="Compact"/>
              <w:jc w:val="left"/>
            </w:pPr>
            <w:r>
              <w:t xml:space="preserve">Verified fact</w:t>
            </w:r>
          </w:p>
        </w:tc>
        <w:tc>
          <w:tcPr/>
          <w:p>
            <w:pPr>
              <w:pStyle w:val="Compact"/>
              <w:jc w:val="left"/>
            </w:pPr>
            <w:r>
              <w:t xml:space="preserve">A2-S113</w:t>
            </w:r>
          </w:p>
        </w:tc>
      </w:tr>
      <w:tr>
        <w:tc>
          <w:tcPr/>
          <w:p>
            <w:pPr>
              <w:pStyle w:val="Compact"/>
              <w:jc w:val="left"/>
            </w:pPr>
            <w:r>
              <w:t xml:space="preserve">Enterprise support</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Pricing</w:t>
            </w:r>
          </w:p>
        </w:tc>
        <w:tc>
          <w:tcPr/>
          <w:p>
            <w:pPr>
              <w:pStyle w:val="Compact"/>
              <w:jc w:val="left"/>
            </w:pPr>
            <w:r>
              <w:t xml:space="preserve">Free; Flex pay-as-you-go from US$45/month; Premium (Dedicated) priced by region; BYOC metered CPU/memory rates; September 2026 backup-rate update. A blog describes a</w:t>
            </w:r>
            <w:r>
              <w:t xml:space="preserve"> </w:t>
            </w:r>
            <w:r>
              <w:t xml:space="preserve">‘</w:t>
            </w:r>
            <w:r>
              <w:t xml:space="preserve">Plus</w:t>
            </w:r>
            <w:r>
              <w:t xml:space="preserve">’</w:t>
            </w:r>
            <w:r>
              <w:t xml:space="preserve"> </w:t>
            </w:r>
            <w:r>
              <w:t xml:space="preserve">tier from US$280/month (naming conflict)</w:t>
            </w:r>
          </w:p>
        </w:tc>
        <w:tc>
          <w:tcPr/>
          <w:p>
            <w:pPr>
              <w:pStyle w:val="Compact"/>
              <w:jc w:val="left"/>
            </w:pPr>
            <w:r>
              <w:t xml:space="preserve">Verified fact</w:t>
            </w:r>
          </w:p>
        </w:tc>
        <w:tc>
          <w:tcPr/>
          <w:p>
            <w:pPr>
              <w:pStyle w:val="Compact"/>
              <w:jc w:val="left"/>
            </w:pPr>
            <w:r>
              <w:t xml:space="preserve">A2-S111</w:t>
            </w:r>
          </w:p>
        </w:tc>
      </w:tr>
      <w:tr>
        <w:tc>
          <w:tcPr/>
          <w:p>
            <w:pPr>
              <w:pStyle w:val="Compact"/>
              <w:jc w:val="left"/>
            </w:pPr>
            <w:r>
              <w:t xml:space="preserve">Infrastructure cost</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Ecosystem</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Adoption signals</w:t>
            </w:r>
          </w:p>
        </w:tc>
        <w:tc>
          <w:tcPr/>
          <w:p>
            <w:pPr>
              <w:pStyle w:val="Compact"/>
              <w:jc w:val="left"/>
            </w:pPr>
            <w:r>
              <w:t xml:space="preserve">US$50M Series B (April 2023, led by Index Ventures), total US$67.7M; no 2025-2026 round confirmed</w:t>
            </w:r>
          </w:p>
        </w:tc>
        <w:tc>
          <w:tcPr/>
          <w:p>
            <w:pPr>
              <w:pStyle w:val="Compact"/>
              <w:jc w:val="left"/>
            </w:pPr>
            <w:r>
              <w:t xml:space="preserve">Reported</w:t>
            </w:r>
          </w:p>
        </w:tc>
        <w:tc>
          <w:tcPr/>
          <w:p>
            <w:pPr>
              <w:pStyle w:val="Compact"/>
              <w:jc w:val="left"/>
            </w:pPr>
            <w:r>
              <w:t xml:space="preserve">A2-S116</w:t>
            </w:r>
          </w:p>
        </w:tc>
      </w:tr>
      <w:tr>
        <w:tc>
          <w:tcPr/>
          <w:p>
            <w:pPr>
              <w:pStyle w:val="Compact"/>
              <w:jc w:val="left"/>
            </w:pPr>
            <w:r>
              <w:t xml:space="preserve">Maturity</w:t>
            </w:r>
          </w:p>
        </w:tc>
        <w:tc>
          <w:tcPr/>
          <w:p>
            <w:pPr>
              <w:pStyle w:val="Compact"/>
              <w:jc w:val="left"/>
            </w:pPr>
            <w:r>
              <w:t xml:space="preserve">Frequent minor releases; only latest three minors supported</w:t>
            </w:r>
          </w:p>
        </w:tc>
        <w:tc>
          <w:tcPr/>
          <w:p>
            <w:pPr>
              <w:pStyle w:val="Compact"/>
              <w:jc w:val="left"/>
            </w:pPr>
            <w:r>
              <w:t xml:space="preserve">Verified fact</w:t>
            </w:r>
          </w:p>
        </w:tc>
        <w:tc>
          <w:tcPr/>
          <w:p>
            <w:pPr>
              <w:pStyle w:val="Compact"/>
              <w:jc w:val="left"/>
            </w:pPr>
            <w:r>
              <w:t xml:space="preserve">A2-S109</w:t>
            </w:r>
          </w:p>
        </w:tc>
      </w:tr>
      <w:tr>
        <w:tc>
          <w:tcPr/>
          <w:p>
            <w:pPr>
              <w:pStyle w:val="Compact"/>
              <w:jc w:val="left"/>
            </w:pPr>
            <w:r>
              <w:t xml:space="preserve">Deployment</w:t>
            </w:r>
          </w:p>
        </w:tc>
        <w:tc>
          <w:tcPr/>
          <w:p>
            <w:pPr>
              <w:pStyle w:val="Compact"/>
              <w:jc w:val="left"/>
            </w:pPr>
            <w:r>
              <w:t xml:space="preserve">saas: Yes (Shared and Dedicated cloud); managed_cloud: Yes (~40 regions across GCP, AWS, Azure for Premium Dedicated); vpc_byoc: Yes (Weaviate manages data plane in customer VPC); private_cloud: Not publicly verified; self_hosted: Yes; on_prem: Yes</w:t>
            </w:r>
          </w:p>
        </w:tc>
        <w:tc>
          <w:tcPr/>
          <w:p>
            <w:pPr>
              <w:pStyle w:val="Compact"/>
            </w:pPr>
          </w:p>
        </w:tc>
        <w:tc>
          <w:tcPr/>
          <w:p>
            <w:pPr>
              <w:pStyle w:val="Compact"/>
            </w:pPr>
          </w:p>
        </w:tc>
      </w:tr>
    </w:tbl>
    <w:bookmarkEnd w:id="630"/>
    <w:bookmarkStart w:id="644" w:name="Xa0dc7c045bb28ca07caf02de2d851d6153706cf"/>
    <w:p>
      <w:pPr>
        <w:pStyle w:val="Heading2"/>
      </w:pPr>
      <w:r>
        <w:t xml:space="preserve">MongoDB Vector Search (Atlas; self-managed Community Edition and Enterprise Advanced) (</w:t>
      </w:r>
      <w:r>
        <w:rPr>
          <w:rStyle w:val="VerbatimChar"/>
        </w:rPr>
        <w:t xml:space="preserve">L6-mongodb-atlas-vector-search</w:t>
      </w:r>
      <w:r>
        <w:t xml:space="preserve">)</w:t>
      </w:r>
    </w:p>
    <w:p>
      <w:pPr>
        <w:pStyle w:val="FirstParagraph"/>
      </w:pPr>
      <w:r>
        <w:rPr>
          <w:bCs/>
          <w:b/>
        </w:rPr>
        <w:t xml:space="preserve">Tier:</w:t>
      </w:r>
      <w:r>
        <w:t xml:space="preserve"> </w:t>
      </w:r>
      <w:r>
        <w:t xml:space="preserve">Strategic ·</w:t>
      </w:r>
      <w:r>
        <w:t xml:space="preserve"> </w:t>
      </w:r>
      <w:r>
        <w:rPr>
          <w:bCs/>
          <w:b/>
        </w:rPr>
        <w:t xml:space="preserve">Flags:</w:t>
      </w:r>
      <w:r>
        <w:t xml:space="preserve"> </w:t>
      </w:r>
      <w:r>
        <w:t xml:space="preserve">none ·</w:t>
      </w:r>
      <w:r>
        <w:t xml:space="preserve"> </w:t>
      </w:r>
      <w:r>
        <w:rPr>
          <w:bCs/>
          <w:b/>
        </w:rPr>
        <w:t xml:space="preserve">Original graphic label:</w:t>
      </w:r>
      <w:r>
        <w:t xml:space="preserve"> </w:t>
      </w:r>
      <w:r>
        <w:t xml:space="preserve">MongoDB – Atlas vector</w:t>
      </w:r>
    </w:p>
    <w:p>
      <w:pPr>
        <w:pStyle w:val="BodyText"/>
      </w:pPr>
      <w:r>
        <w:rPr>
          <w:iCs/>
          <w:i/>
        </w:rPr>
        <w:t xml:space="preserve">Rationale:</w:t>
      </w:r>
      <w:r>
        <w:t xml:space="preserve"> </w:t>
      </w:r>
      <w:r>
        <w:t xml:space="preserve">Strategic, conditional: only where MongoDB is already the operational store, because lock-in scores 2; the condition is an existing platform commitment, which is why it differs from Pinecone</w:t>
      </w:r>
      <w:r>
        <w:t xml:space="preserve"> </w:t>
      </w:r>
      <w:r>
        <w:rPr>
          <w:rStyle w:val="ClaimLabel"/>
        </w:rPr>
        <w:t xml:space="preserve">AJ</w:t>
      </w:r>
      <w:r>
        <w:t xml:space="preserve">.</w:t>
      </w:r>
    </w:p>
    <w:tbl>
      <w:tblPr>
        <w:tblStyle w:val="Table"/>
        <w:tblW w:type="pct" w:w="5000"/>
        <w:tblLook w:firstRow="1" w:lastRow="0" w:firstColumn="0" w:lastColumn="0" w:noHBand="0" w:noVBand="0" w:val="0020"/>
        <w:jc w:val="start"/>
      </w:tblPr>
      <w:tblGrid>
        <w:gridCol w:w="1545"/>
        <w:gridCol w:w="579"/>
        <w:gridCol w:w="5795"/>
      </w:tblGrid>
      <w:tr>
        <w:trPr>
          <w:tblHeader w:val="true"/>
        </w:trPr>
        <w:tc>
          <w:tcPr/>
          <w:p>
            <w:pPr>
              <w:pStyle w:val="Compact"/>
              <w:jc w:val="left"/>
            </w:pPr>
            <w:r>
              <w:t xml:space="preserve">Criterion</w:t>
            </w:r>
          </w:p>
        </w:tc>
        <w:tc>
          <w:tcPr/>
          <w:p>
            <w:pPr>
              <w:pStyle w:val="Compact"/>
              <w:jc w:val="right"/>
            </w:pPr>
            <w:r>
              <w:t xml:space="preserve">Score</w:t>
            </w:r>
          </w:p>
        </w:tc>
        <w:tc>
          <w:tcPr/>
          <w:p>
            <w:pPr>
              <w:pStyle w:val="Compact"/>
              <w:jc w:val="left"/>
            </w:pPr>
            <w:r>
              <w:t xml:space="preserve">Rationale</w:t>
            </w:r>
          </w:p>
        </w:tc>
      </w:tr>
      <w:tr>
        <w:tc>
          <w:tcPr/>
          <w:p>
            <w:pPr>
              <w:pStyle w:val="Compact"/>
              <w:jc w:val="left"/>
            </w:pPr>
            <w:r>
              <w:t xml:space="preserve">Technical</w:t>
            </w:r>
          </w:p>
        </w:tc>
        <w:tc>
          <w:tcPr/>
          <w:p>
            <w:pPr>
              <w:pStyle w:val="Compact"/>
              <w:jc w:val="right"/>
            </w:pPr>
            <w:r>
              <w:t xml:space="preserve">4</w:t>
            </w:r>
          </w:p>
        </w:tc>
        <w:tc>
          <w:tcPr/>
          <w:p>
            <w:pPr>
              <w:pStyle w:val="Compact"/>
              <w:jc w:val="left"/>
            </w:pPr>
            <w:r>
              <w:t xml:space="preserve">Vector, full-text and hybrid GA; rerank and auto-embedding preview</w:t>
            </w:r>
          </w:p>
        </w:tc>
      </w:tr>
      <w:tr>
        <w:tc>
          <w:tcPr/>
          <w:p>
            <w:pPr>
              <w:pStyle w:val="Compact"/>
              <w:jc w:val="left"/>
            </w:pPr>
            <w:r>
              <w:t xml:space="preserve">Enterprise readiness</w:t>
            </w:r>
          </w:p>
        </w:tc>
        <w:tc>
          <w:tcPr/>
          <w:p>
            <w:pPr>
              <w:pStyle w:val="Compact"/>
              <w:jc w:val="right"/>
            </w:pPr>
            <w:r>
              <w:t xml:space="preserve">4</w:t>
            </w:r>
          </w:p>
        </w:tc>
        <w:tc>
          <w:tcPr/>
          <w:p>
            <w:pPr>
              <w:pStyle w:val="Compact"/>
              <w:jc w:val="left"/>
            </w:pPr>
            <w:r>
              <w:t xml:space="preserve">SSO, roles and auditing verified (B-L6-S001) plus the Atlas Admin API (B-REV-S028): rule 7 allows 4; SCIM and SLA not verified</w:t>
            </w:r>
          </w:p>
        </w:tc>
      </w:tr>
      <w:tr>
        <w:tc>
          <w:tcPr/>
          <w:p>
            <w:pPr>
              <w:pStyle w:val="Compact"/>
              <w:jc w:val="left"/>
            </w:pPr>
            <w:r>
              <w:t xml:space="preserve">Security and compliance</w:t>
            </w:r>
          </w:p>
        </w:tc>
        <w:tc>
          <w:tcPr/>
          <w:p>
            <w:pPr>
              <w:pStyle w:val="Compact"/>
              <w:jc w:val="right"/>
            </w:pPr>
            <w:r>
              <w:t xml:space="preserve">4</w:t>
            </w:r>
          </w:p>
        </w:tc>
        <w:tc>
          <w:tcPr/>
          <w:p>
            <w:pPr>
              <w:pStyle w:val="Compact"/>
              <w:jc w:val="left"/>
            </w:pPr>
            <w:r>
              <w:t xml:space="preserve">Strong platform certifications but scope rule (CP2 Q4): platform-level, preview features excluded</w:t>
            </w:r>
          </w:p>
        </w:tc>
      </w:tr>
      <w:tr>
        <w:tc>
          <w:tcPr/>
          <w:p>
            <w:pPr>
              <w:pStyle w:val="Compact"/>
              <w:jc w:val="left"/>
            </w:pPr>
            <w:r>
              <w:t xml:space="preserve">Deployment flexibility</w:t>
            </w:r>
          </w:p>
        </w:tc>
        <w:tc>
          <w:tcPr/>
          <w:p>
            <w:pPr>
              <w:pStyle w:val="Compact"/>
              <w:jc w:val="right"/>
            </w:pPr>
            <w:r>
              <w:t xml:space="preserve">4</w:t>
            </w:r>
          </w:p>
        </w:tc>
        <w:tc>
          <w:tcPr/>
          <w:p>
            <w:pPr>
              <w:pStyle w:val="Compact"/>
              <w:jc w:val="left"/>
            </w:pPr>
            <w:r>
              <w:t xml:space="preserve">Atlas on three clouds plus self-managed; no BYOC</w:t>
            </w:r>
          </w:p>
        </w:tc>
      </w:tr>
      <w:tr>
        <w:tc>
          <w:tcPr/>
          <w:p>
            <w:pPr>
              <w:pStyle w:val="Compact"/>
              <w:jc w:val="left"/>
            </w:pPr>
            <w:r>
              <w:t xml:space="preserve">Ecosystem</w:t>
            </w:r>
          </w:p>
        </w:tc>
        <w:tc>
          <w:tcPr/>
          <w:p>
            <w:pPr>
              <w:pStyle w:val="Compact"/>
              <w:jc w:val="right"/>
            </w:pPr>
            <w:r>
              <w:t xml:space="preserve">4</w:t>
            </w:r>
          </w:p>
        </w:tc>
        <w:tc>
          <w:tcPr/>
          <w:p>
            <w:pPr>
              <w:pStyle w:val="Compact"/>
              <w:jc w:val="left"/>
            </w:pPr>
            <w:r>
              <w:t xml:space="preserve">Official drivers and aggregation API; Voyage integration</w:t>
            </w:r>
          </w:p>
        </w:tc>
      </w:tr>
      <w:tr>
        <w:tc>
          <w:tcPr/>
          <w:p>
            <w:pPr>
              <w:pStyle w:val="Compact"/>
              <w:jc w:val="left"/>
            </w:pPr>
            <w:r>
              <w:t xml:space="preserve">Reliability and maturity</w:t>
            </w:r>
          </w:p>
        </w:tc>
        <w:tc>
          <w:tcPr/>
          <w:p>
            <w:pPr>
              <w:pStyle w:val="Compact"/>
              <w:jc w:val="right"/>
            </w:pPr>
            <w:r>
              <w:t xml:space="preserve">4</w:t>
            </w:r>
          </w:p>
        </w:tc>
        <w:tc>
          <w:tcPr/>
          <w:p>
            <w:pPr>
              <w:pStyle w:val="Compact"/>
              <w:jc w:val="left"/>
            </w:pPr>
            <w:r>
              <w:t xml:space="preserve">Atlas mature; self-managed search GA only since c. July 2026</w:t>
            </w:r>
          </w:p>
        </w:tc>
      </w:tr>
      <w:tr>
        <w:tc>
          <w:tcPr/>
          <w:p>
            <w:pPr>
              <w:pStyle w:val="Compact"/>
              <w:jc w:val="left"/>
            </w:pPr>
            <w:r>
              <w:t xml:space="preserve">Cost / TCO</w:t>
            </w:r>
          </w:p>
        </w:tc>
        <w:tc>
          <w:tcPr/>
          <w:p>
            <w:pPr>
              <w:pStyle w:val="Compact"/>
              <w:jc w:val="right"/>
            </w:pPr>
            <w:r>
              <w:t xml:space="preserve">3</w:t>
            </w:r>
          </w:p>
        </w:tc>
        <w:tc>
          <w:tcPr/>
          <w:p>
            <w:pPr>
              <w:pStyle w:val="Compact"/>
              <w:jc w:val="left"/>
            </w:pPr>
            <w:r>
              <w:t xml:space="preserve">Hourly Search Nodes; Community free; price tables conflict</w:t>
            </w:r>
          </w:p>
        </w:tc>
      </w:tr>
      <w:tr>
        <w:tc>
          <w:tcPr/>
          <w:p>
            <w:pPr>
              <w:pStyle w:val="Compact"/>
              <w:jc w:val="left"/>
            </w:pPr>
            <w:r>
              <w:t xml:space="preserve">Lock-in / portability</w:t>
            </w:r>
          </w:p>
        </w:tc>
        <w:tc>
          <w:tcPr/>
          <w:p>
            <w:pPr>
              <w:pStyle w:val="Compact"/>
              <w:jc w:val="right"/>
            </w:pPr>
            <w:r>
              <w:t xml:space="preserve">2</w:t>
            </w:r>
          </w:p>
        </w:tc>
        <w:tc>
          <w:tcPr/>
          <w:p>
            <w:pPr>
              <w:pStyle w:val="Compact"/>
              <w:jc w:val="left"/>
            </w:pPr>
            <w:r>
              <w:t xml:space="preserve">SSPL and proprietary Atlas; Voyage coupling</w:t>
            </w:r>
          </w:p>
        </w:tc>
      </w:tr>
      <w:tr>
        <w:tc>
          <w:tcPr/>
          <w:p>
            <w:pPr>
              <w:pStyle w:val="Compact"/>
              <w:jc w:val="left"/>
            </w:pPr>
            <w:r>
              <w:rPr>
                <w:bCs/>
                <w:b/>
              </w:rPr>
              <w:t xml:space="preserve">Total (generic / FS)</w:t>
            </w:r>
          </w:p>
        </w:tc>
        <w:tc>
          <w:tcPr/>
          <w:p>
            <w:pPr>
              <w:pStyle w:val="Compact"/>
              <w:jc w:val="right"/>
            </w:pPr>
            <w:r>
              <w:rPr>
                <w:bCs/>
                <w:b/>
              </w:rPr>
              <w:t xml:space="preserve">3.80 / 3.65</w:t>
            </w:r>
          </w:p>
        </w:tc>
        <w:tc>
          <w:tcPr/>
          <w:p>
            <w:pPr>
              <w:pStyle w:val="Compact"/>
            </w:pPr>
          </w:p>
        </w:tc>
      </w:tr>
    </w:tbl>
    <w:p>
      <w:pPr>
        <w:pStyle w:val="BodyText"/>
      </w:pPr>
      <w:r>
        <w:rPr>
          <w:bCs/>
          <w:b/>
        </w:rPr>
        <w:t xml:space="preserve">Capabilities.</w:t>
      </w:r>
      <w:r>
        <w:t xml:space="preserve"> </w:t>
      </w:r>
      <w:r>
        <w:t xml:space="preserve">Vector and full-text search inside MongoDB via $vectorSearch/$search with hybrid fusion GA; $rerank (Voyage, preview) and Automated Embedding (preview); GA on Atlas and self-managed Community/Enterprise Advanced 8.2+</w:t>
      </w:r>
      <w:r>
        <w:t xml:space="preserve"> </w:t>
      </w:r>
      <w:r>
        <w:rPr>
          <w:rStyle w:val="ClaimLabel"/>
        </w:rPr>
        <w:t xml:space="preserve">VF</w:t>
      </w:r>
      <w:r>
        <w:rPr>
          <w:rStyle w:val="FootnoteReference"/>
        </w:rPr>
        <w:footnoteReference w:id="631"/>
      </w:r>
      <w:r>
        <w:t xml:space="preserve">.</w:t>
      </w:r>
    </w:p>
    <w:p>
      <w:pPr>
        <w:pStyle w:val="BodyText"/>
      </w:pPr>
      <w:r>
        <w:rPr>
          <w:bCs/>
          <w:b/>
        </w:rPr>
        <w:t xml:space="preserve">Strengths</w:t>
      </w:r>
    </w:p>
    <w:p>
      <w:pPr>
        <w:numPr>
          <w:ilvl w:val="0"/>
          <w:numId w:val="1145"/>
        </w:numPr>
        <w:pStyle w:val="Compact"/>
      </w:pPr>
      <w:r>
        <w:t xml:space="preserve">Transactional integration where documents already live in MongoDB</w:t>
      </w:r>
      <w:r>
        <w:t xml:space="preserve"> </w:t>
      </w:r>
      <w:r>
        <w:rPr>
          <w:rStyle w:val="ClaimLabel"/>
        </w:rPr>
        <w:t xml:space="preserve">AJ</w:t>
      </w:r>
    </w:p>
    <w:p>
      <w:pPr>
        <w:numPr>
          <w:ilvl w:val="0"/>
          <w:numId w:val="1145"/>
        </w:numPr>
        <w:pStyle w:val="Compact"/>
      </w:pPr>
      <w:r>
        <w:t xml:space="preserve">Atlas ISO 27001:2022, SOC 2 Type II, PCI DSS, HITRUST, CSA STAR; FedRAMP Moderate for Gov</w:t>
      </w:r>
      <w:r>
        <w:t xml:space="preserve"> </w:t>
      </w:r>
      <w:r>
        <w:rPr>
          <w:rStyle w:val="ClaimLabel"/>
        </w:rPr>
        <w:t xml:space="preserve">VF</w:t>
      </w:r>
      <w:r>
        <w:rPr>
          <w:rStyle w:val="FootnoteReference"/>
        </w:rPr>
        <w:footnoteReference w:id="634"/>
      </w:r>
    </w:p>
    <w:p>
      <w:pPr>
        <w:numPr>
          <w:ilvl w:val="0"/>
          <w:numId w:val="1145"/>
        </w:numPr>
        <w:pStyle w:val="Compact"/>
      </w:pPr>
      <w:r>
        <w:t xml:space="preserve">SAML/OIDC SSO, org/project and custom database roles, database auditing on M10+</w:t>
      </w:r>
      <w:r>
        <w:t xml:space="preserve"> </w:t>
      </w:r>
      <w:r>
        <w:rPr>
          <w:rStyle w:val="ClaimLabel"/>
        </w:rPr>
        <w:t xml:space="preserve">VF</w:t>
      </w:r>
      <w:r>
        <w:rPr>
          <w:rStyle w:val="FootnoteReference"/>
        </w:rPr>
        <w:footnoteReference w:id="635"/>
      </w:r>
    </w:p>
    <w:p>
      <w:pPr>
        <w:numPr>
          <w:ilvl w:val="0"/>
          <w:numId w:val="1145"/>
        </w:numPr>
        <w:pStyle w:val="Compact"/>
      </w:pPr>
      <w:r>
        <w:t xml:space="preserve">Self-managed option on 8.2+</w:t>
      </w:r>
      <w:r>
        <w:t xml:space="preserve"> </w:t>
      </w:r>
      <w:r>
        <w:rPr>
          <w:rStyle w:val="ClaimLabel"/>
        </w:rPr>
        <w:t xml:space="preserve">VF</w:t>
      </w:r>
      <w:r>
        <w:rPr>
          <w:rStyle w:val="FootnoteReference"/>
        </w:rPr>
        <w:footnoteReference w:id="637"/>
      </w:r>
    </w:p>
    <w:p>
      <w:pPr>
        <w:pStyle w:val="FirstParagraph"/>
      </w:pPr>
      <w:r>
        <w:rPr>
          <w:bCs/>
          <w:b/>
        </w:rPr>
        <w:t xml:space="preserve">Limitations and risks</w:t>
      </w:r>
    </w:p>
    <w:p>
      <w:pPr>
        <w:numPr>
          <w:ilvl w:val="0"/>
          <w:numId w:val="1146"/>
        </w:numPr>
        <w:pStyle w:val="Compact"/>
      </w:pPr>
      <w:r>
        <w:t xml:space="preserve">SSPL for self-managed; Atlas proprietary; Voyage-native features couple L6 and L7</w:t>
      </w:r>
      <w:r>
        <w:t xml:space="preserve"> </w:t>
      </w:r>
      <w:r>
        <w:rPr>
          <w:rStyle w:val="ClaimLabel"/>
        </w:rPr>
        <w:t xml:space="preserve">VF</w:t>
      </w:r>
      <w:r>
        <w:rPr>
          <w:rStyle w:val="FootnoteReference"/>
        </w:rPr>
        <w:footnoteReference w:id="638"/>
      </w:r>
    </w:p>
    <w:p>
      <w:pPr>
        <w:numPr>
          <w:ilvl w:val="0"/>
          <w:numId w:val="1146"/>
        </w:numPr>
        <w:pStyle w:val="Compact"/>
      </w:pPr>
      <w:r>
        <w:t xml:space="preserve">CMK covers search indexes only on dedicated Search Nodes</w:t>
      </w:r>
      <w:r>
        <w:t xml:space="preserve"> </w:t>
      </w:r>
      <w:r>
        <w:rPr>
          <w:rStyle w:val="ClaimLabel"/>
        </w:rPr>
        <w:t xml:space="preserve">VF</w:t>
      </w:r>
      <w:r>
        <w:rPr>
          <w:rStyle w:val="FootnoteReference"/>
        </w:rPr>
        <w:footnoteReference w:id="639"/>
      </w:r>
    </w:p>
    <w:p>
      <w:pPr>
        <w:numPr>
          <w:ilvl w:val="0"/>
          <w:numId w:val="1146"/>
        </w:numPr>
        <w:pStyle w:val="Compact"/>
      </w:pPr>
      <w:r>
        <w:t xml:space="preserve">Native rerank and Automated Embedding are preview and lack Geography targeting</w:t>
      </w:r>
      <w:r>
        <w:t xml:space="preserve"> </w:t>
      </w:r>
      <w:r>
        <w:rPr>
          <w:rStyle w:val="ClaimLabel"/>
        </w:rPr>
        <w:t xml:space="preserve">VF</w:t>
      </w:r>
      <w:r>
        <w:rPr>
          <w:rStyle w:val="FootnoteReference"/>
        </w:rPr>
        <w:footnoteReference w:id="641"/>
      </w:r>
    </w:p>
    <w:p>
      <w:pPr>
        <w:numPr>
          <w:ilvl w:val="0"/>
          <w:numId w:val="1146"/>
        </w:numPr>
        <w:pStyle w:val="Compact"/>
      </w:pPr>
      <w:r>
        <w:t xml:space="preserve">SOC 2 scope excludes preview features; Atlas log retention 30 days</w:t>
      </w:r>
      <w:r>
        <w:t xml:space="preserve"> </w:t>
      </w:r>
      <w:r>
        <w:rPr>
          <w:rStyle w:val="ClaimLabel"/>
        </w:rPr>
        <w:t xml:space="preserve">VF</w:t>
      </w:r>
      <w:r>
        <w:rPr>
          <w:rStyle w:val="FootnoteReference"/>
        </w:rPr>
        <w:footnoteReference w:id="642"/>
      </w:r>
    </w:p>
    <w:p>
      <w:pPr>
        <w:pStyle w:val="FirstParagraph"/>
      </w:pPr>
      <w:r>
        <w:rPr>
          <w:bCs/>
          <w:b/>
        </w:rPr>
        <w:t xml:space="preserve">Choose when</w:t>
      </w:r>
    </w:p>
    <w:p>
      <w:pPr>
        <w:numPr>
          <w:ilvl w:val="0"/>
          <w:numId w:val="1147"/>
        </w:numPr>
        <w:pStyle w:val="Compact"/>
      </w:pPr>
      <w:r>
        <w:t xml:space="preserve">MongoDB is the system of record for the documents being retrieved</w:t>
      </w:r>
      <w:r>
        <w:t xml:space="preserve"> </w:t>
      </w:r>
      <w:r>
        <w:rPr>
          <w:rStyle w:val="ClaimLabel"/>
        </w:rPr>
        <w:t xml:space="preserve">AJ</w:t>
      </w:r>
    </w:p>
    <w:p>
      <w:pPr>
        <w:pStyle w:val="FirstParagraph"/>
      </w:pPr>
      <w:r>
        <w:rPr>
          <w:bCs/>
          <w:b/>
        </w:rPr>
        <w:t xml:space="preserve">Avoid when</w:t>
      </w:r>
    </w:p>
    <w:p>
      <w:pPr>
        <w:numPr>
          <w:ilvl w:val="0"/>
          <w:numId w:val="1148"/>
        </w:numPr>
        <w:pStyle w:val="Compact"/>
      </w:pPr>
      <w:r>
        <w:t xml:space="preserve">MongoDB would be adopted only for retrieval</w:t>
      </w:r>
      <w:r>
        <w:t xml:space="preserve"> </w:t>
      </w:r>
      <w:r>
        <w:rPr>
          <w:rStyle w:val="ClaimLabel"/>
        </w:rPr>
        <w:t xml:space="preserve">AJ</w:t>
      </w:r>
    </w:p>
    <w:p>
      <w:pPr>
        <w:numPr>
          <w:ilvl w:val="0"/>
          <w:numId w:val="1148"/>
        </w:numPr>
        <w:pStyle w:val="Compact"/>
      </w:pPr>
      <w:r>
        <w:t xml:space="preserve">Preview reranking or embedding would sit in regulated flows</w:t>
      </w:r>
      <w:r>
        <w:t xml:space="preserve"> </w:t>
      </w:r>
      <w:r>
        <w:rPr>
          <w:rStyle w:val="ClaimLabel"/>
        </w:rPr>
        <w:t xml:space="preserve">AJ</w:t>
      </w:r>
    </w:p>
    <w:p>
      <w:pPr>
        <w:pStyle w:val="FirstParagraph"/>
      </w:pPr>
      <w:r>
        <w:rPr>
          <w:bCs/>
          <w:b/>
        </w:rPr>
        <w:t xml:space="preserve">Nearest competitors:</w:t>
      </w:r>
      <w:r>
        <w:t xml:space="preserve"> </w:t>
      </w:r>
      <w:r>
        <w:t xml:space="preserve">L6-pgvector, L6-elasticsearch, L6-pinecone</w:t>
      </w:r>
    </w:p>
    <w:p>
      <w:pPr>
        <w:pStyle w:val="BodyText"/>
      </w:pPr>
      <w:r>
        <w:rPr>
          <w:bCs/>
          <w:b/>
        </w:rPr>
        <w:t xml:space="preserve">Regulated-FS note.</w:t>
      </w:r>
      <w:r>
        <w:t xml:space="preserve"> </w:t>
      </w:r>
      <w:r>
        <w:t xml:space="preserve">Dedicated Search Nodes so CMK covers indexes; export audit logs to the firm’s archive; Voyage features off until GA and Geography-scoped</w:t>
      </w:r>
      <w:r>
        <w:t xml:space="preserve"> </w:t>
      </w:r>
      <w:r>
        <w:rPr>
          <w:rStyle w:val="ClaimLabel"/>
        </w:rPr>
        <w:t xml:space="preserve">Rec</w:t>
      </w:r>
      <w:r>
        <w:t xml:space="preserve">.</w:t>
      </w:r>
    </w:p>
    <w:p>
      <w:pPr>
        <w:pStyle w:val="BodyText"/>
      </w:pPr>
      <w:r>
        <w:rPr>
          <w:bCs/>
          <w:b/>
        </w:rPr>
        <w:t xml:space="preserve">Facts (as of 2026-10-08)</w:t>
      </w:r>
    </w:p>
    <w:tbl>
      <w:tblPr>
        <w:tblStyle w:val="Table"/>
        <w:tblW w:type="pct" w:w="5000"/>
        <w:tblLook w:firstRow="1" w:lastRow="0" w:firstColumn="0" w:lastColumn="0" w:noHBand="0" w:noVBand="0" w:val="0020"/>
        <w:jc w:val="start"/>
      </w:tblPr>
      <w:tblGrid>
        <w:gridCol w:w="1485"/>
        <w:gridCol w:w="4290"/>
        <w:gridCol w:w="1320"/>
        <w:gridCol w:w="825"/>
      </w:tblGrid>
      <w:tr>
        <w:trPr>
          <w:tblHeader w:val="true"/>
        </w:trPr>
        <w:tc>
          <w:tcPr/>
          <w:p>
            <w:pPr>
              <w:pStyle w:val="Compact"/>
              <w:jc w:val="left"/>
            </w:pPr>
            <w:r>
              <w:t xml:space="preserve">Field</w:t>
            </w:r>
          </w:p>
        </w:tc>
        <w:tc>
          <w:tcPr/>
          <w:p>
            <w:pPr>
              <w:pStyle w:val="Compact"/>
              <w:jc w:val="left"/>
            </w:pPr>
            <w:r>
              <w:t xml:space="preserve">Value</w:t>
            </w:r>
          </w:p>
        </w:tc>
        <w:tc>
          <w:tcPr/>
          <w:p>
            <w:pPr>
              <w:pStyle w:val="Compact"/>
              <w:jc w:val="left"/>
            </w:pPr>
            <w:r>
              <w:t xml:space="preserve">Label</w:t>
            </w:r>
          </w:p>
        </w:tc>
        <w:tc>
          <w:tcPr/>
          <w:p>
            <w:pPr>
              <w:pStyle w:val="Compact"/>
              <w:jc w:val="left"/>
            </w:pPr>
            <w:r>
              <w:t xml:space="preserve">Sources</w:t>
            </w:r>
          </w:p>
        </w:tc>
      </w:tr>
      <w:tr>
        <w:tc>
          <w:tcPr/>
          <w:p>
            <w:pPr>
              <w:pStyle w:val="Compact"/>
              <w:jc w:val="left"/>
            </w:pPr>
            <w:r>
              <w:t xml:space="preserve">Company</w:t>
            </w:r>
          </w:p>
        </w:tc>
        <w:tc>
          <w:tcPr/>
          <w:p>
            <w:pPr>
              <w:pStyle w:val="Compact"/>
              <w:jc w:val="left"/>
            </w:pPr>
            <w:r>
              <w:t xml:space="preserve">MongoDB, Inc. (owner of Voyage AI since February 2025)</w:t>
            </w:r>
          </w:p>
        </w:tc>
        <w:tc>
          <w:tcPr/>
          <w:p>
            <w:pPr>
              <w:pStyle w:val="Compact"/>
              <w:jc w:val="left"/>
            </w:pPr>
            <w:r>
              <w:t xml:space="preserve">Verified fact</w:t>
            </w:r>
          </w:p>
        </w:tc>
        <w:tc>
          <w:tcPr/>
          <w:p>
            <w:pPr>
              <w:pStyle w:val="Compact"/>
              <w:jc w:val="left"/>
            </w:pPr>
            <w:r>
              <w:t xml:space="preserve">A2-S033</w:t>
            </w:r>
          </w:p>
        </w:tc>
      </w:tr>
      <w:tr>
        <w:tc>
          <w:tcPr/>
          <w:p>
            <w:pPr>
              <w:pStyle w:val="Compact"/>
              <w:jc w:val="left"/>
            </w:pPr>
            <w:r>
              <w:t xml:space="preserve">Category</w:t>
            </w:r>
          </w:p>
        </w:tc>
        <w:tc>
          <w:tcPr/>
          <w:p>
            <w:pPr>
              <w:pStyle w:val="Compact"/>
              <w:jc w:val="left"/>
            </w:pPr>
            <w:r>
              <w:t xml:space="preserve">Vector search built into a general-purpose document database</w:t>
            </w:r>
          </w:p>
        </w:tc>
        <w:tc>
          <w:tcPr/>
          <w:p>
            <w:pPr>
              <w:pStyle w:val="Compact"/>
              <w:jc w:val="left"/>
            </w:pPr>
            <w:r>
              <w:t xml:space="preserve">Verified fact</w:t>
            </w:r>
          </w:p>
        </w:tc>
        <w:tc>
          <w:tcPr/>
          <w:p>
            <w:pPr>
              <w:pStyle w:val="Compact"/>
              <w:jc w:val="left"/>
            </w:pPr>
            <w:r>
              <w:t xml:space="preserve">A2-S078</w:t>
            </w:r>
          </w:p>
        </w:tc>
      </w:tr>
      <w:tr>
        <w:tc>
          <w:tcPr/>
          <w:p>
            <w:pPr>
              <w:pStyle w:val="Compact"/>
              <w:jc w:val="left"/>
            </w:pPr>
            <w:r>
              <w:t xml:space="preserve">Version / lineup</w:t>
            </w:r>
          </w:p>
        </w:tc>
        <w:tc>
          <w:tcPr/>
          <w:p>
            <w:pPr>
              <w:pStyle w:val="Compact"/>
              <w:jc w:val="left"/>
            </w:pPr>
            <w:r>
              <w:t xml:space="preserve">Atlas Vector Search; self-managed Search/Vector Search GA on MongoDB 8.2+ (mongot); hybrid search GA; $rerank native reranking (public preview, 8.3+); Automated Embedding (public preview); PyMongo 4.18.2 (24 September 2026)</w:t>
            </w:r>
          </w:p>
        </w:tc>
        <w:tc>
          <w:tcPr/>
          <w:p>
            <w:pPr>
              <w:pStyle w:val="Compact"/>
              <w:jc w:val="left"/>
            </w:pPr>
            <w:r>
              <w:t xml:space="preserve">Verified fact</w:t>
            </w:r>
          </w:p>
        </w:tc>
        <w:tc>
          <w:tcPr/>
          <w:p>
            <w:pPr>
              <w:pStyle w:val="Compact"/>
              <w:jc w:val="left"/>
            </w:pPr>
            <w:r>
              <w:t xml:space="preserve">A2-S137, A2-S141, A2-S078, A2-S059, V1-S035</w:t>
            </w:r>
          </w:p>
        </w:tc>
      </w:tr>
      <w:tr>
        <w:tc>
          <w:tcPr/>
          <w:p>
            <w:pPr>
              <w:pStyle w:val="Compact"/>
              <w:jc w:val="left"/>
            </w:pPr>
            <w:r>
              <w:t xml:space="preserve">Licence</w:t>
            </w:r>
          </w:p>
        </w:tc>
        <w:tc>
          <w:tcPr/>
          <w:p>
            <w:pPr>
              <w:pStyle w:val="Compact"/>
              <w:jc w:val="left"/>
            </w:pPr>
            <w:r>
              <w:t xml:space="preserve">Atlas: proprietary managed service; Community Edition and mongot under SSPL (source-available); Enterprise Advanced commercial</w:t>
            </w:r>
          </w:p>
        </w:tc>
        <w:tc>
          <w:tcPr/>
          <w:p>
            <w:pPr>
              <w:pStyle w:val="Compact"/>
              <w:jc w:val="left"/>
            </w:pPr>
            <w:r>
              <w:t xml:space="preserve">Verified fact</w:t>
            </w:r>
          </w:p>
        </w:tc>
        <w:tc>
          <w:tcPr/>
          <w:p>
            <w:pPr>
              <w:pStyle w:val="Compact"/>
              <w:jc w:val="left"/>
            </w:pPr>
            <w:r>
              <w:t xml:space="preserve">A2-S137</w:t>
            </w:r>
          </w:p>
        </w:tc>
      </w:tr>
      <w:tr>
        <w:tc>
          <w:tcPr/>
          <w:p>
            <w:pPr>
              <w:pStyle w:val="Compact"/>
              <w:jc w:val="left"/>
            </w:pPr>
            <w:r>
              <w:t xml:space="preserve">Status events</w:t>
            </w:r>
          </w:p>
        </w:tc>
        <w:tc>
          <w:tcPr/>
          <w:p>
            <w:pPr>
              <w:pStyle w:val="Compact"/>
              <w:jc w:val="left"/>
            </w:pPr>
            <w:r>
              <w:t xml:space="preserve">17 February 2025: acquires Voyage AI; January 2026: Automated Embedding (public preview, Community); c. July 2026: Search and Vector Search GA for Community and Enterprise Advanced; c. July 2026: hybrid search GA; $rerank public preview; 1 September 2026: Europe Geography for Atlas Embedding and Reranking API; c. 30 September 2026: rerank-3 announced for native reranking</w:t>
            </w:r>
          </w:p>
        </w:tc>
        <w:tc>
          <w:tcPr/>
          <w:p>
            <w:pPr>
              <w:pStyle w:val="Compact"/>
              <w:jc w:val="left"/>
            </w:pPr>
            <w:r>
              <w:t xml:space="preserve">Verified fact</w:t>
            </w:r>
          </w:p>
        </w:tc>
        <w:tc>
          <w:tcPr/>
          <w:p>
            <w:pPr>
              <w:pStyle w:val="Compact"/>
              <w:jc w:val="left"/>
            </w:pPr>
            <w:r>
              <w:t xml:space="preserve">A2-S033, A2-S008, A2-S137, A2-S141, A2-S142, V1-S023, V1-S035</w:t>
            </w:r>
          </w:p>
        </w:tc>
      </w:tr>
      <w:tr>
        <w:tc>
          <w:tcPr/>
          <w:p>
            <w:pPr>
              <w:pStyle w:val="Compact"/>
              <w:jc w:val="left"/>
            </w:pPr>
            <w:r>
              <w:t xml:space="preserve">Strategic direction</w:t>
            </w:r>
          </w:p>
        </w:tc>
        <w:tc>
          <w:tcPr/>
          <w:p>
            <w:pPr>
              <w:pStyle w:val="Compact"/>
              <w:jc w:val="left"/>
            </w:pPr>
            <w:r>
              <w:t xml:space="preserve">Vertical integration of retrieval: Voyage AI embeddings/rerankers native in the database (automated embedding, Atlas Embedding and Reranking API); announcement on native reranking and hybrid search for agent retrieval</w:t>
            </w:r>
          </w:p>
        </w:tc>
        <w:tc>
          <w:tcPr/>
          <w:p>
            <w:pPr>
              <w:pStyle w:val="Compact"/>
              <w:jc w:val="left"/>
            </w:pPr>
            <w:r>
              <w:t xml:space="preserve">Verified fact</w:t>
            </w:r>
          </w:p>
        </w:tc>
        <w:tc>
          <w:tcPr/>
          <w:p>
            <w:pPr>
              <w:pStyle w:val="Compact"/>
              <w:jc w:val="left"/>
            </w:pPr>
            <w:r>
              <w:t xml:space="preserve">A2-S008, A2-S077, A2-S078</w:t>
            </w:r>
          </w:p>
        </w:tc>
      </w:tr>
      <w:tr>
        <w:tc>
          <w:tcPr/>
          <w:p>
            <w:pPr>
              <w:pStyle w:val="Compact"/>
              <w:jc w:val="left"/>
            </w:pPr>
            <w:r>
              <w:t xml:space="preserve">What it does</w:t>
            </w:r>
          </w:p>
        </w:tc>
        <w:tc>
          <w:tcPr/>
          <w:p>
            <w:pPr>
              <w:pStyle w:val="Compact"/>
              <w:jc w:val="left"/>
            </w:pPr>
            <w:r>
              <w:t xml:space="preserve">Vector and full-text search inside the document database via $vectorSearch/$search, hybrid fusion ($rankFusion RRF, $scoreFusion), index-less $rerank with Voyage cross-encoders (max 1,000 docs), and automated embedding with Voyage models.</w:t>
            </w:r>
          </w:p>
        </w:tc>
        <w:tc>
          <w:tcPr/>
          <w:p>
            <w:pPr>
              <w:pStyle w:val="Compact"/>
              <w:jc w:val="left"/>
            </w:pPr>
            <w:r>
              <w:t xml:space="preserve">Verified fact</w:t>
            </w:r>
          </w:p>
        </w:tc>
        <w:tc>
          <w:tcPr/>
          <w:p>
            <w:pPr>
              <w:pStyle w:val="Compact"/>
              <w:jc w:val="left"/>
            </w:pPr>
            <w:r>
              <w:t xml:space="preserve">A2-S137, A2-S141, A2-S078</w:t>
            </w:r>
          </w:p>
        </w:tc>
      </w:tr>
      <w:tr>
        <w:tc>
          <w:tcPr/>
          <w:p>
            <w:pPr>
              <w:pStyle w:val="Compact"/>
              <w:jc w:val="left"/>
            </w:pPr>
            <w:r>
              <w:t xml:space="preserve">Stack position</w:t>
            </w:r>
          </w:p>
        </w:tc>
        <w:tc>
          <w:tcPr/>
          <w:p>
            <w:pPr>
              <w:pStyle w:val="Compact"/>
              <w:jc w:val="left"/>
            </w:pPr>
            <w:r>
              <w:t xml:space="preserve">L6 inside the operational database; with Voyage it spans L6 and L7.</w:t>
            </w:r>
          </w:p>
        </w:tc>
        <w:tc>
          <w:tcPr/>
          <w:p>
            <w:pPr>
              <w:pStyle w:val="Compact"/>
              <w:jc w:val="left"/>
            </w:pPr>
            <w:r>
              <w:t xml:space="preserve">Architectural judgement</w:t>
            </w:r>
          </w:p>
        </w:tc>
        <w:tc>
          <w:tcPr/>
          <w:p>
            <w:pPr>
              <w:pStyle w:val="Compact"/>
            </w:pPr>
          </w:p>
        </w:tc>
      </w:tr>
      <w:tr>
        <w:tc>
          <w:tcPr/>
          <w:p>
            <w:pPr>
              <w:pStyle w:val="Compact"/>
              <w:jc w:val="left"/>
            </w:pPr>
            <w:r>
              <w:t xml:space="preserve">Integration</w:t>
            </w:r>
          </w:p>
        </w:tc>
        <w:tc>
          <w:tcPr/>
          <w:p>
            <w:pPr>
              <w:pStyle w:val="Compact"/>
              <w:jc w:val="left"/>
            </w:pPr>
            <w:r>
              <w:t xml:space="preserve">MongoDB query API/aggregation via official drivers (e.g. PyMongo); Atlas Embedding and Reranking API</w:t>
            </w:r>
          </w:p>
        </w:tc>
        <w:tc>
          <w:tcPr/>
          <w:p>
            <w:pPr>
              <w:pStyle w:val="Compact"/>
              <w:jc w:val="left"/>
            </w:pPr>
            <w:r>
              <w:t xml:space="preserve">Verified fact</w:t>
            </w:r>
          </w:p>
        </w:tc>
        <w:tc>
          <w:tcPr/>
          <w:p>
            <w:pPr>
              <w:pStyle w:val="Compact"/>
              <w:jc w:val="left"/>
            </w:pPr>
            <w:r>
              <w:t xml:space="preserve">A2-S059, A2-S077</w:t>
            </w:r>
          </w:p>
        </w:tc>
      </w:tr>
      <w:tr>
        <w:tc>
          <w:tcPr/>
          <w:p>
            <w:pPr>
              <w:pStyle w:val="Compact"/>
              <w:jc w:val="left"/>
            </w:pPr>
            <w:r>
              <w:t xml:space="preserve">Dependencies</w:t>
            </w:r>
          </w:p>
        </w:tc>
        <w:tc>
          <w:tcPr/>
          <w:p>
            <w:pPr>
              <w:pStyle w:val="Compact"/>
              <w:jc w:val="left"/>
            </w:pPr>
            <w:r>
              <w:t xml:space="preserve">MongoDB Atlas or MongoDB Community Edition; Voyage AI models for automated embedding</w:t>
            </w:r>
          </w:p>
        </w:tc>
        <w:tc>
          <w:tcPr/>
          <w:p>
            <w:pPr>
              <w:pStyle w:val="Compact"/>
              <w:jc w:val="left"/>
            </w:pPr>
            <w:r>
              <w:t xml:space="preserve">Verified fact</w:t>
            </w:r>
          </w:p>
        </w:tc>
        <w:tc>
          <w:tcPr/>
          <w:p>
            <w:pPr>
              <w:pStyle w:val="Compact"/>
              <w:jc w:val="left"/>
            </w:pPr>
            <w:r>
              <w:t xml:space="preserve">A2-S078</w:t>
            </w:r>
          </w:p>
        </w:tc>
      </w:tr>
      <w:tr>
        <w:tc>
          <w:tcPr/>
          <w:p>
            <w:pPr>
              <w:pStyle w:val="Compact"/>
              <w:jc w:val="left"/>
            </w:pPr>
            <w:r>
              <w:t xml:space="preserve">Certifications</w:t>
            </w:r>
          </w:p>
        </w:tc>
        <w:tc>
          <w:tcPr/>
          <w:p>
            <w:pPr>
              <w:pStyle w:val="Compact"/>
              <w:jc w:val="left"/>
            </w:pPr>
            <w:r>
              <w:t xml:space="preserve">Atlas: ISO/IEC 27001:2022, SOC 2 Type II, PCI DSS, HITRUST, CSA STAR, HIPAA examination by third-party assessor; FedRAMP Moderate for Atlas for Government</w:t>
            </w:r>
          </w:p>
        </w:tc>
        <w:tc>
          <w:tcPr/>
          <w:p>
            <w:pPr>
              <w:pStyle w:val="Compact"/>
              <w:jc w:val="left"/>
            </w:pPr>
            <w:r>
              <w:t xml:space="preserve">Verified fact</w:t>
            </w:r>
          </w:p>
        </w:tc>
        <w:tc>
          <w:tcPr/>
          <w:p>
            <w:pPr>
              <w:pStyle w:val="Compact"/>
              <w:jc w:val="left"/>
            </w:pPr>
            <w:r>
              <w:t xml:space="preserve">A2-S138</w:t>
            </w:r>
          </w:p>
        </w:tc>
      </w:tr>
      <w:tr>
        <w:tc>
          <w:tcPr/>
          <w:p>
            <w:pPr>
              <w:pStyle w:val="Compact"/>
              <w:jc w:val="left"/>
            </w:pPr>
            <w:r>
              <w:t xml:space="preserve">GDPR / residency</w:t>
            </w:r>
          </w:p>
        </w:tc>
        <w:tc>
          <w:tcPr/>
          <w:p>
            <w:pPr>
              <w:pStyle w:val="Compact"/>
              <w:jc w:val="left"/>
            </w:pPr>
            <w:r>
              <w:t xml:space="preserve">Atlas cluster region chosen by customer; Atlas Embedding and Reranking API offers Europe (EEA) Geography processing boundary; Automated Embedding and Native Reranking do not yet support Geography targeting</w:t>
            </w:r>
          </w:p>
        </w:tc>
        <w:tc>
          <w:tcPr/>
          <w:p>
            <w:pPr>
              <w:pStyle w:val="Compact"/>
              <w:jc w:val="left"/>
            </w:pPr>
            <w:r>
              <w:t xml:space="preserve">Verified fact</w:t>
            </w:r>
          </w:p>
        </w:tc>
        <w:tc>
          <w:tcPr/>
          <w:p>
            <w:pPr>
              <w:pStyle w:val="Compact"/>
              <w:jc w:val="left"/>
            </w:pPr>
            <w:r>
              <w:t xml:space="preserve">A2-S142, A2-S139</w:t>
            </w:r>
          </w:p>
        </w:tc>
      </w:tr>
      <w:tr>
        <w:tc>
          <w:tcPr/>
          <w:p>
            <w:pPr>
              <w:pStyle w:val="Compact"/>
              <w:jc w:val="left"/>
            </w:pPr>
            <w:r>
              <w:t xml:space="preserve">Security features</w:t>
            </w:r>
          </w:p>
        </w:tc>
        <w:tc>
          <w:tcPr/>
          <w:p>
            <w:pPr>
              <w:pStyle w:val="Compact"/>
              <w:jc w:val="left"/>
            </w:pPr>
            <w:r>
              <w:t xml:space="preserve">AES-256 at rest by default; customer key management with AWS KMS, Azure Key Vault, Google Cloud KMS (not Free/Flex); search indexes covered by CMK only with dedicated Search Nodes</w:t>
            </w:r>
          </w:p>
        </w:tc>
        <w:tc>
          <w:tcPr/>
          <w:p>
            <w:pPr>
              <w:pStyle w:val="Compact"/>
              <w:jc w:val="left"/>
            </w:pPr>
            <w:r>
              <w:t xml:space="preserve">Verified fact</w:t>
            </w:r>
          </w:p>
        </w:tc>
        <w:tc>
          <w:tcPr/>
          <w:p>
            <w:pPr>
              <w:pStyle w:val="Compact"/>
              <w:jc w:val="left"/>
            </w:pPr>
            <w:r>
              <w:t xml:space="preserve">A2-S139</w:t>
            </w:r>
          </w:p>
        </w:tc>
      </w:tr>
      <w:tr>
        <w:tc>
          <w:tcPr/>
          <w:p>
            <w:pPr>
              <w:pStyle w:val="Compact"/>
              <w:jc w:val="left"/>
            </w:pPr>
            <w:r>
              <w:t xml:space="preserve">Access controls</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Enterprise support</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Pricing</w:t>
            </w:r>
          </w:p>
        </w:tc>
        <w:tc>
          <w:tcPr/>
          <w:p>
            <w:pPr>
              <w:pStyle w:val="Compact"/>
              <w:jc w:val="left"/>
            </w:pPr>
            <w:r>
              <w:t xml:space="preserve">Vector Search runs on cluster or dedicated Search Nodes (2-32 nodes, hourly, M10+); indicative Search Node tiers S20 US$0.12/hour to S80 US$3.26/hour; Flex US$8-30/month; Community self-managed free (SSPL); Geography-scoped Embedding API +10%</w:t>
            </w:r>
          </w:p>
        </w:tc>
        <w:tc>
          <w:tcPr/>
          <w:p>
            <w:pPr>
              <w:pStyle w:val="Compact"/>
              <w:jc w:val="left"/>
            </w:pPr>
            <w:r>
              <w:t xml:space="preserve">Verified fact</w:t>
            </w:r>
          </w:p>
        </w:tc>
        <w:tc>
          <w:tcPr/>
          <w:p>
            <w:pPr>
              <w:pStyle w:val="Compact"/>
              <w:jc w:val="left"/>
            </w:pPr>
            <w:r>
              <w:t xml:space="preserve">A2-S140, A2-S137, A2-S142</w:t>
            </w:r>
          </w:p>
        </w:tc>
      </w:tr>
      <w:tr>
        <w:tc>
          <w:tcPr/>
          <w:p>
            <w:pPr>
              <w:pStyle w:val="Compact"/>
              <w:jc w:val="left"/>
            </w:pPr>
            <w:r>
              <w:t xml:space="preserve">Infrastructure cost</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Ecosystem</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Adoption signals</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Maturity</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Deployment</w:t>
            </w:r>
          </w:p>
        </w:tc>
        <w:tc>
          <w:tcPr/>
          <w:p>
            <w:pPr>
              <w:pStyle w:val="Compact"/>
              <w:jc w:val="left"/>
            </w:pPr>
            <w:r>
              <w:t xml:space="preserve">saas: Yes (MongoDB Atlas); managed_cloud: Yes (Atlas on AWS, Azure, GCP); vpc_byoc: Not publicly verified; private_cloud: Not publicly verified; self_hosted: Yes (Community Edition and Enterprise Advanced, MongoDB 8.2+, GA); on_prem: Yes</w:t>
            </w:r>
          </w:p>
        </w:tc>
        <w:tc>
          <w:tcPr/>
          <w:p>
            <w:pPr>
              <w:pStyle w:val="Compact"/>
            </w:pPr>
          </w:p>
        </w:tc>
        <w:tc>
          <w:tcPr/>
          <w:p>
            <w:pPr>
              <w:pStyle w:val="Compact"/>
            </w:pPr>
          </w:p>
        </w:tc>
      </w:tr>
    </w:tbl>
    <w:bookmarkEnd w:id="644"/>
    <w:bookmarkStart w:id="667" w:name="amazon-s3-vectors-l6-s3-vectors"/>
    <w:p>
      <w:pPr>
        <w:pStyle w:val="Heading2"/>
      </w:pPr>
      <w:r>
        <w:t xml:space="preserve">Amazon S3 Vectors (</w:t>
      </w:r>
      <w:r>
        <w:rPr>
          <w:rStyle w:val="VerbatimChar"/>
        </w:rPr>
        <w:t xml:space="preserve">L6-s3-vectors</w:t>
      </w:r>
      <w:r>
        <w:t xml:space="preserve">)</w:t>
      </w:r>
    </w:p>
    <w:p>
      <w:pPr>
        <w:pStyle w:val="FirstParagraph"/>
      </w:pPr>
      <w:r>
        <w:rPr>
          <w:bCs/>
          <w:b/>
        </w:rPr>
        <w:t xml:space="preserve">Tier:</w:t>
      </w:r>
      <w:r>
        <w:t xml:space="preserve"> </w:t>
      </w:r>
      <w:r>
        <w:t xml:space="preserve">Tactical ·</w:t>
      </w:r>
      <w:r>
        <w:t xml:space="preserve"> </w:t>
      </w:r>
      <w:r>
        <w:rPr>
          <w:bCs/>
          <w:b/>
        </w:rPr>
        <w:t xml:space="preserve">Flags:</w:t>
      </w:r>
      <w:r>
        <w:t xml:space="preserve"> </w:t>
      </w:r>
      <w:r>
        <w:t xml:space="preserve">none ·</w:t>
      </w:r>
      <w:r>
        <w:t xml:space="preserve"> </w:t>
      </w:r>
      <w:r>
        <w:rPr>
          <w:bCs/>
          <w:b/>
        </w:rPr>
        <w:t xml:space="preserve">Original graphic label:</w:t>
      </w:r>
      <w:r>
        <w:t xml:space="preserve"> </w:t>
      </w:r>
      <w:r>
        <w:t xml:space="preserve">S3 Vectors – AWS</w:t>
      </w:r>
    </w:p>
    <w:p>
      <w:pPr>
        <w:pStyle w:val="BodyText"/>
      </w:pPr>
      <w:r>
        <w:rPr>
          <w:iCs/>
          <w:i/>
        </w:rPr>
        <w:t xml:space="preserve">Rationale:</w:t>
      </w:r>
      <w:r>
        <w:t xml:space="preserve"> </w:t>
      </w:r>
      <w:r>
        <w:t xml:space="preserve">Tactical, default in AWS estates as the low-cost vector tier. Not AWS’s lead vector-search service: AWS positions it as a durable tier behind OpenSearch</w:t>
      </w:r>
      <w:r>
        <w:t xml:space="preserve"> </w:t>
      </w:r>
      <w:r>
        <w:rPr>
          <w:rStyle w:val="ClaimLabel"/>
        </w:rPr>
        <w:t xml:space="preserve">VF</w:t>
      </w:r>
      <w:r>
        <w:rPr>
          <w:rStyle w:val="FootnoteReference"/>
        </w:rPr>
        <w:footnoteReference w:id="645"/>
      </w:r>
      <w:r>
        <w:t xml:space="preserve">, so rubric rule 10 (CP3 Q2) does not make it Strategic</w:t>
      </w:r>
      <w:r>
        <w:t xml:space="preserve"> </w:t>
      </w:r>
      <w:r>
        <w:rPr>
          <w:rStyle w:val="ClaimLabel"/>
        </w:rPr>
        <w:t xml:space="preserve">AJ</w:t>
      </w:r>
      <w:r>
        <w:t xml:space="preserve">.</w:t>
      </w:r>
    </w:p>
    <w:tbl>
      <w:tblPr>
        <w:tblStyle w:val="Table"/>
        <w:tblW w:type="pct" w:w="5000"/>
        <w:tblLook w:firstRow="1" w:lastRow="0" w:firstColumn="0" w:lastColumn="0" w:noHBand="0" w:noVBand="0" w:val="0020"/>
        <w:jc w:val="start"/>
      </w:tblPr>
      <w:tblGrid>
        <w:gridCol w:w="1545"/>
        <w:gridCol w:w="579"/>
        <w:gridCol w:w="5795"/>
      </w:tblGrid>
      <w:tr>
        <w:trPr>
          <w:tblHeader w:val="true"/>
        </w:trPr>
        <w:tc>
          <w:tcPr/>
          <w:p>
            <w:pPr>
              <w:pStyle w:val="Compact"/>
              <w:jc w:val="left"/>
            </w:pPr>
            <w:r>
              <w:t xml:space="preserve">Criterion</w:t>
            </w:r>
          </w:p>
        </w:tc>
        <w:tc>
          <w:tcPr/>
          <w:p>
            <w:pPr>
              <w:pStyle w:val="Compact"/>
              <w:jc w:val="right"/>
            </w:pPr>
            <w:r>
              <w:t xml:space="preserve">Score</w:t>
            </w:r>
          </w:p>
        </w:tc>
        <w:tc>
          <w:tcPr/>
          <w:p>
            <w:pPr>
              <w:pStyle w:val="Compact"/>
              <w:jc w:val="left"/>
            </w:pPr>
            <w:r>
              <w:t xml:space="preserve">Rationale</w:t>
            </w:r>
          </w:p>
        </w:tc>
      </w:tr>
      <w:tr>
        <w:tc>
          <w:tcPr/>
          <w:p>
            <w:pPr>
              <w:pStyle w:val="Compact"/>
              <w:jc w:val="left"/>
            </w:pPr>
            <w:r>
              <w:t xml:space="preserve">Technical</w:t>
            </w:r>
          </w:p>
        </w:tc>
        <w:tc>
          <w:tcPr/>
          <w:p>
            <w:pPr>
              <w:pStyle w:val="Compact"/>
              <w:jc w:val="right"/>
            </w:pPr>
            <w:r>
              <w:t xml:space="preserve">3</w:t>
            </w:r>
          </w:p>
        </w:tc>
        <w:tc>
          <w:tcPr/>
          <w:p>
            <w:pPr>
              <w:pStyle w:val="Compact"/>
              <w:jc w:val="left"/>
            </w:pPr>
            <w:r>
              <w:t xml:space="preserve">Vector similarity with metadata filters at large scale; no lexical or hybrid</w:t>
            </w:r>
          </w:p>
        </w:tc>
      </w:tr>
      <w:tr>
        <w:tc>
          <w:tcPr/>
          <w:p>
            <w:pPr>
              <w:pStyle w:val="Compact"/>
              <w:jc w:val="left"/>
            </w:pPr>
            <w:r>
              <w:t xml:space="preserve">Enterprise readiness</w:t>
            </w:r>
          </w:p>
        </w:tc>
        <w:tc>
          <w:tcPr/>
          <w:p>
            <w:pPr>
              <w:pStyle w:val="Compact"/>
              <w:jc w:val="right"/>
            </w:pPr>
            <w:r>
              <w:t xml:space="preserve">4</w:t>
            </w:r>
          </w:p>
        </w:tc>
        <w:tc>
          <w:tcPr/>
          <w:p>
            <w:pPr>
              <w:pStyle w:val="Compact"/>
              <w:jc w:val="left"/>
            </w:pPr>
            <w:r>
              <w:t xml:space="preserve">Hyperscaler presumption: platform controls presumed (CP2 Q1); confirm per service; IAM and CloudTrail data events verified</w:t>
            </w:r>
          </w:p>
        </w:tc>
      </w:tr>
      <w:tr>
        <w:tc>
          <w:tcPr/>
          <w:p>
            <w:pPr>
              <w:pStyle w:val="Compact"/>
              <w:jc w:val="left"/>
            </w:pPr>
            <w:r>
              <w:t xml:space="preserve">Security and compliance</w:t>
            </w:r>
          </w:p>
        </w:tc>
        <w:tc>
          <w:tcPr/>
          <w:p>
            <w:pPr>
              <w:pStyle w:val="Compact"/>
              <w:jc w:val="right"/>
            </w:pPr>
            <w:r>
              <w:t xml:space="preserve">4</w:t>
            </w:r>
          </w:p>
        </w:tc>
        <w:tc>
          <w:tcPr/>
          <w:p>
            <w:pPr>
              <w:pStyle w:val="Compact"/>
              <w:jc w:val="left"/>
            </w:pPr>
            <w:r>
              <w:t xml:space="preserve">CMK per index and PrivateLink; platform certifications without stated S3 Vectors scope: one below anchor (CP2 Q4)</w:t>
            </w:r>
          </w:p>
        </w:tc>
      </w:tr>
      <w:tr>
        <w:tc>
          <w:tcPr/>
          <w:p>
            <w:pPr>
              <w:pStyle w:val="Compact"/>
              <w:jc w:val="left"/>
            </w:pPr>
            <w:r>
              <w:t xml:space="preserve">Deployment flexibility</w:t>
            </w:r>
          </w:p>
        </w:tc>
        <w:tc>
          <w:tcPr/>
          <w:p>
            <w:pPr>
              <w:pStyle w:val="Compact"/>
              <w:jc w:val="right"/>
            </w:pPr>
            <w:r>
              <w:t xml:space="preserve">2</w:t>
            </w:r>
          </w:p>
        </w:tc>
        <w:tc>
          <w:tcPr/>
          <w:p>
            <w:pPr>
              <w:pStyle w:val="Compact"/>
              <w:jc w:val="left"/>
            </w:pPr>
            <w:r>
              <w:t xml:space="preserve">AWS regional service only</w:t>
            </w:r>
          </w:p>
        </w:tc>
      </w:tr>
      <w:tr>
        <w:tc>
          <w:tcPr/>
          <w:p>
            <w:pPr>
              <w:pStyle w:val="Compact"/>
              <w:jc w:val="left"/>
            </w:pPr>
            <w:r>
              <w:t xml:space="preserve">Ecosystem</w:t>
            </w:r>
          </w:p>
        </w:tc>
        <w:tc>
          <w:tcPr/>
          <w:p>
            <w:pPr>
              <w:pStyle w:val="Compact"/>
              <w:jc w:val="right"/>
            </w:pPr>
            <w:r>
              <w:t xml:space="preserve">3</w:t>
            </w:r>
          </w:p>
        </w:tc>
        <w:tc>
          <w:tcPr/>
          <w:p>
            <w:pPr>
              <w:pStyle w:val="Compact"/>
              <w:jc w:val="left"/>
            </w:pPr>
            <w:r>
              <w:t xml:space="preserve">Bedrock Knowledge Bases and OpenSearch; proprietary API</w:t>
            </w:r>
          </w:p>
        </w:tc>
      </w:tr>
      <w:tr>
        <w:tc>
          <w:tcPr/>
          <w:p>
            <w:pPr>
              <w:pStyle w:val="Compact"/>
              <w:jc w:val="left"/>
            </w:pPr>
            <w:r>
              <w:t xml:space="preserve">Reliability and maturity</w:t>
            </w:r>
          </w:p>
        </w:tc>
        <w:tc>
          <w:tcPr/>
          <w:p>
            <w:pPr>
              <w:pStyle w:val="Compact"/>
              <w:jc w:val="right"/>
            </w:pPr>
            <w:r>
              <w:t xml:space="preserve">3</w:t>
            </w:r>
          </w:p>
        </w:tc>
        <w:tc>
          <w:tcPr/>
          <w:p>
            <w:pPr>
              <w:pStyle w:val="Compact"/>
              <w:jc w:val="left"/>
            </w:pPr>
            <w:r>
              <w:t xml:space="preserve">GA about ten months; evolving quotas</w:t>
            </w:r>
          </w:p>
        </w:tc>
      </w:tr>
      <w:tr>
        <w:tc>
          <w:tcPr/>
          <w:p>
            <w:pPr>
              <w:pStyle w:val="Compact"/>
              <w:jc w:val="left"/>
            </w:pPr>
            <w:r>
              <w:t xml:space="preserve">Cost / TCO</w:t>
            </w:r>
          </w:p>
        </w:tc>
        <w:tc>
          <w:tcPr/>
          <w:p>
            <w:pPr>
              <w:pStyle w:val="Compact"/>
              <w:jc w:val="right"/>
            </w:pPr>
            <w:r>
              <w:t xml:space="preserve">5</w:t>
            </w:r>
          </w:p>
        </w:tc>
        <w:tc>
          <w:tcPr/>
          <w:p>
            <w:pPr>
              <w:pStyle w:val="Compact"/>
              <w:jc w:val="left"/>
            </w:pPr>
            <w:r>
              <w:t xml:space="preserve">Pay-per-use storage and query, clearly efficient</w:t>
            </w:r>
          </w:p>
        </w:tc>
      </w:tr>
      <w:tr>
        <w:tc>
          <w:tcPr/>
          <w:p>
            <w:pPr>
              <w:pStyle w:val="Compact"/>
              <w:jc w:val="left"/>
            </w:pPr>
            <w:r>
              <w:t xml:space="preserve">Lock-in / portability</w:t>
            </w:r>
          </w:p>
        </w:tc>
        <w:tc>
          <w:tcPr/>
          <w:p>
            <w:pPr>
              <w:pStyle w:val="Compact"/>
              <w:jc w:val="right"/>
            </w:pPr>
            <w:r>
              <w:t xml:space="preserve">2</w:t>
            </w:r>
          </w:p>
        </w:tc>
        <w:tc>
          <w:tcPr/>
          <w:p>
            <w:pPr>
              <w:pStyle w:val="Compact"/>
              <w:jc w:val="left"/>
            </w:pPr>
            <w:r>
              <w:t xml:space="preserve">AWS-only API; designated CTPP concentration</w:t>
            </w:r>
          </w:p>
        </w:tc>
      </w:tr>
      <w:tr>
        <w:tc>
          <w:tcPr/>
          <w:p>
            <w:pPr>
              <w:pStyle w:val="Compact"/>
              <w:jc w:val="left"/>
            </w:pPr>
            <w:r>
              <w:rPr>
                <w:bCs/>
                <w:b/>
              </w:rPr>
              <w:t xml:space="preserve">Total (generic / FS)</w:t>
            </w:r>
          </w:p>
        </w:tc>
        <w:tc>
          <w:tcPr/>
          <w:p>
            <w:pPr>
              <w:pStyle w:val="Compact"/>
              <w:jc w:val="right"/>
            </w:pPr>
            <w:r>
              <w:rPr>
                <w:bCs/>
                <w:b/>
              </w:rPr>
              <w:t xml:space="preserve">3.30 / 3.15</w:t>
            </w:r>
          </w:p>
        </w:tc>
        <w:tc>
          <w:tcPr/>
          <w:p>
            <w:pPr>
              <w:pStyle w:val="Compact"/>
            </w:pPr>
          </w:p>
        </w:tc>
      </w:tr>
    </w:tbl>
    <w:p>
      <w:pPr>
        <w:pStyle w:val="BodyText"/>
      </w:pPr>
      <w:r>
        <w:rPr>
          <w:iCs/>
          <w:i/>
        </w:rPr>
        <w:t xml:space="preserve">Evidence rules applied:</w:t>
      </w:r>
      <w:r>
        <w:t xml:space="preserve"> </w:t>
      </w:r>
      <w:r>
        <w:t xml:space="preserve">security_compliance at 4 (not 5) under CP2 Q4: S3 Vectors compliance scope not stated</w:t>
      </w:r>
    </w:p>
    <w:p>
      <w:pPr>
        <w:pStyle w:val="BodyText"/>
      </w:pPr>
      <w:r>
        <w:rPr>
          <w:bCs/>
          <w:b/>
        </w:rPr>
        <w:t xml:space="preserve">Capabilities.</w:t>
      </w:r>
      <w:r>
        <w:t xml:space="preserve"> </w:t>
      </w:r>
      <w:r>
        <w:t xml:space="preserve">Object storage with native vector indexes in vector buckets: up to 2 billion vectors per index, 50 metadata keys, 10,000 top-K, metadata filters; no BM25; Bedrock Knowledge Bases and OpenSearch integration; GA December 2025</w:t>
      </w:r>
      <w:r>
        <w:t xml:space="preserve"> </w:t>
      </w:r>
      <w:r>
        <w:rPr>
          <w:rStyle w:val="ClaimLabel"/>
        </w:rPr>
        <w:t xml:space="preserve">VF</w:t>
      </w:r>
      <w:r>
        <w:rPr>
          <w:rStyle w:val="FootnoteReference"/>
        </w:rPr>
        <w:footnoteReference w:id="647"/>
      </w:r>
      <w:r>
        <w:t xml:space="preserve">.</w:t>
      </w:r>
    </w:p>
    <w:p>
      <w:pPr>
        <w:pStyle w:val="BodyText"/>
      </w:pPr>
      <w:r>
        <w:rPr>
          <w:bCs/>
          <w:b/>
        </w:rPr>
        <w:t xml:space="preserve">Strengths</w:t>
      </w:r>
    </w:p>
    <w:p>
      <w:pPr>
        <w:numPr>
          <w:ilvl w:val="0"/>
          <w:numId w:val="1149"/>
        </w:numPr>
        <w:pStyle w:val="Compact"/>
      </w:pPr>
      <w:r>
        <w:t xml:space="preserve">Very low storage cost with no provisioned compute</w:t>
      </w:r>
      <w:r>
        <w:t xml:space="preserve"> </w:t>
      </w:r>
      <w:r>
        <w:rPr>
          <w:rStyle w:val="ClaimLabel"/>
        </w:rPr>
        <w:t xml:space="preserve">VF</w:t>
      </w:r>
      <w:r>
        <w:rPr>
          <w:rStyle w:val="FootnoteReference"/>
        </w:rPr>
        <w:footnoteReference w:id="653"/>
      </w:r>
    </w:p>
    <w:p>
      <w:pPr>
        <w:numPr>
          <w:ilvl w:val="0"/>
          <w:numId w:val="1149"/>
        </w:numPr>
        <w:pStyle w:val="Compact"/>
      </w:pPr>
      <w:r>
        <w:t xml:space="preserve">SSE-KMS CMK per bucket or index, PrivateLink, IAM</w:t>
      </w:r>
      <w:r>
        <w:t xml:space="preserve"> </w:t>
      </w:r>
      <w:r>
        <w:rPr>
          <w:rStyle w:val="ClaimLabel"/>
        </w:rPr>
        <w:t xml:space="preserve">VF</w:t>
      </w:r>
      <w:r>
        <w:rPr>
          <w:rStyle w:val="FootnoteReference"/>
        </w:rPr>
        <w:footnoteReference w:id="655"/>
      </w:r>
    </w:p>
    <w:p>
      <w:pPr>
        <w:numPr>
          <w:ilvl w:val="0"/>
          <w:numId w:val="1149"/>
        </w:numPr>
        <w:pStyle w:val="Compact"/>
      </w:pPr>
      <w:r>
        <w:t xml:space="preserve">CloudTrail data events for vector operations</w:t>
      </w:r>
      <w:r>
        <w:t xml:space="preserve"> </w:t>
      </w:r>
      <w:r>
        <w:rPr>
          <w:rStyle w:val="ClaimLabel"/>
        </w:rPr>
        <w:t xml:space="preserve">VF</w:t>
      </w:r>
      <w:r>
        <w:rPr>
          <w:rStyle w:val="FootnoteReference"/>
        </w:rPr>
        <w:footnoteReference w:id="658"/>
      </w:r>
    </w:p>
    <w:p>
      <w:pPr>
        <w:numPr>
          <w:ilvl w:val="0"/>
          <w:numId w:val="1149"/>
        </w:numPr>
        <w:pStyle w:val="Compact"/>
      </w:pPr>
      <w:r>
        <w:t xml:space="preserve">About 34 Regions incl. European Sovereign Cloud and GovCloud</w:t>
      </w:r>
      <w:r>
        <w:t xml:space="preserve"> </w:t>
      </w:r>
      <w:r>
        <w:rPr>
          <w:rStyle w:val="ClaimLabel"/>
        </w:rPr>
        <w:t xml:space="preserve">VF</w:t>
      </w:r>
      <w:r>
        <w:rPr>
          <w:rStyle w:val="FootnoteReference"/>
        </w:rPr>
        <w:footnoteReference w:id="660"/>
      </w:r>
    </w:p>
    <w:p>
      <w:pPr>
        <w:pStyle w:val="FirstParagraph"/>
      </w:pPr>
      <w:r>
        <w:rPr>
          <w:bCs/>
          <w:b/>
        </w:rPr>
        <w:t xml:space="preserve">Limitations and risks</w:t>
      </w:r>
    </w:p>
    <w:p>
      <w:pPr>
        <w:numPr>
          <w:ilvl w:val="0"/>
          <w:numId w:val="1150"/>
        </w:numPr>
        <w:pStyle w:val="Compact"/>
      </w:pPr>
      <w:r>
        <w:t xml:space="preserve">AWS-only proprietary API</w:t>
      </w:r>
      <w:r>
        <w:t xml:space="preserve"> </w:t>
      </w:r>
      <w:r>
        <w:rPr>
          <w:rStyle w:val="ClaimLabel"/>
        </w:rPr>
        <w:t xml:space="preserve">VF</w:t>
      </w:r>
      <w:r>
        <w:rPr>
          <w:rStyle w:val="FootnoteReference"/>
        </w:rPr>
        <w:footnoteReference w:id="662"/>
      </w:r>
    </w:p>
    <w:p>
      <w:pPr>
        <w:numPr>
          <w:ilvl w:val="0"/>
          <w:numId w:val="1150"/>
        </w:numPr>
        <w:pStyle w:val="Compact"/>
      </w:pPr>
      <w:r>
        <w:t xml:space="preserve">No BM25/hybrid; pairs with OpenSearch</w:t>
      </w:r>
      <w:r>
        <w:t xml:space="preserve"> </w:t>
      </w:r>
      <w:r>
        <w:rPr>
          <w:rStyle w:val="ClaimLabel"/>
        </w:rPr>
        <w:t xml:space="preserve">VF</w:t>
      </w:r>
      <w:r>
        <w:rPr>
          <w:rStyle w:val="FootnoteReference"/>
        </w:rPr>
        <w:footnoteReference w:id="663"/>
      </w:r>
    </w:p>
    <w:p>
      <w:pPr>
        <w:numPr>
          <w:ilvl w:val="0"/>
          <w:numId w:val="1150"/>
        </w:numPr>
        <w:pStyle w:val="Compact"/>
      </w:pPr>
      <w:r>
        <w:t xml:space="preserve">Compliance-programme scope and HIPAA eligibility not confirmed</w:t>
      </w:r>
      <w:r>
        <w:t xml:space="preserve"> </w:t>
      </w:r>
      <w:r>
        <w:rPr>
          <w:rStyle w:val="ClaimLabel"/>
        </w:rPr>
        <w:t xml:space="preserve">VF</w:t>
      </w:r>
      <w:r>
        <w:rPr>
          <w:rStyle w:val="FootnoteReference"/>
        </w:rPr>
        <w:footnoteReference w:id="664"/>
      </w:r>
    </w:p>
    <w:p>
      <w:pPr>
        <w:numPr>
          <w:ilvl w:val="0"/>
          <w:numId w:val="1150"/>
        </w:numPr>
        <w:pStyle w:val="Compact"/>
      </w:pPr>
      <w:r>
        <w:t xml:space="preserve">Limits and prices changed several times in 2026</w:t>
      </w:r>
      <w:r>
        <w:t xml:space="preserve"> </w:t>
      </w:r>
      <w:r>
        <w:rPr>
          <w:rStyle w:val="ClaimLabel"/>
        </w:rPr>
        <w:t xml:space="preserve">VF</w:t>
      </w:r>
      <w:r>
        <w:rPr>
          <w:rStyle w:val="FootnoteReference"/>
        </w:rPr>
        <w:footnoteReference w:id="665"/>
      </w:r>
    </w:p>
    <w:p>
      <w:pPr>
        <w:pStyle w:val="FirstParagraph"/>
      </w:pPr>
      <w:r>
        <w:rPr>
          <w:bCs/>
          <w:b/>
        </w:rPr>
        <w:t xml:space="preserve">Choose when</w:t>
      </w:r>
    </w:p>
    <w:p>
      <w:pPr>
        <w:numPr>
          <w:ilvl w:val="0"/>
          <w:numId w:val="1151"/>
        </w:numPr>
        <w:pStyle w:val="Compact"/>
      </w:pPr>
      <w:r>
        <w:t xml:space="preserve">AWS-centred firms needing a cheap durable tier or Bedrock Knowledge Base</w:t>
      </w:r>
      <w:r>
        <w:t xml:space="preserve"> </w:t>
      </w:r>
      <w:r>
        <w:rPr>
          <w:rStyle w:val="ClaimLabel"/>
        </w:rPr>
        <w:t xml:space="preserve">AJ</w:t>
      </w:r>
    </w:p>
    <w:p>
      <w:pPr>
        <w:pStyle w:val="FirstParagraph"/>
      </w:pPr>
      <w:r>
        <w:rPr>
          <w:bCs/>
          <w:b/>
        </w:rPr>
        <w:t xml:space="preserve">Avoid when</w:t>
      </w:r>
    </w:p>
    <w:p>
      <w:pPr>
        <w:numPr>
          <w:ilvl w:val="0"/>
          <w:numId w:val="1152"/>
        </w:numPr>
        <w:pStyle w:val="Compact"/>
      </w:pPr>
      <w:r>
        <w:t xml:space="preserve">Lexical search, low tail latency or a multi-cloud exit is required</w:t>
      </w:r>
      <w:r>
        <w:t xml:space="preserve"> </w:t>
      </w:r>
      <w:r>
        <w:rPr>
          <w:rStyle w:val="ClaimLabel"/>
        </w:rPr>
        <w:t xml:space="preserve">AJ</w:t>
      </w:r>
    </w:p>
    <w:p>
      <w:pPr>
        <w:pStyle w:val="FirstParagraph"/>
      </w:pPr>
      <w:r>
        <w:rPr>
          <w:bCs/>
          <w:b/>
        </w:rPr>
        <w:t xml:space="preserve">Nearest competitors:</w:t>
      </w:r>
      <w:r>
        <w:t xml:space="preserve"> </w:t>
      </w:r>
      <w:r>
        <w:t xml:space="preserve">L6-turbopuffer, L6-milvus-zilliz, L6-pgvector</w:t>
      </w:r>
    </w:p>
    <w:p>
      <w:pPr>
        <w:pStyle w:val="BodyText"/>
      </w:pPr>
      <w:r>
        <w:rPr>
          <w:bCs/>
          <w:b/>
        </w:rPr>
        <w:t xml:space="preserve">Regulated-FS note.</w:t>
      </w:r>
      <w:r>
        <w:t xml:space="preserve"> </w:t>
      </w:r>
      <w:r>
        <w:t xml:space="preserve">Enable CloudTrail data events on regulated indexes; set KMS key at index creation; record under the AWS CTPP concentration entry</w:t>
      </w:r>
      <w:r>
        <w:t xml:space="preserve"> </w:t>
      </w:r>
      <w:r>
        <w:rPr>
          <w:rStyle w:val="ClaimLabel"/>
        </w:rPr>
        <w:t xml:space="preserve">Rec</w:t>
      </w:r>
      <w:r>
        <w:t xml:space="preserve">.</w:t>
      </w:r>
    </w:p>
    <w:p>
      <w:pPr>
        <w:pStyle w:val="BodyText"/>
      </w:pPr>
      <w:r>
        <w:rPr>
          <w:bCs/>
          <w:b/>
        </w:rPr>
        <w:t xml:space="preserve">Facts (as of 2026-10-08)</w:t>
      </w:r>
    </w:p>
    <w:tbl>
      <w:tblPr>
        <w:tblStyle w:val="Table"/>
        <w:tblW w:type="pct" w:w="5000"/>
        <w:tblLook w:firstRow="1" w:lastRow="0" w:firstColumn="0" w:lastColumn="0" w:noHBand="0" w:noVBand="0" w:val="0020"/>
        <w:jc w:val="start"/>
      </w:tblPr>
      <w:tblGrid>
        <w:gridCol w:w="1485"/>
        <w:gridCol w:w="4290"/>
        <w:gridCol w:w="1320"/>
        <w:gridCol w:w="825"/>
      </w:tblGrid>
      <w:tr>
        <w:trPr>
          <w:tblHeader w:val="true"/>
        </w:trPr>
        <w:tc>
          <w:tcPr/>
          <w:p>
            <w:pPr>
              <w:pStyle w:val="Compact"/>
              <w:jc w:val="left"/>
            </w:pPr>
            <w:r>
              <w:t xml:space="preserve">Field</w:t>
            </w:r>
          </w:p>
        </w:tc>
        <w:tc>
          <w:tcPr/>
          <w:p>
            <w:pPr>
              <w:pStyle w:val="Compact"/>
              <w:jc w:val="left"/>
            </w:pPr>
            <w:r>
              <w:t xml:space="preserve">Value</w:t>
            </w:r>
          </w:p>
        </w:tc>
        <w:tc>
          <w:tcPr/>
          <w:p>
            <w:pPr>
              <w:pStyle w:val="Compact"/>
              <w:jc w:val="left"/>
            </w:pPr>
            <w:r>
              <w:t xml:space="preserve">Label</w:t>
            </w:r>
          </w:p>
        </w:tc>
        <w:tc>
          <w:tcPr/>
          <w:p>
            <w:pPr>
              <w:pStyle w:val="Compact"/>
              <w:jc w:val="left"/>
            </w:pPr>
            <w:r>
              <w:t xml:space="preserve">Sources</w:t>
            </w:r>
          </w:p>
        </w:tc>
      </w:tr>
      <w:tr>
        <w:tc>
          <w:tcPr/>
          <w:p>
            <w:pPr>
              <w:pStyle w:val="Compact"/>
              <w:jc w:val="left"/>
            </w:pPr>
            <w:r>
              <w:t xml:space="preserve">Company</w:t>
            </w:r>
          </w:p>
        </w:tc>
        <w:tc>
          <w:tcPr/>
          <w:p>
            <w:pPr>
              <w:pStyle w:val="Compact"/>
              <w:jc w:val="left"/>
            </w:pPr>
            <w:r>
              <w:t xml:space="preserve">Amazon Web Services</w:t>
            </w:r>
          </w:p>
        </w:tc>
        <w:tc>
          <w:tcPr/>
          <w:p>
            <w:pPr>
              <w:pStyle w:val="Compact"/>
              <w:jc w:val="left"/>
            </w:pPr>
            <w:r>
              <w:t xml:space="preserve">Verified fact</w:t>
            </w:r>
          </w:p>
        </w:tc>
        <w:tc>
          <w:tcPr/>
          <w:p>
            <w:pPr>
              <w:pStyle w:val="Compact"/>
              <w:jc w:val="left"/>
            </w:pPr>
            <w:r>
              <w:t xml:space="preserve">A2-S081</w:t>
            </w:r>
          </w:p>
        </w:tc>
      </w:tr>
      <w:tr>
        <w:tc>
          <w:tcPr/>
          <w:p>
            <w:pPr>
              <w:pStyle w:val="Compact"/>
              <w:jc w:val="left"/>
            </w:pPr>
            <w:r>
              <w:t xml:space="preserve">Category</w:t>
            </w:r>
          </w:p>
        </w:tc>
        <w:tc>
          <w:tcPr/>
          <w:p>
            <w:pPr>
              <w:pStyle w:val="Compact"/>
              <w:jc w:val="left"/>
            </w:pPr>
            <w:r>
              <w:t xml:space="preserve">Object storage with native vector storage and similarity query (vector buckets and indexes)</w:t>
            </w:r>
          </w:p>
        </w:tc>
        <w:tc>
          <w:tcPr/>
          <w:p>
            <w:pPr>
              <w:pStyle w:val="Compact"/>
              <w:jc w:val="left"/>
            </w:pPr>
            <w:r>
              <w:t xml:space="preserve">Verified fact</w:t>
            </w:r>
          </w:p>
        </w:tc>
        <w:tc>
          <w:tcPr/>
          <w:p>
            <w:pPr>
              <w:pStyle w:val="Compact"/>
              <w:jc w:val="left"/>
            </w:pPr>
            <w:r>
              <w:t xml:space="preserve">A2-S094, A2-S092</w:t>
            </w:r>
          </w:p>
        </w:tc>
      </w:tr>
      <w:tr>
        <w:tc>
          <w:tcPr/>
          <w:p>
            <w:pPr>
              <w:pStyle w:val="Compact"/>
              <w:jc w:val="left"/>
            </w:pPr>
            <w:r>
              <w:t xml:space="preserve">Version / lineup</w:t>
            </w:r>
          </w:p>
        </w:tc>
        <w:tc>
          <w:tcPr/>
          <w:p>
            <w:pPr>
              <w:pStyle w:val="Compact"/>
              <w:jc w:val="left"/>
            </w:pPr>
            <w:r>
              <w:t xml:space="preserve">Generally available since December 2025 (preview July 2025); up to 2 billion vectors per index, 10,000 indexes per bucket; 10,000 top-K per query since June 2026</w:t>
            </w:r>
          </w:p>
        </w:tc>
        <w:tc>
          <w:tcPr/>
          <w:p>
            <w:pPr>
              <w:pStyle w:val="Compact"/>
              <w:jc w:val="left"/>
            </w:pPr>
            <w:r>
              <w:t xml:space="preserve">Verified fact</w:t>
            </w:r>
          </w:p>
        </w:tc>
        <w:tc>
          <w:tcPr/>
          <w:p>
            <w:pPr>
              <w:pStyle w:val="Compact"/>
              <w:jc w:val="left"/>
            </w:pPr>
            <w:r>
              <w:t xml:space="preserve">A2-S081, A2-S094, A2-S086, V1-S030</w:t>
            </w:r>
          </w:p>
        </w:tc>
      </w:tr>
      <w:tr>
        <w:tc>
          <w:tcPr/>
          <w:p>
            <w:pPr>
              <w:pStyle w:val="Compact"/>
              <w:jc w:val="left"/>
            </w:pPr>
            <w:r>
              <w:t xml:space="preserve">Licence</w:t>
            </w:r>
          </w:p>
        </w:tc>
        <w:tc>
          <w:tcPr/>
          <w:p>
            <w:pPr>
              <w:pStyle w:val="Compact"/>
              <w:jc w:val="left"/>
            </w:pPr>
            <w:r>
              <w:t xml:space="preserve">Proprietary AWS managed service</w:t>
            </w:r>
          </w:p>
        </w:tc>
        <w:tc>
          <w:tcPr/>
          <w:p>
            <w:pPr>
              <w:pStyle w:val="Compact"/>
              <w:jc w:val="left"/>
            </w:pPr>
            <w:r>
              <w:t xml:space="preserve">Verified fact</w:t>
            </w:r>
          </w:p>
        </w:tc>
        <w:tc>
          <w:tcPr/>
          <w:p>
            <w:pPr>
              <w:pStyle w:val="Compact"/>
              <w:jc w:val="left"/>
            </w:pPr>
            <w:r>
              <w:t xml:space="preserve">A2-S092</w:t>
            </w:r>
          </w:p>
        </w:tc>
      </w:tr>
      <w:tr>
        <w:tc>
          <w:tcPr/>
          <w:p>
            <w:pPr>
              <w:pStyle w:val="Compact"/>
              <w:jc w:val="left"/>
            </w:pPr>
            <w:r>
              <w:t xml:space="preserve">Status events</w:t>
            </w:r>
          </w:p>
        </w:tc>
        <w:tc>
          <w:tcPr/>
          <w:p>
            <w:pPr>
              <w:pStyle w:val="Compact"/>
              <w:jc w:val="left"/>
            </w:pPr>
            <w:r>
              <w:t xml:space="preserve">July 2025: preview (5 Regions); December 2025: GA in 14 Regions; March 2026: +17 Regions (31 total); June 2026: 10,000 results per query; query data-processed charges cut up to 80% for &gt;10M-vector indexes; July 2026: AWS GovCloud (US) Regions</w:t>
            </w:r>
          </w:p>
        </w:tc>
        <w:tc>
          <w:tcPr/>
          <w:p>
            <w:pPr>
              <w:pStyle w:val="Compact"/>
              <w:jc w:val="left"/>
            </w:pPr>
            <w:r>
              <w:t xml:space="preserve">Verified fact</w:t>
            </w:r>
          </w:p>
        </w:tc>
        <w:tc>
          <w:tcPr/>
          <w:p>
            <w:pPr>
              <w:pStyle w:val="Compact"/>
              <w:jc w:val="left"/>
            </w:pPr>
            <w:r>
              <w:t xml:space="preserve">A2-S094, A2-S081, A2-S085, A2-S086, A2-S088, A2-S084</w:t>
            </w:r>
          </w:p>
        </w:tc>
      </w:tr>
      <w:tr>
        <w:tc>
          <w:tcPr/>
          <w:p>
            <w:pPr>
              <w:pStyle w:val="Compact"/>
              <w:jc w:val="left"/>
            </w:pPr>
            <w:r>
              <w:t xml:space="preserve">Strategic direction</w:t>
            </w:r>
          </w:p>
        </w:tc>
        <w:tc>
          <w:tcPr/>
          <w:p>
            <w:pPr>
              <w:pStyle w:val="Compact"/>
              <w:jc w:val="left"/>
            </w:pPr>
            <w:r>
              <w:t xml:space="preserve">Positioned as low-cost, durable vector tier integrated with Bedrock Knowledge Bases and OpenSearch (tiering hot vectors to OpenSearch); rapid regional expansion and price cuts for large indexes in 2026</w:t>
            </w:r>
          </w:p>
        </w:tc>
        <w:tc>
          <w:tcPr/>
          <w:p>
            <w:pPr>
              <w:pStyle w:val="Compact"/>
              <w:jc w:val="left"/>
            </w:pPr>
            <w:r>
              <w:t xml:space="preserve">Verified fact</w:t>
            </w:r>
          </w:p>
        </w:tc>
        <w:tc>
          <w:tcPr/>
          <w:p>
            <w:pPr>
              <w:pStyle w:val="Compact"/>
              <w:jc w:val="left"/>
            </w:pPr>
            <w:r>
              <w:t xml:space="preserve">A2-S092, A2-S093, A2-S085, A2-S088</w:t>
            </w:r>
          </w:p>
        </w:tc>
      </w:tr>
      <w:tr>
        <w:tc>
          <w:tcPr/>
          <w:p>
            <w:pPr>
              <w:pStyle w:val="Compact"/>
              <w:jc w:val="left"/>
            </w:pPr>
            <w:r>
              <w:t xml:space="preserve">What it does</w:t>
            </w:r>
          </w:p>
        </w:tc>
        <w:tc>
          <w:tcPr/>
          <w:p>
            <w:pPr>
              <w:pStyle w:val="Compact"/>
              <w:jc w:val="left"/>
            </w:pPr>
            <w:r>
              <w:t xml:space="preserve">Stores vectors (1-4,096 dims) with up to 50 metadata keys in vector indexes inside vector buckets and serves similarity queries with metadata filters via S3 Vectors APIs (PutVectors, QueryVectors); up to 1,000 write requests/s per index.</w:t>
            </w:r>
          </w:p>
        </w:tc>
        <w:tc>
          <w:tcPr/>
          <w:p>
            <w:pPr>
              <w:pStyle w:val="Compact"/>
              <w:jc w:val="left"/>
            </w:pPr>
            <w:r>
              <w:t xml:space="preserve">Verified fact</w:t>
            </w:r>
          </w:p>
        </w:tc>
        <w:tc>
          <w:tcPr/>
          <w:p>
            <w:pPr>
              <w:pStyle w:val="Compact"/>
              <w:jc w:val="left"/>
            </w:pPr>
            <w:r>
              <w:t xml:space="preserve">A2-S083</w:t>
            </w:r>
          </w:p>
        </w:tc>
      </w:tr>
      <w:tr>
        <w:tc>
          <w:tcPr/>
          <w:p>
            <w:pPr>
              <w:pStyle w:val="Compact"/>
              <w:jc w:val="left"/>
            </w:pPr>
            <w:r>
              <w:t xml:space="preserve">Stack position</w:t>
            </w:r>
          </w:p>
        </w:tc>
        <w:tc>
          <w:tcPr/>
          <w:p>
            <w:pPr>
              <w:pStyle w:val="Compact"/>
              <w:jc w:val="left"/>
            </w:pPr>
            <w:r>
              <w:t xml:space="preserve">L6 cost-optimised vector tier on object storage; not a full retrieval engine (no native BM25/hybrid) - pairs with OpenSearch for hybrid/low-latency; supports H5</w:t>
            </w:r>
            <w:r>
              <w:t xml:space="preserve"> </w:t>
            </w:r>
            <w:r>
              <w:t xml:space="preserve">‘</w:t>
            </w:r>
            <w:r>
              <w:t xml:space="preserve">object-store vectors</w:t>
            </w:r>
            <w:r>
              <w:t xml:space="preserve">’</w:t>
            </w:r>
            <w:r>
              <w:t xml:space="preserve">.</w:t>
            </w:r>
          </w:p>
        </w:tc>
        <w:tc>
          <w:tcPr/>
          <w:p>
            <w:pPr>
              <w:pStyle w:val="Compact"/>
              <w:jc w:val="left"/>
            </w:pPr>
            <w:r>
              <w:t xml:space="preserve">Architectural judgement</w:t>
            </w:r>
          </w:p>
        </w:tc>
        <w:tc>
          <w:tcPr/>
          <w:p>
            <w:pPr>
              <w:pStyle w:val="Compact"/>
            </w:pPr>
          </w:p>
        </w:tc>
      </w:tr>
      <w:tr>
        <w:tc>
          <w:tcPr/>
          <w:p>
            <w:pPr>
              <w:pStyle w:val="Compact"/>
              <w:jc w:val="left"/>
            </w:pPr>
            <w:r>
              <w:t xml:space="preserve">Integration</w:t>
            </w:r>
          </w:p>
        </w:tc>
        <w:tc>
          <w:tcPr/>
          <w:p>
            <w:pPr>
              <w:pStyle w:val="Compact"/>
              <w:jc w:val="left"/>
            </w:pPr>
            <w:r>
              <w:t xml:space="preserve">S3 Vectors API/SDKs; Bedrock Knowledge Bases vector store (35 metadata keys, 1 KB metadata limit); OpenSearch managed clusters can use S3 Vectors as storage engine, or export to OpenSearch Serverless; CloudFormation support</w:t>
            </w:r>
          </w:p>
        </w:tc>
        <w:tc>
          <w:tcPr/>
          <w:p>
            <w:pPr>
              <w:pStyle w:val="Compact"/>
              <w:jc w:val="left"/>
            </w:pPr>
            <w:r>
              <w:t xml:space="preserve">Verified fact</w:t>
            </w:r>
          </w:p>
        </w:tc>
        <w:tc>
          <w:tcPr/>
          <w:p>
            <w:pPr>
              <w:pStyle w:val="Compact"/>
              <w:jc w:val="left"/>
            </w:pPr>
            <w:r>
              <w:t xml:space="preserve">A2-S089, A2-S093, A2-S092</w:t>
            </w:r>
          </w:p>
        </w:tc>
      </w:tr>
      <w:tr>
        <w:tc>
          <w:tcPr/>
          <w:p>
            <w:pPr>
              <w:pStyle w:val="Compact"/>
              <w:jc w:val="left"/>
            </w:pPr>
            <w:r>
              <w:t xml:space="preserve">Dependencies</w:t>
            </w:r>
          </w:p>
        </w:tc>
        <w:tc>
          <w:tcPr/>
          <w:p>
            <w:pPr>
              <w:pStyle w:val="Compact"/>
              <w:jc w:val="left"/>
            </w:pPr>
            <w:r>
              <w:t xml:space="preserve">AWS account and Region; optionally Bedrock Knowledge Bases or Amazon OpenSearch Service</w:t>
            </w:r>
          </w:p>
        </w:tc>
        <w:tc>
          <w:tcPr/>
          <w:p>
            <w:pPr>
              <w:pStyle w:val="Compact"/>
              <w:jc w:val="left"/>
            </w:pPr>
            <w:r>
              <w:t xml:space="preserve">Verified fact</w:t>
            </w:r>
          </w:p>
        </w:tc>
        <w:tc>
          <w:tcPr/>
          <w:p>
            <w:pPr>
              <w:pStyle w:val="Compact"/>
              <w:jc w:val="left"/>
            </w:pPr>
            <w:r>
              <w:t xml:space="preserve">A2-S089, A2-S093</w:t>
            </w:r>
          </w:p>
        </w:tc>
      </w:tr>
      <w:tr>
        <w:tc>
          <w:tcPr/>
          <w:p>
            <w:pPr>
              <w:pStyle w:val="Compact"/>
              <w:jc w:val="left"/>
            </w:pPr>
            <w:r>
              <w:t xml:space="preserve">Certifications</w:t>
            </w:r>
          </w:p>
        </w:tc>
        <w:tc>
          <w:tcPr/>
          <w:p>
            <w:pPr>
              <w:pStyle w:val="Compact"/>
              <w:jc w:val="left"/>
            </w:pPr>
            <w:r>
              <w:t xml:space="preserve">HIPAA eligibility and other compliance scope for S3 Vectors specifically not confirmed (general S3 programmes do not establish S3 Vectors scope)</w:t>
            </w:r>
          </w:p>
        </w:tc>
        <w:tc>
          <w:tcPr/>
          <w:p>
            <w:pPr>
              <w:pStyle w:val="Compact"/>
              <w:jc w:val="left"/>
            </w:pPr>
            <w:r>
              <w:t xml:space="preserve">Verified fact</w:t>
            </w:r>
          </w:p>
        </w:tc>
        <w:tc>
          <w:tcPr/>
          <w:p>
            <w:pPr>
              <w:pStyle w:val="Compact"/>
              <w:jc w:val="left"/>
            </w:pPr>
            <w:r>
              <w:t xml:space="preserve">A2-S090</w:t>
            </w:r>
          </w:p>
        </w:tc>
      </w:tr>
      <w:tr>
        <w:tc>
          <w:tcPr/>
          <w:p>
            <w:pPr>
              <w:pStyle w:val="Compact"/>
              <w:jc w:val="left"/>
            </w:pPr>
            <w:r>
              <w:t xml:space="preserve">GDPR / residency</w:t>
            </w:r>
          </w:p>
        </w:tc>
        <w:tc>
          <w:tcPr/>
          <w:p>
            <w:pPr>
              <w:pStyle w:val="Compact"/>
              <w:jc w:val="left"/>
            </w:pPr>
            <w:r>
              <w:t xml:space="preserve">Regional service: about 34 Regions listed incl. AWS European Sovereign Cloud (Germany); data stays in chosen Region</w:t>
            </w:r>
          </w:p>
        </w:tc>
        <w:tc>
          <w:tcPr/>
          <w:p>
            <w:pPr>
              <w:pStyle w:val="Compact"/>
              <w:jc w:val="left"/>
            </w:pPr>
            <w:r>
              <w:t xml:space="preserve">Verified fact</w:t>
            </w:r>
          </w:p>
        </w:tc>
        <w:tc>
          <w:tcPr/>
          <w:p>
            <w:pPr>
              <w:pStyle w:val="Compact"/>
              <w:jc w:val="left"/>
            </w:pPr>
            <w:r>
              <w:t xml:space="preserve">A2-S084, A2-S085</w:t>
            </w:r>
          </w:p>
        </w:tc>
      </w:tr>
      <w:tr>
        <w:tc>
          <w:tcPr/>
          <w:p>
            <w:pPr>
              <w:pStyle w:val="Compact"/>
              <w:jc w:val="left"/>
            </w:pPr>
            <w:r>
              <w:t xml:space="preserve">Security features</w:t>
            </w:r>
          </w:p>
        </w:tc>
        <w:tc>
          <w:tcPr/>
          <w:p>
            <w:pPr>
              <w:pStyle w:val="Compact"/>
              <w:jc w:val="left"/>
            </w:pPr>
            <w:r>
              <w:t xml:space="preserve">SSE-S3 by default; SSE-KMS with customer-managed keys per bucket or index (immutable after index creation; covers metadata); AWS PrivateLink interface endpoints with endpoint policies; IAM-based access</w:t>
            </w:r>
          </w:p>
        </w:tc>
        <w:tc>
          <w:tcPr/>
          <w:p>
            <w:pPr>
              <w:pStyle w:val="Compact"/>
              <w:jc w:val="left"/>
            </w:pPr>
            <w:r>
              <w:t xml:space="preserve">Verified fact</w:t>
            </w:r>
          </w:p>
        </w:tc>
        <w:tc>
          <w:tcPr/>
          <w:p>
            <w:pPr>
              <w:pStyle w:val="Compact"/>
              <w:jc w:val="left"/>
            </w:pPr>
            <w:r>
              <w:t xml:space="preserve">A2-S090, A2-S091</w:t>
            </w:r>
          </w:p>
        </w:tc>
      </w:tr>
      <w:tr>
        <w:tc>
          <w:tcPr/>
          <w:p>
            <w:pPr>
              <w:pStyle w:val="Compact"/>
              <w:jc w:val="left"/>
            </w:pPr>
            <w:r>
              <w:t xml:space="preserve">Access controls</w:t>
            </w:r>
          </w:p>
        </w:tc>
        <w:tc>
          <w:tcPr/>
          <w:p>
            <w:pPr>
              <w:pStyle w:val="Compact"/>
              <w:jc w:val="left"/>
            </w:pPr>
            <w:r>
              <w:t xml:space="preserve">AWS IAM policies (S3 Vectors actions plus KMS permissions); CloudTrail monitoring of KMS key usage; S3 Vectors CloudTrail data-event coverage not confirmed</w:t>
            </w:r>
          </w:p>
        </w:tc>
        <w:tc>
          <w:tcPr/>
          <w:p>
            <w:pPr>
              <w:pStyle w:val="Compact"/>
              <w:jc w:val="left"/>
            </w:pPr>
            <w:r>
              <w:t xml:space="preserve">Verified fact</w:t>
            </w:r>
          </w:p>
        </w:tc>
        <w:tc>
          <w:tcPr/>
          <w:p>
            <w:pPr>
              <w:pStyle w:val="Compact"/>
              <w:jc w:val="left"/>
            </w:pPr>
            <w:r>
              <w:t xml:space="preserve">A2-S090</w:t>
            </w:r>
          </w:p>
        </w:tc>
      </w:tr>
      <w:tr>
        <w:tc>
          <w:tcPr/>
          <w:p>
            <w:pPr>
              <w:pStyle w:val="Compact"/>
              <w:jc w:val="left"/>
            </w:pPr>
            <w:r>
              <w:t xml:space="preserve">Enterprise support</w:t>
            </w:r>
          </w:p>
        </w:tc>
        <w:tc>
          <w:tcPr/>
          <w:p>
            <w:pPr>
              <w:pStyle w:val="Compact"/>
              <w:jc w:val="left"/>
            </w:pPr>
            <w:r>
              <w:t xml:space="preserve">Covered by AWS Support plans (not verified specifically)</w:t>
            </w:r>
          </w:p>
        </w:tc>
        <w:tc>
          <w:tcPr/>
          <w:p>
            <w:pPr>
              <w:pStyle w:val="Compact"/>
              <w:jc w:val="left"/>
            </w:pPr>
            <w:r>
              <w:t xml:space="preserve">Architectural judgement</w:t>
            </w:r>
          </w:p>
        </w:tc>
        <w:tc>
          <w:tcPr/>
          <w:p>
            <w:pPr>
              <w:pStyle w:val="Compact"/>
            </w:pPr>
          </w:p>
        </w:tc>
      </w:tr>
      <w:tr>
        <w:tc>
          <w:tcPr/>
          <w:p>
            <w:pPr>
              <w:pStyle w:val="Compact"/>
              <w:jc w:val="left"/>
            </w:pPr>
            <w:r>
              <w:t xml:space="preserve">Pricing</w:t>
            </w:r>
          </w:p>
        </w:tc>
        <w:tc>
          <w:tcPr/>
          <w:p>
            <w:pPr>
              <w:pStyle w:val="Compact"/>
              <w:jc w:val="left"/>
            </w:pPr>
            <w:r>
              <w:t xml:space="preserve">Storage US$0.06/GB-month; PUT US$0.20 per logical GB (128 KB minimum per PUT); queries US$2.50 per million requests plus data processed US$0.004/TB (first 100K vectors), US$0.002/TB (100K-10M), US$0.0004/TB (10M+), data returned US$0.01/GB (first 512 KB/query free); up to 80% lower data-processed charges for &gt;10M-vector indexes from June 2026</w:t>
            </w:r>
          </w:p>
        </w:tc>
        <w:tc>
          <w:tcPr/>
          <w:p>
            <w:pPr>
              <w:pStyle w:val="Compact"/>
              <w:jc w:val="left"/>
            </w:pPr>
            <w:r>
              <w:t xml:space="preserve">Verified fact</w:t>
            </w:r>
          </w:p>
        </w:tc>
        <w:tc>
          <w:tcPr/>
          <w:p>
            <w:pPr>
              <w:pStyle w:val="Compact"/>
              <w:jc w:val="left"/>
            </w:pPr>
            <w:r>
              <w:t xml:space="preserve">A2-S087, A2-S088, V1-S030</w:t>
            </w:r>
          </w:p>
        </w:tc>
      </w:tr>
      <w:tr>
        <w:tc>
          <w:tcPr/>
          <w:p>
            <w:pPr>
              <w:pStyle w:val="Compact"/>
              <w:jc w:val="left"/>
            </w:pPr>
            <w:r>
              <w:t xml:space="preserve">Infrastructure cost</w:t>
            </w:r>
          </w:p>
        </w:tc>
        <w:tc>
          <w:tcPr/>
          <w:p>
            <w:pPr>
              <w:pStyle w:val="Compact"/>
              <w:jc w:val="left"/>
            </w:pPr>
            <w:r>
              <w:t xml:space="preserve">Pay-per-use storage and query; no provisioned compute; AWS worked example: 50M vectors (4.1 KB each), 1M queries x 10,000 results = US$178.61/month</w:t>
            </w:r>
          </w:p>
        </w:tc>
        <w:tc>
          <w:tcPr/>
          <w:p>
            <w:pPr>
              <w:pStyle w:val="Compact"/>
              <w:jc w:val="left"/>
            </w:pPr>
            <w:r>
              <w:t xml:space="preserve">Verified fact</w:t>
            </w:r>
          </w:p>
        </w:tc>
        <w:tc>
          <w:tcPr/>
          <w:p>
            <w:pPr>
              <w:pStyle w:val="Compact"/>
              <w:jc w:val="left"/>
            </w:pPr>
            <w:r>
              <w:t xml:space="preserve">A2-S087</w:t>
            </w:r>
          </w:p>
        </w:tc>
      </w:tr>
      <w:tr>
        <w:tc>
          <w:tcPr/>
          <w:p>
            <w:pPr>
              <w:pStyle w:val="Compact"/>
              <w:jc w:val="left"/>
            </w:pPr>
            <w:r>
              <w:t xml:space="preserve">Ecosystem</w:t>
            </w:r>
          </w:p>
        </w:tc>
        <w:tc>
          <w:tcPr/>
          <w:p>
            <w:pPr>
              <w:pStyle w:val="Compact"/>
              <w:jc w:val="left"/>
            </w:pPr>
            <w:r>
              <w:t xml:space="preserve">Amazon Bedrock Knowledge Bases, Amazon OpenSearch Service, Aurora PostgreSQL (AWS blog on SQL over S3 Vectors)</w:t>
            </w:r>
          </w:p>
        </w:tc>
        <w:tc>
          <w:tcPr/>
          <w:p>
            <w:pPr>
              <w:pStyle w:val="Compact"/>
              <w:jc w:val="left"/>
            </w:pPr>
            <w:r>
              <w:t xml:space="preserve">Verified fact</w:t>
            </w:r>
          </w:p>
        </w:tc>
        <w:tc>
          <w:tcPr/>
          <w:p>
            <w:pPr>
              <w:pStyle w:val="Compact"/>
              <w:jc w:val="left"/>
            </w:pPr>
            <w:r>
              <w:t xml:space="preserve">A2-S089, A2-S093</w:t>
            </w:r>
          </w:p>
        </w:tc>
      </w:tr>
      <w:tr>
        <w:tc>
          <w:tcPr/>
          <w:p>
            <w:pPr>
              <w:pStyle w:val="Compact"/>
              <w:jc w:val="left"/>
            </w:pPr>
            <w:r>
              <w:t xml:space="preserve">Adoption signals</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Maturity</w:t>
            </w:r>
          </w:p>
        </w:tc>
        <w:tc>
          <w:tcPr/>
          <w:p>
            <w:pPr>
              <w:pStyle w:val="Compact"/>
              <w:jc w:val="left"/>
            </w:pPr>
            <w:r>
              <w:t xml:space="preserve">GA ~10 months (December 2025); limits and pricing changed several times in 2026</w:t>
            </w:r>
          </w:p>
        </w:tc>
        <w:tc>
          <w:tcPr/>
          <w:p>
            <w:pPr>
              <w:pStyle w:val="Compact"/>
              <w:jc w:val="left"/>
            </w:pPr>
            <w:r>
              <w:t xml:space="preserve">Verified fact</w:t>
            </w:r>
          </w:p>
        </w:tc>
        <w:tc>
          <w:tcPr/>
          <w:p>
            <w:pPr>
              <w:pStyle w:val="Compact"/>
              <w:jc w:val="left"/>
            </w:pPr>
            <w:r>
              <w:t xml:space="preserve">A2-S081, A2-S086, A2-S088</w:t>
            </w:r>
          </w:p>
        </w:tc>
      </w:tr>
      <w:tr>
        <w:tc>
          <w:tcPr/>
          <w:p>
            <w:pPr>
              <w:pStyle w:val="Compact"/>
              <w:jc w:val="left"/>
            </w:pPr>
            <w:r>
              <w:t xml:space="preserve">Deployment</w:t>
            </w:r>
          </w:p>
        </w:tc>
        <w:tc>
          <w:tcPr/>
          <w:p>
            <w:pPr>
              <w:pStyle w:val="Compact"/>
              <w:jc w:val="left"/>
            </w:pPr>
            <w:r>
              <w:t xml:space="preserve">saas: Yes (AWS managed); managed_cloud: Yes (AWS Regions incl. GovCloud and European Sovereign Cloud); vpc_byoc: Not applicable (runs in customer’s AWS account as a regional service); private_cloud: Not publicly verified; self_hosted: No; on_prem: No</w:t>
            </w:r>
          </w:p>
        </w:tc>
        <w:tc>
          <w:tcPr/>
          <w:p>
            <w:pPr>
              <w:pStyle w:val="Compact"/>
            </w:pPr>
          </w:p>
        </w:tc>
        <w:tc>
          <w:tcPr/>
          <w:p>
            <w:pPr>
              <w:pStyle w:val="Compact"/>
            </w:pPr>
          </w:p>
        </w:tc>
      </w:tr>
    </w:tbl>
    <w:bookmarkEnd w:id="667"/>
    <w:bookmarkStart w:id="686" w:name="turbopuffer-l6-turbopuffer"/>
    <w:p>
      <w:pPr>
        <w:pStyle w:val="Heading2"/>
      </w:pPr>
      <w:r>
        <w:t xml:space="preserve">turbopuffer (</w:t>
      </w:r>
      <w:r>
        <w:rPr>
          <w:rStyle w:val="VerbatimChar"/>
        </w:rPr>
        <w:t xml:space="preserve">L6-turbopuffer</w:t>
      </w:r>
      <w:r>
        <w:t xml:space="preserve">)</w:t>
      </w:r>
    </w:p>
    <w:p>
      <w:pPr>
        <w:pStyle w:val="FirstParagraph"/>
      </w:pPr>
      <w:r>
        <w:rPr>
          <w:bCs/>
          <w:b/>
        </w:rPr>
        <w:t xml:space="preserve">Tier:</w:t>
      </w:r>
      <w:r>
        <w:t xml:space="preserve"> </w:t>
      </w:r>
      <w:r>
        <w:t xml:space="preserve">Tactical ·</w:t>
      </w:r>
      <w:r>
        <w:t xml:space="preserve"> </w:t>
      </w:r>
      <w:r>
        <w:rPr>
          <w:bCs/>
          <w:b/>
        </w:rPr>
        <w:t xml:space="preserve">Flags:</w:t>
      </w:r>
      <w:r>
        <w:t xml:space="preserve"> </w:t>
      </w:r>
      <w:r>
        <w:t xml:space="preserve">none ·</w:t>
      </w:r>
      <w:r>
        <w:t xml:space="preserve"> </w:t>
      </w:r>
      <w:r>
        <w:rPr>
          <w:bCs/>
          <w:b/>
        </w:rPr>
        <w:t xml:space="preserve">Original graphic label:</w:t>
      </w:r>
      <w:r>
        <w:t xml:space="preserve"> </w:t>
      </w:r>
      <w:r>
        <w:t xml:space="preserve">turbopuffer – cloud vector store</w:t>
      </w:r>
    </w:p>
    <w:p>
      <w:pPr>
        <w:pStyle w:val="BodyText"/>
      </w:pPr>
      <w:r>
        <w:rPr>
          <w:iCs/>
          <w:i/>
        </w:rPr>
        <w:t xml:space="preserve">Rationale:</w:t>
      </w:r>
      <w:r>
        <w:t xml:space="preserve"> </w:t>
      </w:r>
      <w:r>
        <w:t xml:space="preserve">Distinctive object-storage design and per-namespace keys, but coarse key scoping, no ISO 27001, an Enterprise entry price well above peers and a proprietary API; author conflict disclosed and borderline calls resolved against it</w:t>
      </w:r>
      <w:r>
        <w:t xml:space="preserve"> </w:t>
      </w:r>
      <w:r>
        <w:rPr>
          <w:rStyle w:val="ClaimLabel"/>
        </w:rPr>
        <w:t xml:space="preserve">AJ</w:t>
      </w:r>
      <w:r>
        <w:t xml:space="preserve">.</w:t>
      </w:r>
    </w:p>
    <w:tbl>
      <w:tblPr>
        <w:tblStyle w:val="Table"/>
        <w:tblW w:type="pct" w:w="5000"/>
        <w:tblLook w:firstRow="1" w:lastRow="0" w:firstColumn="0" w:lastColumn="0" w:noHBand="0" w:noVBand="0" w:val="0020"/>
        <w:jc w:val="start"/>
      </w:tblPr>
      <w:tblGrid>
        <w:gridCol w:w="1545"/>
        <w:gridCol w:w="579"/>
        <w:gridCol w:w="5795"/>
      </w:tblGrid>
      <w:tr>
        <w:trPr>
          <w:tblHeader w:val="true"/>
        </w:trPr>
        <w:tc>
          <w:tcPr/>
          <w:p>
            <w:pPr>
              <w:pStyle w:val="Compact"/>
              <w:jc w:val="left"/>
            </w:pPr>
            <w:r>
              <w:t xml:space="preserve">Criterion</w:t>
            </w:r>
          </w:p>
        </w:tc>
        <w:tc>
          <w:tcPr/>
          <w:p>
            <w:pPr>
              <w:pStyle w:val="Compact"/>
              <w:jc w:val="right"/>
            </w:pPr>
            <w:r>
              <w:t xml:space="preserve">Score</w:t>
            </w:r>
          </w:p>
        </w:tc>
        <w:tc>
          <w:tcPr/>
          <w:p>
            <w:pPr>
              <w:pStyle w:val="Compact"/>
              <w:jc w:val="left"/>
            </w:pPr>
            <w:r>
              <w:t xml:space="preserve">Rationale</w:t>
            </w:r>
          </w:p>
        </w:tc>
      </w:tr>
      <w:tr>
        <w:tc>
          <w:tcPr/>
          <w:p>
            <w:pPr>
              <w:pStyle w:val="Compact"/>
              <w:jc w:val="left"/>
            </w:pPr>
            <w:r>
              <w:t xml:space="preserve">Technical</w:t>
            </w:r>
          </w:p>
        </w:tc>
        <w:tc>
          <w:tcPr/>
          <w:p>
            <w:pPr>
              <w:pStyle w:val="Compact"/>
              <w:jc w:val="right"/>
            </w:pPr>
            <w:r>
              <w:t xml:space="preserve">4</w:t>
            </w:r>
          </w:p>
        </w:tc>
        <w:tc>
          <w:tcPr/>
          <w:p>
            <w:pPr>
              <w:pStyle w:val="Compact"/>
              <w:jc w:val="left"/>
            </w:pPr>
            <w:r>
              <w:t xml:space="preserve">Vector + BM25 + filters with namespace isolation at scale; cold latency trade-off</w:t>
            </w:r>
          </w:p>
        </w:tc>
      </w:tr>
      <w:tr>
        <w:tc>
          <w:tcPr/>
          <w:p>
            <w:pPr>
              <w:pStyle w:val="Compact"/>
              <w:jc w:val="left"/>
            </w:pPr>
            <w:r>
              <w:t xml:space="preserve">Enterprise readiness</w:t>
            </w:r>
          </w:p>
        </w:tc>
        <w:tc>
          <w:tcPr/>
          <w:p>
            <w:pPr>
              <w:pStyle w:val="Compact"/>
              <w:jc w:val="right"/>
            </w:pPr>
            <w:r>
              <w:t xml:space="preserve">3</w:t>
            </w:r>
          </w:p>
        </w:tc>
        <w:tc>
          <w:tcPr/>
          <w:p>
            <w:pPr>
              <w:pStyle w:val="Compact"/>
              <w:jc w:val="left"/>
            </w:pPr>
            <w:r>
              <w:t xml:space="preserve">Dashboard SSO verified (lifts cap, CP2 Q2); no documented roles, admin-only BYOC keys, audit logs in beta</w:t>
            </w:r>
          </w:p>
        </w:tc>
      </w:tr>
      <w:tr>
        <w:tc>
          <w:tcPr/>
          <w:p>
            <w:pPr>
              <w:pStyle w:val="Compact"/>
              <w:jc w:val="left"/>
            </w:pPr>
            <w:r>
              <w:t xml:space="preserve">Security and compliance</w:t>
            </w:r>
          </w:p>
        </w:tc>
        <w:tc>
          <w:tcPr/>
          <w:p>
            <w:pPr>
              <w:pStyle w:val="Compact"/>
              <w:jc w:val="right"/>
            </w:pPr>
            <w:r>
              <w:t xml:space="preserve">3</w:t>
            </w:r>
          </w:p>
        </w:tc>
        <w:tc>
          <w:tcPr/>
          <w:p>
            <w:pPr>
              <w:pStyle w:val="Compact"/>
              <w:jc w:val="left"/>
            </w:pPr>
            <w:r>
              <w:t xml:space="preserve">SOC 2 Type 2, HIPAA, per-namespace CMEK, but no ISO 27001: maximum 3</w:t>
            </w:r>
          </w:p>
        </w:tc>
      </w:tr>
      <w:tr>
        <w:tc>
          <w:tcPr/>
          <w:p>
            <w:pPr>
              <w:pStyle w:val="Compact"/>
              <w:jc w:val="left"/>
            </w:pPr>
            <w:r>
              <w:t xml:space="preserve">Deployment flexibility</w:t>
            </w:r>
          </w:p>
        </w:tc>
        <w:tc>
          <w:tcPr/>
          <w:p>
            <w:pPr>
              <w:pStyle w:val="Compact"/>
              <w:jc w:val="right"/>
            </w:pPr>
            <w:r>
              <w:t xml:space="preserve">4</w:t>
            </w:r>
          </w:p>
        </w:tc>
        <w:tc>
          <w:tcPr/>
          <w:p>
            <w:pPr>
              <w:pStyle w:val="Compact"/>
              <w:jc w:val="left"/>
            </w:pPr>
            <w:r>
              <w:t xml:space="preserve">SaaS on three clouds, dedicated clusters and BYOC; no self-host</w:t>
            </w:r>
          </w:p>
        </w:tc>
      </w:tr>
      <w:tr>
        <w:tc>
          <w:tcPr/>
          <w:p>
            <w:pPr>
              <w:pStyle w:val="Compact"/>
              <w:jc w:val="left"/>
            </w:pPr>
            <w:r>
              <w:t xml:space="preserve">Ecosystem</w:t>
            </w:r>
          </w:p>
        </w:tc>
        <w:tc>
          <w:tcPr/>
          <w:p>
            <w:pPr>
              <w:pStyle w:val="Compact"/>
              <w:jc w:val="right"/>
            </w:pPr>
            <w:r>
              <w:t xml:space="preserve">3</w:t>
            </w:r>
          </w:p>
        </w:tc>
        <w:tc>
          <w:tcPr/>
          <w:p>
            <w:pPr>
              <w:pStyle w:val="Compact"/>
              <w:jc w:val="left"/>
            </w:pPr>
            <w:r>
              <w:t xml:space="preserve">HTTP API and generated SDK; integrations not evidenced</w:t>
            </w:r>
          </w:p>
        </w:tc>
      </w:tr>
      <w:tr>
        <w:tc>
          <w:tcPr/>
          <w:p>
            <w:pPr>
              <w:pStyle w:val="Compact"/>
              <w:jc w:val="left"/>
            </w:pPr>
            <w:r>
              <w:t xml:space="preserve">Reliability and maturity</w:t>
            </w:r>
          </w:p>
        </w:tc>
        <w:tc>
          <w:tcPr/>
          <w:p>
            <w:pPr>
              <w:pStyle w:val="Compact"/>
              <w:jc w:val="right"/>
            </w:pPr>
            <w:r>
              <w:t xml:space="preserve">3</w:t>
            </w:r>
          </w:p>
        </w:tc>
        <w:tc>
          <w:tcPr/>
          <w:p>
            <w:pPr>
              <w:pStyle w:val="Compact"/>
              <w:jc w:val="left"/>
            </w:pPr>
            <w:r>
              <w:t xml:space="preserve">Young company; named customers and profitability only via press</w:t>
            </w:r>
          </w:p>
        </w:tc>
      </w:tr>
      <w:tr>
        <w:tc>
          <w:tcPr/>
          <w:p>
            <w:pPr>
              <w:pStyle w:val="Compact"/>
              <w:jc w:val="left"/>
            </w:pPr>
            <w:r>
              <w:t xml:space="preserve">Cost / TCO</w:t>
            </w:r>
          </w:p>
        </w:tc>
        <w:tc>
          <w:tcPr/>
          <w:p>
            <w:pPr>
              <w:pStyle w:val="Compact"/>
              <w:jc w:val="right"/>
            </w:pPr>
            <w:r>
              <w:t xml:space="preserve">3</w:t>
            </w:r>
          </w:p>
        </w:tc>
        <w:tc>
          <w:tcPr/>
          <w:p>
            <w:pPr>
              <w:pStyle w:val="Compact"/>
              <w:jc w:val="left"/>
            </w:pPr>
            <w:r>
              <w:t xml:space="preserve">Published minimums and object-storage pricing, but the Enterprise tier needed for CMEK and private networking starts at US$4,096 per month with a 35% usage premium (Pinecone Enterprise from US$500); 3, resolved against the Anthropic-related item (CP3 review A)</w:t>
            </w:r>
          </w:p>
        </w:tc>
      </w:tr>
      <w:tr>
        <w:tc>
          <w:tcPr/>
          <w:p>
            <w:pPr>
              <w:pStyle w:val="Compact"/>
              <w:jc w:val="left"/>
            </w:pPr>
            <w:r>
              <w:t xml:space="preserve">Lock-in / portability</w:t>
            </w:r>
          </w:p>
        </w:tc>
        <w:tc>
          <w:tcPr/>
          <w:p>
            <w:pPr>
              <w:pStyle w:val="Compact"/>
              <w:jc w:val="right"/>
            </w:pPr>
            <w:r>
              <w:t xml:space="preserve">2</w:t>
            </w:r>
          </w:p>
        </w:tc>
        <w:tc>
          <w:tcPr/>
          <w:p>
            <w:pPr>
              <w:pStyle w:val="Compact"/>
              <w:jc w:val="left"/>
            </w:pPr>
            <w:r>
              <w:t xml:space="preserve">Proprietary API and storage format</w:t>
            </w:r>
          </w:p>
        </w:tc>
      </w:tr>
      <w:tr>
        <w:tc>
          <w:tcPr/>
          <w:p>
            <w:pPr>
              <w:pStyle w:val="Compact"/>
              <w:jc w:val="left"/>
            </w:pPr>
            <w:r>
              <w:rPr>
                <w:bCs/>
                <w:b/>
              </w:rPr>
              <w:t xml:space="preserve">Total (generic / FS)</w:t>
            </w:r>
          </w:p>
        </w:tc>
        <w:tc>
          <w:tcPr/>
          <w:p>
            <w:pPr>
              <w:pStyle w:val="Compact"/>
              <w:jc w:val="right"/>
            </w:pPr>
            <w:r>
              <w:rPr>
                <w:bCs/>
                <w:b/>
              </w:rPr>
              <w:t xml:space="preserve">3.30 / 3.15</w:t>
            </w:r>
          </w:p>
        </w:tc>
        <w:tc>
          <w:tcPr/>
          <w:p>
            <w:pPr>
              <w:pStyle w:val="Compact"/>
            </w:pPr>
          </w:p>
        </w:tc>
      </w:tr>
    </w:tbl>
    <w:p>
      <w:pPr>
        <w:pStyle w:val="BodyText"/>
      </w:pPr>
      <w:r>
        <w:rPr>
          <w:bCs/>
          <w:b/>
        </w:rPr>
        <w:t xml:space="preserve">Capabilities.</w:t>
      </w:r>
      <w:r>
        <w:t xml:space="preserve"> </w:t>
      </w:r>
      <w:r>
        <w:t xml:space="preserve">Proprietary serverless search on object storage: namespaced ANN vector (SPFresh) and BM25 full-text with filters; stateless compute with SSD/memory caches; SaaS and BYOC on AWS, GCP and Azure</w:t>
      </w:r>
      <w:r>
        <w:t xml:space="preserve"> </w:t>
      </w:r>
      <w:r>
        <w:rPr>
          <w:rStyle w:val="ClaimLabel"/>
        </w:rPr>
        <w:t xml:space="preserve">VF</w:t>
      </w:r>
      <w:r>
        <w:rPr>
          <w:rStyle w:val="FootnoteReference"/>
        </w:rPr>
        <w:footnoteReference w:id="668"/>
      </w:r>
      <w:r>
        <w:t xml:space="preserve">. Conflict of interest: Anthropic, the author’s developer, is reported as a customer</w:t>
      </w:r>
      <w:r>
        <w:t xml:space="preserve"> </w:t>
      </w:r>
      <w:r>
        <w:rPr>
          <w:rStyle w:val="ClaimLabel"/>
        </w:rPr>
        <w:t xml:space="preserve">R</w:t>
      </w:r>
      <w:r>
        <w:rPr>
          <w:rStyle w:val="FootnoteReference"/>
        </w:rPr>
        <w:footnoteReference w:id="672"/>
      </w:r>
      <w:r>
        <w:t xml:space="preserve">.</w:t>
      </w:r>
    </w:p>
    <w:p>
      <w:pPr>
        <w:pStyle w:val="BodyText"/>
      </w:pPr>
      <w:r>
        <w:rPr>
          <w:bCs/>
          <w:b/>
        </w:rPr>
        <w:t xml:space="preserve">Strengths</w:t>
      </w:r>
    </w:p>
    <w:p>
      <w:pPr>
        <w:numPr>
          <w:ilvl w:val="0"/>
          <w:numId w:val="1153"/>
        </w:numPr>
        <w:pStyle w:val="Compact"/>
      </w:pPr>
      <w:r>
        <w:t xml:space="preserve">Object-storage economics for very large, many-tenant corpora</w:t>
      </w:r>
      <w:r>
        <w:t xml:space="preserve"> </w:t>
      </w:r>
      <w:r>
        <w:rPr>
          <w:rStyle w:val="ClaimLabel"/>
        </w:rPr>
        <w:t xml:space="preserve">VF</w:t>
      </w:r>
      <w:r>
        <w:rPr>
          <w:rStyle w:val="FootnoteReference"/>
        </w:rPr>
        <w:footnoteReference w:id="674"/>
      </w:r>
      <w:r>
        <w:t xml:space="preserve"> </w:t>
      </w:r>
      <w:r>
        <w:rPr>
          <w:rStyle w:val="ClaimLabel"/>
        </w:rPr>
        <w:t xml:space="preserve">AJ</w:t>
      </w:r>
    </w:p>
    <w:p>
      <w:pPr>
        <w:numPr>
          <w:ilvl w:val="0"/>
          <w:numId w:val="1153"/>
        </w:numPr>
        <w:pStyle w:val="Compact"/>
      </w:pPr>
      <w:r>
        <w:t xml:space="preserve">Per-namespace CMEK and private networking on Enterprise; HIPAA BAA on Scale+</w:t>
      </w:r>
      <w:r>
        <w:t xml:space="preserve"> </w:t>
      </w:r>
      <w:r>
        <w:rPr>
          <w:rStyle w:val="ClaimLabel"/>
        </w:rPr>
        <w:t xml:space="preserve">VF</w:t>
      </w:r>
      <w:r>
        <w:rPr>
          <w:rStyle w:val="FootnoteReference"/>
        </w:rPr>
        <w:footnoteReference w:id="675"/>
      </w:r>
    </w:p>
    <w:p>
      <w:pPr>
        <w:numPr>
          <w:ilvl w:val="0"/>
          <w:numId w:val="1153"/>
        </w:numPr>
        <w:pStyle w:val="Compact"/>
      </w:pPr>
      <w:r>
        <w:t xml:space="preserve">BYOC with manual customer approval of vendor operations</w:t>
      </w:r>
      <w:r>
        <w:t xml:space="preserve"> </w:t>
      </w:r>
      <w:r>
        <w:rPr>
          <w:rStyle w:val="ClaimLabel"/>
        </w:rPr>
        <w:t xml:space="preserve">VF</w:t>
      </w:r>
      <w:r>
        <w:rPr>
          <w:rStyle w:val="FootnoteReference"/>
        </w:rPr>
        <w:footnoteReference w:id="678"/>
      </w:r>
    </w:p>
    <w:p>
      <w:pPr>
        <w:numPr>
          <w:ilvl w:val="0"/>
          <w:numId w:val="1153"/>
        </w:numPr>
        <w:pStyle w:val="Compact"/>
      </w:pPr>
      <w:r>
        <w:t xml:space="preserve">Region-pinned data incl. Frankfurt</w:t>
      </w:r>
      <w:r>
        <w:t xml:space="preserve"> </w:t>
      </w:r>
      <w:r>
        <w:rPr>
          <w:rStyle w:val="ClaimLabel"/>
        </w:rPr>
        <w:t xml:space="preserve">VF</w:t>
      </w:r>
      <w:r>
        <w:rPr>
          <w:rStyle w:val="FootnoteReference"/>
        </w:rPr>
        <w:footnoteReference w:id="679"/>
      </w:r>
    </w:p>
    <w:p>
      <w:pPr>
        <w:pStyle w:val="FirstParagraph"/>
      </w:pPr>
      <w:r>
        <w:rPr>
          <w:bCs/>
          <w:b/>
        </w:rPr>
        <w:t xml:space="preserve">Limitations and risks</w:t>
      </w:r>
    </w:p>
    <w:p>
      <w:pPr>
        <w:numPr>
          <w:ilvl w:val="0"/>
          <w:numId w:val="1154"/>
        </w:numPr>
        <w:pStyle w:val="Compact"/>
      </w:pPr>
      <w:r>
        <w:t xml:space="preserve">No built-in document-level RBAC; BYOC keys are admin keys</w:t>
      </w:r>
      <w:r>
        <w:t xml:space="preserve"> </w:t>
      </w:r>
      <w:r>
        <w:rPr>
          <w:rStyle w:val="ClaimLabel"/>
        </w:rPr>
        <w:t xml:space="preserve">VF</w:t>
      </w:r>
      <w:r>
        <w:rPr>
          <w:rStyle w:val="FootnoteReference"/>
        </w:rPr>
        <w:footnoteReference w:id="681"/>
      </w:r>
    </w:p>
    <w:p>
      <w:pPr>
        <w:numPr>
          <w:ilvl w:val="0"/>
          <w:numId w:val="1154"/>
        </w:numPr>
        <w:pStyle w:val="Compact"/>
      </w:pPr>
      <w:r>
        <w:t xml:space="preserve">Audit logs with SIEM only an opt-in beta (March 2026)</w:t>
      </w:r>
      <w:r>
        <w:t xml:space="preserve"> </w:t>
      </w:r>
      <w:r>
        <w:rPr>
          <w:rStyle w:val="ClaimLabel"/>
        </w:rPr>
        <w:t xml:space="preserve">VF</w:t>
      </w:r>
      <w:r>
        <w:rPr>
          <w:rStyle w:val="FootnoteReference"/>
        </w:rPr>
        <w:footnoteReference w:id="682"/>
      </w:r>
    </w:p>
    <w:p>
      <w:pPr>
        <w:numPr>
          <w:ilvl w:val="0"/>
          <w:numId w:val="1154"/>
        </w:numPr>
        <w:pStyle w:val="Compact"/>
      </w:pPr>
      <w:r>
        <w:t xml:space="preserve">No ISO 27001 found</w:t>
      </w:r>
      <w:r>
        <w:t xml:space="preserve"> </w:t>
      </w:r>
      <w:r>
        <w:rPr>
          <w:rStyle w:val="ClaimLabel"/>
        </w:rPr>
        <w:t xml:space="preserve">NPV</w:t>
      </w:r>
    </w:p>
    <w:p>
      <w:pPr>
        <w:numPr>
          <w:ilvl w:val="0"/>
          <w:numId w:val="1154"/>
        </w:numPr>
        <w:pStyle w:val="Compact"/>
      </w:pPr>
      <w:r>
        <w:t xml:space="preserve">Cold-query latency much higher than cached (vendor figures)</w:t>
      </w:r>
      <w:r>
        <w:t xml:space="preserve"> </w:t>
      </w:r>
      <w:r>
        <w:rPr>
          <w:rStyle w:val="ClaimLabel"/>
        </w:rPr>
        <w:t xml:space="preserve">R</w:t>
      </w:r>
      <w:r>
        <w:rPr>
          <w:rStyle w:val="FootnoteReference"/>
        </w:rPr>
        <w:footnoteReference w:id="683"/>
      </w:r>
    </w:p>
    <w:p>
      <w:pPr>
        <w:numPr>
          <w:ilvl w:val="0"/>
          <w:numId w:val="1154"/>
        </w:numPr>
        <w:pStyle w:val="Compact"/>
      </w:pPr>
      <w:r>
        <w:t xml:space="preserve">Funding and revenue only from press/aggregator</w:t>
      </w:r>
      <w:r>
        <w:t xml:space="preserve"> </w:t>
      </w:r>
      <w:r>
        <w:rPr>
          <w:rStyle w:val="ClaimLabel"/>
        </w:rPr>
        <w:t xml:space="preserve">R</w:t>
      </w:r>
      <w:r>
        <w:rPr>
          <w:rStyle w:val="FootnoteReference"/>
        </w:rPr>
        <w:footnoteReference w:id="684"/>
      </w:r>
    </w:p>
    <w:p>
      <w:pPr>
        <w:pStyle w:val="FirstParagraph"/>
      </w:pPr>
      <w:r>
        <w:rPr>
          <w:bCs/>
          <w:b/>
        </w:rPr>
        <w:t xml:space="preserve">Choose when</w:t>
      </w:r>
    </w:p>
    <w:p>
      <w:pPr>
        <w:numPr>
          <w:ilvl w:val="0"/>
          <w:numId w:val="1155"/>
        </w:numPr>
        <w:pStyle w:val="Compact"/>
      </w:pPr>
      <w:r>
        <w:t xml:space="preserve">Very many tenants or very large corpora with skewed access, BYOC and per-tenant keys</w:t>
      </w:r>
      <w:r>
        <w:t xml:space="preserve"> </w:t>
      </w:r>
      <w:r>
        <w:rPr>
          <w:rStyle w:val="ClaimLabel"/>
        </w:rPr>
        <w:t xml:space="preserve">AJ</w:t>
      </w:r>
    </w:p>
    <w:p>
      <w:pPr>
        <w:pStyle w:val="FirstParagraph"/>
      </w:pPr>
      <w:r>
        <w:rPr>
          <w:bCs/>
          <w:b/>
        </w:rPr>
        <w:t xml:space="preserve">Avoid when</w:t>
      </w:r>
    </w:p>
    <w:p>
      <w:pPr>
        <w:numPr>
          <w:ilvl w:val="0"/>
          <w:numId w:val="1156"/>
        </w:numPr>
        <w:pStyle w:val="Compact"/>
      </w:pPr>
      <w:r>
        <w:t xml:space="preserve">Fine-grained key scopes, ISO 27001 or self-hosting are required</w:t>
      </w:r>
      <w:r>
        <w:t xml:space="preserve"> </w:t>
      </w:r>
      <w:r>
        <w:rPr>
          <w:rStyle w:val="ClaimLabel"/>
        </w:rPr>
        <w:t xml:space="preserve">AJ</w:t>
      </w:r>
    </w:p>
    <w:p>
      <w:pPr>
        <w:pStyle w:val="FirstParagraph"/>
      </w:pPr>
      <w:r>
        <w:rPr>
          <w:bCs/>
          <w:b/>
        </w:rPr>
        <w:t xml:space="preserve">Nearest competitors:</w:t>
      </w:r>
      <w:r>
        <w:t xml:space="preserve"> </w:t>
      </w:r>
      <w:r>
        <w:t xml:space="preserve">L6-pinecone, L6-milvus-zilliz, L6-s3-vectors</w:t>
      </w:r>
    </w:p>
    <w:p>
      <w:pPr>
        <w:pStyle w:val="BodyText"/>
      </w:pPr>
      <w:r>
        <w:rPr>
          <w:bCs/>
          <w:b/>
        </w:rPr>
        <w:t xml:space="preserve">Regulated-FS note.</w:t>
      </w:r>
      <w:r>
        <w:t xml:space="preserve"> </w:t>
      </w:r>
      <w:r>
        <w:t xml:space="preserve">BYOC only for client data; one namespace and key per client; warm-up policy for latency-sensitive tenants; independent alternative Zilliz BYOC</w:t>
      </w:r>
      <w:r>
        <w:t xml:space="preserve"> </w:t>
      </w:r>
      <w:r>
        <w:rPr>
          <w:rStyle w:val="ClaimLabel"/>
        </w:rPr>
        <w:t xml:space="preserve">Rec</w:t>
      </w:r>
      <w:r>
        <w:t xml:space="preserve">.</w:t>
      </w:r>
    </w:p>
    <w:p>
      <w:pPr>
        <w:pStyle w:val="BodyText"/>
      </w:pPr>
      <w:r>
        <w:rPr>
          <w:bCs/>
          <w:b/>
        </w:rPr>
        <w:t xml:space="preserve">Facts (as of 2026-10-08)</w:t>
      </w:r>
    </w:p>
    <w:tbl>
      <w:tblPr>
        <w:tblStyle w:val="Table"/>
        <w:tblW w:type="pct" w:w="5000"/>
        <w:tblLook w:firstRow="1" w:lastRow="0" w:firstColumn="0" w:lastColumn="0" w:noHBand="0" w:noVBand="0" w:val="0020"/>
        <w:jc w:val="start"/>
      </w:tblPr>
      <w:tblGrid>
        <w:gridCol w:w="1485"/>
        <w:gridCol w:w="4290"/>
        <w:gridCol w:w="1320"/>
        <w:gridCol w:w="825"/>
      </w:tblGrid>
      <w:tr>
        <w:trPr>
          <w:tblHeader w:val="true"/>
        </w:trPr>
        <w:tc>
          <w:tcPr/>
          <w:p>
            <w:pPr>
              <w:pStyle w:val="Compact"/>
              <w:jc w:val="left"/>
            </w:pPr>
            <w:r>
              <w:t xml:space="preserve">Field</w:t>
            </w:r>
          </w:p>
        </w:tc>
        <w:tc>
          <w:tcPr/>
          <w:p>
            <w:pPr>
              <w:pStyle w:val="Compact"/>
              <w:jc w:val="left"/>
            </w:pPr>
            <w:r>
              <w:t xml:space="preserve">Value</w:t>
            </w:r>
          </w:p>
        </w:tc>
        <w:tc>
          <w:tcPr/>
          <w:p>
            <w:pPr>
              <w:pStyle w:val="Compact"/>
              <w:jc w:val="left"/>
            </w:pPr>
            <w:r>
              <w:t xml:space="preserve">Label</w:t>
            </w:r>
          </w:p>
        </w:tc>
        <w:tc>
          <w:tcPr/>
          <w:p>
            <w:pPr>
              <w:pStyle w:val="Compact"/>
              <w:jc w:val="left"/>
            </w:pPr>
            <w:r>
              <w:t xml:space="preserve">Sources</w:t>
            </w:r>
          </w:p>
        </w:tc>
      </w:tr>
      <w:tr>
        <w:tc>
          <w:tcPr/>
          <w:p>
            <w:pPr>
              <w:pStyle w:val="Compact"/>
              <w:jc w:val="left"/>
            </w:pPr>
            <w:r>
              <w:t xml:space="preserve">Company</w:t>
            </w:r>
          </w:p>
        </w:tc>
        <w:tc>
          <w:tcPr/>
          <w:p>
            <w:pPr>
              <w:pStyle w:val="Compact"/>
              <w:jc w:val="left"/>
            </w:pPr>
            <w:r>
              <w:t xml:space="preserve">turbopuffer (Ottawa; CEO Simon Eskildsen per press)</w:t>
            </w:r>
          </w:p>
        </w:tc>
        <w:tc>
          <w:tcPr/>
          <w:p>
            <w:pPr>
              <w:pStyle w:val="Compact"/>
              <w:jc w:val="left"/>
            </w:pPr>
            <w:r>
              <w:t xml:space="preserve">Verified fact</w:t>
            </w:r>
          </w:p>
        </w:tc>
        <w:tc>
          <w:tcPr/>
          <w:p>
            <w:pPr>
              <w:pStyle w:val="Compact"/>
              <w:jc w:val="left"/>
            </w:pPr>
            <w:r>
              <w:t xml:space="preserve">A2-S056, A2-S126</w:t>
            </w:r>
          </w:p>
        </w:tc>
      </w:tr>
      <w:tr>
        <w:tc>
          <w:tcPr/>
          <w:p>
            <w:pPr>
              <w:pStyle w:val="Compact"/>
              <w:jc w:val="left"/>
            </w:pPr>
            <w:r>
              <w:t xml:space="preserve">Category</w:t>
            </w:r>
          </w:p>
        </w:tc>
        <w:tc>
          <w:tcPr/>
          <w:p>
            <w:pPr>
              <w:pStyle w:val="Compact"/>
              <w:jc w:val="left"/>
            </w:pPr>
            <w:r>
              <w:t xml:space="preserve">Serverless vector and full-text search on object storage</w:t>
            </w:r>
          </w:p>
        </w:tc>
        <w:tc>
          <w:tcPr/>
          <w:p>
            <w:pPr>
              <w:pStyle w:val="Compact"/>
              <w:jc w:val="left"/>
            </w:pPr>
            <w:r>
              <w:t xml:space="preserve">Verified fact</w:t>
            </w:r>
          </w:p>
        </w:tc>
        <w:tc>
          <w:tcPr/>
          <w:p>
            <w:pPr>
              <w:pStyle w:val="Compact"/>
              <w:jc w:val="left"/>
            </w:pPr>
            <w:r>
              <w:t xml:space="preserve">A2-S124, A2-S056</w:t>
            </w:r>
          </w:p>
        </w:tc>
      </w:tr>
      <w:tr>
        <w:tc>
          <w:tcPr/>
          <w:p>
            <w:pPr>
              <w:pStyle w:val="Compact"/>
              <w:jc w:val="left"/>
            </w:pPr>
            <w:r>
              <w:t xml:space="preserve">Version / lineup</w:t>
            </w:r>
          </w:p>
        </w:tc>
        <w:tc>
          <w:tcPr/>
          <w:p>
            <w:pPr>
              <w:pStyle w:val="Compact"/>
              <w:jc w:val="left"/>
            </w:pPr>
            <w:r>
              <w:t xml:space="preserve">Managed service; Python SDK 2.11.0 (7 October 2026)</w:t>
            </w:r>
          </w:p>
        </w:tc>
        <w:tc>
          <w:tcPr/>
          <w:p>
            <w:pPr>
              <w:pStyle w:val="Compact"/>
              <w:jc w:val="left"/>
            </w:pPr>
            <w:r>
              <w:t xml:space="preserve">Verified fact</w:t>
            </w:r>
          </w:p>
        </w:tc>
        <w:tc>
          <w:tcPr/>
          <w:p>
            <w:pPr>
              <w:pStyle w:val="Compact"/>
              <w:jc w:val="left"/>
            </w:pPr>
            <w:r>
              <w:t xml:space="preserve">A2-S056</w:t>
            </w:r>
          </w:p>
        </w:tc>
      </w:tr>
      <w:tr>
        <w:tc>
          <w:tcPr/>
          <w:p>
            <w:pPr>
              <w:pStyle w:val="Compact"/>
              <w:jc w:val="left"/>
            </w:pPr>
            <w:r>
              <w:t xml:space="preserve">Licence</w:t>
            </w:r>
          </w:p>
        </w:tc>
        <w:tc>
          <w:tcPr/>
          <w:p>
            <w:pPr>
              <w:pStyle w:val="Compact"/>
              <w:jc w:val="left"/>
            </w:pPr>
            <w:r>
              <w:t xml:space="preserve">Proprietary service; Python SDK MIT</w:t>
            </w:r>
          </w:p>
        </w:tc>
        <w:tc>
          <w:tcPr/>
          <w:p>
            <w:pPr>
              <w:pStyle w:val="Compact"/>
              <w:jc w:val="left"/>
            </w:pPr>
            <w:r>
              <w:t xml:space="preserve">Verified fact</w:t>
            </w:r>
          </w:p>
        </w:tc>
        <w:tc>
          <w:tcPr/>
          <w:p>
            <w:pPr>
              <w:pStyle w:val="Compact"/>
              <w:jc w:val="left"/>
            </w:pPr>
            <w:r>
              <w:t xml:space="preserve">A2-S056</w:t>
            </w:r>
          </w:p>
        </w:tc>
      </w:tr>
      <w:tr>
        <w:tc>
          <w:tcPr/>
          <w:p>
            <w:pPr>
              <w:pStyle w:val="Compact"/>
              <w:jc w:val="left"/>
            </w:pPr>
            <w:r>
              <w:t xml:space="preserve">Status events</w:t>
            </w:r>
          </w:p>
        </w:tc>
        <w:tc>
          <w:tcPr/>
          <w:p>
            <w:pPr>
              <w:pStyle w:val="Compact"/>
              <w:jc w:val="left"/>
            </w:pPr>
            <w:r>
              <w:t xml:space="preserve">19 December 2025: undisclosed raise from Lachy Groom and Thrive Capital (press)</w:t>
            </w:r>
          </w:p>
        </w:tc>
        <w:tc>
          <w:tcPr/>
          <w:p>
            <w:pPr>
              <w:pStyle w:val="Compact"/>
              <w:jc w:val="left"/>
            </w:pPr>
            <w:r>
              <w:t xml:space="preserve">Verified fact</w:t>
            </w:r>
          </w:p>
        </w:tc>
        <w:tc>
          <w:tcPr/>
          <w:p>
            <w:pPr>
              <w:pStyle w:val="Compact"/>
              <w:jc w:val="left"/>
            </w:pPr>
            <w:r>
              <w:t xml:space="preserve">A2-S126</w:t>
            </w:r>
          </w:p>
        </w:tc>
      </w:tr>
      <w:tr>
        <w:tc>
          <w:tcPr/>
          <w:p>
            <w:pPr>
              <w:pStyle w:val="Compact"/>
              <w:jc w:val="left"/>
            </w:pPr>
            <w:r>
              <w:t xml:space="preserve">Strategic direction</w:t>
            </w:r>
          </w:p>
        </w:tc>
        <w:tc>
          <w:tcPr/>
          <w:p>
            <w:pPr>
              <w:pStyle w:val="Compact"/>
              <w:jc w:val="left"/>
            </w:pPr>
            <w:r>
              <w:t xml:space="preserve">Object-storage-first search engine targeting very large multi-tenant workloads; BYOC on AWS, GCP and Azure</w:t>
            </w:r>
          </w:p>
        </w:tc>
        <w:tc>
          <w:tcPr/>
          <w:p>
            <w:pPr>
              <w:pStyle w:val="Compact"/>
              <w:jc w:val="left"/>
            </w:pPr>
            <w:r>
              <w:t xml:space="preserve">Verified fact</w:t>
            </w:r>
          </w:p>
        </w:tc>
        <w:tc>
          <w:tcPr/>
          <w:p>
            <w:pPr>
              <w:pStyle w:val="Compact"/>
              <w:jc w:val="left"/>
            </w:pPr>
            <w:r>
              <w:t xml:space="preserve">A2-S124, A2-S125</w:t>
            </w:r>
          </w:p>
        </w:tc>
      </w:tr>
      <w:tr>
        <w:tc>
          <w:tcPr/>
          <w:p>
            <w:pPr>
              <w:pStyle w:val="Compact"/>
              <w:jc w:val="left"/>
            </w:pPr>
            <w:r>
              <w:t xml:space="preserve">What it does</w:t>
            </w:r>
          </w:p>
        </w:tc>
        <w:tc>
          <w:tcPr/>
          <w:p>
            <w:pPr>
              <w:pStyle w:val="Compact"/>
              <w:jc w:val="left"/>
            </w:pPr>
            <w:r>
              <w:t xml:space="preserve">Namespaced search API with ANN vector (SPFresh centroid index) and BM25 full-text ranking plus filters; all durable state in object storage with SSD/memory caches (cold p50 874 ms vs cached p50 14 ms on 1M docs).</w:t>
            </w:r>
          </w:p>
        </w:tc>
        <w:tc>
          <w:tcPr/>
          <w:p>
            <w:pPr>
              <w:pStyle w:val="Compact"/>
              <w:jc w:val="left"/>
            </w:pPr>
            <w:r>
              <w:t xml:space="preserve">Verified fact</w:t>
            </w:r>
          </w:p>
        </w:tc>
        <w:tc>
          <w:tcPr/>
          <w:p>
            <w:pPr>
              <w:pStyle w:val="Compact"/>
              <w:jc w:val="left"/>
            </w:pPr>
            <w:r>
              <w:t xml:space="preserve">A2-S056, A2-S124</w:t>
            </w:r>
          </w:p>
        </w:tc>
      </w:tr>
      <w:tr>
        <w:tc>
          <w:tcPr/>
          <w:p>
            <w:pPr>
              <w:pStyle w:val="Compact"/>
              <w:jc w:val="left"/>
            </w:pPr>
            <w:r>
              <w:t xml:space="preserve">Stack position</w:t>
            </w:r>
          </w:p>
        </w:tc>
        <w:tc>
          <w:tcPr/>
          <w:p>
            <w:pPr>
              <w:pStyle w:val="Compact"/>
              <w:jc w:val="left"/>
            </w:pPr>
            <w:r>
              <w:t xml:space="preserve">L6 retrieval store (vector + full-text), placement correct; the BM25 support supports the H5</w:t>
            </w:r>
            <w:r>
              <w:t xml:space="preserve"> </w:t>
            </w:r>
            <w:r>
              <w:t xml:space="preserve">‘</w:t>
            </w:r>
            <w:r>
              <w:t xml:space="preserve">retrieval store</w:t>
            </w:r>
            <w:r>
              <w:t xml:space="preserve">’</w:t>
            </w:r>
            <w:r>
              <w:t xml:space="preserve"> </w:t>
            </w:r>
            <w:r>
              <w:t xml:space="preserve">framing.</w:t>
            </w:r>
          </w:p>
        </w:tc>
        <w:tc>
          <w:tcPr/>
          <w:p>
            <w:pPr>
              <w:pStyle w:val="Compact"/>
              <w:jc w:val="left"/>
            </w:pPr>
            <w:r>
              <w:t xml:space="preserve">Architectural judgement</w:t>
            </w:r>
          </w:p>
        </w:tc>
        <w:tc>
          <w:tcPr/>
          <w:p>
            <w:pPr>
              <w:pStyle w:val="Compact"/>
            </w:pPr>
          </w:p>
        </w:tc>
      </w:tr>
      <w:tr>
        <w:tc>
          <w:tcPr/>
          <w:p>
            <w:pPr>
              <w:pStyle w:val="Compact"/>
              <w:jc w:val="left"/>
            </w:pPr>
            <w:r>
              <w:t xml:space="preserve">Integration</w:t>
            </w:r>
          </w:p>
        </w:tc>
        <w:tc>
          <w:tcPr/>
          <w:p>
            <w:pPr>
              <w:pStyle w:val="Compact"/>
              <w:jc w:val="left"/>
            </w:pPr>
            <w:r>
              <w:t xml:space="preserve">HTTP API; generated Python SDK (sync and async)</w:t>
            </w:r>
          </w:p>
        </w:tc>
        <w:tc>
          <w:tcPr/>
          <w:p>
            <w:pPr>
              <w:pStyle w:val="Compact"/>
              <w:jc w:val="left"/>
            </w:pPr>
            <w:r>
              <w:t xml:space="preserve">Verified fact</w:t>
            </w:r>
          </w:p>
        </w:tc>
        <w:tc>
          <w:tcPr/>
          <w:p>
            <w:pPr>
              <w:pStyle w:val="Compact"/>
              <w:jc w:val="left"/>
            </w:pPr>
            <w:r>
              <w:t xml:space="preserve">A2-S056</w:t>
            </w:r>
          </w:p>
        </w:tc>
      </w:tr>
      <w:tr>
        <w:tc>
          <w:tcPr/>
          <w:p>
            <w:pPr>
              <w:pStyle w:val="Compact"/>
              <w:jc w:val="left"/>
            </w:pPr>
            <w:r>
              <w:t xml:space="preserve">Dependencies</w:t>
            </w:r>
          </w:p>
        </w:tc>
        <w:tc>
          <w:tcPr/>
          <w:p>
            <w:pPr>
              <w:pStyle w:val="Compact"/>
              <w:jc w:val="left"/>
            </w:pPr>
            <w:r>
              <w:t xml:space="preserve">Object storage (S3, GCS, Azure Blob) as system of record; Kubernetes for BYOC</w:t>
            </w:r>
          </w:p>
        </w:tc>
        <w:tc>
          <w:tcPr/>
          <w:p>
            <w:pPr>
              <w:pStyle w:val="Compact"/>
              <w:jc w:val="left"/>
            </w:pPr>
            <w:r>
              <w:t xml:space="preserve">Verified fact</w:t>
            </w:r>
          </w:p>
        </w:tc>
        <w:tc>
          <w:tcPr/>
          <w:p>
            <w:pPr>
              <w:pStyle w:val="Compact"/>
              <w:jc w:val="left"/>
            </w:pPr>
            <w:r>
              <w:t xml:space="preserve">A2-S124, A2-S125</w:t>
            </w:r>
          </w:p>
        </w:tc>
      </w:tr>
      <w:tr>
        <w:tc>
          <w:tcPr/>
          <w:p>
            <w:pPr>
              <w:pStyle w:val="Compact"/>
              <w:jc w:val="left"/>
            </w:pPr>
            <w:r>
              <w:t xml:space="preserve">Certifications</w:t>
            </w:r>
          </w:p>
        </w:tc>
        <w:tc>
          <w:tcPr/>
          <w:p>
            <w:pPr>
              <w:pStyle w:val="Compact"/>
              <w:jc w:val="left"/>
            </w:pPr>
            <w:r>
              <w:t xml:space="preserve">SOC 2 Type 2 (report on request); HIPAA BAA on Scale and Enterprise tiers</w:t>
            </w:r>
          </w:p>
        </w:tc>
        <w:tc>
          <w:tcPr/>
          <w:p>
            <w:pPr>
              <w:pStyle w:val="Compact"/>
              <w:jc w:val="left"/>
            </w:pPr>
            <w:r>
              <w:t xml:space="preserve">Verified fact</w:t>
            </w:r>
          </w:p>
        </w:tc>
        <w:tc>
          <w:tcPr/>
          <w:p>
            <w:pPr>
              <w:pStyle w:val="Compact"/>
              <w:jc w:val="left"/>
            </w:pPr>
            <w:r>
              <w:t xml:space="preserve">A2-S125, A2-S123, V1-S077</w:t>
            </w:r>
          </w:p>
        </w:tc>
      </w:tr>
      <w:tr>
        <w:tc>
          <w:tcPr/>
          <w:p>
            <w:pPr>
              <w:pStyle w:val="Compact"/>
              <w:jc w:val="left"/>
            </w:pPr>
            <w:r>
              <w:t xml:space="preserve">GDPR / residency</w:t>
            </w:r>
          </w:p>
        </w:tc>
        <w:tc>
          <w:tcPr/>
          <w:p>
            <w:pPr>
              <w:pStyle w:val="Compact"/>
              <w:jc w:val="left"/>
            </w:pPr>
            <w:r>
              <w:t xml:space="preserve">DPA for GDPR/CCPA; region chosen per client (e.g. gcp-us-central1); full EU region list not verified</w:t>
            </w:r>
          </w:p>
        </w:tc>
        <w:tc>
          <w:tcPr/>
          <w:p>
            <w:pPr>
              <w:pStyle w:val="Compact"/>
              <w:jc w:val="left"/>
            </w:pPr>
            <w:r>
              <w:t xml:space="preserve">Verified fact</w:t>
            </w:r>
          </w:p>
        </w:tc>
        <w:tc>
          <w:tcPr/>
          <w:p>
            <w:pPr>
              <w:pStyle w:val="Compact"/>
              <w:jc w:val="left"/>
            </w:pPr>
            <w:r>
              <w:t xml:space="preserve">A2-S123, A2-S056</w:t>
            </w:r>
          </w:p>
        </w:tc>
      </w:tr>
      <w:tr>
        <w:tc>
          <w:tcPr/>
          <w:p>
            <w:pPr>
              <w:pStyle w:val="Compact"/>
              <w:jc w:val="left"/>
            </w:pPr>
            <w:r>
              <w:t xml:space="preserve">Security features</w:t>
            </w:r>
          </w:p>
        </w:tc>
        <w:tc>
          <w:tcPr/>
          <w:p>
            <w:pPr>
              <w:pStyle w:val="Compact"/>
              <w:jc w:val="left"/>
            </w:pPr>
            <w:r>
              <w:t xml:space="preserve">TLS 1.2+ in transit; AES-256 at rest including SSD cache; Enterprise: per-namespace customer-managed encryption keys and private networking</w:t>
            </w:r>
          </w:p>
        </w:tc>
        <w:tc>
          <w:tcPr/>
          <w:p>
            <w:pPr>
              <w:pStyle w:val="Compact"/>
              <w:jc w:val="left"/>
            </w:pPr>
            <w:r>
              <w:t xml:space="preserve">Verified fact</w:t>
            </w:r>
          </w:p>
        </w:tc>
        <w:tc>
          <w:tcPr/>
          <w:p>
            <w:pPr>
              <w:pStyle w:val="Compact"/>
              <w:jc w:val="left"/>
            </w:pPr>
            <w:r>
              <w:t xml:space="preserve">A2-S125, A2-S123</w:t>
            </w:r>
          </w:p>
        </w:tc>
      </w:tr>
      <w:tr>
        <w:tc>
          <w:tcPr/>
          <w:p>
            <w:pPr>
              <w:pStyle w:val="Compact"/>
              <w:jc w:val="left"/>
            </w:pPr>
            <w:r>
              <w:t xml:space="preserve">Access controls</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Enterprise support</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Pricing</w:t>
            </w:r>
          </w:p>
        </w:tc>
        <w:tc>
          <w:tcPr/>
          <w:p>
            <w:pPr>
              <w:pStyle w:val="Compact"/>
              <w:jc w:val="left"/>
            </w:pPr>
            <w:r>
              <w:t xml:space="preserve">Minimum monthly usage: Launch US$16, Scale US$256, Enterprise &gt;=US$4,096 (35% usage premium); storage on logical bytes; queries on data scanned (min 1.28 GB/namespace) and returned, with volume discounts</w:t>
            </w:r>
          </w:p>
        </w:tc>
        <w:tc>
          <w:tcPr/>
          <w:p>
            <w:pPr>
              <w:pStyle w:val="Compact"/>
              <w:jc w:val="left"/>
            </w:pPr>
            <w:r>
              <w:t xml:space="preserve">Verified fact</w:t>
            </w:r>
          </w:p>
        </w:tc>
        <w:tc>
          <w:tcPr/>
          <w:p>
            <w:pPr>
              <w:pStyle w:val="Compact"/>
              <w:jc w:val="left"/>
            </w:pPr>
            <w:r>
              <w:t xml:space="preserve">A2-S123, V1-S077</w:t>
            </w:r>
          </w:p>
        </w:tc>
      </w:tr>
      <w:tr>
        <w:tc>
          <w:tcPr/>
          <w:p>
            <w:pPr>
              <w:pStyle w:val="Compact"/>
              <w:jc w:val="left"/>
            </w:pPr>
            <w:r>
              <w:t xml:space="preserve">Infrastructure cost</w:t>
            </w:r>
          </w:p>
        </w:tc>
        <w:tc>
          <w:tcPr/>
          <w:p>
            <w:pPr>
              <w:pStyle w:val="Compact"/>
              <w:jc w:val="left"/>
            </w:pPr>
            <w:r>
              <w:t xml:space="preserve">Object-storage economics; cold-query latency trade-off</w:t>
            </w:r>
          </w:p>
        </w:tc>
        <w:tc>
          <w:tcPr/>
          <w:p>
            <w:pPr>
              <w:pStyle w:val="Compact"/>
              <w:jc w:val="left"/>
            </w:pPr>
            <w:r>
              <w:t xml:space="preserve">Verified fact</w:t>
            </w:r>
          </w:p>
        </w:tc>
        <w:tc>
          <w:tcPr/>
          <w:p>
            <w:pPr>
              <w:pStyle w:val="Compact"/>
              <w:jc w:val="left"/>
            </w:pPr>
            <w:r>
              <w:t xml:space="preserve">A2-S124</w:t>
            </w:r>
          </w:p>
        </w:tc>
      </w:tr>
      <w:tr>
        <w:tc>
          <w:tcPr/>
          <w:p>
            <w:pPr>
              <w:pStyle w:val="Compact"/>
              <w:jc w:val="left"/>
            </w:pPr>
            <w:r>
              <w:t xml:space="preserve">Ecosystem</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Adoption signals</w:t>
            </w:r>
          </w:p>
        </w:tc>
        <w:tc>
          <w:tcPr/>
          <w:p>
            <w:pPr>
              <w:pStyle w:val="Compact"/>
              <w:jc w:val="left"/>
            </w:pPr>
            <w:r>
              <w:t xml:space="preserve">Named customers include Anthropic, Atlassian, Cursor, Notion, Legora; Sacra estimates ~US$100M annualised revenue (March 2026); &lt;US$1M primary capital raised per CEO</w:t>
            </w:r>
          </w:p>
        </w:tc>
        <w:tc>
          <w:tcPr/>
          <w:p>
            <w:pPr>
              <w:pStyle w:val="Compact"/>
              <w:jc w:val="left"/>
            </w:pPr>
            <w:r>
              <w:t xml:space="preserve">Reported</w:t>
            </w:r>
          </w:p>
        </w:tc>
        <w:tc>
          <w:tcPr/>
          <w:p>
            <w:pPr>
              <w:pStyle w:val="Compact"/>
              <w:jc w:val="left"/>
            </w:pPr>
            <w:r>
              <w:t xml:space="preserve">A2-S126, A2-S127, A2-S125</w:t>
            </w:r>
          </w:p>
        </w:tc>
      </w:tr>
      <w:tr>
        <w:tc>
          <w:tcPr/>
          <w:p>
            <w:pPr>
              <w:pStyle w:val="Compact"/>
              <w:jc w:val="left"/>
            </w:pPr>
            <w:r>
              <w:t xml:space="preserve">Maturity</w:t>
            </w:r>
          </w:p>
        </w:tc>
        <w:tc>
          <w:tcPr/>
          <w:p>
            <w:pPr>
              <w:pStyle w:val="Compact"/>
              <w:jc w:val="left"/>
            </w:pPr>
            <w:r>
              <w:t xml:space="preserve">Very frequent SDK releases (2.11.0 on 7 October 2026)</w:t>
            </w:r>
          </w:p>
        </w:tc>
        <w:tc>
          <w:tcPr/>
          <w:p>
            <w:pPr>
              <w:pStyle w:val="Compact"/>
              <w:jc w:val="left"/>
            </w:pPr>
            <w:r>
              <w:t xml:space="preserve">Verified fact</w:t>
            </w:r>
          </w:p>
        </w:tc>
        <w:tc>
          <w:tcPr/>
          <w:p>
            <w:pPr>
              <w:pStyle w:val="Compact"/>
              <w:jc w:val="left"/>
            </w:pPr>
            <w:r>
              <w:t xml:space="preserve">A2-S056</w:t>
            </w:r>
          </w:p>
        </w:tc>
      </w:tr>
      <w:tr>
        <w:tc>
          <w:tcPr/>
          <w:p>
            <w:pPr>
              <w:pStyle w:val="Compact"/>
              <w:jc w:val="left"/>
            </w:pPr>
            <w:r>
              <w:t xml:space="preserve">Deployment</w:t>
            </w:r>
          </w:p>
        </w:tc>
        <w:tc>
          <w:tcPr/>
          <w:p>
            <w:pPr>
              <w:pStyle w:val="Compact"/>
              <w:jc w:val="left"/>
            </w:pPr>
            <w:r>
              <w:t xml:space="preserve">saas: Yes; managed_cloud: Not publicly verified; vpc_byoc: Yes (customer Kubernetes on AWS, GCP, Azure; manual customer approval for operations); private_cloud: Not publicly verified; self_hosted: No (BYOC only); on_prem: Not publicly verified</w:t>
            </w:r>
          </w:p>
        </w:tc>
        <w:tc>
          <w:tcPr/>
          <w:p>
            <w:pPr>
              <w:pStyle w:val="Compact"/>
            </w:pPr>
          </w:p>
        </w:tc>
        <w:tc>
          <w:tcPr/>
          <w:p>
            <w:pPr>
              <w:pStyle w:val="Compact"/>
            </w:pPr>
          </w:p>
        </w:tc>
      </w:tr>
    </w:tbl>
    <w:bookmarkEnd w:id="686"/>
    <w:bookmarkStart w:id="699" w:name="X308ca8be81d16fec1fe05b59df83e0d4a7d889b"/>
    <w:p>
      <w:pPr>
        <w:pStyle w:val="Heading2"/>
      </w:pPr>
      <w:r>
        <w:t xml:space="preserve">Chroma (open source) and Chroma Cloud (</w:t>
      </w:r>
      <w:r>
        <w:rPr>
          <w:rStyle w:val="VerbatimChar"/>
        </w:rPr>
        <w:t xml:space="preserve">L6-chroma</w:t>
      </w:r>
      <w:r>
        <w:t xml:space="preserve">)</w:t>
      </w:r>
    </w:p>
    <w:p>
      <w:pPr>
        <w:pStyle w:val="FirstParagraph"/>
      </w:pPr>
      <w:r>
        <w:rPr>
          <w:bCs/>
          <w:b/>
        </w:rPr>
        <w:t xml:space="preserve">Tier:</w:t>
      </w:r>
      <w:r>
        <w:t xml:space="preserve"> </w:t>
      </w:r>
      <w:r>
        <w:t xml:space="preserve">Tactical ·</w:t>
      </w:r>
      <w:r>
        <w:t xml:space="preserve"> </w:t>
      </w:r>
      <w:r>
        <w:rPr>
          <w:bCs/>
          <w:b/>
        </w:rPr>
        <w:t xml:space="preserve">Flags:</w:t>
      </w:r>
      <w:r>
        <w:t xml:space="preserve"> </w:t>
      </w:r>
      <w:r>
        <w:t xml:space="preserve">none ·</w:t>
      </w:r>
      <w:r>
        <w:t xml:space="preserve"> </w:t>
      </w:r>
      <w:r>
        <w:rPr>
          <w:bCs/>
          <w:b/>
        </w:rPr>
        <w:t xml:space="preserve">Original graphic label:</w:t>
      </w:r>
      <w:r>
        <w:t xml:space="preserve"> </w:t>
      </w:r>
      <w:r>
        <w:t xml:space="preserve">Chroma – open source</w:t>
      </w:r>
    </w:p>
    <w:p>
      <w:pPr>
        <w:pStyle w:val="BodyText"/>
      </w:pPr>
      <w:r>
        <w:rPr>
          <w:iCs/>
          <w:i/>
        </w:rPr>
        <w:t xml:space="preserve">Rationale:</w:t>
      </w:r>
      <w:r>
        <w:t xml:space="preserve"> </w:t>
      </w:r>
      <w:r>
        <w:t xml:space="preserve">Useful for prototypes and harnesses; enterprise controls undocumented and release cadence uncertain</w:t>
      </w:r>
      <w:r>
        <w:t xml:space="preserve"> </w:t>
      </w:r>
      <w:r>
        <w:rPr>
          <w:rStyle w:val="ClaimLabel"/>
        </w:rPr>
        <w:t xml:space="preserve">AJ</w:t>
      </w:r>
      <w:r>
        <w:t xml:space="preserve">.</w:t>
      </w:r>
    </w:p>
    <w:tbl>
      <w:tblPr>
        <w:tblStyle w:val="Table"/>
        <w:tblW w:type="pct" w:w="5000"/>
        <w:tblLook w:firstRow="1" w:lastRow="0" w:firstColumn="0" w:lastColumn="0" w:noHBand="0" w:noVBand="0" w:val="0020"/>
        <w:jc w:val="start"/>
      </w:tblPr>
      <w:tblGrid>
        <w:gridCol w:w="1545"/>
        <w:gridCol w:w="579"/>
        <w:gridCol w:w="5795"/>
      </w:tblGrid>
      <w:tr>
        <w:trPr>
          <w:tblHeader w:val="true"/>
        </w:trPr>
        <w:tc>
          <w:tcPr/>
          <w:p>
            <w:pPr>
              <w:pStyle w:val="Compact"/>
              <w:jc w:val="left"/>
            </w:pPr>
            <w:r>
              <w:t xml:space="preserve">Criterion</w:t>
            </w:r>
          </w:p>
        </w:tc>
        <w:tc>
          <w:tcPr/>
          <w:p>
            <w:pPr>
              <w:pStyle w:val="Compact"/>
              <w:jc w:val="right"/>
            </w:pPr>
            <w:r>
              <w:t xml:space="preserve">Score</w:t>
            </w:r>
          </w:p>
        </w:tc>
        <w:tc>
          <w:tcPr/>
          <w:p>
            <w:pPr>
              <w:pStyle w:val="Compact"/>
              <w:jc w:val="left"/>
            </w:pPr>
            <w:r>
              <w:t xml:space="preserve">Rationale</w:t>
            </w:r>
          </w:p>
        </w:tc>
      </w:tr>
      <w:tr>
        <w:tc>
          <w:tcPr/>
          <w:p>
            <w:pPr>
              <w:pStyle w:val="Compact"/>
              <w:jc w:val="left"/>
            </w:pPr>
            <w:r>
              <w:t xml:space="preserve">Technical</w:t>
            </w:r>
          </w:p>
        </w:tc>
        <w:tc>
          <w:tcPr/>
          <w:p>
            <w:pPr>
              <w:pStyle w:val="Compact"/>
              <w:jc w:val="right"/>
            </w:pPr>
            <w:r>
              <w:t xml:space="preserve">3</w:t>
            </w:r>
          </w:p>
        </w:tc>
        <w:tc>
          <w:tcPr/>
          <w:p>
            <w:pPr>
              <w:pStyle w:val="Compact"/>
              <w:jc w:val="left"/>
            </w:pPr>
            <w:r>
              <w:t xml:space="preserve">Core vector store with filters; hybrid and full-text only on Cloud; scale not evidenced</w:t>
            </w:r>
          </w:p>
        </w:tc>
      </w:tr>
      <w:tr>
        <w:tc>
          <w:tcPr/>
          <w:p>
            <w:pPr>
              <w:pStyle w:val="Compact"/>
              <w:jc w:val="left"/>
            </w:pPr>
            <w:r>
              <w:t xml:space="preserve">Enterprise readiness</w:t>
            </w:r>
          </w:p>
        </w:tc>
        <w:tc>
          <w:tcPr/>
          <w:p>
            <w:pPr>
              <w:pStyle w:val="Compact"/>
              <w:jc w:val="right"/>
            </w:pPr>
            <w:r>
              <w:t xml:space="preserve">2</w:t>
            </w:r>
          </w:p>
        </w:tc>
        <w:tc>
          <w:tcPr/>
          <w:p>
            <w:pPr>
              <w:pStyle w:val="Compact"/>
              <w:jc w:val="left"/>
            </w:pPr>
            <w:r>
              <w:t xml:space="preserve">Customer-facing SSO, roles and audit logs NPV; only tenant-scoped access and DB-scoped keys found</w:t>
            </w:r>
          </w:p>
        </w:tc>
      </w:tr>
      <w:tr>
        <w:tc>
          <w:tcPr/>
          <w:p>
            <w:pPr>
              <w:pStyle w:val="Compact"/>
              <w:jc w:val="left"/>
            </w:pPr>
            <w:r>
              <w:t xml:space="preserve">Security and compliance</w:t>
            </w:r>
          </w:p>
        </w:tc>
        <w:tc>
          <w:tcPr/>
          <w:p>
            <w:pPr>
              <w:pStyle w:val="Compact"/>
              <w:jc w:val="right"/>
            </w:pPr>
            <w:r>
              <w:t xml:space="preserve">3</w:t>
            </w:r>
          </w:p>
        </w:tc>
        <w:tc>
          <w:tcPr/>
          <w:p>
            <w:pPr>
              <w:pStyle w:val="Compact"/>
              <w:jc w:val="left"/>
            </w:pPr>
            <w:r>
              <w:t xml:space="preserve">SOC 2 Type II and CMEK; no ISO 27001: maximum 3</w:t>
            </w:r>
          </w:p>
        </w:tc>
      </w:tr>
      <w:tr>
        <w:tc>
          <w:tcPr/>
          <w:p>
            <w:pPr>
              <w:pStyle w:val="Compact"/>
              <w:jc w:val="left"/>
            </w:pPr>
            <w:r>
              <w:t xml:space="preserve">Deployment flexibility</w:t>
            </w:r>
          </w:p>
        </w:tc>
        <w:tc>
          <w:tcPr/>
          <w:p>
            <w:pPr>
              <w:pStyle w:val="Compact"/>
              <w:jc w:val="right"/>
            </w:pPr>
            <w:r>
              <w:t xml:space="preserve">4</w:t>
            </w:r>
          </w:p>
        </w:tc>
        <w:tc>
          <w:tcPr/>
          <w:p>
            <w:pPr>
              <w:pStyle w:val="Compact"/>
              <w:jc w:val="left"/>
            </w:pPr>
            <w:r>
              <w:t xml:space="preserve">Embedded, self-host, Cloud, single-tenant and BYOC, but self-host lacks auth and only one EU cloud region</w:t>
            </w:r>
          </w:p>
        </w:tc>
      </w:tr>
      <w:tr>
        <w:tc>
          <w:tcPr/>
          <w:p>
            <w:pPr>
              <w:pStyle w:val="Compact"/>
              <w:jc w:val="left"/>
            </w:pPr>
            <w:r>
              <w:t xml:space="preserve">Ecosystem</w:t>
            </w:r>
          </w:p>
        </w:tc>
        <w:tc>
          <w:tcPr/>
          <w:p>
            <w:pPr>
              <w:pStyle w:val="Compact"/>
              <w:jc w:val="right"/>
            </w:pPr>
            <w:r>
              <w:t xml:space="preserve">3</w:t>
            </w:r>
          </w:p>
        </w:tc>
        <w:tc>
          <w:tcPr/>
          <w:p>
            <w:pPr>
              <w:pStyle w:val="Compact"/>
              <w:jc w:val="left"/>
            </w:pPr>
            <w:r>
              <w:t xml:space="preserve">Python/JS clients; ecosystem not evidenced</w:t>
            </w:r>
          </w:p>
        </w:tc>
      </w:tr>
      <w:tr>
        <w:tc>
          <w:tcPr/>
          <w:p>
            <w:pPr>
              <w:pStyle w:val="Compact"/>
              <w:jc w:val="left"/>
            </w:pPr>
            <w:r>
              <w:t xml:space="preserve">Reliability and maturity</w:t>
            </w:r>
          </w:p>
        </w:tc>
        <w:tc>
          <w:tcPr/>
          <w:p>
            <w:pPr>
              <w:pStyle w:val="Compact"/>
              <w:jc w:val="right"/>
            </w:pPr>
            <w:r>
              <w:t xml:space="preserve">2</w:t>
            </w:r>
          </w:p>
        </w:tc>
        <w:tc>
          <w:tcPr/>
          <w:p>
            <w:pPr>
              <w:pStyle w:val="Compact"/>
              <w:jc w:val="left"/>
            </w:pPr>
            <w:r>
              <w:t xml:space="preserve">Rust rewrite 2025; five months without a PyPI release; seed-funded</w:t>
            </w:r>
          </w:p>
        </w:tc>
      </w:tr>
      <w:tr>
        <w:tc>
          <w:tcPr/>
          <w:p>
            <w:pPr>
              <w:pStyle w:val="Compact"/>
              <w:jc w:val="left"/>
            </w:pPr>
            <w:r>
              <w:t xml:space="preserve">Cost / TCO</w:t>
            </w:r>
          </w:p>
        </w:tc>
        <w:tc>
          <w:tcPr/>
          <w:p>
            <w:pPr>
              <w:pStyle w:val="Compact"/>
              <w:jc w:val="right"/>
            </w:pPr>
            <w:r>
              <w:t xml:space="preserve">4</w:t>
            </w:r>
          </w:p>
        </w:tc>
        <w:tc>
          <w:tcPr/>
          <w:p>
            <w:pPr>
              <w:pStyle w:val="Compact"/>
              <w:jc w:val="left"/>
            </w:pPr>
            <w:r>
              <w:t xml:space="preserve">Free OSS; transparent cloud usage pricing</w:t>
            </w:r>
          </w:p>
        </w:tc>
      </w:tr>
      <w:tr>
        <w:tc>
          <w:tcPr/>
          <w:p>
            <w:pPr>
              <w:pStyle w:val="Compact"/>
              <w:jc w:val="left"/>
            </w:pPr>
            <w:r>
              <w:t xml:space="preserve">Lock-in / portability</w:t>
            </w:r>
          </w:p>
        </w:tc>
        <w:tc>
          <w:tcPr/>
          <w:p>
            <w:pPr>
              <w:pStyle w:val="Compact"/>
              <w:jc w:val="right"/>
            </w:pPr>
            <w:r>
              <w:t xml:space="preserve">4</w:t>
            </w:r>
          </w:p>
        </w:tc>
        <w:tc>
          <w:tcPr/>
          <w:p>
            <w:pPr>
              <w:pStyle w:val="Compact"/>
              <w:jc w:val="left"/>
            </w:pPr>
            <w:r>
              <w:t xml:space="preserve">Apache-2.0, vendor-governed</w:t>
            </w:r>
          </w:p>
        </w:tc>
      </w:tr>
      <w:tr>
        <w:tc>
          <w:tcPr/>
          <w:p>
            <w:pPr>
              <w:pStyle w:val="Compact"/>
              <w:jc w:val="left"/>
            </w:pPr>
            <w:r>
              <w:rPr>
                <w:bCs/>
                <w:b/>
              </w:rPr>
              <w:t xml:space="preserve">Total (generic / FS)</w:t>
            </w:r>
          </w:p>
        </w:tc>
        <w:tc>
          <w:tcPr/>
          <w:p>
            <w:pPr>
              <w:pStyle w:val="Compact"/>
              <w:jc w:val="right"/>
            </w:pPr>
            <w:r>
              <w:rPr>
                <w:bCs/>
                <w:b/>
              </w:rPr>
              <w:t xml:space="preserve">3.05 / 3.10</w:t>
            </w:r>
          </w:p>
        </w:tc>
        <w:tc>
          <w:tcPr/>
          <w:p>
            <w:pPr>
              <w:pStyle w:val="Compact"/>
            </w:pPr>
          </w:p>
        </w:tc>
      </w:tr>
    </w:tbl>
    <w:p>
      <w:pPr>
        <w:pStyle w:val="BodyText"/>
      </w:pPr>
      <w:r>
        <w:rPr>
          <w:iCs/>
          <w:i/>
        </w:rPr>
        <w:t xml:space="preserve">Evidence rules applied:</w:t>
      </w:r>
      <w:r>
        <w:t xml:space="preserve"> </w:t>
      </w:r>
      <w:r>
        <w:t xml:space="preserve">enterprise_readiness capped at 2: customer SSO, RBAC and audit logs NPV</w:t>
      </w:r>
    </w:p>
    <w:p>
      <w:pPr>
        <w:pStyle w:val="BodyText"/>
      </w:pPr>
      <w:r>
        <w:rPr>
          <w:bCs/>
          <w:b/>
        </w:rPr>
        <w:t xml:space="preserve">Capabilities.</w:t>
      </w:r>
      <w:r>
        <w:t xml:space="preserve"> </w:t>
      </w:r>
      <w:r>
        <w:t xml:space="preserve">Apache-2.0 embedded or client-server database for documents and embeddings with a small API; Chroma Cloud adds serverless vector, hybrid and full-text search, BYOC and single-tenant options</w:t>
      </w:r>
      <w:r>
        <w:t xml:space="preserve"> </w:t>
      </w:r>
      <w:r>
        <w:rPr>
          <w:rStyle w:val="ClaimLabel"/>
        </w:rPr>
        <w:t xml:space="preserve">VF</w:t>
      </w:r>
      <w:r>
        <w:rPr>
          <w:rStyle w:val="FootnoteReference"/>
        </w:rPr>
        <w:footnoteReference w:id="687"/>
      </w:r>
      <w:r>
        <w:t xml:space="preserve">.</w:t>
      </w:r>
    </w:p>
    <w:p>
      <w:pPr>
        <w:pStyle w:val="BodyText"/>
      </w:pPr>
      <w:r>
        <w:rPr>
          <w:bCs/>
          <w:b/>
        </w:rPr>
        <w:t xml:space="preserve">Strengths</w:t>
      </w:r>
    </w:p>
    <w:p>
      <w:pPr>
        <w:numPr>
          <w:ilvl w:val="0"/>
          <w:numId w:val="1157"/>
        </w:numPr>
        <w:pStyle w:val="Compact"/>
      </w:pPr>
      <w:r>
        <w:t xml:space="preserve">Fastest path from notebook to working retrieval</w:t>
      </w:r>
      <w:r>
        <w:t xml:space="preserve"> </w:t>
      </w:r>
      <w:r>
        <w:rPr>
          <w:rStyle w:val="ClaimLabel"/>
        </w:rPr>
        <w:t xml:space="preserve">AJ</w:t>
      </w:r>
    </w:p>
    <w:p>
      <w:pPr>
        <w:numPr>
          <w:ilvl w:val="0"/>
          <w:numId w:val="1157"/>
        </w:numPr>
        <w:pStyle w:val="Compact"/>
      </w:pPr>
      <w:r>
        <w:t xml:space="preserve">Apache-2.0</w:t>
      </w:r>
      <w:r>
        <w:t xml:space="preserve"> </w:t>
      </w:r>
      <w:r>
        <w:rPr>
          <w:rStyle w:val="ClaimLabel"/>
        </w:rPr>
        <w:t xml:space="preserve">VF</w:t>
      </w:r>
      <w:r>
        <w:rPr>
          <w:rStyle w:val="FootnoteReference"/>
        </w:rPr>
        <w:footnoteReference w:id="690"/>
      </w:r>
    </w:p>
    <w:p>
      <w:pPr>
        <w:numPr>
          <w:ilvl w:val="0"/>
          <w:numId w:val="1157"/>
        </w:numPr>
        <w:pStyle w:val="Compact"/>
      </w:pPr>
      <w:r>
        <w:t xml:space="preserve">Chroma Cloud SOC 2 Type II and CMEK GA</w:t>
      </w:r>
      <w:r>
        <w:t xml:space="preserve"> </w:t>
      </w:r>
      <w:r>
        <w:rPr>
          <w:rStyle w:val="ClaimLabel"/>
        </w:rPr>
        <w:t xml:space="preserve">VF</w:t>
      </w:r>
      <w:r>
        <w:rPr>
          <w:rStyle w:val="FootnoteReference"/>
        </w:rPr>
        <w:footnoteReference w:id="691"/>
      </w:r>
    </w:p>
    <w:p>
      <w:pPr>
        <w:numPr>
          <w:ilvl w:val="0"/>
          <w:numId w:val="1157"/>
        </w:numPr>
        <w:pStyle w:val="Compact"/>
      </w:pPr>
      <w:r>
        <w:t xml:space="preserve">Transparent usage pricing</w:t>
      </w:r>
      <w:r>
        <w:t xml:space="preserve"> </w:t>
      </w:r>
      <w:r>
        <w:rPr>
          <w:rStyle w:val="ClaimLabel"/>
        </w:rPr>
        <w:t xml:space="preserve">VF</w:t>
      </w:r>
      <w:r>
        <w:rPr>
          <w:rStyle w:val="FootnoteReference"/>
        </w:rPr>
        <w:footnoteReference w:id="693"/>
      </w:r>
    </w:p>
    <w:p>
      <w:pPr>
        <w:pStyle w:val="FirstParagraph"/>
      </w:pPr>
      <w:r>
        <w:rPr>
          <w:bCs/>
          <w:b/>
        </w:rPr>
        <w:t xml:space="preserve">Limitations and risks</w:t>
      </w:r>
    </w:p>
    <w:p>
      <w:pPr>
        <w:numPr>
          <w:ilvl w:val="0"/>
          <w:numId w:val="1158"/>
        </w:numPr>
        <w:pStyle w:val="Compact"/>
      </w:pPr>
      <w:r>
        <w:t xml:space="preserve">Open-source build has no built-in auth since 1.0</w:t>
      </w:r>
      <w:r>
        <w:t xml:space="preserve"> </w:t>
      </w:r>
      <w:r>
        <w:rPr>
          <w:rStyle w:val="ClaimLabel"/>
        </w:rPr>
        <w:t xml:space="preserve">VF</w:t>
      </w:r>
      <w:r>
        <w:rPr>
          <w:rStyle w:val="FootnoteReference"/>
        </w:rPr>
        <w:footnoteReference w:id="694"/>
      </w:r>
    </w:p>
    <w:p>
      <w:pPr>
        <w:numPr>
          <w:ilvl w:val="0"/>
          <w:numId w:val="1158"/>
        </w:numPr>
        <w:pStyle w:val="Compact"/>
      </w:pPr>
      <w:r>
        <w:t xml:space="preserve">Customer SSO, roles and audit logs not documented</w:t>
      </w:r>
      <w:r>
        <w:t xml:space="preserve"> </w:t>
      </w:r>
      <w:r>
        <w:rPr>
          <w:rStyle w:val="ClaimLabel"/>
        </w:rPr>
        <w:t xml:space="preserve">NPV</w:t>
      </w:r>
    </w:p>
    <w:p>
      <w:pPr>
        <w:numPr>
          <w:ilvl w:val="0"/>
          <w:numId w:val="1158"/>
        </w:numPr>
        <w:pStyle w:val="Compact"/>
      </w:pPr>
      <w:r>
        <w:t xml:space="preserve">No PyPI release since 5 May 2026 at time of research</w:t>
      </w:r>
      <w:r>
        <w:t xml:space="preserve"> </w:t>
      </w:r>
      <w:r>
        <w:rPr>
          <w:rStyle w:val="ClaimLabel"/>
        </w:rPr>
        <w:t xml:space="preserve">VF</w:t>
      </w:r>
      <w:r>
        <w:rPr>
          <w:rStyle w:val="FootnoteReference"/>
        </w:rPr>
        <w:footnoteReference w:id="696"/>
      </w:r>
    </w:p>
    <w:p>
      <w:pPr>
        <w:numPr>
          <w:ilvl w:val="0"/>
          <w:numId w:val="1158"/>
        </w:numPr>
        <w:pStyle w:val="Compact"/>
      </w:pPr>
      <w:r>
        <w:t xml:space="preserve">Multi-tenant cloud only in us-east-1 and GCP Belgium; no UK region</w:t>
      </w:r>
      <w:r>
        <w:t xml:space="preserve"> </w:t>
      </w:r>
      <w:r>
        <w:rPr>
          <w:rStyle w:val="ClaimLabel"/>
        </w:rPr>
        <w:t xml:space="preserve">VF</w:t>
      </w:r>
      <w:r>
        <w:rPr>
          <w:rStyle w:val="FootnoteReference"/>
        </w:rPr>
        <w:footnoteReference w:id="697"/>
      </w:r>
    </w:p>
    <w:p>
      <w:pPr>
        <w:pStyle w:val="FirstParagraph"/>
      </w:pPr>
      <w:r>
        <w:rPr>
          <w:bCs/>
          <w:b/>
        </w:rPr>
        <w:t xml:space="preserve">Choose when</w:t>
      </w:r>
    </w:p>
    <w:p>
      <w:pPr>
        <w:numPr>
          <w:ilvl w:val="0"/>
          <w:numId w:val="1159"/>
        </w:numPr>
        <w:pStyle w:val="Compact"/>
      </w:pPr>
      <w:r>
        <w:t xml:space="preserve">Prototypes, evaluation harnesses, embedded single-user tools</w:t>
      </w:r>
      <w:r>
        <w:t xml:space="preserve"> </w:t>
      </w:r>
      <w:r>
        <w:rPr>
          <w:rStyle w:val="ClaimLabel"/>
        </w:rPr>
        <w:t xml:space="preserve">AJ</w:t>
      </w:r>
    </w:p>
    <w:p>
      <w:pPr>
        <w:pStyle w:val="FirstParagraph"/>
      </w:pPr>
      <w:r>
        <w:rPr>
          <w:bCs/>
          <w:b/>
        </w:rPr>
        <w:t xml:space="preserve">Avoid when</w:t>
      </w:r>
    </w:p>
    <w:p>
      <w:pPr>
        <w:numPr>
          <w:ilvl w:val="0"/>
          <w:numId w:val="1160"/>
        </w:numPr>
        <w:pStyle w:val="Compact"/>
      </w:pPr>
      <w:r>
        <w:t xml:space="preserve">Client-confidential data or production-critical systems</w:t>
      </w:r>
      <w:r>
        <w:t xml:space="preserve"> </w:t>
      </w:r>
      <w:r>
        <w:rPr>
          <w:rStyle w:val="ClaimLabel"/>
        </w:rPr>
        <w:t xml:space="preserve">AJ</w:t>
      </w:r>
    </w:p>
    <w:p>
      <w:pPr>
        <w:pStyle w:val="FirstParagraph"/>
      </w:pPr>
      <w:r>
        <w:rPr>
          <w:bCs/>
          <w:b/>
        </w:rPr>
        <w:t xml:space="preserve">Nearest competitors:</w:t>
      </w:r>
      <w:r>
        <w:t xml:space="preserve"> </w:t>
      </w:r>
      <w:r>
        <w:t xml:space="preserve">L6-pgvector, L6-qdrant, L6-turbopuffer</w:t>
      </w:r>
    </w:p>
    <w:p>
      <w:pPr>
        <w:pStyle w:val="BodyText"/>
      </w:pPr>
      <w:r>
        <w:rPr>
          <w:bCs/>
          <w:b/>
        </w:rPr>
        <w:t xml:space="preserve">Regulated-FS note.</w:t>
      </w:r>
      <w:r>
        <w:t xml:space="preserve"> </w:t>
      </w:r>
      <w:r>
        <w:t xml:space="preserve">Never self-host the open-source server without an authenticating proxy; no promotion of prototypes without a re-platforming decision</w:t>
      </w:r>
      <w:r>
        <w:t xml:space="preserve"> </w:t>
      </w:r>
      <w:r>
        <w:rPr>
          <w:rStyle w:val="ClaimLabel"/>
        </w:rPr>
        <w:t xml:space="preserve">Rec</w:t>
      </w:r>
      <w:r>
        <w:t xml:space="preserve">.</w:t>
      </w:r>
    </w:p>
    <w:p>
      <w:pPr>
        <w:pStyle w:val="BodyText"/>
      </w:pPr>
      <w:r>
        <w:rPr>
          <w:bCs/>
          <w:b/>
        </w:rPr>
        <w:t xml:space="preserve">Facts (as of 2026-10-08)</w:t>
      </w:r>
    </w:p>
    <w:tbl>
      <w:tblPr>
        <w:tblStyle w:val="Table"/>
        <w:tblW w:type="pct" w:w="5000"/>
        <w:tblLook w:firstRow="1" w:lastRow="0" w:firstColumn="0" w:lastColumn="0" w:noHBand="0" w:noVBand="0" w:val="0020"/>
        <w:jc w:val="start"/>
      </w:tblPr>
      <w:tblGrid>
        <w:gridCol w:w="1485"/>
        <w:gridCol w:w="4290"/>
        <w:gridCol w:w="1320"/>
        <w:gridCol w:w="825"/>
      </w:tblGrid>
      <w:tr>
        <w:trPr>
          <w:tblHeader w:val="true"/>
        </w:trPr>
        <w:tc>
          <w:tcPr/>
          <w:p>
            <w:pPr>
              <w:pStyle w:val="Compact"/>
              <w:jc w:val="left"/>
            </w:pPr>
            <w:r>
              <w:t xml:space="preserve">Field</w:t>
            </w:r>
          </w:p>
        </w:tc>
        <w:tc>
          <w:tcPr/>
          <w:p>
            <w:pPr>
              <w:pStyle w:val="Compact"/>
              <w:jc w:val="left"/>
            </w:pPr>
            <w:r>
              <w:t xml:space="preserve">Value</w:t>
            </w:r>
          </w:p>
        </w:tc>
        <w:tc>
          <w:tcPr/>
          <w:p>
            <w:pPr>
              <w:pStyle w:val="Compact"/>
              <w:jc w:val="left"/>
            </w:pPr>
            <w:r>
              <w:t xml:space="preserve">Label</w:t>
            </w:r>
          </w:p>
        </w:tc>
        <w:tc>
          <w:tcPr/>
          <w:p>
            <w:pPr>
              <w:pStyle w:val="Compact"/>
              <w:jc w:val="left"/>
            </w:pPr>
            <w:r>
              <w:t xml:space="preserve">Sources</w:t>
            </w:r>
          </w:p>
        </w:tc>
      </w:tr>
      <w:tr>
        <w:tc>
          <w:tcPr/>
          <w:p>
            <w:pPr>
              <w:pStyle w:val="Compact"/>
              <w:jc w:val="left"/>
            </w:pPr>
            <w:r>
              <w:t xml:space="preserve">Company</w:t>
            </w:r>
          </w:p>
        </w:tc>
        <w:tc>
          <w:tcPr/>
          <w:p>
            <w:pPr>
              <w:pStyle w:val="Compact"/>
              <w:jc w:val="left"/>
            </w:pPr>
            <w:r>
              <w:t xml:space="preserve">Chroma (Jeff Huber, Anton Troynikov listed as authors)</w:t>
            </w:r>
          </w:p>
        </w:tc>
        <w:tc>
          <w:tcPr/>
          <w:p>
            <w:pPr>
              <w:pStyle w:val="Compact"/>
              <w:jc w:val="left"/>
            </w:pPr>
            <w:r>
              <w:t xml:space="preserve">Verified fact</w:t>
            </w:r>
          </w:p>
        </w:tc>
        <w:tc>
          <w:tcPr/>
          <w:p>
            <w:pPr>
              <w:pStyle w:val="Compact"/>
              <w:jc w:val="left"/>
            </w:pPr>
            <w:r>
              <w:t xml:space="preserve">A2-S060</w:t>
            </w:r>
          </w:p>
        </w:tc>
      </w:tr>
      <w:tr>
        <w:tc>
          <w:tcPr/>
          <w:p>
            <w:pPr>
              <w:pStyle w:val="Compact"/>
              <w:jc w:val="left"/>
            </w:pPr>
            <w:r>
              <w:t xml:space="preserve">Category</w:t>
            </w:r>
          </w:p>
        </w:tc>
        <w:tc>
          <w:tcPr/>
          <w:p>
            <w:pPr>
              <w:pStyle w:val="Compact"/>
              <w:jc w:val="left"/>
            </w:pPr>
            <w:r>
              <w:t xml:space="preserve">Open-source embedding/vector database with serverless cloud service</w:t>
            </w:r>
          </w:p>
        </w:tc>
        <w:tc>
          <w:tcPr/>
          <w:p>
            <w:pPr>
              <w:pStyle w:val="Compact"/>
              <w:jc w:val="left"/>
            </w:pPr>
            <w:r>
              <w:t xml:space="preserve">Verified fact</w:t>
            </w:r>
          </w:p>
        </w:tc>
        <w:tc>
          <w:tcPr/>
          <w:p>
            <w:pPr>
              <w:pStyle w:val="Compact"/>
              <w:jc w:val="left"/>
            </w:pPr>
            <w:r>
              <w:t xml:space="preserve">A2-S060</w:t>
            </w:r>
          </w:p>
        </w:tc>
      </w:tr>
      <w:tr>
        <w:tc>
          <w:tcPr/>
          <w:p>
            <w:pPr>
              <w:pStyle w:val="Compact"/>
              <w:jc w:val="left"/>
            </w:pPr>
            <w:r>
              <w:t xml:space="preserve">Version / lineup</w:t>
            </w:r>
          </w:p>
        </w:tc>
        <w:tc>
          <w:tcPr/>
          <w:p>
            <w:pPr>
              <w:pStyle w:val="Compact"/>
              <w:jc w:val="left"/>
            </w:pPr>
            <w:r>
              <w:t xml:space="preserve">chromadb 1.5.9 (5 May 2026)</w:t>
            </w:r>
          </w:p>
        </w:tc>
        <w:tc>
          <w:tcPr/>
          <w:p>
            <w:pPr>
              <w:pStyle w:val="Compact"/>
              <w:jc w:val="left"/>
            </w:pPr>
            <w:r>
              <w:t xml:space="preserve">Verified fact</w:t>
            </w:r>
          </w:p>
        </w:tc>
        <w:tc>
          <w:tcPr/>
          <w:p>
            <w:pPr>
              <w:pStyle w:val="Compact"/>
              <w:jc w:val="left"/>
            </w:pPr>
            <w:r>
              <w:t xml:space="preserve">A2-S060</w:t>
            </w:r>
          </w:p>
        </w:tc>
      </w:tr>
      <w:tr>
        <w:tc>
          <w:tcPr/>
          <w:p>
            <w:pPr>
              <w:pStyle w:val="Compact"/>
              <w:jc w:val="left"/>
            </w:pPr>
            <w:r>
              <w:t xml:space="preserve">Licence</w:t>
            </w:r>
          </w:p>
        </w:tc>
        <w:tc>
          <w:tcPr/>
          <w:p>
            <w:pPr>
              <w:pStyle w:val="Compact"/>
              <w:jc w:val="left"/>
            </w:pPr>
            <w:r>
              <w:t xml:space="preserve">Open source, Apache-2.0</w:t>
            </w:r>
          </w:p>
        </w:tc>
        <w:tc>
          <w:tcPr/>
          <w:p>
            <w:pPr>
              <w:pStyle w:val="Compact"/>
              <w:jc w:val="left"/>
            </w:pPr>
            <w:r>
              <w:t xml:space="preserve">Verified fact</w:t>
            </w:r>
          </w:p>
        </w:tc>
        <w:tc>
          <w:tcPr/>
          <w:p>
            <w:pPr>
              <w:pStyle w:val="Compact"/>
              <w:jc w:val="left"/>
            </w:pPr>
            <w:r>
              <w:t xml:space="preserve">A2-S060</w:t>
            </w:r>
          </w:p>
        </w:tc>
      </w:tr>
      <w:tr>
        <w:tc>
          <w:tcPr/>
          <w:p>
            <w:pPr>
              <w:pStyle w:val="Compact"/>
              <w:jc w:val="left"/>
            </w:pPr>
            <w:r>
              <w:t xml:space="preserve">Status events</w:t>
            </w:r>
          </w:p>
        </w:tc>
        <w:tc>
          <w:tcPr/>
          <w:p>
            <w:pPr>
              <w:pStyle w:val="Compact"/>
              <w:jc w:val="left"/>
            </w:pPr>
            <w:r>
              <w:t xml:space="preserve">1 March 2025: Chroma 1.0 (Rust rewrite; built-in auth implementations removed); 5 May 2026: chromadb 1.5.9</w:t>
            </w:r>
          </w:p>
        </w:tc>
        <w:tc>
          <w:tcPr/>
          <w:p>
            <w:pPr>
              <w:pStyle w:val="Compact"/>
              <w:jc w:val="left"/>
            </w:pPr>
            <w:r>
              <w:t xml:space="preserve">Verified fact</w:t>
            </w:r>
          </w:p>
        </w:tc>
        <w:tc>
          <w:tcPr/>
          <w:p>
            <w:pPr>
              <w:pStyle w:val="Compact"/>
              <w:jc w:val="left"/>
            </w:pPr>
            <w:r>
              <w:t xml:space="preserve">A2-S131, A2-S060</w:t>
            </w:r>
          </w:p>
        </w:tc>
      </w:tr>
      <w:tr>
        <w:tc>
          <w:tcPr/>
          <w:p>
            <w:pPr>
              <w:pStyle w:val="Compact"/>
              <w:jc w:val="left"/>
            </w:pPr>
            <w:r>
              <w:t xml:space="preserve">Strategic direction</w:t>
            </w:r>
          </w:p>
        </w:tc>
        <w:tc>
          <w:tcPr/>
          <w:p>
            <w:pPr>
              <w:pStyle w:val="Compact"/>
              <w:jc w:val="left"/>
            </w:pPr>
            <w:r>
              <w:t xml:space="preserve">Positions itself as</w:t>
            </w:r>
            <w:r>
              <w:t xml:space="preserve"> </w:t>
            </w:r>
            <w:r>
              <w:t xml:space="preserve">‘</w:t>
            </w:r>
            <w:r>
              <w:t xml:space="preserve">the open-source data infrastructure for AI</w:t>
            </w:r>
            <w:r>
              <w:t xml:space="preserve">’</w:t>
            </w:r>
            <w:r>
              <w:t xml:space="preserve">; Chroma Cloud offers serverless vector, hybrid and full-text search</w:t>
            </w:r>
          </w:p>
        </w:tc>
        <w:tc>
          <w:tcPr/>
          <w:p>
            <w:pPr>
              <w:pStyle w:val="Compact"/>
              <w:jc w:val="left"/>
            </w:pPr>
            <w:r>
              <w:t xml:space="preserve">Verified fact</w:t>
            </w:r>
          </w:p>
        </w:tc>
        <w:tc>
          <w:tcPr/>
          <w:p>
            <w:pPr>
              <w:pStyle w:val="Compact"/>
              <w:jc w:val="left"/>
            </w:pPr>
            <w:r>
              <w:t xml:space="preserve">A2-S060</w:t>
            </w:r>
          </w:p>
        </w:tc>
      </w:tr>
      <w:tr>
        <w:tc>
          <w:tcPr/>
          <w:p>
            <w:pPr>
              <w:pStyle w:val="Compact"/>
              <w:jc w:val="left"/>
            </w:pPr>
            <w:r>
              <w:t xml:space="preserve">What it does</w:t>
            </w:r>
          </w:p>
        </w:tc>
        <w:tc>
          <w:tcPr/>
          <w:p>
            <w:pPr>
              <w:pStyle w:val="Compact"/>
              <w:jc w:val="left"/>
            </w:pPr>
            <w:r>
              <w:t xml:space="preserve">Embedded or client-server database for documents and embeddings with a small API (create collection, add, query); Chroma Cloud adds serverless hybrid and full-text search.</w:t>
            </w:r>
          </w:p>
        </w:tc>
        <w:tc>
          <w:tcPr/>
          <w:p>
            <w:pPr>
              <w:pStyle w:val="Compact"/>
              <w:jc w:val="left"/>
            </w:pPr>
            <w:r>
              <w:t xml:space="preserve">Verified fact</w:t>
            </w:r>
          </w:p>
        </w:tc>
        <w:tc>
          <w:tcPr/>
          <w:p>
            <w:pPr>
              <w:pStyle w:val="Compact"/>
              <w:jc w:val="left"/>
            </w:pPr>
            <w:r>
              <w:t xml:space="preserve">A2-S060</w:t>
            </w:r>
          </w:p>
        </w:tc>
      </w:tr>
      <w:tr>
        <w:tc>
          <w:tcPr/>
          <w:p>
            <w:pPr>
              <w:pStyle w:val="Compact"/>
              <w:jc w:val="left"/>
            </w:pPr>
            <w:r>
              <w:t xml:space="preserve">Stack position</w:t>
            </w:r>
          </w:p>
        </w:tc>
        <w:tc>
          <w:tcPr/>
          <w:p>
            <w:pPr>
              <w:pStyle w:val="Compact"/>
              <w:jc w:val="left"/>
            </w:pPr>
            <w:r>
              <w:t xml:space="preserve">L6; strong for prototyping/embedded use, Cloud targets production.</w:t>
            </w:r>
          </w:p>
        </w:tc>
        <w:tc>
          <w:tcPr/>
          <w:p>
            <w:pPr>
              <w:pStyle w:val="Compact"/>
              <w:jc w:val="left"/>
            </w:pPr>
            <w:r>
              <w:t xml:space="preserve">Architectural judgement</w:t>
            </w:r>
          </w:p>
        </w:tc>
        <w:tc>
          <w:tcPr/>
          <w:p>
            <w:pPr>
              <w:pStyle w:val="Compact"/>
            </w:pPr>
          </w:p>
        </w:tc>
      </w:tr>
      <w:tr>
        <w:tc>
          <w:tcPr/>
          <w:p>
            <w:pPr>
              <w:pStyle w:val="Compact"/>
              <w:jc w:val="left"/>
            </w:pPr>
            <w:r>
              <w:t xml:space="preserve">Integration</w:t>
            </w:r>
          </w:p>
        </w:tc>
        <w:tc>
          <w:tcPr/>
          <w:p>
            <w:pPr>
              <w:pStyle w:val="Compact"/>
              <w:jc w:val="left"/>
            </w:pPr>
            <w:r>
              <w:t xml:space="preserve">Python and JavaScript clients; in-memory, persistent or client-server mode</w:t>
            </w:r>
          </w:p>
        </w:tc>
        <w:tc>
          <w:tcPr/>
          <w:p>
            <w:pPr>
              <w:pStyle w:val="Compact"/>
              <w:jc w:val="left"/>
            </w:pPr>
            <w:r>
              <w:t xml:space="preserve">Verified fact</w:t>
            </w:r>
          </w:p>
        </w:tc>
        <w:tc>
          <w:tcPr/>
          <w:p>
            <w:pPr>
              <w:pStyle w:val="Compact"/>
              <w:jc w:val="left"/>
            </w:pPr>
            <w:r>
              <w:t xml:space="preserve">A2-S060</w:t>
            </w:r>
          </w:p>
        </w:tc>
      </w:tr>
      <w:tr>
        <w:tc>
          <w:tcPr/>
          <w:p>
            <w:pPr>
              <w:pStyle w:val="Compact"/>
              <w:jc w:val="left"/>
            </w:pPr>
            <w:r>
              <w:t xml:space="preserve">Dependencies</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Certifications</w:t>
            </w:r>
          </w:p>
        </w:tc>
        <w:tc>
          <w:tcPr/>
          <w:p>
            <w:pPr>
              <w:pStyle w:val="Compact"/>
              <w:jc w:val="left"/>
            </w:pPr>
            <w:r>
              <w:t xml:space="preserve">Chroma Cloud SOC 2 Type II</w:t>
            </w:r>
          </w:p>
        </w:tc>
        <w:tc>
          <w:tcPr/>
          <w:p>
            <w:pPr>
              <w:pStyle w:val="Compact"/>
              <w:jc w:val="left"/>
            </w:pPr>
            <w:r>
              <w:t xml:space="preserve">Verified fact</w:t>
            </w:r>
          </w:p>
        </w:tc>
        <w:tc>
          <w:tcPr/>
          <w:p>
            <w:pPr>
              <w:pStyle w:val="Compact"/>
              <w:jc w:val="left"/>
            </w:pPr>
            <w:r>
              <w:t xml:space="preserve">A2-S130, A2-S128, V1-S086</w:t>
            </w:r>
          </w:p>
        </w:tc>
      </w:tr>
      <w:tr>
        <w:tc>
          <w:tcPr/>
          <w:p>
            <w:pPr>
              <w:pStyle w:val="Compact"/>
              <w:jc w:val="left"/>
            </w:pPr>
            <w:r>
              <w:t xml:space="preserve">GDPR / residency</w:t>
            </w:r>
          </w:p>
        </w:tc>
        <w:tc>
          <w:tcPr/>
          <w:p>
            <w:pPr>
              <w:pStyle w:val="Compact"/>
              <w:jc w:val="left"/>
            </w:pPr>
            <w:r>
              <w:t xml:space="preserve">Multi-tenant regions: AWS us-east-1 and GCP europe-west1 (Belgium); data stays in chosen region</w:t>
            </w:r>
          </w:p>
        </w:tc>
        <w:tc>
          <w:tcPr/>
          <w:p>
            <w:pPr>
              <w:pStyle w:val="Compact"/>
              <w:jc w:val="left"/>
            </w:pPr>
            <w:r>
              <w:t xml:space="preserve">Verified fact</w:t>
            </w:r>
          </w:p>
        </w:tc>
        <w:tc>
          <w:tcPr/>
          <w:p>
            <w:pPr>
              <w:pStyle w:val="Compact"/>
              <w:jc w:val="left"/>
            </w:pPr>
            <w:r>
              <w:t xml:space="preserve">A2-S129</w:t>
            </w:r>
          </w:p>
        </w:tc>
      </w:tr>
      <w:tr>
        <w:tc>
          <w:tcPr/>
          <w:p>
            <w:pPr>
              <w:pStyle w:val="Compact"/>
              <w:jc w:val="left"/>
            </w:pPr>
            <w:r>
              <w:t xml:space="preserve">Security features</w:t>
            </w:r>
          </w:p>
        </w:tc>
        <w:tc>
          <w:tcPr/>
          <w:p>
            <w:pPr>
              <w:pStyle w:val="Compact"/>
              <w:jc w:val="left"/>
            </w:pPr>
            <w:r>
              <w:t xml:space="preserve">Customer-managed encryption keys changelog entry exists (content not retrieved); open-source build has no built-in auth since 1.0</w:t>
            </w:r>
          </w:p>
        </w:tc>
        <w:tc>
          <w:tcPr/>
          <w:p>
            <w:pPr>
              <w:pStyle w:val="Compact"/>
              <w:jc w:val="left"/>
            </w:pPr>
            <w:r>
              <w:t xml:space="preserve">Reported</w:t>
            </w:r>
          </w:p>
        </w:tc>
        <w:tc>
          <w:tcPr/>
          <w:p>
            <w:pPr>
              <w:pStyle w:val="Compact"/>
              <w:jc w:val="left"/>
            </w:pPr>
            <w:r>
              <w:t xml:space="preserve">A2-S130, A2-S131</w:t>
            </w:r>
          </w:p>
        </w:tc>
      </w:tr>
      <w:tr>
        <w:tc>
          <w:tcPr/>
          <w:p>
            <w:pPr>
              <w:pStyle w:val="Compact"/>
              <w:jc w:val="left"/>
            </w:pPr>
            <w:r>
              <w:t xml:space="preserve">Access controls</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Enterprise support</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Pricing</w:t>
            </w:r>
          </w:p>
        </w:tc>
        <w:tc>
          <w:tcPr/>
          <w:p>
            <w:pPr>
              <w:pStyle w:val="Compact"/>
              <w:jc w:val="left"/>
            </w:pPr>
            <w:r>
              <w:t xml:space="preserve">Starter US$0 + usage (US$5 credit): US$2.50/GiB written, US$0.33/GiB-month stored, US$0.0075/TiB queried, US$0.09/GiB returned; Team US$250/month + usage; single-tenant/BYOC custom</w:t>
            </w:r>
          </w:p>
        </w:tc>
        <w:tc>
          <w:tcPr/>
          <w:p>
            <w:pPr>
              <w:pStyle w:val="Compact"/>
              <w:jc w:val="left"/>
            </w:pPr>
            <w:r>
              <w:t xml:space="preserve">Verified fact</w:t>
            </w:r>
          </w:p>
        </w:tc>
        <w:tc>
          <w:tcPr/>
          <w:p>
            <w:pPr>
              <w:pStyle w:val="Compact"/>
              <w:jc w:val="left"/>
            </w:pPr>
            <w:r>
              <w:t xml:space="preserve">A2-S128, V1-S086</w:t>
            </w:r>
          </w:p>
        </w:tc>
      </w:tr>
      <w:tr>
        <w:tc>
          <w:tcPr/>
          <w:p>
            <w:pPr>
              <w:pStyle w:val="Compact"/>
              <w:jc w:val="left"/>
            </w:pPr>
            <w:r>
              <w:t xml:space="preserve">Infrastructure cost</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Ecosystem</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Adoption signals</w:t>
            </w:r>
          </w:p>
        </w:tc>
        <w:tc>
          <w:tcPr/>
          <w:p>
            <w:pPr>
              <w:pStyle w:val="Compact"/>
              <w:jc w:val="left"/>
            </w:pPr>
            <w:r>
              <w:t xml:space="preserve">US$18M seed round</w:t>
            </w:r>
          </w:p>
        </w:tc>
        <w:tc>
          <w:tcPr/>
          <w:p>
            <w:pPr>
              <w:pStyle w:val="Compact"/>
              <w:jc w:val="left"/>
            </w:pPr>
            <w:r>
              <w:t xml:space="preserve">Verified fact</w:t>
            </w:r>
          </w:p>
        </w:tc>
        <w:tc>
          <w:tcPr/>
          <w:p>
            <w:pPr>
              <w:pStyle w:val="Compact"/>
              <w:jc w:val="left"/>
            </w:pPr>
            <w:r>
              <w:t xml:space="preserve">A2-S131</w:t>
            </w:r>
          </w:p>
        </w:tc>
      </w:tr>
      <w:tr>
        <w:tc>
          <w:tcPr/>
          <w:p>
            <w:pPr>
              <w:pStyle w:val="Compact"/>
              <w:jc w:val="left"/>
            </w:pPr>
            <w:r>
              <w:t xml:space="preserve">Maturity</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Deployment</w:t>
            </w:r>
          </w:p>
        </w:tc>
        <w:tc>
          <w:tcPr/>
          <w:p>
            <w:pPr>
              <w:pStyle w:val="Compact"/>
              <w:jc w:val="left"/>
            </w:pPr>
            <w:r>
              <w:t xml:space="preserve">saas: Yes (Chroma Cloud, multi-tenant); managed_cloud: Not publicly verified; vpc_byoc: Yes (BYOC clusters, fixed minimum cost); private_cloud: Yes (single-tenant clusters, custom pricing); self_hosted: Yes; on_prem: Yes</w:t>
            </w:r>
          </w:p>
        </w:tc>
        <w:tc>
          <w:tcPr/>
          <w:p>
            <w:pPr>
              <w:pStyle w:val="Compact"/>
            </w:pPr>
          </w:p>
        </w:tc>
        <w:tc>
          <w:tcPr/>
          <w:p>
            <w:pPr>
              <w:pStyle w:val="Compact"/>
            </w:pPr>
          </w:p>
        </w:tc>
      </w:tr>
    </w:tbl>
    <w:bookmarkEnd w:id="699"/>
    <w:bookmarkEnd w:id="700"/>
    <w:bookmarkStart w:id="821" w:name="l5-memory"/>
    <w:p>
      <w:pPr>
        <w:pStyle w:val="Heading1"/>
      </w:pPr>
      <w:r>
        <w:t xml:space="preserve">L5: Memory</w:t>
      </w:r>
    </w:p>
    <w:bookmarkStart w:id="718" w:name="Xb04cd6b3bd69cb85eff4c17385f2132da972c89"/>
    <w:p>
      <w:pPr>
        <w:pStyle w:val="Heading2"/>
      </w:pPr>
      <w:r>
        <w:t xml:space="preserve">Zep (managed context-graph platform,</w:t>
      </w:r>
      <w:r>
        <w:t xml:space="preserve"> </w:t>
      </w:r>
      <w:r>
        <w:t xml:space="preserve">‘</w:t>
      </w:r>
      <w:r>
        <w:t xml:space="preserve">Zep Cloud</w:t>
      </w:r>
      <w:r>
        <w:t xml:space="preserve">’</w:t>
      </w:r>
      <w:r>
        <w:t xml:space="preserve">) and Graphiti (open-source temporal knowledge-graph framework) (</w:t>
      </w:r>
      <w:r>
        <w:rPr>
          <w:rStyle w:val="VerbatimChar"/>
        </w:rPr>
        <w:t xml:space="preserve">L5-zep</w:t>
      </w:r>
      <w:r>
        <w:t xml:space="preserve">)</w:t>
      </w:r>
    </w:p>
    <w:p>
      <w:pPr>
        <w:pStyle w:val="FirstParagraph"/>
      </w:pPr>
      <w:r>
        <w:rPr>
          <w:bCs/>
          <w:b/>
        </w:rPr>
        <w:t xml:space="preserve">Tier:</w:t>
      </w:r>
      <w:r>
        <w:t xml:space="preserve"> </w:t>
      </w:r>
      <w:r>
        <w:t xml:space="preserve">Tactical ·</w:t>
      </w:r>
      <w:r>
        <w:t xml:space="preserve"> </w:t>
      </w:r>
      <w:r>
        <w:rPr>
          <w:bCs/>
          <w:b/>
        </w:rPr>
        <w:t xml:space="preserve">Flags:</w:t>
      </w:r>
      <w:r>
        <w:t xml:space="preserve"> </w:t>
      </w:r>
      <w:r>
        <w:t xml:space="preserve">Deprecated ·</w:t>
      </w:r>
      <w:r>
        <w:t xml:space="preserve"> </w:t>
      </w:r>
      <w:r>
        <w:rPr>
          <w:bCs/>
          <w:b/>
        </w:rPr>
        <w:t xml:space="preserve">Original graphic label:</w:t>
      </w:r>
      <w:r>
        <w:t xml:space="preserve"> </w:t>
      </w:r>
      <w:r>
        <w:t xml:space="preserve">Zep – graph memory</w:t>
      </w:r>
    </w:p>
    <w:p>
      <w:pPr>
        <w:pStyle w:val="BodyText"/>
      </w:pPr>
      <w:r>
        <w:rPr>
          <w:iCs/>
          <w:i/>
        </w:rPr>
        <w:t xml:space="preserve">Rationale:</w:t>
      </w:r>
      <w:r>
        <w:t xml:space="preserve"> </w:t>
      </w:r>
      <w:r>
        <w:t xml:space="preserve">Technically the strongest memory model for audit and temporal reasoning; tier-gated compliance, a proprietary managed engine and pre-1.0 Graphiti keep it Tactical</w:t>
      </w:r>
      <w:r>
        <w:t xml:space="preserve"> </w:t>
      </w:r>
      <w:r>
        <w:rPr>
          <w:rStyle w:val="ClaimLabel"/>
        </w:rPr>
        <w:t xml:space="preserve">AJ</w:t>
      </w:r>
      <w:r>
        <w:t xml:space="preserve">.</w:t>
      </w:r>
    </w:p>
    <w:tbl>
      <w:tblPr>
        <w:tblStyle w:val="Table"/>
        <w:tblW w:type="pct" w:w="5000"/>
        <w:tblLook w:firstRow="1" w:lastRow="0" w:firstColumn="0" w:lastColumn="0" w:noHBand="0" w:noVBand="0" w:val="0020"/>
        <w:jc w:val="start"/>
      </w:tblPr>
      <w:tblGrid>
        <w:gridCol w:w="1545"/>
        <w:gridCol w:w="579"/>
        <w:gridCol w:w="5795"/>
      </w:tblGrid>
      <w:tr>
        <w:trPr>
          <w:tblHeader w:val="true"/>
        </w:trPr>
        <w:tc>
          <w:tcPr/>
          <w:p>
            <w:pPr>
              <w:pStyle w:val="Compact"/>
              <w:jc w:val="left"/>
            </w:pPr>
            <w:r>
              <w:t xml:space="preserve">Criterion</w:t>
            </w:r>
          </w:p>
        </w:tc>
        <w:tc>
          <w:tcPr/>
          <w:p>
            <w:pPr>
              <w:pStyle w:val="Compact"/>
              <w:jc w:val="right"/>
            </w:pPr>
            <w:r>
              <w:t xml:space="preserve">Score</w:t>
            </w:r>
          </w:p>
        </w:tc>
        <w:tc>
          <w:tcPr/>
          <w:p>
            <w:pPr>
              <w:pStyle w:val="Compact"/>
              <w:jc w:val="left"/>
            </w:pPr>
            <w:r>
              <w:t xml:space="preserve">Rationale</w:t>
            </w:r>
          </w:p>
        </w:tc>
      </w:tr>
      <w:tr>
        <w:tc>
          <w:tcPr/>
          <w:p>
            <w:pPr>
              <w:pStyle w:val="Compact"/>
              <w:jc w:val="left"/>
            </w:pPr>
            <w:r>
              <w:t xml:space="preserve">Technical</w:t>
            </w:r>
          </w:p>
        </w:tc>
        <w:tc>
          <w:tcPr/>
          <w:p>
            <w:pPr>
              <w:pStyle w:val="Compact"/>
              <w:jc w:val="right"/>
            </w:pPr>
            <w:r>
              <w:t xml:space="preserve">5</w:t>
            </w:r>
          </w:p>
        </w:tc>
        <w:tc>
          <w:tcPr/>
          <w:p>
            <w:pPr>
              <w:pStyle w:val="Compact"/>
              <w:jc w:val="left"/>
            </w:pPr>
            <w:r>
              <w:t xml:space="preserve">Bi-temporal graph, episodes with provenance, hybrid retrieval, users and threads: leading depth on the layer’s memory-type questions</w:t>
            </w:r>
          </w:p>
        </w:tc>
      </w:tr>
      <w:tr>
        <w:tc>
          <w:tcPr/>
          <w:p>
            <w:pPr>
              <w:pStyle w:val="Compact"/>
              <w:jc w:val="left"/>
            </w:pPr>
            <w:r>
              <w:t xml:space="preserve">Enterprise readiness</w:t>
            </w:r>
          </w:p>
        </w:tc>
        <w:tc>
          <w:tcPr/>
          <w:p>
            <w:pPr>
              <w:pStyle w:val="Compact"/>
              <w:jc w:val="right"/>
            </w:pPr>
            <w:r>
              <w:t xml:space="preserve">4</w:t>
            </w:r>
          </w:p>
        </w:tc>
        <w:tc>
          <w:tcPr/>
          <w:p>
            <w:pPr>
              <w:pStyle w:val="Compact"/>
              <w:jc w:val="left"/>
            </w:pPr>
            <w:r>
              <w:t xml:space="preserve">IdP sign-in, RBAC + ABAC and audit logs with one-year retention, plus a guaranteed SLA on Enterprise (A3-S107, A3-S089): rule 7 allows 4 (CP3 review A, consistent with Mistral OCR); condition: audit logs cover web-app actions only, not API or SDK calls</w:t>
            </w:r>
          </w:p>
        </w:tc>
      </w:tr>
      <w:tr>
        <w:tc>
          <w:tcPr/>
          <w:p>
            <w:pPr>
              <w:pStyle w:val="Compact"/>
              <w:jc w:val="left"/>
            </w:pPr>
            <w:r>
              <w:t xml:space="preserve">Security and compliance</w:t>
            </w:r>
          </w:p>
        </w:tc>
        <w:tc>
          <w:tcPr/>
          <w:p>
            <w:pPr>
              <w:pStyle w:val="Compact"/>
              <w:jc w:val="right"/>
            </w:pPr>
            <w:r>
              <w:t xml:space="preserve">3</w:t>
            </w:r>
          </w:p>
        </w:tc>
        <w:tc>
          <w:tcPr/>
          <w:p>
            <w:pPr>
              <w:pStyle w:val="Compact"/>
              <w:jc w:val="left"/>
            </w:pPr>
            <w:r>
              <w:t xml:space="preserve">SOC 2 Type II + HIPAA + BYOK on Enterprise; no ISO 27001 found (same calibration as Braintrust in L9)</w:t>
            </w:r>
          </w:p>
        </w:tc>
      </w:tr>
      <w:tr>
        <w:tc>
          <w:tcPr/>
          <w:p>
            <w:pPr>
              <w:pStyle w:val="Compact"/>
              <w:jc w:val="left"/>
            </w:pPr>
            <w:r>
              <w:t xml:space="preserve">Deployment flexibility</w:t>
            </w:r>
          </w:p>
        </w:tc>
        <w:tc>
          <w:tcPr/>
          <w:p>
            <w:pPr>
              <w:pStyle w:val="Compact"/>
              <w:jc w:val="right"/>
            </w:pPr>
            <w:r>
              <w:t xml:space="preserve">4</w:t>
            </w:r>
          </w:p>
        </w:tc>
        <w:tc>
          <w:tcPr/>
          <w:p>
            <w:pPr>
              <w:pStyle w:val="Compact"/>
              <w:jc w:val="left"/>
            </w:pPr>
            <w:r>
              <w:t xml:space="preserve">SaaS and BYOC (AWS/GCP/Azure); Graphiti self-host; no supported self-host of Zep itself</w:t>
            </w:r>
          </w:p>
        </w:tc>
      </w:tr>
      <w:tr>
        <w:tc>
          <w:tcPr/>
          <w:p>
            <w:pPr>
              <w:pStyle w:val="Compact"/>
              <w:jc w:val="left"/>
            </w:pPr>
            <w:r>
              <w:t xml:space="preserve">Ecosystem</w:t>
            </w:r>
          </w:p>
        </w:tc>
        <w:tc>
          <w:tcPr/>
          <w:p>
            <w:pPr>
              <w:pStyle w:val="Compact"/>
              <w:jc w:val="right"/>
            </w:pPr>
            <w:r>
              <w:t xml:space="preserve">4</w:t>
            </w:r>
          </w:p>
        </w:tc>
        <w:tc>
          <w:tcPr/>
          <w:p>
            <w:pPr>
              <w:pStyle w:val="Compact"/>
              <w:jc w:val="left"/>
            </w:pPr>
            <w:r>
              <w:t xml:space="preserve">Broad framework integrations; Graphiti 31,529 stars; MCP server</w:t>
            </w:r>
          </w:p>
        </w:tc>
      </w:tr>
      <w:tr>
        <w:tc>
          <w:tcPr/>
          <w:p>
            <w:pPr>
              <w:pStyle w:val="Compact"/>
              <w:jc w:val="left"/>
            </w:pPr>
            <w:r>
              <w:t xml:space="preserve">Reliability and maturity</w:t>
            </w:r>
          </w:p>
        </w:tc>
        <w:tc>
          <w:tcPr/>
          <w:p>
            <w:pPr>
              <w:pStyle w:val="Compact"/>
              <w:jc w:val="right"/>
            </w:pPr>
            <w:r>
              <w:t xml:space="preserve">3</w:t>
            </w:r>
          </w:p>
        </w:tc>
        <w:tc>
          <w:tcPr/>
          <w:p>
            <w:pPr>
              <w:pStyle w:val="Compact"/>
              <w:jc w:val="left"/>
            </w:pPr>
            <w:r>
              <w:t xml:space="preserve">Graphiti pre-1.0 with frequent releases; SDK 4.0 beta; Community Edition deprecated; no acquisition found</w:t>
            </w:r>
          </w:p>
        </w:tc>
      </w:tr>
      <w:tr>
        <w:tc>
          <w:tcPr/>
          <w:p>
            <w:pPr>
              <w:pStyle w:val="Compact"/>
              <w:jc w:val="left"/>
            </w:pPr>
            <w:r>
              <w:t xml:space="preserve">Cost / TCO</w:t>
            </w:r>
          </w:p>
        </w:tc>
        <w:tc>
          <w:tcPr/>
          <w:p>
            <w:pPr>
              <w:pStyle w:val="Compact"/>
              <w:jc w:val="right"/>
            </w:pPr>
            <w:r>
              <w:t xml:space="preserve">3</w:t>
            </w:r>
          </w:p>
        </w:tc>
        <w:tc>
          <w:tcPr/>
          <w:p>
            <w:pPr>
              <w:pStyle w:val="Compact"/>
              <w:jc w:val="left"/>
            </w:pPr>
            <w:r>
              <w:t xml:space="preserve">Published credit pricing (Flex US$125, Flex Plus US$375 per month); Graphiti cost is graph DB + LLM ingestion</w:t>
            </w:r>
          </w:p>
        </w:tc>
      </w:tr>
      <w:tr>
        <w:tc>
          <w:tcPr/>
          <w:p>
            <w:pPr>
              <w:pStyle w:val="Compact"/>
              <w:jc w:val="left"/>
            </w:pPr>
            <w:r>
              <w:t xml:space="preserve">Lock-in / portability</w:t>
            </w:r>
          </w:p>
        </w:tc>
        <w:tc>
          <w:tcPr/>
          <w:p>
            <w:pPr>
              <w:pStyle w:val="Compact"/>
              <w:jc w:val="right"/>
            </w:pPr>
            <w:r>
              <w:t xml:space="preserve">2</w:t>
            </w:r>
          </w:p>
        </w:tc>
        <w:tc>
          <w:tcPr/>
          <w:p>
            <w:pPr>
              <w:pStyle w:val="Compact"/>
              <w:jc w:val="left"/>
            </w:pPr>
            <w:r>
              <w:t xml:space="preserve">Zep Cloud proprietary engine and API; Graphiti (Apache-2.0) is a partial exit with no documented migration</w:t>
            </w:r>
          </w:p>
        </w:tc>
      </w:tr>
      <w:tr>
        <w:tc>
          <w:tcPr/>
          <w:p>
            <w:pPr>
              <w:pStyle w:val="Compact"/>
              <w:jc w:val="left"/>
            </w:pPr>
            <w:r>
              <w:rPr>
                <w:bCs/>
                <w:b/>
              </w:rPr>
              <w:t xml:space="preserve">Total (generic / FS)</w:t>
            </w:r>
          </w:p>
        </w:tc>
        <w:tc>
          <w:tcPr/>
          <w:p>
            <w:pPr>
              <w:pStyle w:val="Compact"/>
              <w:jc w:val="right"/>
            </w:pPr>
            <w:r>
              <w:rPr>
                <w:bCs/>
                <w:b/>
              </w:rPr>
              <w:t xml:space="preserve">3.75 / 3.50</w:t>
            </w:r>
          </w:p>
        </w:tc>
        <w:tc>
          <w:tcPr/>
          <w:p>
            <w:pPr>
              <w:pStyle w:val="Compact"/>
            </w:pPr>
          </w:p>
        </w:tc>
      </w:tr>
    </w:tbl>
    <w:p>
      <w:pPr>
        <w:pStyle w:val="BodyText"/>
      </w:pPr>
      <w:r>
        <w:rPr>
          <w:bCs/>
          <w:b/>
        </w:rPr>
        <w:t xml:space="preserve">Capabilities.</w:t>
      </w:r>
      <w:r>
        <w:t xml:space="preserve"> </w:t>
      </w:r>
      <w:r>
        <w:t xml:space="preserve">Zep Cloud managed context-graph platform on a proprietary Context Graph Engine, with Graphiti (Apache-2.0) as the open-source temporal knowledge-graph framework: entities, facts with validity windows, episodes with provenance, communities; invalidation rather than deletion; hybrid semantic, keyword and graph retrieval</w:t>
      </w:r>
      <w:r>
        <w:t xml:space="preserve"> </w:t>
      </w:r>
      <w:r>
        <w:rPr>
          <w:rStyle w:val="ClaimLabel"/>
        </w:rPr>
        <w:t xml:space="preserve">VF</w:t>
      </w:r>
      <w:r>
        <w:rPr>
          <w:rStyle w:val="FootnoteReference"/>
        </w:rPr>
        <w:footnoteReference w:id="701"/>
      </w:r>
      <w:r>
        <w:t xml:space="preserve">.</w:t>
      </w:r>
    </w:p>
    <w:p>
      <w:pPr>
        <w:pStyle w:val="BodyText"/>
      </w:pPr>
      <w:r>
        <w:rPr>
          <w:bCs/>
          <w:b/>
        </w:rPr>
        <w:t xml:space="preserve">Strengths</w:t>
      </w:r>
    </w:p>
    <w:p>
      <w:pPr>
        <w:numPr>
          <w:ilvl w:val="0"/>
          <w:numId w:val="1161"/>
        </w:numPr>
        <w:pStyle w:val="Compact"/>
      </w:pPr>
      <w:r>
        <w:t xml:space="preserve">Bi-temporal facts and per-episode provenance suit audit and how-facts-changed questions</w:t>
      </w:r>
      <w:r>
        <w:t xml:space="preserve"> </w:t>
      </w:r>
      <w:r>
        <w:rPr>
          <w:rStyle w:val="ClaimLabel"/>
        </w:rPr>
        <w:t xml:space="preserve">VF</w:t>
      </w:r>
      <w:r>
        <w:rPr>
          <w:rStyle w:val="FootnoteReference"/>
        </w:rPr>
        <w:footnoteReference w:id="704"/>
      </w:r>
    </w:p>
    <w:p>
      <w:pPr>
        <w:numPr>
          <w:ilvl w:val="0"/>
          <w:numId w:val="1161"/>
        </w:numPr>
        <w:pStyle w:val="Compact"/>
      </w:pPr>
      <w:r>
        <w:t xml:space="preserve">SOC 2 Type II, HIPAA BAA, BYOK and BYOC on Enterprise</w:t>
      </w:r>
      <w:r>
        <w:t xml:space="preserve"> </w:t>
      </w:r>
      <w:r>
        <w:rPr>
          <w:rStyle w:val="ClaimLabel"/>
        </w:rPr>
        <w:t xml:space="preserve">VF</w:t>
      </w:r>
      <w:r>
        <w:rPr>
          <w:rStyle w:val="FootnoteReference"/>
        </w:rPr>
        <w:footnoteReference w:id="705"/>
      </w:r>
    </w:p>
    <w:p>
      <w:pPr>
        <w:numPr>
          <w:ilvl w:val="0"/>
          <w:numId w:val="1161"/>
        </w:numPr>
        <w:pStyle w:val="Compact"/>
      </w:pPr>
      <w:r>
        <w:t xml:space="preserve">Right-to-be-forgotten and time-based retention purge (Zep Archive); EU residency on request; DPAs</w:t>
      </w:r>
      <w:r>
        <w:t xml:space="preserve"> </w:t>
      </w:r>
      <w:r>
        <w:rPr>
          <w:rStyle w:val="ClaimLabel"/>
        </w:rPr>
        <w:t xml:space="preserve">VF</w:t>
      </w:r>
      <w:r>
        <w:rPr>
          <w:rStyle w:val="FootnoteReference"/>
        </w:rPr>
        <w:footnoteReference w:id="708"/>
      </w:r>
    </w:p>
    <w:p>
      <w:pPr>
        <w:numPr>
          <w:ilvl w:val="0"/>
          <w:numId w:val="1161"/>
        </w:numPr>
        <w:pStyle w:val="Compact"/>
      </w:pPr>
      <w:r>
        <w:t xml:space="preserve">Integrations with ADK, Microsoft Agent Framework, LangGraph, Strands and others; Graphiti MCP server</w:t>
      </w:r>
      <w:r>
        <w:t xml:space="preserve"> </w:t>
      </w:r>
      <w:r>
        <w:rPr>
          <w:rStyle w:val="ClaimLabel"/>
        </w:rPr>
        <w:t xml:space="preserve">VF</w:t>
      </w:r>
      <w:r>
        <w:rPr>
          <w:rStyle w:val="FootnoteReference"/>
        </w:rPr>
        <w:footnoteReference w:id="710"/>
      </w:r>
    </w:p>
    <w:p>
      <w:pPr>
        <w:pStyle w:val="FirstParagraph"/>
      </w:pPr>
      <w:r>
        <w:rPr>
          <w:bCs/>
          <w:b/>
        </w:rPr>
        <w:t xml:space="preserve">Limitations and risks</w:t>
      </w:r>
    </w:p>
    <w:p>
      <w:pPr>
        <w:numPr>
          <w:ilvl w:val="0"/>
          <w:numId w:val="1162"/>
        </w:numPr>
        <w:pStyle w:val="Compact"/>
      </w:pPr>
      <w:r>
        <w:t xml:space="preserve">Community Edition deprecated; Graphiti is the only OSS path</w:t>
      </w:r>
      <w:r>
        <w:t xml:space="preserve"> </w:t>
      </w:r>
      <w:r>
        <w:rPr>
          <w:rStyle w:val="ClaimLabel"/>
        </w:rPr>
        <w:t xml:space="preserve">VF</w:t>
      </w:r>
      <w:r>
        <w:rPr>
          <w:rStyle w:val="FootnoteReference"/>
        </w:rPr>
        <w:footnoteReference w:id="711"/>
      </w:r>
    </w:p>
    <w:p>
      <w:pPr>
        <w:numPr>
          <w:ilvl w:val="0"/>
          <w:numId w:val="1162"/>
        </w:numPr>
        <w:pStyle w:val="Compact"/>
      </w:pPr>
      <w:r>
        <w:t xml:space="preserve">Compliance only on Enterprise, not Flex or Flex Plus</w:t>
      </w:r>
      <w:r>
        <w:t xml:space="preserve"> </w:t>
      </w:r>
      <w:r>
        <w:rPr>
          <w:rStyle w:val="ClaimLabel"/>
        </w:rPr>
        <w:t xml:space="preserve">VF</w:t>
      </w:r>
      <w:r>
        <w:rPr>
          <w:rStyle w:val="FootnoteReference"/>
        </w:rPr>
        <w:footnoteReference w:id="713"/>
      </w:r>
    </w:p>
    <w:p>
      <w:pPr>
        <w:numPr>
          <w:ilvl w:val="0"/>
          <w:numId w:val="1162"/>
        </w:numPr>
        <w:pStyle w:val="Compact"/>
      </w:pPr>
      <w:r>
        <w:t xml:space="preserve">Audit logs cover web-app member actions, not API or SDK calls</w:t>
      </w:r>
      <w:r>
        <w:t xml:space="preserve"> </w:t>
      </w:r>
      <w:r>
        <w:rPr>
          <w:rStyle w:val="ClaimLabel"/>
        </w:rPr>
        <w:t xml:space="preserve">VF</w:t>
      </w:r>
      <w:r>
        <w:rPr>
          <w:rStyle w:val="FootnoteReference"/>
        </w:rPr>
        <w:footnoteReference w:id="714"/>
      </w:r>
    </w:p>
    <w:p>
      <w:pPr>
        <w:numPr>
          <w:ilvl w:val="0"/>
          <w:numId w:val="1162"/>
        </w:numPr>
        <w:pStyle w:val="Compact"/>
      </w:pPr>
      <w:r>
        <w:t xml:space="preserve">Graphiti pre-1.0; zep-cloud SDK 4.0 in beta</w:t>
      </w:r>
      <w:r>
        <w:t xml:space="preserve"> </w:t>
      </w:r>
      <w:r>
        <w:rPr>
          <w:rStyle w:val="ClaimLabel"/>
        </w:rPr>
        <w:t xml:space="preserve">VF</w:t>
      </w:r>
      <w:r>
        <w:rPr>
          <w:rStyle w:val="FootnoteReference"/>
        </w:rPr>
        <w:footnoteReference w:id="715"/>
      </w:r>
    </w:p>
    <w:p>
      <w:pPr>
        <w:numPr>
          <w:ilvl w:val="0"/>
          <w:numId w:val="1162"/>
        </w:numPr>
        <w:pStyle w:val="Compact"/>
      </w:pPr>
      <w:r>
        <w:t xml:space="preserve">Proprietary graph engine in Zep Cloud; migration path to Graphiti not documented</w:t>
      </w:r>
      <w:r>
        <w:t xml:space="preserve"> </w:t>
      </w:r>
      <w:r>
        <w:rPr>
          <w:rStyle w:val="ClaimLabel"/>
        </w:rPr>
        <w:t xml:space="preserve">VF</w:t>
      </w:r>
      <w:r>
        <w:rPr>
          <w:rStyle w:val="FootnoteReference"/>
        </w:rPr>
        <w:footnoteReference w:id="717"/>
      </w:r>
      <w:r>
        <w:t xml:space="preserve"> </w:t>
      </w:r>
      <w:r>
        <w:rPr>
          <w:rStyle w:val="ClaimLabel"/>
        </w:rPr>
        <w:t xml:space="preserve">NPV</w:t>
      </w:r>
    </w:p>
    <w:p>
      <w:pPr>
        <w:pStyle w:val="FirstParagraph"/>
      </w:pPr>
      <w:r>
        <w:rPr>
          <w:bCs/>
          <w:b/>
        </w:rPr>
        <w:t xml:space="preserve">Choose when</w:t>
      </w:r>
    </w:p>
    <w:p>
      <w:pPr>
        <w:numPr>
          <w:ilvl w:val="0"/>
          <w:numId w:val="1163"/>
        </w:numPr>
        <w:pStyle w:val="Compact"/>
      </w:pPr>
      <w:r>
        <w:t xml:space="preserve">Temporal validity and provenance of memory matter (mandate or terminology changes over time)</w:t>
      </w:r>
      <w:r>
        <w:t xml:space="preserve"> </w:t>
      </w:r>
      <w:r>
        <w:rPr>
          <w:rStyle w:val="ClaimLabel"/>
        </w:rPr>
        <w:t xml:space="preserve">AJ</w:t>
      </w:r>
    </w:p>
    <w:p>
      <w:pPr>
        <w:numPr>
          <w:ilvl w:val="0"/>
          <w:numId w:val="1163"/>
        </w:numPr>
        <w:pStyle w:val="Compact"/>
      </w:pPr>
      <w:r>
        <w:t xml:space="preserve">Graphiti self-hosted on Neo4j or Neptune for in-estate data</w:t>
      </w:r>
      <w:r>
        <w:t xml:space="preserve"> </w:t>
      </w:r>
      <w:r>
        <w:rPr>
          <w:rStyle w:val="ClaimLabel"/>
        </w:rPr>
        <w:t xml:space="preserve">AJ</w:t>
      </w:r>
    </w:p>
    <w:p>
      <w:pPr>
        <w:pStyle w:val="FirstParagraph"/>
      </w:pPr>
      <w:r>
        <w:rPr>
          <w:bCs/>
          <w:b/>
        </w:rPr>
        <w:t xml:space="preserve">Avoid when</w:t>
      </w:r>
    </w:p>
    <w:p>
      <w:pPr>
        <w:numPr>
          <w:ilvl w:val="0"/>
          <w:numId w:val="1164"/>
        </w:numPr>
        <w:pStyle w:val="Compact"/>
      </w:pPr>
      <w:r>
        <w:t xml:space="preserve">You need API-level audit logs from the vendor, ISO 27001, or a supported self-hosted full platform</w:t>
      </w:r>
      <w:r>
        <w:t xml:space="preserve"> </w:t>
      </w:r>
      <w:r>
        <w:rPr>
          <w:rStyle w:val="ClaimLabel"/>
        </w:rPr>
        <w:t xml:space="preserve">AJ</w:t>
      </w:r>
    </w:p>
    <w:p>
      <w:pPr>
        <w:pStyle w:val="FirstParagraph"/>
      </w:pPr>
      <w:r>
        <w:rPr>
          <w:bCs/>
          <w:b/>
        </w:rPr>
        <w:t xml:space="preserve">Nearest competitors:</w:t>
      </w:r>
      <w:r>
        <w:t xml:space="preserve"> </w:t>
      </w:r>
      <w:r>
        <w:t xml:space="preserve">L5-mem0, L5-cognee, L5-gcp-vertex-memory-bank</w:t>
      </w:r>
    </w:p>
    <w:p>
      <w:pPr>
        <w:pStyle w:val="BodyText"/>
      </w:pPr>
      <w:r>
        <w:rPr>
          <w:bCs/>
          <w:b/>
        </w:rPr>
        <w:t xml:space="preserve">Regulated-FS note.</w:t>
      </w:r>
      <w:r>
        <w:t xml:space="preserve"> </w:t>
      </w:r>
      <w:r>
        <w:t xml:space="preserve">Prefer self-hosted Graphiti on an approved graph store and test that erasure removes invalidated facts and episodes; use Zep Cloud only on Enterprise with EU residency requested</w:t>
      </w:r>
      <w:r>
        <w:t xml:space="preserve"> </w:t>
      </w:r>
      <w:r>
        <w:rPr>
          <w:rStyle w:val="ClaimLabel"/>
        </w:rPr>
        <w:t xml:space="preserve">Rec</w:t>
      </w:r>
      <w:r>
        <w:t xml:space="preserve">.</w:t>
      </w:r>
    </w:p>
    <w:p>
      <w:pPr>
        <w:pStyle w:val="BodyText"/>
      </w:pPr>
      <w:r>
        <w:rPr>
          <w:bCs/>
          <w:b/>
        </w:rPr>
        <w:t xml:space="preserve">Facts (as of 2026-10-08)</w:t>
      </w:r>
    </w:p>
    <w:tbl>
      <w:tblPr>
        <w:tblStyle w:val="Table"/>
        <w:tblW w:type="pct" w:w="5000"/>
        <w:tblLook w:firstRow="1" w:lastRow="0" w:firstColumn="0" w:lastColumn="0" w:noHBand="0" w:noVBand="0" w:val="0020"/>
        <w:jc w:val="start"/>
      </w:tblPr>
      <w:tblGrid>
        <w:gridCol w:w="1485"/>
        <w:gridCol w:w="4290"/>
        <w:gridCol w:w="1320"/>
        <w:gridCol w:w="825"/>
      </w:tblGrid>
      <w:tr>
        <w:trPr>
          <w:tblHeader w:val="true"/>
        </w:trPr>
        <w:tc>
          <w:tcPr/>
          <w:p>
            <w:pPr>
              <w:pStyle w:val="Compact"/>
              <w:jc w:val="left"/>
            </w:pPr>
            <w:r>
              <w:t xml:space="preserve">Field</w:t>
            </w:r>
          </w:p>
        </w:tc>
        <w:tc>
          <w:tcPr/>
          <w:p>
            <w:pPr>
              <w:pStyle w:val="Compact"/>
              <w:jc w:val="left"/>
            </w:pPr>
            <w:r>
              <w:t xml:space="preserve">Value</w:t>
            </w:r>
          </w:p>
        </w:tc>
        <w:tc>
          <w:tcPr/>
          <w:p>
            <w:pPr>
              <w:pStyle w:val="Compact"/>
              <w:jc w:val="left"/>
            </w:pPr>
            <w:r>
              <w:t xml:space="preserve">Label</w:t>
            </w:r>
          </w:p>
        </w:tc>
        <w:tc>
          <w:tcPr/>
          <w:p>
            <w:pPr>
              <w:pStyle w:val="Compact"/>
              <w:jc w:val="left"/>
            </w:pPr>
            <w:r>
              <w:t xml:space="preserve">Sources</w:t>
            </w:r>
          </w:p>
        </w:tc>
      </w:tr>
      <w:tr>
        <w:tc>
          <w:tcPr/>
          <w:p>
            <w:pPr>
              <w:pStyle w:val="Compact"/>
              <w:jc w:val="left"/>
            </w:pPr>
            <w:r>
              <w:t xml:space="preserve">Company</w:t>
            </w:r>
          </w:p>
        </w:tc>
        <w:tc>
          <w:tcPr/>
          <w:p>
            <w:pPr>
              <w:pStyle w:val="Compact"/>
              <w:jc w:val="left"/>
            </w:pPr>
            <w:r>
              <w:t xml:space="preserve">Zep (getzep)</w:t>
            </w:r>
          </w:p>
        </w:tc>
        <w:tc>
          <w:tcPr/>
          <w:p>
            <w:pPr>
              <w:pStyle w:val="Compact"/>
              <w:jc w:val="left"/>
            </w:pPr>
            <w:r>
              <w:t xml:space="preserve">Verified fact</w:t>
            </w:r>
          </w:p>
        </w:tc>
        <w:tc>
          <w:tcPr/>
          <w:p>
            <w:pPr>
              <w:pStyle w:val="Compact"/>
              <w:jc w:val="left"/>
            </w:pPr>
            <w:r>
              <w:t xml:space="preserve">A3-S059</w:t>
            </w:r>
          </w:p>
        </w:tc>
      </w:tr>
      <w:tr>
        <w:tc>
          <w:tcPr/>
          <w:p>
            <w:pPr>
              <w:pStyle w:val="Compact"/>
              <w:jc w:val="left"/>
            </w:pPr>
            <w:r>
              <w:t xml:space="preserve">Category</w:t>
            </w:r>
          </w:p>
        </w:tc>
        <w:tc>
          <w:tcPr/>
          <w:p>
            <w:pPr>
              <w:pStyle w:val="Compact"/>
              <w:jc w:val="left"/>
            </w:pPr>
            <w:r>
              <w:t xml:space="preserve">Managed agent memory / context-graph infrastructure; Graphiti is the open-source temporal knowledge-graph library underneath</w:t>
            </w:r>
          </w:p>
        </w:tc>
        <w:tc>
          <w:tcPr/>
          <w:p>
            <w:pPr>
              <w:pStyle w:val="Compact"/>
              <w:jc w:val="left"/>
            </w:pPr>
            <w:r>
              <w:t xml:space="preserve">Verified fact</w:t>
            </w:r>
          </w:p>
        </w:tc>
        <w:tc>
          <w:tcPr/>
          <w:p>
            <w:pPr>
              <w:pStyle w:val="Compact"/>
              <w:jc w:val="left"/>
            </w:pPr>
            <w:r>
              <w:t xml:space="preserve">A3-S003</w:t>
            </w:r>
          </w:p>
        </w:tc>
      </w:tr>
      <w:tr>
        <w:tc>
          <w:tcPr/>
          <w:p>
            <w:pPr>
              <w:pStyle w:val="Compact"/>
              <w:jc w:val="left"/>
            </w:pPr>
            <w:r>
              <w:t xml:space="preserve">Version / lineup</w:t>
            </w:r>
          </w:p>
        </w:tc>
        <w:tc>
          <w:tcPr/>
          <w:p>
            <w:pPr>
              <w:pStyle w:val="Compact"/>
              <w:jc w:val="left"/>
            </w:pPr>
            <w:r>
              <w:t xml:space="preserve">zep-cloud Python SDK 3.30.0 (24 September 2026), 4.0.0b1 pre-release (6 October 2026); graphiti-core 0.30.2 (8 September 2026)</w:t>
            </w:r>
          </w:p>
        </w:tc>
        <w:tc>
          <w:tcPr/>
          <w:p>
            <w:pPr>
              <w:pStyle w:val="Compact"/>
              <w:jc w:val="left"/>
            </w:pPr>
            <w:r>
              <w:t xml:space="preserve">Verified fact</w:t>
            </w:r>
          </w:p>
        </w:tc>
        <w:tc>
          <w:tcPr/>
          <w:p>
            <w:pPr>
              <w:pStyle w:val="Compact"/>
              <w:jc w:val="left"/>
            </w:pPr>
            <w:r>
              <w:t xml:space="preserve">A3-S002, A3-S003</w:t>
            </w:r>
          </w:p>
        </w:tc>
      </w:tr>
      <w:tr>
        <w:tc>
          <w:tcPr/>
          <w:p>
            <w:pPr>
              <w:pStyle w:val="Compact"/>
              <w:jc w:val="left"/>
            </w:pPr>
            <w:r>
              <w:t xml:space="preserve">Licence</w:t>
            </w:r>
          </w:p>
        </w:tc>
        <w:tc>
          <w:tcPr/>
          <w:p>
            <w:pPr>
              <w:pStyle w:val="Compact"/>
              <w:jc w:val="left"/>
            </w:pPr>
            <w:r>
              <w:t xml:space="preserve">Zep platform proprietary; Graphiti Apache-2.0; Zep Community Edition deprecated and unsupported</w:t>
            </w:r>
          </w:p>
        </w:tc>
        <w:tc>
          <w:tcPr/>
          <w:p>
            <w:pPr>
              <w:pStyle w:val="Compact"/>
              <w:jc w:val="left"/>
            </w:pPr>
            <w:r>
              <w:t xml:space="preserve">Verified fact</w:t>
            </w:r>
          </w:p>
        </w:tc>
        <w:tc>
          <w:tcPr/>
          <w:p>
            <w:pPr>
              <w:pStyle w:val="Compact"/>
              <w:jc w:val="left"/>
            </w:pPr>
            <w:r>
              <w:t xml:space="preserve">A3-S003, A3-S059</w:t>
            </w:r>
          </w:p>
        </w:tc>
      </w:tr>
      <w:tr>
        <w:tc>
          <w:tcPr/>
          <w:p>
            <w:pPr>
              <w:pStyle w:val="Compact"/>
              <w:jc w:val="left"/>
            </w:pPr>
            <w:r>
              <w:t xml:space="preserve">Status events</w:t>
            </w:r>
          </w:p>
        </w:tc>
        <w:tc>
          <w:tcPr/>
          <w:p>
            <w:pPr>
              <w:pStyle w:val="Compact"/>
              <w:jc w:val="left"/>
            </w:pPr>
            <w:r>
              <w:t xml:space="preserve">Zep Community Edition deprecated; code moved to legacy/ folder (status on 7 October 2026; date of deprecation not verified); Graphiti: Kuzu backend deprecated because upstream Kuzu project is unmaintained</w:t>
            </w:r>
          </w:p>
        </w:tc>
        <w:tc>
          <w:tcPr/>
          <w:p>
            <w:pPr>
              <w:pStyle w:val="Compact"/>
              <w:jc w:val="left"/>
            </w:pPr>
            <w:r>
              <w:t xml:space="preserve">Verified fact</w:t>
            </w:r>
          </w:p>
        </w:tc>
        <w:tc>
          <w:tcPr/>
          <w:p>
            <w:pPr>
              <w:pStyle w:val="Compact"/>
              <w:jc w:val="left"/>
            </w:pPr>
            <w:r>
              <w:t xml:space="preserve">A3-S059, A3-S003, V1-S044</w:t>
            </w:r>
          </w:p>
        </w:tc>
      </w:tr>
      <w:tr>
        <w:tc>
          <w:tcPr/>
          <w:p>
            <w:pPr>
              <w:pStyle w:val="Compact"/>
              <w:jc w:val="left"/>
            </w:pPr>
            <w:r>
              <w:t xml:space="preserve">Strategic direction</w:t>
            </w:r>
          </w:p>
        </w:tc>
        <w:tc>
          <w:tcPr/>
          <w:p>
            <w:pPr>
              <w:pStyle w:val="Compact"/>
              <w:jc w:val="left"/>
            </w:pPr>
            <w:r>
              <w:t xml:space="preserve">Positions Zep as</w:t>
            </w:r>
            <w:r>
              <w:t xml:space="preserve"> </w:t>
            </w:r>
            <w:r>
              <w:t xml:space="preserve">‘</w:t>
            </w:r>
            <w:r>
              <w:t xml:space="preserve">context infrastructure</w:t>
            </w:r>
            <w:r>
              <w:t xml:space="preserve">’</w:t>
            </w:r>
            <w:r>
              <w:t xml:space="preserve"> </w:t>
            </w:r>
            <w:r>
              <w:t xml:space="preserve">powered by a proprietary Context Graph Engine built for millions of per-user/entity context graphs; ships agent plugins for Claude Code, Codex, Cursor, Claude Desktop/Cowork and ChatGPT</w:t>
            </w:r>
          </w:p>
        </w:tc>
        <w:tc>
          <w:tcPr/>
          <w:p>
            <w:pPr>
              <w:pStyle w:val="Compact"/>
              <w:jc w:val="left"/>
            </w:pPr>
            <w:r>
              <w:t xml:space="preserve">Verified fact</w:t>
            </w:r>
          </w:p>
        </w:tc>
        <w:tc>
          <w:tcPr/>
          <w:p>
            <w:pPr>
              <w:pStyle w:val="Compact"/>
              <w:jc w:val="left"/>
            </w:pPr>
            <w:r>
              <w:t xml:space="preserve">A3-S003, A3-S059</w:t>
            </w:r>
          </w:p>
        </w:tc>
      </w:tr>
      <w:tr>
        <w:tc>
          <w:tcPr/>
          <w:p>
            <w:pPr>
              <w:pStyle w:val="Compact"/>
              <w:jc w:val="left"/>
            </w:pPr>
            <w:r>
              <w:t xml:space="preserve">What it does</w:t>
            </w:r>
          </w:p>
        </w:tc>
        <w:tc>
          <w:tcPr/>
          <w:p>
            <w:pPr>
              <w:pStyle w:val="Compact"/>
              <w:jc w:val="left"/>
            </w:pPr>
            <w:r>
              <w:t xml:space="preserve">Graphiti builds temporal context graphs: entities, facts with validity windows (bi-temporal), episodes with provenance and communities; old facts are invalidated rather than deleted; retrieval is hybrid semantic, keyword and graph search. Zep adds managed users, threads and message storage, dashboard and pre-configured retrieval (vendor claims sub-200ms)</w:t>
            </w:r>
          </w:p>
        </w:tc>
        <w:tc>
          <w:tcPr/>
          <w:p>
            <w:pPr>
              <w:pStyle w:val="Compact"/>
              <w:jc w:val="left"/>
            </w:pPr>
            <w:r>
              <w:t xml:space="preserve">Verified fact</w:t>
            </w:r>
          </w:p>
        </w:tc>
        <w:tc>
          <w:tcPr/>
          <w:p>
            <w:pPr>
              <w:pStyle w:val="Compact"/>
              <w:jc w:val="left"/>
            </w:pPr>
            <w:r>
              <w:t xml:space="preserve">A3-S003</w:t>
            </w:r>
          </w:p>
        </w:tc>
      </w:tr>
      <w:tr>
        <w:tc>
          <w:tcPr/>
          <w:p>
            <w:pPr>
              <w:pStyle w:val="Compact"/>
              <w:jc w:val="left"/>
            </w:pPr>
            <w:r>
              <w:t xml:space="preserve">Stack position</w:t>
            </w:r>
          </w:p>
        </w:tc>
        <w:tc>
          <w:tcPr/>
          <w:p>
            <w:pPr>
              <w:pStyle w:val="Compact"/>
              <w:jc w:val="left"/>
            </w:pPr>
            <w:r>
              <w:t xml:space="preserve">Spans L5 memory and L6 knowledge store: a temporal knowledge graph that ingests chat history and business data; the graphic’s</w:t>
            </w:r>
            <w:r>
              <w:t xml:space="preserve"> </w:t>
            </w:r>
            <w:r>
              <w:t xml:space="preserve">‘</w:t>
            </w:r>
            <w:r>
              <w:t xml:space="preserve">graph memory</w:t>
            </w:r>
            <w:r>
              <w:t xml:space="preserve">’</w:t>
            </w:r>
            <w:r>
              <w:t xml:space="preserve"> </w:t>
            </w:r>
            <w:r>
              <w:t xml:space="preserve">descriptor matches Graphiti’s design</w:t>
            </w:r>
          </w:p>
        </w:tc>
        <w:tc>
          <w:tcPr/>
          <w:p>
            <w:pPr>
              <w:pStyle w:val="Compact"/>
              <w:jc w:val="left"/>
            </w:pPr>
            <w:r>
              <w:t xml:space="preserve">Verified fact</w:t>
            </w:r>
          </w:p>
        </w:tc>
        <w:tc>
          <w:tcPr/>
          <w:p>
            <w:pPr>
              <w:pStyle w:val="Compact"/>
              <w:jc w:val="left"/>
            </w:pPr>
            <w:r>
              <w:t xml:space="preserve">A3-S003</w:t>
            </w:r>
          </w:p>
        </w:tc>
      </w:tr>
      <w:tr>
        <w:tc>
          <w:tcPr/>
          <w:p>
            <w:pPr>
              <w:pStyle w:val="Compact"/>
              <w:jc w:val="left"/>
            </w:pPr>
            <w:r>
              <w:t xml:space="preserve">Integration</w:t>
            </w:r>
          </w:p>
        </w:tc>
        <w:tc>
          <w:tcPr/>
          <w:p>
            <w:pPr>
              <w:pStyle w:val="Compact"/>
              <w:jc w:val="left"/>
            </w:pPr>
            <w:r>
              <w:t xml:space="preserve">Zep SDKs for Python, TypeScript and Go; framework integrations for Google ADK, Microsoft Agent Framework, AutoGen, AG2, CrewAI, LangGraph, LiveKit, Pydantic AI, Strands Agents, Mastra and Vercel AI SDK; Graphiti offers an MCP server and FastAPI REST service</w:t>
            </w:r>
          </w:p>
        </w:tc>
        <w:tc>
          <w:tcPr/>
          <w:p>
            <w:pPr>
              <w:pStyle w:val="Compact"/>
              <w:jc w:val="left"/>
            </w:pPr>
            <w:r>
              <w:t xml:space="preserve">Verified fact</w:t>
            </w:r>
          </w:p>
        </w:tc>
        <w:tc>
          <w:tcPr/>
          <w:p>
            <w:pPr>
              <w:pStyle w:val="Compact"/>
              <w:jc w:val="left"/>
            </w:pPr>
            <w:r>
              <w:t xml:space="preserve">A3-S059, A3-S003</w:t>
            </w:r>
          </w:p>
        </w:tc>
      </w:tr>
      <w:tr>
        <w:tc>
          <w:tcPr/>
          <w:p>
            <w:pPr>
              <w:pStyle w:val="Compact"/>
              <w:jc w:val="left"/>
            </w:pPr>
            <w:r>
              <w:t xml:space="preserve">Dependencies</w:t>
            </w:r>
          </w:p>
        </w:tc>
        <w:tc>
          <w:tcPr/>
          <w:p>
            <w:pPr>
              <w:pStyle w:val="Compact"/>
              <w:jc w:val="left"/>
            </w:pPr>
            <w:r>
              <w:t xml:space="preserve">Graphiti requires Neo4j 5.26, FalkorDB 1.1.2 or Amazon Neptune (with OpenSearch Serverless for full text); Kuzu deprecated; defaults to OpenAI for LLM and embeddings and needs an LLM with structured output. Zep Cloud uses its proprietary graph engine (no third-party graph DB)</w:t>
            </w:r>
          </w:p>
        </w:tc>
        <w:tc>
          <w:tcPr/>
          <w:p>
            <w:pPr>
              <w:pStyle w:val="Compact"/>
              <w:jc w:val="left"/>
            </w:pPr>
            <w:r>
              <w:t xml:space="preserve">Verified fact</w:t>
            </w:r>
          </w:p>
        </w:tc>
        <w:tc>
          <w:tcPr/>
          <w:p>
            <w:pPr>
              <w:pStyle w:val="Compact"/>
              <w:jc w:val="left"/>
            </w:pPr>
            <w:r>
              <w:t xml:space="preserve">A3-S003</w:t>
            </w:r>
          </w:p>
        </w:tc>
      </w:tr>
      <w:tr>
        <w:tc>
          <w:tcPr/>
          <w:p>
            <w:pPr>
              <w:pStyle w:val="Compact"/>
              <w:jc w:val="left"/>
            </w:pPr>
            <w:r>
              <w:t xml:space="preserve">Certifications</w:t>
            </w:r>
          </w:p>
        </w:tc>
        <w:tc>
          <w:tcPr/>
          <w:p>
            <w:pPr>
              <w:pStyle w:val="Compact"/>
              <w:jc w:val="left"/>
            </w:pPr>
            <w:r>
              <w:t xml:space="preserve">SOC 2 Type II and HIPAA BAA on Enterprise plan only (not on Flex/Flex Plus); reports via Zep Trust Center</w:t>
            </w:r>
          </w:p>
        </w:tc>
        <w:tc>
          <w:tcPr/>
          <w:p>
            <w:pPr>
              <w:pStyle w:val="Compact"/>
              <w:jc w:val="left"/>
            </w:pPr>
            <w:r>
              <w:t xml:space="preserve">Verified fact</w:t>
            </w:r>
          </w:p>
        </w:tc>
        <w:tc>
          <w:tcPr/>
          <w:p>
            <w:pPr>
              <w:pStyle w:val="Compact"/>
              <w:jc w:val="left"/>
            </w:pPr>
            <w:r>
              <w:t xml:space="preserve">A3-S089, A3-S090</w:t>
            </w:r>
          </w:p>
        </w:tc>
      </w:tr>
      <w:tr>
        <w:tc>
          <w:tcPr/>
          <w:p>
            <w:pPr>
              <w:pStyle w:val="Compact"/>
              <w:jc w:val="left"/>
            </w:pPr>
            <w:r>
              <w:t xml:space="preserve">GDPR / residency</w:t>
            </w:r>
          </w:p>
        </w:tc>
        <w:tc>
          <w:tcPr/>
          <w:p>
            <w:pPr>
              <w:pStyle w:val="Compact"/>
              <w:jc w:val="left"/>
            </w:pPr>
            <w:r>
              <w:t xml:space="preserve">Signs DPAs with EU customers; US hosting by default, EU residency available on request; right-to-be-forgotten and time-based retention/purge features (Zep Archive)</w:t>
            </w:r>
          </w:p>
        </w:tc>
        <w:tc>
          <w:tcPr/>
          <w:p>
            <w:pPr>
              <w:pStyle w:val="Compact"/>
              <w:jc w:val="left"/>
            </w:pPr>
            <w:r>
              <w:t xml:space="preserve">Verified fact</w:t>
            </w:r>
          </w:p>
        </w:tc>
        <w:tc>
          <w:tcPr/>
          <w:p>
            <w:pPr>
              <w:pStyle w:val="Compact"/>
              <w:jc w:val="left"/>
            </w:pPr>
            <w:r>
              <w:t xml:space="preserve">A3-S107, A3-S089</w:t>
            </w:r>
          </w:p>
        </w:tc>
      </w:tr>
      <w:tr>
        <w:tc>
          <w:tcPr/>
          <w:p>
            <w:pPr>
              <w:pStyle w:val="Compact"/>
              <w:jc w:val="left"/>
            </w:pPr>
            <w:r>
              <w:t xml:space="preserve">Security features</w:t>
            </w:r>
          </w:p>
        </w:tc>
        <w:tc>
          <w:tcPr/>
          <w:p>
            <w:pPr>
              <w:pStyle w:val="Compact"/>
              <w:jc w:val="left"/>
            </w:pPr>
            <w:r>
              <w:t xml:space="preserve">BYOK (cloud with your own keys) and BYOC (your own VPC on AWS, GCP or Azure) on Enterprise; BYOK via AWS KMS in emerging-companies programme</w:t>
            </w:r>
          </w:p>
        </w:tc>
        <w:tc>
          <w:tcPr/>
          <w:p>
            <w:pPr>
              <w:pStyle w:val="Compact"/>
              <w:jc w:val="left"/>
            </w:pPr>
            <w:r>
              <w:t xml:space="preserve">Verified fact</w:t>
            </w:r>
          </w:p>
        </w:tc>
        <w:tc>
          <w:tcPr/>
          <w:p>
            <w:pPr>
              <w:pStyle w:val="Compact"/>
              <w:jc w:val="left"/>
            </w:pPr>
            <w:r>
              <w:t xml:space="preserve">A3-S089, A3-S090</w:t>
            </w:r>
          </w:p>
        </w:tc>
      </w:tr>
      <w:tr>
        <w:tc>
          <w:tcPr/>
          <w:p>
            <w:pPr>
              <w:pStyle w:val="Compact"/>
              <w:jc w:val="left"/>
            </w:pPr>
            <w:r>
              <w:t xml:space="preserve">Access controls</w:t>
            </w:r>
          </w:p>
        </w:tc>
        <w:tc>
          <w:tcPr/>
          <w:p>
            <w:pPr>
              <w:pStyle w:val="Compact"/>
              <w:jc w:val="left"/>
            </w:pPr>
            <w:r>
              <w:t xml:space="preserve">IdP-based member sign-in (SAML not named); RBAC for dashboard (account/project roles) and ABAC policies for data reads/writes; audit logs cover web-app member actions only, not API/SDK calls; Enterprise retains audit and API logs 1 year</w:t>
            </w:r>
          </w:p>
        </w:tc>
        <w:tc>
          <w:tcPr/>
          <w:p>
            <w:pPr>
              <w:pStyle w:val="Compact"/>
              <w:jc w:val="left"/>
            </w:pPr>
            <w:r>
              <w:t xml:space="preserve">Verified fact</w:t>
            </w:r>
          </w:p>
        </w:tc>
        <w:tc>
          <w:tcPr/>
          <w:p>
            <w:pPr>
              <w:pStyle w:val="Compact"/>
              <w:jc w:val="left"/>
            </w:pPr>
            <w:r>
              <w:t xml:space="preserve">A3-S107</w:t>
            </w:r>
          </w:p>
        </w:tc>
      </w:tr>
      <w:tr>
        <w:tc>
          <w:tcPr/>
          <w:p>
            <w:pPr>
              <w:pStyle w:val="Compact"/>
              <w:jc w:val="left"/>
            </w:pPr>
            <w:r>
              <w:t xml:space="preserve">Enterprise support</w:t>
            </w:r>
          </w:p>
        </w:tc>
        <w:tc>
          <w:tcPr/>
          <w:p>
            <w:pPr>
              <w:pStyle w:val="Compact"/>
              <w:jc w:val="left"/>
            </w:pPr>
            <w:r>
              <w:t xml:space="preserve">Enterprise: custom pricing, negotiated credit rates, guaranteed SLA</w:t>
            </w:r>
          </w:p>
        </w:tc>
        <w:tc>
          <w:tcPr/>
          <w:p>
            <w:pPr>
              <w:pStyle w:val="Compact"/>
              <w:jc w:val="left"/>
            </w:pPr>
            <w:r>
              <w:t xml:space="preserve">Verified fact</w:t>
            </w:r>
          </w:p>
        </w:tc>
        <w:tc>
          <w:tcPr/>
          <w:p>
            <w:pPr>
              <w:pStyle w:val="Compact"/>
              <w:jc w:val="left"/>
            </w:pPr>
            <w:r>
              <w:t xml:space="preserve">A3-S089</w:t>
            </w:r>
          </w:p>
        </w:tc>
      </w:tr>
      <w:tr>
        <w:tc>
          <w:tcPr/>
          <w:p>
            <w:pPr>
              <w:pStyle w:val="Compact"/>
              <w:jc w:val="left"/>
            </w:pPr>
            <w:r>
              <w:t xml:space="preserve">Pricing</w:t>
            </w:r>
          </w:p>
        </w:tc>
        <w:tc>
          <w:tcPr/>
          <w:p>
            <w:pPr>
              <w:pStyle w:val="Compact"/>
              <w:jc w:val="left"/>
            </w:pPr>
            <w:r>
              <w:t xml:space="preserve">Flex US$125/month (50,000 credits); Flex Plus US$375/month (200,000 credits); Enterprise custom; emerging-companies programme US$13,000 first year</w:t>
            </w:r>
          </w:p>
        </w:tc>
        <w:tc>
          <w:tcPr/>
          <w:p>
            <w:pPr>
              <w:pStyle w:val="Compact"/>
              <w:jc w:val="left"/>
            </w:pPr>
            <w:r>
              <w:t xml:space="preserve">Verified fact</w:t>
            </w:r>
          </w:p>
        </w:tc>
        <w:tc>
          <w:tcPr/>
          <w:p>
            <w:pPr>
              <w:pStyle w:val="Compact"/>
              <w:jc w:val="left"/>
            </w:pPr>
            <w:r>
              <w:t xml:space="preserve">A3-S089, A3-S090</w:t>
            </w:r>
          </w:p>
        </w:tc>
      </w:tr>
      <w:tr>
        <w:tc>
          <w:tcPr/>
          <w:p>
            <w:pPr>
              <w:pStyle w:val="Compact"/>
              <w:jc w:val="left"/>
            </w:pPr>
            <w:r>
              <w:t xml:space="preserve">Infrastructure cost</w:t>
            </w:r>
          </w:p>
        </w:tc>
        <w:tc>
          <w:tcPr/>
          <w:p>
            <w:pPr>
              <w:pStyle w:val="Compact"/>
              <w:jc w:val="left"/>
            </w:pPr>
            <w:r>
              <w:t xml:space="preserve">Graphiti self-hosting cost is driven by the graph database (Neo4j/FalkorDB/Neptune) and LLM calls during ingestion; README warns of LLM rate-limit (429) errors at default concurrency</w:t>
            </w:r>
          </w:p>
        </w:tc>
        <w:tc>
          <w:tcPr/>
          <w:p>
            <w:pPr>
              <w:pStyle w:val="Compact"/>
              <w:jc w:val="left"/>
            </w:pPr>
            <w:r>
              <w:t xml:space="preserve">Verified fact</w:t>
            </w:r>
          </w:p>
        </w:tc>
        <w:tc>
          <w:tcPr/>
          <w:p>
            <w:pPr>
              <w:pStyle w:val="Compact"/>
              <w:jc w:val="left"/>
            </w:pPr>
            <w:r>
              <w:t xml:space="preserve">A3-S003</w:t>
            </w:r>
          </w:p>
        </w:tc>
      </w:tr>
      <w:tr>
        <w:tc>
          <w:tcPr/>
          <w:p>
            <w:pPr>
              <w:pStyle w:val="Compact"/>
              <w:jc w:val="left"/>
            </w:pPr>
            <w:r>
              <w:t xml:space="preserve">Ecosystem</w:t>
            </w:r>
          </w:p>
        </w:tc>
        <w:tc>
          <w:tcPr/>
          <w:p>
            <w:pPr>
              <w:pStyle w:val="Compact"/>
              <w:jc w:val="left"/>
            </w:pPr>
            <w:r>
              <w:t xml:space="preserve">Integrations across major agent frameworks; Graphiti backends Neo4j, FalkorDB, Neptune</w:t>
            </w:r>
          </w:p>
        </w:tc>
        <w:tc>
          <w:tcPr/>
          <w:p>
            <w:pPr>
              <w:pStyle w:val="Compact"/>
              <w:jc w:val="left"/>
            </w:pPr>
            <w:r>
              <w:t xml:space="preserve">Verified fact</w:t>
            </w:r>
          </w:p>
        </w:tc>
        <w:tc>
          <w:tcPr/>
          <w:p>
            <w:pPr>
              <w:pStyle w:val="Compact"/>
              <w:jc w:val="left"/>
            </w:pPr>
            <w:r>
              <w:t xml:space="preserve">A3-S059, A3-S003</w:t>
            </w:r>
          </w:p>
        </w:tc>
      </w:tr>
      <w:tr>
        <w:tc>
          <w:tcPr/>
          <w:p>
            <w:pPr>
              <w:pStyle w:val="Compact"/>
              <w:jc w:val="left"/>
            </w:pPr>
            <w:r>
              <w:t xml:space="preserve">Adoption signals</w:t>
            </w:r>
          </w:p>
        </w:tc>
        <w:tc>
          <w:tcPr/>
          <w:p>
            <w:pPr>
              <w:pStyle w:val="Compact"/>
              <w:jc w:val="left"/>
            </w:pPr>
            <w:r>
              <w:t xml:space="preserve">getzep/graphiti 31,529 GitHub stars; getzep/zep 4,951 stars (7 October 2026). Backers named as Y Combinator and Engineering Capital; no 2025-2026 round found</w:t>
            </w:r>
          </w:p>
        </w:tc>
        <w:tc>
          <w:tcPr/>
          <w:p>
            <w:pPr>
              <w:pStyle w:val="Compact"/>
              <w:jc w:val="left"/>
            </w:pPr>
            <w:r>
              <w:t xml:space="preserve">Verified fact</w:t>
            </w:r>
          </w:p>
        </w:tc>
        <w:tc>
          <w:tcPr/>
          <w:p>
            <w:pPr>
              <w:pStyle w:val="Compact"/>
              <w:jc w:val="left"/>
            </w:pPr>
            <w:r>
              <w:t xml:space="preserve">A3-S054, A3-S090</w:t>
            </w:r>
          </w:p>
        </w:tc>
      </w:tr>
      <w:tr>
        <w:tc>
          <w:tcPr/>
          <w:p>
            <w:pPr>
              <w:pStyle w:val="Compact"/>
              <w:jc w:val="left"/>
            </w:pPr>
            <w:r>
              <w:t xml:space="preserve">Maturity</w:t>
            </w:r>
          </w:p>
        </w:tc>
        <w:tc>
          <w:tcPr/>
          <w:p>
            <w:pPr>
              <w:pStyle w:val="Compact"/>
              <w:jc w:val="left"/>
            </w:pPr>
            <w:r>
              <w:t xml:space="preserve">graphiti-core first released August 2024, 194 releases, still pre-1.0 (0.30.x); zep-cloud SDK on 3.x with a 4.0 beta in progress</w:t>
            </w:r>
          </w:p>
        </w:tc>
        <w:tc>
          <w:tcPr/>
          <w:p>
            <w:pPr>
              <w:pStyle w:val="Compact"/>
              <w:jc w:val="left"/>
            </w:pPr>
            <w:r>
              <w:t xml:space="preserve">Verified fact</w:t>
            </w:r>
          </w:p>
        </w:tc>
        <w:tc>
          <w:tcPr/>
          <w:p>
            <w:pPr>
              <w:pStyle w:val="Compact"/>
              <w:jc w:val="left"/>
            </w:pPr>
            <w:r>
              <w:t xml:space="preserve">A3-S003, A3-S002</w:t>
            </w:r>
          </w:p>
        </w:tc>
      </w:tr>
      <w:tr>
        <w:tc>
          <w:tcPr/>
          <w:p>
            <w:pPr>
              <w:pStyle w:val="Compact"/>
              <w:jc w:val="left"/>
            </w:pPr>
            <w:r>
              <w:t xml:space="preserve">Deployment</w:t>
            </w:r>
          </w:p>
        </w:tc>
        <w:tc>
          <w:tcPr/>
          <w:p>
            <w:pPr>
              <w:pStyle w:val="Compact"/>
              <w:jc w:val="left"/>
            </w:pPr>
            <w:r>
              <w:t xml:space="preserve">saas: Yes; managed_cloud: Not publicly verified; vpc_byoc: Yes (BYOC on Enterprise; AWS, GCP, Azure); private_cloud: Not publicly verified; self_hosted: Graphiti only (self-hosted framework); Zep Community Edition is deprecated; on_prem: Not publicly verified</w:t>
            </w:r>
          </w:p>
        </w:tc>
        <w:tc>
          <w:tcPr/>
          <w:p>
            <w:pPr>
              <w:pStyle w:val="Compact"/>
            </w:pPr>
          </w:p>
        </w:tc>
        <w:tc>
          <w:tcPr/>
          <w:p>
            <w:pPr>
              <w:pStyle w:val="Compact"/>
            </w:pPr>
          </w:p>
        </w:tc>
      </w:tr>
    </w:tbl>
    <w:bookmarkEnd w:id="718"/>
    <w:bookmarkStart w:id="737" w:name="Xcf05326261fba6dd7346ca3fe382084790b06f9"/>
    <w:p>
      <w:pPr>
        <w:pStyle w:val="Heading2"/>
      </w:pPr>
      <w:r>
        <w:t xml:space="preserve">Mem0 (open-source library and self-hosted server; Mem0 Platform managed service) (</w:t>
      </w:r>
      <w:r>
        <w:rPr>
          <w:rStyle w:val="VerbatimChar"/>
        </w:rPr>
        <w:t xml:space="preserve">L5-mem0</w:t>
      </w:r>
      <w:r>
        <w:t xml:space="preserve">)</w:t>
      </w:r>
    </w:p>
    <w:p>
      <w:pPr>
        <w:pStyle w:val="FirstParagraph"/>
      </w:pPr>
      <w:r>
        <w:rPr>
          <w:bCs/>
          <w:b/>
        </w:rPr>
        <w:t xml:space="preserve">Tier:</w:t>
      </w:r>
      <w:r>
        <w:t xml:space="preserve"> </w:t>
      </w:r>
      <w:r>
        <w:t xml:space="preserve">Tactical ·</w:t>
      </w:r>
      <w:r>
        <w:t xml:space="preserve"> </w:t>
      </w:r>
      <w:r>
        <w:rPr>
          <w:bCs/>
          <w:b/>
        </w:rPr>
        <w:t xml:space="preserve">Flags:</w:t>
      </w:r>
      <w:r>
        <w:t xml:space="preserve"> </w:t>
      </w:r>
      <w:r>
        <w:t xml:space="preserve">none ·</w:t>
      </w:r>
      <w:r>
        <w:t xml:space="preserve"> </w:t>
      </w:r>
      <w:r>
        <w:rPr>
          <w:bCs/>
          <w:b/>
        </w:rPr>
        <w:t xml:space="preserve">Original graphic label:</w:t>
      </w:r>
      <w:r>
        <w:t xml:space="preserve"> </w:t>
      </w:r>
      <w:r>
        <w:t xml:space="preserve">Mem0 – memory layer</w:t>
      </w:r>
    </w:p>
    <w:p>
      <w:pPr>
        <w:pStyle w:val="BodyText"/>
      </w:pPr>
      <w:r>
        <w:rPr>
          <w:iCs/>
          <w:i/>
        </w:rPr>
        <w:t xml:space="preserve">Rationale:</w:t>
      </w:r>
      <w:r>
        <w:t xml:space="preserve"> </w:t>
      </w:r>
      <w:r>
        <w:t xml:space="preserve">Broad, store-agnostic memory API useful behind a firm-owned wrapper; certification evidence and OSS/Platform divergence keep it off the Strategic tier</w:t>
      </w:r>
      <w:r>
        <w:t xml:space="preserve"> </w:t>
      </w:r>
      <w:r>
        <w:rPr>
          <w:rStyle w:val="ClaimLabel"/>
        </w:rPr>
        <w:t xml:space="preserve">AJ</w:t>
      </w:r>
      <w:r>
        <w:t xml:space="preserve">.</w:t>
      </w:r>
    </w:p>
    <w:tbl>
      <w:tblPr>
        <w:tblStyle w:val="Table"/>
        <w:tblW w:type="pct" w:w="5000"/>
        <w:tblLook w:firstRow="1" w:lastRow="0" w:firstColumn="0" w:lastColumn="0" w:noHBand="0" w:noVBand="0" w:val="0020"/>
        <w:jc w:val="start"/>
      </w:tblPr>
      <w:tblGrid>
        <w:gridCol w:w="1545"/>
        <w:gridCol w:w="579"/>
        <w:gridCol w:w="5795"/>
      </w:tblGrid>
      <w:tr>
        <w:trPr>
          <w:tblHeader w:val="true"/>
        </w:trPr>
        <w:tc>
          <w:tcPr/>
          <w:p>
            <w:pPr>
              <w:pStyle w:val="Compact"/>
              <w:jc w:val="left"/>
            </w:pPr>
            <w:r>
              <w:t xml:space="preserve">Criterion</w:t>
            </w:r>
          </w:p>
        </w:tc>
        <w:tc>
          <w:tcPr/>
          <w:p>
            <w:pPr>
              <w:pStyle w:val="Compact"/>
              <w:jc w:val="right"/>
            </w:pPr>
            <w:r>
              <w:t xml:space="preserve">Score</w:t>
            </w:r>
          </w:p>
        </w:tc>
        <w:tc>
          <w:tcPr/>
          <w:p>
            <w:pPr>
              <w:pStyle w:val="Compact"/>
              <w:jc w:val="left"/>
            </w:pPr>
            <w:r>
              <w:t xml:space="preserve">Rationale</w:t>
            </w:r>
          </w:p>
        </w:tc>
      </w:tr>
      <w:tr>
        <w:tc>
          <w:tcPr/>
          <w:p>
            <w:pPr>
              <w:pStyle w:val="Compact"/>
              <w:jc w:val="left"/>
            </w:pPr>
            <w:r>
              <w:t xml:space="preserve">Technical</w:t>
            </w:r>
          </w:p>
        </w:tc>
        <w:tc>
          <w:tcPr/>
          <w:p>
            <w:pPr>
              <w:pStyle w:val="Compact"/>
              <w:jc w:val="right"/>
            </w:pPr>
            <w:r>
              <w:t xml:space="preserve">4</w:t>
            </w:r>
          </w:p>
        </w:tc>
        <w:tc>
          <w:tcPr/>
          <w:p>
            <w:pPr>
              <w:pStyle w:val="Compact"/>
              <w:jc w:val="left"/>
            </w:pPr>
            <w:r>
              <w:t xml:space="preserve">Covers extraction, scoping, hybrid recall, deletion and history; graph and decay only on Platform</w:t>
            </w:r>
          </w:p>
        </w:tc>
      </w:tr>
      <w:tr>
        <w:tc>
          <w:tcPr/>
          <w:p>
            <w:pPr>
              <w:pStyle w:val="Compact"/>
              <w:jc w:val="left"/>
            </w:pPr>
            <w:r>
              <w:t xml:space="preserve">Enterprise readiness</w:t>
            </w:r>
          </w:p>
        </w:tc>
        <w:tc>
          <w:tcPr/>
          <w:p>
            <w:pPr>
              <w:pStyle w:val="Compact"/>
              <w:jc w:val="right"/>
            </w:pPr>
            <w:r>
              <w:t xml:space="preserve">4</w:t>
            </w:r>
          </w:p>
        </w:tc>
        <w:tc>
          <w:tcPr/>
          <w:p>
            <w:pPr>
              <w:pStyle w:val="Compact"/>
              <w:jc w:val="left"/>
            </w:pPr>
            <w:r>
              <w:t xml:space="preserve">Enterprise plan lists SSO, audit logs and SLA support (A3-S049); Platform org/project member roles and an event feed (A3-S080): all three controls plus SLA reach 4 under rule 7 (CP3 review A, consistent with Firecrawl and Mistral OCR); condition: evidence is a pricing page and OSS has no org concept</w:t>
            </w:r>
          </w:p>
        </w:tc>
      </w:tr>
      <w:tr>
        <w:tc>
          <w:tcPr/>
          <w:p>
            <w:pPr>
              <w:pStyle w:val="Compact"/>
              <w:jc w:val="left"/>
            </w:pPr>
            <w:r>
              <w:t xml:space="preserve">Security and compliance</w:t>
            </w:r>
          </w:p>
        </w:tc>
        <w:tc>
          <w:tcPr/>
          <w:p>
            <w:pPr>
              <w:pStyle w:val="Compact"/>
              <w:jc w:val="right"/>
            </w:pPr>
            <w:r>
              <w:t xml:space="preserve">2</w:t>
            </w:r>
          </w:p>
        </w:tc>
        <w:tc>
          <w:tcPr/>
          <w:p>
            <w:pPr>
              <w:pStyle w:val="Compact"/>
              <w:jc w:val="left"/>
            </w:pPr>
            <w:r>
              <w:t xml:space="preserve">SOC 2 Type I confirmed by vendor; Type II claims conflict; no report seen; HIPAA and BYOK vendor-stated</w:t>
            </w:r>
          </w:p>
        </w:tc>
      </w:tr>
      <w:tr>
        <w:tc>
          <w:tcPr/>
          <w:p>
            <w:pPr>
              <w:pStyle w:val="Compact"/>
              <w:jc w:val="left"/>
            </w:pPr>
            <w:r>
              <w:t xml:space="preserve">Deployment flexibility</w:t>
            </w:r>
          </w:p>
        </w:tc>
        <w:tc>
          <w:tcPr/>
          <w:p>
            <w:pPr>
              <w:pStyle w:val="Compact"/>
              <w:jc w:val="right"/>
            </w:pPr>
            <w:r>
              <w:t xml:space="preserve">4</w:t>
            </w:r>
          </w:p>
        </w:tc>
        <w:tc>
          <w:tcPr/>
          <w:p>
            <w:pPr>
              <w:pStyle w:val="Compact"/>
              <w:jc w:val="left"/>
            </w:pPr>
            <w:r>
              <w:t xml:space="preserve">SaaS, self-host and on-prem verified; VPC and air-gap are vendor claims from a marketing guide</w:t>
            </w:r>
          </w:p>
        </w:tc>
      </w:tr>
      <w:tr>
        <w:tc>
          <w:tcPr/>
          <w:p>
            <w:pPr>
              <w:pStyle w:val="Compact"/>
              <w:jc w:val="left"/>
            </w:pPr>
            <w:r>
              <w:t xml:space="preserve">Ecosystem</w:t>
            </w:r>
          </w:p>
        </w:tc>
        <w:tc>
          <w:tcPr/>
          <w:p>
            <w:pPr>
              <w:pStyle w:val="Compact"/>
              <w:jc w:val="right"/>
            </w:pPr>
            <w:r>
              <w:t xml:space="preserve">4</w:t>
            </w:r>
          </w:p>
        </w:tc>
        <w:tc>
          <w:tcPr/>
          <w:p>
            <w:pPr>
              <w:pStyle w:val="Compact"/>
              <w:jc w:val="left"/>
            </w:pPr>
            <w:r>
              <w:t xml:space="preserve">Wide vector-store support, LangGraph and CrewAI integrations; MCP repository archived</w:t>
            </w:r>
          </w:p>
        </w:tc>
      </w:tr>
      <w:tr>
        <w:tc>
          <w:tcPr/>
          <w:p>
            <w:pPr>
              <w:pStyle w:val="Compact"/>
              <w:jc w:val="left"/>
            </w:pPr>
            <w:r>
              <w:t xml:space="preserve">Reliability and maturity</w:t>
            </w:r>
          </w:p>
        </w:tc>
        <w:tc>
          <w:tcPr/>
          <w:p>
            <w:pPr>
              <w:pStyle w:val="Compact"/>
              <w:jc w:val="right"/>
            </w:pPr>
            <w:r>
              <w:t xml:space="preserve">3</w:t>
            </w:r>
          </w:p>
        </w:tc>
        <w:tc>
          <w:tcPr/>
          <w:p>
            <w:pPr>
              <w:pStyle w:val="Compact"/>
              <w:jc w:val="left"/>
            </w:pPr>
            <w:r>
              <w:t xml:space="preserve">Two years of releases but breaking changes in April 2026 (ADD-only, graph removed from OSS); no acquisition found</w:t>
            </w:r>
          </w:p>
        </w:tc>
      </w:tr>
      <w:tr>
        <w:tc>
          <w:tcPr/>
          <w:p>
            <w:pPr>
              <w:pStyle w:val="Compact"/>
              <w:jc w:val="left"/>
            </w:pPr>
            <w:r>
              <w:t xml:space="preserve">Cost / TCO</w:t>
            </w:r>
          </w:p>
        </w:tc>
        <w:tc>
          <w:tcPr/>
          <w:p>
            <w:pPr>
              <w:pStyle w:val="Compact"/>
              <w:jc w:val="right"/>
            </w:pPr>
            <w:r>
              <w:t xml:space="preserve">4</w:t>
            </w:r>
          </w:p>
        </w:tc>
        <w:tc>
          <w:tcPr/>
          <w:p>
            <w:pPr>
              <w:pStyle w:val="Compact"/>
              <w:jc w:val="left"/>
            </w:pPr>
            <w:r>
              <w:t xml:space="preserve">Apache-2.0 OSS; published tiers (Starter US$19, Pro US$249 per month); self-host cost is LLM + embedder + vector store</w:t>
            </w:r>
          </w:p>
        </w:tc>
      </w:tr>
      <w:tr>
        <w:tc>
          <w:tcPr/>
          <w:p>
            <w:pPr>
              <w:pStyle w:val="Compact"/>
              <w:jc w:val="left"/>
            </w:pPr>
            <w:r>
              <w:t xml:space="preserve">Lock-in / portability</w:t>
            </w:r>
          </w:p>
        </w:tc>
        <w:tc>
          <w:tcPr/>
          <w:p>
            <w:pPr>
              <w:pStyle w:val="Compact"/>
              <w:jc w:val="right"/>
            </w:pPr>
            <w:r>
              <w:t xml:space="preserve">3</w:t>
            </w:r>
          </w:p>
        </w:tc>
        <w:tc>
          <w:tcPr/>
          <w:p>
            <w:pPr>
              <w:pStyle w:val="Compact"/>
              <w:jc w:val="left"/>
            </w:pPr>
            <w:r>
              <w:t xml:space="preserve">Apache-2.0 OSS on standard stores, but key features (incl. export) Platform-only</w:t>
            </w:r>
          </w:p>
        </w:tc>
      </w:tr>
      <w:tr>
        <w:tc>
          <w:tcPr/>
          <w:p>
            <w:pPr>
              <w:pStyle w:val="Compact"/>
              <w:jc w:val="left"/>
            </w:pPr>
            <w:r>
              <w:rPr>
                <w:bCs/>
                <w:b/>
              </w:rPr>
              <w:t xml:space="preserve">Total (generic / FS)</w:t>
            </w:r>
          </w:p>
        </w:tc>
        <w:tc>
          <w:tcPr/>
          <w:p>
            <w:pPr>
              <w:pStyle w:val="Compact"/>
              <w:jc w:val="right"/>
            </w:pPr>
            <w:r>
              <w:rPr>
                <w:bCs/>
                <w:b/>
              </w:rPr>
              <w:t xml:space="preserve">3.55 / 3.35</w:t>
            </w:r>
          </w:p>
        </w:tc>
        <w:tc>
          <w:tcPr/>
          <w:p>
            <w:pPr>
              <w:pStyle w:val="Compact"/>
            </w:pPr>
          </w:p>
        </w:tc>
      </w:tr>
    </w:tbl>
    <w:p>
      <w:pPr>
        <w:pStyle w:val="BodyText"/>
      </w:pPr>
      <w:r>
        <w:rPr>
          <w:iCs/>
          <w:i/>
        </w:rPr>
        <w:t xml:space="preserve">Evidence rules applied:</w:t>
      </w:r>
      <w:r>
        <w:t xml:space="preserve"> </w:t>
      </w:r>
      <w:r>
        <w:t xml:space="preserve">security_compliance at 2: SOC 2 Type II status conflicting on vendor pages, only Type I confirmed (treated as below the 3 anchor)</w:t>
      </w:r>
    </w:p>
    <w:p>
      <w:pPr>
        <w:pStyle w:val="BodyText"/>
      </w:pPr>
      <w:r>
        <w:rPr>
          <w:bCs/>
          <w:b/>
        </w:rPr>
        <w:t xml:space="preserve">Capabilities.</w:t>
      </w:r>
      <w:r>
        <w:t xml:space="preserve"> </w:t>
      </w:r>
      <w:r>
        <w:t xml:space="preserve">Open-core agent memory layer: extracts facts from conversations and agent actions, scopes them by user_id, agent_id and run_id, retrieves with semantic + BM25 + entity signals; add/search/get/update/delete/delete_all and per-memory history in OSS and Platform; storage in SQL + third-party vector store + entity store</w:t>
      </w:r>
      <w:r>
        <w:t xml:space="preserve"> </w:t>
      </w:r>
      <w:r>
        <w:rPr>
          <w:rStyle w:val="ClaimLabel"/>
        </w:rPr>
        <w:t xml:space="preserve">VF</w:t>
      </w:r>
      <w:r>
        <w:rPr>
          <w:rStyle w:val="FootnoteReference"/>
        </w:rPr>
        <w:footnoteReference w:id="719"/>
      </w:r>
      <w:r>
        <w:t xml:space="preserve">.</w:t>
      </w:r>
    </w:p>
    <w:p>
      <w:pPr>
        <w:pStyle w:val="BodyText"/>
      </w:pPr>
      <w:r>
        <w:rPr>
          <w:bCs/>
          <w:b/>
        </w:rPr>
        <w:t xml:space="preserve">Strengths</w:t>
      </w:r>
    </w:p>
    <w:p>
      <w:pPr>
        <w:numPr>
          <w:ilvl w:val="0"/>
          <w:numId w:val="1165"/>
        </w:numPr>
        <w:pStyle w:val="Compact"/>
      </w:pPr>
      <w:r>
        <w:t xml:space="preserve">Supports 14+ vector stores incl. PGVector, Elasticsearch, OpenSearch, MongoDB, so the canonical record can sit in the firm’s L6 store</w:t>
      </w:r>
      <w:r>
        <w:t xml:space="preserve"> </w:t>
      </w:r>
      <w:r>
        <w:rPr>
          <w:rStyle w:val="ClaimLabel"/>
        </w:rPr>
        <w:t xml:space="preserve">VF</w:t>
      </w:r>
      <w:r>
        <w:rPr>
          <w:rStyle w:val="FootnoteReference"/>
        </w:rPr>
        <w:footnoteReference w:id="723"/>
      </w:r>
    </w:p>
    <w:p>
      <w:pPr>
        <w:numPr>
          <w:ilvl w:val="0"/>
          <w:numId w:val="1165"/>
        </w:numPr>
        <w:pStyle w:val="Compact"/>
      </w:pPr>
      <w:r>
        <w:t xml:space="preserve">Apache-2.0 OSS server with authentication on by default</w:t>
      </w:r>
      <w:r>
        <w:t xml:space="preserve"> </w:t>
      </w:r>
      <w:r>
        <w:rPr>
          <w:rStyle w:val="ClaimLabel"/>
        </w:rPr>
        <w:t xml:space="preserve">VF</w:t>
      </w:r>
      <w:r>
        <w:rPr>
          <w:rStyle w:val="FootnoteReference"/>
        </w:rPr>
        <w:footnoteReference w:id="724"/>
      </w:r>
    </w:p>
    <w:p>
      <w:pPr>
        <w:numPr>
          <w:ilvl w:val="0"/>
          <w:numId w:val="1165"/>
        </w:numPr>
        <w:pStyle w:val="Compact"/>
      </w:pPr>
      <w:r>
        <w:t xml:space="preserve">Platform has org/project roles and a project-wide event feed of add/search/delete events usable for audit</w:t>
      </w:r>
      <w:r>
        <w:t xml:space="preserve"> </w:t>
      </w:r>
      <w:r>
        <w:rPr>
          <w:rStyle w:val="ClaimLabel"/>
        </w:rPr>
        <w:t xml:space="preserve">VF</w:t>
      </w:r>
      <w:r>
        <w:rPr>
          <w:rStyle w:val="FootnoteReference"/>
        </w:rPr>
        <w:footnoteReference w:id="725"/>
      </w:r>
    </w:p>
    <w:p>
      <w:pPr>
        <w:numPr>
          <w:ilvl w:val="0"/>
          <w:numId w:val="1165"/>
        </w:numPr>
        <w:pStyle w:val="Compact"/>
      </w:pPr>
      <w:r>
        <w:t xml:space="preserve">Largest community in the layer (66,777 GitHub stars, 7 October 2026)</w:t>
      </w:r>
      <w:r>
        <w:t xml:space="preserve"> </w:t>
      </w:r>
      <w:r>
        <w:rPr>
          <w:rStyle w:val="ClaimLabel"/>
        </w:rPr>
        <w:t xml:space="preserve">VF</w:t>
      </w:r>
      <w:r>
        <w:rPr>
          <w:rStyle w:val="FootnoteReference"/>
        </w:rPr>
        <w:footnoteReference w:id="726"/>
      </w:r>
    </w:p>
    <w:p>
      <w:pPr>
        <w:pStyle w:val="FirstParagraph"/>
      </w:pPr>
      <w:r>
        <w:rPr>
          <w:bCs/>
          <w:b/>
        </w:rPr>
        <w:t xml:space="preserve">Limitations and risks</w:t>
      </w:r>
    </w:p>
    <w:p>
      <w:pPr>
        <w:numPr>
          <w:ilvl w:val="0"/>
          <w:numId w:val="1166"/>
        </w:numPr>
        <w:pStyle w:val="Compact"/>
      </w:pPr>
      <w:r>
        <w:t xml:space="preserve">SOC 2 status conflicts on vendor pages (Type I; Type II in progress; Type II for Enterprise); trust-centre report not seen</w:t>
      </w:r>
      <w:r>
        <w:t xml:space="preserve"> </w:t>
      </w:r>
      <w:r>
        <w:rPr>
          <w:rStyle w:val="ClaimLabel"/>
        </w:rPr>
        <w:t xml:space="preserve">VF</w:t>
      </w:r>
      <w:r>
        <w:rPr>
          <w:rStyle w:val="FootnoteReference"/>
        </w:rPr>
        <w:footnoteReference w:id="728"/>
      </w:r>
    </w:p>
    <w:p>
      <w:pPr>
        <w:numPr>
          <w:ilvl w:val="0"/>
          <w:numId w:val="1166"/>
        </w:numPr>
        <w:pStyle w:val="Compact"/>
      </w:pPr>
      <w:r>
        <w:t xml:space="preserve">No managed EU region found</w:t>
      </w:r>
      <w:r>
        <w:t xml:space="preserve"> </w:t>
      </w:r>
      <w:r>
        <w:rPr>
          <w:rStyle w:val="ClaimLabel"/>
        </w:rPr>
        <w:t xml:space="preserve">VF</w:t>
      </w:r>
      <w:r>
        <w:rPr>
          <w:rStyle w:val="FootnoteReference"/>
        </w:rPr>
        <w:footnoteReference w:id="731"/>
      </w:r>
    </w:p>
    <w:p>
      <w:pPr>
        <w:numPr>
          <w:ilvl w:val="0"/>
          <w:numId w:val="1166"/>
        </w:numPr>
        <w:pStyle w:val="Compact"/>
      </w:pPr>
      <w:r>
        <w:t xml:space="preserve">OSS v2.0.0 (14 April 2026) removed external graph stores; graph memory, decay, temporal reasoning, Dream, webhooks and export are Platform-only</w:t>
      </w:r>
      <w:r>
        <w:t xml:space="preserve"> </w:t>
      </w:r>
      <w:r>
        <w:rPr>
          <w:rStyle w:val="ClaimLabel"/>
        </w:rPr>
        <w:t xml:space="preserve">VF</w:t>
      </w:r>
      <w:r>
        <w:rPr>
          <w:rStyle w:val="FootnoteReference"/>
        </w:rPr>
        <w:footnoteReference w:id="732"/>
      </w:r>
    </w:p>
    <w:p>
      <w:pPr>
        <w:numPr>
          <w:ilvl w:val="0"/>
          <w:numId w:val="1166"/>
        </w:numPr>
        <w:pStyle w:val="Compact"/>
      </w:pPr>
      <w:r>
        <w:t xml:space="preserve">ADD-only OSS extraction: memories accumulate unless pruned</w:t>
      </w:r>
      <w:r>
        <w:t xml:space="preserve"> </w:t>
      </w:r>
      <w:r>
        <w:rPr>
          <w:rStyle w:val="ClaimLabel"/>
        </w:rPr>
        <w:t xml:space="preserve">VF</w:t>
      </w:r>
      <w:r>
        <w:rPr>
          <w:rStyle w:val="FootnoteReference"/>
        </w:rPr>
        <w:footnoteReference w:id="735"/>
      </w:r>
    </w:p>
    <w:p>
      <w:pPr>
        <w:numPr>
          <w:ilvl w:val="0"/>
          <w:numId w:val="1166"/>
        </w:numPr>
        <w:pStyle w:val="Compact"/>
      </w:pPr>
      <w:r>
        <w:t xml:space="preserve">Vendor benchmark figures (LoCoMo 92.5, LongMemEval 94.4) are vendor-reported only</w:t>
      </w:r>
      <w:r>
        <w:t xml:space="preserve"> </w:t>
      </w:r>
      <w:r>
        <w:rPr>
          <w:rStyle w:val="ClaimLabel"/>
        </w:rPr>
        <w:t xml:space="preserve">R</w:t>
      </w:r>
      <w:r>
        <w:rPr>
          <w:rStyle w:val="FootnoteReference"/>
        </w:rPr>
        <w:footnoteReference w:id="736"/>
      </w:r>
    </w:p>
    <w:p>
      <w:pPr>
        <w:pStyle w:val="FirstParagraph"/>
      </w:pPr>
      <w:r>
        <w:rPr>
          <w:bCs/>
          <w:b/>
        </w:rPr>
        <w:t xml:space="preserve">Choose when</w:t>
      </w:r>
    </w:p>
    <w:p>
      <w:pPr>
        <w:numPr>
          <w:ilvl w:val="0"/>
          <w:numId w:val="1167"/>
        </w:numPr>
        <w:pStyle w:val="Compact"/>
      </w:pPr>
      <w:r>
        <w:t xml:space="preserve">You want a framework-neutral memory API self-hosted on your own approved vector store, behind your own policy gate</w:t>
      </w:r>
      <w:r>
        <w:t xml:space="preserve"> </w:t>
      </w:r>
      <w:r>
        <w:rPr>
          <w:rStyle w:val="ClaimLabel"/>
        </w:rPr>
        <w:t xml:space="preserve">AJ</w:t>
      </w:r>
    </w:p>
    <w:p>
      <w:pPr>
        <w:pStyle w:val="FirstParagraph"/>
      </w:pPr>
      <w:r>
        <w:rPr>
          <w:bCs/>
          <w:b/>
        </w:rPr>
        <w:t xml:space="preserve">Avoid when</w:t>
      </w:r>
    </w:p>
    <w:p>
      <w:pPr>
        <w:numPr>
          <w:ilvl w:val="0"/>
          <w:numId w:val="1168"/>
        </w:numPr>
        <w:pStyle w:val="Compact"/>
      </w:pPr>
      <w:r>
        <w:t xml:space="preserve">You would put regulated data on the managed Platform before a SOC 2 Type II report is obtained</w:t>
      </w:r>
      <w:r>
        <w:t xml:space="preserve"> </w:t>
      </w:r>
      <w:r>
        <w:rPr>
          <w:rStyle w:val="ClaimLabel"/>
        </w:rPr>
        <w:t xml:space="preserve">AJ</w:t>
      </w:r>
    </w:p>
    <w:p>
      <w:pPr>
        <w:numPr>
          <w:ilvl w:val="0"/>
          <w:numId w:val="1168"/>
        </w:numPr>
        <w:pStyle w:val="Compact"/>
      </w:pPr>
      <w:r>
        <w:t xml:space="preserve">You need a queryable graph in open source</w:t>
      </w:r>
      <w:r>
        <w:t xml:space="preserve"> </w:t>
      </w:r>
      <w:r>
        <w:rPr>
          <w:rStyle w:val="ClaimLabel"/>
        </w:rPr>
        <w:t xml:space="preserve">AJ</w:t>
      </w:r>
    </w:p>
    <w:p>
      <w:pPr>
        <w:pStyle w:val="FirstParagraph"/>
      </w:pPr>
      <w:r>
        <w:rPr>
          <w:bCs/>
          <w:b/>
        </w:rPr>
        <w:t xml:space="preserve">Nearest competitors:</w:t>
      </w:r>
      <w:r>
        <w:t xml:space="preserve"> </w:t>
      </w:r>
      <w:r>
        <w:t xml:space="preserve">L5-zep, L5-supermemory, L5-aws-agentcore-memory, L5-cognee</w:t>
      </w:r>
    </w:p>
    <w:p>
      <w:pPr>
        <w:pStyle w:val="BodyText"/>
      </w:pPr>
      <w:r>
        <w:rPr>
          <w:bCs/>
          <w:b/>
        </w:rPr>
        <w:t xml:space="preserve">Regulated-FS note.</w:t>
      </w:r>
      <w:r>
        <w:t xml:space="preserve"> </w:t>
      </w:r>
      <w:r>
        <w:t xml:space="preserve">Self-host the OSS server against the approved vector store, implement the subject index and write gate in a firm-owned wrapper, and obtain the SOC 2 report before any Platform use</w:t>
      </w:r>
      <w:r>
        <w:t xml:space="preserve"> </w:t>
      </w:r>
      <w:r>
        <w:rPr>
          <w:rStyle w:val="ClaimLabel"/>
        </w:rPr>
        <w:t xml:space="preserve">Rec</w:t>
      </w:r>
      <w:r>
        <w:t xml:space="preserve">.</w:t>
      </w:r>
    </w:p>
    <w:p>
      <w:pPr>
        <w:pStyle w:val="BodyText"/>
      </w:pPr>
      <w:r>
        <w:rPr>
          <w:bCs/>
          <w:b/>
        </w:rPr>
        <w:t xml:space="preserve">Facts (as of 2026-10-08)</w:t>
      </w:r>
    </w:p>
    <w:tbl>
      <w:tblPr>
        <w:tblStyle w:val="Table"/>
        <w:tblW w:type="pct" w:w="5000"/>
        <w:tblLook w:firstRow="1" w:lastRow="0" w:firstColumn="0" w:lastColumn="0" w:noHBand="0" w:noVBand="0" w:val="0020"/>
        <w:jc w:val="start"/>
      </w:tblPr>
      <w:tblGrid>
        <w:gridCol w:w="1485"/>
        <w:gridCol w:w="4290"/>
        <w:gridCol w:w="1320"/>
        <w:gridCol w:w="825"/>
      </w:tblGrid>
      <w:tr>
        <w:trPr>
          <w:tblHeader w:val="true"/>
        </w:trPr>
        <w:tc>
          <w:tcPr/>
          <w:p>
            <w:pPr>
              <w:pStyle w:val="Compact"/>
              <w:jc w:val="left"/>
            </w:pPr>
            <w:r>
              <w:t xml:space="preserve">Field</w:t>
            </w:r>
          </w:p>
        </w:tc>
        <w:tc>
          <w:tcPr/>
          <w:p>
            <w:pPr>
              <w:pStyle w:val="Compact"/>
              <w:jc w:val="left"/>
            </w:pPr>
            <w:r>
              <w:t xml:space="preserve">Value</w:t>
            </w:r>
          </w:p>
        </w:tc>
        <w:tc>
          <w:tcPr/>
          <w:p>
            <w:pPr>
              <w:pStyle w:val="Compact"/>
              <w:jc w:val="left"/>
            </w:pPr>
            <w:r>
              <w:t xml:space="preserve">Label</w:t>
            </w:r>
          </w:p>
        </w:tc>
        <w:tc>
          <w:tcPr/>
          <w:p>
            <w:pPr>
              <w:pStyle w:val="Compact"/>
              <w:jc w:val="left"/>
            </w:pPr>
            <w:r>
              <w:t xml:space="preserve">Sources</w:t>
            </w:r>
          </w:p>
        </w:tc>
      </w:tr>
      <w:tr>
        <w:tc>
          <w:tcPr/>
          <w:p>
            <w:pPr>
              <w:pStyle w:val="Compact"/>
              <w:jc w:val="left"/>
            </w:pPr>
            <w:r>
              <w:t xml:space="preserve">Company</w:t>
            </w:r>
          </w:p>
        </w:tc>
        <w:tc>
          <w:tcPr/>
          <w:p>
            <w:pPr>
              <w:pStyle w:val="Compact"/>
              <w:jc w:val="left"/>
            </w:pPr>
            <w:r>
              <w:t xml:space="preserve">Mem0 (start-up; Y Combinator S24 per project README)</w:t>
            </w:r>
          </w:p>
        </w:tc>
        <w:tc>
          <w:tcPr/>
          <w:p>
            <w:pPr>
              <w:pStyle w:val="Compact"/>
              <w:jc w:val="left"/>
            </w:pPr>
            <w:r>
              <w:t xml:space="preserve">Verified fact</w:t>
            </w:r>
          </w:p>
        </w:tc>
        <w:tc>
          <w:tcPr/>
          <w:p>
            <w:pPr>
              <w:pStyle w:val="Compact"/>
              <w:jc w:val="left"/>
            </w:pPr>
            <w:r>
              <w:t xml:space="preserve">A3-S001</w:t>
            </w:r>
          </w:p>
        </w:tc>
      </w:tr>
      <w:tr>
        <w:tc>
          <w:tcPr/>
          <w:p>
            <w:pPr>
              <w:pStyle w:val="Compact"/>
              <w:jc w:val="left"/>
            </w:pPr>
            <w:r>
              <w:t xml:space="preserve">Category</w:t>
            </w:r>
          </w:p>
        </w:tc>
        <w:tc>
          <w:tcPr/>
          <w:p>
            <w:pPr>
              <w:pStyle w:val="Compact"/>
              <w:jc w:val="left"/>
            </w:pPr>
            <w:r>
              <w:t xml:space="preserve">Agent memory layer: open-source memory library/server plus managed memory platform</w:t>
            </w:r>
          </w:p>
        </w:tc>
        <w:tc>
          <w:tcPr/>
          <w:p>
            <w:pPr>
              <w:pStyle w:val="Compact"/>
              <w:jc w:val="left"/>
            </w:pPr>
            <w:r>
              <w:t xml:space="preserve">Verified fact</w:t>
            </w:r>
          </w:p>
        </w:tc>
        <w:tc>
          <w:tcPr/>
          <w:p>
            <w:pPr>
              <w:pStyle w:val="Compact"/>
              <w:jc w:val="left"/>
            </w:pPr>
            <w:r>
              <w:t xml:space="preserve">A3-S001, A3-S080</w:t>
            </w:r>
          </w:p>
        </w:tc>
      </w:tr>
      <w:tr>
        <w:tc>
          <w:tcPr/>
          <w:p>
            <w:pPr>
              <w:pStyle w:val="Compact"/>
              <w:jc w:val="left"/>
            </w:pPr>
            <w:r>
              <w:t xml:space="preserve">Version / lineup</w:t>
            </w:r>
          </w:p>
        </w:tc>
        <w:tc>
          <w:tcPr/>
          <w:p>
            <w:pPr>
              <w:pStyle w:val="Compact"/>
              <w:jc w:val="left"/>
            </w:pPr>
            <w:r>
              <w:t xml:space="preserve">mem0ai 2.2.1 on PyPI (25 September 2026). New memory algorithm announced April 2026; open-source v2.0.0 (14 April 2026) introduced breaking changes</w:t>
            </w:r>
          </w:p>
        </w:tc>
        <w:tc>
          <w:tcPr/>
          <w:p>
            <w:pPr>
              <w:pStyle w:val="Compact"/>
              <w:jc w:val="left"/>
            </w:pPr>
            <w:r>
              <w:t xml:space="preserve">Verified fact</w:t>
            </w:r>
          </w:p>
        </w:tc>
        <w:tc>
          <w:tcPr/>
          <w:p>
            <w:pPr>
              <w:pStyle w:val="Compact"/>
              <w:jc w:val="left"/>
            </w:pPr>
            <w:r>
              <w:t xml:space="preserve">A3-S001, A3-S053, A3-S081</w:t>
            </w:r>
          </w:p>
        </w:tc>
      </w:tr>
      <w:tr>
        <w:tc>
          <w:tcPr/>
          <w:p>
            <w:pPr>
              <w:pStyle w:val="Compact"/>
              <w:jc w:val="left"/>
            </w:pPr>
            <w:r>
              <w:t xml:space="preserve">Licence</w:t>
            </w:r>
          </w:p>
        </w:tc>
        <w:tc>
          <w:tcPr/>
          <w:p>
            <w:pPr>
              <w:pStyle w:val="Compact"/>
              <w:jc w:val="left"/>
            </w:pPr>
            <w:r>
              <w:t xml:space="preserve">Open core: open-source SDK/server under Apache-2.0; Mem0 Platform is proprietary and carries Platform-only features (graph memory, memory decay, temporal reasoning, Dream consolidation, webhooks, memory export)</w:t>
            </w:r>
          </w:p>
        </w:tc>
        <w:tc>
          <w:tcPr/>
          <w:p>
            <w:pPr>
              <w:pStyle w:val="Compact"/>
              <w:jc w:val="left"/>
            </w:pPr>
            <w:r>
              <w:t xml:space="preserve">Verified fact</w:t>
            </w:r>
          </w:p>
        </w:tc>
        <w:tc>
          <w:tcPr/>
          <w:p>
            <w:pPr>
              <w:pStyle w:val="Compact"/>
              <w:jc w:val="left"/>
            </w:pPr>
            <w:r>
              <w:t xml:space="preserve">A3-S001, A3-S080</w:t>
            </w:r>
          </w:p>
        </w:tc>
      </w:tr>
      <w:tr>
        <w:tc>
          <w:tcPr/>
          <w:p>
            <w:pPr>
              <w:pStyle w:val="Compact"/>
              <w:jc w:val="left"/>
            </w:pPr>
            <w:r>
              <w:t xml:space="preserve">Status events</w:t>
            </w:r>
          </w:p>
        </w:tc>
        <w:tc>
          <w:tcPr/>
          <w:p>
            <w:pPr>
              <w:pStyle w:val="Compact"/>
              <w:jc w:val="left"/>
            </w:pPr>
            <w:r>
              <w:t xml:space="preserve">14 April 2026: open-source v2.0.0 removed all external graph store backends (Neo4j, Memgraph, Kuzu, Apache AGE, Neptune) and the enableGraph option (SDK changelog files the deletions under v2.0.1); OSS now uses built-in entity linking (a parallel entity collection that boosts retrieval, not a queryable graph); graph memory is a Platform-only feature; October 2025: US$24M combined seed and Series A led by Basis Set Ventures (Reported); mem0ai/mem0-mcp repository archived (status on 7 October 2026)</w:t>
            </w:r>
          </w:p>
        </w:tc>
        <w:tc>
          <w:tcPr/>
          <w:p>
            <w:pPr>
              <w:pStyle w:val="Compact"/>
              <w:jc w:val="left"/>
            </w:pPr>
            <w:r>
              <w:t xml:space="preserve">Verified fact</w:t>
            </w:r>
          </w:p>
        </w:tc>
        <w:tc>
          <w:tcPr/>
          <w:p>
            <w:pPr>
              <w:pStyle w:val="Compact"/>
              <w:jc w:val="left"/>
            </w:pPr>
            <w:r>
              <w:t xml:space="preserve">A3-S053, A3-S081, A3-S052, A3-S054, V1-S043, V1-S081</w:t>
            </w:r>
          </w:p>
        </w:tc>
      </w:tr>
      <w:tr>
        <w:tc>
          <w:tcPr/>
          <w:p>
            <w:pPr>
              <w:pStyle w:val="Compact"/>
              <w:jc w:val="left"/>
            </w:pPr>
            <w:r>
              <w:t xml:space="preserve">Strategic direction</w:t>
            </w:r>
          </w:p>
        </w:tc>
        <w:tc>
          <w:tcPr/>
          <w:p>
            <w:pPr>
              <w:pStyle w:val="Compact"/>
              <w:jc w:val="left"/>
            </w:pPr>
            <w:r>
              <w:t xml:space="preserve">April 2026 algorithm: single-pass ADD-only extraction, entity linking, multi-signal retrieval (semantic + BM25 + entity) and temporal reasoning; vendor-reported LoCoMo 92.5 and LongMemEval 94.4 on the managed platform. Graph memory moved to Platform-only. Skills for coding agents include an</w:t>
            </w:r>
            <w:r>
              <w:t xml:space="preserve"> </w:t>
            </w:r>
            <w:r>
              <w:t xml:space="preserve">‘</w:t>
            </w:r>
            <w:r>
              <w:t xml:space="preserve">OSS-to-Platform</w:t>
            </w:r>
            <w:r>
              <w:t xml:space="preserve">’</w:t>
            </w:r>
            <w:r>
              <w:t xml:space="preserve"> </w:t>
            </w:r>
            <w:r>
              <w:t xml:space="preserve">migration skill</w:t>
            </w:r>
          </w:p>
        </w:tc>
        <w:tc>
          <w:tcPr/>
          <w:p>
            <w:pPr>
              <w:pStyle w:val="Compact"/>
              <w:jc w:val="left"/>
            </w:pPr>
            <w:r>
              <w:t xml:space="preserve">Verified fact</w:t>
            </w:r>
          </w:p>
        </w:tc>
        <w:tc>
          <w:tcPr/>
          <w:p>
            <w:pPr>
              <w:pStyle w:val="Compact"/>
              <w:jc w:val="left"/>
            </w:pPr>
            <w:r>
              <w:t xml:space="preserve">A3-S001, A3-S081</w:t>
            </w:r>
          </w:p>
        </w:tc>
      </w:tr>
      <w:tr>
        <w:tc>
          <w:tcPr/>
          <w:p>
            <w:pPr>
              <w:pStyle w:val="Compact"/>
              <w:jc w:val="left"/>
            </w:pPr>
            <w:r>
              <w:t xml:space="preserve">What it does</w:t>
            </w:r>
          </w:p>
        </w:tc>
        <w:tc>
          <w:tcPr/>
          <w:p>
            <w:pPr>
              <w:pStyle w:val="Compact"/>
              <w:jc w:val="left"/>
            </w:pPr>
            <w:r>
              <w:t xml:space="preserve">Extracts facts from conversations and agent actions, stores them as memories scoped by user_id, agent_id and run_id, and retrieves them with entity-aware ranking. Core operations add, search, get, update, delete, delete_all and per-memory history exist in both the open-source Memory class and the hosted MemoryClient</w:t>
            </w:r>
          </w:p>
        </w:tc>
        <w:tc>
          <w:tcPr/>
          <w:p>
            <w:pPr>
              <w:pStyle w:val="Compact"/>
              <w:jc w:val="left"/>
            </w:pPr>
            <w:r>
              <w:t xml:space="preserve">Verified fact</w:t>
            </w:r>
          </w:p>
        </w:tc>
        <w:tc>
          <w:tcPr/>
          <w:p>
            <w:pPr>
              <w:pStyle w:val="Compact"/>
              <w:jc w:val="left"/>
            </w:pPr>
            <w:r>
              <w:t xml:space="preserve">A3-S080</w:t>
            </w:r>
          </w:p>
        </w:tc>
      </w:tr>
      <w:tr>
        <w:tc>
          <w:tcPr/>
          <w:p>
            <w:pPr>
              <w:pStyle w:val="Compact"/>
              <w:jc w:val="left"/>
            </w:pPr>
            <w:r>
              <w:t xml:space="preserve">Stack position</w:t>
            </w:r>
          </w:p>
        </w:tc>
        <w:tc>
          <w:tcPr/>
          <w:p>
            <w:pPr>
              <w:pStyle w:val="Compact"/>
              <w:jc w:val="left"/>
            </w:pPr>
            <w:r>
              <w:t xml:space="preserve">Memory service sitting on top of retrieval infrastructure: stores facts in a SQL database, embeddings in a third-party vector database and entities in an entity store; the open-source build defaults to a local Qdrant instance</w:t>
            </w:r>
          </w:p>
        </w:tc>
        <w:tc>
          <w:tcPr/>
          <w:p>
            <w:pPr>
              <w:pStyle w:val="Compact"/>
              <w:jc w:val="left"/>
            </w:pPr>
            <w:r>
              <w:t xml:space="preserve">Verified fact</w:t>
            </w:r>
          </w:p>
        </w:tc>
        <w:tc>
          <w:tcPr/>
          <w:p>
            <w:pPr>
              <w:pStyle w:val="Compact"/>
              <w:jc w:val="left"/>
            </w:pPr>
            <w:r>
              <w:t xml:space="preserve">A3-S053, A3-S080</w:t>
            </w:r>
          </w:p>
        </w:tc>
      </w:tr>
      <w:tr>
        <w:tc>
          <w:tcPr/>
          <w:p>
            <w:pPr>
              <w:pStyle w:val="Compact"/>
              <w:jc w:val="left"/>
            </w:pPr>
            <w:r>
              <w:t xml:space="preserve">Integration</w:t>
            </w:r>
          </w:p>
        </w:tc>
        <w:tc>
          <w:tcPr/>
          <w:p>
            <w:pPr>
              <w:pStyle w:val="Compact"/>
              <w:jc w:val="left"/>
            </w:pPr>
            <w:r>
              <w:t xml:space="preserve">Python and JavaScript SDKs plus REST API (self-hosted server or hosted); integrations documented for LangGraph and CrewAI; vector store support includes Qdrant, Chroma, PGVector, Pinecone, Oracle, Milvus, MongoDB, Redis, Valkey, Elasticsearch, OpenSearch, Supabase, Upstash and Azure (Python)</w:t>
            </w:r>
          </w:p>
        </w:tc>
        <w:tc>
          <w:tcPr/>
          <w:p>
            <w:pPr>
              <w:pStyle w:val="Compact"/>
              <w:jc w:val="left"/>
            </w:pPr>
            <w:r>
              <w:t xml:space="preserve">Verified fact</w:t>
            </w:r>
          </w:p>
        </w:tc>
        <w:tc>
          <w:tcPr/>
          <w:p>
            <w:pPr>
              <w:pStyle w:val="Compact"/>
              <w:jc w:val="left"/>
            </w:pPr>
            <w:r>
              <w:t xml:space="preserve">A3-S001, A3-S080, A3-S053</w:t>
            </w:r>
          </w:p>
        </w:tc>
      </w:tr>
      <w:tr>
        <w:tc>
          <w:tcPr/>
          <w:p>
            <w:pPr>
              <w:pStyle w:val="Compact"/>
              <w:jc w:val="left"/>
            </w:pPr>
            <w:r>
              <w:t xml:space="preserve">Dependencies</w:t>
            </w:r>
          </w:p>
        </w:tc>
        <w:tc>
          <w:tcPr/>
          <w:p>
            <w:pPr>
              <w:pStyle w:val="Compact"/>
              <w:jc w:val="left"/>
            </w:pPr>
            <w:r>
              <w:t xml:space="preserve">Requires an LLM and an embedder; Python package depends on openai, qdrant-client and sqlalchemy; you provision and pay for the vector store, LLM and embedder when self-hosting</w:t>
            </w:r>
          </w:p>
        </w:tc>
        <w:tc>
          <w:tcPr/>
          <w:p>
            <w:pPr>
              <w:pStyle w:val="Compact"/>
              <w:jc w:val="left"/>
            </w:pPr>
            <w:r>
              <w:t xml:space="preserve">Verified fact</w:t>
            </w:r>
          </w:p>
        </w:tc>
        <w:tc>
          <w:tcPr/>
          <w:p>
            <w:pPr>
              <w:pStyle w:val="Compact"/>
              <w:jc w:val="left"/>
            </w:pPr>
            <w:r>
              <w:t xml:space="preserve">A3-S001, A3-S080</w:t>
            </w:r>
          </w:p>
        </w:tc>
      </w:tr>
      <w:tr>
        <w:tc>
          <w:tcPr/>
          <w:p>
            <w:pPr>
              <w:pStyle w:val="Compact"/>
              <w:jc w:val="left"/>
            </w:pPr>
            <w:r>
              <w:t xml:space="preserve">Certifications</w:t>
            </w:r>
          </w:p>
        </w:tc>
        <w:tc>
          <w:tcPr/>
          <w:p>
            <w:pPr>
              <w:pStyle w:val="Compact"/>
              <w:jc w:val="left"/>
            </w:pPr>
            <w:r>
              <w:t xml:space="preserve">Vendor pages conflict: SOC 2 Type I (homepage/About),</w:t>
            </w:r>
            <w:r>
              <w:t xml:space="preserve"> </w:t>
            </w:r>
            <w:r>
              <w:t xml:space="preserve">‘</w:t>
            </w:r>
            <w:r>
              <w:t xml:space="preserve">Type II audit in progress</w:t>
            </w:r>
            <w:r>
              <w:t xml:space="preserve">’</w:t>
            </w:r>
            <w:r>
              <w:t xml:space="preserve"> </w:t>
            </w:r>
            <w:r>
              <w:t xml:space="preserve">(one article) and</w:t>
            </w:r>
            <w:r>
              <w:t xml:space="preserve"> </w:t>
            </w:r>
            <w:r>
              <w:t xml:space="preserve">‘</w:t>
            </w:r>
            <w:r>
              <w:t xml:space="preserve">Type II for Enterprise</w:t>
            </w:r>
            <w:r>
              <w:t xml:space="preserve">’</w:t>
            </w:r>
            <w:r>
              <w:t xml:space="preserve"> </w:t>
            </w:r>
            <w:r>
              <w:t xml:space="preserve">(one guide); HIPAA claimed; Trust Center report not seen</w:t>
            </w:r>
          </w:p>
        </w:tc>
        <w:tc>
          <w:tcPr/>
          <w:p>
            <w:pPr>
              <w:pStyle w:val="Compact"/>
              <w:jc w:val="left"/>
            </w:pPr>
            <w:r>
              <w:t xml:space="preserve">Verified fact</w:t>
            </w:r>
          </w:p>
        </w:tc>
        <w:tc>
          <w:tcPr/>
          <w:p>
            <w:pPr>
              <w:pStyle w:val="Compact"/>
              <w:jc w:val="left"/>
            </w:pPr>
            <w:r>
              <w:t xml:space="preserve">A3-S051, A3-S106</w:t>
            </w:r>
          </w:p>
        </w:tc>
      </w:tr>
      <w:tr>
        <w:tc>
          <w:tcPr/>
          <w:p>
            <w:pPr>
              <w:pStyle w:val="Compact"/>
              <w:jc w:val="left"/>
            </w:pPr>
            <w:r>
              <w:t xml:space="preserve">GDPR / residency</w:t>
            </w:r>
          </w:p>
        </w:tc>
        <w:tc>
          <w:tcPr/>
          <w:p>
            <w:pPr>
              <w:pStyle w:val="Compact"/>
              <w:jc w:val="left"/>
            </w:pPr>
            <w:r>
              <w:t xml:space="preserve">Vendor states GDPR compliant; no managed EU region found; residency addressed through self-hosted/private-cloud/air-gapped deployment</w:t>
            </w:r>
          </w:p>
        </w:tc>
        <w:tc>
          <w:tcPr/>
          <w:p>
            <w:pPr>
              <w:pStyle w:val="Compact"/>
              <w:jc w:val="left"/>
            </w:pPr>
            <w:r>
              <w:t xml:space="preserve">Verified fact</w:t>
            </w:r>
          </w:p>
        </w:tc>
        <w:tc>
          <w:tcPr/>
          <w:p>
            <w:pPr>
              <w:pStyle w:val="Compact"/>
              <w:jc w:val="left"/>
            </w:pPr>
            <w:r>
              <w:t xml:space="preserve">A3-S051, A3-S106</w:t>
            </w:r>
          </w:p>
        </w:tc>
      </w:tr>
      <w:tr>
        <w:tc>
          <w:tcPr/>
          <w:p>
            <w:pPr>
              <w:pStyle w:val="Compact"/>
              <w:jc w:val="left"/>
            </w:pPr>
            <w:r>
              <w:t xml:space="preserve">Security features</w:t>
            </w:r>
          </w:p>
        </w:tc>
        <w:tc>
          <w:tcPr/>
          <w:p>
            <w:pPr>
              <w:pStyle w:val="Compact"/>
              <w:jc w:val="left"/>
            </w:pPr>
            <w:r>
              <w:t xml:space="preserve">Vendor states BYOK encryption across deployment models; self-hosted server has authentication on by default</w:t>
            </w:r>
          </w:p>
        </w:tc>
        <w:tc>
          <w:tcPr/>
          <w:p>
            <w:pPr>
              <w:pStyle w:val="Compact"/>
              <w:jc w:val="left"/>
            </w:pPr>
            <w:r>
              <w:t xml:space="preserve">Verified fact</w:t>
            </w:r>
          </w:p>
        </w:tc>
        <w:tc>
          <w:tcPr/>
          <w:p>
            <w:pPr>
              <w:pStyle w:val="Compact"/>
              <w:jc w:val="left"/>
            </w:pPr>
            <w:r>
              <w:t xml:space="preserve">A3-S051, A3-S001</w:t>
            </w:r>
          </w:p>
        </w:tc>
      </w:tr>
      <w:tr>
        <w:tc>
          <w:tcPr/>
          <w:p>
            <w:pPr>
              <w:pStyle w:val="Compact"/>
              <w:jc w:val="left"/>
            </w:pPr>
            <w:r>
              <w:t xml:space="preserve">Access controls</w:t>
            </w:r>
          </w:p>
        </w:tc>
        <w:tc>
          <w:tcPr/>
          <w:p>
            <w:pPr>
              <w:pStyle w:val="Compact"/>
              <w:jc w:val="left"/>
            </w:pPr>
            <w:r>
              <w:t xml:space="preserve">Enterprise plan lists SSO and audit logs; Platform has multi-organisation/multi-project structure with member roles and a project-wide event feed (add/search/delete events) usable for audit; open source has no org/project concept and only per-memory history</w:t>
            </w:r>
          </w:p>
        </w:tc>
        <w:tc>
          <w:tcPr/>
          <w:p>
            <w:pPr>
              <w:pStyle w:val="Compact"/>
              <w:jc w:val="left"/>
            </w:pPr>
            <w:r>
              <w:t xml:space="preserve">Verified fact</w:t>
            </w:r>
          </w:p>
        </w:tc>
        <w:tc>
          <w:tcPr/>
          <w:p>
            <w:pPr>
              <w:pStyle w:val="Compact"/>
              <w:jc w:val="left"/>
            </w:pPr>
            <w:r>
              <w:t xml:space="preserve">A3-S049, A3-S080</w:t>
            </w:r>
          </w:p>
        </w:tc>
      </w:tr>
      <w:tr>
        <w:tc>
          <w:tcPr/>
          <w:p>
            <w:pPr>
              <w:pStyle w:val="Compact"/>
              <w:jc w:val="left"/>
            </w:pPr>
            <w:r>
              <w:t xml:space="preserve">Enterprise support</w:t>
            </w:r>
          </w:p>
        </w:tc>
        <w:tc>
          <w:tcPr/>
          <w:p>
            <w:pPr>
              <w:pStyle w:val="Compact"/>
              <w:jc w:val="left"/>
            </w:pPr>
            <w:r>
              <w:t xml:space="preserve">Enterprise plan with SLA support; Pro plan includes private Slack support</w:t>
            </w:r>
          </w:p>
        </w:tc>
        <w:tc>
          <w:tcPr/>
          <w:p>
            <w:pPr>
              <w:pStyle w:val="Compact"/>
              <w:jc w:val="left"/>
            </w:pPr>
            <w:r>
              <w:t xml:space="preserve">Verified fact</w:t>
            </w:r>
          </w:p>
        </w:tc>
        <w:tc>
          <w:tcPr/>
          <w:p>
            <w:pPr>
              <w:pStyle w:val="Compact"/>
              <w:jc w:val="left"/>
            </w:pPr>
            <w:r>
              <w:t xml:space="preserve">A3-S049</w:t>
            </w:r>
          </w:p>
        </w:tc>
      </w:tr>
      <w:tr>
        <w:tc>
          <w:tcPr/>
          <w:p>
            <w:pPr>
              <w:pStyle w:val="Compact"/>
              <w:jc w:val="left"/>
            </w:pPr>
            <w:r>
              <w:t xml:space="preserve">Pricing</w:t>
            </w:r>
          </w:p>
        </w:tc>
        <w:tc>
          <w:tcPr/>
          <w:p>
            <w:pPr>
              <w:pStyle w:val="Compact"/>
              <w:jc w:val="left"/>
            </w:pPr>
            <w:r>
              <w:t xml:space="preserve">Hobby free (10,000 adds / 1,000 retrievals per month); Starter US$19 per month; Pro US$249 per month (graph memory, Dream); Enterprise custom (on-prem, SSO, audit logs, SLA)</w:t>
            </w:r>
          </w:p>
        </w:tc>
        <w:tc>
          <w:tcPr/>
          <w:p>
            <w:pPr>
              <w:pStyle w:val="Compact"/>
              <w:jc w:val="left"/>
            </w:pPr>
            <w:r>
              <w:t xml:space="preserve">Verified fact</w:t>
            </w:r>
          </w:p>
        </w:tc>
        <w:tc>
          <w:tcPr/>
          <w:p>
            <w:pPr>
              <w:pStyle w:val="Compact"/>
              <w:jc w:val="left"/>
            </w:pPr>
            <w:r>
              <w:t xml:space="preserve">A3-S049</w:t>
            </w:r>
          </w:p>
        </w:tc>
      </w:tr>
      <w:tr>
        <w:tc>
          <w:tcPr/>
          <w:p>
            <w:pPr>
              <w:pStyle w:val="Compact"/>
              <w:jc w:val="left"/>
            </w:pPr>
            <w:r>
              <w:t xml:space="preserve">Infrastructure cost</w:t>
            </w:r>
          </w:p>
        </w:tc>
        <w:tc>
          <w:tcPr/>
          <w:p>
            <w:pPr>
              <w:pStyle w:val="Compact"/>
              <w:jc w:val="left"/>
            </w:pPr>
            <w:r>
              <w:t xml:space="preserve">Self-hosting cost is driven by the vector store, LLM calls for extraction and the embedder, all provisioned and paid for by the customer</w:t>
            </w:r>
          </w:p>
        </w:tc>
        <w:tc>
          <w:tcPr/>
          <w:p>
            <w:pPr>
              <w:pStyle w:val="Compact"/>
              <w:jc w:val="left"/>
            </w:pPr>
            <w:r>
              <w:t xml:space="preserve">Verified fact</w:t>
            </w:r>
          </w:p>
        </w:tc>
        <w:tc>
          <w:tcPr/>
          <w:p>
            <w:pPr>
              <w:pStyle w:val="Compact"/>
              <w:jc w:val="left"/>
            </w:pPr>
            <w:r>
              <w:t xml:space="preserve">A3-S080</w:t>
            </w:r>
          </w:p>
        </w:tc>
      </w:tr>
      <w:tr>
        <w:tc>
          <w:tcPr/>
          <w:p>
            <w:pPr>
              <w:pStyle w:val="Compact"/>
              <w:jc w:val="left"/>
            </w:pPr>
            <w:r>
              <w:t xml:space="preserve">Ecosystem</w:t>
            </w:r>
          </w:p>
        </w:tc>
        <w:tc>
          <w:tcPr/>
          <w:p>
            <w:pPr>
              <w:pStyle w:val="Compact"/>
              <w:jc w:val="left"/>
            </w:pPr>
            <w:r>
              <w:t xml:space="preserve">Broad vector-store support (14+ in Python); TypeScript SDK adds Amazon S3 Vectors and Neptune Analytics; LangGraph and CrewAI integrations</w:t>
            </w:r>
          </w:p>
        </w:tc>
        <w:tc>
          <w:tcPr/>
          <w:p>
            <w:pPr>
              <w:pStyle w:val="Compact"/>
              <w:jc w:val="left"/>
            </w:pPr>
            <w:r>
              <w:t xml:space="preserve">Verified fact</w:t>
            </w:r>
          </w:p>
        </w:tc>
        <w:tc>
          <w:tcPr/>
          <w:p>
            <w:pPr>
              <w:pStyle w:val="Compact"/>
              <w:jc w:val="left"/>
            </w:pPr>
            <w:r>
              <w:t xml:space="preserve">A3-S053, A3-S001</w:t>
            </w:r>
          </w:p>
        </w:tc>
      </w:tr>
      <w:tr>
        <w:tc>
          <w:tcPr/>
          <w:p>
            <w:pPr>
              <w:pStyle w:val="Compact"/>
              <w:jc w:val="left"/>
            </w:pPr>
            <w:r>
              <w:t xml:space="preserve">Adoption signals</w:t>
            </w:r>
          </w:p>
        </w:tc>
        <w:tc>
          <w:tcPr/>
          <w:p>
            <w:pPr>
              <w:pStyle w:val="Compact"/>
              <w:jc w:val="left"/>
            </w:pPr>
            <w:r>
              <w:t xml:space="preserve">66,777 GitHub stars (7 October 2026). Reported at Series A (October 2025): 14M downloads, API calls grew from 35M (Q1) to 186M (Q3 2025)</w:t>
            </w:r>
          </w:p>
        </w:tc>
        <w:tc>
          <w:tcPr/>
          <w:p>
            <w:pPr>
              <w:pStyle w:val="Compact"/>
              <w:jc w:val="left"/>
            </w:pPr>
            <w:r>
              <w:t xml:space="preserve">Verified fact</w:t>
            </w:r>
          </w:p>
        </w:tc>
        <w:tc>
          <w:tcPr/>
          <w:p>
            <w:pPr>
              <w:pStyle w:val="Compact"/>
              <w:jc w:val="left"/>
            </w:pPr>
            <w:r>
              <w:t xml:space="preserve">A3-S054, A3-S052</w:t>
            </w:r>
          </w:p>
        </w:tc>
      </w:tr>
      <w:tr>
        <w:tc>
          <w:tcPr/>
          <w:p>
            <w:pPr>
              <w:pStyle w:val="Compact"/>
              <w:jc w:val="left"/>
            </w:pPr>
            <w:r>
              <w:t xml:space="preserve">Maturity</w:t>
            </w:r>
          </w:p>
        </w:tc>
        <w:tc>
          <w:tcPr/>
          <w:p>
            <w:pPr>
              <w:pStyle w:val="Compact"/>
              <w:jc w:val="left"/>
            </w:pPr>
            <w:r>
              <w:t xml:space="preserve">First PyPI release 18 May 2024; 192 releases; v2.x with frequent releases (eight between 4 August and 25 September 2026)</w:t>
            </w:r>
          </w:p>
        </w:tc>
        <w:tc>
          <w:tcPr/>
          <w:p>
            <w:pPr>
              <w:pStyle w:val="Compact"/>
              <w:jc w:val="left"/>
            </w:pPr>
            <w:r>
              <w:t xml:space="preserve">Verified fact</w:t>
            </w:r>
          </w:p>
        </w:tc>
        <w:tc>
          <w:tcPr/>
          <w:p>
            <w:pPr>
              <w:pStyle w:val="Compact"/>
              <w:jc w:val="left"/>
            </w:pPr>
            <w:r>
              <w:t xml:space="preserve">A3-S001</w:t>
            </w:r>
          </w:p>
        </w:tc>
      </w:tr>
      <w:tr>
        <w:tc>
          <w:tcPr/>
          <w:p>
            <w:pPr>
              <w:pStyle w:val="Compact"/>
              <w:jc w:val="left"/>
            </w:pPr>
            <w:r>
              <w:t xml:space="preserve">Deployment</w:t>
            </w:r>
          </w:p>
        </w:tc>
        <w:tc>
          <w:tcPr/>
          <w:p>
            <w:pPr>
              <w:pStyle w:val="Compact"/>
              <w:jc w:val="left"/>
            </w:pPr>
            <w:r>
              <w:t xml:space="preserve">saas: Yes; managed_cloud: Yes (vendor states private Kubernetes deployment inside customer VPC); vpc_byoc: Yes (vendor claim); private_cloud: Yes (vendor claim: private Kubernetes); self_hosted: Yes (docker compose server; library); on_prem: Yes (Enterprise on-prem; vendor also claims air-gapped)</w:t>
            </w:r>
          </w:p>
        </w:tc>
        <w:tc>
          <w:tcPr/>
          <w:p>
            <w:pPr>
              <w:pStyle w:val="Compact"/>
            </w:pPr>
          </w:p>
        </w:tc>
        <w:tc>
          <w:tcPr/>
          <w:p>
            <w:pPr>
              <w:pStyle w:val="Compact"/>
            </w:pPr>
          </w:p>
        </w:tc>
      </w:tr>
    </w:tbl>
    <w:bookmarkEnd w:id="737"/>
    <w:bookmarkStart w:id="749" w:name="cognee-l5-cognee"/>
    <w:p>
      <w:pPr>
        <w:pStyle w:val="Heading2"/>
      </w:pPr>
      <w:r>
        <w:t xml:space="preserve">Cognee (</w:t>
      </w:r>
      <w:r>
        <w:rPr>
          <w:rStyle w:val="VerbatimChar"/>
        </w:rPr>
        <w:t xml:space="preserve">L5-cognee</w:t>
      </w:r>
      <w:r>
        <w:t xml:space="preserve">)</w:t>
      </w:r>
    </w:p>
    <w:p>
      <w:pPr>
        <w:pStyle w:val="FirstParagraph"/>
      </w:pPr>
      <w:r>
        <w:rPr>
          <w:bCs/>
          <w:b/>
        </w:rPr>
        <w:t xml:space="preserve">Tier:</w:t>
      </w:r>
      <w:r>
        <w:t xml:space="preserve"> </w:t>
      </w:r>
      <w:r>
        <w:t xml:space="preserve">Tactical ·</w:t>
      </w:r>
      <w:r>
        <w:t xml:space="preserve"> </w:t>
      </w:r>
      <w:r>
        <w:rPr>
          <w:bCs/>
          <w:b/>
        </w:rPr>
        <w:t xml:space="preserve">Flags:</w:t>
      </w:r>
      <w:r>
        <w:t xml:space="preserve"> </w:t>
      </w:r>
      <w:r>
        <w:t xml:space="preserve">none ·</w:t>
      </w:r>
      <w:r>
        <w:t xml:space="preserve"> </w:t>
      </w:r>
      <w:r>
        <w:rPr>
          <w:bCs/>
          <w:b/>
        </w:rPr>
        <w:t xml:space="preserve">Original graphic label:</w:t>
      </w:r>
      <w:r>
        <w:t xml:space="preserve"> </w:t>
      </w:r>
      <w:r>
        <w:t xml:space="preserve">Cognee – knowledge graphs</w:t>
      </w:r>
    </w:p>
    <w:p>
      <w:pPr>
        <w:pStyle w:val="BodyText"/>
      </w:pPr>
      <w:r>
        <w:rPr>
          <w:iCs/>
          <w:i/>
        </w:rPr>
        <w:t xml:space="preserve">Rationale:</w:t>
      </w:r>
      <w:r>
        <w:t xml:space="preserve"> </w:t>
      </w:r>
      <w:r>
        <w:t xml:space="preserve">Credible in-estate graph-plus-vector memory with strong deployment options; no certification and seed-stage funding limit it to scoped, self-hosted use</w:t>
      </w:r>
      <w:r>
        <w:t xml:space="preserve"> </w:t>
      </w:r>
      <w:r>
        <w:rPr>
          <w:rStyle w:val="ClaimLabel"/>
        </w:rPr>
        <w:t xml:space="preserve">AJ</w:t>
      </w:r>
      <w:r>
        <w:t xml:space="preserve">.</w:t>
      </w:r>
    </w:p>
    <w:tbl>
      <w:tblPr>
        <w:tblStyle w:val="Table"/>
        <w:tblW w:type="pct" w:w="5000"/>
        <w:tblLook w:firstRow="1" w:lastRow="0" w:firstColumn="0" w:lastColumn="0" w:noHBand="0" w:noVBand="0" w:val="0020"/>
        <w:jc w:val="start"/>
      </w:tblPr>
      <w:tblGrid>
        <w:gridCol w:w="1545"/>
        <w:gridCol w:w="579"/>
        <w:gridCol w:w="5795"/>
      </w:tblGrid>
      <w:tr>
        <w:trPr>
          <w:tblHeader w:val="true"/>
        </w:trPr>
        <w:tc>
          <w:tcPr/>
          <w:p>
            <w:pPr>
              <w:pStyle w:val="Compact"/>
              <w:jc w:val="left"/>
            </w:pPr>
            <w:r>
              <w:t xml:space="preserve">Criterion</w:t>
            </w:r>
          </w:p>
        </w:tc>
        <w:tc>
          <w:tcPr/>
          <w:p>
            <w:pPr>
              <w:pStyle w:val="Compact"/>
              <w:jc w:val="right"/>
            </w:pPr>
            <w:r>
              <w:t xml:space="preserve">Score</w:t>
            </w:r>
          </w:p>
        </w:tc>
        <w:tc>
          <w:tcPr/>
          <w:p>
            <w:pPr>
              <w:pStyle w:val="Compact"/>
              <w:jc w:val="left"/>
            </w:pPr>
            <w:r>
              <w:t xml:space="preserve">Rationale</w:t>
            </w:r>
          </w:p>
        </w:tc>
      </w:tr>
      <w:tr>
        <w:tc>
          <w:tcPr/>
          <w:p>
            <w:pPr>
              <w:pStyle w:val="Compact"/>
              <w:jc w:val="left"/>
            </w:pPr>
            <w:r>
              <w:t xml:space="preserve">Technical</w:t>
            </w:r>
          </w:p>
        </w:tc>
        <w:tc>
          <w:tcPr/>
          <w:p>
            <w:pPr>
              <w:pStyle w:val="Compact"/>
              <w:jc w:val="right"/>
            </w:pPr>
            <w:r>
              <w:t xml:space="preserve">4</w:t>
            </w:r>
          </w:p>
        </w:tc>
        <w:tc>
          <w:tcPr/>
          <w:p>
            <w:pPr>
              <w:pStyle w:val="Compact"/>
              <w:jc w:val="left"/>
            </w:pPr>
            <w:r>
              <w:t xml:space="preserve">Graph + vector memory with remember/recall/improve/forget and local extraction</w:t>
            </w:r>
          </w:p>
        </w:tc>
      </w:tr>
      <w:tr>
        <w:tc>
          <w:tcPr/>
          <w:p>
            <w:pPr>
              <w:pStyle w:val="Compact"/>
              <w:jc w:val="left"/>
            </w:pPr>
            <w:r>
              <w:t xml:space="preserve">Enterprise readiness</w:t>
            </w:r>
          </w:p>
        </w:tc>
        <w:tc>
          <w:tcPr/>
          <w:p>
            <w:pPr>
              <w:pStyle w:val="Compact"/>
              <w:jc w:val="right"/>
            </w:pPr>
            <w:r>
              <w:t xml:space="preserve">3</w:t>
            </w:r>
          </w:p>
        </w:tc>
        <w:tc>
          <w:tcPr/>
          <w:p>
            <w:pPr>
              <w:pStyle w:val="Compact"/>
              <w:jc w:val="left"/>
            </w:pPr>
            <w:r>
              <w:t xml:space="preserve">Rule 2 basis: authenticated multi-tenant users, Enterprise SSO, SLAs and a dedicated support engineer (A3-S005, A3-S095); one verified control gives 3 under rule 7 (CP3 review A, consistent with LlamaParse and Browserbase); RBAC and audit logs NPV</w:t>
            </w:r>
          </w:p>
        </w:tc>
      </w:tr>
      <w:tr>
        <w:tc>
          <w:tcPr/>
          <w:p>
            <w:pPr>
              <w:pStyle w:val="Compact"/>
              <w:jc w:val="left"/>
            </w:pPr>
            <w:r>
              <w:t xml:space="preserve">Security and compliance</w:t>
            </w:r>
          </w:p>
        </w:tc>
        <w:tc>
          <w:tcPr/>
          <w:p>
            <w:pPr>
              <w:pStyle w:val="Compact"/>
              <w:jc w:val="right"/>
            </w:pPr>
            <w:r>
              <w:t xml:space="preserve">2</w:t>
            </w:r>
          </w:p>
        </w:tc>
        <w:tc>
          <w:tcPr/>
          <w:p>
            <w:pPr>
              <w:pStyle w:val="Compact"/>
              <w:jc w:val="left"/>
            </w:pPr>
            <w:r>
              <w:t xml:space="preserve">Scored as self-hosted software (vendor-recommended) under rule 2: encryption, private mode, air-gap verified; security policy and signed releases NPV. Cognee Cloud alone would score 1 (no certification by vendor statement)</w:t>
            </w:r>
          </w:p>
        </w:tc>
      </w:tr>
      <w:tr>
        <w:tc>
          <w:tcPr/>
          <w:p>
            <w:pPr>
              <w:pStyle w:val="Compact"/>
              <w:jc w:val="left"/>
            </w:pPr>
            <w:r>
              <w:t xml:space="preserve">Deployment flexibility</w:t>
            </w:r>
          </w:p>
        </w:tc>
        <w:tc>
          <w:tcPr/>
          <w:p>
            <w:pPr>
              <w:pStyle w:val="Compact"/>
              <w:jc w:val="right"/>
            </w:pPr>
            <w:r>
              <w:t xml:space="preserve">5</w:t>
            </w:r>
          </w:p>
        </w:tc>
        <w:tc>
          <w:tcPr/>
          <w:p>
            <w:pPr>
              <w:pStyle w:val="Compact"/>
              <w:jc w:val="left"/>
            </w:pPr>
            <w:r>
              <w:t xml:space="preserve">Cloud, BYOC, self-host, on-prem and air-gap</w:t>
            </w:r>
          </w:p>
        </w:tc>
      </w:tr>
      <w:tr>
        <w:tc>
          <w:tcPr/>
          <w:p>
            <w:pPr>
              <w:pStyle w:val="Compact"/>
              <w:jc w:val="left"/>
            </w:pPr>
            <w:r>
              <w:t xml:space="preserve">Ecosystem</w:t>
            </w:r>
          </w:p>
        </w:tc>
        <w:tc>
          <w:tcPr/>
          <w:p>
            <w:pPr>
              <w:pStyle w:val="Compact"/>
              <w:jc w:val="right"/>
            </w:pPr>
            <w:r>
              <w:t xml:space="preserve">3</w:t>
            </w:r>
          </w:p>
        </w:tc>
        <w:tc>
          <w:tcPr/>
          <w:p>
            <w:pPr>
              <w:pStyle w:val="Compact"/>
              <w:jc w:val="left"/>
            </w:pPr>
            <w:r>
              <w:t xml:space="preserve">MCP server and community plugins; 31,561 stars; optional standard graph and vector stores</w:t>
            </w:r>
          </w:p>
        </w:tc>
      </w:tr>
      <w:tr>
        <w:tc>
          <w:tcPr/>
          <w:p>
            <w:pPr>
              <w:pStyle w:val="Compact"/>
              <w:jc w:val="left"/>
            </w:pPr>
            <w:r>
              <w:t xml:space="preserve">Reliability and maturity</w:t>
            </w:r>
          </w:p>
        </w:tc>
        <w:tc>
          <w:tcPr/>
          <w:p>
            <w:pPr>
              <w:pStyle w:val="Compact"/>
              <w:jc w:val="right"/>
            </w:pPr>
            <w:r>
              <w:t xml:space="preserve">3</w:t>
            </w:r>
          </w:p>
        </w:tc>
        <w:tc>
          <w:tcPr/>
          <w:p>
            <w:pPr>
              <w:pStyle w:val="Compact"/>
              <w:jc w:val="left"/>
            </w:pPr>
            <w:r>
              <w:t xml:space="preserve">Post-1.0 (1.6.x), 178 releases since March 2024; seed-stage company; no acquisition found</w:t>
            </w:r>
          </w:p>
        </w:tc>
      </w:tr>
      <w:tr>
        <w:tc>
          <w:tcPr/>
          <w:p>
            <w:pPr>
              <w:pStyle w:val="Compact"/>
              <w:jc w:val="left"/>
            </w:pPr>
            <w:r>
              <w:t xml:space="preserve">Cost / TCO</w:t>
            </w:r>
          </w:p>
        </w:tc>
        <w:tc>
          <w:tcPr/>
          <w:p>
            <w:pPr>
              <w:pStyle w:val="Compact"/>
              <w:jc w:val="right"/>
            </w:pPr>
            <w:r>
              <w:t xml:space="preserve">3</w:t>
            </w:r>
          </w:p>
        </w:tc>
        <w:tc>
          <w:tcPr/>
          <w:p>
            <w:pPr>
              <w:pStyle w:val="Compact"/>
              <w:jc w:val="left"/>
            </w:pPr>
            <w:r>
              <w:t xml:space="preserve">Free OSS locally; Cloud US$1 per 1M tokens; production Postgres graph licensed</w:t>
            </w:r>
          </w:p>
        </w:tc>
      </w:tr>
      <w:tr>
        <w:tc>
          <w:tcPr/>
          <w:p>
            <w:pPr>
              <w:pStyle w:val="Compact"/>
              <w:jc w:val="left"/>
            </w:pPr>
            <w:r>
              <w:t xml:space="preserve">Lock-in / portability</w:t>
            </w:r>
          </w:p>
        </w:tc>
        <w:tc>
          <w:tcPr/>
          <w:p>
            <w:pPr>
              <w:pStyle w:val="Compact"/>
              <w:jc w:val="right"/>
            </w:pPr>
            <w:r>
              <w:t xml:space="preserve">3</w:t>
            </w:r>
          </w:p>
        </w:tc>
        <w:tc>
          <w:tcPr/>
          <w:p>
            <w:pPr>
              <w:pStyle w:val="Compact"/>
              <w:jc w:val="left"/>
            </w:pPr>
            <w:r>
              <w:t xml:space="preserve">Apache-2.0 core on standard stores, but production Postgres graph is licensed</w:t>
            </w:r>
          </w:p>
        </w:tc>
      </w:tr>
      <w:tr>
        <w:tc>
          <w:tcPr/>
          <w:p>
            <w:pPr>
              <w:pStyle w:val="Compact"/>
              <w:jc w:val="left"/>
            </w:pPr>
            <w:r>
              <w:rPr>
                <w:bCs/>
                <w:b/>
              </w:rPr>
              <w:t xml:space="preserve">Total (generic / FS)</w:t>
            </w:r>
          </w:p>
        </w:tc>
        <w:tc>
          <w:tcPr/>
          <w:p>
            <w:pPr>
              <w:pStyle w:val="Compact"/>
              <w:jc w:val="right"/>
            </w:pPr>
            <w:r>
              <w:rPr>
                <w:bCs/>
                <w:b/>
              </w:rPr>
              <w:t xml:space="preserve">3.35 / 3.25</w:t>
            </w:r>
          </w:p>
        </w:tc>
        <w:tc>
          <w:tcPr/>
          <w:p>
            <w:pPr>
              <w:pStyle w:val="Compact"/>
            </w:pPr>
          </w:p>
        </w:tc>
      </w:tr>
    </w:tbl>
    <w:p>
      <w:pPr>
        <w:pStyle w:val="BodyText"/>
      </w:pPr>
      <w:r>
        <w:rPr>
          <w:iCs/>
          <w:i/>
        </w:rPr>
        <w:t xml:space="preserve">Evidence rules applied:</w:t>
      </w:r>
      <w:r>
        <w:t xml:space="preserve"> </w:t>
      </w:r>
      <w:r>
        <w:t xml:space="preserve">Rule 2 applied (self-hosted software; inherits host controls): security_compliance and enterprise_readiness scored on self-hosted basis, capped at 4; enterprise_readiness: NPV cap lifted to 3 by verified SSO (rule 7)</w:t>
      </w:r>
    </w:p>
    <w:p>
      <w:pPr>
        <w:pStyle w:val="BodyText"/>
      </w:pPr>
      <w:r>
        <w:rPr>
          <w:bCs/>
          <w:b/>
        </w:rPr>
        <w:t xml:space="preserve">Capabilities.</w:t>
      </w:r>
      <w:r>
        <w:t xml:space="preserve"> </w:t>
      </w:r>
      <w:r>
        <w:t xml:space="preserve">Open-source memory platform building knowledge graphs plus vectors from documents, code and conversations; remember, recall, improve and forget; retrieval selects graph, vector or code context; local small-model extraction; MCP server</w:t>
      </w:r>
      <w:r>
        <w:t xml:space="preserve"> </w:t>
      </w:r>
      <w:r>
        <w:rPr>
          <w:rStyle w:val="ClaimLabel"/>
        </w:rPr>
        <w:t xml:space="preserve">VF</w:t>
      </w:r>
      <w:r>
        <w:rPr>
          <w:rStyle w:val="FootnoteReference"/>
        </w:rPr>
        <w:footnoteReference w:id="738"/>
      </w:r>
      <w:r>
        <w:t xml:space="preserve">.</w:t>
      </w:r>
    </w:p>
    <w:p>
      <w:pPr>
        <w:pStyle w:val="BodyText"/>
      </w:pPr>
      <w:r>
        <w:rPr>
          <w:bCs/>
          <w:b/>
        </w:rPr>
        <w:t xml:space="preserve">Strengths</w:t>
      </w:r>
    </w:p>
    <w:p>
      <w:pPr>
        <w:numPr>
          <w:ilvl w:val="0"/>
          <w:numId w:val="1169"/>
        </w:numPr>
        <w:pStyle w:val="Compact"/>
      </w:pPr>
      <w:r>
        <w:t xml:space="preserve">Runs fully in-estate or air-gapped with zero external API calls</w:t>
      </w:r>
      <w:r>
        <w:t xml:space="preserve"> </w:t>
      </w:r>
      <w:r>
        <w:rPr>
          <w:rStyle w:val="ClaimLabel"/>
        </w:rPr>
        <w:t xml:space="preserve">VF</w:t>
      </w:r>
      <w:r>
        <w:rPr>
          <w:rStyle w:val="FootnoteReference"/>
        </w:rPr>
        <w:footnoteReference w:id="740"/>
      </w:r>
    </w:p>
    <w:p>
      <w:pPr>
        <w:numPr>
          <w:ilvl w:val="0"/>
          <w:numId w:val="1169"/>
        </w:numPr>
        <w:pStyle w:val="Compact"/>
      </w:pPr>
      <w:r>
        <w:t xml:space="preserve">Backs onto Postgres/pgvector, Neo4j or Neptune</w:t>
      </w:r>
      <w:r>
        <w:t xml:space="preserve"> </w:t>
      </w:r>
      <w:r>
        <w:rPr>
          <w:rStyle w:val="ClaimLabel"/>
        </w:rPr>
        <w:t xml:space="preserve">VF</w:t>
      </w:r>
      <w:r>
        <w:rPr>
          <w:rStyle w:val="FootnoteReference"/>
        </w:rPr>
        <w:footnoteReference w:id="742"/>
      </w:r>
    </w:p>
    <w:p>
      <w:pPr>
        <w:numPr>
          <w:ilvl w:val="0"/>
          <w:numId w:val="1169"/>
        </w:numPr>
        <w:pStyle w:val="Compact"/>
      </w:pPr>
      <w:r>
        <w:t xml:space="preserve">EU company with GDPR process audit, DPA, erasure and portability support; BYOC in customer EU cloud account</w:t>
      </w:r>
      <w:r>
        <w:t xml:space="preserve"> </w:t>
      </w:r>
      <w:r>
        <w:rPr>
          <w:rStyle w:val="ClaimLabel"/>
        </w:rPr>
        <w:t xml:space="preserve">VF</w:t>
      </w:r>
      <w:r>
        <w:rPr>
          <w:rStyle w:val="FootnoteReference"/>
        </w:rPr>
        <w:footnoteReference w:id="743"/>
      </w:r>
    </w:p>
    <w:p>
      <w:pPr>
        <w:numPr>
          <w:ilvl w:val="0"/>
          <w:numId w:val="1169"/>
        </w:numPr>
        <w:pStyle w:val="Compact"/>
      </w:pPr>
      <w:r>
        <w:t xml:space="preserve">Enterprise SSO, SLAs and dedicated support engineer</w:t>
      </w:r>
      <w:r>
        <w:t xml:space="preserve"> </w:t>
      </w:r>
      <w:r>
        <w:rPr>
          <w:rStyle w:val="ClaimLabel"/>
        </w:rPr>
        <w:t xml:space="preserve">VF</w:t>
      </w:r>
      <w:r>
        <w:rPr>
          <w:rStyle w:val="FootnoteReference"/>
        </w:rPr>
        <w:footnoteReference w:id="744"/>
      </w:r>
    </w:p>
    <w:p>
      <w:pPr>
        <w:pStyle w:val="FirstParagraph"/>
      </w:pPr>
      <w:r>
        <w:rPr>
          <w:bCs/>
          <w:b/>
        </w:rPr>
        <w:t xml:space="preserve">Limitations and risks</w:t>
      </w:r>
    </w:p>
    <w:p>
      <w:pPr>
        <w:numPr>
          <w:ilvl w:val="0"/>
          <w:numId w:val="1170"/>
        </w:numPr>
        <w:pStyle w:val="Compact"/>
      </w:pPr>
      <w:r>
        <w:t xml:space="preserve">States it holds no SOC 2, ISO 27001 or equivalent certification</w:t>
      </w:r>
      <w:r>
        <w:t xml:space="preserve"> </w:t>
      </w:r>
      <w:r>
        <w:rPr>
          <w:rStyle w:val="ClaimLabel"/>
        </w:rPr>
        <w:t xml:space="preserve">VF</w:t>
      </w:r>
      <w:r>
        <w:rPr>
          <w:rStyle w:val="FootnoteReference"/>
        </w:rPr>
        <w:footnoteReference w:id="745"/>
      </w:r>
    </w:p>
    <w:p>
      <w:pPr>
        <w:numPr>
          <w:ilvl w:val="0"/>
          <w:numId w:val="1170"/>
        </w:numPr>
        <w:pStyle w:val="Compact"/>
      </w:pPr>
      <w:r>
        <w:t xml:space="preserve">Production Postgres graph store is a licensed product</w:t>
      </w:r>
      <w:r>
        <w:t xml:space="preserve"> </w:t>
      </w:r>
      <w:r>
        <w:rPr>
          <w:rStyle w:val="ClaimLabel"/>
        </w:rPr>
        <w:t xml:space="preserve">VF</w:t>
      </w:r>
      <w:r>
        <w:rPr>
          <w:rStyle w:val="FootnoteReference"/>
        </w:rPr>
        <w:footnoteReference w:id="746"/>
      </w:r>
    </w:p>
    <w:p>
      <w:pPr>
        <w:numPr>
          <w:ilvl w:val="0"/>
          <w:numId w:val="1170"/>
        </w:numPr>
        <w:pStyle w:val="Compact"/>
      </w:pPr>
      <w:r>
        <w:t xml:space="preserve">RBAC and audit logs not documented</w:t>
      </w:r>
      <w:r>
        <w:t xml:space="preserve"> </w:t>
      </w:r>
      <w:r>
        <w:rPr>
          <w:rStyle w:val="ClaimLabel"/>
        </w:rPr>
        <w:t xml:space="preserve">NPV</w:t>
      </w:r>
    </w:p>
    <w:p>
      <w:pPr>
        <w:numPr>
          <w:ilvl w:val="0"/>
          <w:numId w:val="1170"/>
        </w:numPr>
        <w:pStyle w:val="Compact"/>
      </w:pPr>
      <w:r>
        <w:t xml:space="preserve">Seed-stage funding; aggregators disagree on amount</w:t>
      </w:r>
      <w:r>
        <w:t xml:space="preserve"> </w:t>
      </w:r>
      <w:r>
        <w:rPr>
          <w:rStyle w:val="ClaimLabel"/>
        </w:rPr>
        <w:t xml:space="preserve">R</w:t>
      </w:r>
      <w:r>
        <w:rPr>
          <w:rStyle w:val="FootnoteReference"/>
        </w:rPr>
        <w:footnoteReference w:id="747"/>
      </w:r>
    </w:p>
    <w:p>
      <w:pPr>
        <w:pStyle w:val="FirstParagraph"/>
      </w:pPr>
      <w:r>
        <w:rPr>
          <w:bCs/>
          <w:b/>
        </w:rPr>
        <w:t xml:space="preserve">Choose when</w:t>
      </w:r>
    </w:p>
    <w:p>
      <w:pPr>
        <w:numPr>
          <w:ilvl w:val="0"/>
          <w:numId w:val="1171"/>
        </w:numPr>
        <w:pStyle w:val="Compact"/>
      </w:pPr>
      <w:r>
        <w:t xml:space="preserve">Memory or graph-backed knowledge must be fully in-estate or air-gapped in the EU and you can supply the controls</w:t>
      </w:r>
      <w:r>
        <w:t xml:space="preserve"> </w:t>
      </w:r>
      <w:r>
        <w:rPr>
          <w:rStyle w:val="ClaimLabel"/>
        </w:rPr>
        <w:t xml:space="preserve">AJ</w:t>
      </w:r>
    </w:p>
    <w:p>
      <w:pPr>
        <w:pStyle w:val="FirstParagraph"/>
      </w:pPr>
      <w:r>
        <w:rPr>
          <w:bCs/>
          <w:b/>
        </w:rPr>
        <w:t xml:space="preserve">Avoid when</w:t>
      </w:r>
    </w:p>
    <w:p>
      <w:pPr>
        <w:numPr>
          <w:ilvl w:val="0"/>
          <w:numId w:val="1172"/>
        </w:numPr>
        <w:pStyle w:val="Compact"/>
      </w:pPr>
      <w:r>
        <w:t xml:space="preserve">You want a managed service to carry certification evidence</w:t>
      </w:r>
      <w:r>
        <w:t xml:space="preserve"> </w:t>
      </w:r>
      <w:r>
        <w:rPr>
          <w:rStyle w:val="ClaimLabel"/>
        </w:rPr>
        <w:t xml:space="preserve">AJ</w:t>
      </w:r>
    </w:p>
    <w:p>
      <w:pPr>
        <w:pStyle w:val="FirstParagraph"/>
      </w:pPr>
      <w:r>
        <w:rPr>
          <w:bCs/>
          <w:b/>
        </w:rPr>
        <w:t xml:space="preserve">Nearest competitors:</w:t>
      </w:r>
      <w:r>
        <w:t xml:space="preserve"> </w:t>
      </w:r>
      <w:r>
        <w:t xml:space="preserve">L5-zep, L5-mem0, L5-supermemory</w:t>
      </w:r>
    </w:p>
    <w:p>
      <w:pPr>
        <w:pStyle w:val="BodyText"/>
      </w:pPr>
      <w:r>
        <w:rPr>
          <w:bCs/>
          <w:b/>
        </w:rPr>
        <w:t xml:space="preserve">Regulated-FS note.</w:t>
      </w:r>
      <w:r>
        <w:t xml:space="preserve"> </w:t>
      </w:r>
      <w:r>
        <w:t xml:space="preserve">Self-host only, on an approved Postgres or Neo4j, behind the firm’s identity proxy and audit logging; treat Cognee Cloud as out of scope for client data until certified</w:t>
      </w:r>
      <w:r>
        <w:t xml:space="preserve"> </w:t>
      </w:r>
      <w:r>
        <w:rPr>
          <w:rStyle w:val="ClaimLabel"/>
        </w:rPr>
        <w:t xml:space="preserve">Rec</w:t>
      </w:r>
      <w:r>
        <w:t xml:space="preserve">.</w:t>
      </w:r>
    </w:p>
    <w:p>
      <w:pPr>
        <w:pStyle w:val="BodyText"/>
      </w:pPr>
      <w:r>
        <w:rPr>
          <w:bCs/>
          <w:b/>
        </w:rPr>
        <w:t xml:space="preserve">Facts (as of 2026-10-07)</w:t>
      </w:r>
    </w:p>
    <w:tbl>
      <w:tblPr>
        <w:tblStyle w:val="Table"/>
        <w:tblW w:type="pct" w:w="5000"/>
        <w:tblLook w:firstRow="1" w:lastRow="0" w:firstColumn="0" w:lastColumn="0" w:noHBand="0" w:noVBand="0" w:val="0020"/>
        <w:jc w:val="start"/>
      </w:tblPr>
      <w:tblGrid>
        <w:gridCol w:w="1485"/>
        <w:gridCol w:w="4290"/>
        <w:gridCol w:w="1320"/>
        <w:gridCol w:w="825"/>
      </w:tblGrid>
      <w:tr>
        <w:trPr>
          <w:tblHeader w:val="true"/>
        </w:trPr>
        <w:tc>
          <w:tcPr/>
          <w:p>
            <w:pPr>
              <w:pStyle w:val="Compact"/>
              <w:jc w:val="left"/>
            </w:pPr>
            <w:r>
              <w:t xml:space="preserve">Field</w:t>
            </w:r>
          </w:p>
        </w:tc>
        <w:tc>
          <w:tcPr/>
          <w:p>
            <w:pPr>
              <w:pStyle w:val="Compact"/>
              <w:jc w:val="left"/>
            </w:pPr>
            <w:r>
              <w:t xml:space="preserve">Value</w:t>
            </w:r>
          </w:p>
        </w:tc>
        <w:tc>
          <w:tcPr/>
          <w:p>
            <w:pPr>
              <w:pStyle w:val="Compact"/>
              <w:jc w:val="left"/>
            </w:pPr>
            <w:r>
              <w:t xml:space="preserve">Label</w:t>
            </w:r>
          </w:p>
        </w:tc>
        <w:tc>
          <w:tcPr/>
          <w:p>
            <w:pPr>
              <w:pStyle w:val="Compact"/>
              <w:jc w:val="left"/>
            </w:pPr>
            <w:r>
              <w:t xml:space="preserve">Sources</w:t>
            </w:r>
          </w:p>
        </w:tc>
      </w:tr>
      <w:tr>
        <w:tc>
          <w:tcPr/>
          <w:p>
            <w:pPr>
              <w:pStyle w:val="Compact"/>
              <w:jc w:val="left"/>
            </w:pPr>
            <w:r>
              <w:t xml:space="preserve">Company</w:t>
            </w:r>
          </w:p>
        </w:tc>
        <w:tc>
          <w:tcPr/>
          <w:p>
            <w:pPr>
              <w:pStyle w:val="Compact"/>
              <w:jc w:val="left"/>
            </w:pPr>
            <w:r>
              <w:t xml:space="preserve">Cognee (Berlin-based; GitHub org topoteretes)</w:t>
            </w:r>
          </w:p>
        </w:tc>
        <w:tc>
          <w:tcPr/>
          <w:p>
            <w:pPr>
              <w:pStyle w:val="Compact"/>
              <w:jc w:val="left"/>
            </w:pPr>
            <w:r>
              <w:t xml:space="preserve">Verified fact</w:t>
            </w:r>
          </w:p>
        </w:tc>
        <w:tc>
          <w:tcPr/>
          <w:p>
            <w:pPr>
              <w:pStyle w:val="Compact"/>
              <w:jc w:val="left"/>
            </w:pPr>
            <w:r>
              <w:t xml:space="preserve">A3-S005, A3-S095</w:t>
            </w:r>
          </w:p>
        </w:tc>
      </w:tr>
      <w:tr>
        <w:tc>
          <w:tcPr/>
          <w:p>
            <w:pPr>
              <w:pStyle w:val="Compact"/>
              <w:jc w:val="left"/>
            </w:pPr>
            <w:r>
              <w:t xml:space="preserve">Category</w:t>
            </w:r>
          </w:p>
        </w:tc>
        <w:tc>
          <w:tcPr/>
          <w:p>
            <w:pPr>
              <w:pStyle w:val="Compact"/>
              <w:jc w:val="left"/>
            </w:pPr>
            <w:r>
              <w:t xml:space="preserve">Open-source AI memory platform building knowledge graphs plus vectors from documents, code and conversations</w:t>
            </w:r>
          </w:p>
        </w:tc>
        <w:tc>
          <w:tcPr/>
          <w:p>
            <w:pPr>
              <w:pStyle w:val="Compact"/>
              <w:jc w:val="left"/>
            </w:pPr>
            <w:r>
              <w:t xml:space="preserve">Verified fact</w:t>
            </w:r>
          </w:p>
        </w:tc>
        <w:tc>
          <w:tcPr/>
          <w:p>
            <w:pPr>
              <w:pStyle w:val="Compact"/>
              <w:jc w:val="left"/>
            </w:pPr>
            <w:r>
              <w:t xml:space="preserve">A3-S005</w:t>
            </w:r>
          </w:p>
        </w:tc>
      </w:tr>
      <w:tr>
        <w:tc>
          <w:tcPr/>
          <w:p>
            <w:pPr>
              <w:pStyle w:val="Compact"/>
              <w:jc w:val="left"/>
            </w:pPr>
            <w:r>
              <w:t xml:space="preserve">Version / lineup</w:t>
            </w:r>
          </w:p>
        </w:tc>
        <w:tc>
          <w:tcPr/>
          <w:p>
            <w:pPr>
              <w:pStyle w:val="Compact"/>
              <w:jc w:val="left"/>
            </w:pPr>
            <w:r>
              <w:t xml:space="preserve">cognee 1.6.3 (7 October 2026)</w:t>
            </w:r>
          </w:p>
        </w:tc>
        <w:tc>
          <w:tcPr/>
          <w:p>
            <w:pPr>
              <w:pStyle w:val="Compact"/>
              <w:jc w:val="left"/>
            </w:pPr>
            <w:r>
              <w:t xml:space="preserve">Verified fact</w:t>
            </w:r>
          </w:p>
        </w:tc>
        <w:tc>
          <w:tcPr/>
          <w:p>
            <w:pPr>
              <w:pStyle w:val="Compact"/>
              <w:jc w:val="left"/>
            </w:pPr>
            <w:r>
              <w:t xml:space="preserve">A3-S005</w:t>
            </w:r>
          </w:p>
        </w:tc>
      </w:tr>
      <w:tr>
        <w:tc>
          <w:tcPr/>
          <w:p>
            <w:pPr>
              <w:pStyle w:val="Compact"/>
              <w:jc w:val="left"/>
            </w:pPr>
            <w:r>
              <w:t xml:space="preserve">Licence</w:t>
            </w:r>
          </w:p>
        </w:tc>
        <w:tc>
          <w:tcPr/>
          <w:p>
            <w:pPr>
              <w:pStyle w:val="Compact"/>
              <w:jc w:val="left"/>
            </w:pPr>
            <w:r>
              <w:t xml:space="preserve">Open core: Apache-2.0 library; production-ready Postgres-as-graph store is a licensed product; Cognee Cloud managed service</w:t>
            </w:r>
          </w:p>
        </w:tc>
        <w:tc>
          <w:tcPr/>
          <w:p>
            <w:pPr>
              <w:pStyle w:val="Compact"/>
              <w:jc w:val="left"/>
            </w:pPr>
            <w:r>
              <w:t xml:space="preserve">Verified fact</w:t>
            </w:r>
          </w:p>
        </w:tc>
        <w:tc>
          <w:tcPr/>
          <w:p>
            <w:pPr>
              <w:pStyle w:val="Compact"/>
              <w:jc w:val="left"/>
            </w:pPr>
            <w:r>
              <w:t xml:space="preserve">A3-S005</w:t>
            </w:r>
          </w:p>
        </w:tc>
      </w:tr>
      <w:tr>
        <w:tc>
          <w:tcPr/>
          <w:p>
            <w:pPr>
              <w:pStyle w:val="Compact"/>
              <w:jc w:val="left"/>
            </w:pPr>
            <w:r>
              <w:t xml:space="preserve">Strategic direction</w:t>
            </w:r>
          </w:p>
        </w:tc>
        <w:tc>
          <w:tcPr/>
          <w:p>
            <w:pPr>
              <w:pStyle w:val="Compact"/>
              <w:jc w:val="left"/>
            </w:pPr>
            <w:r>
              <w:t xml:space="preserve">Since 1.0, the whole memory layer can run on one Postgres instance (demo feature in OSS); small-model local extraction (GLiNER) without an LLM key; plugins and MCP for agents</w:t>
            </w:r>
          </w:p>
        </w:tc>
        <w:tc>
          <w:tcPr/>
          <w:p>
            <w:pPr>
              <w:pStyle w:val="Compact"/>
              <w:jc w:val="left"/>
            </w:pPr>
            <w:r>
              <w:t xml:space="preserve">Verified fact</w:t>
            </w:r>
          </w:p>
        </w:tc>
        <w:tc>
          <w:tcPr/>
          <w:p>
            <w:pPr>
              <w:pStyle w:val="Compact"/>
              <w:jc w:val="left"/>
            </w:pPr>
            <w:r>
              <w:t xml:space="preserve">A3-S005</w:t>
            </w:r>
          </w:p>
        </w:tc>
      </w:tr>
      <w:tr>
        <w:tc>
          <w:tcPr/>
          <w:p>
            <w:pPr>
              <w:pStyle w:val="Compact"/>
              <w:jc w:val="left"/>
            </w:pPr>
            <w:r>
              <w:t xml:space="preserve">What it does</w:t>
            </w:r>
          </w:p>
        </w:tc>
        <w:tc>
          <w:tcPr/>
          <w:p>
            <w:pPr>
              <w:pStyle w:val="Compact"/>
              <w:jc w:val="left"/>
            </w:pPr>
            <w:r>
              <w:t xml:space="preserve">Turns documents, code and conversations into a self-hosted knowledge graph agents can search; operations include remember, recall, improve (enrich/apply feedback) and forget (remove an item or dataset); retrieval selects graph, vector or code context</w:t>
            </w:r>
          </w:p>
        </w:tc>
        <w:tc>
          <w:tcPr/>
          <w:p>
            <w:pPr>
              <w:pStyle w:val="Compact"/>
              <w:jc w:val="left"/>
            </w:pPr>
            <w:r>
              <w:t xml:space="preserve">Verified fact</w:t>
            </w:r>
          </w:p>
        </w:tc>
        <w:tc>
          <w:tcPr/>
          <w:p>
            <w:pPr>
              <w:pStyle w:val="Compact"/>
              <w:jc w:val="left"/>
            </w:pPr>
            <w:r>
              <w:t xml:space="preserve">A3-S005</w:t>
            </w:r>
          </w:p>
        </w:tc>
      </w:tr>
      <w:tr>
        <w:tc>
          <w:tcPr/>
          <w:p>
            <w:pPr>
              <w:pStyle w:val="Compact"/>
              <w:jc w:val="left"/>
            </w:pPr>
            <w:r>
              <w:t xml:space="preserve">Stack position</w:t>
            </w:r>
          </w:p>
        </w:tc>
        <w:tc>
          <w:tcPr/>
          <w:p>
            <w:pPr>
              <w:pStyle w:val="Compact"/>
              <w:jc w:val="left"/>
            </w:pPr>
            <w:r>
              <w:t xml:space="preserve">Spans L5 memory and L6/L8 (ingestion into graph and vector stores); graphic’s</w:t>
            </w:r>
            <w:r>
              <w:t xml:space="preserve"> </w:t>
            </w:r>
            <w:r>
              <w:t xml:space="preserve">‘</w:t>
            </w:r>
            <w:r>
              <w:t xml:space="preserve">knowledge graphs</w:t>
            </w:r>
            <w:r>
              <w:t xml:space="preserve">’</w:t>
            </w:r>
            <w:r>
              <w:t xml:space="preserve"> </w:t>
            </w:r>
            <w:r>
              <w:t xml:space="preserve">descriptor is accurate</w:t>
            </w:r>
          </w:p>
        </w:tc>
        <w:tc>
          <w:tcPr/>
          <w:p>
            <w:pPr>
              <w:pStyle w:val="Compact"/>
              <w:jc w:val="left"/>
            </w:pPr>
            <w:r>
              <w:t xml:space="preserve">Verified fact</w:t>
            </w:r>
          </w:p>
        </w:tc>
        <w:tc>
          <w:tcPr/>
          <w:p>
            <w:pPr>
              <w:pStyle w:val="Compact"/>
              <w:jc w:val="left"/>
            </w:pPr>
            <w:r>
              <w:t xml:space="preserve">A3-S005</w:t>
            </w:r>
          </w:p>
        </w:tc>
      </w:tr>
      <w:tr>
        <w:tc>
          <w:tcPr/>
          <w:p>
            <w:pPr>
              <w:pStyle w:val="Compact"/>
              <w:jc w:val="left"/>
            </w:pPr>
            <w:r>
              <w:t xml:space="preserve">Integration</w:t>
            </w:r>
          </w:p>
        </w:tc>
        <w:tc>
          <w:tcPr/>
          <w:p>
            <w:pPr>
              <w:pStyle w:val="Compact"/>
              <w:jc w:val="left"/>
            </w:pPr>
            <w:r>
              <w:t xml:space="preserve">Python library, CLI, REST API (port 8000), UI and MCP server (port 8001) via Docker</w:t>
            </w:r>
          </w:p>
        </w:tc>
        <w:tc>
          <w:tcPr/>
          <w:p>
            <w:pPr>
              <w:pStyle w:val="Compact"/>
              <w:jc w:val="left"/>
            </w:pPr>
            <w:r>
              <w:t xml:space="preserve">Verified fact</w:t>
            </w:r>
          </w:p>
        </w:tc>
        <w:tc>
          <w:tcPr/>
          <w:p>
            <w:pPr>
              <w:pStyle w:val="Compact"/>
              <w:jc w:val="left"/>
            </w:pPr>
            <w:r>
              <w:t xml:space="preserve">A3-S005</w:t>
            </w:r>
          </w:p>
        </w:tc>
      </w:tr>
      <w:tr>
        <w:tc>
          <w:tcPr/>
          <w:p>
            <w:pPr>
              <w:pStyle w:val="Compact"/>
              <w:jc w:val="left"/>
            </w:pPr>
            <w:r>
              <w:t xml:space="preserve">Dependencies</w:t>
            </w:r>
          </w:p>
        </w:tc>
        <w:tc>
          <w:tcPr/>
          <w:p>
            <w:pPr>
              <w:pStyle w:val="Compact"/>
              <w:jc w:val="left"/>
            </w:pPr>
            <w:r>
              <w:t xml:space="preserve">Default embedded stores: SQLite (relational), LanceDB (vector) and the</w:t>
            </w:r>
            <w:r>
              <w:t xml:space="preserve"> </w:t>
            </w:r>
            <w:r>
              <w:t xml:space="preserve">‘</w:t>
            </w:r>
            <w:r>
              <w:t xml:space="preserve">ladybug</w:t>
            </w:r>
            <w:r>
              <w:t xml:space="preserve">’</w:t>
            </w:r>
            <w:r>
              <w:t xml:space="preserve"> </w:t>
            </w:r>
            <w:r>
              <w:t xml:space="preserve">graph package; optional Neo4j, Amazon Neptune and Postgres/PGVector; Redis-compatible cache</w:t>
            </w:r>
          </w:p>
        </w:tc>
        <w:tc>
          <w:tcPr/>
          <w:p>
            <w:pPr>
              <w:pStyle w:val="Compact"/>
              <w:jc w:val="left"/>
            </w:pPr>
            <w:r>
              <w:t xml:space="preserve">Verified fact</w:t>
            </w:r>
          </w:p>
        </w:tc>
        <w:tc>
          <w:tcPr/>
          <w:p>
            <w:pPr>
              <w:pStyle w:val="Compact"/>
              <w:jc w:val="left"/>
            </w:pPr>
            <w:r>
              <w:t xml:space="preserve">A3-S005</w:t>
            </w:r>
          </w:p>
        </w:tc>
      </w:tr>
      <w:tr>
        <w:tc>
          <w:tcPr/>
          <w:p>
            <w:pPr>
              <w:pStyle w:val="Compact"/>
              <w:jc w:val="left"/>
            </w:pPr>
            <w:r>
              <w:t xml:space="preserve">Certifications</w:t>
            </w:r>
          </w:p>
        </w:tc>
        <w:tc>
          <w:tcPr/>
          <w:p>
            <w:pPr>
              <w:pStyle w:val="Compact"/>
              <w:jc w:val="left"/>
            </w:pPr>
            <w:r>
              <w:t xml:space="preserve">Cognee states it does not currently hold SOC 2, ISO 27001 or equivalent third-party certification; recommends self-hosting in customer’s certified environment</w:t>
            </w:r>
          </w:p>
        </w:tc>
        <w:tc>
          <w:tcPr/>
          <w:p>
            <w:pPr>
              <w:pStyle w:val="Compact"/>
              <w:jc w:val="left"/>
            </w:pPr>
            <w:r>
              <w:t xml:space="preserve">Verified fact</w:t>
            </w:r>
          </w:p>
        </w:tc>
        <w:tc>
          <w:tcPr/>
          <w:p>
            <w:pPr>
              <w:pStyle w:val="Compact"/>
              <w:jc w:val="left"/>
            </w:pPr>
            <w:r>
              <w:t xml:space="preserve">A3-S095</w:t>
            </w:r>
          </w:p>
        </w:tc>
      </w:tr>
      <w:tr>
        <w:tc>
          <w:tcPr/>
          <w:p>
            <w:pPr>
              <w:pStyle w:val="Compact"/>
              <w:jc w:val="left"/>
            </w:pPr>
            <w:r>
              <w:t xml:space="preserve">GDPR / residency</w:t>
            </w:r>
          </w:p>
        </w:tc>
        <w:tc>
          <w:tcPr/>
          <w:p>
            <w:pPr>
              <w:pStyle w:val="Compact"/>
              <w:jc w:val="left"/>
            </w:pPr>
            <w:r>
              <w:t xml:space="preserve">EU company; GDPR-aligned processes audited with heyData; DPA on request; access, erasure and portability rights supported; Enterprise BYOC data plane in customer’s EU cloud account; Cloud tenants each get a dedicated managed Postgres project</w:t>
            </w:r>
          </w:p>
        </w:tc>
        <w:tc>
          <w:tcPr/>
          <w:p>
            <w:pPr>
              <w:pStyle w:val="Compact"/>
              <w:jc w:val="left"/>
            </w:pPr>
            <w:r>
              <w:t xml:space="preserve">Verified fact</w:t>
            </w:r>
          </w:p>
        </w:tc>
        <w:tc>
          <w:tcPr/>
          <w:p>
            <w:pPr>
              <w:pStyle w:val="Compact"/>
              <w:jc w:val="left"/>
            </w:pPr>
            <w:r>
              <w:t xml:space="preserve">A3-S095</w:t>
            </w:r>
          </w:p>
        </w:tc>
      </w:tr>
      <w:tr>
        <w:tc>
          <w:tcPr/>
          <w:p>
            <w:pPr>
              <w:pStyle w:val="Compact"/>
              <w:jc w:val="left"/>
            </w:pPr>
            <w:r>
              <w:t xml:space="preserve">Security features</w:t>
            </w:r>
          </w:p>
        </w:tc>
        <w:tc>
          <w:tcPr/>
          <w:p>
            <w:pPr>
              <w:pStyle w:val="Compact"/>
              <w:jc w:val="left"/>
            </w:pPr>
            <w:r>
              <w:t xml:space="preserve">Encryption at rest and in transit; private deployment mode with zero external API calls; air-gapped self-hosting</w:t>
            </w:r>
          </w:p>
        </w:tc>
        <w:tc>
          <w:tcPr/>
          <w:p>
            <w:pPr>
              <w:pStyle w:val="Compact"/>
              <w:jc w:val="left"/>
            </w:pPr>
            <w:r>
              <w:t xml:space="preserve">Verified fact</w:t>
            </w:r>
          </w:p>
        </w:tc>
        <w:tc>
          <w:tcPr/>
          <w:p>
            <w:pPr>
              <w:pStyle w:val="Compact"/>
              <w:jc w:val="left"/>
            </w:pPr>
            <w:r>
              <w:t xml:space="preserve">A3-S095</w:t>
            </w:r>
          </w:p>
        </w:tc>
      </w:tr>
      <w:tr>
        <w:tc>
          <w:tcPr/>
          <w:p>
            <w:pPr>
              <w:pStyle w:val="Compact"/>
              <w:jc w:val="left"/>
            </w:pPr>
            <w:r>
              <w:t xml:space="preserve">Access controls</w:t>
            </w:r>
          </w:p>
        </w:tc>
        <w:tc>
          <w:tcPr/>
          <w:p>
            <w:pPr>
              <w:pStyle w:val="Compact"/>
              <w:jc w:val="left"/>
            </w:pPr>
            <w:r>
              <w:t xml:space="preserve">Multi-tenant mode with authenticated users by default (API); Enterprise SSO</w:t>
            </w:r>
          </w:p>
        </w:tc>
        <w:tc>
          <w:tcPr/>
          <w:p>
            <w:pPr>
              <w:pStyle w:val="Compact"/>
              <w:jc w:val="left"/>
            </w:pPr>
            <w:r>
              <w:t xml:space="preserve">Verified fact</w:t>
            </w:r>
          </w:p>
        </w:tc>
        <w:tc>
          <w:tcPr/>
          <w:p>
            <w:pPr>
              <w:pStyle w:val="Compact"/>
              <w:jc w:val="left"/>
            </w:pPr>
            <w:r>
              <w:t xml:space="preserve">A3-S005, A3-S095</w:t>
            </w:r>
          </w:p>
        </w:tc>
      </w:tr>
      <w:tr>
        <w:tc>
          <w:tcPr/>
          <w:p>
            <w:pPr>
              <w:pStyle w:val="Compact"/>
              <w:jc w:val="left"/>
            </w:pPr>
            <w:r>
              <w:t xml:space="preserve">Enterprise support</w:t>
            </w:r>
          </w:p>
        </w:tc>
        <w:tc>
          <w:tcPr/>
          <w:p>
            <w:pPr>
              <w:pStyle w:val="Compact"/>
              <w:jc w:val="left"/>
            </w:pPr>
            <w:r>
              <w:t xml:space="preserve">Enterprise: SSO, SLAs, dedicated support engineer, BYOC (fixed-scope engagement, custom price)</w:t>
            </w:r>
          </w:p>
        </w:tc>
        <w:tc>
          <w:tcPr/>
          <w:p>
            <w:pPr>
              <w:pStyle w:val="Compact"/>
              <w:jc w:val="left"/>
            </w:pPr>
            <w:r>
              <w:t xml:space="preserve">Verified fact</w:t>
            </w:r>
          </w:p>
        </w:tc>
        <w:tc>
          <w:tcPr/>
          <w:p>
            <w:pPr>
              <w:pStyle w:val="Compact"/>
              <w:jc w:val="left"/>
            </w:pPr>
            <w:r>
              <w:t xml:space="preserve">A3-S095</w:t>
            </w:r>
          </w:p>
        </w:tc>
      </w:tr>
      <w:tr>
        <w:tc>
          <w:tcPr/>
          <w:p>
            <w:pPr>
              <w:pStyle w:val="Compact"/>
              <w:jc w:val="left"/>
            </w:pPr>
            <w:r>
              <w:t xml:space="preserve">Pricing</w:t>
            </w:r>
          </w:p>
        </w:tc>
        <w:tc>
          <w:tcPr/>
          <w:p>
            <w:pPr>
              <w:pStyle w:val="Compact"/>
              <w:jc w:val="left"/>
            </w:pPr>
            <w:r>
              <w:t xml:space="preserve">Cloud free tier (1M tokens, one workspace); Standard US$1.00 per 1M tokens processed plus US$5 per extra workspace; Enterprise custom; self-hosted OSS free</w:t>
            </w:r>
          </w:p>
        </w:tc>
        <w:tc>
          <w:tcPr/>
          <w:p>
            <w:pPr>
              <w:pStyle w:val="Compact"/>
              <w:jc w:val="left"/>
            </w:pPr>
            <w:r>
              <w:t xml:space="preserve">Verified fact</w:t>
            </w:r>
          </w:p>
        </w:tc>
        <w:tc>
          <w:tcPr/>
          <w:p>
            <w:pPr>
              <w:pStyle w:val="Compact"/>
              <w:jc w:val="left"/>
            </w:pPr>
            <w:r>
              <w:t xml:space="preserve">A3-S095</w:t>
            </w:r>
          </w:p>
        </w:tc>
      </w:tr>
      <w:tr>
        <w:tc>
          <w:tcPr/>
          <w:p>
            <w:pPr>
              <w:pStyle w:val="Compact"/>
              <w:jc w:val="left"/>
            </w:pPr>
            <w:r>
              <w:t xml:space="preserve">Infrastructure cost</w:t>
            </w:r>
          </w:p>
        </w:tc>
        <w:tc>
          <w:tcPr/>
          <w:p>
            <w:pPr>
              <w:pStyle w:val="Compact"/>
              <w:jc w:val="left"/>
            </w:pPr>
            <w:r>
              <w:t xml:space="preserve">Can run free locally with small models; production graph on Postgres requires a licence</w:t>
            </w:r>
          </w:p>
        </w:tc>
        <w:tc>
          <w:tcPr/>
          <w:p>
            <w:pPr>
              <w:pStyle w:val="Compact"/>
              <w:jc w:val="left"/>
            </w:pPr>
            <w:r>
              <w:t xml:space="preserve">Verified fact</w:t>
            </w:r>
          </w:p>
        </w:tc>
        <w:tc>
          <w:tcPr/>
          <w:p>
            <w:pPr>
              <w:pStyle w:val="Compact"/>
              <w:jc w:val="left"/>
            </w:pPr>
            <w:r>
              <w:t xml:space="preserve">A3-S005</w:t>
            </w:r>
          </w:p>
        </w:tc>
      </w:tr>
      <w:tr>
        <w:tc>
          <w:tcPr/>
          <w:p>
            <w:pPr>
              <w:pStyle w:val="Compact"/>
              <w:jc w:val="left"/>
            </w:pPr>
            <w:r>
              <w:t xml:space="preserve">Ecosystem</w:t>
            </w:r>
          </w:p>
        </w:tc>
        <w:tc>
          <w:tcPr/>
          <w:p>
            <w:pPr>
              <w:pStyle w:val="Compact"/>
              <w:jc w:val="left"/>
            </w:pPr>
            <w:r>
              <w:t xml:space="preserve">Community plugins repository (cognee-community); MCP server</w:t>
            </w:r>
          </w:p>
        </w:tc>
        <w:tc>
          <w:tcPr/>
          <w:p>
            <w:pPr>
              <w:pStyle w:val="Compact"/>
              <w:jc w:val="left"/>
            </w:pPr>
            <w:r>
              <w:t xml:space="preserve">Verified fact</w:t>
            </w:r>
          </w:p>
        </w:tc>
        <w:tc>
          <w:tcPr/>
          <w:p>
            <w:pPr>
              <w:pStyle w:val="Compact"/>
              <w:jc w:val="left"/>
            </w:pPr>
            <w:r>
              <w:t xml:space="preserve">A3-S005, A3-S054</w:t>
            </w:r>
          </w:p>
        </w:tc>
      </w:tr>
      <w:tr>
        <w:tc>
          <w:tcPr/>
          <w:p>
            <w:pPr>
              <w:pStyle w:val="Compact"/>
              <w:jc w:val="left"/>
            </w:pPr>
            <w:r>
              <w:t xml:space="preserve">Adoption signals</w:t>
            </w:r>
          </w:p>
        </w:tc>
        <w:tc>
          <w:tcPr/>
          <w:p>
            <w:pPr>
              <w:pStyle w:val="Compact"/>
              <w:jc w:val="left"/>
            </w:pPr>
            <w:r>
              <w:t xml:space="preserve">topoteretes/cognee 31,561 GitHub stars (7 October 2026); US$7.5M seed led by Pebblebed (February 2026, Reported) after US$1.5M (November 2024)</w:t>
            </w:r>
          </w:p>
        </w:tc>
        <w:tc>
          <w:tcPr/>
          <w:p>
            <w:pPr>
              <w:pStyle w:val="Compact"/>
              <w:jc w:val="left"/>
            </w:pPr>
            <w:r>
              <w:t xml:space="preserve">Verified fact</w:t>
            </w:r>
          </w:p>
        </w:tc>
        <w:tc>
          <w:tcPr/>
          <w:p>
            <w:pPr>
              <w:pStyle w:val="Compact"/>
              <w:jc w:val="left"/>
            </w:pPr>
            <w:r>
              <w:t xml:space="preserve">A3-S054, A3-S094</w:t>
            </w:r>
          </w:p>
        </w:tc>
      </w:tr>
      <w:tr>
        <w:tc>
          <w:tcPr/>
          <w:p>
            <w:pPr>
              <w:pStyle w:val="Compact"/>
              <w:jc w:val="left"/>
            </w:pPr>
            <w:r>
              <w:t xml:space="preserve">Maturity</w:t>
            </w:r>
          </w:p>
        </w:tc>
        <w:tc>
          <w:tcPr/>
          <w:p>
            <w:pPr>
              <w:pStyle w:val="Compact"/>
              <w:jc w:val="left"/>
            </w:pPr>
            <w:r>
              <w:t xml:space="preserve">First PyPI release 13 March 2024; 178 releases; post-1.0 (1.6.x)</w:t>
            </w:r>
          </w:p>
        </w:tc>
        <w:tc>
          <w:tcPr/>
          <w:p>
            <w:pPr>
              <w:pStyle w:val="Compact"/>
              <w:jc w:val="left"/>
            </w:pPr>
            <w:r>
              <w:t xml:space="preserve">Verified fact</w:t>
            </w:r>
          </w:p>
        </w:tc>
        <w:tc>
          <w:tcPr/>
          <w:p>
            <w:pPr>
              <w:pStyle w:val="Compact"/>
              <w:jc w:val="left"/>
            </w:pPr>
            <w:r>
              <w:t xml:space="preserve">A3-S005</w:t>
            </w:r>
          </w:p>
        </w:tc>
      </w:tr>
      <w:tr>
        <w:tc>
          <w:tcPr/>
          <w:p>
            <w:pPr>
              <w:pStyle w:val="Compact"/>
              <w:jc w:val="left"/>
            </w:pPr>
            <w:r>
              <w:t xml:space="preserve">Deployment</w:t>
            </w:r>
          </w:p>
        </w:tc>
        <w:tc>
          <w:tcPr/>
          <w:p>
            <w:pPr>
              <w:pStyle w:val="Compact"/>
              <w:jc w:val="left"/>
            </w:pPr>
            <w:r>
              <w:t xml:space="preserve">saas: Yes (Cognee Cloud); managed_cloud: Not publicly verified; vpc_byoc: Yes (Enterprise BYOC); private_cloud: Not publicly verified; self_hosted: Yes; on_prem: Yes (on-prem and air-gapped self-hosting)</w:t>
            </w:r>
          </w:p>
        </w:tc>
        <w:tc>
          <w:tcPr/>
          <w:p>
            <w:pPr>
              <w:pStyle w:val="Compact"/>
            </w:pPr>
          </w:p>
        </w:tc>
        <w:tc>
          <w:tcPr/>
          <w:p>
            <w:pPr>
              <w:pStyle w:val="Compact"/>
            </w:pPr>
          </w:p>
        </w:tc>
      </w:tr>
    </w:tbl>
    <w:bookmarkEnd w:id="749"/>
    <w:bookmarkStart w:id="767" w:name="X2a2dc24bc2734151c2951029910669f20affcd6"/>
    <w:p>
      <w:pPr>
        <w:pStyle w:val="Heading2"/>
      </w:pPr>
      <w:r>
        <w:t xml:space="preserve">Amazon Bedrock AgentCore Memory (</w:t>
      </w:r>
      <w:r>
        <w:rPr>
          <w:rStyle w:val="VerbatimChar"/>
        </w:rPr>
        <w:t xml:space="preserve">L5-aws-agentcore-memory</w:t>
      </w:r>
      <w:r>
        <w:t xml:space="preserve">)</w:t>
      </w:r>
    </w:p>
    <w:p>
      <w:pPr>
        <w:pStyle w:val="FirstParagraph"/>
      </w:pPr>
      <w:r>
        <w:rPr>
          <w:bCs/>
          <w:b/>
        </w:rPr>
        <w:t xml:space="preserve">Tier:</w:t>
      </w:r>
      <w:r>
        <w:t xml:space="preserve"> </w:t>
      </w:r>
      <w:r>
        <w:t xml:space="preserve">Strategic ·</w:t>
      </w:r>
      <w:r>
        <w:t xml:space="preserve"> </w:t>
      </w:r>
      <w:r>
        <w:rPr>
          <w:bCs/>
          <w:b/>
        </w:rPr>
        <w:t xml:space="preserve">Flags:</w:t>
      </w:r>
      <w:r>
        <w:t xml:space="preserve"> </w:t>
      </w:r>
      <w:r>
        <w:t xml:space="preserve">none ·</w:t>
      </w:r>
      <w:r>
        <w:t xml:space="preserve"> </w:t>
      </w:r>
      <w:r>
        <w:rPr>
          <w:bCs/>
          <w:b/>
        </w:rPr>
        <w:t xml:space="preserve">Original graphic label:</w:t>
      </w:r>
      <w:r>
        <w:t xml:space="preserve"> </w:t>
      </w:r>
      <w:r>
        <w:t xml:space="preserve">not in graphic</w:t>
      </w:r>
    </w:p>
    <w:p>
      <w:pPr>
        <w:pStyle w:val="BodyText"/>
      </w:pPr>
      <w:r>
        <w:rPr>
          <w:iCs/>
          <w:i/>
        </w:rPr>
        <w:t xml:space="preserve">Rationale:</w:t>
      </w:r>
      <w:r>
        <w:t xml:space="preserve"> </w:t>
      </w:r>
      <w:r>
        <w:t xml:space="preserve">Strategic, conditional: where AWS is your primary cloud and the agent runtime is AgentCore (CP3 Q2, rubric rule 10). AWS’s lead managed agent memory service with good lifecycle documentation; a customer-managed key at creation and a pruner from day one are part of the condition, and deployment and lock-in at 2 are accepted under rule 11</w:t>
      </w:r>
      <w:r>
        <w:t xml:space="preserve"> </w:t>
      </w:r>
      <w:r>
        <w:rPr>
          <w:rStyle w:val="ClaimLabel"/>
        </w:rPr>
        <w:t xml:space="preserve">AJ</w:t>
      </w:r>
      <w:r>
        <w:t xml:space="preserve">.</w:t>
      </w:r>
    </w:p>
    <w:tbl>
      <w:tblPr>
        <w:tblStyle w:val="Table"/>
        <w:tblW w:type="pct" w:w="5000"/>
        <w:tblLook w:firstRow="1" w:lastRow="0" w:firstColumn="0" w:lastColumn="0" w:noHBand="0" w:noVBand="0" w:val="0020"/>
        <w:jc w:val="start"/>
      </w:tblPr>
      <w:tblGrid>
        <w:gridCol w:w="1545"/>
        <w:gridCol w:w="579"/>
        <w:gridCol w:w="5795"/>
      </w:tblGrid>
      <w:tr>
        <w:trPr>
          <w:tblHeader w:val="true"/>
        </w:trPr>
        <w:tc>
          <w:tcPr/>
          <w:p>
            <w:pPr>
              <w:pStyle w:val="Compact"/>
              <w:jc w:val="left"/>
            </w:pPr>
            <w:r>
              <w:t xml:space="preserve">Criterion</w:t>
            </w:r>
          </w:p>
        </w:tc>
        <w:tc>
          <w:tcPr/>
          <w:p>
            <w:pPr>
              <w:pStyle w:val="Compact"/>
              <w:jc w:val="right"/>
            </w:pPr>
            <w:r>
              <w:t xml:space="preserve">Score</w:t>
            </w:r>
          </w:p>
        </w:tc>
        <w:tc>
          <w:tcPr/>
          <w:p>
            <w:pPr>
              <w:pStyle w:val="Compact"/>
              <w:jc w:val="left"/>
            </w:pPr>
            <w:r>
              <w:t xml:space="preserve">Rationale</w:t>
            </w:r>
          </w:p>
        </w:tc>
      </w:tr>
      <w:tr>
        <w:tc>
          <w:tcPr/>
          <w:p>
            <w:pPr>
              <w:pStyle w:val="Compact"/>
              <w:jc w:val="left"/>
            </w:pPr>
            <w:r>
              <w:t xml:space="preserve">Technical</w:t>
            </w:r>
          </w:p>
        </w:tc>
        <w:tc>
          <w:tcPr/>
          <w:p>
            <w:pPr>
              <w:pStyle w:val="Compact"/>
              <w:jc w:val="right"/>
            </w:pPr>
            <w:r>
              <w:t xml:space="preserve">4</w:t>
            </w:r>
          </w:p>
        </w:tc>
        <w:tc>
          <w:tcPr/>
          <w:p>
            <w:pPr>
              <w:pStyle w:val="Compact"/>
              <w:jc w:val="left"/>
            </w:pPr>
            <w:r>
              <w:t xml:space="preserve">Short- and long-term memory with multiple extraction strategies, namespaces and self-managed pipelines</w:t>
            </w:r>
          </w:p>
        </w:tc>
      </w:tr>
      <w:tr>
        <w:tc>
          <w:tcPr/>
          <w:p>
            <w:pPr>
              <w:pStyle w:val="Compact"/>
              <w:jc w:val="left"/>
            </w:pPr>
            <w:r>
              <w:t xml:space="preserve">Enterprise readiness</w:t>
            </w:r>
          </w:p>
        </w:tc>
        <w:tc>
          <w:tcPr/>
          <w:p>
            <w:pPr>
              <w:pStyle w:val="Compact"/>
              <w:jc w:val="right"/>
            </w:pPr>
            <w:r>
              <w:t xml:space="preserve">4</w:t>
            </w:r>
          </w:p>
        </w:tc>
        <w:tc>
          <w:tcPr/>
          <w:p>
            <w:pPr>
              <w:pStyle w:val="Compact"/>
              <w:jc w:val="left"/>
            </w:pPr>
            <w:r>
              <w:t xml:space="preserve">Hyperscaler presumption (CP2 Q1): AWS IAM, SSO federation and CloudTrail; AWS guidance on restricting memory APIs. Platform controls presumed (CP2 Q1); confirm per service</w:t>
            </w:r>
          </w:p>
        </w:tc>
      </w:tr>
      <w:tr>
        <w:tc>
          <w:tcPr/>
          <w:p>
            <w:pPr>
              <w:pStyle w:val="Compact"/>
              <w:jc w:val="left"/>
            </w:pPr>
            <w:r>
              <w:t xml:space="preserve">Security and compliance</w:t>
            </w:r>
          </w:p>
        </w:tc>
        <w:tc>
          <w:tcPr/>
          <w:p>
            <w:pPr>
              <w:pStyle w:val="Compact"/>
              <w:jc w:val="right"/>
            </w:pPr>
            <w:r>
              <w:t xml:space="preserve">4</w:t>
            </w:r>
          </w:p>
        </w:tc>
        <w:tc>
          <w:tcPr/>
          <w:p>
            <w:pPr>
              <w:pStyle w:val="Compact"/>
              <w:jc w:val="left"/>
            </w:pPr>
            <w:r>
              <w:t xml:space="preserve">Service-level SOC 1/2/3 and ISO 27001 scope plus CMK; SOC 2 report type not stated and Memory not named separately, so 4 not 5 (rule 8)</w:t>
            </w:r>
          </w:p>
        </w:tc>
      </w:tr>
      <w:tr>
        <w:tc>
          <w:tcPr/>
          <w:p>
            <w:pPr>
              <w:pStyle w:val="Compact"/>
              <w:jc w:val="left"/>
            </w:pPr>
            <w:r>
              <w:t xml:space="preserve">Deployment flexibility</w:t>
            </w:r>
          </w:p>
        </w:tc>
        <w:tc>
          <w:tcPr/>
          <w:p>
            <w:pPr>
              <w:pStyle w:val="Compact"/>
              <w:jc w:val="right"/>
            </w:pPr>
            <w:r>
              <w:t xml:space="preserve">2</w:t>
            </w:r>
          </w:p>
        </w:tc>
        <w:tc>
          <w:tcPr/>
          <w:p>
            <w:pPr>
              <w:pStyle w:val="Compact"/>
              <w:jc w:val="left"/>
            </w:pPr>
            <w:r>
              <w:t xml:space="preserve">AWS managed only, with VPC/PrivateLink connectivity; no self-host</w:t>
            </w:r>
          </w:p>
        </w:tc>
      </w:tr>
      <w:tr>
        <w:tc>
          <w:tcPr/>
          <w:p>
            <w:pPr>
              <w:pStyle w:val="Compact"/>
              <w:jc w:val="left"/>
            </w:pPr>
            <w:r>
              <w:t xml:space="preserve">Ecosystem</w:t>
            </w:r>
          </w:p>
        </w:tc>
        <w:tc>
          <w:tcPr/>
          <w:p>
            <w:pPr>
              <w:pStyle w:val="Compact"/>
              <w:jc w:val="right"/>
            </w:pPr>
            <w:r>
              <w:t xml:space="preserve">3</w:t>
            </w:r>
          </w:p>
        </w:tc>
        <w:tc>
          <w:tcPr/>
          <w:p>
            <w:pPr>
              <w:pStyle w:val="Compact"/>
              <w:jc w:val="left"/>
            </w:pPr>
            <w:r>
              <w:t xml:space="preserve">Strands SDK and AgentCore APIs; wider ecosystem NPV</w:t>
            </w:r>
          </w:p>
        </w:tc>
      </w:tr>
      <w:tr>
        <w:tc>
          <w:tcPr/>
          <w:p>
            <w:pPr>
              <w:pStyle w:val="Compact"/>
              <w:jc w:val="left"/>
            </w:pPr>
            <w:r>
              <w:t xml:space="preserve">Reliability and maturity</w:t>
            </w:r>
          </w:p>
        </w:tc>
        <w:tc>
          <w:tcPr/>
          <w:p>
            <w:pPr>
              <w:pStyle w:val="Compact"/>
              <w:jc w:val="right"/>
            </w:pPr>
            <w:r>
              <w:t xml:space="preserve">3</w:t>
            </w:r>
          </w:p>
        </w:tc>
        <w:tc>
          <w:tcPr/>
          <w:p>
            <w:pPr>
              <w:pStyle w:val="Compact"/>
              <w:jc w:val="left"/>
            </w:pPr>
            <w:r>
              <w:t xml:space="preserve">GA October 2025 with steady feature additions</w:t>
            </w:r>
          </w:p>
        </w:tc>
      </w:tr>
      <w:tr>
        <w:tc>
          <w:tcPr/>
          <w:p>
            <w:pPr>
              <w:pStyle w:val="Compact"/>
              <w:jc w:val="left"/>
            </w:pPr>
            <w:r>
              <w:t xml:space="preserve">Cost / TCO</w:t>
            </w:r>
          </w:p>
        </w:tc>
        <w:tc>
          <w:tcPr/>
          <w:p>
            <w:pPr>
              <w:pStyle w:val="Compact"/>
              <w:jc w:val="right"/>
            </w:pPr>
            <w:r>
              <w:t xml:space="preserve">3</w:t>
            </w:r>
          </w:p>
        </w:tc>
        <w:tc>
          <w:tcPr/>
          <w:p>
            <w:pPr>
              <w:pStyle w:val="Compact"/>
              <w:jc w:val="left"/>
            </w:pPr>
            <w:r>
              <w:t xml:space="preserve">Published unit pricing for short- and long-term memory (B-REVA-S005), changed on 6 October 2026; extraction LLM cost on top; transparent, so 3 (consistent with Memory Bank)</w:t>
            </w:r>
          </w:p>
        </w:tc>
      </w:tr>
      <w:tr>
        <w:tc>
          <w:tcPr/>
          <w:p>
            <w:pPr>
              <w:pStyle w:val="Compact"/>
              <w:jc w:val="left"/>
            </w:pPr>
            <w:r>
              <w:t xml:space="preserve">Lock-in / portability</w:t>
            </w:r>
          </w:p>
        </w:tc>
        <w:tc>
          <w:tcPr/>
          <w:p>
            <w:pPr>
              <w:pStyle w:val="Compact"/>
              <w:jc w:val="right"/>
            </w:pPr>
            <w:r>
              <w:t xml:space="preserve">2</w:t>
            </w:r>
          </w:p>
        </w:tc>
        <w:tc>
          <w:tcPr/>
          <w:p>
            <w:pPr>
              <w:pStyle w:val="Compact"/>
              <w:jc w:val="left"/>
            </w:pPr>
            <w:r>
              <w:t xml:space="preserve">Proprietary AWS API; records listable for export; hyperscaler lock-in</w:t>
            </w:r>
          </w:p>
        </w:tc>
      </w:tr>
      <w:tr>
        <w:tc>
          <w:tcPr/>
          <w:p>
            <w:pPr>
              <w:pStyle w:val="Compact"/>
              <w:jc w:val="left"/>
            </w:pPr>
            <w:r>
              <w:rPr>
                <w:bCs/>
                <w:b/>
              </w:rPr>
              <w:t xml:space="preserve">Total (generic / FS)</w:t>
            </w:r>
          </w:p>
        </w:tc>
        <w:tc>
          <w:tcPr/>
          <w:p>
            <w:pPr>
              <w:pStyle w:val="Compact"/>
              <w:jc w:val="right"/>
            </w:pPr>
            <w:r>
              <w:rPr>
                <w:bCs/>
                <w:b/>
              </w:rPr>
              <w:t xml:space="preserve">3.30 / 3.20</w:t>
            </w:r>
          </w:p>
        </w:tc>
        <w:tc>
          <w:tcPr/>
          <w:p>
            <w:pPr>
              <w:pStyle w:val="Compact"/>
            </w:pPr>
          </w:p>
        </w:tc>
      </w:tr>
    </w:tbl>
    <w:p>
      <w:pPr>
        <w:pStyle w:val="BodyText"/>
      </w:pPr>
      <w:r>
        <w:rPr>
          <w:bCs/>
          <w:b/>
        </w:rPr>
        <w:t xml:space="preserve">Capabilities.</w:t>
      </w:r>
      <w:r>
        <w:t xml:space="preserve"> </w:t>
      </w:r>
      <w:r>
        <w:t xml:space="preserve">Managed memory in Amazon Bedrock AgentCore: short-term raw session events; long-term records via semantic, summary, user-preference, episodic or custom strategies, grouped by namespaces and retrieved by semantic search; self-managed strategy; record streaming; JSON-payload extraction (August 2026)</w:t>
      </w:r>
      <w:r>
        <w:t xml:space="preserve"> </w:t>
      </w:r>
      <w:r>
        <w:rPr>
          <w:rStyle w:val="ClaimLabel"/>
        </w:rPr>
        <w:t xml:space="preserve">VF</w:t>
      </w:r>
      <w:r>
        <w:rPr>
          <w:rStyle w:val="FootnoteReference"/>
        </w:rPr>
        <w:footnoteReference w:id="750"/>
      </w:r>
      <w:r>
        <w:t xml:space="preserve">.</w:t>
      </w:r>
    </w:p>
    <w:p>
      <w:pPr>
        <w:pStyle w:val="BodyText"/>
      </w:pPr>
      <w:r>
        <w:rPr>
          <w:bCs/>
          <w:b/>
        </w:rPr>
        <w:t xml:space="preserve">Strengths</w:t>
      </w:r>
    </w:p>
    <w:p>
      <w:pPr>
        <w:numPr>
          <w:ilvl w:val="0"/>
          <w:numId w:val="1173"/>
        </w:numPr>
        <w:pStyle w:val="Compact"/>
      </w:pPr>
      <w:r>
        <w:t xml:space="preserve">Detailed lifecycle documentation incl. per-user namespace erasure, batch delete and AWS guidance on retention policies</w:t>
      </w:r>
      <w:r>
        <w:t xml:space="preserve"> </w:t>
      </w:r>
      <w:r>
        <w:rPr>
          <w:rStyle w:val="ClaimLabel"/>
        </w:rPr>
        <w:t xml:space="preserve">VF</w:t>
      </w:r>
      <w:r>
        <w:rPr>
          <w:rStyle w:val="FootnoteReference"/>
        </w:rPr>
        <w:footnoteReference w:id="753"/>
      </w:r>
    </w:p>
    <w:p>
      <w:pPr>
        <w:numPr>
          <w:ilvl w:val="0"/>
          <w:numId w:val="1173"/>
        </w:numPr>
        <w:pStyle w:val="Compact"/>
      </w:pPr>
      <w:r>
        <w:t xml:space="preserve">KMS encryption with optional customer-managed key; AWS Config rule and Security Hub control flag memories without CMK</w:t>
      </w:r>
      <w:r>
        <w:t xml:space="preserve"> </w:t>
      </w:r>
      <w:r>
        <w:rPr>
          <w:rStyle w:val="ClaimLabel"/>
        </w:rPr>
        <w:t xml:space="preserve">VF</w:t>
      </w:r>
      <w:r>
        <w:rPr>
          <w:rStyle w:val="FootnoteReference"/>
        </w:rPr>
        <w:footnoteReference w:id="754"/>
      </w:r>
    </w:p>
    <w:p>
      <w:pPr>
        <w:numPr>
          <w:ilvl w:val="0"/>
          <w:numId w:val="1173"/>
        </w:numPr>
        <w:pStyle w:val="Compact"/>
      </w:pPr>
      <w:r>
        <w:t xml:space="preserve">AgentCore in AWS scope for SOC 1/2/3 and ISO/IEC 27001; HIPAA eligible</w:t>
      </w:r>
      <w:r>
        <w:t xml:space="preserve"> </w:t>
      </w:r>
      <w:r>
        <w:rPr>
          <w:rStyle w:val="ClaimLabel"/>
        </w:rPr>
        <w:t xml:space="preserve">VF</w:t>
      </w:r>
      <w:r>
        <w:rPr>
          <w:rStyle w:val="FootnoteReference"/>
        </w:rPr>
        <w:footnoteReference w:id="756"/>
      </w:r>
    </w:p>
    <w:p>
      <w:pPr>
        <w:numPr>
          <w:ilvl w:val="0"/>
          <w:numId w:val="1173"/>
        </w:numPr>
        <w:pStyle w:val="Compact"/>
      </w:pPr>
      <w:r>
        <w:t xml:space="preserve">VPC and PrivateLink</w:t>
      </w:r>
      <w:r>
        <w:t xml:space="preserve"> </w:t>
      </w:r>
      <w:r>
        <w:rPr>
          <w:rStyle w:val="ClaimLabel"/>
        </w:rPr>
        <w:t xml:space="preserve">VF</w:t>
      </w:r>
      <w:r>
        <w:rPr>
          <w:rStyle w:val="FootnoteReference"/>
        </w:rPr>
        <w:footnoteReference w:id="758"/>
      </w:r>
    </w:p>
    <w:p>
      <w:pPr>
        <w:pStyle w:val="FirstParagraph"/>
      </w:pPr>
      <w:r>
        <w:rPr>
          <w:bCs/>
          <w:b/>
        </w:rPr>
        <w:t xml:space="preserve">Limitations and risks</w:t>
      </w:r>
    </w:p>
    <w:p>
      <w:pPr>
        <w:numPr>
          <w:ilvl w:val="0"/>
          <w:numId w:val="1174"/>
        </w:numPr>
        <w:pStyle w:val="Compact"/>
      </w:pPr>
      <w:r>
        <w:t xml:space="preserve">No built-in TTL for long-term records; firm must build a pruner</w:t>
      </w:r>
      <w:r>
        <w:t xml:space="preserve"> </w:t>
      </w:r>
      <w:r>
        <w:rPr>
          <w:rStyle w:val="ClaimLabel"/>
        </w:rPr>
        <w:t xml:space="preserve">VF</w:t>
      </w:r>
      <w:r>
        <w:rPr>
          <w:rStyle w:val="FootnoteReference"/>
        </w:rPr>
        <w:footnoteReference w:id="759"/>
      </w:r>
    </w:p>
    <w:p>
      <w:pPr>
        <w:numPr>
          <w:ilvl w:val="0"/>
          <w:numId w:val="1174"/>
        </w:numPr>
        <w:pStyle w:val="Compact"/>
      </w:pPr>
      <w:r>
        <w:t xml:space="preserve">Harness-managed memory cannot be deleted via the Memory APIs</w:t>
      </w:r>
      <w:r>
        <w:t xml:space="preserve"> </w:t>
      </w:r>
      <w:r>
        <w:rPr>
          <w:rStyle w:val="ClaimLabel"/>
        </w:rPr>
        <w:t xml:space="preserve">VF</w:t>
      </w:r>
      <w:r>
        <w:rPr>
          <w:rStyle w:val="FootnoteReference"/>
        </w:rPr>
        <w:footnoteReference w:id="760"/>
      </w:r>
    </w:p>
    <w:p>
      <w:pPr>
        <w:numPr>
          <w:ilvl w:val="0"/>
          <w:numId w:val="1174"/>
        </w:numPr>
        <w:pStyle w:val="Compact"/>
      </w:pPr>
      <w:r>
        <w:t xml:space="preserve">Customer-managed key cannot be changed after creation for harness-managed memory</w:t>
      </w:r>
      <w:r>
        <w:t xml:space="preserve"> </w:t>
      </w:r>
      <w:r>
        <w:rPr>
          <w:rStyle w:val="ClaimLabel"/>
        </w:rPr>
        <w:t xml:space="preserve">VF</w:t>
      </w:r>
      <w:r>
        <w:rPr>
          <w:rStyle w:val="FootnoteReference"/>
        </w:rPr>
        <w:footnoteReference w:id="761"/>
      </w:r>
    </w:p>
    <w:p>
      <w:pPr>
        <w:numPr>
          <w:ilvl w:val="0"/>
          <w:numId w:val="1174"/>
        </w:numPr>
        <w:pStyle w:val="Compact"/>
      </w:pPr>
      <w:r>
        <w:t xml:space="preserve">AWS-only proprietary API</w:t>
      </w:r>
      <w:r>
        <w:t xml:space="preserve"> </w:t>
      </w:r>
      <w:r>
        <w:rPr>
          <w:rStyle w:val="ClaimLabel"/>
        </w:rPr>
        <w:t xml:space="preserve">VF</w:t>
      </w:r>
      <w:r>
        <w:rPr>
          <w:rStyle w:val="FootnoteReference"/>
        </w:rPr>
        <w:footnoteReference w:id="762"/>
      </w:r>
      <w:r>
        <w:t xml:space="preserve">; memory pricing changed on 6 October 2026 (short-term now per GB)</w:t>
      </w:r>
      <w:r>
        <w:t xml:space="preserve"> </w:t>
      </w:r>
      <w:r>
        <w:rPr>
          <w:rStyle w:val="ClaimLabel"/>
        </w:rPr>
        <w:t xml:space="preserve">VF</w:t>
      </w:r>
      <w:r>
        <w:rPr>
          <w:rStyle w:val="FootnoteReference"/>
        </w:rPr>
        <w:footnoteReference w:id="763"/>
      </w:r>
      <w:r>
        <w:t xml:space="preserve">; EU Region availability for Memory not individually verified</w:t>
      </w:r>
      <w:r>
        <w:t xml:space="preserve"> </w:t>
      </w:r>
      <w:r>
        <w:rPr>
          <w:rStyle w:val="ClaimLabel"/>
        </w:rPr>
        <w:t xml:space="preserve">VF</w:t>
      </w:r>
      <w:r>
        <w:rPr>
          <w:rStyle w:val="FootnoteReference"/>
        </w:rPr>
        <w:footnoteReference w:id="765"/>
      </w:r>
      <w:r>
        <w:t xml:space="preserve"> </w:t>
      </w:r>
      <w:r>
        <w:rPr>
          <w:rStyle w:val="ClaimLabel"/>
        </w:rPr>
        <w:t xml:space="preserve">NPV</w:t>
      </w:r>
    </w:p>
    <w:p>
      <w:pPr>
        <w:pStyle w:val="FirstParagraph"/>
      </w:pPr>
      <w:r>
        <w:rPr>
          <w:bCs/>
          <w:b/>
        </w:rPr>
        <w:t xml:space="preserve">Choose when</w:t>
      </w:r>
    </w:p>
    <w:p>
      <w:pPr>
        <w:numPr>
          <w:ilvl w:val="0"/>
          <w:numId w:val="1175"/>
        </w:numPr>
        <w:pStyle w:val="Compact"/>
      </w:pPr>
      <w:r>
        <w:t xml:space="preserve">The agent runs on AgentCore or Strands in AWS</w:t>
      </w:r>
      <w:r>
        <w:t xml:space="preserve"> </w:t>
      </w:r>
      <w:r>
        <w:rPr>
          <w:rStyle w:val="ClaimLabel"/>
        </w:rPr>
        <w:t xml:space="preserve">AJ</w:t>
      </w:r>
    </w:p>
    <w:p>
      <w:pPr>
        <w:pStyle w:val="FirstParagraph"/>
      </w:pPr>
      <w:r>
        <w:rPr>
          <w:bCs/>
          <w:b/>
        </w:rPr>
        <w:t xml:space="preserve">Avoid when</w:t>
      </w:r>
    </w:p>
    <w:p>
      <w:pPr>
        <w:numPr>
          <w:ilvl w:val="0"/>
          <w:numId w:val="1176"/>
        </w:numPr>
        <w:pStyle w:val="Compact"/>
      </w:pPr>
      <w:r>
        <w:t xml:space="preserve">You need memory portable across clouds, or the runtime is elsewhere</w:t>
      </w:r>
      <w:r>
        <w:t xml:space="preserve"> </w:t>
      </w:r>
      <w:r>
        <w:rPr>
          <w:rStyle w:val="ClaimLabel"/>
        </w:rPr>
        <w:t xml:space="preserve">AJ</w:t>
      </w:r>
    </w:p>
    <w:p>
      <w:pPr>
        <w:pStyle w:val="FirstParagraph"/>
      </w:pPr>
      <w:r>
        <w:rPr>
          <w:bCs/>
          <w:b/>
        </w:rPr>
        <w:t xml:space="preserve">Nearest competitors:</w:t>
      </w:r>
      <w:r>
        <w:t xml:space="preserve"> </w:t>
      </w:r>
      <w:r>
        <w:t xml:space="preserve">L5-gcp-vertex-memory-bank, L5-mem0, L5-zep</w:t>
      </w:r>
    </w:p>
    <w:p>
      <w:pPr>
        <w:pStyle w:val="BodyText"/>
      </w:pPr>
      <w:r>
        <w:rPr>
          <w:bCs/>
          <w:b/>
        </w:rPr>
        <w:t xml:space="preserve">Regulated-FS note.</w:t>
      </w:r>
      <w:r>
        <w:t xml:space="preserve"> </w:t>
      </w:r>
      <w:r>
        <w:t xml:space="preserve">Set a customer-managed key at creation, deploy the pruner on day one, confirm the Region list for UK/EU data, and keep a periodic export to the firm’s store; platform controls presumed (CP2 Q1), confirm per service</w:t>
      </w:r>
      <w:r>
        <w:t xml:space="preserve"> </w:t>
      </w:r>
      <w:r>
        <w:rPr>
          <w:rStyle w:val="ClaimLabel"/>
        </w:rPr>
        <w:t xml:space="preserve">Rec</w:t>
      </w:r>
      <w:r>
        <w:t xml:space="preserve">.</w:t>
      </w:r>
    </w:p>
    <w:p>
      <w:pPr>
        <w:pStyle w:val="BodyText"/>
      </w:pPr>
      <w:r>
        <w:rPr>
          <w:bCs/>
          <w:b/>
        </w:rPr>
        <w:t xml:space="preserve">Facts (as of 2026-10-08)</w:t>
      </w:r>
    </w:p>
    <w:tbl>
      <w:tblPr>
        <w:tblStyle w:val="Table"/>
        <w:tblW w:type="pct" w:w="5000"/>
        <w:tblLook w:firstRow="1" w:lastRow="0" w:firstColumn="0" w:lastColumn="0" w:noHBand="0" w:noVBand="0" w:val="0020"/>
        <w:jc w:val="start"/>
      </w:tblPr>
      <w:tblGrid>
        <w:gridCol w:w="1485"/>
        <w:gridCol w:w="4290"/>
        <w:gridCol w:w="1320"/>
        <w:gridCol w:w="825"/>
      </w:tblGrid>
      <w:tr>
        <w:trPr>
          <w:tblHeader w:val="true"/>
        </w:trPr>
        <w:tc>
          <w:tcPr/>
          <w:p>
            <w:pPr>
              <w:pStyle w:val="Compact"/>
              <w:jc w:val="left"/>
            </w:pPr>
            <w:r>
              <w:t xml:space="preserve">Field</w:t>
            </w:r>
          </w:p>
        </w:tc>
        <w:tc>
          <w:tcPr/>
          <w:p>
            <w:pPr>
              <w:pStyle w:val="Compact"/>
              <w:jc w:val="left"/>
            </w:pPr>
            <w:r>
              <w:t xml:space="preserve">Value</w:t>
            </w:r>
          </w:p>
        </w:tc>
        <w:tc>
          <w:tcPr/>
          <w:p>
            <w:pPr>
              <w:pStyle w:val="Compact"/>
              <w:jc w:val="left"/>
            </w:pPr>
            <w:r>
              <w:t xml:space="preserve">Label</w:t>
            </w:r>
          </w:p>
        </w:tc>
        <w:tc>
          <w:tcPr/>
          <w:p>
            <w:pPr>
              <w:pStyle w:val="Compact"/>
              <w:jc w:val="left"/>
            </w:pPr>
            <w:r>
              <w:t xml:space="preserve">Sources</w:t>
            </w:r>
          </w:p>
        </w:tc>
      </w:tr>
      <w:tr>
        <w:tc>
          <w:tcPr/>
          <w:p>
            <w:pPr>
              <w:pStyle w:val="Compact"/>
              <w:jc w:val="left"/>
            </w:pPr>
            <w:r>
              <w:t xml:space="preserve">Company</w:t>
            </w:r>
          </w:p>
        </w:tc>
        <w:tc>
          <w:tcPr/>
          <w:p>
            <w:pPr>
              <w:pStyle w:val="Compact"/>
              <w:jc w:val="left"/>
            </w:pPr>
            <w:r>
              <w:t xml:space="preserve">Amazon Web Services</w:t>
            </w:r>
          </w:p>
        </w:tc>
        <w:tc>
          <w:tcPr/>
          <w:p>
            <w:pPr>
              <w:pStyle w:val="Compact"/>
              <w:jc w:val="left"/>
            </w:pPr>
            <w:r>
              <w:t xml:space="preserve">Verified fact</w:t>
            </w:r>
          </w:p>
        </w:tc>
        <w:tc>
          <w:tcPr/>
          <w:p>
            <w:pPr>
              <w:pStyle w:val="Compact"/>
              <w:jc w:val="left"/>
            </w:pPr>
            <w:r>
              <w:t xml:space="preserve">A3-S047</w:t>
            </w:r>
          </w:p>
        </w:tc>
      </w:tr>
      <w:tr>
        <w:tc>
          <w:tcPr/>
          <w:p>
            <w:pPr>
              <w:pStyle w:val="Compact"/>
              <w:jc w:val="left"/>
            </w:pPr>
            <w:r>
              <w:t xml:space="preserve">Category</w:t>
            </w:r>
          </w:p>
        </w:tc>
        <w:tc>
          <w:tcPr/>
          <w:p>
            <w:pPr>
              <w:pStyle w:val="Compact"/>
              <w:jc w:val="left"/>
            </w:pPr>
            <w:r>
              <w:t xml:space="preserve">Cloud-platform managed agent memory service</w:t>
            </w:r>
          </w:p>
        </w:tc>
        <w:tc>
          <w:tcPr/>
          <w:p>
            <w:pPr>
              <w:pStyle w:val="Compact"/>
              <w:jc w:val="left"/>
            </w:pPr>
            <w:r>
              <w:t xml:space="preserve">Verified fact</w:t>
            </w:r>
          </w:p>
        </w:tc>
        <w:tc>
          <w:tcPr/>
          <w:p>
            <w:pPr>
              <w:pStyle w:val="Compact"/>
              <w:jc w:val="left"/>
            </w:pPr>
            <w:r>
              <w:t xml:space="preserve">A3-S047</w:t>
            </w:r>
          </w:p>
        </w:tc>
      </w:tr>
      <w:tr>
        <w:tc>
          <w:tcPr/>
          <w:p>
            <w:pPr>
              <w:pStyle w:val="Compact"/>
              <w:jc w:val="left"/>
            </w:pPr>
            <w:r>
              <w:t xml:space="preserve">Version / lineup</w:t>
            </w:r>
          </w:p>
        </w:tc>
        <w:tc>
          <w:tcPr/>
          <w:p>
            <w:pPr>
              <w:pStyle w:val="Compact"/>
              <w:jc w:val="left"/>
            </w:pPr>
            <w:r>
              <w:t xml:space="preserve">Generally available since October 2025 as part of Amazon Bedrock AgentCore; AgentCore harness GA auto-provisions managed memory</w:t>
            </w:r>
          </w:p>
        </w:tc>
        <w:tc>
          <w:tcPr/>
          <w:p>
            <w:pPr>
              <w:pStyle w:val="Compact"/>
              <w:jc w:val="left"/>
            </w:pPr>
            <w:r>
              <w:t xml:space="preserve">Verified fact</w:t>
            </w:r>
          </w:p>
        </w:tc>
        <w:tc>
          <w:tcPr/>
          <w:p>
            <w:pPr>
              <w:pStyle w:val="Compact"/>
              <w:jc w:val="left"/>
            </w:pPr>
            <w:r>
              <w:t xml:space="preserve">A3-S047, A3-S048</w:t>
            </w:r>
          </w:p>
        </w:tc>
      </w:tr>
      <w:tr>
        <w:tc>
          <w:tcPr/>
          <w:p>
            <w:pPr>
              <w:pStyle w:val="Compact"/>
              <w:jc w:val="left"/>
            </w:pPr>
            <w:r>
              <w:t xml:space="preserve">Licence</w:t>
            </w:r>
          </w:p>
        </w:tc>
        <w:tc>
          <w:tcPr/>
          <w:p>
            <w:pPr>
              <w:pStyle w:val="Compact"/>
              <w:jc w:val="left"/>
            </w:pPr>
            <w:r>
              <w:t xml:space="preserve">Proprietary managed service</w:t>
            </w:r>
          </w:p>
        </w:tc>
        <w:tc>
          <w:tcPr/>
          <w:p>
            <w:pPr>
              <w:pStyle w:val="Compact"/>
              <w:jc w:val="left"/>
            </w:pPr>
            <w:r>
              <w:t xml:space="preserve">Verified fact</w:t>
            </w:r>
          </w:p>
        </w:tc>
        <w:tc>
          <w:tcPr/>
          <w:p>
            <w:pPr>
              <w:pStyle w:val="Compact"/>
              <w:jc w:val="left"/>
            </w:pPr>
            <w:r>
              <w:t xml:space="preserve">A3-S047</w:t>
            </w:r>
          </w:p>
        </w:tc>
      </w:tr>
      <w:tr>
        <w:tc>
          <w:tcPr/>
          <w:p>
            <w:pPr>
              <w:pStyle w:val="Compact"/>
              <w:jc w:val="left"/>
            </w:pPr>
            <w:r>
              <w:t xml:space="preserve">Status events</w:t>
            </w:r>
          </w:p>
        </w:tc>
        <w:tc>
          <w:tcPr/>
          <w:p>
            <w:pPr>
              <w:pStyle w:val="Compact"/>
              <w:jc w:val="left"/>
            </w:pPr>
            <w:r>
              <w:t xml:space="preserve">13 October 2025: AgentCore GA (Memory included; nine Regions at launch, fifteen by October 2026); August 2026: extraction from non-conversational JSON payloads</w:t>
            </w:r>
          </w:p>
        </w:tc>
        <w:tc>
          <w:tcPr/>
          <w:p>
            <w:pPr>
              <w:pStyle w:val="Compact"/>
              <w:jc w:val="left"/>
            </w:pPr>
            <w:r>
              <w:t xml:space="preserve">Verified fact</w:t>
            </w:r>
          </w:p>
        </w:tc>
        <w:tc>
          <w:tcPr/>
          <w:p>
            <w:pPr>
              <w:pStyle w:val="Compact"/>
              <w:jc w:val="left"/>
            </w:pPr>
            <w:r>
              <w:t xml:space="preserve">A3-S047, A3-S111, V1-S087</w:t>
            </w:r>
          </w:p>
        </w:tc>
      </w:tr>
      <w:tr>
        <w:tc>
          <w:tcPr/>
          <w:p>
            <w:pPr>
              <w:pStyle w:val="Compact"/>
              <w:jc w:val="left"/>
            </w:pPr>
            <w:r>
              <w:t xml:space="preserve">Strategic direction</w:t>
            </w:r>
          </w:p>
        </w:tc>
        <w:tc>
          <w:tcPr/>
          <w:p>
            <w:pPr>
              <w:pStyle w:val="Compact"/>
              <w:jc w:val="left"/>
            </w:pPr>
            <w:r>
              <w:t xml:space="preserve">Self-managed memory strategy gives control of extraction and consolidation pipelines; bundled into AgentCore harness</w:t>
            </w:r>
          </w:p>
        </w:tc>
        <w:tc>
          <w:tcPr/>
          <w:p>
            <w:pPr>
              <w:pStyle w:val="Compact"/>
              <w:jc w:val="left"/>
            </w:pPr>
            <w:r>
              <w:t xml:space="preserve">Verified fact</w:t>
            </w:r>
          </w:p>
        </w:tc>
        <w:tc>
          <w:tcPr/>
          <w:p>
            <w:pPr>
              <w:pStyle w:val="Compact"/>
              <w:jc w:val="left"/>
            </w:pPr>
            <w:r>
              <w:t xml:space="preserve">A3-S047, A3-S048</w:t>
            </w:r>
          </w:p>
        </w:tc>
      </w:tr>
      <w:tr>
        <w:tc>
          <w:tcPr/>
          <w:p>
            <w:pPr>
              <w:pStyle w:val="Compact"/>
              <w:jc w:val="left"/>
            </w:pPr>
            <w:r>
              <w:t xml:space="preserve">What it does</w:t>
            </w:r>
          </w:p>
        </w:tc>
        <w:tc>
          <w:tcPr/>
          <w:p>
            <w:pPr>
              <w:pStyle w:val="Compact"/>
              <w:jc w:val="left"/>
            </w:pPr>
            <w:r>
              <w:t xml:space="preserve">Short-term memory stores raw session events (messages, tool calls); long-term memory extracts records via strategies (semantic, summary, user preference, episodic, custom model/prompt) retrievable by semantic search, grouped by namespaces</w:t>
            </w:r>
          </w:p>
        </w:tc>
        <w:tc>
          <w:tcPr/>
          <w:p>
            <w:pPr>
              <w:pStyle w:val="Compact"/>
              <w:jc w:val="left"/>
            </w:pPr>
            <w:r>
              <w:t xml:space="preserve">Verified fact</w:t>
            </w:r>
          </w:p>
        </w:tc>
        <w:tc>
          <w:tcPr/>
          <w:p>
            <w:pPr>
              <w:pStyle w:val="Compact"/>
              <w:jc w:val="left"/>
            </w:pPr>
            <w:r>
              <w:t xml:space="preserve">A3-S111</w:t>
            </w:r>
          </w:p>
        </w:tc>
      </w:tr>
      <w:tr>
        <w:tc>
          <w:tcPr/>
          <w:p>
            <w:pPr>
              <w:pStyle w:val="Compact"/>
              <w:jc w:val="left"/>
            </w:pPr>
            <w:r>
              <w:t xml:space="preserve">Stack position</w:t>
            </w:r>
          </w:p>
        </w:tc>
        <w:tc>
          <w:tcPr/>
          <w:p>
            <w:pPr>
              <w:pStyle w:val="Compact"/>
              <w:jc w:val="left"/>
            </w:pPr>
            <w:r>
              <w:t xml:space="preserve">Platform-native alternative to independent L5 memory products</w:t>
            </w:r>
          </w:p>
        </w:tc>
        <w:tc>
          <w:tcPr/>
          <w:p>
            <w:pPr>
              <w:pStyle w:val="Compact"/>
              <w:jc w:val="left"/>
            </w:pPr>
            <w:r>
              <w:t xml:space="preserve">Architectural judgement</w:t>
            </w:r>
          </w:p>
        </w:tc>
        <w:tc>
          <w:tcPr/>
          <w:p>
            <w:pPr>
              <w:pStyle w:val="Compact"/>
            </w:pPr>
          </w:p>
        </w:tc>
      </w:tr>
      <w:tr>
        <w:tc>
          <w:tcPr/>
          <w:p>
            <w:pPr>
              <w:pStyle w:val="Compact"/>
              <w:jc w:val="left"/>
            </w:pPr>
            <w:r>
              <w:t xml:space="preserve">Integration</w:t>
            </w:r>
          </w:p>
        </w:tc>
        <w:tc>
          <w:tcPr/>
          <w:p>
            <w:pPr>
              <w:pStyle w:val="Compact"/>
              <w:jc w:val="left"/>
            </w:pPr>
            <w:r>
              <w:t xml:space="preserve">AgentCore APIs (CreateMemory, ListMemoryRecords, DeleteMemoryRecord, BatchDeleteMemoryRecords); record streaming events; Strands Agents SDK integration; JSON-payload extraction (August 2026)</w:t>
            </w:r>
          </w:p>
        </w:tc>
        <w:tc>
          <w:tcPr/>
          <w:p>
            <w:pPr>
              <w:pStyle w:val="Compact"/>
              <w:jc w:val="left"/>
            </w:pPr>
            <w:r>
              <w:t xml:space="preserve">Verified fact</w:t>
            </w:r>
          </w:p>
        </w:tc>
        <w:tc>
          <w:tcPr/>
          <w:p>
            <w:pPr>
              <w:pStyle w:val="Compact"/>
              <w:jc w:val="left"/>
            </w:pPr>
            <w:r>
              <w:t xml:space="preserve">A3-S111</w:t>
            </w:r>
          </w:p>
        </w:tc>
      </w:tr>
      <w:tr>
        <w:tc>
          <w:tcPr/>
          <w:p>
            <w:pPr>
              <w:pStyle w:val="Compact"/>
              <w:jc w:val="left"/>
            </w:pPr>
            <w:r>
              <w:t xml:space="preserve">Dependencies</w:t>
            </w:r>
          </w:p>
        </w:tc>
        <w:tc>
          <w:tcPr/>
          <w:p>
            <w:pPr>
              <w:pStyle w:val="Compact"/>
              <w:jc w:val="left"/>
            </w:pPr>
            <w:r>
              <w:t xml:space="preserve">AWS account; part of Amazon Bedrock AgentCore</w:t>
            </w:r>
          </w:p>
        </w:tc>
        <w:tc>
          <w:tcPr/>
          <w:p>
            <w:pPr>
              <w:pStyle w:val="Compact"/>
              <w:jc w:val="left"/>
            </w:pPr>
            <w:r>
              <w:t xml:space="preserve">Verified fact</w:t>
            </w:r>
          </w:p>
        </w:tc>
        <w:tc>
          <w:tcPr/>
          <w:p>
            <w:pPr>
              <w:pStyle w:val="Compact"/>
              <w:jc w:val="left"/>
            </w:pPr>
            <w:r>
              <w:t xml:space="preserve">A3-S047</w:t>
            </w:r>
          </w:p>
        </w:tc>
      </w:tr>
      <w:tr>
        <w:tc>
          <w:tcPr/>
          <w:p>
            <w:pPr>
              <w:pStyle w:val="Compact"/>
              <w:jc w:val="left"/>
            </w:pPr>
            <w:r>
              <w:t xml:space="preserve">Certifications</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GDPR / residency</w:t>
            </w:r>
          </w:p>
        </w:tc>
        <w:tc>
          <w:tcPr/>
          <w:p>
            <w:pPr>
              <w:pStyle w:val="Compact"/>
              <w:jc w:val="left"/>
            </w:pPr>
            <w:r>
              <w:t xml:space="preserve">AgentCore available in 15 AWS Regions (EU regions not individually verified)</w:t>
            </w:r>
          </w:p>
        </w:tc>
        <w:tc>
          <w:tcPr/>
          <w:p>
            <w:pPr>
              <w:pStyle w:val="Compact"/>
              <w:jc w:val="left"/>
            </w:pPr>
            <w:r>
              <w:t xml:space="preserve">Verified fact</w:t>
            </w:r>
          </w:p>
        </w:tc>
        <w:tc>
          <w:tcPr/>
          <w:p>
            <w:pPr>
              <w:pStyle w:val="Compact"/>
              <w:jc w:val="left"/>
            </w:pPr>
            <w:r>
              <w:t xml:space="preserve">A3-S048</w:t>
            </w:r>
          </w:p>
        </w:tc>
      </w:tr>
      <w:tr>
        <w:tc>
          <w:tcPr/>
          <w:p>
            <w:pPr>
              <w:pStyle w:val="Compact"/>
              <w:jc w:val="left"/>
            </w:pPr>
            <w:r>
              <w:t xml:space="preserve">Security features</w:t>
            </w:r>
          </w:p>
        </w:tc>
        <w:tc>
          <w:tcPr/>
          <w:p>
            <w:pPr>
              <w:pStyle w:val="Compact"/>
              <w:jc w:val="left"/>
            </w:pPr>
            <w:r>
              <w:t xml:space="preserve">VPC, PrivateLink, CloudFormation and tagging across AgentCore; event expiry for short-term events (7-365 days per API reference, minimum value conflict); no built-in TTL for long-term records (AWS recommends a pruner using timestamp filters); per-user erasure by listing and deleting namespace records; deleting a memory resource removes all events and records; harness-managed memory cannot be deleted via Memory APIs</w:t>
            </w:r>
          </w:p>
        </w:tc>
        <w:tc>
          <w:tcPr/>
          <w:p>
            <w:pPr>
              <w:pStyle w:val="Compact"/>
              <w:jc w:val="left"/>
            </w:pPr>
            <w:r>
              <w:t xml:space="preserve">Verified fact</w:t>
            </w:r>
          </w:p>
        </w:tc>
        <w:tc>
          <w:tcPr/>
          <w:p>
            <w:pPr>
              <w:pStyle w:val="Compact"/>
              <w:jc w:val="left"/>
            </w:pPr>
            <w:r>
              <w:t xml:space="preserve">A3-S047, A3-S111</w:t>
            </w:r>
          </w:p>
        </w:tc>
      </w:tr>
      <w:tr>
        <w:tc>
          <w:tcPr/>
          <w:p>
            <w:pPr>
              <w:pStyle w:val="Compact"/>
              <w:jc w:val="left"/>
            </w:pPr>
            <w:r>
              <w:t xml:space="preserve">Access controls</w:t>
            </w:r>
          </w:p>
        </w:tc>
        <w:tc>
          <w:tcPr/>
          <w:p>
            <w:pPr>
              <w:pStyle w:val="Compact"/>
              <w:jc w:val="left"/>
            </w:pPr>
            <w:r>
              <w:t xml:space="preserve">AWS IAM (assumed from platform; not separately verified for Memory)</w:t>
            </w:r>
          </w:p>
        </w:tc>
        <w:tc>
          <w:tcPr/>
          <w:p>
            <w:pPr>
              <w:pStyle w:val="Compact"/>
              <w:jc w:val="left"/>
            </w:pPr>
            <w:r>
              <w:t xml:space="preserve">Architectural judgement</w:t>
            </w:r>
          </w:p>
        </w:tc>
        <w:tc>
          <w:tcPr/>
          <w:p>
            <w:pPr>
              <w:pStyle w:val="Compact"/>
            </w:pPr>
          </w:p>
        </w:tc>
      </w:tr>
      <w:tr>
        <w:tc>
          <w:tcPr/>
          <w:p>
            <w:pPr>
              <w:pStyle w:val="Compact"/>
              <w:jc w:val="left"/>
            </w:pPr>
            <w:r>
              <w:t xml:space="preserve">Enterprise support</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Pricing</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Infrastructure cost</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Ecosystem</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Adoption signals</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Maturity</w:t>
            </w:r>
          </w:p>
        </w:tc>
        <w:tc>
          <w:tcPr/>
          <w:p>
            <w:pPr>
              <w:pStyle w:val="Compact"/>
              <w:jc w:val="left"/>
            </w:pPr>
            <w:r>
              <w:t xml:space="preserve">GA October 2025</w:t>
            </w:r>
          </w:p>
        </w:tc>
        <w:tc>
          <w:tcPr/>
          <w:p>
            <w:pPr>
              <w:pStyle w:val="Compact"/>
              <w:jc w:val="left"/>
            </w:pPr>
            <w:r>
              <w:t xml:space="preserve">Verified fact</w:t>
            </w:r>
          </w:p>
        </w:tc>
        <w:tc>
          <w:tcPr/>
          <w:p>
            <w:pPr>
              <w:pStyle w:val="Compact"/>
              <w:jc w:val="left"/>
            </w:pPr>
            <w:r>
              <w:t xml:space="preserve">A3-S047, V1-S087</w:t>
            </w:r>
          </w:p>
        </w:tc>
      </w:tr>
      <w:tr>
        <w:tc>
          <w:tcPr/>
          <w:p>
            <w:pPr>
              <w:pStyle w:val="Compact"/>
              <w:jc w:val="left"/>
            </w:pPr>
            <w:r>
              <w:t xml:space="preserve">Deployment</w:t>
            </w:r>
          </w:p>
        </w:tc>
        <w:tc>
          <w:tcPr/>
          <w:p>
            <w:pPr>
              <w:pStyle w:val="Compact"/>
              <w:jc w:val="left"/>
            </w:pPr>
            <w:r>
              <w:t xml:space="preserve">saas: Yes (AWS managed); managed_cloud: Yes; vpc_byoc: VPC and AWS PrivateLink supported; private_cloud: Not publicly verified; self_hosted: No; on_prem: No</w:t>
            </w:r>
          </w:p>
        </w:tc>
        <w:tc>
          <w:tcPr/>
          <w:p>
            <w:pPr>
              <w:pStyle w:val="Compact"/>
            </w:pPr>
          </w:p>
        </w:tc>
        <w:tc>
          <w:tcPr/>
          <w:p>
            <w:pPr>
              <w:pStyle w:val="Compact"/>
            </w:pPr>
          </w:p>
        </w:tc>
      </w:tr>
    </w:tbl>
    <w:bookmarkEnd w:id="767"/>
    <w:bookmarkStart w:id="781" w:name="X3ff063b0817f74376e23bb67c929463e5c24945"/>
    <w:p>
      <w:pPr>
        <w:pStyle w:val="Heading2"/>
      </w:pPr>
      <w:r>
        <w:t xml:space="preserve">Vertex AI Agent Engine Memory Bank (newer docs:</w:t>
      </w:r>
      <w:r>
        <w:t xml:space="preserve"> </w:t>
      </w:r>
      <w:r>
        <w:t xml:space="preserve">‘</w:t>
      </w:r>
      <w:r>
        <w:t xml:space="preserve">Agent Platform Memory Bank</w:t>
      </w:r>
      <w:r>
        <w:t xml:space="preserve">’</w:t>
      </w:r>
      <w:r>
        <w:t xml:space="preserve"> </w:t>
      </w:r>
      <w:r>
        <w:t xml:space="preserve">in Gemini Enterprise Agent Platform) (</w:t>
      </w:r>
      <w:r>
        <w:rPr>
          <w:rStyle w:val="VerbatimChar"/>
        </w:rPr>
        <w:t xml:space="preserve">L5-gcp-vertex-memory-bank</w:t>
      </w:r>
      <w:r>
        <w:t xml:space="preserve">)</w:t>
      </w:r>
    </w:p>
    <w:p>
      <w:pPr>
        <w:pStyle w:val="FirstParagraph"/>
      </w:pPr>
      <w:r>
        <w:rPr>
          <w:bCs/>
          <w:b/>
        </w:rPr>
        <w:t xml:space="preserve">Tier:</w:t>
      </w:r>
      <w:r>
        <w:t xml:space="preserve"> </w:t>
      </w:r>
      <w:r>
        <w:t xml:space="preserve">Strategic ·</w:t>
      </w:r>
      <w:r>
        <w:t xml:space="preserve"> </w:t>
      </w:r>
      <w:r>
        <w:rPr>
          <w:bCs/>
          <w:b/>
        </w:rPr>
        <w:t xml:space="preserve">Flags:</w:t>
      </w:r>
      <w:r>
        <w:t xml:space="preserve"> </w:t>
      </w:r>
      <w:r>
        <w:t xml:space="preserve">Renamed ·</w:t>
      </w:r>
      <w:r>
        <w:t xml:space="preserve"> </w:t>
      </w:r>
      <w:r>
        <w:rPr>
          <w:bCs/>
          <w:b/>
        </w:rPr>
        <w:t xml:space="preserve">Original graphic label:</w:t>
      </w:r>
      <w:r>
        <w:t xml:space="preserve"> </w:t>
      </w:r>
      <w:r>
        <w:t xml:space="preserve">not in graphic</w:t>
      </w:r>
    </w:p>
    <w:p>
      <w:pPr>
        <w:pStyle w:val="BodyText"/>
      </w:pPr>
      <w:r>
        <w:rPr>
          <w:iCs/>
          <w:i/>
        </w:rPr>
        <w:t xml:space="preserve">Rationale:</w:t>
      </w:r>
      <w:r>
        <w:t xml:space="preserve"> </w:t>
      </w:r>
      <w:r>
        <w:t xml:space="preserve">Strategic, conditional: where Google Cloud is your primary cloud and the agent runtime is Agent Engine (CP3 Q2, rubric rule 10). Google’s lead managed agent memory service with a strong scope model; written confirmation of data residency (the feature table and residency terms conflict) and a regional CMEK endpoint are part of the condition</w:t>
      </w:r>
      <w:r>
        <w:t xml:space="preserve"> </w:t>
      </w:r>
      <w:r>
        <w:rPr>
          <w:rStyle w:val="ClaimLabel"/>
        </w:rPr>
        <w:t xml:space="preserve">AJ</w:t>
      </w:r>
      <w:r>
        <w:t xml:space="preserve">.</w:t>
      </w:r>
    </w:p>
    <w:tbl>
      <w:tblPr>
        <w:tblStyle w:val="Table"/>
        <w:tblW w:type="pct" w:w="5000"/>
        <w:tblLook w:firstRow="1" w:lastRow="0" w:firstColumn="0" w:lastColumn="0" w:noHBand="0" w:noVBand="0" w:val="0020"/>
        <w:jc w:val="start"/>
      </w:tblPr>
      <w:tblGrid>
        <w:gridCol w:w="1545"/>
        <w:gridCol w:w="579"/>
        <w:gridCol w:w="5795"/>
      </w:tblGrid>
      <w:tr>
        <w:trPr>
          <w:tblHeader w:val="true"/>
        </w:trPr>
        <w:tc>
          <w:tcPr/>
          <w:p>
            <w:pPr>
              <w:pStyle w:val="Compact"/>
              <w:jc w:val="left"/>
            </w:pPr>
            <w:r>
              <w:t xml:space="preserve">Criterion</w:t>
            </w:r>
          </w:p>
        </w:tc>
        <w:tc>
          <w:tcPr/>
          <w:p>
            <w:pPr>
              <w:pStyle w:val="Compact"/>
              <w:jc w:val="right"/>
            </w:pPr>
            <w:r>
              <w:t xml:space="preserve">Score</w:t>
            </w:r>
          </w:p>
        </w:tc>
        <w:tc>
          <w:tcPr/>
          <w:p>
            <w:pPr>
              <w:pStyle w:val="Compact"/>
              <w:jc w:val="left"/>
            </w:pPr>
            <w:r>
              <w:t xml:space="preserve">Rationale</w:t>
            </w:r>
          </w:p>
        </w:tc>
      </w:tr>
      <w:tr>
        <w:tc>
          <w:tcPr/>
          <w:p>
            <w:pPr>
              <w:pStyle w:val="Compact"/>
              <w:jc w:val="left"/>
            </w:pPr>
            <w:r>
              <w:t xml:space="preserve">Technical</w:t>
            </w:r>
          </w:p>
        </w:tc>
        <w:tc>
          <w:tcPr/>
          <w:p>
            <w:pPr>
              <w:pStyle w:val="Compact"/>
              <w:jc w:val="right"/>
            </w:pPr>
            <w:r>
              <w:t xml:space="preserve">4</w:t>
            </w:r>
          </w:p>
        </w:tc>
        <w:tc>
          <w:tcPr/>
          <w:p>
            <w:pPr>
              <w:pStyle w:val="Compact"/>
              <w:jc w:val="left"/>
            </w:pPr>
            <w:r>
              <w:t xml:space="preserve">Extraction, consolidation, scoping, TTL and revisions</w:t>
            </w:r>
          </w:p>
        </w:tc>
      </w:tr>
      <w:tr>
        <w:tc>
          <w:tcPr/>
          <w:p>
            <w:pPr>
              <w:pStyle w:val="Compact"/>
              <w:jc w:val="left"/>
            </w:pPr>
            <w:r>
              <w:t xml:space="preserve">Enterprise readiness</w:t>
            </w:r>
          </w:p>
        </w:tc>
        <w:tc>
          <w:tcPr/>
          <w:p>
            <w:pPr>
              <w:pStyle w:val="Compact"/>
              <w:jc w:val="right"/>
            </w:pPr>
            <w:r>
              <w:t xml:space="preserve">4</w:t>
            </w:r>
          </w:p>
        </w:tc>
        <w:tc>
          <w:tcPr/>
          <w:p>
            <w:pPr>
              <w:pStyle w:val="Compact"/>
              <w:jc w:val="left"/>
            </w:pPr>
            <w:r>
              <w:t xml:space="preserve">Hyperscaler presumption (CP2 Q1): Google Cloud IAM, Cloud Audit Logs and SSO federation. Platform controls presumed (CP2 Q1); confirm per service</w:t>
            </w:r>
          </w:p>
        </w:tc>
      </w:tr>
      <w:tr>
        <w:tc>
          <w:tcPr/>
          <w:p>
            <w:pPr>
              <w:pStyle w:val="Compact"/>
              <w:jc w:val="left"/>
            </w:pPr>
            <w:r>
              <w:t xml:space="preserve">Security and compliance</w:t>
            </w:r>
          </w:p>
        </w:tc>
        <w:tc>
          <w:tcPr/>
          <w:p>
            <w:pPr>
              <w:pStyle w:val="Compact"/>
              <w:jc w:val="right"/>
            </w:pPr>
            <w:r>
              <w:t xml:space="preserve">4</w:t>
            </w:r>
          </w:p>
        </w:tc>
        <w:tc>
          <w:tcPr/>
          <w:p>
            <w:pPr>
              <w:pStyle w:val="Compact"/>
              <w:jc w:val="left"/>
            </w:pPr>
            <w:r>
              <w:t xml:space="preserve">Platform-level SOC 2, ISO 27001, ISO 42001 with product scope not stated (rule 8: one below the anchor of 5), plus CMEK and VPC-SC; residency conflict noted</w:t>
            </w:r>
          </w:p>
        </w:tc>
      </w:tr>
      <w:tr>
        <w:tc>
          <w:tcPr/>
          <w:p>
            <w:pPr>
              <w:pStyle w:val="Compact"/>
              <w:jc w:val="left"/>
            </w:pPr>
            <w:r>
              <w:t xml:space="preserve">Deployment flexibility</w:t>
            </w:r>
          </w:p>
        </w:tc>
        <w:tc>
          <w:tcPr/>
          <w:p>
            <w:pPr>
              <w:pStyle w:val="Compact"/>
              <w:jc w:val="right"/>
            </w:pPr>
            <w:r>
              <w:t xml:space="preserve">2</w:t>
            </w:r>
          </w:p>
        </w:tc>
        <w:tc>
          <w:tcPr/>
          <w:p>
            <w:pPr>
              <w:pStyle w:val="Compact"/>
              <w:jc w:val="left"/>
            </w:pPr>
            <w:r>
              <w:t xml:space="preserve">Google Cloud managed only; no self-host</w:t>
            </w:r>
          </w:p>
        </w:tc>
      </w:tr>
      <w:tr>
        <w:tc>
          <w:tcPr/>
          <w:p>
            <w:pPr>
              <w:pStyle w:val="Compact"/>
              <w:jc w:val="left"/>
            </w:pPr>
            <w:r>
              <w:t xml:space="preserve">Ecosystem</w:t>
            </w:r>
          </w:p>
        </w:tc>
        <w:tc>
          <w:tcPr/>
          <w:p>
            <w:pPr>
              <w:pStyle w:val="Compact"/>
              <w:jc w:val="right"/>
            </w:pPr>
            <w:r>
              <w:t xml:space="preserve">3</w:t>
            </w:r>
          </w:p>
        </w:tc>
        <w:tc>
          <w:tcPr/>
          <w:p>
            <w:pPr>
              <w:pStyle w:val="Compact"/>
              <w:jc w:val="left"/>
            </w:pPr>
            <w:r>
              <w:t xml:space="preserve">ADK, LangGraph and CrewAI samples</w:t>
            </w:r>
          </w:p>
        </w:tc>
      </w:tr>
      <w:tr>
        <w:tc>
          <w:tcPr/>
          <w:p>
            <w:pPr>
              <w:pStyle w:val="Compact"/>
              <w:jc w:val="left"/>
            </w:pPr>
            <w:r>
              <w:t xml:space="preserve">Reliability and maturity</w:t>
            </w:r>
          </w:p>
        </w:tc>
        <w:tc>
          <w:tcPr/>
          <w:p>
            <w:pPr>
              <w:pStyle w:val="Compact"/>
              <w:jc w:val="right"/>
            </w:pPr>
            <w:r>
              <w:t xml:space="preserve">3</w:t>
            </w:r>
          </w:p>
        </w:tc>
        <w:tc>
          <w:tcPr/>
          <w:p>
            <w:pPr>
              <w:pStyle w:val="Compact"/>
              <w:jc w:val="left"/>
            </w:pPr>
            <w:r>
              <w:t xml:space="preserve">Preview July 2025, GA December 2025, billing from January 2026; rebranding under way</w:t>
            </w:r>
          </w:p>
        </w:tc>
      </w:tr>
      <w:tr>
        <w:tc>
          <w:tcPr/>
          <w:p>
            <w:pPr>
              <w:pStyle w:val="Compact"/>
              <w:jc w:val="left"/>
            </w:pPr>
            <w:r>
              <w:t xml:space="preserve">Cost / TCO</w:t>
            </w:r>
          </w:p>
        </w:tc>
        <w:tc>
          <w:tcPr/>
          <w:p>
            <w:pPr>
              <w:pStyle w:val="Compact"/>
              <w:jc w:val="right"/>
            </w:pPr>
            <w:r>
              <w:t xml:space="preserve">3</w:t>
            </w:r>
          </w:p>
        </w:tc>
        <w:tc>
          <w:tcPr/>
          <w:p>
            <w:pPr>
              <w:pStyle w:val="Compact"/>
              <w:jc w:val="left"/>
            </w:pPr>
            <w:r>
              <w:t xml:space="preserve">Published per-memory pricing; extraction LLM billed separately</w:t>
            </w:r>
          </w:p>
        </w:tc>
      </w:tr>
      <w:tr>
        <w:tc>
          <w:tcPr/>
          <w:p>
            <w:pPr>
              <w:pStyle w:val="Compact"/>
              <w:jc w:val="left"/>
            </w:pPr>
            <w:r>
              <w:t xml:space="preserve">Lock-in / portability</w:t>
            </w:r>
          </w:p>
        </w:tc>
        <w:tc>
          <w:tcPr/>
          <w:p>
            <w:pPr>
              <w:pStyle w:val="Compact"/>
              <w:jc w:val="right"/>
            </w:pPr>
            <w:r>
              <w:t xml:space="preserve">2</w:t>
            </w:r>
          </w:p>
        </w:tc>
        <w:tc>
          <w:tcPr/>
          <w:p>
            <w:pPr>
              <w:pStyle w:val="Compact"/>
              <w:jc w:val="left"/>
            </w:pPr>
            <w:r>
              <w:t xml:space="preserve">Proprietary API; memories tied to Agent Runtime instance; Gemini dependency</w:t>
            </w:r>
          </w:p>
        </w:tc>
      </w:tr>
      <w:tr>
        <w:tc>
          <w:tcPr/>
          <w:p>
            <w:pPr>
              <w:pStyle w:val="Compact"/>
              <w:jc w:val="left"/>
            </w:pPr>
            <w:r>
              <w:rPr>
                <w:bCs/>
                <w:b/>
              </w:rPr>
              <w:t xml:space="preserve">Total (generic / FS)</w:t>
            </w:r>
          </w:p>
        </w:tc>
        <w:tc>
          <w:tcPr/>
          <w:p>
            <w:pPr>
              <w:pStyle w:val="Compact"/>
              <w:jc w:val="right"/>
            </w:pPr>
            <w:r>
              <w:rPr>
                <w:bCs/>
                <w:b/>
              </w:rPr>
              <w:t xml:space="preserve">3.30 / 3.20</w:t>
            </w:r>
          </w:p>
        </w:tc>
        <w:tc>
          <w:tcPr/>
          <w:p>
            <w:pPr>
              <w:pStyle w:val="Compact"/>
            </w:pPr>
          </w:p>
        </w:tc>
      </w:tr>
    </w:tbl>
    <w:p>
      <w:pPr>
        <w:pStyle w:val="BodyText"/>
      </w:pPr>
      <w:r>
        <w:rPr>
          <w:bCs/>
          <w:b/>
        </w:rPr>
        <w:t xml:space="preserve">Capabilities.</w:t>
      </w:r>
      <w:r>
        <w:t xml:space="preserve"> </w:t>
      </w:r>
      <w:r>
        <w:t xml:space="preserve">Managed long-term memory in Google’s agent platform: Gemini-based asynchronous extraction of facts and preferences, consolidation with contradiction resolution, exact-scope retrieval with optional similarity search; TTL optional; revisions; purge by filter</w:t>
      </w:r>
      <w:r>
        <w:t xml:space="preserve"> </w:t>
      </w:r>
      <w:r>
        <w:rPr>
          <w:rStyle w:val="ClaimLabel"/>
        </w:rPr>
        <w:t xml:space="preserve">VF</w:t>
      </w:r>
      <w:r>
        <w:rPr>
          <w:rStyle w:val="FootnoteReference"/>
        </w:rPr>
        <w:footnoteReference w:id="768"/>
      </w:r>
      <w:r>
        <w:t xml:space="preserve">.</w:t>
      </w:r>
    </w:p>
    <w:p>
      <w:pPr>
        <w:pStyle w:val="BodyText"/>
      </w:pPr>
      <w:r>
        <w:rPr>
          <w:bCs/>
          <w:b/>
        </w:rPr>
        <w:t xml:space="preserve">Strengths</w:t>
      </w:r>
    </w:p>
    <w:p>
      <w:pPr>
        <w:numPr>
          <w:ilvl w:val="0"/>
          <w:numId w:val="1177"/>
        </w:numPr>
        <w:pStyle w:val="Compact"/>
      </w:pPr>
      <w:r>
        <w:t xml:space="preserve">Immutable scope with exact-scope retrieval</w:t>
      </w:r>
      <w:r>
        <w:t xml:space="preserve"> </w:t>
      </w:r>
      <w:r>
        <w:rPr>
          <w:rStyle w:val="ClaimLabel"/>
        </w:rPr>
        <w:t xml:space="preserve">VF</w:t>
      </w:r>
      <w:r>
        <w:rPr>
          <w:rStyle w:val="FootnoteReference"/>
        </w:rPr>
        <w:footnoteReference w:id="771"/>
      </w:r>
    </w:p>
    <w:p>
      <w:pPr>
        <w:numPr>
          <w:ilvl w:val="0"/>
          <w:numId w:val="1177"/>
        </w:numPr>
        <w:pStyle w:val="Compact"/>
      </w:pPr>
      <w:r>
        <w:t xml:space="preserve">Consolidation resolves contradictions; purge by filter with dry run</w:t>
      </w:r>
      <w:r>
        <w:t xml:space="preserve"> </w:t>
      </w:r>
      <w:r>
        <w:rPr>
          <w:rStyle w:val="ClaimLabel"/>
        </w:rPr>
        <w:t xml:space="preserve">VF</w:t>
      </w:r>
      <w:r>
        <w:rPr>
          <w:rStyle w:val="FootnoteReference"/>
        </w:rPr>
        <w:footnoteReference w:id="772"/>
      </w:r>
    </w:p>
    <w:p>
      <w:pPr>
        <w:numPr>
          <w:ilvl w:val="0"/>
          <w:numId w:val="1177"/>
        </w:numPr>
        <w:pStyle w:val="Compact"/>
      </w:pPr>
      <w:r>
        <w:t xml:space="preserve">Transparent unit pricing: US$0.25 per 1,000 stored, US$0.50 per 1,000 retrieved (LLM billed separately)</w:t>
      </w:r>
      <w:r>
        <w:t xml:space="preserve"> </w:t>
      </w:r>
      <w:r>
        <w:rPr>
          <w:rStyle w:val="ClaimLabel"/>
        </w:rPr>
        <w:t xml:space="preserve">VF</w:t>
      </w:r>
      <w:r>
        <w:rPr>
          <w:rStyle w:val="FootnoteReference"/>
        </w:rPr>
        <w:footnoteReference w:id="773"/>
      </w:r>
    </w:p>
    <w:p>
      <w:pPr>
        <w:numPr>
          <w:ilvl w:val="0"/>
          <w:numId w:val="1177"/>
        </w:numPr>
        <w:pStyle w:val="Compact"/>
      </w:pPr>
      <w:r>
        <w:t xml:space="preserve">VPC-SC, CMEK and data residency at rest listed for Memory Bank</w:t>
      </w:r>
      <w:r>
        <w:t xml:space="preserve"> </w:t>
      </w:r>
      <w:r>
        <w:rPr>
          <w:rStyle w:val="ClaimLabel"/>
        </w:rPr>
        <w:t xml:space="preserve">VF</w:t>
      </w:r>
      <w:r>
        <w:rPr>
          <w:rStyle w:val="FootnoteReference"/>
        </w:rPr>
        <w:footnoteReference w:id="775"/>
      </w:r>
    </w:p>
    <w:p>
      <w:pPr>
        <w:pStyle w:val="FirstParagraph"/>
      </w:pPr>
      <w:r>
        <w:rPr>
          <w:bCs/>
          <w:b/>
        </w:rPr>
        <w:t xml:space="preserve">Limitations and risks</w:t>
      </w:r>
    </w:p>
    <w:p>
      <w:pPr>
        <w:numPr>
          <w:ilvl w:val="0"/>
          <w:numId w:val="1178"/>
        </w:numPr>
        <w:pStyle w:val="Compact"/>
      </w:pPr>
      <w:r>
        <w:t xml:space="preserve">CMEK not available on the global endpoint; data residency terms list Memory Bank as excluded, conflicting with the feature table</w:t>
      </w:r>
      <w:r>
        <w:t xml:space="preserve"> </w:t>
      </w:r>
      <w:r>
        <w:rPr>
          <w:rStyle w:val="ClaimLabel"/>
        </w:rPr>
        <w:t xml:space="preserve">VF</w:t>
      </w:r>
      <w:r>
        <w:rPr>
          <w:rStyle w:val="FootnoteReference"/>
        </w:rPr>
        <w:footnoteReference w:id="777"/>
      </w:r>
    </w:p>
    <w:p>
      <w:pPr>
        <w:numPr>
          <w:ilvl w:val="0"/>
          <w:numId w:val="1178"/>
        </w:numPr>
        <w:pStyle w:val="Compact"/>
      </w:pPr>
      <w:r>
        <w:t xml:space="preserve">TTL default none; memory revisions kept 365 days by default</w:t>
      </w:r>
      <w:r>
        <w:t xml:space="preserve"> </w:t>
      </w:r>
      <w:r>
        <w:rPr>
          <w:rStyle w:val="ClaimLabel"/>
        </w:rPr>
        <w:t xml:space="preserve">VF</w:t>
      </w:r>
      <w:r>
        <w:rPr>
          <w:rStyle w:val="FootnoteReference"/>
        </w:rPr>
        <w:footnoteReference w:id="778"/>
      </w:r>
    </w:p>
    <w:p>
      <w:pPr>
        <w:numPr>
          <w:ilvl w:val="0"/>
          <w:numId w:val="1178"/>
        </w:numPr>
        <w:pStyle w:val="Compact"/>
      </w:pPr>
      <w:r>
        <w:t xml:space="preserve">Memories deleted with the Agent Runtime instance; extraction depends on Gemini</w:t>
      </w:r>
      <w:r>
        <w:t xml:space="preserve"> </w:t>
      </w:r>
      <w:r>
        <w:rPr>
          <w:rStyle w:val="ClaimLabel"/>
        </w:rPr>
        <w:t xml:space="preserve">VF</w:t>
      </w:r>
      <w:r>
        <w:rPr>
          <w:rStyle w:val="FootnoteReference"/>
        </w:rPr>
        <w:footnoteReference w:id="779"/>
      </w:r>
    </w:p>
    <w:p>
      <w:pPr>
        <w:numPr>
          <w:ilvl w:val="0"/>
          <w:numId w:val="1178"/>
        </w:numPr>
        <w:pStyle w:val="Compact"/>
      </w:pPr>
      <w:r>
        <w:t xml:space="preserve">Platform certifications (SOC 2, ISO 27001, ISO 42001) stated per product or feature; Memory Bank inclusion not stated</w:t>
      </w:r>
      <w:r>
        <w:t xml:space="preserve"> </w:t>
      </w:r>
      <w:r>
        <w:rPr>
          <w:rStyle w:val="ClaimLabel"/>
        </w:rPr>
        <w:t xml:space="preserve">VF</w:t>
      </w:r>
      <w:r>
        <w:rPr>
          <w:rStyle w:val="FootnoteReference"/>
        </w:rPr>
        <w:footnoteReference w:id="780"/>
      </w:r>
      <w:r>
        <w:t xml:space="preserve"> </w:t>
      </w:r>
      <w:r>
        <w:rPr>
          <w:rStyle w:val="ClaimLabel"/>
        </w:rPr>
        <w:t xml:space="preserve">NPV</w:t>
      </w:r>
    </w:p>
    <w:p>
      <w:pPr>
        <w:pStyle w:val="FirstParagraph"/>
      </w:pPr>
      <w:r>
        <w:rPr>
          <w:bCs/>
          <w:b/>
        </w:rPr>
        <w:t xml:space="preserve">Choose when</w:t>
      </w:r>
    </w:p>
    <w:p>
      <w:pPr>
        <w:numPr>
          <w:ilvl w:val="0"/>
          <w:numId w:val="1179"/>
        </w:numPr>
        <w:pStyle w:val="Compact"/>
      </w:pPr>
      <w:r>
        <w:t xml:space="preserve">The agent runs on ADK or Agent Engine in Google Cloud</w:t>
      </w:r>
      <w:r>
        <w:t xml:space="preserve"> </w:t>
      </w:r>
      <w:r>
        <w:rPr>
          <w:rStyle w:val="ClaimLabel"/>
        </w:rPr>
        <w:t xml:space="preserve">AJ</w:t>
      </w:r>
    </w:p>
    <w:p>
      <w:pPr>
        <w:pStyle w:val="FirstParagraph"/>
      </w:pPr>
      <w:r>
        <w:rPr>
          <w:bCs/>
          <w:b/>
        </w:rPr>
        <w:t xml:space="preserve">Avoid when</w:t>
      </w:r>
    </w:p>
    <w:p>
      <w:pPr>
        <w:numPr>
          <w:ilvl w:val="0"/>
          <w:numId w:val="1180"/>
        </w:numPr>
        <w:pStyle w:val="Compact"/>
      </w:pPr>
      <w:r>
        <w:t xml:space="preserve">You need cross-cloud portability or confirmed UK/EU at-rest residency before Google confirms it in writing</w:t>
      </w:r>
      <w:r>
        <w:t xml:space="preserve"> </w:t>
      </w:r>
      <w:r>
        <w:rPr>
          <w:rStyle w:val="ClaimLabel"/>
        </w:rPr>
        <w:t xml:space="preserve">AJ</w:t>
      </w:r>
    </w:p>
    <w:p>
      <w:pPr>
        <w:pStyle w:val="FirstParagraph"/>
      </w:pPr>
      <w:r>
        <w:rPr>
          <w:bCs/>
          <w:b/>
        </w:rPr>
        <w:t xml:space="preserve">Nearest competitors:</w:t>
      </w:r>
      <w:r>
        <w:t xml:space="preserve"> </w:t>
      </w:r>
      <w:r>
        <w:t xml:space="preserve">L5-aws-agentcore-memory, L5-mem0, L5-zep</w:t>
      </w:r>
    </w:p>
    <w:p>
      <w:pPr>
        <w:pStyle w:val="BodyText"/>
      </w:pPr>
      <w:r>
        <w:rPr>
          <w:bCs/>
          <w:b/>
        </w:rPr>
        <w:t xml:space="preserve">Regulated-FS note.</w:t>
      </w:r>
      <w:r>
        <w:t xml:space="preserve"> </w:t>
      </w:r>
      <w:r>
        <w:t xml:space="preserve">Use a regional endpoint with CMEK, set TTL and a shorter revision retention, and obtain written residency confirmation; platform controls presumed (CP2 Q1), confirm per service</w:t>
      </w:r>
      <w:r>
        <w:t xml:space="preserve"> </w:t>
      </w:r>
      <w:r>
        <w:rPr>
          <w:rStyle w:val="ClaimLabel"/>
        </w:rPr>
        <w:t xml:space="preserve">Rec</w:t>
      </w:r>
      <w:r>
        <w:t xml:space="preserve">.</w:t>
      </w:r>
    </w:p>
    <w:p>
      <w:pPr>
        <w:pStyle w:val="BodyText"/>
      </w:pPr>
      <w:r>
        <w:rPr>
          <w:bCs/>
          <w:b/>
        </w:rPr>
        <w:t xml:space="preserve">Facts (as of 2026-10-08)</w:t>
      </w:r>
    </w:p>
    <w:tbl>
      <w:tblPr>
        <w:tblStyle w:val="Table"/>
        <w:tblW w:type="pct" w:w="5000"/>
        <w:tblLook w:firstRow="1" w:lastRow="0" w:firstColumn="0" w:lastColumn="0" w:noHBand="0" w:noVBand="0" w:val="0020"/>
        <w:jc w:val="start"/>
      </w:tblPr>
      <w:tblGrid>
        <w:gridCol w:w="1485"/>
        <w:gridCol w:w="4290"/>
        <w:gridCol w:w="1320"/>
        <w:gridCol w:w="825"/>
      </w:tblGrid>
      <w:tr>
        <w:trPr>
          <w:tblHeader w:val="true"/>
        </w:trPr>
        <w:tc>
          <w:tcPr/>
          <w:p>
            <w:pPr>
              <w:pStyle w:val="Compact"/>
              <w:jc w:val="left"/>
            </w:pPr>
            <w:r>
              <w:t xml:space="preserve">Field</w:t>
            </w:r>
          </w:p>
        </w:tc>
        <w:tc>
          <w:tcPr/>
          <w:p>
            <w:pPr>
              <w:pStyle w:val="Compact"/>
              <w:jc w:val="left"/>
            </w:pPr>
            <w:r>
              <w:t xml:space="preserve">Value</w:t>
            </w:r>
          </w:p>
        </w:tc>
        <w:tc>
          <w:tcPr/>
          <w:p>
            <w:pPr>
              <w:pStyle w:val="Compact"/>
              <w:jc w:val="left"/>
            </w:pPr>
            <w:r>
              <w:t xml:space="preserve">Label</w:t>
            </w:r>
          </w:p>
        </w:tc>
        <w:tc>
          <w:tcPr/>
          <w:p>
            <w:pPr>
              <w:pStyle w:val="Compact"/>
              <w:jc w:val="left"/>
            </w:pPr>
            <w:r>
              <w:t xml:space="preserve">Sources</w:t>
            </w:r>
          </w:p>
        </w:tc>
      </w:tr>
      <w:tr>
        <w:tc>
          <w:tcPr/>
          <w:p>
            <w:pPr>
              <w:pStyle w:val="Compact"/>
              <w:jc w:val="left"/>
            </w:pPr>
            <w:r>
              <w:t xml:space="preserve">Company</w:t>
            </w:r>
          </w:p>
        </w:tc>
        <w:tc>
          <w:tcPr/>
          <w:p>
            <w:pPr>
              <w:pStyle w:val="Compact"/>
              <w:jc w:val="left"/>
            </w:pPr>
            <w:r>
              <w:t xml:space="preserve">Google Cloud</w:t>
            </w:r>
          </w:p>
        </w:tc>
        <w:tc>
          <w:tcPr/>
          <w:p>
            <w:pPr>
              <w:pStyle w:val="Compact"/>
              <w:jc w:val="left"/>
            </w:pPr>
            <w:r>
              <w:t xml:space="preserve">Verified fact</w:t>
            </w:r>
          </w:p>
        </w:tc>
        <w:tc>
          <w:tcPr/>
          <w:p>
            <w:pPr>
              <w:pStyle w:val="Compact"/>
              <w:jc w:val="left"/>
            </w:pPr>
            <w:r>
              <w:t xml:space="preserve">A3-S108</w:t>
            </w:r>
          </w:p>
        </w:tc>
      </w:tr>
      <w:tr>
        <w:tc>
          <w:tcPr/>
          <w:p>
            <w:pPr>
              <w:pStyle w:val="Compact"/>
              <w:jc w:val="left"/>
            </w:pPr>
            <w:r>
              <w:t xml:space="preserve">Category</w:t>
            </w:r>
          </w:p>
        </w:tc>
        <w:tc>
          <w:tcPr/>
          <w:p>
            <w:pPr>
              <w:pStyle w:val="Compact"/>
              <w:jc w:val="left"/>
            </w:pPr>
            <w:r>
              <w:t xml:space="preserve">Cloud-platform managed agent long-term memory service</w:t>
            </w:r>
          </w:p>
        </w:tc>
        <w:tc>
          <w:tcPr/>
          <w:p>
            <w:pPr>
              <w:pStyle w:val="Compact"/>
              <w:jc w:val="left"/>
            </w:pPr>
            <w:r>
              <w:t xml:space="preserve">Verified fact</w:t>
            </w:r>
          </w:p>
        </w:tc>
        <w:tc>
          <w:tcPr/>
          <w:p>
            <w:pPr>
              <w:pStyle w:val="Compact"/>
              <w:jc w:val="left"/>
            </w:pPr>
            <w:r>
              <w:t xml:space="preserve">A3-S108</w:t>
            </w:r>
          </w:p>
        </w:tc>
      </w:tr>
      <w:tr>
        <w:tc>
          <w:tcPr/>
          <w:p>
            <w:pPr>
              <w:pStyle w:val="Compact"/>
              <w:jc w:val="left"/>
            </w:pPr>
            <w:r>
              <w:t xml:space="preserve">Version / lineup</w:t>
            </w:r>
          </w:p>
        </w:tc>
        <w:tc>
          <w:tcPr/>
          <w:p>
            <w:pPr>
              <w:pStyle w:val="Compact"/>
              <w:jc w:val="left"/>
            </w:pPr>
            <w:r>
              <w:t xml:space="preserve">Public preview 8 July 2025; release notes state Sessions and Memory Bank generally available (date not captured); usage charging from 28 January 2026</w:t>
            </w:r>
          </w:p>
        </w:tc>
        <w:tc>
          <w:tcPr/>
          <w:p>
            <w:pPr>
              <w:pStyle w:val="Compact"/>
              <w:jc w:val="left"/>
            </w:pPr>
            <w:r>
              <w:t xml:space="preserve">Verified fact</w:t>
            </w:r>
          </w:p>
        </w:tc>
        <w:tc>
          <w:tcPr/>
          <w:p>
            <w:pPr>
              <w:pStyle w:val="Compact"/>
              <w:jc w:val="left"/>
            </w:pPr>
            <w:r>
              <w:t xml:space="preserve">A3-S108, A3-S109</w:t>
            </w:r>
          </w:p>
        </w:tc>
      </w:tr>
      <w:tr>
        <w:tc>
          <w:tcPr/>
          <w:p>
            <w:pPr>
              <w:pStyle w:val="Compact"/>
              <w:jc w:val="left"/>
            </w:pPr>
            <w:r>
              <w:t xml:space="preserve">Licence</w:t>
            </w:r>
          </w:p>
        </w:tc>
        <w:tc>
          <w:tcPr/>
          <w:p>
            <w:pPr>
              <w:pStyle w:val="Compact"/>
              <w:jc w:val="left"/>
            </w:pPr>
            <w:r>
              <w:t xml:space="preserve">Proprietary managed service</w:t>
            </w:r>
          </w:p>
        </w:tc>
        <w:tc>
          <w:tcPr/>
          <w:p>
            <w:pPr>
              <w:pStyle w:val="Compact"/>
              <w:jc w:val="left"/>
            </w:pPr>
            <w:r>
              <w:t xml:space="preserve">Verified fact</w:t>
            </w:r>
          </w:p>
        </w:tc>
        <w:tc>
          <w:tcPr/>
          <w:p>
            <w:pPr>
              <w:pStyle w:val="Compact"/>
              <w:jc w:val="left"/>
            </w:pPr>
            <w:r>
              <w:t xml:space="preserve">A3-S108</w:t>
            </w:r>
          </w:p>
        </w:tc>
      </w:tr>
      <w:tr>
        <w:tc>
          <w:tcPr/>
          <w:p>
            <w:pPr>
              <w:pStyle w:val="Compact"/>
              <w:jc w:val="left"/>
            </w:pPr>
            <w:r>
              <w:t xml:space="preserve">Status events</w:t>
            </w:r>
          </w:p>
        </w:tc>
        <w:tc>
          <w:tcPr/>
          <w:p>
            <w:pPr>
              <w:pStyle w:val="Compact"/>
              <w:jc w:val="left"/>
            </w:pPr>
            <w:r>
              <w:t xml:space="preserve">8 July 2025: public preview; December 2025: Agent Engine Sessions and Memory Bank GA (Vertex AI release notes; exact day not captured); 28 January 2026: billing starts</w:t>
            </w:r>
          </w:p>
        </w:tc>
        <w:tc>
          <w:tcPr/>
          <w:p>
            <w:pPr>
              <w:pStyle w:val="Compact"/>
              <w:jc w:val="left"/>
            </w:pPr>
            <w:r>
              <w:t xml:space="preserve">Verified fact</w:t>
            </w:r>
          </w:p>
        </w:tc>
        <w:tc>
          <w:tcPr/>
          <w:p>
            <w:pPr>
              <w:pStyle w:val="Compact"/>
              <w:jc w:val="left"/>
            </w:pPr>
            <w:r>
              <w:t xml:space="preserve">A3-S108, A3-S109, V1-S088</w:t>
            </w:r>
          </w:p>
        </w:tc>
      </w:tr>
      <w:tr>
        <w:tc>
          <w:tcPr/>
          <w:p>
            <w:pPr>
              <w:pStyle w:val="Compact"/>
              <w:jc w:val="left"/>
            </w:pPr>
            <w:r>
              <w:t xml:space="preserve">Strategic direction</w:t>
            </w:r>
          </w:p>
        </w:tc>
        <w:tc>
          <w:tcPr/>
          <w:p>
            <w:pPr>
              <w:pStyle w:val="Compact"/>
              <w:jc w:val="left"/>
            </w:pPr>
            <w:r>
              <w:t xml:space="preserve">Integrated with Agent Development Kit and Agent Engine Sessions; samples for LangGraph and CrewAI; rebranding under Gemini Enterprise Agent Platform</w:t>
            </w:r>
          </w:p>
        </w:tc>
        <w:tc>
          <w:tcPr/>
          <w:p>
            <w:pPr>
              <w:pStyle w:val="Compact"/>
              <w:jc w:val="left"/>
            </w:pPr>
            <w:r>
              <w:t xml:space="preserve">Verified fact</w:t>
            </w:r>
          </w:p>
        </w:tc>
        <w:tc>
          <w:tcPr/>
          <w:p>
            <w:pPr>
              <w:pStyle w:val="Compact"/>
              <w:jc w:val="left"/>
            </w:pPr>
            <w:r>
              <w:t xml:space="preserve">A3-S108, A3-S109</w:t>
            </w:r>
          </w:p>
        </w:tc>
      </w:tr>
      <w:tr>
        <w:tc>
          <w:tcPr/>
          <w:p>
            <w:pPr>
              <w:pStyle w:val="Compact"/>
              <w:jc w:val="left"/>
            </w:pPr>
            <w:r>
              <w:t xml:space="preserve">What it does</w:t>
            </w:r>
          </w:p>
        </w:tc>
        <w:tc>
          <w:tcPr/>
          <w:p>
            <w:pPr>
              <w:pStyle w:val="Compact"/>
              <w:jc w:val="left"/>
            </w:pPr>
            <w:r>
              <w:t xml:space="preserve">Uses Gemini models to extract facts, preferences and context asynchronously from conversation history, consolidates them with existing memories (resolving contradictions), and retrieves them by scope (e.g. user ID) with optional embedding similarity search</w:t>
            </w:r>
          </w:p>
        </w:tc>
        <w:tc>
          <w:tcPr/>
          <w:p>
            <w:pPr>
              <w:pStyle w:val="Compact"/>
              <w:jc w:val="left"/>
            </w:pPr>
            <w:r>
              <w:t xml:space="preserve">Verified fact</w:t>
            </w:r>
          </w:p>
        </w:tc>
        <w:tc>
          <w:tcPr/>
          <w:p>
            <w:pPr>
              <w:pStyle w:val="Compact"/>
              <w:jc w:val="left"/>
            </w:pPr>
            <w:r>
              <w:t xml:space="preserve">A3-S108, A3-S109</w:t>
            </w:r>
          </w:p>
        </w:tc>
      </w:tr>
      <w:tr>
        <w:tc>
          <w:tcPr/>
          <w:p>
            <w:pPr>
              <w:pStyle w:val="Compact"/>
              <w:jc w:val="left"/>
            </w:pPr>
            <w:r>
              <w:t xml:space="preserve">Stack position</w:t>
            </w:r>
          </w:p>
        </w:tc>
        <w:tc>
          <w:tcPr/>
          <w:p>
            <w:pPr>
              <w:pStyle w:val="Compact"/>
              <w:jc w:val="left"/>
            </w:pPr>
            <w:r>
              <w:t xml:space="preserve">Platform-native alternative to independent L5 memory products</w:t>
            </w:r>
          </w:p>
        </w:tc>
        <w:tc>
          <w:tcPr/>
          <w:p>
            <w:pPr>
              <w:pStyle w:val="Compact"/>
              <w:jc w:val="left"/>
            </w:pPr>
            <w:r>
              <w:t xml:space="preserve">Architectural judgement</w:t>
            </w:r>
          </w:p>
        </w:tc>
        <w:tc>
          <w:tcPr/>
          <w:p>
            <w:pPr>
              <w:pStyle w:val="Compact"/>
            </w:pPr>
          </w:p>
        </w:tc>
      </w:tr>
      <w:tr>
        <w:tc>
          <w:tcPr/>
          <w:p>
            <w:pPr>
              <w:pStyle w:val="Compact"/>
              <w:jc w:val="left"/>
            </w:pPr>
            <w:r>
              <w:t xml:space="preserve">Integration</w:t>
            </w:r>
          </w:p>
        </w:tc>
        <w:tc>
          <w:tcPr/>
          <w:p>
            <w:pPr>
              <w:pStyle w:val="Compact"/>
              <w:jc w:val="left"/>
            </w:pPr>
            <w:r>
              <w:t xml:space="preserve">REST API and Vertex AI SDK; ADK memory service; LangGraph and CrewAI samples</w:t>
            </w:r>
          </w:p>
        </w:tc>
        <w:tc>
          <w:tcPr/>
          <w:p>
            <w:pPr>
              <w:pStyle w:val="Compact"/>
              <w:jc w:val="left"/>
            </w:pPr>
            <w:r>
              <w:t xml:space="preserve">Verified fact</w:t>
            </w:r>
          </w:p>
        </w:tc>
        <w:tc>
          <w:tcPr/>
          <w:p>
            <w:pPr>
              <w:pStyle w:val="Compact"/>
              <w:jc w:val="left"/>
            </w:pPr>
            <w:r>
              <w:t xml:space="preserve">A3-S108, A3-S109</w:t>
            </w:r>
          </w:p>
        </w:tc>
      </w:tr>
      <w:tr>
        <w:tc>
          <w:tcPr/>
          <w:p>
            <w:pPr>
              <w:pStyle w:val="Compact"/>
              <w:jc w:val="left"/>
            </w:pPr>
            <w:r>
              <w:t xml:space="preserve">Dependencies</w:t>
            </w:r>
          </w:p>
        </w:tc>
        <w:tc>
          <w:tcPr/>
          <w:p>
            <w:pPr>
              <w:pStyle w:val="Compact"/>
              <w:jc w:val="left"/>
            </w:pPr>
            <w:r>
              <w:t xml:space="preserve">Google Cloud project; Agent Engine Sessions as a source; Gemini models</w:t>
            </w:r>
          </w:p>
        </w:tc>
        <w:tc>
          <w:tcPr/>
          <w:p>
            <w:pPr>
              <w:pStyle w:val="Compact"/>
              <w:jc w:val="left"/>
            </w:pPr>
            <w:r>
              <w:t xml:space="preserve">Verified fact</w:t>
            </w:r>
          </w:p>
        </w:tc>
        <w:tc>
          <w:tcPr/>
          <w:p>
            <w:pPr>
              <w:pStyle w:val="Compact"/>
              <w:jc w:val="left"/>
            </w:pPr>
            <w:r>
              <w:t xml:space="preserve">A3-S108</w:t>
            </w:r>
          </w:p>
        </w:tc>
      </w:tr>
      <w:tr>
        <w:tc>
          <w:tcPr/>
          <w:p>
            <w:pPr>
              <w:pStyle w:val="Compact"/>
              <w:jc w:val="left"/>
            </w:pPr>
            <w:r>
              <w:t xml:space="preserve">Certifications</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GDPR / residency</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Security features</w:t>
            </w:r>
          </w:p>
        </w:tc>
        <w:tc>
          <w:tcPr/>
          <w:p>
            <w:pPr>
              <w:pStyle w:val="Compact"/>
              <w:jc w:val="left"/>
            </w:pPr>
            <w:r>
              <w:t xml:space="preserve">Scope is immutable and retrieval returns only exact-scope matches; optional TTL (default none; memory revisions default 365 days); delete by name and purge by filter with dry run; consolidation may delete contradicted memories or honour explicit</w:t>
            </w:r>
            <w:r>
              <w:t xml:space="preserve"> </w:t>
            </w:r>
            <w:r>
              <w:t xml:space="preserve">‘</w:t>
            </w:r>
            <w:r>
              <w:t xml:space="preserve">forget</w:t>
            </w:r>
            <w:r>
              <w:t xml:space="preserve">’</w:t>
            </w:r>
            <w:r>
              <w:t xml:space="preserve"> </w:t>
            </w:r>
            <w:r>
              <w:t xml:space="preserve">instructions; deleting the Agent Runtime instance deletes built-in memories</w:t>
            </w:r>
          </w:p>
        </w:tc>
        <w:tc>
          <w:tcPr/>
          <w:p>
            <w:pPr>
              <w:pStyle w:val="Compact"/>
              <w:jc w:val="left"/>
            </w:pPr>
            <w:r>
              <w:t xml:space="preserve">Verified fact</w:t>
            </w:r>
          </w:p>
        </w:tc>
        <w:tc>
          <w:tcPr/>
          <w:p>
            <w:pPr>
              <w:pStyle w:val="Compact"/>
              <w:jc w:val="left"/>
            </w:pPr>
            <w:r>
              <w:t xml:space="preserve">A3-S109</w:t>
            </w:r>
          </w:p>
        </w:tc>
      </w:tr>
      <w:tr>
        <w:tc>
          <w:tcPr/>
          <w:p>
            <w:pPr>
              <w:pStyle w:val="Compact"/>
              <w:jc w:val="left"/>
            </w:pPr>
            <w:r>
              <w:t xml:space="preserve">Access controls</w:t>
            </w:r>
          </w:p>
        </w:tc>
        <w:tc>
          <w:tcPr/>
          <w:p>
            <w:pPr>
              <w:pStyle w:val="Compact"/>
              <w:jc w:val="left"/>
            </w:pPr>
            <w:r>
              <w:t xml:space="preserve">Google Cloud IAM (assumed from platform; not separately verified)</w:t>
            </w:r>
          </w:p>
        </w:tc>
        <w:tc>
          <w:tcPr/>
          <w:p>
            <w:pPr>
              <w:pStyle w:val="Compact"/>
              <w:jc w:val="left"/>
            </w:pPr>
            <w:r>
              <w:t xml:space="preserve">Architectural judgement</w:t>
            </w:r>
          </w:p>
        </w:tc>
        <w:tc>
          <w:tcPr/>
          <w:p>
            <w:pPr>
              <w:pStyle w:val="Compact"/>
            </w:pPr>
          </w:p>
        </w:tc>
      </w:tr>
      <w:tr>
        <w:tc>
          <w:tcPr/>
          <w:p>
            <w:pPr>
              <w:pStyle w:val="Compact"/>
              <w:jc w:val="left"/>
            </w:pPr>
            <w:r>
              <w:t xml:space="preserve">Enterprise support</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Pricing</w:t>
            </w:r>
          </w:p>
        </w:tc>
        <w:tc>
          <w:tcPr/>
          <w:p>
            <w:pPr>
              <w:pStyle w:val="Compact"/>
              <w:jc w:val="left"/>
            </w:pPr>
            <w:r>
              <w:t xml:space="preserve">US$0.25 per 1,000 memories stored and US$0.50 per 1,000 memories retrieved; LLM usage for memory generation billed separately; charging began 28 January 2026</w:t>
            </w:r>
          </w:p>
        </w:tc>
        <w:tc>
          <w:tcPr/>
          <w:p>
            <w:pPr>
              <w:pStyle w:val="Compact"/>
              <w:jc w:val="left"/>
            </w:pPr>
            <w:r>
              <w:t xml:space="preserve">Verified fact</w:t>
            </w:r>
          </w:p>
        </w:tc>
        <w:tc>
          <w:tcPr/>
          <w:p>
            <w:pPr>
              <w:pStyle w:val="Compact"/>
              <w:jc w:val="left"/>
            </w:pPr>
            <w:r>
              <w:t xml:space="preserve">A3-S109, V1-S088</w:t>
            </w:r>
          </w:p>
        </w:tc>
      </w:tr>
      <w:tr>
        <w:tc>
          <w:tcPr/>
          <w:p>
            <w:pPr>
              <w:pStyle w:val="Compact"/>
              <w:jc w:val="left"/>
            </w:pPr>
            <w:r>
              <w:t xml:space="preserve">Infrastructure cost</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Ecosystem</w:t>
            </w:r>
          </w:p>
        </w:tc>
        <w:tc>
          <w:tcPr/>
          <w:p>
            <w:pPr>
              <w:pStyle w:val="Compact"/>
              <w:jc w:val="left"/>
            </w:pPr>
            <w:r>
              <w:t xml:space="preserve">ADK, LangGraph, CrewAI</w:t>
            </w:r>
          </w:p>
        </w:tc>
        <w:tc>
          <w:tcPr/>
          <w:p>
            <w:pPr>
              <w:pStyle w:val="Compact"/>
              <w:jc w:val="left"/>
            </w:pPr>
            <w:r>
              <w:t xml:space="preserve">Verified fact</w:t>
            </w:r>
          </w:p>
        </w:tc>
        <w:tc>
          <w:tcPr/>
          <w:p>
            <w:pPr>
              <w:pStyle w:val="Compact"/>
              <w:jc w:val="left"/>
            </w:pPr>
            <w:r>
              <w:t xml:space="preserve">A3-S108</w:t>
            </w:r>
          </w:p>
        </w:tc>
      </w:tr>
      <w:tr>
        <w:tc>
          <w:tcPr/>
          <w:p>
            <w:pPr>
              <w:pStyle w:val="Compact"/>
              <w:jc w:val="left"/>
            </w:pPr>
            <w:r>
              <w:t xml:space="preserve">Adoption signals</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Maturity</w:t>
            </w:r>
          </w:p>
        </w:tc>
        <w:tc>
          <w:tcPr/>
          <w:p>
            <w:pPr>
              <w:pStyle w:val="Compact"/>
              <w:jc w:val="left"/>
            </w:pPr>
            <w:r>
              <w:t xml:space="preserve">Preview 8 July 2025; GA December 2025; billing from 28 January 2026</w:t>
            </w:r>
          </w:p>
        </w:tc>
        <w:tc>
          <w:tcPr/>
          <w:p>
            <w:pPr>
              <w:pStyle w:val="Compact"/>
              <w:jc w:val="left"/>
            </w:pPr>
            <w:r>
              <w:t xml:space="preserve">Verified fact</w:t>
            </w:r>
          </w:p>
        </w:tc>
        <w:tc>
          <w:tcPr/>
          <w:p>
            <w:pPr>
              <w:pStyle w:val="Compact"/>
              <w:jc w:val="left"/>
            </w:pPr>
            <w:r>
              <w:t xml:space="preserve">A3-S108, A3-S109, V1-S088</w:t>
            </w:r>
          </w:p>
        </w:tc>
      </w:tr>
      <w:tr>
        <w:tc>
          <w:tcPr/>
          <w:p>
            <w:pPr>
              <w:pStyle w:val="Compact"/>
              <w:jc w:val="left"/>
            </w:pPr>
            <w:r>
              <w:t xml:space="preserve">Deployment</w:t>
            </w:r>
          </w:p>
        </w:tc>
        <w:tc>
          <w:tcPr/>
          <w:p>
            <w:pPr>
              <w:pStyle w:val="Compact"/>
              <w:jc w:val="left"/>
            </w:pPr>
            <w:r>
              <w:t xml:space="preserve">saas: Yes (Google Cloud managed); managed_cloud: Yes; vpc_byoc: Not publicly verified; private_cloud: Not publicly verified; self_hosted: No; on_prem: No</w:t>
            </w:r>
          </w:p>
        </w:tc>
        <w:tc>
          <w:tcPr/>
          <w:p>
            <w:pPr>
              <w:pStyle w:val="Compact"/>
            </w:pPr>
          </w:p>
        </w:tc>
        <w:tc>
          <w:tcPr/>
          <w:p>
            <w:pPr>
              <w:pStyle w:val="Compact"/>
            </w:pPr>
          </w:p>
        </w:tc>
      </w:tr>
    </w:tbl>
    <w:bookmarkEnd w:id="781"/>
    <w:bookmarkStart w:id="796" w:name="supermemory-l5-supermemory"/>
    <w:p>
      <w:pPr>
        <w:pStyle w:val="Heading2"/>
      </w:pPr>
      <w:r>
        <w:t xml:space="preserve">Supermemory (</w:t>
      </w:r>
      <w:r>
        <w:rPr>
          <w:rStyle w:val="VerbatimChar"/>
        </w:rPr>
        <w:t xml:space="preserve">L5-supermemory</w:t>
      </w:r>
      <w:r>
        <w:t xml:space="preserve">)</w:t>
      </w:r>
    </w:p>
    <w:p>
      <w:pPr>
        <w:pStyle w:val="FirstParagraph"/>
      </w:pPr>
      <w:r>
        <w:rPr>
          <w:bCs/>
          <w:b/>
        </w:rPr>
        <w:t xml:space="preserve">Tier:</w:t>
      </w:r>
      <w:r>
        <w:t xml:space="preserve"> </w:t>
      </w:r>
      <w:r>
        <w:t xml:space="preserve">Experimental ·</w:t>
      </w:r>
      <w:r>
        <w:t xml:space="preserve"> </w:t>
      </w:r>
      <w:r>
        <w:rPr>
          <w:bCs/>
          <w:b/>
        </w:rPr>
        <w:t xml:space="preserve">Flags:</w:t>
      </w:r>
      <w:r>
        <w:t xml:space="preserve"> </w:t>
      </w:r>
      <w:r>
        <w:t xml:space="preserve">none ·</w:t>
      </w:r>
      <w:r>
        <w:t xml:space="preserve"> </w:t>
      </w:r>
      <w:r>
        <w:rPr>
          <w:bCs/>
          <w:b/>
        </w:rPr>
        <w:t xml:space="preserve">Original graphic label:</w:t>
      </w:r>
      <w:r>
        <w:t xml:space="preserve"> </w:t>
      </w:r>
      <w:r>
        <w:t xml:space="preserve">Supermemory – memory API</w:t>
      </w:r>
    </w:p>
    <w:p>
      <w:pPr>
        <w:pStyle w:val="BodyText"/>
      </w:pPr>
      <w:r>
        <w:rPr>
          <w:iCs/>
          <w:i/>
        </w:rPr>
        <w:t xml:space="preserve">Rationale:</w:t>
      </w:r>
      <w:r>
        <w:t xml:space="preserve"> </w:t>
      </w:r>
      <w:r>
        <w:t xml:space="preserve">Fast-moving combined memory-and-RAG API with a proprietary server, seed funding and an API that changed major version this week</w:t>
      </w:r>
      <w:r>
        <w:t xml:space="preserve"> </w:t>
      </w:r>
      <w:r>
        <w:rPr>
          <w:rStyle w:val="ClaimLabel"/>
        </w:rPr>
        <w:t xml:space="preserve">AJ</w:t>
      </w:r>
      <w:r>
        <w:t xml:space="preserve">.</w:t>
      </w:r>
    </w:p>
    <w:tbl>
      <w:tblPr>
        <w:tblStyle w:val="Table"/>
        <w:tblW w:type="pct" w:w="5000"/>
        <w:tblLook w:firstRow="1" w:lastRow="0" w:firstColumn="0" w:lastColumn="0" w:noHBand="0" w:noVBand="0" w:val="0020"/>
        <w:jc w:val="start"/>
      </w:tblPr>
      <w:tblGrid>
        <w:gridCol w:w="1545"/>
        <w:gridCol w:w="579"/>
        <w:gridCol w:w="5795"/>
      </w:tblGrid>
      <w:tr>
        <w:trPr>
          <w:tblHeader w:val="true"/>
        </w:trPr>
        <w:tc>
          <w:tcPr/>
          <w:p>
            <w:pPr>
              <w:pStyle w:val="Compact"/>
              <w:jc w:val="left"/>
            </w:pPr>
            <w:r>
              <w:t xml:space="preserve">Criterion</w:t>
            </w:r>
          </w:p>
        </w:tc>
        <w:tc>
          <w:tcPr/>
          <w:p>
            <w:pPr>
              <w:pStyle w:val="Compact"/>
              <w:jc w:val="right"/>
            </w:pPr>
            <w:r>
              <w:t xml:space="preserve">Score</w:t>
            </w:r>
          </w:p>
        </w:tc>
        <w:tc>
          <w:tcPr/>
          <w:p>
            <w:pPr>
              <w:pStyle w:val="Compact"/>
              <w:jc w:val="left"/>
            </w:pPr>
            <w:r>
              <w:t xml:space="preserve">Rationale</w:t>
            </w:r>
          </w:p>
        </w:tc>
      </w:tr>
      <w:tr>
        <w:tc>
          <w:tcPr/>
          <w:p>
            <w:pPr>
              <w:pStyle w:val="Compact"/>
              <w:jc w:val="left"/>
            </w:pPr>
            <w:r>
              <w:t xml:space="preserve">Technical</w:t>
            </w:r>
          </w:p>
        </w:tc>
        <w:tc>
          <w:tcPr/>
          <w:p>
            <w:pPr>
              <w:pStyle w:val="Compact"/>
              <w:jc w:val="right"/>
            </w:pPr>
            <w:r>
              <w:t xml:space="preserve">4</w:t>
            </w:r>
          </w:p>
        </w:tc>
        <w:tc>
          <w:tcPr/>
          <w:p>
            <w:pPr>
              <w:pStyle w:val="Compact"/>
              <w:jc w:val="left"/>
            </w:pPr>
            <w:r>
              <w:t xml:space="preserve">Memory, profiles, forgetting and hybrid RAG in one API</w:t>
            </w:r>
          </w:p>
        </w:tc>
      </w:tr>
      <w:tr>
        <w:tc>
          <w:tcPr/>
          <w:p>
            <w:pPr>
              <w:pStyle w:val="Compact"/>
              <w:jc w:val="left"/>
            </w:pPr>
            <w:r>
              <w:t xml:space="preserve">Enterprise readiness</w:t>
            </w:r>
          </w:p>
        </w:tc>
        <w:tc>
          <w:tcPr/>
          <w:p>
            <w:pPr>
              <w:pStyle w:val="Compact"/>
              <w:jc w:val="right"/>
            </w:pPr>
            <w:r>
              <w:t xml:space="preserve">3</w:t>
            </w:r>
          </w:p>
        </w:tc>
        <w:tc>
          <w:tcPr/>
          <w:p>
            <w:pPr>
              <w:pStyle w:val="Compact"/>
              <w:jc w:val="left"/>
            </w:pPr>
            <w:r>
              <w:t xml:space="preserve">SSO on Enterprise verified (protocols undocumented) (A3-S096): one verified control lifts the cap to 3 under rule 7 (CP3 review A, consistent with LlamaParse and Browserbase); RBAC and audit logs NPV</w:t>
            </w:r>
          </w:p>
        </w:tc>
      </w:tr>
      <w:tr>
        <w:tc>
          <w:tcPr/>
          <w:p>
            <w:pPr>
              <w:pStyle w:val="Compact"/>
              <w:jc w:val="left"/>
            </w:pPr>
            <w:r>
              <w:t xml:space="preserve">Security and compliance</w:t>
            </w:r>
          </w:p>
        </w:tc>
        <w:tc>
          <w:tcPr/>
          <w:p>
            <w:pPr>
              <w:pStyle w:val="Compact"/>
              <w:jc w:val="right"/>
            </w:pPr>
            <w:r>
              <w:t xml:space="preserve">2</w:t>
            </w:r>
          </w:p>
        </w:tc>
        <w:tc>
          <w:tcPr/>
          <w:p>
            <w:pPr>
              <w:pStyle w:val="Compact"/>
              <w:jc w:val="left"/>
            </w:pPr>
            <w:r>
              <w:t xml:space="preserve">SOC 2 claimed from Scale tier with report type unconfirmed; HIPAA Enterprise; DPA</w:t>
            </w:r>
          </w:p>
        </w:tc>
      </w:tr>
      <w:tr>
        <w:tc>
          <w:tcPr/>
          <w:p>
            <w:pPr>
              <w:pStyle w:val="Compact"/>
              <w:jc w:val="left"/>
            </w:pPr>
            <w:r>
              <w:t xml:space="preserve">Deployment flexibility</w:t>
            </w:r>
          </w:p>
        </w:tc>
        <w:tc>
          <w:tcPr/>
          <w:p>
            <w:pPr>
              <w:pStyle w:val="Compact"/>
              <w:jc w:val="right"/>
            </w:pPr>
            <w:r>
              <w:t xml:space="preserve">5</w:t>
            </w:r>
          </w:p>
        </w:tc>
        <w:tc>
          <w:tcPr/>
          <w:p>
            <w:pPr>
              <w:pStyle w:val="Compact"/>
              <w:jc w:val="left"/>
            </w:pPr>
            <w:r>
              <w:t xml:space="preserve">SaaS, dedicated, customer cloud, self-host (Scale+), air-gap (Enterprise)</w:t>
            </w:r>
          </w:p>
        </w:tc>
      </w:tr>
      <w:tr>
        <w:tc>
          <w:tcPr/>
          <w:p>
            <w:pPr>
              <w:pStyle w:val="Compact"/>
              <w:jc w:val="left"/>
            </w:pPr>
            <w:r>
              <w:t xml:space="preserve">Ecosystem</w:t>
            </w:r>
          </w:p>
        </w:tc>
        <w:tc>
          <w:tcPr/>
          <w:p>
            <w:pPr>
              <w:pStyle w:val="Compact"/>
              <w:jc w:val="right"/>
            </w:pPr>
            <w:r>
              <w:t xml:space="preserve">4</w:t>
            </w:r>
          </w:p>
        </w:tc>
        <w:tc>
          <w:tcPr/>
          <w:p>
            <w:pPr>
              <w:pStyle w:val="Compact"/>
              <w:jc w:val="left"/>
            </w:pPr>
            <w:r>
              <w:t xml:space="preserve">Framework wrappers, MCP, coding-agent plugins</w:t>
            </w:r>
          </w:p>
        </w:tc>
      </w:tr>
      <w:tr>
        <w:tc>
          <w:tcPr/>
          <w:p>
            <w:pPr>
              <w:pStyle w:val="Compact"/>
              <w:jc w:val="left"/>
            </w:pPr>
            <w:r>
              <w:t xml:space="preserve">Reliability and maturity</w:t>
            </w:r>
          </w:p>
        </w:tc>
        <w:tc>
          <w:tcPr/>
          <w:p>
            <w:pPr>
              <w:pStyle w:val="Compact"/>
              <w:jc w:val="right"/>
            </w:pPr>
            <w:r>
              <w:t xml:space="preserve">2</w:t>
            </w:r>
          </w:p>
        </w:tc>
        <w:tc>
          <w:tcPr/>
          <w:p>
            <w:pPr>
              <w:pStyle w:val="Compact"/>
              <w:jc w:val="left"/>
            </w:pPr>
            <w:r>
              <w:t xml:space="preserve">SDK first released April 2025; v5 breaking change 6 October 2026; seed only; no acquisition found</w:t>
            </w:r>
          </w:p>
        </w:tc>
      </w:tr>
      <w:tr>
        <w:tc>
          <w:tcPr/>
          <w:p>
            <w:pPr>
              <w:pStyle w:val="Compact"/>
              <w:jc w:val="left"/>
            </w:pPr>
            <w:r>
              <w:t xml:space="preserve">Cost / TCO</w:t>
            </w:r>
          </w:p>
        </w:tc>
        <w:tc>
          <w:tcPr/>
          <w:p>
            <w:pPr>
              <w:pStyle w:val="Compact"/>
              <w:jc w:val="right"/>
            </w:pPr>
            <w:r>
              <w:t xml:space="preserve">3</w:t>
            </w:r>
          </w:p>
        </w:tc>
        <w:tc>
          <w:tcPr/>
          <w:p>
            <w:pPr>
              <w:pStyle w:val="Compact"/>
              <w:jc w:val="left"/>
            </w:pPr>
            <w:r>
              <w:t xml:space="preserve">Published tiers (Pro US$19 to Scale US$399 per month); self-hosting only on higher tiers</w:t>
            </w:r>
          </w:p>
        </w:tc>
      </w:tr>
      <w:tr>
        <w:tc>
          <w:tcPr/>
          <w:p>
            <w:pPr>
              <w:pStyle w:val="Compact"/>
              <w:jc w:val="left"/>
            </w:pPr>
            <w:r>
              <w:t xml:space="preserve">Lock-in / portability</w:t>
            </w:r>
          </w:p>
        </w:tc>
        <w:tc>
          <w:tcPr/>
          <w:p>
            <w:pPr>
              <w:pStyle w:val="Compact"/>
              <w:jc w:val="right"/>
            </w:pPr>
            <w:r>
              <w:t xml:space="preserve">2</w:t>
            </w:r>
          </w:p>
        </w:tc>
        <w:tc>
          <w:tcPr/>
          <w:p>
            <w:pPr>
              <w:pStyle w:val="Compact"/>
              <w:jc w:val="left"/>
            </w:pPr>
            <w:r>
              <w:t xml:space="preserve">Proprietary server binary and API; namespace API just changed</w:t>
            </w:r>
          </w:p>
        </w:tc>
      </w:tr>
      <w:tr>
        <w:tc>
          <w:tcPr/>
          <w:p>
            <w:pPr>
              <w:pStyle w:val="Compact"/>
              <w:jc w:val="left"/>
            </w:pPr>
            <w:r>
              <w:rPr>
                <w:bCs/>
                <w:b/>
              </w:rPr>
              <w:t xml:space="preserve">Total (generic / FS)</w:t>
            </w:r>
          </w:p>
        </w:tc>
        <w:tc>
          <w:tcPr/>
          <w:p>
            <w:pPr>
              <w:pStyle w:val="Compact"/>
              <w:jc w:val="right"/>
            </w:pPr>
            <w:r>
              <w:rPr>
                <w:bCs/>
                <w:b/>
              </w:rPr>
              <w:t xml:space="preserve">3.30 / 3.05</w:t>
            </w:r>
          </w:p>
        </w:tc>
        <w:tc>
          <w:tcPr/>
          <w:p>
            <w:pPr>
              <w:pStyle w:val="Compact"/>
            </w:pPr>
          </w:p>
        </w:tc>
      </w:tr>
    </w:tbl>
    <w:p>
      <w:pPr>
        <w:pStyle w:val="BodyText"/>
      </w:pPr>
      <w:r>
        <w:rPr>
          <w:iCs/>
          <w:i/>
        </w:rPr>
        <w:t xml:space="preserve">Evidence rules applied:</w:t>
      </w:r>
      <w:r>
        <w:t xml:space="preserve"> </w:t>
      </w:r>
      <w:r>
        <w:t xml:space="preserve">security_compliance at 2: SOC 2 report type not confirmed (pricing page only); enterprise_readiness: NPV cap lifted to 3 by verified SSO (rule 7)</w:t>
      </w:r>
    </w:p>
    <w:p>
      <w:pPr>
        <w:pStyle w:val="BodyText"/>
      </w:pPr>
      <w:r>
        <w:rPr>
          <w:bCs/>
          <w:b/>
        </w:rPr>
        <w:t xml:space="preserve">Capabilities.</w:t>
      </w:r>
      <w:r>
        <w:t xml:space="preserve"> </w:t>
      </w:r>
      <w:r>
        <w:t xml:space="preserve">Memory and context engine API: fact extraction, user profiles, temporal and contradiction handling, automatic forgetting, hybrid search over documents and memories, connectors and file processing; v5 namespace-first API</w:t>
      </w:r>
      <w:r>
        <w:t xml:space="preserve"> </w:t>
      </w:r>
      <w:r>
        <w:rPr>
          <w:rStyle w:val="ClaimLabel"/>
        </w:rPr>
        <w:t xml:space="preserve">VF</w:t>
      </w:r>
      <w:r>
        <w:rPr>
          <w:rStyle w:val="FootnoteReference"/>
        </w:rPr>
        <w:footnoteReference w:id="782"/>
      </w:r>
      <w:r>
        <w:t xml:space="preserve">.</w:t>
      </w:r>
    </w:p>
    <w:p>
      <w:pPr>
        <w:pStyle w:val="BodyText"/>
      </w:pPr>
      <w:r>
        <w:rPr>
          <w:bCs/>
          <w:b/>
        </w:rPr>
        <w:t xml:space="preserve">Strengths</w:t>
      </w:r>
    </w:p>
    <w:p>
      <w:pPr>
        <w:numPr>
          <w:ilvl w:val="0"/>
          <w:numId w:val="1181"/>
        </w:numPr>
        <w:pStyle w:val="Compact"/>
      </w:pPr>
      <w:r>
        <w:t xml:space="preserve">Explicit forget operations: forget, forget_matching, namespace delete, automatic expiry</w:t>
      </w:r>
      <w:r>
        <w:t xml:space="preserve"> </w:t>
      </w:r>
      <w:r>
        <w:rPr>
          <w:rStyle w:val="ClaimLabel"/>
        </w:rPr>
        <w:t xml:space="preserve">VF</w:t>
      </w:r>
      <w:r>
        <w:rPr>
          <w:rStyle w:val="FootnoteReference"/>
        </w:rPr>
        <w:footnoteReference w:id="785"/>
      </w:r>
    </w:p>
    <w:p>
      <w:pPr>
        <w:numPr>
          <w:ilvl w:val="0"/>
          <w:numId w:val="1181"/>
        </w:numPr>
        <w:pStyle w:val="Compact"/>
      </w:pPr>
      <w:r>
        <w:t xml:space="preserve">Wide deployment range incl. customer-cloud dedicated deployments and air-gapped Enterprise</w:t>
      </w:r>
      <w:r>
        <w:t xml:space="preserve"> </w:t>
      </w:r>
      <w:r>
        <w:rPr>
          <w:rStyle w:val="ClaimLabel"/>
        </w:rPr>
        <w:t xml:space="preserve">VF</w:t>
      </w:r>
      <w:r>
        <w:rPr>
          <w:rStyle w:val="FootnoteReference"/>
        </w:rPr>
        <w:footnoteReference w:id="786"/>
      </w:r>
    </w:p>
    <w:p>
      <w:pPr>
        <w:numPr>
          <w:ilvl w:val="0"/>
          <w:numId w:val="1181"/>
        </w:numPr>
        <w:pStyle w:val="Compact"/>
      </w:pPr>
      <w:r>
        <w:t xml:space="preserve">Many framework wrappers and an MCP server</w:t>
      </w:r>
      <w:r>
        <w:t xml:space="preserve"> </w:t>
      </w:r>
      <w:r>
        <w:rPr>
          <w:rStyle w:val="ClaimLabel"/>
        </w:rPr>
        <w:t xml:space="preserve">VF</w:t>
      </w:r>
      <w:r>
        <w:rPr>
          <w:rStyle w:val="FootnoteReference"/>
        </w:rPr>
        <w:footnoteReference w:id="789"/>
      </w:r>
    </w:p>
    <w:p>
      <w:pPr>
        <w:pStyle w:val="FirstParagraph"/>
      </w:pPr>
      <w:r>
        <w:rPr>
          <w:bCs/>
          <w:b/>
        </w:rPr>
        <w:t xml:space="preserve">Limitations and risks</w:t>
      </w:r>
    </w:p>
    <w:p>
      <w:pPr>
        <w:numPr>
          <w:ilvl w:val="0"/>
          <w:numId w:val="1182"/>
        </w:numPr>
        <w:pStyle w:val="Compact"/>
      </w:pPr>
      <w:r>
        <w:t xml:space="preserve">Self-hosted server binary not open source; hosted API proprietary</w:t>
      </w:r>
      <w:r>
        <w:t xml:space="preserve"> </w:t>
      </w:r>
      <w:r>
        <w:rPr>
          <w:rStyle w:val="ClaimLabel"/>
        </w:rPr>
        <w:t xml:space="preserve">VF</w:t>
      </w:r>
      <w:r>
        <w:rPr>
          <w:rStyle w:val="FootnoteReference"/>
        </w:rPr>
        <w:footnoteReference w:id="790"/>
      </w:r>
    </w:p>
    <w:p>
      <w:pPr>
        <w:numPr>
          <w:ilvl w:val="0"/>
          <w:numId w:val="1182"/>
        </w:numPr>
        <w:pStyle w:val="Compact"/>
      </w:pPr>
      <w:r>
        <w:t xml:space="preserve">SOC 2 report type not confirmed on pricing page; no managed EU region found</w:t>
      </w:r>
      <w:r>
        <w:t xml:space="preserve"> </w:t>
      </w:r>
      <w:r>
        <w:rPr>
          <w:rStyle w:val="ClaimLabel"/>
        </w:rPr>
        <w:t xml:space="preserve">VF</w:t>
      </w:r>
      <w:r>
        <w:rPr>
          <w:rStyle w:val="FootnoteReference"/>
        </w:rPr>
        <w:footnoteReference w:id="792"/>
      </w:r>
    </w:p>
    <w:p>
      <w:pPr>
        <w:numPr>
          <w:ilvl w:val="0"/>
          <w:numId w:val="1182"/>
        </w:numPr>
        <w:pStyle w:val="Compact"/>
      </w:pPr>
      <w:r>
        <w:t xml:space="preserve">SSO protocols undocumented; RBAC and audit logs not documented</w:t>
      </w:r>
      <w:r>
        <w:t xml:space="preserve"> </w:t>
      </w:r>
      <w:r>
        <w:rPr>
          <w:rStyle w:val="ClaimLabel"/>
        </w:rPr>
        <w:t xml:space="preserve">VF</w:t>
      </w:r>
      <w:r>
        <w:rPr>
          <w:rStyle w:val="FootnoteReference"/>
        </w:rPr>
        <w:footnoteReference w:id="793"/>
      </w:r>
      <w:r>
        <w:t xml:space="preserve"> </w:t>
      </w:r>
      <w:r>
        <w:rPr>
          <w:rStyle w:val="ClaimLabel"/>
        </w:rPr>
        <w:t xml:space="preserve">NPV</w:t>
      </w:r>
    </w:p>
    <w:p>
      <w:pPr>
        <w:numPr>
          <w:ilvl w:val="0"/>
          <w:numId w:val="1182"/>
        </w:numPr>
        <w:pStyle w:val="Compact"/>
      </w:pPr>
      <w:r>
        <w:t xml:space="preserve">v5 breaking API change on 6 October 2026</w:t>
      </w:r>
      <w:r>
        <w:t xml:space="preserve"> </w:t>
      </w:r>
      <w:r>
        <w:rPr>
          <w:rStyle w:val="ClaimLabel"/>
        </w:rPr>
        <w:t xml:space="preserve">VF</w:t>
      </w:r>
      <w:r>
        <w:rPr>
          <w:rStyle w:val="FootnoteReference"/>
        </w:rPr>
        <w:footnoteReference w:id="794"/>
      </w:r>
    </w:p>
    <w:p>
      <w:pPr>
        <w:numPr>
          <w:ilvl w:val="0"/>
          <w:numId w:val="1182"/>
        </w:numPr>
        <w:pStyle w:val="Compact"/>
      </w:pPr>
      <w:r>
        <w:t xml:space="preserve">Bundles memory and knowledge behind one API, blurring owner-curated and agent-written content</w:t>
      </w:r>
      <w:r>
        <w:t xml:space="preserve"> </w:t>
      </w:r>
      <w:r>
        <w:rPr>
          <w:rStyle w:val="ClaimLabel"/>
        </w:rPr>
        <w:t xml:space="preserve">AJ</w:t>
      </w:r>
    </w:p>
    <w:p>
      <w:pPr>
        <w:numPr>
          <w:ilvl w:val="0"/>
          <w:numId w:val="1182"/>
        </w:numPr>
        <w:pStyle w:val="Compact"/>
      </w:pPr>
      <w:r>
        <w:t xml:space="preserve">Benchmark leadership is a vendor claim</w:t>
      </w:r>
      <w:r>
        <w:t xml:space="preserve"> </w:t>
      </w:r>
      <w:r>
        <w:rPr>
          <w:rStyle w:val="ClaimLabel"/>
        </w:rPr>
        <w:t xml:space="preserve">R</w:t>
      </w:r>
      <w:r>
        <w:rPr>
          <w:rStyle w:val="FootnoteReference"/>
        </w:rPr>
        <w:footnoteReference w:id="795"/>
      </w:r>
    </w:p>
    <w:p>
      <w:pPr>
        <w:pStyle w:val="FirstParagraph"/>
      </w:pPr>
      <w:r>
        <w:rPr>
          <w:bCs/>
          <w:b/>
        </w:rPr>
        <w:t xml:space="preserve">Choose when</w:t>
      </w:r>
    </w:p>
    <w:p>
      <w:pPr>
        <w:numPr>
          <w:ilvl w:val="0"/>
          <w:numId w:val="1183"/>
        </w:numPr>
        <w:pStyle w:val="Compact"/>
      </w:pPr>
      <w:r>
        <w:t xml:space="preserve">A team prototype needs memory plus RAG quickly, outside regulated data</w:t>
      </w:r>
      <w:r>
        <w:t xml:space="preserve"> </w:t>
      </w:r>
      <w:r>
        <w:rPr>
          <w:rStyle w:val="ClaimLabel"/>
        </w:rPr>
        <w:t xml:space="preserve">AJ</w:t>
      </w:r>
    </w:p>
    <w:p>
      <w:pPr>
        <w:pStyle w:val="FirstParagraph"/>
      </w:pPr>
      <w:r>
        <w:rPr>
          <w:bCs/>
          <w:b/>
        </w:rPr>
        <w:t xml:space="preserve">Avoid when</w:t>
      </w:r>
    </w:p>
    <w:p>
      <w:pPr>
        <w:numPr>
          <w:ilvl w:val="0"/>
          <w:numId w:val="1184"/>
        </w:numPr>
        <w:pStyle w:val="Compact"/>
      </w:pPr>
      <w:r>
        <w:t xml:space="preserve">Memory and knowledge need different owners, approvals and retention, or you need a stable API</w:t>
      </w:r>
      <w:r>
        <w:t xml:space="preserve"> </w:t>
      </w:r>
      <w:r>
        <w:rPr>
          <w:rStyle w:val="ClaimLabel"/>
        </w:rPr>
        <w:t xml:space="preserve">AJ</w:t>
      </w:r>
    </w:p>
    <w:p>
      <w:pPr>
        <w:pStyle w:val="FirstParagraph"/>
      </w:pPr>
      <w:r>
        <w:rPr>
          <w:bCs/>
          <w:b/>
        </w:rPr>
        <w:t xml:space="preserve">Nearest competitors:</w:t>
      </w:r>
      <w:r>
        <w:t xml:space="preserve"> </w:t>
      </w:r>
      <w:r>
        <w:t xml:space="preserve">L5-mem0, L5-zep, L5-cognee</w:t>
      </w:r>
    </w:p>
    <w:p>
      <w:pPr>
        <w:pStyle w:val="BodyText"/>
      </w:pPr>
      <w:r>
        <w:rPr>
          <w:bCs/>
          <w:b/>
        </w:rPr>
        <w:t xml:space="preserve">Regulated-FS note.</w:t>
      </w:r>
      <w:r>
        <w:t xml:space="preserve"> </w:t>
      </w:r>
      <w:r>
        <w:t xml:space="preserve">Not for client or personal data until SOC 2 report type, audit logging and EU residency are confirmed</w:t>
      </w:r>
      <w:r>
        <w:t xml:space="preserve"> </w:t>
      </w:r>
      <w:r>
        <w:rPr>
          <w:rStyle w:val="ClaimLabel"/>
        </w:rPr>
        <w:t xml:space="preserve">Rec</w:t>
      </w:r>
      <w:r>
        <w:t xml:space="preserve">.</w:t>
      </w:r>
    </w:p>
    <w:p>
      <w:pPr>
        <w:pStyle w:val="BodyText"/>
      </w:pPr>
      <w:r>
        <w:rPr>
          <w:bCs/>
          <w:b/>
        </w:rPr>
        <w:t xml:space="preserve">Facts (as of 2026-10-07)</w:t>
      </w:r>
    </w:p>
    <w:tbl>
      <w:tblPr>
        <w:tblStyle w:val="Table"/>
        <w:tblW w:type="pct" w:w="5000"/>
        <w:tblLook w:firstRow="1" w:lastRow="0" w:firstColumn="0" w:lastColumn="0" w:noHBand="0" w:noVBand="0" w:val="0020"/>
        <w:jc w:val="start"/>
      </w:tblPr>
      <w:tblGrid>
        <w:gridCol w:w="1485"/>
        <w:gridCol w:w="4290"/>
        <w:gridCol w:w="1320"/>
        <w:gridCol w:w="825"/>
      </w:tblGrid>
      <w:tr>
        <w:trPr>
          <w:tblHeader w:val="true"/>
        </w:trPr>
        <w:tc>
          <w:tcPr/>
          <w:p>
            <w:pPr>
              <w:pStyle w:val="Compact"/>
              <w:jc w:val="left"/>
            </w:pPr>
            <w:r>
              <w:t xml:space="preserve">Field</w:t>
            </w:r>
          </w:p>
        </w:tc>
        <w:tc>
          <w:tcPr/>
          <w:p>
            <w:pPr>
              <w:pStyle w:val="Compact"/>
              <w:jc w:val="left"/>
            </w:pPr>
            <w:r>
              <w:t xml:space="preserve">Value</w:t>
            </w:r>
          </w:p>
        </w:tc>
        <w:tc>
          <w:tcPr/>
          <w:p>
            <w:pPr>
              <w:pStyle w:val="Compact"/>
              <w:jc w:val="left"/>
            </w:pPr>
            <w:r>
              <w:t xml:space="preserve">Label</w:t>
            </w:r>
          </w:p>
        </w:tc>
        <w:tc>
          <w:tcPr/>
          <w:p>
            <w:pPr>
              <w:pStyle w:val="Compact"/>
              <w:jc w:val="left"/>
            </w:pPr>
            <w:r>
              <w:t xml:space="preserve">Sources</w:t>
            </w:r>
          </w:p>
        </w:tc>
      </w:tr>
      <w:tr>
        <w:tc>
          <w:tcPr/>
          <w:p>
            <w:pPr>
              <w:pStyle w:val="Compact"/>
              <w:jc w:val="left"/>
            </w:pPr>
            <w:r>
              <w:t xml:space="preserve">Company</w:t>
            </w:r>
          </w:p>
        </w:tc>
        <w:tc>
          <w:tcPr/>
          <w:p>
            <w:pPr>
              <w:pStyle w:val="Compact"/>
              <w:jc w:val="left"/>
            </w:pPr>
            <w:r>
              <w:t xml:space="preserve">Supermemory</w:t>
            </w:r>
          </w:p>
        </w:tc>
        <w:tc>
          <w:tcPr/>
          <w:p>
            <w:pPr>
              <w:pStyle w:val="Compact"/>
              <w:jc w:val="left"/>
            </w:pPr>
            <w:r>
              <w:t xml:space="preserve">Verified fact</w:t>
            </w:r>
          </w:p>
        </w:tc>
        <w:tc>
          <w:tcPr/>
          <w:p>
            <w:pPr>
              <w:pStyle w:val="Compact"/>
              <w:jc w:val="left"/>
            </w:pPr>
            <w:r>
              <w:t xml:space="preserve">A3-S064</w:t>
            </w:r>
          </w:p>
        </w:tc>
      </w:tr>
      <w:tr>
        <w:tc>
          <w:tcPr/>
          <w:p>
            <w:pPr>
              <w:pStyle w:val="Compact"/>
              <w:jc w:val="left"/>
            </w:pPr>
            <w:r>
              <w:t xml:space="preserve">Category</w:t>
            </w:r>
          </w:p>
        </w:tc>
        <w:tc>
          <w:tcPr/>
          <w:p>
            <w:pPr>
              <w:pStyle w:val="Compact"/>
              <w:jc w:val="left"/>
            </w:pPr>
            <w:r>
              <w:t xml:space="preserve">Memory and context engine API: memory extraction, user profiles, hybrid RAG search, connectors and file processing</w:t>
            </w:r>
          </w:p>
        </w:tc>
        <w:tc>
          <w:tcPr/>
          <w:p>
            <w:pPr>
              <w:pStyle w:val="Compact"/>
              <w:jc w:val="left"/>
            </w:pPr>
            <w:r>
              <w:t xml:space="preserve">Verified fact</w:t>
            </w:r>
          </w:p>
        </w:tc>
        <w:tc>
          <w:tcPr/>
          <w:p>
            <w:pPr>
              <w:pStyle w:val="Compact"/>
              <w:jc w:val="left"/>
            </w:pPr>
            <w:r>
              <w:t xml:space="preserve">A3-S064</w:t>
            </w:r>
          </w:p>
        </w:tc>
      </w:tr>
      <w:tr>
        <w:tc>
          <w:tcPr/>
          <w:p>
            <w:pPr>
              <w:pStyle w:val="Compact"/>
              <w:jc w:val="left"/>
            </w:pPr>
            <w:r>
              <w:t xml:space="preserve">Version / lineup</w:t>
            </w:r>
          </w:p>
        </w:tc>
        <w:tc>
          <w:tcPr/>
          <w:p>
            <w:pPr>
              <w:pStyle w:val="Compact"/>
              <w:jc w:val="left"/>
            </w:pPr>
            <w:r>
              <w:t xml:space="preserve">Python SDK 5.0.0 (6 October 2026) for the namespace-first v5 API (breaking change from 3.x)</w:t>
            </w:r>
          </w:p>
        </w:tc>
        <w:tc>
          <w:tcPr/>
          <w:p>
            <w:pPr>
              <w:pStyle w:val="Compact"/>
              <w:jc w:val="left"/>
            </w:pPr>
            <w:r>
              <w:t xml:space="preserve">Verified fact</w:t>
            </w:r>
          </w:p>
        </w:tc>
        <w:tc>
          <w:tcPr/>
          <w:p>
            <w:pPr>
              <w:pStyle w:val="Compact"/>
              <w:jc w:val="left"/>
            </w:pPr>
            <w:r>
              <w:t xml:space="preserve">A3-S012</w:t>
            </w:r>
          </w:p>
        </w:tc>
      </w:tr>
      <w:tr>
        <w:tc>
          <w:tcPr/>
          <w:p>
            <w:pPr>
              <w:pStyle w:val="Compact"/>
              <w:jc w:val="left"/>
            </w:pPr>
            <w:r>
              <w:t xml:space="preserve">Licence</w:t>
            </w:r>
          </w:p>
        </w:tc>
        <w:tc>
          <w:tcPr/>
          <w:p>
            <w:pPr>
              <w:pStyle w:val="Compact"/>
              <w:jc w:val="left"/>
            </w:pPr>
            <w:r>
              <w:t xml:space="preserve">Open core: repository MIT and SDK Apache-2.0, but the self-hosted server binary is not open source (free within a lite licence); hosted API proprietary</w:t>
            </w:r>
          </w:p>
        </w:tc>
        <w:tc>
          <w:tcPr/>
          <w:p>
            <w:pPr>
              <w:pStyle w:val="Compact"/>
              <w:jc w:val="left"/>
            </w:pPr>
            <w:r>
              <w:t xml:space="preserve">Verified fact</w:t>
            </w:r>
          </w:p>
        </w:tc>
        <w:tc>
          <w:tcPr/>
          <w:p>
            <w:pPr>
              <w:pStyle w:val="Compact"/>
              <w:jc w:val="left"/>
            </w:pPr>
            <w:r>
              <w:t xml:space="preserve">A3-S066, A3-S012, A3-S096</w:t>
            </w:r>
          </w:p>
        </w:tc>
      </w:tr>
      <w:tr>
        <w:tc>
          <w:tcPr/>
          <w:p>
            <w:pPr>
              <w:pStyle w:val="Compact"/>
              <w:jc w:val="left"/>
            </w:pPr>
            <w:r>
              <w:t xml:space="preserve">Status events</w:t>
            </w:r>
          </w:p>
        </w:tc>
        <w:tc>
          <w:tcPr/>
          <w:p>
            <w:pPr>
              <w:pStyle w:val="Compact"/>
              <w:jc w:val="left"/>
            </w:pPr>
            <w:r>
              <w:t xml:space="preserve">6 October 2026: v5 SDK moves to namespace-first API (MIGRATION from 3.x required)</w:t>
            </w:r>
          </w:p>
        </w:tc>
        <w:tc>
          <w:tcPr/>
          <w:p>
            <w:pPr>
              <w:pStyle w:val="Compact"/>
              <w:jc w:val="left"/>
            </w:pPr>
            <w:r>
              <w:t xml:space="preserve">Verified fact</w:t>
            </w:r>
          </w:p>
        </w:tc>
        <w:tc>
          <w:tcPr/>
          <w:p>
            <w:pPr>
              <w:pStyle w:val="Compact"/>
              <w:jc w:val="left"/>
            </w:pPr>
            <w:r>
              <w:t xml:space="preserve">A3-S012</w:t>
            </w:r>
          </w:p>
        </w:tc>
      </w:tr>
      <w:tr>
        <w:tc>
          <w:tcPr/>
          <w:p>
            <w:pPr>
              <w:pStyle w:val="Compact"/>
              <w:jc w:val="left"/>
            </w:pPr>
            <w:r>
              <w:t xml:space="preserve">Strategic direction</w:t>
            </w:r>
          </w:p>
        </w:tc>
        <w:tc>
          <w:tcPr/>
          <w:p>
            <w:pPr>
              <w:pStyle w:val="Compact"/>
              <w:jc w:val="left"/>
            </w:pPr>
            <w:r>
              <w:t xml:space="preserve">Bundles memory with RAG, connectors and multimodal extractors in one API; plugins for Claude Code, Cursor, Codex, OpenCode and others; vendor claims #1 on LongMemEval, LoCoMo and ConvoMem</w:t>
            </w:r>
          </w:p>
        </w:tc>
        <w:tc>
          <w:tcPr/>
          <w:p>
            <w:pPr>
              <w:pStyle w:val="Compact"/>
              <w:jc w:val="left"/>
            </w:pPr>
            <w:r>
              <w:t xml:space="preserve">Verified fact</w:t>
            </w:r>
          </w:p>
        </w:tc>
        <w:tc>
          <w:tcPr/>
          <w:p>
            <w:pPr>
              <w:pStyle w:val="Compact"/>
              <w:jc w:val="left"/>
            </w:pPr>
            <w:r>
              <w:t xml:space="preserve">A3-S064</w:t>
            </w:r>
          </w:p>
        </w:tc>
      </w:tr>
      <w:tr>
        <w:tc>
          <w:tcPr/>
          <w:p>
            <w:pPr>
              <w:pStyle w:val="Compact"/>
              <w:jc w:val="left"/>
            </w:pPr>
            <w:r>
              <w:t xml:space="preserve">What it does</w:t>
            </w:r>
          </w:p>
        </w:tc>
        <w:tc>
          <w:tcPr/>
          <w:p>
            <w:pPr>
              <w:pStyle w:val="Compact"/>
              <w:jc w:val="left"/>
            </w:pPr>
            <w:r>
              <w:t xml:space="preserve">Extracts facts from conversations, maintains user profiles, handles temporal changes and contradictions, automatically forgets expired information and returns context via hybrid search over documents and memories</w:t>
            </w:r>
          </w:p>
        </w:tc>
        <w:tc>
          <w:tcPr/>
          <w:p>
            <w:pPr>
              <w:pStyle w:val="Compact"/>
              <w:jc w:val="left"/>
            </w:pPr>
            <w:r>
              <w:t xml:space="preserve">Verified fact</w:t>
            </w:r>
          </w:p>
        </w:tc>
        <w:tc>
          <w:tcPr/>
          <w:p>
            <w:pPr>
              <w:pStyle w:val="Compact"/>
              <w:jc w:val="left"/>
            </w:pPr>
            <w:r>
              <w:t xml:space="preserve">A3-S064</w:t>
            </w:r>
          </w:p>
        </w:tc>
      </w:tr>
      <w:tr>
        <w:tc>
          <w:tcPr/>
          <w:p>
            <w:pPr>
              <w:pStyle w:val="Compact"/>
              <w:jc w:val="left"/>
            </w:pPr>
            <w:r>
              <w:t xml:space="preserve">Stack position</w:t>
            </w:r>
          </w:p>
        </w:tc>
        <w:tc>
          <w:tcPr/>
          <w:p>
            <w:pPr>
              <w:pStyle w:val="Compact"/>
              <w:jc w:val="left"/>
            </w:pPr>
            <w:r>
              <w:t xml:space="preserve">Combines L5 memory, L6 retrieval and L8 ingestion (connectors, OCR, transcription) behind one API</w:t>
            </w:r>
          </w:p>
        </w:tc>
        <w:tc>
          <w:tcPr/>
          <w:p>
            <w:pPr>
              <w:pStyle w:val="Compact"/>
              <w:jc w:val="left"/>
            </w:pPr>
            <w:r>
              <w:t xml:space="preserve">Verified fact</w:t>
            </w:r>
          </w:p>
        </w:tc>
        <w:tc>
          <w:tcPr/>
          <w:p>
            <w:pPr>
              <w:pStyle w:val="Compact"/>
              <w:jc w:val="left"/>
            </w:pPr>
            <w:r>
              <w:t xml:space="preserve">A3-S064</w:t>
            </w:r>
          </w:p>
        </w:tc>
      </w:tr>
      <w:tr>
        <w:tc>
          <w:tcPr/>
          <w:p>
            <w:pPr>
              <w:pStyle w:val="Compact"/>
              <w:jc w:val="left"/>
            </w:pPr>
            <w:r>
              <w:t xml:space="preserve">Integration</w:t>
            </w:r>
          </w:p>
        </w:tc>
        <w:tc>
          <w:tcPr/>
          <w:p>
            <w:pPr>
              <w:pStyle w:val="Compact"/>
              <w:jc w:val="left"/>
            </w:pPr>
            <w:r>
              <w:t xml:space="preserve">REST API, Python/TypeScript SDKs, hosted MCP server, framework wrappers (Vercel AI SDK, LangChain, LangGraph, OpenAI Agents SDK, Mastra, Agno, Claude Memory Tool, n8n); connectors for Google Drive, Gmail, Notion, OneDrive and GitHub</w:t>
            </w:r>
          </w:p>
        </w:tc>
        <w:tc>
          <w:tcPr/>
          <w:p>
            <w:pPr>
              <w:pStyle w:val="Compact"/>
              <w:jc w:val="left"/>
            </w:pPr>
            <w:r>
              <w:t xml:space="preserve">Verified fact</w:t>
            </w:r>
          </w:p>
        </w:tc>
        <w:tc>
          <w:tcPr/>
          <w:p>
            <w:pPr>
              <w:pStyle w:val="Compact"/>
              <w:jc w:val="left"/>
            </w:pPr>
            <w:r>
              <w:t xml:space="preserve">A3-S064, A3-S012</w:t>
            </w:r>
          </w:p>
        </w:tc>
      </w:tr>
      <w:tr>
        <w:tc>
          <w:tcPr/>
          <w:p>
            <w:pPr>
              <w:pStyle w:val="Compact"/>
              <w:jc w:val="left"/>
            </w:pPr>
            <w:r>
              <w:t xml:space="preserve">Dependencies</w:t>
            </w:r>
          </w:p>
        </w:tc>
        <w:tc>
          <w:tcPr/>
          <w:p>
            <w:pPr>
              <w:pStyle w:val="Compact"/>
              <w:jc w:val="left"/>
            </w:pPr>
            <w:r>
              <w:t xml:space="preserve">Self-hosted build embeds a graph engine and local embeddings (bge-base-en-v1.5 by default) and stores data in a local directory; any OpenAI-compatible LLM</w:t>
            </w:r>
          </w:p>
        </w:tc>
        <w:tc>
          <w:tcPr/>
          <w:p>
            <w:pPr>
              <w:pStyle w:val="Compact"/>
              <w:jc w:val="left"/>
            </w:pPr>
            <w:r>
              <w:t xml:space="preserve">Verified fact</w:t>
            </w:r>
          </w:p>
        </w:tc>
        <w:tc>
          <w:tcPr/>
          <w:p>
            <w:pPr>
              <w:pStyle w:val="Compact"/>
              <w:jc w:val="left"/>
            </w:pPr>
            <w:r>
              <w:t xml:space="preserve">A3-S064</w:t>
            </w:r>
          </w:p>
        </w:tc>
      </w:tr>
      <w:tr>
        <w:tc>
          <w:tcPr/>
          <w:p>
            <w:pPr>
              <w:pStyle w:val="Compact"/>
              <w:jc w:val="left"/>
            </w:pPr>
            <w:r>
              <w:t xml:space="preserve">Certifications</w:t>
            </w:r>
          </w:p>
        </w:tc>
        <w:tc>
          <w:tcPr/>
          <w:p>
            <w:pPr>
              <w:pStyle w:val="Compact"/>
              <w:jc w:val="left"/>
            </w:pPr>
            <w:r>
              <w:t xml:space="preserve">SOC 2 (from Scale tier) and HIPAA on Enterprise per pricing page; blog posts say SOC 2 Type 2 (report type not confirmed on pricing page)</w:t>
            </w:r>
          </w:p>
        </w:tc>
        <w:tc>
          <w:tcPr/>
          <w:p>
            <w:pPr>
              <w:pStyle w:val="Compact"/>
              <w:jc w:val="left"/>
            </w:pPr>
            <w:r>
              <w:t xml:space="preserve">Verified fact</w:t>
            </w:r>
          </w:p>
        </w:tc>
        <w:tc>
          <w:tcPr/>
          <w:p>
            <w:pPr>
              <w:pStyle w:val="Compact"/>
              <w:jc w:val="left"/>
            </w:pPr>
            <w:r>
              <w:t xml:space="preserve">A3-S096</w:t>
            </w:r>
          </w:p>
        </w:tc>
      </w:tr>
      <w:tr>
        <w:tc>
          <w:tcPr/>
          <w:p>
            <w:pPr>
              <w:pStyle w:val="Compact"/>
              <w:jc w:val="left"/>
            </w:pPr>
            <w:r>
              <w:t xml:space="preserve">GDPR / residency</w:t>
            </w:r>
          </w:p>
        </w:tc>
        <w:tc>
          <w:tcPr/>
          <w:p>
            <w:pPr>
              <w:pStyle w:val="Compact"/>
              <w:jc w:val="left"/>
            </w:pPr>
            <w:r>
              <w:t xml:space="preserve">Security page states GDPR compliant with access and erasure workflows; DPA signed on request; no managed EU region found; dedicated deployments in customer AWS/GCP/Azure for residency</w:t>
            </w:r>
          </w:p>
        </w:tc>
        <w:tc>
          <w:tcPr/>
          <w:p>
            <w:pPr>
              <w:pStyle w:val="Compact"/>
              <w:jc w:val="left"/>
            </w:pPr>
            <w:r>
              <w:t xml:space="preserve">Verified fact</w:t>
            </w:r>
          </w:p>
        </w:tc>
        <w:tc>
          <w:tcPr/>
          <w:p>
            <w:pPr>
              <w:pStyle w:val="Compact"/>
              <w:jc w:val="left"/>
            </w:pPr>
            <w:r>
              <w:t xml:space="preserve">A3-S122, A3-S096</w:t>
            </w:r>
          </w:p>
        </w:tc>
      </w:tr>
      <w:tr>
        <w:tc>
          <w:tcPr/>
          <w:p>
            <w:pPr>
              <w:pStyle w:val="Compact"/>
              <w:jc w:val="left"/>
            </w:pPr>
            <w:r>
              <w:t xml:space="preserve">Security features</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Access controls</w:t>
            </w:r>
          </w:p>
        </w:tc>
        <w:tc>
          <w:tcPr/>
          <w:p>
            <w:pPr>
              <w:pStyle w:val="Compact"/>
              <w:jc w:val="left"/>
            </w:pPr>
            <w:r>
              <w:t xml:space="preserve">SSO on Enterprise tier (protocols not documented); namespaces isolate content</w:t>
            </w:r>
          </w:p>
        </w:tc>
        <w:tc>
          <w:tcPr/>
          <w:p>
            <w:pPr>
              <w:pStyle w:val="Compact"/>
              <w:jc w:val="left"/>
            </w:pPr>
            <w:r>
              <w:t xml:space="preserve">Verified fact</w:t>
            </w:r>
          </w:p>
        </w:tc>
        <w:tc>
          <w:tcPr/>
          <w:p>
            <w:pPr>
              <w:pStyle w:val="Compact"/>
              <w:jc w:val="left"/>
            </w:pPr>
            <w:r>
              <w:t xml:space="preserve">A3-S096, A3-S012</w:t>
            </w:r>
          </w:p>
        </w:tc>
      </w:tr>
      <w:tr>
        <w:tc>
          <w:tcPr/>
          <w:p>
            <w:pPr>
              <w:pStyle w:val="Compact"/>
              <w:jc w:val="left"/>
            </w:pPr>
            <w:r>
              <w:t xml:space="preserve">Enterprise support</w:t>
            </w:r>
          </w:p>
        </w:tc>
        <w:tc>
          <w:tcPr/>
          <w:p>
            <w:pPr>
              <w:pStyle w:val="Compact"/>
              <w:jc w:val="left"/>
            </w:pPr>
            <w:r>
              <w:t xml:space="preserve">Enterprise: custom contracts, DPA, SSO, custom integrations</w:t>
            </w:r>
          </w:p>
        </w:tc>
        <w:tc>
          <w:tcPr/>
          <w:p>
            <w:pPr>
              <w:pStyle w:val="Compact"/>
              <w:jc w:val="left"/>
            </w:pPr>
            <w:r>
              <w:t xml:space="preserve">Verified fact</w:t>
            </w:r>
          </w:p>
        </w:tc>
        <w:tc>
          <w:tcPr/>
          <w:p>
            <w:pPr>
              <w:pStyle w:val="Compact"/>
              <w:jc w:val="left"/>
            </w:pPr>
            <w:r>
              <w:t xml:space="preserve">A3-S096</w:t>
            </w:r>
          </w:p>
        </w:tc>
      </w:tr>
      <w:tr>
        <w:tc>
          <w:tcPr/>
          <w:p>
            <w:pPr>
              <w:pStyle w:val="Compact"/>
              <w:jc w:val="left"/>
            </w:pPr>
            <w:r>
              <w:t xml:space="preserve">Pricing</w:t>
            </w:r>
          </w:p>
        </w:tc>
        <w:tc>
          <w:tcPr/>
          <w:p>
            <w:pPr>
              <w:pStyle w:val="Compact"/>
              <w:jc w:val="left"/>
            </w:pPr>
            <w:r>
              <w:t xml:space="preserve">Free (US$5 monthly credits); Pro US$19; Max US$100; Scale US$399 per month; Enterprise custom</w:t>
            </w:r>
          </w:p>
        </w:tc>
        <w:tc>
          <w:tcPr/>
          <w:p>
            <w:pPr>
              <w:pStyle w:val="Compact"/>
              <w:jc w:val="left"/>
            </w:pPr>
            <w:r>
              <w:t xml:space="preserve">Verified fact</w:t>
            </w:r>
          </w:p>
        </w:tc>
        <w:tc>
          <w:tcPr/>
          <w:p>
            <w:pPr>
              <w:pStyle w:val="Compact"/>
              <w:jc w:val="left"/>
            </w:pPr>
            <w:r>
              <w:t xml:space="preserve">A3-S096</w:t>
            </w:r>
          </w:p>
        </w:tc>
      </w:tr>
      <w:tr>
        <w:tc>
          <w:tcPr/>
          <w:p>
            <w:pPr>
              <w:pStyle w:val="Compact"/>
              <w:jc w:val="left"/>
            </w:pPr>
            <w:r>
              <w:t xml:space="preserve">Infrastructure cost</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Ecosystem</w:t>
            </w:r>
          </w:p>
        </w:tc>
        <w:tc>
          <w:tcPr/>
          <w:p>
            <w:pPr>
              <w:pStyle w:val="Compact"/>
              <w:jc w:val="left"/>
            </w:pPr>
            <w:r>
              <w:t xml:space="preserve">Plugins for coding agents and MCP clients; framework wrappers listed above</w:t>
            </w:r>
          </w:p>
        </w:tc>
        <w:tc>
          <w:tcPr/>
          <w:p>
            <w:pPr>
              <w:pStyle w:val="Compact"/>
              <w:jc w:val="left"/>
            </w:pPr>
            <w:r>
              <w:t xml:space="preserve">Verified fact</w:t>
            </w:r>
          </w:p>
        </w:tc>
        <w:tc>
          <w:tcPr/>
          <w:p>
            <w:pPr>
              <w:pStyle w:val="Compact"/>
              <w:jc w:val="left"/>
            </w:pPr>
            <w:r>
              <w:t xml:space="preserve">A3-S064</w:t>
            </w:r>
          </w:p>
        </w:tc>
      </w:tr>
      <w:tr>
        <w:tc>
          <w:tcPr/>
          <w:p>
            <w:pPr>
              <w:pStyle w:val="Compact"/>
              <w:jc w:val="left"/>
            </w:pPr>
            <w:r>
              <w:t xml:space="preserve">Adoption signals</w:t>
            </w:r>
          </w:p>
        </w:tc>
        <w:tc>
          <w:tcPr/>
          <w:p>
            <w:pPr>
              <w:pStyle w:val="Compact"/>
              <w:jc w:val="left"/>
            </w:pPr>
            <w:r>
              <w:t xml:space="preserve">supermemoryai/supermemory 31,146 GitHub stars (7 October 2026); seed US$2.6M (October 2025, later reported as US$3M) led by Susa Ventures, Browder Capital and SF1.vc (Reported)</w:t>
            </w:r>
          </w:p>
        </w:tc>
        <w:tc>
          <w:tcPr/>
          <w:p>
            <w:pPr>
              <w:pStyle w:val="Compact"/>
              <w:jc w:val="left"/>
            </w:pPr>
            <w:r>
              <w:t xml:space="preserve">Verified fact</w:t>
            </w:r>
          </w:p>
        </w:tc>
        <w:tc>
          <w:tcPr/>
          <w:p>
            <w:pPr>
              <w:pStyle w:val="Compact"/>
              <w:jc w:val="left"/>
            </w:pPr>
            <w:r>
              <w:t xml:space="preserve">A3-S054, A3-S097</w:t>
            </w:r>
          </w:p>
        </w:tc>
      </w:tr>
      <w:tr>
        <w:tc>
          <w:tcPr/>
          <w:p>
            <w:pPr>
              <w:pStyle w:val="Compact"/>
              <w:jc w:val="left"/>
            </w:pPr>
            <w:r>
              <w:t xml:space="preserve">Maturity</w:t>
            </w:r>
          </w:p>
        </w:tc>
        <w:tc>
          <w:tcPr/>
          <w:p>
            <w:pPr>
              <w:pStyle w:val="Compact"/>
              <w:jc w:val="left"/>
            </w:pPr>
            <w:r>
              <w:t xml:space="preserve">Python SDK first released 29 April 2025; 87 releases; v5 API just released</w:t>
            </w:r>
          </w:p>
        </w:tc>
        <w:tc>
          <w:tcPr/>
          <w:p>
            <w:pPr>
              <w:pStyle w:val="Compact"/>
              <w:jc w:val="left"/>
            </w:pPr>
            <w:r>
              <w:t xml:space="preserve">Verified fact</w:t>
            </w:r>
          </w:p>
        </w:tc>
        <w:tc>
          <w:tcPr/>
          <w:p>
            <w:pPr>
              <w:pStyle w:val="Compact"/>
              <w:jc w:val="left"/>
            </w:pPr>
            <w:r>
              <w:t xml:space="preserve">A3-S012</w:t>
            </w:r>
          </w:p>
        </w:tc>
      </w:tr>
      <w:tr>
        <w:tc>
          <w:tcPr/>
          <w:p>
            <w:pPr>
              <w:pStyle w:val="Compact"/>
              <w:jc w:val="left"/>
            </w:pPr>
            <w:r>
              <w:t xml:space="preserve">Deployment</w:t>
            </w:r>
          </w:p>
        </w:tc>
        <w:tc>
          <w:tcPr/>
          <w:p>
            <w:pPr>
              <w:pStyle w:val="Compact"/>
              <w:jc w:val="left"/>
            </w:pPr>
            <w:r>
              <w:t xml:space="preserve">saas: Yes; managed_cloud: Not publicly verified; vpc_byoc: Yes (dedicated deployment in customer AWS, GCP or Azure account); private_cloud: Yes (dedicated infrastructure run by Supermemory); self_hosted: Yes: Supermemory local free for individuals within a lite licence (server binary not open source); organisational self-hosting on Scale and Enterprise; on_prem: Yes (Enterprise air-gapped self-hosting)</w:t>
            </w:r>
          </w:p>
        </w:tc>
        <w:tc>
          <w:tcPr/>
          <w:p>
            <w:pPr>
              <w:pStyle w:val="Compact"/>
            </w:pPr>
          </w:p>
        </w:tc>
        <w:tc>
          <w:tcPr/>
          <w:p>
            <w:pPr>
              <w:pStyle w:val="Compact"/>
            </w:pPr>
          </w:p>
        </w:tc>
      </w:tr>
    </w:tbl>
    <w:bookmarkEnd w:id="796"/>
    <w:bookmarkStart w:id="813" w:name="X43d8654ac1f9537950246287eda48aae891e83c"/>
    <w:p>
      <w:pPr>
        <w:pStyle w:val="Heading2"/>
      </w:pPr>
      <w:r>
        <w:t xml:space="preserve">Letta (formerly MemGPT); current product is Letta Code, a stateful agent harness, with Letta Cloud (</w:t>
      </w:r>
      <w:r>
        <w:rPr>
          <w:rStyle w:val="VerbatimChar"/>
        </w:rPr>
        <w:t xml:space="preserve">L5-letta</w:t>
      </w:r>
      <w:r>
        <w:t xml:space="preserve">)</w:t>
      </w:r>
    </w:p>
    <w:p>
      <w:pPr>
        <w:pStyle w:val="FirstParagraph"/>
      </w:pPr>
      <w:r>
        <w:rPr>
          <w:bCs/>
          <w:b/>
        </w:rPr>
        <w:t xml:space="preserve">Tier:</w:t>
      </w:r>
      <w:r>
        <w:t xml:space="preserve"> </w:t>
      </w:r>
      <w:r>
        <w:t xml:space="preserve">Experimental ·</w:t>
      </w:r>
      <w:r>
        <w:t xml:space="preserve"> </w:t>
      </w:r>
      <w:r>
        <w:rPr>
          <w:bCs/>
          <w:b/>
        </w:rPr>
        <w:t xml:space="preserve">Flags:</w:t>
      </w:r>
      <w:r>
        <w:t xml:space="preserve"> </w:t>
      </w:r>
      <w:r>
        <w:t xml:space="preserve">Superseded ·</w:t>
      </w:r>
      <w:r>
        <w:t xml:space="preserve"> </w:t>
      </w:r>
      <w:r>
        <w:rPr>
          <w:bCs/>
          <w:b/>
        </w:rPr>
        <w:t xml:space="preserve">Original graphic label:</w:t>
      </w:r>
      <w:r>
        <w:t xml:space="preserve"> </w:t>
      </w:r>
      <w:r>
        <w:t xml:space="preserve">Letta – stateful agents</w:t>
      </w:r>
    </w:p>
    <w:p>
      <w:pPr>
        <w:pStyle w:val="BodyText"/>
      </w:pPr>
      <w:r>
        <w:rPr>
          <w:iCs/>
          <w:i/>
        </w:rPr>
        <w:t xml:space="preserve">Rationale:</w:t>
      </w:r>
      <w:r>
        <w:t xml:space="preserve"> </w:t>
      </w:r>
      <w:r>
        <w:t xml:space="preserve">Repositioned as an agent harness with changing architecture and no certification; belongs with L3 harness evaluation</w:t>
      </w:r>
      <w:r>
        <w:t xml:space="preserve"> </w:t>
      </w:r>
      <w:r>
        <w:rPr>
          <w:rStyle w:val="ClaimLabel"/>
        </w:rPr>
        <w:t xml:space="preserve">AJ</w:t>
      </w:r>
      <w:r>
        <w:t xml:space="preserve">.</w:t>
      </w:r>
    </w:p>
    <w:tbl>
      <w:tblPr>
        <w:tblStyle w:val="Table"/>
        <w:tblW w:type="pct" w:w="5000"/>
        <w:tblLook w:firstRow="1" w:lastRow="0" w:firstColumn="0" w:lastColumn="0" w:noHBand="0" w:noVBand="0" w:val="0020"/>
        <w:jc w:val="start"/>
      </w:tblPr>
      <w:tblGrid>
        <w:gridCol w:w="1545"/>
        <w:gridCol w:w="579"/>
        <w:gridCol w:w="5795"/>
      </w:tblGrid>
      <w:tr>
        <w:trPr>
          <w:tblHeader w:val="true"/>
        </w:trPr>
        <w:tc>
          <w:tcPr/>
          <w:p>
            <w:pPr>
              <w:pStyle w:val="Compact"/>
              <w:jc w:val="left"/>
            </w:pPr>
            <w:r>
              <w:t xml:space="preserve">Criterion</w:t>
            </w:r>
          </w:p>
        </w:tc>
        <w:tc>
          <w:tcPr/>
          <w:p>
            <w:pPr>
              <w:pStyle w:val="Compact"/>
              <w:jc w:val="right"/>
            </w:pPr>
            <w:r>
              <w:t xml:space="preserve">Score</w:t>
            </w:r>
          </w:p>
        </w:tc>
        <w:tc>
          <w:tcPr/>
          <w:p>
            <w:pPr>
              <w:pStyle w:val="Compact"/>
              <w:jc w:val="left"/>
            </w:pPr>
            <w:r>
              <w:t xml:space="preserve">Rationale</w:t>
            </w:r>
          </w:p>
        </w:tc>
      </w:tr>
      <w:tr>
        <w:tc>
          <w:tcPr/>
          <w:p>
            <w:pPr>
              <w:pStyle w:val="Compact"/>
              <w:jc w:val="left"/>
            </w:pPr>
            <w:r>
              <w:t xml:space="preserve">Technical</w:t>
            </w:r>
          </w:p>
        </w:tc>
        <w:tc>
          <w:tcPr/>
          <w:p>
            <w:pPr>
              <w:pStyle w:val="Compact"/>
              <w:jc w:val="right"/>
            </w:pPr>
            <w:r>
              <w:t xml:space="preserve">3</w:t>
            </w:r>
          </w:p>
        </w:tc>
        <w:tc>
          <w:tcPr/>
          <w:p>
            <w:pPr>
              <w:pStyle w:val="Compact"/>
              <w:jc w:val="left"/>
            </w:pPr>
            <w:r>
              <w:t xml:space="preserve">Memory blocks and MemFS within its own harness; not usable as a memory layer for other frameworks</w:t>
            </w:r>
          </w:p>
        </w:tc>
      </w:tr>
      <w:tr>
        <w:tc>
          <w:tcPr/>
          <w:p>
            <w:pPr>
              <w:pStyle w:val="Compact"/>
              <w:jc w:val="left"/>
            </w:pPr>
            <w:r>
              <w:t xml:space="preserve">Enterprise readiness</w:t>
            </w:r>
          </w:p>
        </w:tc>
        <w:tc>
          <w:tcPr/>
          <w:p>
            <w:pPr>
              <w:pStyle w:val="Compact"/>
              <w:jc w:val="right"/>
            </w:pPr>
            <w:r>
              <w:t xml:space="preserve">3</w:t>
            </w:r>
          </w:p>
        </w:tc>
        <w:tc>
          <w:tcPr/>
          <w:p>
            <w:pPr>
              <w:pStyle w:val="Compact"/>
              <w:jc w:val="left"/>
            </w:pPr>
            <w:r>
              <w:t xml:space="preserve">RBAC and SAML/OIDC SSO on Enterprise (two of three); audit logs NPV; dedicated support</w:t>
            </w:r>
          </w:p>
        </w:tc>
      </w:tr>
      <w:tr>
        <w:tc>
          <w:tcPr/>
          <w:p>
            <w:pPr>
              <w:pStyle w:val="Compact"/>
              <w:jc w:val="left"/>
            </w:pPr>
            <w:r>
              <w:t xml:space="preserve">Security and compliance</w:t>
            </w:r>
          </w:p>
        </w:tc>
        <w:tc>
          <w:tcPr/>
          <w:p>
            <w:pPr>
              <w:pStyle w:val="Compact"/>
              <w:jc w:val="right"/>
            </w:pPr>
            <w:r>
              <w:t xml:space="preserve">2</w:t>
            </w:r>
          </w:p>
        </w:tc>
        <w:tc>
          <w:tcPr/>
          <w:p>
            <w:pPr>
              <w:pStyle w:val="Compact"/>
              <w:jc w:val="left"/>
            </w:pPr>
            <w:r>
              <w:t xml:space="preserve">No certification found</w:t>
            </w:r>
          </w:p>
        </w:tc>
      </w:tr>
      <w:tr>
        <w:tc>
          <w:tcPr/>
          <w:p>
            <w:pPr>
              <w:pStyle w:val="Compact"/>
              <w:jc w:val="left"/>
            </w:pPr>
            <w:r>
              <w:t xml:space="preserve">Deployment flexibility</w:t>
            </w:r>
          </w:p>
        </w:tc>
        <w:tc>
          <w:tcPr/>
          <w:p>
            <w:pPr>
              <w:pStyle w:val="Compact"/>
              <w:jc w:val="right"/>
            </w:pPr>
            <w:r>
              <w:t xml:space="preserve">3</w:t>
            </w:r>
          </w:p>
        </w:tc>
        <w:tc>
          <w:tcPr/>
          <w:p>
            <w:pPr>
              <w:pStyle w:val="Compact"/>
              <w:jc w:val="left"/>
            </w:pPr>
            <w:r>
              <w:t xml:space="preserve">Letta Cloud SaaS and self-hosted server; on-prem and VPC NPV</w:t>
            </w:r>
          </w:p>
        </w:tc>
      </w:tr>
      <w:tr>
        <w:tc>
          <w:tcPr/>
          <w:p>
            <w:pPr>
              <w:pStyle w:val="Compact"/>
              <w:jc w:val="left"/>
            </w:pPr>
            <w:r>
              <w:t xml:space="preserve">Ecosystem</w:t>
            </w:r>
          </w:p>
        </w:tc>
        <w:tc>
          <w:tcPr/>
          <w:p>
            <w:pPr>
              <w:pStyle w:val="Compact"/>
              <w:jc w:val="right"/>
            </w:pPr>
            <w:r>
              <w:t xml:space="preserve">3</w:t>
            </w:r>
          </w:p>
        </w:tc>
        <w:tc>
          <w:tcPr/>
          <w:p>
            <w:pPr>
              <w:pStyle w:val="Compact"/>
              <w:jc w:val="left"/>
            </w:pPr>
            <w:r>
              <w:t xml:space="preserve">Model-agnostic; skills ecosystem; but a harness rather than an integration point</w:t>
            </w:r>
          </w:p>
        </w:tc>
      </w:tr>
      <w:tr>
        <w:tc>
          <w:tcPr/>
          <w:p>
            <w:pPr>
              <w:pStyle w:val="Compact"/>
              <w:jc w:val="left"/>
            </w:pPr>
            <w:r>
              <w:t xml:space="preserve">Reliability and maturity</w:t>
            </w:r>
          </w:p>
        </w:tc>
        <w:tc>
          <w:tcPr/>
          <w:p>
            <w:pPr>
              <w:pStyle w:val="Compact"/>
              <w:jc w:val="right"/>
            </w:pPr>
            <w:r>
              <w:t xml:space="preserve">2</w:t>
            </w:r>
          </w:p>
        </w:tc>
        <w:tc>
          <w:tcPr/>
          <w:p>
            <w:pPr>
              <w:pStyle w:val="Compact"/>
              <w:jc w:val="left"/>
            </w:pPr>
            <w:r>
              <w:t xml:space="preserve">Pre-1.0 Letta Code launched October 2025; architecture changed twice; no acquisition found</w:t>
            </w:r>
          </w:p>
        </w:tc>
      </w:tr>
      <w:tr>
        <w:tc>
          <w:tcPr/>
          <w:p>
            <w:pPr>
              <w:pStyle w:val="Compact"/>
              <w:jc w:val="left"/>
            </w:pPr>
            <w:r>
              <w:t xml:space="preserve">Cost / TCO</w:t>
            </w:r>
          </w:p>
        </w:tc>
        <w:tc>
          <w:tcPr/>
          <w:p>
            <w:pPr>
              <w:pStyle w:val="Compact"/>
              <w:jc w:val="right"/>
            </w:pPr>
            <w:r>
              <w:t xml:space="preserve">4</w:t>
            </w:r>
          </w:p>
        </w:tc>
        <w:tc>
          <w:tcPr/>
          <w:p>
            <w:pPr>
              <w:pStyle w:val="Compact"/>
              <w:jc w:val="left"/>
            </w:pPr>
            <w:r>
              <w:t xml:space="preserve">Apache-2.0; Pro US$20 per month; free with own model keys</w:t>
            </w:r>
          </w:p>
        </w:tc>
      </w:tr>
      <w:tr>
        <w:tc>
          <w:tcPr/>
          <w:p>
            <w:pPr>
              <w:pStyle w:val="Compact"/>
              <w:jc w:val="left"/>
            </w:pPr>
            <w:r>
              <w:t xml:space="preserve">Lock-in / portability</w:t>
            </w:r>
          </w:p>
        </w:tc>
        <w:tc>
          <w:tcPr/>
          <w:p>
            <w:pPr>
              <w:pStyle w:val="Compact"/>
              <w:jc w:val="right"/>
            </w:pPr>
            <w:r>
              <w:t xml:space="preserve">3</w:t>
            </w:r>
          </w:p>
        </w:tc>
        <w:tc>
          <w:tcPr/>
          <w:p>
            <w:pPr>
              <w:pStyle w:val="Compact"/>
              <w:jc w:val="left"/>
            </w:pPr>
            <w:r>
              <w:t xml:space="preserve">Apache-2.0 and git-backed memory files are portable, but agent state defaults to Letta Cloud and AgentFile export was removed</w:t>
            </w:r>
          </w:p>
        </w:tc>
      </w:tr>
      <w:tr>
        <w:tc>
          <w:tcPr/>
          <w:p>
            <w:pPr>
              <w:pStyle w:val="Compact"/>
              <w:jc w:val="left"/>
            </w:pPr>
            <w:r>
              <w:rPr>
                <w:bCs/>
                <w:b/>
              </w:rPr>
              <w:t xml:space="preserve">Total (generic / FS)</w:t>
            </w:r>
          </w:p>
        </w:tc>
        <w:tc>
          <w:tcPr/>
          <w:p>
            <w:pPr>
              <w:pStyle w:val="Compact"/>
              <w:jc w:val="right"/>
            </w:pPr>
            <w:r>
              <w:rPr>
                <w:bCs/>
                <w:b/>
              </w:rPr>
              <w:t xml:space="preserve">2.85 / 2.75</w:t>
            </w:r>
          </w:p>
        </w:tc>
        <w:tc>
          <w:tcPr/>
          <w:p>
            <w:pPr>
              <w:pStyle w:val="Compact"/>
            </w:pPr>
          </w:p>
        </w:tc>
      </w:tr>
    </w:tbl>
    <w:p>
      <w:pPr>
        <w:pStyle w:val="BodyText"/>
      </w:pPr>
      <w:r>
        <w:rPr>
          <w:iCs/>
          <w:i/>
        </w:rPr>
        <w:t xml:space="preserve">Evidence rules applied:</w:t>
      </w:r>
      <w:r>
        <w:t xml:space="preserve"> </w:t>
      </w:r>
      <w:r>
        <w:t xml:space="preserve">security_compliance capped at 2: certifications NPV (none found, A3-S118)</w:t>
      </w:r>
    </w:p>
    <w:p>
      <w:pPr>
        <w:pStyle w:val="BodyText"/>
      </w:pPr>
      <w:r>
        <w:rPr>
          <w:bCs/>
          <w:b/>
        </w:rPr>
        <w:t xml:space="preserve">Capabilities.</w:t>
      </w:r>
      <w:r>
        <w:t xml:space="preserve"> </w:t>
      </w:r>
      <w:r>
        <w:t xml:space="preserve">Stateful agent harness (Letta Code) with memory blocks and all context tracked in a git-backed memory filesystem (MemFS) that can sync to GitHub; Letta Cloud default backend or self-hosted</w:t>
      </w:r>
      <w:r>
        <w:t xml:space="preserve"> </w:t>
      </w:r>
      <w:r>
        <w:t xml:space="preserve">‘</w:t>
      </w:r>
      <w:r>
        <w:t xml:space="preserve">letta server</w:t>
      </w:r>
      <w:r>
        <w:t xml:space="preserve">’</w:t>
      </w:r>
      <w:r>
        <w:t xml:space="preserve">; not a standalone memory layer</w:t>
      </w:r>
      <w:r>
        <w:t xml:space="preserve"> </w:t>
      </w:r>
      <w:r>
        <w:rPr>
          <w:rStyle w:val="ClaimLabel"/>
        </w:rPr>
        <w:t xml:space="preserve">VF</w:t>
      </w:r>
      <w:r>
        <w:rPr>
          <w:rStyle w:val="FootnoteReference"/>
        </w:rPr>
        <w:footnoteReference w:id="797"/>
      </w:r>
      <w:r>
        <w:t xml:space="preserve">.</w:t>
      </w:r>
    </w:p>
    <w:p>
      <w:pPr>
        <w:pStyle w:val="BodyText"/>
      </w:pPr>
      <w:r>
        <w:rPr>
          <w:bCs/>
          <w:b/>
        </w:rPr>
        <w:t xml:space="preserve">Strengths</w:t>
      </w:r>
    </w:p>
    <w:p>
      <w:pPr>
        <w:numPr>
          <w:ilvl w:val="0"/>
          <w:numId w:val="1185"/>
        </w:numPr>
        <w:pStyle w:val="Compact"/>
      </w:pPr>
      <w:r>
        <w:t xml:space="preserve">Memory as version-controlled files: every change is a reviewable diff</w:t>
      </w:r>
      <w:r>
        <w:t xml:space="preserve"> </w:t>
      </w:r>
      <w:r>
        <w:rPr>
          <w:rStyle w:val="ClaimLabel"/>
        </w:rPr>
        <w:t xml:space="preserve">VF</w:t>
      </w:r>
      <w:r>
        <w:rPr>
          <w:rStyle w:val="FootnoteReference"/>
        </w:rPr>
        <w:footnoteReference w:id="801"/>
      </w:r>
    </w:p>
    <w:p>
      <w:pPr>
        <w:numPr>
          <w:ilvl w:val="0"/>
          <w:numId w:val="1185"/>
        </w:numPr>
        <w:pStyle w:val="Compact"/>
      </w:pPr>
      <w:r>
        <w:t xml:space="preserve">Model-agnostic; works with OpenAI, Anthropic, Z.ai and local models</w:t>
      </w:r>
      <w:r>
        <w:t xml:space="preserve"> </w:t>
      </w:r>
      <w:r>
        <w:rPr>
          <w:rStyle w:val="ClaimLabel"/>
        </w:rPr>
        <w:t xml:space="preserve">VF</w:t>
      </w:r>
      <w:r>
        <w:rPr>
          <w:rStyle w:val="FootnoteReference"/>
        </w:rPr>
        <w:footnoteReference w:id="802"/>
      </w:r>
    </w:p>
    <w:p>
      <w:pPr>
        <w:numPr>
          <w:ilvl w:val="0"/>
          <w:numId w:val="1185"/>
        </w:numPr>
        <w:pStyle w:val="Compact"/>
      </w:pPr>
      <w:r>
        <w:t xml:space="preserve">Enterprise RBAC and SAML/OIDC SSO</w:t>
      </w:r>
      <w:r>
        <w:t xml:space="preserve"> </w:t>
      </w:r>
      <w:r>
        <w:rPr>
          <w:rStyle w:val="ClaimLabel"/>
        </w:rPr>
        <w:t xml:space="preserve">VF</w:t>
      </w:r>
      <w:r>
        <w:rPr>
          <w:rStyle w:val="FootnoteReference"/>
        </w:rPr>
        <w:footnoteReference w:id="803"/>
      </w:r>
    </w:p>
    <w:p>
      <w:pPr>
        <w:numPr>
          <w:ilvl w:val="0"/>
          <w:numId w:val="1185"/>
        </w:numPr>
        <w:pStyle w:val="Compact"/>
      </w:pPr>
      <w:r>
        <w:t xml:space="preserve">Apache-2.0 licence</w:t>
      </w:r>
      <w:r>
        <w:t xml:space="preserve"> </w:t>
      </w:r>
      <w:r>
        <w:rPr>
          <w:rStyle w:val="ClaimLabel"/>
        </w:rPr>
        <w:t xml:space="preserve">VF</w:t>
      </w:r>
      <w:r>
        <w:rPr>
          <w:rStyle w:val="FootnoteReference"/>
        </w:rPr>
        <w:footnoteReference w:id="805"/>
      </w:r>
    </w:p>
    <w:p>
      <w:pPr>
        <w:pStyle w:val="FirstParagraph"/>
      </w:pPr>
      <w:r>
        <w:rPr>
          <w:bCs/>
          <w:b/>
        </w:rPr>
        <w:t xml:space="preserve">Limitations and risks</w:t>
      </w:r>
    </w:p>
    <w:p>
      <w:pPr>
        <w:numPr>
          <w:ilvl w:val="0"/>
          <w:numId w:val="1186"/>
        </w:numPr>
        <w:pStyle w:val="Compact"/>
      </w:pPr>
      <w:r>
        <w:t xml:space="preserve">Pivot in March 2026: server memory tools, templates, server-side sleep-time agents and tool rules deprecated; V1 server retired</w:t>
      </w:r>
      <w:r>
        <w:t xml:space="preserve"> </w:t>
      </w:r>
      <w:r>
        <w:rPr>
          <w:rStyle w:val="ClaimLabel"/>
        </w:rPr>
        <w:t xml:space="preserve">VF</w:t>
      </w:r>
      <w:r>
        <w:rPr>
          <w:rStyle w:val="FootnoteReference"/>
        </w:rPr>
        <w:footnoteReference w:id="808"/>
      </w:r>
    </w:p>
    <w:p>
      <w:pPr>
        <w:numPr>
          <w:ilvl w:val="0"/>
          <w:numId w:val="1186"/>
        </w:numPr>
        <w:pStyle w:val="Compact"/>
      </w:pPr>
      <w:r>
        <w:t xml:space="preserve">AgentFile export/import removed</w:t>
      </w:r>
      <w:r>
        <w:t xml:space="preserve"> </w:t>
      </w:r>
      <w:r>
        <w:rPr>
          <w:rStyle w:val="ClaimLabel"/>
        </w:rPr>
        <w:t xml:space="preserve">VF</w:t>
      </w:r>
      <w:r>
        <w:rPr>
          <w:rStyle w:val="FootnoteReference"/>
        </w:rPr>
        <w:footnoteReference w:id="809"/>
      </w:r>
    </w:p>
    <w:p>
      <w:pPr>
        <w:numPr>
          <w:ilvl w:val="0"/>
          <w:numId w:val="1186"/>
        </w:numPr>
        <w:pStyle w:val="Compact"/>
      </w:pPr>
      <w:r>
        <w:t xml:space="preserve">No SOC 2 or trust centre found; privacy policy states no specific retention periods</w:t>
      </w:r>
      <w:r>
        <w:t xml:space="preserve"> </w:t>
      </w:r>
      <w:r>
        <w:rPr>
          <w:rStyle w:val="ClaimLabel"/>
        </w:rPr>
        <w:t xml:space="preserve">VF</w:t>
      </w:r>
      <w:r>
        <w:rPr>
          <w:rStyle w:val="FootnoteReference"/>
        </w:rPr>
        <w:footnoteReference w:id="810"/>
      </w:r>
    </w:p>
    <w:p>
      <w:pPr>
        <w:numPr>
          <w:ilvl w:val="0"/>
          <w:numId w:val="1186"/>
        </w:numPr>
        <w:pStyle w:val="Compact"/>
      </w:pPr>
      <w:r>
        <w:t xml:space="preserve">Pre-1.0 with very rapid releases (eight in six days)</w:t>
      </w:r>
      <w:r>
        <w:t xml:space="preserve"> </w:t>
      </w:r>
      <w:r>
        <w:rPr>
          <w:rStyle w:val="ClaimLabel"/>
        </w:rPr>
        <w:t xml:space="preserve">VF</w:t>
      </w:r>
      <w:r>
        <w:rPr>
          <w:rStyle w:val="FootnoteReference"/>
        </w:rPr>
        <w:footnoteReference w:id="812"/>
      </w:r>
    </w:p>
    <w:p>
      <w:pPr>
        <w:numPr>
          <w:ilvl w:val="0"/>
          <w:numId w:val="1186"/>
        </w:numPr>
        <w:pStyle w:val="Compact"/>
      </w:pPr>
      <w:r>
        <w:t xml:space="preserve">Git history retains deleted content unless rewritten, complicating erasure</w:t>
      </w:r>
      <w:r>
        <w:t xml:space="preserve"> </w:t>
      </w:r>
      <w:r>
        <w:rPr>
          <w:rStyle w:val="ClaimLabel"/>
        </w:rPr>
        <w:t xml:space="preserve">AJ</w:t>
      </w:r>
    </w:p>
    <w:p>
      <w:pPr>
        <w:pStyle w:val="FirstParagraph"/>
      </w:pPr>
      <w:r>
        <w:rPr>
          <w:bCs/>
          <w:b/>
        </w:rPr>
        <w:t xml:space="preserve">Choose when</w:t>
      </w:r>
    </w:p>
    <w:p>
      <w:pPr>
        <w:numPr>
          <w:ilvl w:val="0"/>
          <w:numId w:val="1187"/>
        </w:numPr>
        <w:pStyle w:val="Compact"/>
      </w:pPr>
      <w:r>
        <w:t xml:space="preserve">Evaluating a stateful coding or operations agent outside regulated client data</w:t>
      </w:r>
      <w:r>
        <w:t xml:space="preserve"> </w:t>
      </w:r>
      <w:r>
        <w:rPr>
          <w:rStyle w:val="ClaimLabel"/>
        </w:rPr>
        <w:t xml:space="preserve">AJ</w:t>
      </w:r>
    </w:p>
    <w:p>
      <w:pPr>
        <w:pStyle w:val="FirstParagraph"/>
      </w:pPr>
      <w:r>
        <w:rPr>
          <w:bCs/>
          <w:b/>
        </w:rPr>
        <w:t xml:space="preserve">Avoid when</w:t>
      </w:r>
    </w:p>
    <w:p>
      <w:pPr>
        <w:numPr>
          <w:ilvl w:val="0"/>
          <w:numId w:val="1188"/>
        </w:numPr>
        <w:pStyle w:val="Compact"/>
      </w:pPr>
      <w:r>
        <w:t xml:space="preserve">You need a memory service for an existing LangGraph, ADK or Strands workflow</w:t>
      </w:r>
      <w:r>
        <w:t xml:space="preserve"> </w:t>
      </w:r>
      <w:r>
        <w:rPr>
          <w:rStyle w:val="ClaimLabel"/>
        </w:rPr>
        <w:t xml:space="preserve">AJ</w:t>
      </w:r>
    </w:p>
    <w:p>
      <w:pPr>
        <w:numPr>
          <w:ilvl w:val="0"/>
          <w:numId w:val="1188"/>
        </w:numPr>
        <w:pStyle w:val="Compact"/>
      </w:pPr>
      <w:r>
        <w:t xml:space="preserve">Certifications are a gate</w:t>
      </w:r>
      <w:r>
        <w:t xml:space="preserve"> </w:t>
      </w:r>
      <w:r>
        <w:rPr>
          <w:rStyle w:val="ClaimLabel"/>
        </w:rPr>
        <w:t xml:space="preserve">AJ</w:t>
      </w:r>
    </w:p>
    <w:p>
      <w:pPr>
        <w:pStyle w:val="FirstParagraph"/>
      </w:pPr>
      <w:r>
        <w:rPr>
          <w:bCs/>
          <w:b/>
        </w:rPr>
        <w:t xml:space="preserve">Nearest competitors:</w:t>
      </w:r>
      <w:r>
        <w:t xml:space="preserve"> </w:t>
      </w:r>
      <w:r>
        <w:t xml:space="preserve">L5-langmem, L5-aws-agentcore-memory, L5-gcp-vertex-memory-bank</w:t>
      </w:r>
    </w:p>
    <w:p>
      <w:pPr>
        <w:pStyle w:val="BodyText"/>
      </w:pPr>
      <w:r>
        <w:rPr>
          <w:bCs/>
          <w:b/>
        </w:rPr>
        <w:t xml:space="preserve">Regulated-FS note.</w:t>
      </w:r>
      <w:r>
        <w:t xml:space="preserve"> </w:t>
      </w:r>
      <w:r>
        <w:t xml:space="preserve">Copy the git-backed memory idea for governed style memory in the firm’s own repository; do not adopt the product as a regulated-workflow dependency today</w:t>
      </w:r>
      <w:r>
        <w:t xml:space="preserve"> </w:t>
      </w:r>
      <w:r>
        <w:rPr>
          <w:rStyle w:val="ClaimLabel"/>
        </w:rPr>
        <w:t xml:space="preserve">Rec</w:t>
      </w:r>
      <w:r>
        <w:t xml:space="preserve">.</w:t>
      </w:r>
    </w:p>
    <w:p>
      <w:pPr>
        <w:pStyle w:val="BodyText"/>
      </w:pPr>
      <w:r>
        <w:rPr>
          <w:bCs/>
          <w:b/>
        </w:rPr>
        <w:t xml:space="preserve">Facts (as of 2026-10-08)</w:t>
      </w:r>
    </w:p>
    <w:tbl>
      <w:tblPr>
        <w:tblStyle w:val="Table"/>
        <w:tblW w:type="pct" w:w="5000"/>
        <w:tblLook w:firstRow="1" w:lastRow="0" w:firstColumn="0" w:lastColumn="0" w:noHBand="0" w:noVBand="0" w:val="0020"/>
        <w:jc w:val="start"/>
      </w:tblPr>
      <w:tblGrid>
        <w:gridCol w:w="1485"/>
        <w:gridCol w:w="4290"/>
        <w:gridCol w:w="1320"/>
        <w:gridCol w:w="825"/>
      </w:tblGrid>
      <w:tr>
        <w:trPr>
          <w:tblHeader w:val="true"/>
        </w:trPr>
        <w:tc>
          <w:tcPr/>
          <w:p>
            <w:pPr>
              <w:pStyle w:val="Compact"/>
              <w:jc w:val="left"/>
            </w:pPr>
            <w:r>
              <w:t xml:space="preserve">Field</w:t>
            </w:r>
          </w:p>
        </w:tc>
        <w:tc>
          <w:tcPr/>
          <w:p>
            <w:pPr>
              <w:pStyle w:val="Compact"/>
              <w:jc w:val="left"/>
            </w:pPr>
            <w:r>
              <w:t xml:space="preserve">Value</w:t>
            </w:r>
          </w:p>
        </w:tc>
        <w:tc>
          <w:tcPr/>
          <w:p>
            <w:pPr>
              <w:pStyle w:val="Compact"/>
              <w:jc w:val="left"/>
            </w:pPr>
            <w:r>
              <w:t xml:space="preserve">Label</w:t>
            </w:r>
          </w:p>
        </w:tc>
        <w:tc>
          <w:tcPr/>
          <w:p>
            <w:pPr>
              <w:pStyle w:val="Compact"/>
              <w:jc w:val="left"/>
            </w:pPr>
            <w:r>
              <w:t xml:space="preserve">Sources</w:t>
            </w:r>
          </w:p>
        </w:tc>
      </w:tr>
      <w:tr>
        <w:tc>
          <w:tcPr/>
          <w:p>
            <w:pPr>
              <w:pStyle w:val="Compact"/>
              <w:jc w:val="left"/>
            </w:pPr>
            <w:r>
              <w:t xml:space="preserve">Company</w:t>
            </w:r>
          </w:p>
        </w:tc>
        <w:tc>
          <w:tcPr/>
          <w:p>
            <w:pPr>
              <w:pStyle w:val="Compact"/>
              <w:jc w:val="left"/>
            </w:pPr>
            <w:r>
              <w:t xml:space="preserve">Letta (letta-ai)</w:t>
            </w:r>
          </w:p>
        </w:tc>
        <w:tc>
          <w:tcPr/>
          <w:p>
            <w:pPr>
              <w:pStyle w:val="Compact"/>
              <w:jc w:val="left"/>
            </w:pPr>
            <w:r>
              <w:t xml:space="preserve">Verified fact</w:t>
            </w:r>
          </w:p>
        </w:tc>
        <w:tc>
          <w:tcPr/>
          <w:p>
            <w:pPr>
              <w:pStyle w:val="Compact"/>
              <w:jc w:val="left"/>
            </w:pPr>
            <w:r>
              <w:t xml:space="preserve">A3-S060</w:t>
            </w:r>
          </w:p>
        </w:tc>
      </w:tr>
      <w:tr>
        <w:tc>
          <w:tcPr/>
          <w:p>
            <w:pPr>
              <w:pStyle w:val="Compact"/>
              <w:jc w:val="left"/>
            </w:pPr>
            <w:r>
              <w:t xml:space="preserve">Category</w:t>
            </w:r>
          </w:p>
        </w:tc>
        <w:tc>
          <w:tcPr/>
          <w:p>
            <w:pPr>
              <w:pStyle w:val="Compact"/>
              <w:jc w:val="left"/>
            </w:pPr>
            <w:r>
              <w:t xml:space="preserve">Stateful agent harness/runtime with self-editing memory; not a standalone memory library</w:t>
            </w:r>
          </w:p>
        </w:tc>
        <w:tc>
          <w:tcPr/>
          <w:p>
            <w:pPr>
              <w:pStyle w:val="Compact"/>
              <w:jc w:val="left"/>
            </w:pPr>
            <w:r>
              <w:t xml:space="preserve">Verified fact</w:t>
            </w:r>
          </w:p>
        </w:tc>
        <w:tc>
          <w:tcPr/>
          <w:p>
            <w:pPr>
              <w:pStyle w:val="Compact"/>
              <w:jc w:val="left"/>
            </w:pPr>
            <w:r>
              <w:t xml:space="preserve">A3-S073</w:t>
            </w:r>
          </w:p>
        </w:tc>
      </w:tr>
      <w:tr>
        <w:tc>
          <w:tcPr/>
          <w:p>
            <w:pPr>
              <w:pStyle w:val="Compact"/>
              <w:jc w:val="left"/>
            </w:pPr>
            <w:r>
              <w:t xml:space="preserve">Version / lineup</w:t>
            </w:r>
          </w:p>
        </w:tc>
        <w:tc>
          <w:tcPr/>
          <w:p>
            <w:pPr>
              <w:pStyle w:val="Compact"/>
              <w:jc w:val="left"/>
            </w:pPr>
            <w:r>
              <w:t xml:space="preserve">Letta Code 0.34.4 (4 October 2026; PyPI</w:t>
            </w:r>
            <w:r>
              <w:t xml:space="preserve"> </w:t>
            </w:r>
            <w:r>
              <w:t xml:space="preserve">‘</w:t>
            </w:r>
            <w:r>
              <w:t xml:space="preserve">letta</w:t>
            </w:r>
            <w:r>
              <w:t xml:space="preserve">’</w:t>
            </w:r>
            <w:r>
              <w:t xml:space="preserve"> </w:t>
            </w:r>
            <w:r>
              <w:t xml:space="preserve">and npm</w:t>
            </w:r>
            <w:r>
              <w:t xml:space="preserve"> </w:t>
            </w:r>
            <w:r>
              <w:t xml:space="preserve">‘</w:t>
            </w:r>
            <w:r>
              <w:t xml:space="preserve">@letta-ai/letta-code</w:t>
            </w:r>
            <w:r>
              <w:t xml:space="preserve">’</w:t>
            </w:r>
            <w:r>
              <w:t xml:space="preserve">); letta-client Python SDK 1.12.1 (2 June 2026)</w:t>
            </w:r>
          </w:p>
        </w:tc>
        <w:tc>
          <w:tcPr/>
          <w:p>
            <w:pPr>
              <w:pStyle w:val="Compact"/>
              <w:jc w:val="left"/>
            </w:pPr>
            <w:r>
              <w:t xml:space="preserve">Verified fact</w:t>
            </w:r>
          </w:p>
        </w:tc>
        <w:tc>
          <w:tcPr/>
          <w:p>
            <w:pPr>
              <w:pStyle w:val="Compact"/>
              <w:jc w:val="left"/>
            </w:pPr>
            <w:r>
              <w:t xml:space="preserve">A3-S004, A3-S077, A3-S014</w:t>
            </w:r>
          </w:p>
        </w:tc>
      </w:tr>
      <w:tr>
        <w:tc>
          <w:tcPr/>
          <w:p>
            <w:pPr>
              <w:pStyle w:val="Compact"/>
              <w:jc w:val="left"/>
            </w:pPr>
            <w:r>
              <w:t xml:space="preserve">Licence</w:t>
            </w:r>
          </w:p>
        </w:tc>
        <w:tc>
          <w:tcPr/>
          <w:p>
            <w:pPr>
              <w:pStyle w:val="Compact"/>
              <w:jc w:val="left"/>
            </w:pPr>
            <w:r>
              <w:t xml:space="preserve">Open source Apache-2.0 (Letta Code); Letta Cloud hosted service</w:t>
            </w:r>
          </w:p>
        </w:tc>
        <w:tc>
          <w:tcPr/>
          <w:p>
            <w:pPr>
              <w:pStyle w:val="Compact"/>
              <w:jc w:val="left"/>
            </w:pPr>
            <w:r>
              <w:t xml:space="preserve">Verified fact</w:t>
            </w:r>
          </w:p>
        </w:tc>
        <w:tc>
          <w:tcPr/>
          <w:p>
            <w:pPr>
              <w:pStyle w:val="Compact"/>
              <w:jc w:val="left"/>
            </w:pPr>
            <w:r>
              <w:t xml:space="preserve">A3-S004, A3-S077, A3-S073</w:t>
            </w:r>
          </w:p>
        </w:tc>
      </w:tr>
      <w:tr>
        <w:tc>
          <w:tcPr/>
          <w:p>
            <w:pPr>
              <w:pStyle w:val="Compact"/>
              <w:jc w:val="left"/>
            </w:pPr>
            <w:r>
              <w:t xml:space="preserve">Status events</w:t>
            </w:r>
          </w:p>
        </w:tc>
        <w:tc>
          <w:tcPr/>
          <w:p>
            <w:pPr>
              <w:pStyle w:val="Compact"/>
              <w:jc w:val="left"/>
            </w:pPr>
            <w:r>
              <w:t xml:space="preserve">Letta V1 API server retired to an</w:t>
            </w:r>
            <w:r>
              <w:t xml:space="preserve"> </w:t>
            </w:r>
            <w:r>
              <w:t xml:space="preserve">‘</w:t>
            </w:r>
            <w:r>
              <w:t xml:space="preserve">archive</w:t>
            </w:r>
            <w:r>
              <w:t xml:space="preserve">’</w:t>
            </w:r>
            <w:r>
              <w:t xml:space="preserve"> </w:t>
            </w:r>
            <w:r>
              <w:t xml:space="preserve">branch; active source moved to letta-ai/letta-code (status on 7 October 2026); PyPI package</w:t>
            </w:r>
            <w:r>
              <w:t xml:space="preserve"> </w:t>
            </w:r>
            <w:r>
              <w:t xml:space="preserve">‘</w:t>
            </w:r>
            <w:r>
              <w:t xml:space="preserve">letta</w:t>
            </w:r>
            <w:r>
              <w:t xml:space="preserve">’</w:t>
            </w:r>
            <w:r>
              <w:t xml:space="preserve"> </w:t>
            </w:r>
            <w:r>
              <w:t xml:space="preserve">now installs the Letta Code CLI,</w:t>
            </w:r>
            <w:r>
              <w:t xml:space="preserve"> </w:t>
            </w:r>
            <w:r>
              <w:t xml:space="preserve">‘</w:t>
            </w:r>
            <w:r>
              <w:t xml:space="preserve">not a Python SDK or API server</w:t>
            </w:r>
            <w:r>
              <w:t xml:space="preserve">’</w:t>
            </w:r>
            <w:r>
              <w:t xml:space="preserve">; AgentFile (.af) export/import deprecated and removed from Letta Code; lettabot repository archived, replaced by Letta Code channels</w:t>
            </w:r>
          </w:p>
        </w:tc>
        <w:tc>
          <w:tcPr/>
          <w:p>
            <w:pPr>
              <w:pStyle w:val="Compact"/>
              <w:jc w:val="left"/>
            </w:pPr>
            <w:r>
              <w:t xml:space="preserve">Verified fact</w:t>
            </w:r>
          </w:p>
        </w:tc>
        <w:tc>
          <w:tcPr/>
          <w:p>
            <w:pPr>
              <w:pStyle w:val="Compact"/>
              <w:jc w:val="left"/>
            </w:pPr>
            <w:r>
              <w:t xml:space="preserve">A3-S060, A3-S004, A3-S073, A3-S054, V1-S081</w:t>
            </w:r>
          </w:p>
        </w:tc>
      </w:tr>
      <w:tr>
        <w:tc>
          <w:tcPr/>
          <w:p>
            <w:pPr>
              <w:pStyle w:val="Compact"/>
              <w:jc w:val="left"/>
            </w:pPr>
            <w:r>
              <w:t xml:space="preserve">Strategic direction</w:t>
            </w:r>
          </w:p>
        </w:tc>
        <w:tc>
          <w:tcPr/>
          <w:p>
            <w:pPr>
              <w:pStyle w:val="Compact"/>
              <w:jc w:val="left"/>
            </w:pPr>
            <w:r>
              <w:t xml:space="preserve">‘</w:t>
            </w:r>
            <w:r>
              <w:t xml:space="preserve">Letta’s Next Phase</w:t>
            </w:r>
            <w:r>
              <w:t xml:space="preserve">’</w:t>
            </w:r>
            <w:r>
              <w:t xml:space="preserve"> </w:t>
            </w:r>
            <w:r>
              <w:t xml:space="preserve">(March 2026): Letta Code as model-agnostic agent harness with git-backed memory (MemFS); legacy server memory tools (e.g. core_memory_replace), templates, server-side sleep-time agents and tool rules deprecated. Letta Code launched December 2025; desktop app April 2026</w:t>
            </w:r>
          </w:p>
        </w:tc>
        <w:tc>
          <w:tcPr/>
          <w:p>
            <w:pPr>
              <w:pStyle w:val="Compact"/>
              <w:jc w:val="left"/>
            </w:pPr>
            <w:r>
              <w:t xml:space="preserve">Verified fact</w:t>
            </w:r>
          </w:p>
        </w:tc>
        <w:tc>
          <w:tcPr/>
          <w:p>
            <w:pPr>
              <w:pStyle w:val="Compact"/>
              <w:jc w:val="left"/>
            </w:pPr>
            <w:r>
              <w:t xml:space="preserve">A3-S093, A3-S073, V1-S042</w:t>
            </w:r>
          </w:p>
        </w:tc>
      </w:tr>
      <w:tr>
        <w:tc>
          <w:tcPr/>
          <w:p>
            <w:pPr>
              <w:pStyle w:val="Compact"/>
              <w:jc w:val="left"/>
            </w:pPr>
            <w:r>
              <w:t xml:space="preserve">What it does</w:t>
            </w:r>
          </w:p>
        </w:tc>
        <w:tc>
          <w:tcPr/>
          <w:p>
            <w:pPr>
              <w:pStyle w:val="Compact"/>
              <w:jc w:val="left"/>
            </w:pPr>
            <w:r>
              <w:t xml:space="preserve">Runs long-lived agents with memory, identity and conversation history; memory blocks and all context are tracked in a git-backed memory filesystem (MemFS) that can sync to a GitHub repository; supports message search across agents, subagents, hooks, permissions and secrets</w:t>
            </w:r>
          </w:p>
        </w:tc>
        <w:tc>
          <w:tcPr/>
          <w:p>
            <w:pPr>
              <w:pStyle w:val="Compact"/>
              <w:jc w:val="left"/>
            </w:pPr>
            <w:r>
              <w:t xml:space="preserve">Verified fact</w:t>
            </w:r>
          </w:p>
        </w:tc>
        <w:tc>
          <w:tcPr/>
          <w:p>
            <w:pPr>
              <w:pStyle w:val="Compact"/>
              <w:jc w:val="left"/>
            </w:pPr>
            <w:r>
              <w:t xml:space="preserve">A3-S073</w:t>
            </w:r>
          </w:p>
        </w:tc>
      </w:tr>
      <w:tr>
        <w:tc>
          <w:tcPr/>
          <w:p>
            <w:pPr>
              <w:pStyle w:val="Compact"/>
              <w:jc w:val="left"/>
            </w:pPr>
            <w:r>
              <w:t xml:space="preserve">Stack position</w:t>
            </w:r>
          </w:p>
        </w:tc>
        <w:tc>
          <w:tcPr/>
          <w:p>
            <w:pPr>
              <w:pStyle w:val="Compact"/>
              <w:jc w:val="left"/>
            </w:pPr>
            <w:r>
              <w:t xml:space="preserve">Straddles L3 (agent harness) and L5 (memory); the graphic’s</w:t>
            </w:r>
            <w:r>
              <w:t xml:space="preserve"> </w:t>
            </w:r>
            <w:r>
              <w:t xml:space="preserve">‘</w:t>
            </w:r>
            <w:r>
              <w:t xml:space="preserve">stateful agents</w:t>
            </w:r>
            <w:r>
              <w:t xml:space="preserve">’</w:t>
            </w:r>
            <w:r>
              <w:t xml:space="preserve"> </w:t>
            </w:r>
            <w:r>
              <w:t xml:space="preserve">descriptor is accurate, but Letta is not a drop-in memory layer for other frameworks</w:t>
            </w:r>
          </w:p>
        </w:tc>
        <w:tc>
          <w:tcPr/>
          <w:p>
            <w:pPr>
              <w:pStyle w:val="Compact"/>
              <w:jc w:val="left"/>
            </w:pPr>
            <w:r>
              <w:t xml:space="preserve">Verified fact</w:t>
            </w:r>
          </w:p>
        </w:tc>
        <w:tc>
          <w:tcPr/>
          <w:p>
            <w:pPr>
              <w:pStyle w:val="Compact"/>
              <w:jc w:val="left"/>
            </w:pPr>
            <w:r>
              <w:t xml:space="preserve">A3-S073</w:t>
            </w:r>
          </w:p>
        </w:tc>
      </w:tr>
      <w:tr>
        <w:tc>
          <w:tcPr/>
          <w:p>
            <w:pPr>
              <w:pStyle w:val="Compact"/>
              <w:jc w:val="left"/>
            </w:pPr>
            <w:r>
              <w:t xml:space="preserve">Integration</w:t>
            </w:r>
          </w:p>
        </w:tc>
        <w:tc>
          <w:tcPr/>
          <w:p>
            <w:pPr>
              <w:pStyle w:val="Compact"/>
              <w:jc w:val="left"/>
            </w:pPr>
            <w:r>
              <w:t xml:space="preserve">Letta Agent SDK (TypeScript), letta-client for the Letta API (Python),</w:t>
            </w:r>
            <w:r>
              <w:t xml:space="preserve"> </w:t>
            </w:r>
            <w:r>
              <w:t xml:space="preserve">‘</w:t>
            </w:r>
            <w:r>
              <w:t xml:space="preserve">letta server</w:t>
            </w:r>
            <w:r>
              <w:t xml:space="preserve">’</w:t>
            </w:r>
            <w:r>
              <w:t xml:space="preserve"> </w:t>
            </w:r>
            <w:r>
              <w:t xml:space="preserve">App Server, Agent Skills folders (.agents/skills), messaging channels</w:t>
            </w:r>
          </w:p>
        </w:tc>
        <w:tc>
          <w:tcPr/>
          <w:p>
            <w:pPr>
              <w:pStyle w:val="Compact"/>
              <w:jc w:val="left"/>
            </w:pPr>
            <w:r>
              <w:t xml:space="preserve">Verified fact</w:t>
            </w:r>
          </w:p>
        </w:tc>
        <w:tc>
          <w:tcPr/>
          <w:p>
            <w:pPr>
              <w:pStyle w:val="Compact"/>
              <w:jc w:val="left"/>
            </w:pPr>
            <w:r>
              <w:t xml:space="preserve">A3-S060, A3-S004, A3-S073</w:t>
            </w:r>
          </w:p>
        </w:tc>
      </w:tr>
      <w:tr>
        <w:tc>
          <w:tcPr/>
          <w:p>
            <w:pPr>
              <w:pStyle w:val="Compact"/>
              <w:jc w:val="left"/>
            </w:pPr>
            <w:r>
              <w:t xml:space="preserve">Dependencies</w:t>
            </w:r>
          </w:p>
        </w:tc>
        <w:tc>
          <w:tcPr/>
          <w:p>
            <w:pPr>
              <w:pStyle w:val="Compact"/>
              <w:jc w:val="left"/>
            </w:pPr>
            <w:r>
              <w:t xml:space="preserve">Bring-your-own LLM provider keys; Letta Cloud is the default backend storing agent state; local mode keeps agents on disk; Python wheel bundles a Node.js runtime</w:t>
            </w:r>
          </w:p>
        </w:tc>
        <w:tc>
          <w:tcPr/>
          <w:p>
            <w:pPr>
              <w:pStyle w:val="Compact"/>
              <w:jc w:val="left"/>
            </w:pPr>
            <w:r>
              <w:t xml:space="preserve">Verified fact</w:t>
            </w:r>
          </w:p>
        </w:tc>
        <w:tc>
          <w:tcPr/>
          <w:p>
            <w:pPr>
              <w:pStyle w:val="Compact"/>
              <w:jc w:val="left"/>
            </w:pPr>
            <w:r>
              <w:t xml:space="preserve">A3-S004, A3-S073</w:t>
            </w:r>
          </w:p>
        </w:tc>
      </w:tr>
      <w:tr>
        <w:tc>
          <w:tcPr/>
          <w:p>
            <w:pPr>
              <w:pStyle w:val="Compact"/>
              <w:jc w:val="left"/>
            </w:pPr>
            <w:r>
              <w:t xml:space="preserve">Certifications</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GDPR / residency</w:t>
            </w:r>
          </w:p>
        </w:tc>
        <w:tc>
          <w:tcPr/>
          <w:p>
            <w:pPr>
              <w:pStyle w:val="Compact"/>
              <w:jc w:val="left"/>
            </w:pPr>
            <w:r>
              <w:t xml:space="preserve">Privacy policy: model inputs/outputs retained only for hosted services; no specific retention periods; agent state (memories, messages, tool calls) persisted in a database and retrievable after compaction</w:t>
            </w:r>
          </w:p>
        </w:tc>
        <w:tc>
          <w:tcPr/>
          <w:p>
            <w:pPr>
              <w:pStyle w:val="Compact"/>
              <w:jc w:val="left"/>
            </w:pPr>
            <w:r>
              <w:t xml:space="preserve">Verified fact</w:t>
            </w:r>
          </w:p>
        </w:tc>
        <w:tc>
          <w:tcPr/>
          <w:p>
            <w:pPr>
              <w:pStyle w:val="Compact"/>
              <w:jc w:val="left"/>
            </w:pPr>
            <w:r>
              <w:t xml:space="preserve">A3-S118</w:t>
            </w:r>
          </w:p>
        </w:tc>
      </w:tr>
      <w:tr>
        <w:tc>
          <w:tcPr/>
          <w:p>
            <w:pPr>
              <w:pStyle w:val="Compact"/>
              <w:jc w:val="left"/>
            </w:pPr>
            <w:r>
              <w:t xml:space="preserve">Security features</w:t>
            </w:r>
          </w:p>
        </w:tc>
        <w:tc>
          <w:tcPr/>
          <w:p>
            <w:pPr>
              <w:pStyle w:val="Compact"/>
              <w:jc w:val="left"/>
            </w:pPr>
            <w:r>
              <w:t xml:space="preserve">Secrets feature exposes secrets as environment variables while obfuscating values from context (requires Letta sign-in)</w:t>
            </w:r>
          </w:p>
        </w:tc>
        <w:tc>
          <w:tcPr/>
          <w:p>
            <w:pPr>
              <w:pStyle w:val="Compact"/>
              <w:jc w:val="left"/>
            </w:pPr>
            <w:r>
              <w:t xml:space="preserve">Verified fact</w:t>
            </w:r>
          </w:p>
        </w:tc>
        <w:tc>
          <w:tcPr/>
          <w:p>
            <w:pPr>
              <w:pStyle w:val="Compact"/>
              <w:jc w:val="left"/>
            </w:pPr>
            <w:r>
              <w:t xml:space="preserve">A3-S073</w:t>
            </w:r>
          </w:p>
        </w:tc>
      </w:tr>
      <w:tr>
        <w:tc>
          <w:tcPr/>
          <w:p>
            <w:pPr>
              <w:pStyle w:val="Compact"/>
              <w:jc w:val="left"/>
            </w:pPr>
            <w:r>
              <w:t xml:space="preserve">Access controls</w:t>
            </w:r>
          </w:p>
        </w:tc>
        <w:tc>
          <w:tcPr/>
          <w:p>
            <w:pPr>
              <w:pStyle w:val="Compact"/>
              <w:jc w:val="left"/>
            </w:pPr>
            <w:r>
              <w:t xml:space="preserve">Enterprise tier: RBAC and SAML/OIDC SSO; Letta Code permission modes for agent actions</w:t>
            </w:r>
          </w:p>
        </w:tc>
        <w:tc>
          <w:tcPr/>
          <w:p>
            <w:pPr>
              <w:pStyle w:val="Compact"/>
              <w:jc w:val="left"/>
            </w:pPr>
            <w:r>
              <w:t xml:space="preserve">Verified fact</w:t>
            </w:r>
          </w:p>
        </w:tc>
        <w:tc>
          <w:tcPr/>
          <w:p>
            <w:pPr>
              <w:pStyle w:val="Compact"/>
              <w:jc w:val="left"/>
            </w:pPr>
            <w:r>
              <w:t xml:space="preserve">A3-S091, A3-S073</w:t>
            </w:r>
          </w:p>
        </w:tc>
      </w:tr>
      <w:tr>
        <w:tc>
          <w:tcPr/>
          <w:p>
            <w:pPr>
              <w:pStyle w:val="Compact"/>
              <w:jc w:val="left"/>
            </w:pPr>
            <w:r>
              <w:t xml:space="preserve">Enterprise support</w:t>
            </w:r>
          </w:p>
        </w:tc>
        <w:tc>
          <w:tcPr/>
          <w:p>
            <w:pPr>
              <w:pStyle w:val="Compact"/>
              <w:jc w:val="left"/>
            </w:pPr>
            <w:r>
              <w:t xml:space="preserve">Enterprise tier with dedicated support</w:t>
            </w:r>
          </w:p>
        </w:tc>
        <w:tc>
          <w:tcPr/>
          <w:p>
            <w:pPr>
              <w:pStyle w:val="Compact"/>
              <w:jc w:val="left"/>
            </w:pPr>
            <w:r>
              <w:t xml:space="preserve">Verified fact</w:t>
            </w:r>
          </w:p>
        </w:tc>
        <w:tc>
          <w:tcPr/>
          <w:p>
            <w:pPr>
              <w:pStyle w:val="Compact"/>
              <w:jc w:val="left"/>
            </w:pPr>
            <w:r>
              <w:t xml:space="preserve">A3-S091</w:t>
            </w:r>
          </w:p>
        </w:tc>
      </w:tr>
      <w:tr>
        <w:tc>
          <w:tcPr/>
          <w:p>
            <w:pPr>
              <w:pStyle w:val="Compact"/>
              <w:jc w:val="left"/>
            </w:pPr>
            <w:r>
              <w:t xml:space="preserve">Pricing</w:t>
            </w:r>
          </w:p>
        </w:tc>
        <w:tc>
          <w:tcPr/>
          <w:p>
            <w:pPr>
              <w:pStyle w:val="Compact"/>
              <w:jc w:val="left"/>
            </w:pPr>
            <w:r>
              <w:t xml:space="preserve">Pro US$20/month with usage quota and pay-as-you-go overage (up to 20 stateful agents); LLM usage at underlying token cost; free with own model keys; Enterprise volume pricing</w:t>
            </w:r>
          </w:p>
        </w:tc>
        <w:tc>
          <w:tcPr/>
          <w:p>
            <w:pPr>
              <w:pStyle w:val="Compact"/>
              <w:jc w:val="left"/>
            </w:pPr>
            <w:r>
              <w:t xml:space="preserve">Verified fact</w:t>
            </w:r>
          </w:p>
        </w:tc>
        <w:tc>
          <w:tcPr/>
          <w:p>
            <w:pPr>
              <w:pStyle w:val="Compact"/>
              <w:jc w:val="left"/>
            </w:pPr>
            <w:r>
              <w:t xml:space="preserve">A3-S091</w:t>
            </w:r>
          </w:p>
        </w:tc>
      </w:tr>
      <w:tr>
        <w:tc>
          <w:tcPr/>
          <w:p>
            <w:pPr>
              <w:pStyle w:val="Compact"/>
              <w:jc w:val="left"/>
            </w:pPr>
            <w:r>
              <w:t xml:space="preserve">Infrastructure cost</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Ecosystem</w:t>
            </w:r>
          </w:p>
        </w:tc>
        <w:tc>
          <w:tcPr/>
          <w:p>
            <w:pPr>
              <w:pStyle w:val="Compact"/>
              <w:jc w:val="left"/>
            </w:pPr>
            <w:r>
              <w:t xml:space="preserve">Works with OpenAI, Anthropic, Z.ai and local models; installs skills from GitHub, ClawHub and Hermes Skills Hub</w:t>
            </w:r>
          </w:p>
        </w:tc>
        <w:tc>
          <w:tcPr/>
          <w:p>
            <w:pPr>
              <w:pStyle w:val="Compact"/>
              <w:jc w:val="left"/>
            </w:pPr>
            <w:r>
              <w:t xml:space="preserve">Verified fact</w:t>
            </w:r>
          </w:p>
        </w:tc>
        <w:tc>
          <w:tcPr/>
          <w:p>
            <w:pPr>
              <w:pStyle w:val="Compact"/>
              <w:jc w:val="left"/>
            </w:pPr>
            <w:r>
              <w:t xml:space="preserve">A3-S073</w:t>
            </w:r>
          </w:p>
        </w:tc>
      </w:tr>
      <w:tr>
        <w:tc>
          <w:tcPr/>
          <w:p>
            <w:pPr>
              <w:pStyle w:val="Compact"/>
              <w:jc w:val="left"/>
            </w:pPr>
            <w:r>
              <w:t xml:space="preserve">Adoption signals</w:t>
            </w:r>
          </w:p>
        </w:tc>
        <w:tc>
          <w:tcPr/>
          <w:p>
            <w:pPr>
              <w:pStyle w:val="Compact"/>
              <w:jc w:val="left"/>
            </w:pPr>
            <w:r>
              <w:t xml:space="preserve">letta-ai/letta 25,070 and letta-code 3,541 GitHub stars (7 October 2026). US$10M seed led by Felicis (September 2024, Reported); no later round found</w:t>
            </w:r>
          </w:p>
        </w:tc>
        <w:tc>
          <w:tcPr/>
          <w:p>
            <w:pPr>
              <w:pStyle w:val="Compact"/>
              <w:jc w:val="left"/>
            </w:pPr>
            <w:r>
              <w:t xml:space="preserve">Verified fact</w:t>
            </w:r>
          </w:p>
        </w:tc>
        <w:tc>
          <w:tcPr/>
          <w:p>
            <w:pPr>
              <w:pStyle w:val="Compact"/>
              <w:jc w:val="left"/>
            </w:pPr>
            <w:r>
              <w:t xml:space="preserve">A3-S054, A3-S092</w:t>
            </w:r>
          </w:p>
        </w:tc>
      </w:tr>
      <w:tr>
        <w:tc>
          <w:tcPr/>
          <w:p>
            <w:pPr>
              <w:pStyle w:val="Compact"/>
              <w:jc w:val="left"/>
            </w:pPr>
            <w:r>
              <w:t xml:space="preserve">Maturity</w:t>
            </w:r>
          </w:p>
        </w:tc>
        <w:tc>
          <w:tcPr/>
          <w:p>
            <w:pPr>
              <w:pStyle w:val="Compact"/>
              <w:jc w:val="left"/>
            </w:pPr>
            <w:r>
              <w:t xml:space="preserve">Letta Code first published 24 October 2025; pre-1.0 with very rapid releases (eight releases 29 September to 4 October 2026)</w:t>
            </w:r>
          </w:p>
        </w:tc>
        <w:tc>
          <w:tcPr/>
          <w:p>
            <w:pPr>
              <w:pStyle w:val="Compact"/>
              <w:jc w:val="left"/>
            </w:pPr>
            <w:r>
              <w:t xml:space="preserve">Verified fact</w:t>
            </w:r>
          </w:p>
        </w:tc>
        <w:tc>
          <w:tcPr/>
          <w:p>
            <w:pPr>
              <w:pStyle w:val="Compact"/>
              <w:jc w:val="left"/>
            </w:pPr>
            <w:r>
              <w:t xml:space="preserve">A3-S077, A3-S004</w:t>
            </w:r>
          </w:p>
        </w:tc>
      </w:tr>
      <w:tr>
        <w:tc>
          <w:tcPr/>
          <w:p>
            <w:pPr>
              <w:pStyle w:val="Compact"/>
              <w:jc w:val="left"/>
            </w:pPr>
            <w:r>
              <w:t xml:space="preserve">Deployment</w:t>
            </w:r>
          </w:p>
        </w:tc>
        <w:tc>
          <w:tcPr/>
          <w:p>
            <w:pPr>
              <w:pStyle w:val="Compact"/>
              <w:jc w:val="left"/>
            </w:pPr>
            <w:r>
              <w:t xml:space="preserve">saas: Yes (Letta Cloud); managed_cloud: Not publicly verified; vpc_byoc: Not publicly verified; private_cloud: Not publicly verified; self_hosted: Yes (</w:t>
            </w:r>
            <w:r>
              <w:t xml:space="preserve">‘</w:t>
            </w:r>
            <w:r>
              <w:t xml:space="preserve">letta server</w:t>
            </w:r>
            <w:r>
              <w:t xml:space="preserve">’</w:t>
            </w:r>
            <w:r>
              <w:t xml:space="preserve"> </w:t>
            </w:r>
            <w:r>
              <w:t xml:space="preserve">for local or self-hosted agents); on_prem: Not publicly verified</w:t>
            </w:r>
          </w:p>
        </w:tc>
        <w:tc>
          <w:tcPr/>
          <w:p>
            <w:pPr>
              <w:pStyle w:val="Compact"/>
            </w:pPr>
          </w:p>
        </w:tc>
        <w:tc>
          <w:tcPr/>
          <w:p>
            <w:pPr>
              <w:pStyle w:val="Compact"/>
            </w:pPr>
          </w:p>
        </w:tc>
      </w:tr>
    </w:tbl>
    <w:bookmarkEnd w:id="813"/>
    <w:bookmarkStart w:id="820" w:name="langmem-l5-langmem"/>
    <w:p>
      <w:pPr>
        <w:pStyle w:val="Heading2"/>
      </w:pPr>
      <w:r>
        <w:t xml:space="preserve">LangMem (</w:t>
      </w:r>
      <w:r>
        <w:rPr>
          <w:rStyle w:val="VerbatimChar"/>
        </w:rPr>
        <w:t xml:space="preserve">L5-langmem</w:t>
      </w:r>
      <w:r>
        <w:t xml:space="preserve">)</w:t>
      </w:r>
    </w:p>
    <w:p>
      <w:pPr>
        <w:pStyle w:val="FirstParagraph"/>
      </w:pPr>
      <w:r>
        <w:rPr>
          <w:bCs/>
          <w:b/>
        </w:rPr>
        <w:t xml:space="preserve">Tier:</w:t>
      </w:r>
      <w:r>
        <w:t xml:space="preserve"> </w:t>
      </w:r>
      <w:r>
        <w:t xml:space="preserve">Experimental ·</w:t>
      </w:r>
      <w:r>
        <w:t xml:space="preserve"> </w:t>
      </w:r>
      <w:r>
        <w:rPr>
          <w:bCs/>
          <w:b/>
        </w:rPr>
        <w:t xml:space="preserve">Flags:</w:t>
      </w:r>
      <w:r>
        <w:t xml:space="preserve"> </w:t>
      </w:r>
      <w:r>
        <w:t xml:space="preserve">Not publicly verified ·</w:t>
      </w:r>
      <w:r>
        <w:t xml:space="preserve"> </w:t>
      </w:r>
      <w:r>
        <w:rPr>
          <w:bCs/>
          <w:b/>
        </w:rPr>
        <w:t xml:space="preserve">Original graphic label:</w:t>
      </w:r>
      <w:r>
        <w:t xml:space="preserve"> </w:t>
      </w:r>
      <w:r>
        <w:t xml:space="preserve">LangMem – long-term</w:t>
      </w:r>
    </w:p>
    <w:p>
      <w:pPr>
        <w:pStyle w:val="BodyText"/>
      </w:pPr>
      <w:r>
        <w:rPr>
          <w:iCs/>
          <w:i/>
        </w:rPr>
        <w:t xml:space="preserve">Rationale:</w:t>
      </w:r>
      <w:r>
        <w:t xml:space="preserve"> </w:t>
      </w:r>
      <w:r>
        <w:t xml:space="preserve">Pre-1.0 and apparently stalled; useful as patterns, not as a dependency</w:t>
      </w:r>
      <w:r>
        <w:t xml:space="preserve"> </w:t>
      </w:r>
      <w:r>
        <w:rPr>
          <w:rStyle w:val="ClaimLabel"/>
        </w:rPr>
        <w:t xml:space="preserve">AJ</w:t>
      </w:r>
      <w:r>
        <w:t xml:space="preserve">.</w:t>
      </w:r>
    </w:p>
    <w:tbl>
      <w:tblPr>
        <w:tblStyle w:val="Table"/>
        <w:tblW w:type="pct" w:w="5000"/>
        <w:tblLook w:firstRow="1" w:lastRow="0" w:firstColumn="0" w:lastColumn="0" w:noHBand="0" w:noVBand="0" w:val="0020"/>
        <w:jc w:val="start"/>
      </w:tblPr>
      <w:tblGrid>
        <w:gridCol w:w="1545"/>
        <w:gridCol w:w="579"/>
        <w:gridCol w:w="5795"/>
      </w:tblGrid>
      <w:tr>
        <w:trPr>
          <w:tblHeader w:val="true"/>
        </w:trPr>
        <w:tc>
          <w:tcPr/>
          <w:p>
            <w:pPr>
              <w:pStyle w:val="Compact"/>
              <w:jc w:val="left"/>
            </w:pPr>
            <w:r>
              <w:t xml:space="preserve">Criterion</w:t>
            </w:r>
          </w:p>
        </w:tc>
        <w:tc>
          <w:tcPr/>
          <w:p>
            <w:pPr>
              <w:pStyle w:val="Compact"/>
              <w:jc w:val="right"/>
            </w:pPr>
            <w:r>
              <w:t xml:space="preserve">Score</w:t>
            </w:r>
          </w:p>
        </w:tc>
        <w:tc>
          <w:tcPr/>
          <w:p>
            <w:pPr>
              <w:pStyle w:val="Compact"/>
              <w:jc w:val="left"/>
            </w:pPr>
            <w:r>
              <w:t xml:space="preserve">Rationale</w:t>
            </w:r>
          </w:p>
        </w:tc>
      </w:tr>
      <w:tr>
        <w:tc>
          <w:tcPr/>
          <w:p>
            <w:pPr>
              <w:pStyle w:val="Compact"/>
              <w:jc w:val="left"/>
            </w:pPr>
            <w:r>
              <w:t xml:space="preserve">Technical</w:t>
            </w:r>
          </w:p>
        </w:tc>
        <w:tc>
          <w:tcPr/>
          <w:p>
            <w:pPr>
              <w:pStyle w:val="Compact"/>
              <w:jc w:val="right"/>
            </w:pPr>
            <w:r>
              <w:t xml:space="preserve">3</w:t>
            </w:r>
          </w:p>
        </w:tc>
        <w:tc>
          <w:tcPr/>
          <w:p>
            <w:pPr>
              <w:pStyle w:val="Compact"/>
              <w:jc w:val="left"/>
            </w:pPr>
            <w:r>
              <w:t xml:space="preserve">Extraction, consolidation and procedural memory, but no lifecycle or erasure features documented</w:t>
            </w:r>
          </w:p>
        </w:tc>
      </w:tr>
      <w:tr>
        <w:tc>
          <w:tcPr/>
          <w:p>
            <w:pPr>
              <w:pStyle w:val="Compact"/>
              <w:jc w:val="left"/>
            </w:pPr>
            <w:r>
              <w:t xml:space="preserve">Enterprise readiness</w:t>
            </w:r>
          </w:p>
        </w:tc>
        <w:tc>
          <w:tcPr/>
          <w:p>
            <w:pPr>
              <w:pStyle w:val="Compact"/>
              <w:jc w:val="right"/>
            </w:pPr>
            <w:r>
              <w:t xml:space="preserve">2</w:t>
            </w:r>
          </w:p>
        </w:tc>
        <w:tc>
          <w:tcPr/>
          <w:p>
            <w:pPr>
              <w:pStyle w:val="Compact"/>
              <w:jc w:val="left"/>
            </w:pPr>
            <w:r>
              <w:t xml:space="preserve">Rule 2: enables memory inside LangGraph; no commercial support for LangMem itself verified</w:t>
            </w:r>
          </w:p>
        </w:tc>
      </w:tr>
      <w:tr>
        <w:tc>
          <w:tcPr/>
          <w:p>
            <w:pPr>
              <w:pStyle w:val="Compact"/>
              <w:jc w:val="left"/>
            </w:pPr>
            <w:r>
              <w:t xml:space="preserve">Security and compliance</w:t>
            </w:r>
          </w:p>
        </w:tc>
        <w:tc>
          <w:tcPr/>
          <w:p>
            <w:pPr>
              <w:pStyle w:val="Compact"/>
              <w:jc w:val="right"/>
            </w:pPr>
            <w:r>
              <w:t xml:space="preserve">2</w:t>
            </w:r>
          </w:p>
        </w:tc>
        <w:tc>
          <w:tcPr/>
          <w:p>
            <w:pPr>
              <w:pStyle w:val="Compact"/>
              <w:jc w:val="left"/>
            </w:pPr>
            <w:r>
              <w:t xml:space="preserve">Rule 2: security policy, CVE handling and signed releases NPV</w:t>
            </w:r>
          </w:p>
        </w:tc>
      </w:tr>
      <w:tr>
        <w:tc>
          <w:tcPr/>
          <w:p>
            <w:pPr>
              <w:pStyle w:val="Compact"/>
              <w:jc w:val="left"/>
            </w:pPr>
            <w:r>
              <w:t xml:space="preserve">Deployment flexibility</w:t>
            </w:r>
          </w:p>
        </w:tc>
        <w:tc>
          <w:tcPr/>
          <w:p>
            <w:pPr>
              <w:pStyle w:val="Compact"/>
              <w:jc w:val="right"/>
            </w:pPr>
            <w:r>
              <w:t xml:space="preserve">4</w:t>
            </w:r>
          </w:p>
        </w:tc>
        <w:tc>
          <w:tcPr/>
          <w:p>
            <w:pPr>
              <w:pStyle w:val="Compact"/>
              <w:jc w:val="left"/>
            </w:pPr>
            <w:r>
              <w:t xml:space="preserve">Library runs wherever LangGraph and its store run, incl. in-estate</w:t>
            </w:r>
          </w:p>
        </w:tc>
      </w:tr>
      <w:tr>
        <w:tc>
          <w:tcPr/>
          <w:p>
            <w:pPr>
              <w:pStyle w:val="Compact"/>
              <w:jc w:val="left"/>
            </w:pPr>
            <w:r>
              <w:t xml:space="preserve">Ecosystem</w:t>
            </w:r>
          </w:p>
        </w:tc>
        <w:tc>
          <w:tcPr/>
          <w:p>
            <w:pPr>
              <w:pStyle w:val="Compact"/>
              <w:jc w:val="right"/>
            </w:pPr>
            <w:r>
              <w:t xml:space="preserve">3</w:t>
            </w:r>
          </w:p>
        </w:tc>
        <w:tc>
          <w:tcPr/>
          <w:p>
            <w:pPr>
              <w:pStyle w:val="Compact"/>
              <w:jc w:val="left"/>
            </w:pPr>
            <w:r>
              <w:t xml:space="preserve">LangGraph and LangChain only</w:t>
            </w:r>
          </w:p>
        </w:tc>
      </w:tr>
      <w:tr>
        <w:tc>
          <w:tcPr/>
          <w:p>
            <w:pPr>
              <w:pStyle w:val="Compact"/>
              <w:jc w:val="left"/>
            </w:pPr>
            <w:r>
              <w:t xml:space="preserve">Reliability and maturity</w:t>
            </w:r>
          </w:p>
        </w:tc>
        <w:tc>
          <w:tcPr/>
          <w:p>
            <w:pPr>
              <w:pStyle w:val="Compact"/>
              <w:jc w:val="right"/>
            </w:pPr>
            <w:r>
              <w:t xml:space="preserve">1</w:t>
            </w:r>
          </w:p>
        </w:tc>
        <w:tc>
          <w:tcPr/>
          <w:p>
            <w:pPr>
              <w:pStyle w:val="Compact"/>
              <w:jc w:val="left"/>
            </w:pPr>
            <w:r>
              <w:t xml:space="preserve">Pre-1.0 (0.0.x) with no release for about 11 months</w:t>
            </w:r>
          </w:p>
        </w:tc>
      </w:tr>
      <w:tr>
        <w:tc>
          <w:tcPr/>
          <w:p>
            <w:pPr>
              <w:pStyle w:val="Compact"/>
              <w:jc w:val="left"/>
            </w:pPr>
            <w:r>
              <w:t xml:space="preserve">Cost / TCO</w:t>
            </w:r>
          </w:p>
        </w:tc>
        <w:tc>
          <w:tcPr/>
          <w:p>
            <w:pPr>
              <w:pStyle w:val="Compact"/>
              <w:jc w:val="right"/>
            </w:pPr>
            <w:r>
              <w:t xml:space="preserve">4</w:t>
            </w:r>
          </w:p>
        </w:tc>
        <w:tc>
          <w:tcPr/>
          <w:p>
            <w:pPr>
              <w:pStyle w:val="Compact"/>
              <w:jc w:val="left"/>
            </w:pPr>
            <w:r>
              <w:t xml:space="preserve">MIT and free; cost is store plus extraction LLM; a stalled library may need in-house maintenance</w:t>
            </w:r>
          </w:p>
        </w:tc>
      </w:tr>
      <w:tr>
        <w:tc>
          <w:tcPr/>
          <w:p>
            <w:pPr>
              <w:pStyle w:val="Compact"/>
              <w:jc w:val="left"/>
            </w:pPr>
            <w:r>
              <w:t xml:space="preserve">Lock-in / portability</w:t>
            </w:r>
          </w:p>
        </w:tc>
        <w:tc>
          <w:tcPr/>
          <w:p>
            <w:pPr>
              <w:pStyle w:val="Compact"/>
              <w:jc w:val="right"/>
            </w:pPr>
            <w:r>
              <w:t xml:space="preserve">3</w:t>
            </w:r>
          </w:p>
        </w:tc>
        <w:tc>
          <w:tcPr/>
          <w:p>
            <w:pPr>
              <w:pStyle w:val="Compact"/>
              <w:jc w:val="left"/>
            </w:pPr>
            <w:r>
              <w:t xml:space="preserve">MIT, but bound to LangGraph store abstractions</w:t>
            </w:r>
          </w:p>
        </w:tc>
      </w:tr>
      <w:tr>
        <w:tc>
          <w:tcPr/>
          <w:p>
            <w:pPr>
              <w:pStyle w:val="Compact"/>
              <w:jc w:val="left"/>
            </w:pPr>
            <w:r>
              <w:rPr>
                <w:bCs/>
                <w:b/>
              </w:rPr>
              <w:t xml:space="preserve">Total (generic / FS)</w:t>
            </w:r>
          </w:p>
        </w:tc>
        <w:tc>
          <w:tcPr/>
          <w:p>
            <w:pPr>
              <w:pStyle w:val="Compact"/>
              <w:jc w:val="right"/>
            </w:pPr>
            <w:r>
              <w:rPr>
                <w:bCs/>
                <w:b/>
              </w:rPr>
              <w:t xml:space="preserve">2.75 / 2.65</w:t>
            </w:r>
          </w:p>
        </w:tc>
        <w:tc>
          <w:tcPr/>
          <w:p>
            <w:pPr>
              <w:pStyle w:val="Compact"/>
            </w:pPr>
          </w:p>
        </w:tc>
      </w:tr>
    </w:tbl>
    <w:p>
      <w:pPr>
        <w:pStyle w:val="BodyText"/>
      </w:pPr>
      <w:r>
        <w:rPr>
          <w:iCs/>
          <w:i/>
        </w:rPr>
        <w:t xml:space="preserve">Evidence rules applied:</w:t>
      </w:r>
      <w:r>
        <w:t xml:space="preserve"> </w:t>
      </w:r>
      <w:r>
        <w:t xml:space="preserve">Rule 2 applied (self-hosted library; inherits host controls): security_compliance and enterprise_readiness capped at 4</w:t>
      </w:r>
    </w:p>
    <w:p>
      <w:pPr>
        <w:pStyle w:val="BodyText"/>
      </w:pPr>
      <w:r>
        <w:rPr>
          <w:bCs/>
          <w:b/>
        </w:rPr>
        <w:t xml:space="preserve">Capabilities.</w:t>
      </w:r>
      <w:r>
        <w:t xml:space="preserve"> </w:t>
      </w:r>
      <w:r>
        <w:t xml:space="preserve">MIT library of memory utilities for LangGraph: extraction, hot-path memory tools, background memory manager and prompt refinement (procedural memory); persists via LangGraph BaseStore</w:t>
      </w:r>
      <w:r>
        <w:t xml:space="preserve"> </w:t>
      </w:r>
      <w:r>
        <w:rPr>
          <w:rStyle w:val="ClaimLabel"/>
        </w:rPr>
        <w:t xml:space="preserve">VF</w:t>
      </w:r>
      <w:r>
        <w:rPr>
          <w:rStyle w:val="FootnoteReference"/>
        </w:rPr>
        <w:footnoteReference w:id="814"/>
      </w:r>
      <w:r>
        <w:t xml:space="preserve">.</w:t>
      </w:r>
    </w:p>
    <w:p>
      <w:pPr>
        <w:pStyle w:val="BodyText"/>
      </w:pPr>
      <w:r>
        <w:rPr>
          <w:bCs/>
          <w:b/>
        </w:rPr>
        <w:t xml:space="preserve">Strengths</w:t>
      </w:r>
    </w:p>
    <w:p>
      <w:pPr>
        <w:numPr>
          <w:ilvl w:val="0"/>
          <w:numId w:val="1189"/>
        </w:numPr>
        <w:pStyle w:val="Compact"/>
      </w:pPr>
      <w:r>
        <w:t xml:space="preserve">Clear example of procedural memory (prompt refinement) and background consolidation</w:t>
      </w:r>
      <w:r>
        <w:t xml:space="preserve"> </w:t>
      </w:r>
      <w:r>
        <w:rPr>
          <w:rStyle w:val="ClaimLabel"/>
        </w:rPr>
        <w:t xml:space="preserve">VF</w:t>
      </w:r>
      <w:r>
        <w:rPr>
          <w:rStyle w:val="FootnoteReference"/>
        </w:rPr>
        <w:footnoteReference w:id="816"/>
      </w:r>
    </w:p>
    <w:p>
      <w:pPr>
        <w:numPr>
          <w:ilvl w:val="0"/>
          <w:numId w:val="1189"/>
        </w:numPr>
        <w:pStyle w:val="Compact"/>
      </w:pPr>
      <w:r>
        <w:t xml:space="preserve">No service to operate; MIT licence</w:t>
      </w:r>
      <w:r>
        <w:t xml:space="preserve"> </w:t>
      </w:r>
      <w:r>
        <w:rPr>
          <w:rStyle w:val="ClaimLabel"/>
        </w:rPr>
        <w:t xml:space="preserve">VF</w:t>
      </w:r>
      <w:r>
        <w:rPr>
          <w:rStyle w:val="FootnoteReference"/>
        </w:rPr>
        <w:footnoteReference w:id="817"/>
      </w:r>
    </w:p>
    <w:p>
      <w:pPr>
        <w:pStyle w:val="FirstParagraph"/>
      </w:pPr>
      <w:r>
        <w:rPr>
          <w:bCs/>
          <w:b/>
        </w:rPr>
        <w:t xml:space="preserve">Limitations and risks</w:t>
      </w:r>
    </w:p>
    <w:p>
      <w:pPr>
        <w:numPr>
          <w:ilvl w:val="0"/>
          <w:numId w:val="1190"/>
        </w:numPr>
        <w:pStyle w:val="Compact"/>
      </w:pPr>
      <w:r>
        <w:t xml:space="preserve">0.0.30, no PyPI release since 27 October 2025</w:t>
      </w:r>
      <w:r>
        <w:t xml:space="preserve"> </w:t>
      </w:r>
      <w:r>
        <w:rPr>
          <w:rStyle w:val="ClaimLabel"/>
        </w:rPr>
        <w:t xml:space="preserve">VF</w:t>
      </w:r>
      <w:r>
        <w:rPr>
          <w:rStyle w:val="FootnoteReference"/>
        </w:rPr>
        <w:footnoteReference w:id="818"/>
      </w:r>
    </w:p>
    <w:p>
      <w:pPr>
        <w:numPr>
          <w:ilvl w:val="0"/>
          <w:numId w:val="1190"/>
        </w:numPr>
        <w:pStyle w:val="Compact"/>
      </w:pPr>
      <w:r>
        <w:t xml:space="preserve">Tied to LangGraph store abstractions; InMemoryStore loses data on restart</w:t>
      </w:r>
      <w:r>
        <w:t xml:space="preserve"> </w:t>
      </w:r>
      <w:r>
        <w:rPr>
          <w:rStyle w:val="ClaimLabel"/>
        </w:rPr>
        <w:t xml:space="preserve">VF</w:t>
      </w:r>
      <w:r>
        <w:rPr>
          <w:rStyle w:val="FootnoteReference"/>
        </w:rPr>
        <w:footnoteReference w:id="819"/>
      </w:r>
    </w:p>
    <w:p>
      <w:pPr>
        <w:numPr>
          <w:ilvl w:val="0"/>
          <w:numId w:val="1190"/>
        </w:numPr>
        <w:pStyle w:val="Compact"/>
      </w:pPr>
      <w:r>
        <w:t xml:space="preserve">Whether LangChain has superseded it is not verified</w:t>
      </w:r>
      <w:r>
        <w:t xml:space="preserve"> </w:t>
      </w:r>
      <w:r>
        <w:rPr>
          <w:rStyle w:val="ClaimLabel"/>
        </w:rPr>
        <w:t xml:space="preserve">NPV</w:t>
      </w:r>
    </w:p>
    <w:p>
      <w:pPr>
        <w:numPr>
          <w:ilvl w:val="0"/>
          <w:numId w:val="1190"/>
        </w:numPr>
        <w:pStyle w:val="Compact"/>
      </w:pPr>
      <w:r>
        <w:t xml:space="preserve">Security and access control inherit entirely from the store and platform</w:t>
      </w:r>
      <w:r>
        <w:t xml:space="preserve"> </w:t>
      </w:r>
      <w:r>
        <w:rPr>
          <w:rStyle w:val="ClaimLabel"/>
        </w:rPr>
        <w:t xml:space="preserve">AJ</w:t>
      </w:r>
    </w:p>
    <w:p>
      <w:pPr>
        <w:pStyle w:val="FirstParagraph"/>
      </w:pPr>
      <w:r>
        <w:rPr>
          <w:bCs/>
          <w:b/>
        </w:rPr>
        <w:t xml:space="preserve">Choose when</w:t>
      </w:r>
    </w:p>
    <w:p>
      <w:pPr>
        <w:numPr>
          <w:ilvl w:val="0"/>
          <w:numId w:val="1191"/>
        </w:numPr>
        <w:pStyle w:val="Compact"/>
      </w:pPr>
      <w:r>
        <w:t xml:space="preserve">Already on LangGraph and want reference patterns, accepting you may maintain the code</w:t>
      </w:r>
      <w:r>
        <w:t xml:space="preserve"> </w:t>
      </w:r>
      <w:r>
        <w:rPr>
          <w:rStyle w:val="ClaimLabel"/>
        </w:rPr>
        <w:t xml:space="preserve">AJ</w:t>
      </w:r>
    </w:p>
    <w:p>
      <w:pPr>
        <w:pStyle w:val="FirstParagraph"/>
      </w:pPr>
      <w:r>
        <w:rPr>
          <w:bCs/>
          <w:b/>
        </w:rPr>
        <w:t xml:space="preserve">Avoid when</w:t>
      </w:r>
    </w:p>
    <w:p>
      <w:pPr>
        <w:numPr>
          <w:ilvl w:val="0"/>
          <w:numId w:val="1192"/>
        </w:numPr>
        <w:pStyle w:val="Compact"/>
      </w:pPr>
      <w:r>
        <w:t xml:space="preserve">You need a supported dependency</w:t>
      </w:r>
      <w:r>
        <w:t xml:space="preserve"> </w:t>
      </w:r>
      <w:r>
        <w:rPr>
          <w:rStyle w:val="ClaimLabel"/>
        </w:rPr>
        <w:t xml:space="preserve">AJ</w:t>
      </w:r>
    </w:p>
    <w:p>
      <w:pPr>
        <w:pStyle w:val="FirstParagraph"/>
      </w:pPr>
      <w:r>
        <w:rPr>
          <w:bCs/>
          <w:b/>
        </w:rPr>
        <w:t xml:space="preserve">Nearest competitors:</w:t>
      </w:r>
      <w:r>
        <w:t xml:space="preserve"> </w:t>
      </w:r>
      <w:r>
        <w:t xml:space="preserve">L5-mem0, L5-zep, L5-letta</w:t>
      </w:r>
    </w:p>
    <w:p>
      <w:pPr>
        <w:pStyle w:val="BodyText"/>
      </w:pPr>
      <w:r>
        <w:rPr>
          <w:bCs/>
          <w:b/>
        </w:rPr>
        <w:t xml:space="preserve">Regulated-FS note.</w:t>
      </w:r>
      <w:r>
        <w:t xml:space="preserve"> </w:t>
      </w:r>
      <w:r>
        <w:t xml:space="preserve">Never let automatic prompt refinement change production prompts; route proposals through C5 change control</w:t>
      </w:r>
      <w:r>
        <w:t xml:space="preserve"> </w:t>
      </w:r>
      <w:r>
        <w:rPr>
          <w:rStyle w:val="ClaimLabel"/>
        </w:rPr>
        <w:t xml:space="preserve">Rec</w:t>
      </w:r>
      <w:r>
        <w:t xml:space="preserve">.</w:t>
      </w:r>
    </w:p>
    <w:p>
      <w:pPr>
        <w:pStyle w:val="BodyText"/>
      </w:pPr>
      <w:r>
        <w:rPr>
          <w:bCs/>
          <w:b/>
        </w:rPr>
        <w:t xml:space="preserve">Facts (as of 2026-10-07)</w:t>
      </w:r>
    </w:p>
    <w:tbl>
      <w:tblPr>
        <w:tblStyle w:val="Table"/>
        <w:tblW w:type="pct" w:w="5000"/>
        <w:tblLook w:firstRow="1" w:lastRow="0" w:firstColumn="0" w:lastColumn="0" w:noHBand="0" w:noVBand="0" w:val="0020"/>
        <w:jc w:val="start"/>
      </w:tblPr>
      <w:tblGrid>
        <w:gridCol w:w="1485"/>
        <w:gridCol w:w="4290"/>
        <w:gridCol w:w="1320"/>
        <w:gridCol w:w="825"/>
      </w:tblGrid>
      <w:tr>
        <w:trPr>
          <w:tblHeader w:val="true"/>
        </w:trPr>
        <w:tc>
          <w:tcPr/>
          <w:p>
            <w:pPr>
              <w:pStyle w:val="Compact"/>
              <w:jc w:val="left"/>
            </w:pPr>
            <w:r>
              <w:t xml:space="preserve">Field</w:t>
            </w:r>
          </w:p>
        </w:tc>
        <w:tc>
          <w:tcPr/>
          <w:p>
            <w:pPr>
              <w:pStyle w:val="Compact"/>
              <w:jc w:val="left"/>
            </w:pPr>
            <w:r>
              <w:t xml:space="preserve">Value</w:t>
            </w:r>
          </w:p>
        </w:tc>
        <w:tc>
          <w:tcPr/>
          <w:p>
            <w:pPr>
              <w:pStyle w:val="Compact"/>
              <w:jc w:val="left"/>
            </w:pPr>
            <w:r>
              <w:t xml:space="preserve">Label</w:t>
            </w:r>
          </w:p>
        </w:tc>
        <w:tc>
          <w:tcPr/>
          <w:p>
            <w:pPr>
              <w:pStyle w:val="Compact"/>
              <w:jc w:val="left"/>
            </w:pPr>
            <w:r>
              <w:t xml:space="preserve">Sources</w:t>
            </w:r>
          </w:p>
        </w:tc>
      </w:tr>
      <w:tr>
        <w:tc>
          <w:tcPr/>
          <w:p>
            <w:pPr>
              <w:pStyle w:val="Compact"/>
              <w:jc w:val="left"/>
            </w:pPr>
            <w:r>
              <w:t xml:space="preserve">Company</w:t>
            </w:r>
          </w:p>
        </w:tc>
        <w:tc>
          <w:tcPr/>
          <w:p>
            <w:pPr>
              <w:pStyle w:val="Compact"/>
              <w:jc w:val="left"/>
            </w:pPr>
            <w:r>
              <w:t xml:space="preserve">LangChain</w:t>
            </w:r>
          </w:p>
        </w:tc>
        <w:tc>
          <w:tcPr/>
          <w:p>
            <w:pPr>
              <w:pStyle w:val="Compact"/>
              <w:jc w:val="left"/>
            </w:pPr>
            <w:r>
              <w:t xml:space="preserve">Verified fact</w:t>
            </w:r>
          </w:p>
        </w:tc>
        <w:tc>
          <w:tcPr/>
          <w:p>
            <w:pPr>
              <w:pStyle w:val="Compact"/>
              <w:jc w:val="left"/>
            </w:pPr>
            <w:r>
              <w:t xml:space="preserve">A3-S006</w:t>
            </w:r>
          </w:p>
        </w:tc>
      </w:tr>
      <w:tr>
        <w:tc>
          <w:tcPr/>
          <w:p>
            <w:pPr>
              <w:pStyle w:val="Compact"/>
              <w:jc w:val="left"/>
            </w:pPr>
            <w:r>
              <w:t xml:space="preserve">Category</w:t>
            </w:r>
          </w:p>
        </w:tc>
        <w:tc>
          <w:tcPr/>
          <w:p>
            <w:pPr>
              <w:pStyle w:val="Compact"/>
              <w:jc w:val="left"/>
            </w:pPr>
            <w:r>
              <w:t xml:space="preserve">Open-source memory utilities library for LangGraph agents</w:t>
            </w:r>
          </w:p>
        </w:tc>
        <w:tc>
          <w:tcPr/>
          <w:p>
            <w:pPr>
              <w:pStyle w:val="Compact"/>
              <w:jc w:val="left"/>
            </w:pPr>
            <w:r>
              <w:t xml:space="preserve">Verified fact</w:t>
            </w:r>
          </w:p>
        </w:tc>
        <w:tc>
          <w:tcPr/>
          <w:p>
            <w:pPr>
              <w:pStyle w:val="Compact"/>
              <w:jc w:val="left"/>
            </w:pPr>
            <w:r>
              <w:t xml:space="preserve">A3-S006</w:t>
            </w:r>
          </w:p>
        </w:tc>
      </w:tr>
      <w:tr>
        <w:tc>
          <w:tcPr/>
          <w:p>
            <w:pPr>
              <w:pStyle w:val="Compact"/>
              <w:jc w:val="left"/>
            </w:pPr>
            <w:r>
              <w:t xml:space="preserve">Version / lineup</w:t>
            </w:r>
          </w:p>
        </w:tc>
        <w:tc>
          <w:tcPr/>
          <w:p>
            <w:pPr>
              <w:pStyle w:val="Compact"/>
              <w:jc w:val="left"/>
            </w:pPr>
            <w:r>
              <w:t xml:space="preserve">langmem 0.0.30 (27 October 2025); no newer PyPI release as of 7 October 2026</w:t>
            </w:r>
          </w:p>
        </w:tc>
        <w:tc>
          <w:tcPr/>
          <w:p>
            <w:pPr>
              <w:pStyle w:val="Compact"/>
              <w:jc w:val="left"/>
            </w:pPr>
            <w:r>
              <w:t xml:space="preserve">Verified fact</w:t>
            </w:r>
          </w:p>
        </w:tc>
        <w:tc>
          <w:tcPr/>
          <w:p>
            <w:pPr>
              <w:pStyle w:val="Compact"/>
              <w:jc w:val="left"/>
            </w:pPr>
            <w:r>
              <w:t xml:space="preserve">A3-S006</w:t>
            </w:r>
          </w:p>
        </w:tc>
      </w:tr>
      <w:tr>
        <w:tc>
          <w:tcPr/>
          <w:p>
            <w:pPr>
              <w:pStyle w:val="Compact"/>
              <w:jc w:val="left"/>
            </w:pPr>
            <w:r>
              <w:t xml:space="preserve">Licence</w:t>
            </w:r>
          </w:p>
        </w:tc>
        <w:tc>
          <w:tcPr/>
          <w:p>
            <w:pPr>
              <w:pStyle w:val="Compact"/>
              <w:jc w:val="left"/>
            </w:pPr>
            <w:r>
              <w:t xml:space="preserve">Open source, MIT</w:t>
            </w:r>
          </w:p>
        </w:tc>
        <w:tc>
          <w:tcPr/>
          <w:p>
            <w:pPr>
              <w:pStyle w:val="Compact"/>
              <w:jc w:val="left"/>
            </w:pPr>
            <w:r>
              <w:t xml:space="preserve">Verified fact</w:t>
            </w:r>
          </w:p>
        </w:tc>
        <w:tc>
          <w:tcPr/>
          <w:p>
            <w:pPr>
              <w:pStyle w:val="Compact"/>
              <w:jc w:val="left"/>
            </w:pPr>
            <w:r>
              <w:t xml:space="preserve">A3-S006</w:t>
            </w:r>
          </w:p>
        </w:tc>
      </w:tr>
      <w:tr>
        <w:tc>
          <w:tcPr/>
          <w:p>
            <w:pPr>
              <w:pStyle w:val="Compact"/>
              <w:jc w:val="left"/>
            </w:pPr>
            <w:r>
              <w:t xml:space="preserve">Strategic direction</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What it does</w:t>
            </w:r>
          </w:p>
        </w:tc>
        <w:tc>
          <w:tcPr/>
          <w:p>
            <w:pPr>
              <w:pStyle w:val="Compact"/>
              <w:jc w:val="left"/>
            </w:pPr>
            <w:r>
              <w:t xml:space="preserve">Extracts information from conversations, provides hot-path memory management/search tools for agents, a background memory manager that consolidates knowledge, and prompt refinement to optimise agent behaviour</w:t>
            </w:r>
          </w:p>
        </w:tc>
        <w:tc>
          <w:tcPr/>
          <w:p>
            <w:pPr>
              <w:pStyle w:val="Compact"/>
              <w:jc w:val="left"/>
            </w:pPr>
            <w:r>
              <w:t xml:space="preserve">Verified fact</w:t>
            </w:r>
          </w:p>
        </w:tc>
        <w:tc>
          <w:tcPr/>
          <w:p>
            <w:pPr>
              <w:pStyle w:val="Compact"/>
              <w:jc w:val="left"/>
            </w:pPr>
            <w:r>
              <w:t xml:space="preserve">A3-S006</w:t>
            </w:r>
          </w:p>
        </w:tc>
      </w:tr>
      <w:tr>
        <w:tc>
          <w:tcPr/>
          <w:p>
            <w:pPr>
              <w:pStyle w:val="Compact"/>
              <w:jc w:val="left"/>
            </w:pPr>
            <w:r>
              <w:t xml:space="preserve">Stack position</w:t>
            </w:r>
          </w:p>
        </w:tc>
        <w:tc>
          <w:tcPr/>
          <w:p>
            <w:pPr>
              <w:pStyle w:val="Compact"/>
              <w:jc w:val="left"/>
            </w:pPr>
            <w:r>
              <w:t xml:space="preserve">Library inside L3 (LangGraph) using LangGraph’s long-term memory store; not a separate memory service</w:t>
            </w:r>
          </w:p>
        </w:tc>
        <w:tc>
          <w:tcPr/>
          <w:p>
            <w:pPr>
              <w:pStyle w:val="Compact"/>
              <w:jc w:val="left"/>
            </w:pPr>
            <w:r>
              <w:t xml:space="preserve">Verified fact</w:t>
            </w:r>
          </w:p>
        </w:tc>
        <w:tc>
          <w:tcPr/>
          <w:p>
            <w:pPr>
              <w:pStyle w:val="Compact"/>
              <w:jc w:val="left"/>
            </w:pPr>
            <w:r>
              <w:t xml:space="preserve">A3-S006</w:t>
            </w:r>
          </w:p>
        </w:tc>
      </w:tr>
      <w:tr>
        <w:tc>
          <w:tcPr/>
          <w:p>
            <w:pPr>
              <w:pStyle w:val="Compact"/>
              <w:jc w:val="left"/>
            </w:pPr>
            <w:r>
              <w:t xml:space="preserve">Integration</w:t>
            </w:r>
          </w:p>
        </w:tc>
        <w:tc>
          <w:tcPr/>
          <w:p>
            <w:pPr>
              <w:pStyle w:val="Compact"/>
              <w:jc w:val="left"/>
            </w:pPr>
            <w:r>
              <w:t xml:space="preserve">Python API; native integration with LangGraph long-term memory store, available in LangGraph Platform deployments</w:t>
            </w:r>
          </w:p>
        </w:tc>
        <w:tc>
          <w:tcPr/>
          <w:p>
            <w:pPr>
              <w:pStyle w:val="Compact"/>
              <w:jc w:val="left"/>
            </w:pPr>
            <w:r>
              <w:t xml:space="preserve">Verified fact</w:t>
            </w:r>
          </w:p>
        </w:tc>
        <w:tc>
          <w:tcPr/>
          <w:p>
            <w:pPr>
              <w:pStyle w:val="Compact"/>
              <w:jc w:val="left"/>
            </w:pPr>
            <w:r>
              <w:t xml:space="preserve">A3-S006</w:t>
            </w:r>
          </w:p>
        </w:tc>
      </w:tr>
      <w:tr>
        <w:tc>
          <w:tcPr/>
          <w:p>
            <w:pPr>
              <w:pStyle w:val="Compact"/>
              <w:jc w:val="left"/>
            </w:pPr>
            <w:r>
              <w:t xml:space="preserve">Dependencies</w:t>
            </w:r>
          </w:p>
        </w:tc>
        <w:tc>
          <w:tcPr/>
          <w:p>
            <w:pPr>
              <w:pStyle w:val="Compact"/>
              <w:jc w:val="left"/>
            </w:pPr>
            <w:r>
              <w:t xml:space="preserve">langgraph, langchain-core, langsmith and trustcall; persistence via LangGraph BaseStore (InMemoryStore loses data on restart)</w:t>
            </w:r>
          </w:p>
        </w:tc>
        <w:tc>
          <w:tcPr/>
          <w:p>
            <w:pPr>
              <w:pStyle w:val="Compact"/>
              <w:jc w:val="left"/>
            </w:pPr>
            <w:r>
              <w:t xml:space="preserve">Verified fact</w:t>
            </w:r>
          </w:p>
        </w:tc>
        <w:tc>
          <w:tcPr/>
          <w:p>
            <w:pPr>
              <w:pStyle w:val="Compact"/>
              <w:jc w:val="left"/>
            </w:pPr>
            <w:r>
              <w:t xml:space="preserve">A3-S006</w:t>
            </w:r>
          </w:p>
        </w:tc>
      </w:tr>
      <w:tr>
        <w:tc>
          <w:tcPr/>
          <w:p>
            <w:pPr>
              <w:pStyle w:val="Compact"/>
              <w:jc w:val="left"/>
            </w:pPr>
            <w:r>
              <w:t xml:space="preserve">Certifications</w:t>
            </w:r>
          </w:p>
        </w:tc>
        <w:tc>
          <w:tcPr/>
          <w:p>
            <w:pPr>
              <w:pStyle w:val="Compact"/>
              <w:jc w:val="left"/>
            </w:pPr>
            <w:r>
              <w:t xml:space="preserve">Not applicable (library); inherits controls of the hosting platform and store</w:t>
            </w:r>
          </w:p>
        </w:tc>
        <w:tc>
          <w:tcPr/>
          <w:p>
            <w:pPr>
              <w:pStyle w:val="Compact"/>
              <w:jc w:val="left"/>
            </w:pPr>
            <w:r>
              <w:t xml:space="preserve">Architectural judgement</w:t>
            </w:r>
          </w:p>
        </w:tc>
        <w:tc>
          <w:tcPr/>
          <w:p>
            <w:pPr>
              <w:pStyle w:val="Compact"/>
            </w:pPr>
          </w:p>
        </w:tc>
      </w:tr>
      <w:tr>
        <w:tc>
          <w:tcPr/>
          <w:p>
            <w:pPr>
              <w:pStyle w:val="Compact"/>
              <w:jc w:val="left"/>
            </w:pPr>
            <w:r>
              <w:t xml:space="preserve">GDPR / residency</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Security features</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Access controls</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Enterprise support</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Pricing</w:t>
            </w:r>
          </w:p>
        </w:tc>
        <w:tc>
          <w:tcPr/>
          <w:p>
            <w:pPr>
              <w:pStyle w:val="Compact"/>
              <w:jc w:val="left"/>
            </w:pPr>
            <w:r>
              <w:t xml:space="preserve">Free (MIT library)</w:t>
            </w:r>
          </w:p>
        </w:tc>
        <w:tc>
          <w:tcPr/>
          <w:p>
            <w:pPr>
              <w:pStyle w:val="Compact"/>
              <w:jc w:val="left"/>
            </w:pPr>
            <w:r>
              <w:t xml:space="preserve">Verified fact</w:t>
            </w:r>
          </w:p>
        </w:tc>
        <w:tc>
          <w:tcPr/>
          <w:p>
            <w:pPr>
              <w:pStyle w:val="Compact"/>
              <w:jc w:val="left"/>
            </w:pPr>
            <w:r>
              <w:t xml:space="preserve">A3-S006</w:t>
            </w:r>
          </w:p>
        </w:tc>
      </w:tr>
      <w:tr>
        <w:tc>
          <w:tcPr/>
          <w:p>
            <w:pPr>
              <w:pStyle w:val="Compact"/>
              <w:jc w:val="left"/>
            </w:pPr>
            <w:r>
              <w:t xml:space="preserve">Infrastructure cost</w:t>
            </w:r>
          </w:p>
        </w:tc>
        <w:tc>
          <w:tcPr/>
          <w:p>
            <w:pPr>
              <w:pStyle w:val="Compact"/>
              <w:jc w:val="left"/>
            </w:pPr>
            <w:r>
              <w:t xml:space="preserve">Cost driven by the chosen LangGraph store backend and LLM calls for extraction</w:t>
            </w:r>
          </w:p>
        </w:tc>
        <w:tc>
          <w:tcPr/>
          <w:p>
            <w:pPr>
              <w:pStyle w:val="Compact"/>
              <w:jc w:val="left"/>
            </w:pPr>
            <w:r>
              <w:t xml:space="preserve">Verified fact</w:t>
            </w:r>
          </w:p>
        </w:tc>
        <w:tc>
          <w:tcPr/>
          <w:p>
            <w:pPr>
              <w:pStyle w:val="Compact"/>
              <w:jc w:val="left"/>
            </w:pPr>
            <w:r>
              <w:t xml:space="preserve">A3-S006</w:t>
            </w:r>
          </w:p>
        </w:tc>
      </w:tr>
      <w:tr>
        <w:tc>
          <w:tcPr/>
          <w:p>
            <w:pPr>
              <w:pStyle w:val="Compact"/>
              <w:jc w:val="left"/>
            </w:pPr>
            <w:r>
              <w:t xml:space="preserve">Ecosystem</w:t>
            </w:r>
          </w:p>
        </w:tc>
        <w:tc>
          <w:tcPr/>
          <w:p>
            <w:pPr>
              <w:pStyle w:val="Compact"/>
              <w:jc w:val="left"/>
            </w:pPr>
            <w:r>
              <w:t xml:space="preserve">LangGraph/LangChain ecosystem</w:t>
            </w:r>
          </w:p>
        </w:tc>
        <w:tc>
          <w:tcPr/>
          <w:p>
            <w:pPr>
              <w:pStyle w:val="Compact"/>
              <w:jc w:val="left"/>
            </w:pPr>
            <w:r>
              <w:t xml:space="preserve">Verified fact</w:t>
            </w:r>
          </w:p>
        </w:tc>
        <w:tc>
          <w:tcPr/>
          <w:p>
            <w:pPr>
              <w:pStyle w:val="Compact"/>
              <w:jc w:val="left"/>
            </w:pPr>
            <w:r>
              <w:t xml:space="preserve">A3-S006</w:t>
            </w:r>
          </w:p>
        </w:tc>
      </w:tr>
      <w:tr>
        <w:tc>
          <w:tcPr/>
          <w:p>
            <w:pPr>
              <w:pStyle w:val="Compact"/>
              <w:jc w:val="left"/>
            </w:pPr>
            <w:r>
              <w:t xml:space="preserve">Adoption signals</w:t>
            </w:r>
          </w:p>
        </w:tc>
        <w:tc>
          <w:tcPr/>
          <w:p>
            <w:pPr>
              <w:pStyle w:val="Compact"/>
              <w:jc w:val="left"/>
            </w:pPr>
            <w:r>
              <w:t xml:space="preserve">langchain-ai/langmem 1,696 GitHub stars (7 October 2026)</w:t>
            </w:r>
          </w:p>
        </w:tc>
        <w:tc>
          <w:tcPr/>
          <w:p>
            <w:pPr>
              <w:pStyle w:val="Compact"/>
              <w:jc w:val="left"/>
            </w:pPr>
            <w:r>
              <w:t xml:space="preserve">Verified fact</w:t>
            </w:r>
          </w:p>
        </w:tc>
        <w:tc>
          <w:tcPr/>
          <w:p>
            <w:pPr>
              <w:pStyle w:val="Compact"/>
              <w:jc w:val="left"/>
            </w:pPr>
            <w:r>
              <w:t xml:space="preserve">A3-S054</w:t>
            </w:r>
          </w:p>
        </w:tc>
      </w:tr>
      <w:tr>
        <w:tc>
          <w:tcPr/>
          <w:p>
            <w:pPr>
              <w:pStyle w:val="Compact"/>
              <w:jc w:val="left"/>
            </w:pPr>
            <w:r>
              <w:t xml:space="preserve">Maturity</w:t>
            </w:r>
          </w:p>
        </w:tc>
        <w:tc>
          <w:tcPr/>
          <w:p>
            <w:pPr>
              <w:pStyle w:val="Compact"/>
              <w:jc w:val="left"/>
            </w:pPr>
            <w:r>
              <w:t xml:space="preserve">Pre-1.0 (0.0.x); last PyPI release 27 October 2025, about 11 months before review date</w:t>
            </w:r>
          </w:p>
        </w:tc>
        <w:tc>
          <w:tcPr/>
          <w:p>
            <w:pPr>
              <w:pStyle w:val="Compact"/>
              <w:jc w:val="left"/>
            </w:pPr>
            <w:r>
              <w:t xml:space="preserve">Verified fact</w:t>
            </w:r>
          </w:p>
        </w:tc>
        <w:tc>
          <w:tcPr/>
          <w:p>
            <w:pPr>
              <w:pStyle w:val="Compact"/>
              <w:jc w:val="left"/>
            </w:pPr>
            <w:r>
              <w:t xml:space="preserve">A3-S006</w:t>
            </w:r>
          </w:p>
        </w:tc>
      </w:tr>
      <w:tr>
        <w:tc>
          <w:tcPr/>
          <w:p>
            <w:pPr>
              <w:pStyle w:val="Compact"/>
              <w:jc w:val="left"/>
            </w:pPr>
            <w:r>
              <w:t xml:space="preserve">Deployment</w:t>
            </w:r>
          </w:p>
        </w:tc>
        <w:tc>
          <w:tcPr/>
          <w:p>
            <w:pPr>
              <w:pStyle w:val="Compact"/>
              <w:jc w:val="left"/>
            </w:pPr>
            <w:r>
              <w:t xml:space="preserve">saas: No standalone SaaS (runs inside LangGraph Platform deployments); managed_cloud: Not publicly verified; vpc_byoc: Not publicly verified; private_cloud: Not publicly verified; self_hosted: Yes (library); on_prem: Yes (library)</w:t>
            </w:r>
          </w:p>
        </w:tc>
        <w:tc>
          <w:tcPr/>
          <w:p>
            <w:pPr>
              <w:pStyle w:val="Compact"/>
            </w:pPr>
          </w:p>
        </w:tc>
        <w:tc>
          <w:tcPr/>
          <w:p>
            <w:pPr>
              <w:pStyle w:val="Compact"/>
            </w:pPr>
          </w:p>
        </w:tc>
      </w:tr>
    </w:tbl>
    <w:bookmarkEnd w:id="820"/>
    <w:bookmarkEnd w:id="821"/>
    <w:bookmarkStart w:id="1017" w:name="l4-tools-protocols-and-connectivity"/>
    <w:p>
      <w:pPr>
        <w:pStyle w:val="Heading1"/>
      </w:pPr>
      <w:r>
        <w:t xml:space="preserve">L4: Tools, protocols and connectivity</w:t>
      </w:r>
    </w:p>
    <w:bookmarkStart w:id="843" w:name="agent2agent-a2a-protocol-l4-a2a"/>
    <w:p>
      <w:pPr>
        <w:pStyle w:val="Heading2"/>
      </w:pPr>
      <w:r>
        <w:t xml:space="preserve">Agent2Agent (A2A) Protocol (</w:t>
      </w:r>
      <w:r>
        <w:rPr>
          <w:rStyle w:val="VerbatimChar"/>
        </w:rPr>
        <w:t xml:space="preserve">L4-a2a</w:t>
      </w:r>
      <w:r>
        <w:t xml:space="preserve">)</w:t>
      </w:r>
    </w:p>
    <w:p>
      <w:pPr>
        <w:pStyle w:val="FirstParagraph"/>
      </w:pPr>
      <w:r>
        <w:rPr>
          <w:bCs/>
          <w:b/>
        </w:rPr>
        <w:t xml:space="preserve">Tier:</w:t>
      </w:r>
      <w:r>
        <w:t xml:space="preserve"> </w:t>
      </w:r>
      <w:r>
        <w:t xml:space="preserve">Strategic ·</w:t>
      </w:r>
      <w:r>
        <w:t xml:space="preserve"> </w:t>
      </w:r>
      <w:r>
        <w:rPr>
          <w:bCs/>
          <w:b/>
        </w:rPr>
        <w:t xml:space="preserve">Flags:</w:t>
      </w:r>
      <w:r>
        <w:t xml:space="preserve"> </w:t>
      </w:r>
      <w:r>
        <w:t xml:space="preserve">none ·</w:t>
      </w:r>
      <w:r>
        <w:t xml:space="preserve"> </w:t>
      </w:r>
      <w:r>
        <w:rPr>
          <w:bCs/>
          <w:b/>
        </w:rPr>
        <w:t xml:space="preserve">Original graphic label:</w:t>
      </w:r>
      <w:r>
        <w:t xml:space="preserve"> </w:t>
      </w:r>
      <w:r>
        <w:t xml:space="preserve">A2A – agent-to-agent</w:t>
      </w:r>
    </w:p>
    <w:p>
      <w:pPr>
        <w:pStyle w:val="BodyText"/>
      </w:pPr>
      <w:r>
        <w:rPr>
          <w:iCs/>
          <w:i/>
        </w:rPr>
        <w:t xml:space="preserve">Rationale:</w:t>
      </w:r>
      <w:r>
        <w:t xml:space="preserve"> </w:t>
      </w:r>
      <w:r>
        <w:t xml:space="preserve">Strategic, conditional: where cross-team or cross-vendor agent delegation is in scope (CP3 Q1); signed Agent Cards verified, and delegated authority scoped and revocable by the firm, because the protocol does not define it</w:t>
      </w:r>
      <w:r>
        <w:t xml:space="preserve"> </w:t>
      </w:r>
      <w:r>
        <w:rPr>
          <w:rStyle w:val="ClaimLabel"/>
        </w:rPr>
        <w:t xml:space="preserve">AJ</w:t>
      </w:r>
      <w:r>
        <w:t xml:space="preserve">.</w:t>
      </w:r>
    </w:p>
    <w:tbl>
      <w:tblPr>
        <w:tblStyle w:val="Table"/>
        <w:tblW w:type="pct" w:w="5000"/>
        <w:tblLook w:firstRow="1" w:lastRow="0" w:firstColumn="0" w:lastColumn="0" w:noHBand="0" w:noVBand="0" w:val="0020"/>
        <w:jc w:val="start"/>
      </w:tblPr>
      <w:tblGrid>
        <w:gridCol w:w="1545"/>
        <w:gridCol w:w="579"/>
        <w:gridCol w:w="5795"/>
      </w:tblGrid>
      <w:tr>
        <w:trPr>
          <w:tblHeader w:val="true"/>
        </w:trPr>
        <w:tc>
          <w:tcPr/>
          <w:p>
            <w:pPr>
              <w:pStyle w:val="Compact"/>
              <w:jc w:val="left"/>
            </w:pPr>
            <w:r>
              <w:t xml:space="preserve">Criterion</w:t>
            </w:r>
          </w:p>
        </w:tc>
        <w:tc>
          <w:tcPr/>
          <w:p>
            <w:pPr>
              <w:pStyle w:val="Compact"/>
              <w:jc w:val="right"/>
            </w:pPr>
            <w:r>
              <w:t xml:space="preserve">Score</w:t>
            </w:r>
          </w:p>
        </w:tc>
        <w:tc>
          <w:tcPr/>
          <w:p>
            <w:pPr>
              <w:pStyle w:val="Compact"/>
              <w:jc w:val="left"/>
            </w:pPr>
            <w:r>
              <w:t xml:space="preserve">Rationale</w:t>
            </w:r>
          </w:p>
        </w:tc>
      </w:tr>
      <w:tr>
        <w:tc>
          <w:tcPr/>
          <w:p>
            <w:pPr>
              <w:pStyle w:val="Compact"/>
              <w:jc w:val="left"/>
            </w:pPr>
            <w:r>
              <w:t xml:space="preserve">Technical</w:t>
            </w:r>
          </w:p>
        </w:tc>
        <w:tc>
          <w:tcPr/>
          <w:p>
            <w:pPr>
              <w:pStyle w:val="Compact"/>
              <w:jc w:val="right"/>
            </w:pPr>
            <w:r>
              <w:t xml:space="preserve">3</w:t>
            </w:r>
          </w:p>
        </w:tc>
        <w:tc>
          <w:tcPr/>
          <w:p>
            <w:pPr>
              <w:pStyle w:val="Compact"/>
              <w:jc w:val="left"/>
            </w:pPr>
            <w:r>
              <w:t xml:space="preserve">Covers agent-to-agent interop well; not the main tool-invocation path and delegation semantics incomplete</w:t>
            </w:r>
            <w:r>
              <w:t xml:space="preserve"> </w:t>
            </w:r>
            <w:r>
              <w:rPr>
                <w:rStyle w:val="ClaimLabel"/>
              </w:rPr>
              <w:t xml:space="preserve">AJ</w:t>
            </w:r>
          </w:p>
        </w:tc>
      </w:tr>
      <w:tr>
        <w:tc>
          <w:tcPr/>
          <w:p>
            <w:pPr>
              <w:pStyle w:val="Compact"/>
              <w:jc w:val="left"/>
            </w:pPr>
            <w:r>
              <w:t xml:space="preserve">Enterprise readiness</w:t>
            </w:r>
          </w:p>
        </w:tc>
        <w:tc>
          <w:tcPr/>
          <w:p>
            <w:pPr>
              <w:pStyle w:val="Compact"/>
              <w:jc w:val="right"/>
            </w:pPr>
            <w:r>
              <w:t xml:space="preserve">3</w:t>
            </w:r>
          </w:p>
        </w:tc>
        <w:tc>
          <w:tcPr/>
          <w:p>
            <w:pPr>
              <w:pStyle w:val="Compact"/>
              <w:jc w:val="left"/>
            </w:pPr>
            <w:r>
              <w:t xml:space="preserve">Open spec (rule 2): authenticated extended cards and declared security schemes; support via implementers</w:t>
            </w:r>
            <w:r>
              <w:t xml:space="preserve"> </w:t>
            </w:r>
            <w:r>
              <w:rPr>
                <w:rStyle w:val="ClaimLabel"/>
              </w:rPr>
              <w:t xml:space="preserve">VF</w:t>
            </w:r>
            <w:r>
              <w:rPr>
                <w:rStyle w:val="FootnoteReference"/>
              </w:rPr>
              <w:footnoteReference w:id="822"/>
            </w:r>
          </w:p>
        </w:tc>
      </w:tr>
      <w:tr>
        <w:tc>
          <w:tcPr/>
          <w:p>
            <w:pPr>
              <w:pStyle w:val="Compact"/>
              <w:jc w:val="left"/>
            </w:pPr>
            <w:r>
              <w:t xml:space="preserve">Security and compliance</w:t>
            </w:r>
          </w:p>
        </w:tc>
        <w:tc>
          <w:tcPr/>
          <w:p>
            <w:pPr>
              <w:pStyle w:val="Compact"/>
              <w:jc w:val="right"/>
            </w:pPr>
            <w:r>
              <w:t xml:space="preserve">3</w:t>
            </w:r>
          </w:p>
        </w:tc>
        <w:tc>
          <w:tcPr/>
          <w:p>
            <w:pPr>
              <w:pStyle w:val="Compact"/>
              <w:jc w:val="left"/>
            </w:pPr>
            <w:r>
              <w:t xml:space="preserve">Rule 2 hygiene: modern OAuth flows, optional signing, undefined revocation semantics</w:t>
            </w:r>
            <w:r>
              <w:t xml:space="preserve"> </w:t>
            </w:r>
            <w:r>
              <w:rPr>
                <w:rStyle w:val="ClaimLabel"/>
              </w:rPr>
              <w:t xml:space="preserve">VF</w:t>
            </w:r>
            <w:r>
              <w:rPr>
                <w:rStyle w:val="FootnoteReference"/>
              </w:rPr>
              <w:footnoteReference w:id="824"/>
            </w:r>
          </w:p>
        </w:tc>
      </w:tr>
      <w:tr>
        <w:tc>
          <w:tcPr/>
          <w:p>
            <w:pPr>
              <w:pStyle w:val="Compact"/>
              <w:jc w:val="left"/>
            </w:pPr>
            <w:r>
              <w:t xml:space="preserve">Deployment flexibility</w:t>
            </w:r>
          </w:p>
        </w:tc>
        <w:tc>
          <w:tcPr/>
          <w:p>
            <w:pPr>
              <w:pStyle w:val="Compact"/>
              <w:jc w:val="right"/>
            </w:pPr>
            <w:r>
              <w:t xml:space="preserve">5</w:t>
            </w:r>
          </w:p>
        </w:tc>
        <w:tc>
          <w:tcPr/>
          <w:p>
            <w:pPr>
              <w:pStyle w:val="Compact"/>
              <w:jc w:val="left"/>
            </w:pPr>
            <w:r>
              <w:t xml:space="preserve">Implementations self-hostable anywhere</w:t>
            </w:r>
            <w:r>
              <w:t xml:space="preserve"> </w:t>
            </w:r>
            <w:r>
              <w:rPr>
                <w:rStyle w:val="ClaimLabel"/>
              </w:rPr>
              <w:t xml:space="preserve">AJ</w:t>
            </w:r>
          </w:p>
        </w:tc>
      </w:tr>
      <w:tr>
        <w:tc>
          <w:tcPr/>
          <w:p>
            <w:pPr>
              <w:pStyle w:val="Compact"/>
              <w:jc w:val="left"/>
            </w:pPr>
            <w:r>
              <w:t xml:space="preserve">Ecosystem</w:t>
            </w:r>
          </w:p>
        </w:tc>
        <w:tc>
          <w:tcPr/>
          <w:p>
            <w:pPr>
              <w:pStyle w:val="Compact"/>
              <w:jc w:val="right"/>
            </w:pPr>
            <w:r>
              <w:t xml:space="preserve">4</w:t>
            </w:r>
          </w:p>
        </w:tc>
        <w:tc>
          <w:tcPr/>
          <w:p>
            <w:pPr>
              <w:pStyle w:val="Compact"/>
              <w:jc w:val="left"/>
            </w:pPr>
            <w:r>
              <w:t xml:space="preserve">150+ organisations and cloud availability (April 2026)</w:t>
            </w:r>
            <w:r>
              <w:t xml:space="preserve"> </w:t>
            </w:r>
            <w:r>
              <w:rPr>
                <w:rStyle w:val="ClaimLabel"/>
              </w:rPr>
              <w:t xml:space="preserve">VF</w:t>
            </w:r>
            <w:r>
              <w:rPr>
                <w:rStyle w:val="FootnoteReference"/>
              </w:rPr>
              <w:footnoteReference w:id="826"/>
            </w:r>
          </w:p>
        </w:tc>
      </w:tr>
      <w:tr>
        <w:tc>
          <w:tcPr/>
          <w:p>
            <w:pPr>
              <w:pStyle w:val="Compact"/>
              <w:jc w:val="left"/>
            </w:pPr>
            <w:r>
              <w:t xml:space="preserve">Reliability and maturity</w:t>
            </w:r>
          </w:p>
        </w:tc>
        <w:tc>
          <w:tcPr/>
          <w:p>
            <w:pPr>
              <w:pStyle w:val="Compact"/>
              <w:jc w:val="right"/>
            </w:pPr>
            <w:r>
              <w:t xml:space="preserve">3</w:t>
            </w:r>
          </w:p>
        </w:tc>
        <w:tc>
          <w:tcPr/>
          <w:p>
            <w:pPr>
              <w:pStyle w:val="Compact"/>
              <w:jc w:val="left"/>
            </w:pPr>
            <w:r>
              <w:t xml:space="preserve">1.0 only since March 2026 with breaking changes; foundation-hosted</w:t>
            </w:r>
            <w:r>
              <w:t xml:space="preserve"> </w:t>
            </w:r>
            <w:r>
              <w:rPr>
                <w:rStyle w:val="ClaimLabel"/>
              </w:rPr>
              <w:t xml:space="preserve">VF</w:t>
            </w:r>
            <w:r>
              <w:rPr>
                <w:rStyle w:val="FootnoteReference"/>
              </w:rPr>
              <w:footnoteReference w:id="828"/>
            </w:r>
          </w:p>
        </w:tc>
      </w:tr>
      <w:tr>
        <w:tc>
          <w:tcPr/>
          <w:p>
            <w:pPr>
              <w:pStyle w:val="Compact"/>
              <w:jc w:val="left"/>
            </w:pPr>
            <w:r>
              <w:t xml:space="preserve">Cost / TCO</w:t>
            </w:r>
          </w:p>
        </w:tc>
        <w:tc>
          <w:tcPr/>
          <w:p>
            <w:pPr>
              <w:pStyle w:val="Compact"/>
              <w:jc w:val="right"/>
            </w:pPr>
            <w:r>
              <w:t xml:space="preserve">4</w:t>
            </w:r>
          </w:p>
        </w:tc>
        <w:tc>
          <w:tcPr/>
          <w:p>
            <w:pPr>
              <w:pStyle w:val="Compact"/>
              <w:jc w:val="left"/>
            </w:pPr>
            <w:r>
              <w:t xml:space="preserve">Free specification; operations cost in implementations</w:t>
            </w:r>
            <w:r>
              <w:t xml:space="preserve"> </w:t>
            </w:r>
            <w:r>
              <w:rPr>
                <w:rStyle w:val="ClaimLabel"/>
              </w:rPr>
              <w:t xml:space="preserve">AJ</w:t>
            </w:r>
          </w:p>
        </w:tc>
      </w:tr>
      <w:tr>
        <w:tc>
          <w:tcPr/>
          <w:p>
            <w:pPr>
              <w:pStyle w:val="Compact"/>
              <w:jc w:val="left"/>
            </w:pPr>
            <w:r>
              <w:t xml:space="preserve">Lock-in / portability</w:t>
            </w:r>
          </w:p>
        </w:tc>
        <w:tc>
          <w:tcPr/>
          <w:p>
            <w:pPr>
              <w:pStyle w:val="Compact"/>
              <w:jc w:val="right"/>
            </w:pPr>
            <w:r>
              <w:t xml:space="preserve">5</w:t>
            </w:r>
          </w:p>
        </w:tc>
        <w:tc>
          <w:tcPr/>
          <w:p>
            <w:pPr>
              <w:pStyle w:val="Compact"/>
              <w:jc w:val="left"/>
            </w:pPr>
            <w:r>
              <w:t xml:space="preserve">Apache-2.0 with neutral multi-vendor governance</w:t>
            </w:r>
            <w:r>
              <w:t xml:space="preserve"> </w:t>
            </w:r>
            <w:r>
              <w:rPr>
                <w:rStyle w:val="ClaimLabel"/>
              </w:rPr>
              <w:t xml:space="preserve">VF</w:t>
            </w:r>
            <w:r>
              <w:rPr>
                <w:rStyle w:val="FootnoteReference"/>
              </w:rPr>
              <w:footnoteReference w:id="830"/>
            </w:r>
          </w:p>
        </w:tc>
      </w:tr>
      <w:tr>
        <w:tc>
          <w:tcPr/>
          <w:p>
            <w:pPr>
              <w:pStyle w:val="Compact"/>
              <w:jc w:val="left"/>
            </w:pPr>
            <w:r>
              <w:rPr>
                <w:bCs/>
                <w:b/>
              </w:rPr>
              <w:t xml:space="preserve">Total (generic / FS)</w:t>
            </w:r>
          </w:p>
        </w:tc>
        <w:tc>
          <w:tcPr/>
          <w:p>
            <w:pPr>
              <w:pStyle w:val="Compact"/>
              <w:jc w:val="right"/>
            </w:pPr>
            <w:r>
              <w:rPr>
                <w:bCs/>
                <w:b/>
              </w:rPr>
              <w:t xml:space="preserve">3.60 / 3.70</w:t>
            </w:r>
          </w:p>
        </w:tc>
        <w:tc>
          <w:tcPr/>
          <w:p>
            <w:pPr>
              <w:pStyle w:val="Compact"/>
            </w:pPr>
          </w:p>
        </w:tc>
      </w:tr>
    </w:tbl>
    <w:p>
      <w:pPr>
        <w:pStyle w:val="BodyText"/>
      </w:pPr>
      <w:r>
        <w:rPr>
          <w:bCs/>
          <w:b/>
        </w:rPr>
        <w:t xml:space="preserve">Capabilities.</w:t>
      </w:r>
      <w:r>
        <w:t xml:space="preserve"> </w:t>
      </w:r>
      <w:r>
        <w:t xml:space="preserve">Open protocol (Apache-2.0) for communication between opaque agents: Agent Card discovery, messages, long-running tasks with streaming and push notifications; v1.0 adds multi-tenancy, multiple bindings, optional JWS-signed Agent Cards and modernised OAuth flows</w:t>
      </w:r>
      <w:r>
        <w:t xml:space="preserve"> </w:t>
      </w:r>
      <w:r>
        <w:rPr>
          <w:rStyle w:val="ClaimLabel"/>
        </w:rPr>
        <w:t xml:space="preserve">VF</w:t>
      </w:r>
      <w:r>
        <w:rPr>
          <w:rStyle w:val="FootnoteReference"/>
        </w:rPr>
        <w:footnoteReference w:id="833"/>
      </w:r>
      <w:r>
        <w:t xml:space="preserve">.</w:t>
      </w:r>
    </w:p>
    <w:p>
      <w:pPr>
        <w:pStyle w:val="BodyText"/>
      </w:pPr>
      <w:r>
        <w:rPr>
          <w:bCs/>
          <w:b/>
        </w:rPr>
        <w:t xml:space="preserve">Strengths</w:t>
      </w:r>
    </w:p>
    <w:p>
      <w:pPr>
        <w:numPr>
          <w:ilvl w:val="0"/>
          <w:numId w:val="1193"/>
        </w:numPr>
        <w:pStyle w:val="Compact"/>
      </w:pPr>
      <w:r>
        <w:t xml:space="preserve">Multi-vendor TSC of eight companies and AAIF Growth Stage status</w:t>
      </w:r>
      <w:r>
        <w:t xml:space="preserve"> </w:t>
      </w:r>
      <w:r>
        <w:rPr>
          <w:rStyle w:val="ClaimLabel"/>
        </w:rPr>
        <w:t xml:space="preserve">VF</w:t>
      </w:r>
      <w:r>
        <w:rPr>
          <w:rStyle w:val="FootnoteReference"/>
        </w:rPr>
        <w:footnoteReference w:id="835"/>
      </w:r>
    </w:p>
    <w:p>
      <w:pPr>
        <w:numPr>
          <w:ilvl w:val="0"/>
          <w:numId w:val="1193"/>
        </w:numPr>
        <w:pStyle w:val="Compact"/>
      </w:pPr>
      <w:r>
        <w:t xml:space="preserve">Designed for delegated long-running tasks between agents</w:t>
      </w:r>
      <w:r>
        <w:t xml:space="preserve"> </w:t>
      </w:r>
      <w:r>
        <w:rPr>
          <w:rStyle w:val="ClaimLabel"/>
        </w:rPr>
        <w:t xml:space="preserve">VF</w:t>
      </w:r>
      <w:r>
        <w:rPr>
          <w:rStyle w:val="FootnoteReference"/>
        </w:rPr>
        <w:footnoteReference w:id="837"/>
      </w:r>
    </w:p>
    <w:p>
      <w:pPr>
        <w:numPr>
          <w:ilvl w:val="0"/>
          <w:numId w:val="1193"/>
        </w:numPr>
        <w:pStyle w:val="Compact"/>
      </w:pPr>
      <w:r>
        <w:t xml:space="preserve">Signed Agent Cards available</w:t>
      </w:r>
      <w:r>
        <w:t xml:space="preserve"> </w:t>
      </w:r>
      <w:r>
        <w:rPr>
          <w:rStyle w:val="ClaimLabel"/>
        </w:rPr>
        <w:t xml:space="preserve">VF</w:t>
      </w:r>
      <w:r>
        <w:rPr>
          <w:rStyle w:val="FootnoteReference"/>
        </w:rPr>
        <w:footnoteReference w:id="838"/>
      </w:r>
    </w:p>
    <w:p>
      <w:pPr>
        <w:pStyle w:val="FirstParagraph"/>
      </w:pPr>
      <w:r>
        <w:rPr>
          <w:bCs/>
          <w:b/>
        </w:rPr>
        <w:t xml:space="preserve">Limitations and risks</w:t>
      </w:r>
    </w:p>
    <w:p>
      <w:pPr>
        <w:numPr>
          <w:ilvl w:val="0"/>
          <w:numId w:val="1194"/>
        </w:numPr>
        <w:pStyle w:val="Compact"/>
      </w:pPr>
      <w:r>
        <w:t xml:space="preserve">Card signing optional; clients SHOULD verify only when present</w:t>
      </w:r>
      <w:r>
        <w:t xml:space="preserve"> </w:t>
      </w:r>
      <w:r>
        <w:rPr>
          <w:rStyle w:val="ClaimLabel"/>
        </w:rPr>
        <w:t xml:space="preserve">VF</w:t>
      </w:r>
      <w:r>
        <w:rPr>
          <w:rStyle w:val="FootnoteReference"/>
        </w:rPr>
        <w:footnoteReference w:id="839"/>
      </w:r>
    </w:p>
    <w:p>
      <w:pPr>
        <w:numPr>
          <w:ilvl w:val="0"/>
          <w:numId w:val="1194"/>
        </w:numPr>
        <w:pStyle w:val="Compact"/>
      </w:pPr>
      <w:r>
        <w:t xml:space="preserve">No defined scope, validity or revocation semantics for authorisation obtained in AUTH_REQUIRED</w:t>
      </w:r>
      <w:r>
        <w:t xml:space="preserve"> </w:t>
      </w:r>
      <w:r>
        <w:rPr>
          <w:rStyle w:val="ClaimLabel"/>
        </w:rPr>
        <w:t xml:space="preserve">VF</w:t>
      </w:r>
      <w:r>
        <w:rPr>
          <w:rStyle w:val="FootnoteReference"/>
        </w:rPr>
        <w:footnoteReference w:id="840"/>
      </w:r>
    </w:p>
    <w:p>
      <w:pPr>
        <w:numPr>
          <w:ilvl w:val="0"/>
          <w:numId w:val="1194"/>
        </w:numPr>
        <w:pStyle w:val="Compact"/>
      </w:pPr>
      <w:r>
        <w:t xml:space="preserve">1.0 broke the interaction protocol; some SDKs lag</w:t>
      </w:r>
      <w:r>
        <w:t xml:space="preserve"> </w:t>
      </w:r>
      <w:r>
        <w:rPr>
          <w:rStyle w:val="ClaimLabel"/>
        </w:rPr>
        <w:t xml:space="preserve">VF</w:t>
      </w:r>
      <w:r>
        <w:rPr>
          <w:rStyle w:val="FootnoteReference"/>
        </w:rPr>
        <w:footnoteReference w:id="841"/>
      </w:r>
      <w:r>
        <w:t xml:space="preserve"> </w:t>
      </w:r>
      <w:r>
        <w:rPr>
          <w:rStyle w:val="ClaimLabel"/>
        </w:rPr>
        <w:t xml:space="preserve">R</w:t>
      </w:r>
      <w:r>
        <w:rPr>
          <w:rStyle w:val="FootnoteReference"/>
        </w:rPr>
        <w:footnoteReference w:id="842"/>
      </w:r>
    </w:p>
    <w:p>
      <w:pPr>
        <w:pStyle w:val="FirstParagraph"/>
      </w:pPr>
      <w:r>
        <w:rPr>
          <w:bCs/>
          <w:b/>
        </w:rPr>
        <w:t xml:space="preserve">Choose when</w:t>
      </w:r>
    </w:p>
    <w:p>
      <w:pPr>
        <w:numPr>
          <w:ilvl w:val="0"/>
          <w:numId w:val="1195"/>
        </w:numPr>
        <w:pStyle w:val="Compact"/>
      </w:pPr>
      <w:r>
        <w:t xml:space="preserve">Agents owned by different teams or vendors must delegate work to each other</w:t>
      </w:r>
      <w:r>
        <w:t xml:space="preserve"> </w:t>
      </w:r>
      <w:r>
        <w:rPr>
          <w:rStyle w:val="ClaimLabel"/>
        </w:rPr>
        <w:t xml:space="preserve">AJ</w:t>
      </w:r>
    </w:p>
    <w:p>
      <w:pPr>
        <w:pStyle w:val="FirstParagraph"/>
      </w:pPr>
      <w:r>
        <w:rPr>
          <w:bCs/>
          <w:b/>
        </w:rPr>
        <w:t xml:space="preserve">Avoid when</w:t>
      </w:r>
    </w:p>
    <w:p>
      <w:pPr>
        <w:numPr>
          <w:ilvl w:val="0"/>
          <w:numId w:val="1196"/>
        </w:numPr>
        <w:pStyle w:val="Compact"/>
      </w:pPr>
      <w:r>
        <w:t xml:space="preserve">A deterministic workflow calling tools would do</w:t>
      </w:r>
      <w:r>
        <w:t xml:space="preserve"> </w:t>
      </w:r>
      <w:r>
        <w:rPr>
          <w:rStyle w:val="ClaimLabel"/>
        </w:rPr>
        <w:t xml:space="preserve">AJ</w:t>
      </w:r>
    </w:p>
    <w:p>
      <w:pPr>
        <w:pStyle w:val="FirstParagraph"/>
      </w:pPr>
      <w:r>
        <w:rPr>
          <w:bCs/>
          <w:b/>
        </w:rPr>
        <w:t xml:space="preserve">Nearest competitors:</w:t>
      </w:r>
      <w:r>
        <w:t xml:space="preserve"> </w:t>
      </w:r>
      <w:r>
        <w:t xml:space="preserve">L4-mcp, C1-agentgateway, L4-aws-agentcore-gateway-identity</w:t>
      </w:r>
    </w:p>
    <w:p>
      <w:pPr>
        <w:pStyle w:val="BodyText"/>
      </w:pPr>
      <w:r>
        <w:rPr>
          <w:bCs/>
          <w:b/>
        </w:rPr>
        <w:t xml:space="preserve">Regulated-FS note.</w:t>
      </w:r>
      <w:r>
        <w:t xml:space="preserve"> </w:t>
      </w:r>
      <w:r>
        <w:t xml:space="preserve">Require signed Agent Cards and verify them; scope and revoke delegated authority in your own gateway and IdP</w:t>
      </w:r>
      <w:r>
        <w:t xml:space="preserve"> </w:t>
      </w:r>
      <w:r>
        <w:rPr>
          <w:rStyle w:val="ClaimLabel"/>
        </w:rPr>
        <w:t xml:space="preserve">Rec</w:t>
      </w:r>
      <w:r>
        <w:t xml:space="preserve">.</w:t>
      </w:r>
    </w:p>
    <w:p>
      <w:pPr>
        <w:pStyle w:val="BodyText"/>
      </w:pPr>
      <w:r>
        <w:rPr>
          <w:bCs/>
          <w:b/>
        </w:rPr>
        <w:t xml:space="preserve">Facts (as of 2026-10-08)</w:t>
      </w:r>
    </w:p>
    <w:tbl>
      <w:tblPr>
        <w:tblStyle w:val="Table"/>
        <w:tblW w:type="pct" w:w="5000"/>
        <w:tblLook w:firstRow="1" w:lastRow="0" w:firstColumn="0" w:lastColumn="0" w:noHBand="0" w:noVBand="0" w:val="0020"/>
        <w:jc w:val="start"/>
      </w:tblPr>
      <w:tblGrid>
        <w:gridCol w:w="1485"/>
        <w:gridCol w:w="4290"/>
        <w:gridCol w:w="1320"/>
        <w:gridCol w:w="825"/>
      </w:tblGrid>
      <w:tr>
        <w:trPr>
          <w:tblHeader w:val="true"/>
        </w:trPr>
        <w:tc>
          <w:tcPr/>
          <w:p>
            <w:pPr>
              <w:pStyle w:val="Compact"/>
              <w:jc w:val="left"/>
            </w:pPr>
            <w:r>
              <w:t xml:space="preserve">Field</w:t>
            </w:r>
          </w:p>
        </w:tc>
        <w:tc>
          <w:tcPr/>
          <w:p>
            <w:pPr>
              <w:pStyle w:val="Compact"/>
              <w:jc w:val="left"/>
            </w:pPr>
            <w:r>
              <w:t xml:space="preserve">Value</w:t>
            </w:r>
          </w:p>
        </w:tc>
        <w:tc>
          <w:tcPr/>
          <w:p>
            <w:pPr>
              <w:pStyle w:val="Compact"/>
              <w:jc w:val="left"/>
            </w:pPr>
            <w:r>
              <w:t xml:space="preserve">Label</w:t>
            </w:r>
          </w:p>
        </w:tc>
        <w:tc>
          <w:tcPr/>
          <w:p>
            <w:pPr>
              <w:pStyle w:val="Compact"/>
              <w:jc w:val="left"/>
            </w:pPr>
            <w:r>
              <w:t xml:space="preserve">Sources</w:t>
            </w:r>
          </w:p>
        </w:tc>
      </w:tr>
      <w:tr>
        <w:tc>
          <w:tcPr/>
          <w:p>
            <w:pPr>
              <w:pStyle w:val="Compact"/>
              <w:jc w:val="left"/>
            </w:pPr>
            <w:r>
              <w:t xml:space="preserve">Company</w:t>
            </w:r>
          </w:p>
        </w:tc>
        <w:tc>
          <w:tcPr/>
          <w:p>
            <w:pPr>
              <w:pStyle w:val="Compact"/>
              <w:jc w:val="left"/>
            </w:pPr>
            <w:r>
              <w:t xml:space="preserve">A2A Project: contributed by Google to the Linux Foundation (2025); accepted as a Growth Stage project of the Agentic AI Foundation (AAIF announcement 17 August 2026; A2A blog 27 August 2026); TSC seats: Google, Microsoft, Cisco, AWS, Salesforce, ServiceNow, SAP, IBM</w:t>
            </w:r>
          </w:p>
        </w:tc>
        <w:tc>
          <w:tcPr/>
          <w:p>
            <w:pPr>
              <w:pStyle w:val="Compact"/>
              <w:jc w:val="left"/>
            </w:pPr>
            <w:r>
              <w:t xml:space="preserve">Verified fact</w:t>
            </w:r>
          </w:p>
        </w:tc>
        <w:tc>
          <w:tcPr/>
          <w:p>
            <w:pPr>
              <w:pStyle w:val="Compact"/>
              <w:jc w:val="left"/>
            </w:pPr>
            <w:r>
              <w:t xml:space="preserve">A3-S065, A3-S116, A3-S117, A3-S025, V1-S039</w:t>
            </w:r>
          </w:p>
        </w:tc>
      </w:tr>
      <w:tr>
        <w:tc>
          <w:tcPr/>
          <w:p>
            <w:pPr>
              <w:pStyle w:val="Compact"/>
              <w:jc w:val="left"/>
            </w:pPr>
            <w:r>
              <w:t xml:space="preserve">Category</w:t>
            </w:r>
          </w:p>
        </w:tc>
        <w:tc>
          <w:tcPr/>
          <w:p>
            <w:pPr>
              <w:pStyle w:val="Compact"/>
              <w:jc w:val="left"/>
            </w:pPr>
            <w:r>
              <w:t xml:space="preserve">Open protocol for communication and interoperability between opaque agent applications</w:t>
            </w:r>
          </w:p>
        </w:tc>
        <w:tc>
          <w:tcPr/>
          <w:p>
            <w:pPr>
              <w:pStyle w:val="Compact"/>
              <w:jc w:val="left"/>
            </w:pPr>
            <w:r>
              <w:t xml:space="preserve">Verified fact</w:t>
            </w:r>
          </w:p>
        </w:tc>
        <w:tc>
          <w:tcPr/>
          <w:p>
            <w:pPr>
              <w:pStyle w:val="Compact"/>
              <w:jc w:val="left"/>
            </w:pPr>
            <w:r>
              <w:t xml:space="preserve">A3-S078</w:t>
            </w:r>
          </w:p>
        </w:tc>
      </w:tr>
      <w:tr>
        <w:tc>
          <w:tcPr/>
          <w:p>
            <w:pPr>
              <w:pStyle w:val="Compact"/>
              <w:jc w:val="left"/>
            </w:pPr>
            <w:r>
              <w:t xml:space="preserve">Version / lineup</w:t>
            </w:r>
          </w:p>
        </w:tc>
        <w:tc>
          <w:tcPr/>
          <w:p>
            <w:pPr>
              <w:pStyle w:val="Compact"/>
              <w:jc w:val="left"/>
            </w:pPr>
            <w:r>
              <w:t xml:space="preserve">Specification 1.0.0 (12 March 2026), patch 1.0.1 (26 May 2026); A2A Python SDK a2a-sdk 1.2.2 (5 October 2026)</w:t>
            </w:r>
          </w:p>
        </w:tc>
        <w:tc>
          <w:tcPr/>
          <w:p>
            <w:pPr>
              <w:pStyle w:val="Compact"/>
              <w:jc w:val="left"/>
            </w:pPr>
            <w:r>
              <w:t xml:space="preserve">Verified fact</w:t>
            </w:r>
          </w:p>
        </w:tc>
        <w:tc>
          <w:tcPr/>
          <w:p>
            <w:pPr>
              <w:pStyle w:val="Compact"/>
              <w:jc w:val="left"/>
            </w:pPr>
            <w:r>
              <w:t xml:space="preserve">A3-S079, A3-S078, A3-S075, V1-S039</w:t>
            </w:r>
          </w:p>
        </w:tc>
      </w:tr>
      <w:tr>
        <w:tc>
          <w:tcPr/>
          <w:p>
            <w:pPr>
              <w:pStyle w:val="Compact"/>
              <w:jc w:val="left"/>
            </w:pPr>
            <w:r>
              <w:t xml:space="preserve">Licence</w:t>
            </w:r>
          </w:p>
        </w:tc>
        <w:tc>
          <w:tcPr/>
          <w:p>
            <w:pPr>
              <w:pStyle w:val="Compact"/>
              <w:jc w:val="left"/>
            </w:pPr>
            <w:r>
              <w:t xml:space="preserve">Open specification and SDKs, Apache-2.0</w:t>
            </w:r>
          </w:p>
        </w:tc>
        <w:tc>
          <w:tcPr/>
          <w:p>
            <w:pPr>
              <w:pStyle w:val="Compact"/>
              <w:jc w:val="left"/>
            </w:pPr>
            <w:r>
              <w:t xml:space="preserve">Verified fact</w:t>
            </w:r>
          </w:p>
        </w:tc>
        <w:tc>
          <w:tcPr/>
          <w:p>
            <w:pPr>
              <w:pStyle w:val="Compact"/>
              <w:jc w:val="left"/>
            </w:pPr>
            <w:r>
              <w:t xml:space="preserve">A3-S075, A3-S025</w:t>
            </w:r>
          </w:p>
        </w:tc>
      </w:tr>
      <w:tr>
        <w:tc>
          <w:tcPr/>
          <w:p>
            <w:pPr>
              <w:pStyle w:val="Compact"/>
              <w:jc w:val="left"/>
            </w:pPr>
            <w:r>
              <w:t xml:space="preserve">Status events</w:t>
            </w:r>
          </w:p>
        </w:tc>
        <w:tc>
          <w:tcPr/>
          <w:p>
            <w:pPr>
              <w:pStyle w:val="Compact"/>
              <w:jc w:val="left"/>
            </w:pPr>
            <w:r>
              <w:t xml:space="preserve">August 2025: IBM’s Agent Communication Protocol (ACP) merged into A2A; IBM joined the TSC; 12 March 2026: A2A 1.0.0, first stable release (changelog; AAIF and Google also say March 2026; the 9 April 2026 Linux Foundation release is the one-year anniversary announcement); 26 May 2026: A2A 1.0.1; 17 August 2026: AAIF announced A2A joining; A2A blog (27 August 2026) confirms acceptance as AAIF Growth Stage project</w:t>
            </w:r>
          </w:p>
        </w:tc>
        <w:tc>
          <w:tcPr/>
          <w:p>
            <w:pPr>
              <w:pStyle w:val="Compact"/>
              <w:jc w:val="left"/>
            </w:pPr>
            <w:r>
              <w:t xml:space="preserve">Verified fact</w:t>
            </w:r>
          </w:p>
        </w:tc>
        <w:tc>
          <w:tcPr/>
          <w:p>
            <w:pPr>
              <w:pStyle w:val="Compact"/>
              <w:jc w:val="left"/>
            </w:pPr>
            <w:r>
              <w:t xml:space="preserve">A3-S032, A3-S065, A3-S079, A3-S116, A3-S026, A3-S025, A3-S117, V1-S039, V1-S038</w:t>
            </w:r>
          </w:p>
        </w:tc>
      </w:tr>
      <w:tr>
        <w:tc>
          <w:tcPr/>
          <w:p>
            <w:pPr>
              <w:pStyle w:val="Compact"/>
              <w:jc w:val="left"/>
            </w:pPr>
            <w:r>
              <w:t xml:space="preserve">Strategic direction</w:t>
            </w:r>
          </w:p>
        </w:tc>
        <w:tc>
          <w:tcPr/>
          <w:p>
            <w:pPr>
              <w:pStyle w:val="Compact"/>
              <w:jc w:val="left"/>
            </w:pPr>
            <w:r>
              <w:t xml:space="preserve">v1.0 adds multi-tenancy, multi-protocol bindings, verb-style operations, signed Agent Cards and modernised OAuth flows; joined AAIF alongside MCP as separate project with own TSC (August 2026)</w:t>
            </w:r>
          </w:p>
        </w:tc>
        <w:tc>
          <w:tcPr/>
          <w:p>
            <w:pPr>
              <w:pStyle w:val="Compact"/>
              <w:jc w:val="left"/>
            </w:pPr>
            <w:r>
              <w:t xml:space="preserve">Verified fact</w:t>
            </w:r>
          </w:p>
        </w:tc>
        <w:tc>
          <w:tcPr/>
          <w:p>
            <w:pPr>
              <w:pStyle w:val="Compact"/>
              <w:jc w:val="left"/>
            </w:pPr>
            <w:r>
              <w:t xml:space="preserve">A3-S030, A3-S040</w:t>
            </w:r>
          </w:p>
        </w:tc>
      </w:tr>
      <w:tr>
        <w:tc>
          <w:tcPr/>
          <w:p>
            <w:pPr>
              <w:pStyle w:val="Compact"/>
              <w:jc w:val="left"/>
            </w:pPr>
            <w:r>
              <w:t xml:space="preserve">What it does</w:t>
            </w:r>
          </w:p>
        </w:tc>
        <w:tc>
          <w:tcPr/>
          <w:p>
            <w:pPr>
              <w:pStyle w:val="Compact"/>
              <w:jc w:val="left"/>
            </w:pPr>
            <w:r>
              <w:t xml:space="preserve">Lets a client agent discover a remote agent via its Agent Card (/.well-known/agent-card.json), send messages and manage asynchronous, long-running tasks with streaming and push notifications; version negotiated via A2A-Version header</w:t>
            </w:r>
          </w:p>
        </w:tc>
        <w:tc>
          <w:tcPr/>
          <w:p>
            <w:pPr>
              <w:pStyle w:val="Compact"/>
              <w:jc w:val="left"/>
            </w:pPr>
            <w:r>
              <w:t xml:space="preserve">Verified fact</w:t>
            </w:r>
          </w:p>
        </w:tc>
        <w:tc>
          <w:tcPr/>
          <w:p>
            <w:pPr>
              <w:pStyle w:val="Compact"/>
              <w:jc w:val="left"/>
            </w:pPr>
            <w:r>
              <w:t xml:space="preserve">A3-S078, A3-S030</w:t>
            </w:r>
          </w:p>
        </w:tc>
      </w:tr>
      <w:tr>
        <w:tc>
          <w:tcPr/>
          <w:p>
            <w:pPr>
              <w:pStyle w:val="Compact"/>
              <w:jc w:val="left"/>
            </w:pPr>
            <w:r>
              <w:t xml:space="preserve">Stack position</w:t>
            </w:r>
          </w:p>
        </w:tc>
        <w:tc>
          <w:tcPr/>
          <w:p>
            <w:pPr>
              <w:pStyle w:val="Compact"/>
              <w:jc w:val="left"/>
            </w:pPr>
            <w:r>
              <w:t xml:space="preserve">L4 agent-to-agent interoperability, complementary to MCP (agent-to-tool)</w:t>
            </w:r>
          </w:p>
        </w:tc>
        <w:tc>
          <w:tcPr/>
          <w:p>
            <w:pPr>
              <w:pStyle w:val="Compact"/>
              <w:jc w:val="left"/>
            </w:pPr>
            <w:r>
              <w:t xml:space="preserve">Verified fact</w:t>
            </w:r>
          </w:p>
        </w:tc>
        <w:tc>
          <w:tcPr/>
          <w:p>
            <w:pPr>
              <w:pStyle w:val="Compact"/>
              <w:jc w:val="left"/>
            </w:pPr>
            <w:r>
              <w:t xml:space="preserve">A3-S040</w:t>
            </w:r>
          </w:p>
        </w:tc>
      </w:tr>
      <w:tr>
        <w:tc>
          <w:tcPr/>
          <w:p>
            <w:pPr>
              <w:pStyle w:val="Compact"/>
              <w:jc w:val="left"/>
            </w:pPr>
            <w:r>
              <w:t xml:space="preserve">Integration</w:t>
            </w:r>
          </w:p>
        </w:tc>
        <w:tc>
          <w:tcPr/>
          <w:p>
            <w:pPr>
              <w:pStyle w:val="Compact"/>
              <w:jc w:val="left"/>
            </w:pPr>
            <w:r>
              <w:t xml:space="preserve">Official SDKs (Python, JavaScript and others); Agent Cards advertise supportedInterfaces with protocol binding and version</w:t>
            </w:r>
          </w:p>
        </w:tc>
        <w:tc>
          <w:tcPr/>
          <w:p>
            <w:pPr>
              <w:pStyle w:val="Compact"/>
              <w:jc w:val="left"/>
            </w:pPr>
            <w:r>
              <w:t xml:space="preserve">Verified fact</w:t>
            </w:r>
          </w:p>
        </w:tc>
        <w:tc>
          <w:tcPr/>
          <w:p>
            <w:pPr>
              <w:pStyle w:val="Compact"/>
              <w:jc w:val="left"/>
            </w:pPr>
            <w:r>
              <w:t xml:space="preserve">A3-S075, A3-S031, A3-S054</w:t>
            </w:r>
          </w:p>
        </w:tc>
      </w:tr>
      <w:tr>
        <w:tc>
          <w:tcPr/>
          <w:p>
            <w:pPr>
              <w:pStyle w:val="Compact"/>
              <w:jc w:val="left"/>
            </w:pPr>
            <w:r>
              <w:t xml:space="preserve">Dependencies</w:t>
            </w:r>
          </w:p>
        </w:tc>
        <w:tc>
          <w:tcPr/>
          <w:p>
            <w:pPr>
              <w:pStyle w:val="Compact"/>
              <w:jc w:val="left"/>
            </w:pPr>
            <w:r>
              <w:t xml:space="preserve">HTTP-based bindings (JSON-RPC, gRPC, REST); security via declared securitySchemes incl. OAuth 2.0 and OpenID Connect</w:t>
            </w:r>
          </w:p>
        </w:tc>
        <w:tc>
          <w:tcPr/>
          <w:p>
            <w:pPr>
              <w:pStyle w:val="Compact"/>
              <w:jc w:val="left"/>
            </w:pPr>
            <w:r>
              <w:t xml:space="preserve">Verified fact</w:t>
            </w:r>
          </w:p>
        </w:tc>
        <w:tc>
          <w:tcPr/>
          <w:p>
            <w:pPr>
              <w:pStyle w:val="Compact"/>
              <w:jc w:val="left"/>
            </w:pPr>
            <w:r>
              <w:t xml:space="preserve">A3-S078</w:t>
            </w:r>
          </w:p>
        </w:tc>
      </w:tr>
      <w:tr>
        <w:tc>
          <w:tcPr/>
          <w:p>
            <w:pPr>
              <w:pStyle w:val="Compact"/>
              <w:jc w:val="left"/>
            </w:pPr>
            <w:r>
              <w:t xml:space="preserve">Certifications</w:t>
            </w:r>
          </w:p>
        </w:tc>
        <w:tc>
          <w:tcPr/>
          <w:p>
            <w:pPr>
              <w:pStyle w:val="Compact"/>
              <w:jc w:val="left"/>
            </w:pPr>
            <w:r>
              <w:t xml:space="preserve">Not applicable (open specification)</w:t>
            </w:r>
          </w:p>
        </w:tc>
        <w:tc>
          <w:tcPr/>
          <w:p>
            <w:pPr>
              <w:pStyle w:val="Compact"/>
              <w:jc w:val="left"/>
            </w:pPr>
            <w:r>
              <w:t xml:space="preserve">Architectural judgement</w:t>
            </w:r>
          </w:p>
        </w:tc>
        <w:tc>
          <w:tcPr/>
          <w:p>
            <w:pPr>
              <w:pStyle w:val="Compact"/>
            </w:pPr>
          </w:p>
        </w:tc>
      </w:tr>
      <w:tr>
        <w:tc>
          <w:tcPr/>
          <w:p>
            <w:pPr>
              <w:pStyle w:val="Compact"/>
              <w:jc w:val="left"/>
            </w:pPr>
            <w:r>
              <w:t xml:space="preserve">GDPR / residency</w:t>
            </w:r>
          </w:p>
        </w:tc>
        <w:tc>
          <w:tcPr/>
          <w:p>
            <w:pPr>
              <w:pStyle w:val="Compact"/>
              <w:jc w:val="left"/>
            </w:pPr>
            <w:r>
              <w:t xml:space="preserve">Not applicable (open specification)</w:t>
            </w:r>
          </w:p>
        </w:tc>
        <w:tc>
          <w:tcPr/>
          <w:p>
            <w:pPr>
              <w:pStyle w:val="Compact"/>
              <w:jc w:val="left"/>
            </w:pPr>
            <w:r>
              <w:t xml:space="preserve">Architectural judgement</w:t>
            </w:r>
          </w:p>
        </w:tc>
        <w:tc>
          <w:tcPr/>
          <w:p>
            <w:pPr>
              <w:pStyle w:val="Compact"/>
            </w:pPr>
          </w:p>
        </w:tc>
      </w:tr>
      <w:tr>
        <w:tc>
          <w:tcPr/>
          <w:p>
            <w:pPr>
              <w:pStyle w:val="Compact"/>
              <w:jc w:val="left"/>
            </w:pPr>
            <w:r>
              <w:t xml:space="preserve">Security features</w:t>
            </w:r>
          </w:p>
        </w:tc>
        <w:tc>
          <w:tcPr/>
          <w:p>
            <w:pPr>
              <w:pStyle w:val="Compact"/>
              <w:jc w:val="left"/>
            </w:pPr>
            <w:r>
              <w:t xml:space="preserve">Agent Cards MAY be signed with JWS (RFC 7515) over RFC 8785-canonicalised JSON; clients SHOULD verify when present. OAuth flows modernised (device code, PKCE; implicit/password removed). The protocol does not define scope, validity or revocation semantics for authorisation obtained in the AUTH_REQUIRED task state</w:t>
            </w:r>
          </w:p>
        </w:tc>
        <w:tc>
          <w:tcPr/>
          <w:p>
            <w:pPr>
              <w:pStyle w:val="Compact"/>
              <w:jc w:val="left"/>
            </w:pPr>
            <w:r>
              <w:t xml:space="preserve">Verified fact</w:t>
            </w:r>
          </w:p>
        </w:tc>
        <w:tc>
          <w:tcPr/>
          <w:p>
            <w:pPr>
              <w:pStyle w:val="Compact"/>
              <w:jc w:val="left"/>
            </w:pPr>
            <w:r>
              <w:t xml:space="preserve">A3-S078, A3-S079, A3-S031</w:t>
            </w:r>
          </w:p>
        </w:tc>
      </w:tr>
      <w:tr>
        <w:tc>
          <w:tcPr/>
          <w:p>
            <w:pPr>
              <w:pStyle w:val="Compact"/>
              <w:jc w:val="left"/>
            </w:pPr>
            <w:r>
              <w:t xml:space="preserve">Access controls</w:t>
            </w:r>
          </w:p>
        </w:tc>
        <w:tc>
          <w:tcPr/>
          <w:p>
            <w:pPr>
              <w:pStyle w:val="Compact"/>
              <w:jc w:val="left"/>
            </w:pPr>
            <w:r>
              <w:t xml:space="preserve">Authenticated extended Agent Card available only after client authenticates with a declared scheme</w:t>
            </w:r>
          </w:p>
        </w:tc>
        <w:tc>
          <w:tcPr/>
          <w:p>
            <w:pPr>
              <w:pStyle w:val="Compact"/>
              <w:jc w:val="left"/>
            </w:pPr>
            <w:r>
              <w:t xml:space="preserve">Verified fact</w:t>
            </w:r>
          </w:p>
        </w:tc>
        <w:tc>
          <w:tcPr/>
          <w:p>
            <w:pPr>
              <w:pStyle w:val="Compact"/>
              <w:jc w:val="left"/>
            </w:pPr>
            <w:r>
              <w:t xml:space="preserve">A3-S078</w:t>
            </w:r>
          </w:p>
        </w:tc>
      </w:tr>
      <w:tr>
        <w:tc>
          <w:tcPr/>
          <w:p>
            <w:pPr>
              <w:pStyle w:val="Compact"/>
              <w:jc w:val="left"/>
            </w:pPr>
            <w:r>
              <w:t xml:space="preserve">Enterprise support</w:t>
            </w:r>
          </w:p>
        </w:tc>
        <w:tc>
          <w:tcPr/>
          <w:p>
            <w:pPr>
              <w:pStyle w:val="Compact"/>
              <w:jc w:val="left"/>
            </w:pPr>
            <w:r>
              <w:t xml:space="preserve">Not applicable (community specification)</w:t>
            </w:r>
          </w:p>
        </w:tc>
        <w:tc>
          <w:tcPr/>
          <w:p>
            <w:pPr>
              <w:pStyle w:val="Compact"/>
              <w:jc w:val="left"/>
            </w:pPr>
            <w:r>
              <w:t xml:space="preserve">Architectural judgement</w:t>
            </w:r>
          </w:p>
        </w:tc>
        <w:tc>
          <w:tcPr/>
          <w:p>
            <w:pPr>
              <w:pStyle w:val="Compact"/>
            </w:pPr>
          </w:p>
        </w:tc>
      </w:tr>
      <w:tr>
        <w:tc>
          <w:tcPr/>
          <w:p>
            <w:pPr>
              <w:pStyle w:val="Compact"/>
              <w:jc w:val="left"/>
            </w:pPr>
            <w:r>
              <w:t xml:space="preserve">Pricing</w:t>
            </w:r>
          </w:p>
        </w:tc>
        <w:tc>
          <w:tcPr/>
          <w:p>
            <w:pPr>
              <w:pStyle w:val="Compact"/>
              <w:jc w:val="left"/>
            </w:pPr>
            <w:r>
              <w:t xml:space="preserve">Free open specification</w:t>
            </w:r>
          </w:p>
        </w:tc>
        <w:tc>
          <w:tcPr/>
          <w:p>
            <w:pPr>
              <w:pStyle w:val="Compact"/>
              <w:jc w:val="left"/>
            </w:pPr>
            <w:r>
              <w:t xml:space="preserve">Verified fact</w:t>
            </w:r>
          </w:p>
        </w:tc>
        <w:tc>
          <w:tcPr/>
          <w:p>
            <w:pPr>
              <w:pStyle w:val="Compact"/>
              <w:jc w:val="left"/>
            </w:pPr>
            <w:r>
              <w:t xml:space="preserve">A3-S075</w:t>
            </w:r>
          </w:p>
        </w:tc>
      </w:tr>
      <w:tr>
        <w:tc>
          <w:tcPr/>
          <w:p>
            <w:pPr>
              <w:pStyle w:val="Compact"/>
              <w:jc w:val="left"/>
            </w:pPr>
            <w:r>
              <w:t xml:space="preserve">Infrastructure cost</w:t>
            </w:r>
          </w:p>
        </w:tc>
        <w:tc>
          <w:tcPr/>
          <w:p>
            <w:pPr>
              <w:pStyle w:val="Compact"/>
              <w:jc w:val="left"/>
            </w:pPr>
            <w:r>
              <w:t xml:space="preserve">Not applicable</w:t>
            </w:r>
          </w:p>
        </w:tc>
        <w:tc>
          <w:tcPr/>
          <w:p>
            <w:pPr>
              <w:pStyle w:val="Compact"/>
              <w:jc w:val="left"/>
            </w:pPr>
            <w:r>
              <w:t xml:space="preserve">Architectural judgement</w:t>
            </w:r>
          </w:p>
        </w:tc>
        <w:tc>
          <w:tcPr/>
          <w:p>
            <w:pPr>
              <w:pStyle w:val="Compact"/>
            </w:pPr>
          </w:p>
        </w:tc>
      </w:tr>
      <w:tr>
        <w:tc>
          <w:tcPr/>
          <w:p>
            <w:pPr>
              <w:pStyle w:val="Compact"/>
              <w:jc w:val="left"/>
            </w:pPr>
            <w:r>
              <w:t xml:space="preserve">Ecosystem</w:t>
            </w:r>
          </w:p>
        </w:tc>
        <w:tc>
          <w:tcPr/>
          <w:p>
            <w:pPr>
              <w:pStyle w:val="Compact"/>
              <w:jc w:val="left"/>
            </w:pPr>
            <w:r>
              <w:t xml:space="preserve">More than 150 supporting organisations and availability in major cloud platforms (April 2026)</w:t>
            </w:r>
          </w:p>
        </w:tc>
        <w:tc>
          <w:tcPr/>
          <w:p>
            <w:pPr>
              <w:pStyle w:val="Compact"/>
              <w:jc w:val="left"/>
            </w:pPr>
            <w:r>
              <w:t xml:space="preserve">Verified fact</w:t>
            </w:r>
          </w:p>
        </w:tc>
        <w:tc>
          <w:tcPr/>
          <w:p>
            <w:pPr>
              <w:pStyle w:val="Compact"/>
              <w:jc w:val="left"/>
            </w:pPr>
            <w:r>
              <w:t xml:space="preserve">A3-S025</w:t>
            </w:r>
          </w:p>
        </w:tc>
      </w:tr>
      <w:tr>
        <w:tc>
          <w:tcPr/>
          <w:p>
            <w:pPr>
              <w:pStyle w:val="Compact"/>
              <w:jc w:val="left"/>
            </w:pPr>
            <w:r>
              <w:t xml:space="preserve">Adoption signals</w:t>
            </w:r>
          </w:p>
        </w:tc>
        <w:tc>
          <w:tcPr/>
          <w:p>
            <w:pPr>
              <w:pStyle w:val="Compact"/>
              <w:jc w:val="left"/>
            </w:pPr>
            <w:r>
              <w:t xml:space="preserve">a2aproject/A2A 26,049 GitHub stars (7 October 2026); 150+ organisations (April 2026)</w:t>
            </w:r>
          </w:p>
        </w:tc>
        <w:tc>
          <w:tcPr/>
          <w:p>
            <w:pPr>
              <w:pStyle w:val="Compact"/>
              <w:jc w:val="left"/>
            </w:pPr>
            <w:r>
              <w:t xml:space="preserve">Verified fact</w:t>
            </w:r>
          </w:p>
        </w:tc>
        <w:tc>
          <w:tcPr/>
          <w:p>
            <w:pPr>
              <w:pStyle w:val="Compact"/>
              <w:jc w:val="left"/>
            </w:pPr>
            <w:r>
              <w:t xml:space="preserve">A3-S054, A3-S025</w:t>
            </w:r>
          </w:p>
        </w:tc>
      </w:tr>
      <w:tr>
        <w:tc>
          <w:tcPr/>
          <w:p>
            <w:pPr>
              <w:pStyle w:val="Compact"/>
              <w:jc w:val="left"/>
            </w:pPr>
            <w:r>
              <w:t xml:space="preserve">Maturity</w:t>
            </w:r>
          </w:p>
        </w:tc>
        <w:tc>
          <w:tcPr/>
          <w:p>
            <w:pPr>
              <w:pStyle w:val="Compact"/>
              <w:jc w:val="left"/>
            </w:pPr>
            <w:r>
              <w:t xml:space="preserve">First public spec 2025; 1.0 stable March 2026 with breaking changes to the interaction protocol (Agent Card backward-compatible)</w:t>
            </w:r>
          </w:p>
        </w:tc>
        <w:tc>
          <w:tcPr/>
          <w:p>
            <w:pPr>
              <w:pStyle w:val="Compact"/>
              <w:jc w:val="left"/>
            </w:pPr>
            <w:r>
              <w:t xml:space="preserve">Verified fact</w:t>
            </w:r>
          </w:p>
        </w:tc>
        <w:tc>
          <w:tcPr/>
          <w:p>
            <w:pPr>
              <w:pStyle w:val="Compact"/>
              <w:jc w:val="left"/>
            </w:pPr>
            <w:r>
              <w:t xml:space="preserve">A3-S079, A3-S030</w:t>
            </w:r>
          </w:p>
        </w:tc>
      </w:tr>
      <w:tr>
        <w:tc>
          <w:tcPr/>
          <w:p>
            <w:pPr>
              <w:pStyle w:val="Compact"/>
              <w:jc w:val="left"/>
            </w:pPr>
            <w:r>
              <w:t xml:space="preserve">Deployment</w:t>
            </w:r>
          </w:p>
        </w:tc>
        <w:tc>
          <w:tcPr/>
          <w:p>
            <w:pPr>
              <w:pStyle w:val="Compact"/>
              <w:jc w:val="left"/>
            </w:pPr>
            <w:r>
              <w:t xml:space="preserve">saas: No (open specification; deployment depends on each implementation); managed_cloud: No (open specification; deployment depends on each implementation); vpc_byoc: No (open specification; deployment depends on each implementation); private_cloud: No (open specification; deployment depends on each implementation); self_hosted: Yes (implementations can be self-hosted; the specification itself is not a hosted service); on_prem: Yes (implementations can be self-hosted; the specification itself is not a hosted service)</w:t>
            </w:r>
          </w:p>
        </w:tc>
        <w:tc>
          <w:tcPr/>
          <w:p>
            <w:pPr>
              <w:pStyle w:val="Compact"/>
            </w:pPr>
          </w:p>
        </w:tc>
        <w:tc>
          <w:tcPr/>
          <w:p>
            <w:pPr>
              <w:pStyle w:val="Compact"/>
            </w:pPr>
          </w:p>
        </w:tc>
      </w:tr>
    </w:tbl>
    <w:bookmarkEnd w:id="843"/>
    <w:bookmarkStart w:id="878" w:name="model-context-protocol-mcp-l4-mcp"/>
    <w:p>
      <w:pPr>
        <w:pStyle w:val="Heading2"/>
      </w:pPr>
      <w:r>
        <w:t xml:space="preserve">Model Context Protocol (MCP) (</w:t>
      </w:r>
      <w:r>
        <w:rPr>
          <w:rStyle w:val="VerbatimChar"/>
        </w:rPr>
        <w:t xml:space="preserve">L4-mcp</w:t>
      </w:r>
      <w:r>
        <w:t xml:space="preserve">)</w:t>
      </w:r>
    </w:p>
    <w:p>
      <w:pPr>
        <w:pStyle w:val="FirstParagraph"/>
      </w:pPr>
      <w:r>
        <w:rPr>
          <w:bCs/>
          <w:b/>
        </w:rPr>
        <w:t xml:space="preserve">Tier:</w:t>
      </w:r>
      <w:r>
        <w:t xml:space="preserve"> </w:t>
      </w:r>
      <w:r>
        <w:t xml:space="preserve">Strategic ·</w:t>
      </w:r>
      <w:r>
        <w:t xml:space="preserve"> </w:t>
      </w:r>
      <w:r>
        <w:rPr>
          <w:bCs/>
          <w:b/>
        </w:rPr>
        <w:t xml:space="preserve">Flags:</w:t>
      </w:r>
      <w:r>
        <w:t xml:space="preserve"> </w:t>
      </w:r>
      <w:r>
        <w:t xml:space="preserve">none ·</w:t>
      </w:r>
      <w:r>
        <w:t xml:space="preserve"> </w:t>
      </w:r>
      <w:r>
        <w:rPr>
          <w:bCs/>
          <w:b/>
        </w:rPr>
        <w:t xml:space="preserve">Original graphic label:</w:t>
      </w:r>
      <w:r>
        <w:t xml:space="preserve"> </w:t>
      </w:r>
      <w:r>
        <w:t xml:space="preserve">MCP – tools standard</w:t>
      </w:r>
    </w:p>
    <w:p>
      <w:pPr>
        <w:pStyle w:val="BodyText"/>
      </w:pPr>
      <w:r>
        <w:rPr>
          <w:iCs/>
          <w:i/>
        </w:rPr>
        <w:t xml:space="preserve">Rationale:</w:t>
      </w:r>
      <w:r>
        <w:t xml:space="preserve"> </w:t>
      </w:r>
      <w:r>
        <w:t xml:space="preserve">Strategic, conditional: only behind a gateway with mandatory authorisation, an allow-list and pinned tool definitions. Tier set by the reader at Checkpoint 3 (CP3 Q1), treating MCP and its authorisation profile (C4-mcp-authorization) as one decision; FS 3.55 is below the 3.6 guide and security scores 2, which is why the condition is mandatory. Conflict of interest: MCP originated at Anthropic and the author is an Anthropic model</w:t>
      </w:r>
      <w:r>
        <w:t xml:space="preserve"> </w:t>
      </w:r>
      <w:r>
        <w:rPr>
          <w:rStyle w:val="ClaimLabel"/>
        </w:rPr>
        <w:t xml:space="preserve">AJ</w:t>
      </w:r>
      <w:r>
        <w:t xml:space="preserve">.</w:t>
      </w:r>
    </w:p>
    <w:tbl>
      <w:tblPr>
        <w:tblStyle w:val="Table"/>
        <w:tblW w:type="pct" w:w="5000"/>
        <w:tblLook w:firstRow="1" w:lastRow="0" w:firstColumn="0" w:lastColumn="0" w:noHBand="0" w:noVBand="0" w:val="0020"/>
        <w:jc w:val="start"/>
      </w:tblPr>
      <w:tblGrid>
        <w:gridCol w:w="1545"/>
        <w:gridCol w:w="579"/>
        <w:gridCol w:w="5795"/>
      </w:tblGrid>
      <w:tr>
        <w:trPr>
          <w:tblHeader w:val="true"/>
        </w:trPr>
        <w:tc>
          <w:tcPr/>
          <w:p>
            <w:pPr>
              <w:pStyle w:val="Compact"/>
              <w:jc w:val="left"/>
            </w:pPr>
            <w:r>
              <w:t xml:space="preserve">Criterion</w:t>
            </w:r>
          </w:p>
        </w:tc>
        <w:tc>
          <w:tcPr/>
          <w:p>
            <w:pPr>
              <w:pStyle w:val="Compact"/>
              <w:jc w:val="right"/>
            </w:pPr>
            <w:r>
              <w:t xml:space="preserve">Score</w:t>
            </w:r>
          </w:p>
        </w:tc>
        <w:tc>
          <w:tcPr/>
          <w:p>
            <w:pPr>
              <w:pStyle w:val="Compact"/>
              <w:jc w:val="left"/>
            </w:pPr>
            <w:r>
              <w:t xml:space="preserve">Rationale</w:t>
            </w:r>
          </w:p>
        </w:tc>
      </w:tr>
      <w:tr>
        <w:tc>
          <w:tcPr/>
          <w:p>
            <w:pPr>
              <w:pStyle w:val="Compact"/>
              <w:jc w:val="left"/>
            </w:pPr>
            <w:r>
              <w:t xml:space="preserve">Technical</w:t>
            </w:r>
          </w:p>
        </w:tc>
        <w:tc>
          <w:tcPr/>
          <w:p>
            <w:pPr>
              <w:pStyle w:val="Compact"/>
              <w:jc w:val="right"/>
            </w:pPr>
            <w:r>
              <w:t xml:space="preserve">4</w:t>
            </w:r>
          </w:p>
        </w:tc>
        <w:tc>
          <w:tcPr/>
          <w:p>
            <w:pPr>
              <w:pStyle w:val="Compact"/>
              <w:jc w:val="left"/>
            </w:pPr>
            <w:r>
              <w:t xml:space="preserve">Covers tool invocation, enterprise authorisation and long-running tasks; security enforcement (allow-listing, signing) left outside the spec</w:t>
            </w:r>
            <w:r>
              <w:t xml:space="preserve"> </w:t>
            </w:r>
            <w:r>
              <w:rPr>
                <w:rStyle w:val="ClaimLabel"/>
              </w:rPr>
              <w:t xml:space="preserve">AJ</w:t>
            </w:r>
          </w:p>
        </w:tc>
      </w:tr>
      <w:tr>
        <w:tc>
          <w:tcPr/>
          <w:p>
            <w:pPr>
              <w:pStyle w:val="Compact"/>
              <w:jc w:val="left"/>
            </w:pPr>
            <w:r>
              <w:t xml:space="preserve">Enterprise readiness</w:t>
            </w:r>
          </w:p>
        </w:tc>
        <w:tc>
          <w:tcPr/>
          <w:p>
            <w:pPr>
              <w:pStyle w:val="Compact"/>
              <w:jc w:val="right"/>
            </w:pPr>
            <w:r>
              <w:t xml:space="preserve">3</w:t>
            </w:r>
          </w:p>
        </w:tc>
        <w:tc>
          <w:tcPr/>
          <w:p>
            <w:pPr>
              <w:pStyle w:val="Compact"/>
              <w:jc w:val="left"/>
            </w:pPr>
            <w:r>
              <w:t xml:space="preserve">Open spec (rule 2): enables central IdP policy via EMA; no commercial support from the project itself</w:t>
            </w:r>
            <w:r>
              <w:t xml:space="preserve"> </w:t>
            </w:r>
            <w:r>
              <w:rPr>
                <w:rStyle w:val="ClaimLabel"/>
              </w:rPr>
              <w:t xml:space="preserve">AJ</w:t>
            </w:r>
          </w:p>
        </w:tc>
      </w:tr>
      <w:tr>
        <w:tc>
          <w:tcPr/>
          <w:p>
            <w:pPr>
              <w:pStyle w:val="Compact"/>
              <w:jc w:val="left"/>
            </w:pPr>
            <w:r>
              <w:t xml:space="preserve">Security and compliance</w:t>
            </w:r>
          </w:p>
        </w:tc>
        <w:tc>
          <w:tcPr/>
          <w:p>
            <w:pPr>
              <w:pStyle w:val="Compact"/>
              <w:jc w:val="right"/>
            </w:pPr>
            <w:r>
              <w:t xml:space="preserve">2</w:t>
            </w:r>
          </w:p>
        </w:tc>
        <w:tc>
          <w:tcPr/>
          <w:p>
            <w:pPr>
              <w:pStyle w:val="Compact"/>
              <w:jc w:val="left"/>
            </w:pPr>
            <w:r>
              <w:t xml:space="preserve">Rule 2 hygiene: advisories are published with fixes (B-REVA-S006), but the specification leaves authorisation optional, has no tool-definition signing, carries a documented tool-poisoning attack class, and the TypeScript SDK had several High advisories in 2026, including one sending OAuth credentials to a server-chosen authorisation server</w:t>
            </w:r>
            <w:r>
              <w:t xml:space="preserve"> </w:t>
            </w:r>
            <w:r>
              <w:rPr>
                <w:rStyle w:val="ClaimLabel"/>
              </w:rPr>
              <w:t xml:space="preserve">VF</w:t>
            </w:r>
            <w:r>
              <w:rPr>
                <w:rStyle w:val="FootnoteReference"/>
              </w:rPr>
              <w:footnoteReference w:id="844"/>
            </w:r>
            <w:r>
              <w:t xml:space="preserve">. Below A2A (optional card signing) on integrity; borderline 3/2 resolved against the Anthropic-originated item (CP3 review A)</w:t>
            </w:r>
          </w:p>
        </w:tc>
      </w:tr>
      <w:tr>
        <w:tc>
          <w:tcPr/>
          <w:p>
            <w:pPr>
              <w:pStyle w:val="Compact"/>
              <w:jc w:val="left"/>
            </w:pPr>
            <w:r>
              <w:t xml:space="preserve">Deployment flexibility</w:t>
            </w:r>
          </w:p>
        </w:tc>
        <w:tc>
          <w:tcPr/>
          <w:p>
            <w:pPr>
              <w:pStyle w:val="Compact"/>
              <w:jc w:val="right"/>
            </w:pPr>
            <w:r>
              <w:t xml:space="preserve">5</w:t>
            </w:r>
          </w:p>
        </w:tc>
        <w:tc>
          <w:tcPr/>
          <w:p>
            <w:pPr>
              <w:pStyle w:val="Compact"/>
              <w:jc w:val="left"/>
            </w:pPr>
            <w:r>
              <w:t xml:space="preserve">Implementations run anywhere, including stdio locally and air-gapped</w:t>
            </w:r>
            <w:r>
              <w:t xml:space="preserve"> </w:t>
            </w:r>
            <w:r>
              <w:rPr>
                <w:rStyle w:val="ClaimLabel"/>
              </w:rPr>
              <w:t xml:space="preserve">AJ</w:t>
            </w:r>
          </w:p>
        </w:tc>
      </w:tr>
      <w:tr>
        <w:tc>
          <w:tcPr/>
          <w:p>
            <w:pPr>
              <w:pStyle w:val="Compact"/>
              <w:jc w:val="left"/>
            </w:pPr>
            <w:r>
              <w:t xml:space="preserve">Ecosystem</w:t>
            </w:r>
          </w:p>
        </w:tc>
        <w:tc>
          <w:tcPr/>
          <w:p>
            <w:pPr>
              <w:pStyle w:val="Compact"/>
              <w:jc w:val="right"/>
            </w:pPr>
            <w:r>
              <w:t xml:space="preserve">5</w:t>
            </w:r>
          </w:p>
        </w:tc>
        <w:tc>
          <w:tcPr/>
          <w:p>
            <w:pPr>
              <w:pStyle w:val="Compact"/>
              <w:jc w:val="left"/>
            </w:pPr>
            <w:r>
              <w:t xml:space="preserve">De facto standard with broad client and launch-partner support</w:t>
            </w:r>
            <w:r>
              <w:t xml:space="preserve"> </w:t>
            </w:r>
            <w:r>
              <w:rPr>
                <w:rStyle w:val="ClaimLabel"/>
              </w:rPr>
              <w:t xml:space="preserve">VF</w:t>
            </w:r>
            <w:r>
              <w:rPr>
                <w:rStyle w:val="FootnoteReference"/>
              </w:rPr>
              <w:footnoteReference w:id="848"/>
            </w:r>
          </w:p>
        </w:tc>
      </w:tr>
      <w:tr>
        <w:tc>
          <w:tcPr/>
          <w:p>
            <w:pPr>
              <w:pStyle w:val="Compact"/>
              <w:jc w:val="left"/>
            </w:pPr>
            <w:r>
              <w:t xml:space="preserve">Reliability and maturity</w:t>
            </w:r>
          </w:p>
        </w:tc>
        <w:tc>
          <w:tcPr/>
          <w:p>
            <w:pPr>
              <w:pStyle w:val="Compact"/>
              <w:jc w:val="right"/>
            </w:pPr>
            <w:r>
              <w:t xml:space="preserve">3</w:t>
            </w:r>
          </w:p>
        </w:tc>
        <w:tc>
          <w:tcPr/>
          <w:p>
            <w:pPr>
              <w:pStyle w:val="Compact"/>
              <w:jc w:val="left"/>
            </w:pPr>
            <w:r>
              <w:t xml:space="preserve">Foundation-hosted with a 12-month deprecation policy, but breaking changes in July 2026 and Registry still preview</w:t>
            </w:r>
            <w:r>
              <w:t xml:space="preserve"> </w:t>
            </w:r>
            <w:r>
              <w:rPr>
                <w:rStyle w:val="ClaimLabel"/>
              </w:rPr>
              <w:t xml:space="preserve">VF</w:t>
            </w:r>
            <w:r>
              <w:rPr>
                <w:rStyle w:val="FootnoteReference"/>
              </w:rPr>
              <w:footnoteReference w:id="851"/>
            </w:r>
          </w:p>
        </w:tc>
      </w:tr>
      <w:tr>
        <w:tc>
          <w:tcPr/>
          <w:p>
            <w:pPr>
              <w:pStyle w:val="Compact"/>
              <w:jc w:val="left"/>
            </w:pPr>
            <w:r>
              <w:t xml:space="preserve">Cost / TCO</w:t>
            </w:r>
          </w:p>
        </w:tc>
        <w:tc>
          <w:tcPr/>
          <w:p>
            <w:pPr>
              <w:pStyle w:val="Compact"/>
              <w:jc w:val="right"/>
            </w:pPr>
            <w:r>
              <w:t xml:space="preserve">4</w:t>
            </w:r>
          </w:p>
        </w:tc>
        <w:tc>
          <w:tcPr/>
          <w:p>
            <w:pPr>
              <w:pStyle w:val="Compact"/>
              <w:jc w:val="left"/>
            </w:pPr>
            <w:r>
              <w:t xml:space="preserve">Free specification and SDKs; cost lies in operating servers, gateway and authorisation server</w:t>
            </w:r>
            <w:r>
              <w:t xml:space="preserve"> </w:t>
            </w:r>
            <w:r>
              <w:rPr>
                <w:rStyle w:val="ClaimLabel"/>
              </w:rPr>
              <w:t xml:space="preserve">AJ</w:t>
            </w:r>
          </w:p>
        </w:tc>
      </w:tr>
      <w:tr>
        <w:tc>
          <w:tcPr/>
          <w:p>
            <w:pPr>
              <w:pStyle w:val="Compact"/>
              <w:jc w:val="left"/>
            </w:pPr>
            <w:r>
              <w:t xml:space="preserve">Lock-in / portability</w:t>
            </w:r>
          </w:p>
        </w:tc>
        <w:tc>
          <w:tcPr/>
          <w:p>
            <w:pPr>
              <w:pStyle w:val="Compact"/>
              <w:jc w:val="right"/>
            </w:pPr>
            <w:r>
              <w:t xml:space="preserve">4</w:t>
            </w:r>
          </w:p>
        </w:tc>
        <w:tc>
          <w:tcPr/>
          <w:p>
            <w:pPr>
              <w:pStyle w:val="Compact"/>
              <w:jc w:val="left"/>
            </w:pPr>
            <w:r>
              <w:t xml:space="preserve">MIT under AAIF, but technical direction concentrated in Anthropic maintainers, so not fully neutral governance</w:t>
            </w:r>
            <w:r>
              <w:t xml:space="preserve"> </w:t>
            </w:r>
            <w:r>
              <w:rPr>
                <w:rStyle w:val="ClaimLabel"/>
              </w:rPr>
              <w:t xml:space="preserve">VF</w:t>
            </w:r>
            <w:r>
              <w:rPr>
                <w:rStyle w:val="FootnoteReference"/>
              </w:rPr>
              <w:footnoteReference w:id="853"/>
            </w:r>
          </w:p>
        </w:tc>
      </w:tr>
      <w:tr>
        <w:tc>
          <w:tcPr/>
          <w:p>
            <w:pPr>
              <w:pStyle w:val="Compact"/>
              <w:jc w:val="left"/>
            </w:pPr>
            <w:r>
              <w:rPr>
                <w:bCs/>
                <w:b/>
              </w:rPr>
              <w:t xml:space="preserve">Total (generic / FS)</w:t>
            </w:r>
          </w:p>
        </w:tc>
        <w:tc>
          <w:tcPr/>
          <w:p>
            <w:pPr>
              <w:pStyle w:val="Compact"/>
              <w:jc w:val="right"/>
            </w:pPr>
            <w:r>
              <w:rPr>
                <w:bCs/>
                <w:b/>
              </w:rPr>
              <w:t xml:space="preserve">3.70 / 3.55</w:t>
            </w:r>
          </w:p>
        </w:tc>
        <w:tc>
          <w:tcPr/>
          <w:p>
            <w:pPr>
              <w:pStyle w:val="Compact"/>
            </w:pPr>
          </w:p>
        </w:tc>
      </w:tr>
    </w:tbl>
    <w:p>
      <w:pPr>
        <w:pStyle w:val="BodyText"/>
      </w:pPr>
      <w:r>
        <w:rPr>
          <w:bCs/>
          <w:b/>
        </w:rPr>
        <w:t xml:space="preserve">Capabilities.</w:t>
      </w:r>
      <w:r>
        <w:t xml:space="preserve"> </w:t>
      </w:r>
      <w:r>
        <w:t xml:space="preserve">Open protocol (MIT) for connecting agent hosts to tools, resources and prompts over JSON-RPC; spec 2026-07-28 is stateless with Mcp-Method/Mcp-Name headers for gateway routing, Tasks for long-running work, an optional OAuth 2.1 authorisation profile (RFC 8707, RFC 9728, RFC 9207, PKCE, no token passthrough) and the stable Enterprise-Managed Authorization extension (ID-JAG)</w:t>
      </w:r>
      <w:r>
        <w:t xml:space="preserve"> </w:t>
      </w:r>
      <w:r>
        <w:rPr>
          <w:rStyle w:val="ClaimLabel"/>
        </w:rPr>
        <w:t xml:space="preserve">VF</w:t>
      </w:r>
      <w:r>
        <w:rPr>
          <w:rStyle w:val="FootnoteReference"/>
        </w:rPr>
        <w:footnoteReference w:id="855"/>
      </w:r>
      <w:r>
        <w:t xml:space="preserve">. Conflict of interest: originated at Anthropic; author is an Anthropic model</w:t>
      </w:r>
      <w:r>
        <w:t xml:space="preserve"> </w:t>
      </w:r>
      <w:r>
        <w:rPr>
          <w:rStyle w:val="ClaimLabel"/>
        </w:rPr>
        <w:t xml:space="preserve">AJ</w:t>
      </w:r>
      <w:r>
        <w:t xml:space="preserve">.</w:t>
      </w:r>
    </w:p>
    <w:p>
      <w:pPr>
        <w:pStyle w:val="BodyText"/>
      </w:pPr>
      <w:r>
        <w:rPr>
          <w:bCs/>
          <w:b/>
        </w:rPr>
        <w:t xml:space="preserve">Strengths</w:t>
      </w:r>
    </w:p>
    <w:p>
      <w:pPr>
        <w:numPr>
          <w:ilvl w:val="0"/>
          <w:numId w:val="1197"/>
        </w:numPr>
        <w:pStyle w:val="Compact"/>
      </w:pPr>
      <w:r>
        <w:t xml:space="preserve">De facto agent-to-tool contract with Tier 1 SDKs in TypeScript, Python, Go and C# and client support across major vendors</w:t>
      </w:r>
      <w:r>
        <w:t xml:space="preserve"> </w:t>
      </w:r>
      <w:r>
        <w:rPr>
          <w:rStyle w:val="ClaimLabel"/>
        </w:rPr>
        <w:t xml:space="preserve">VF</w:t>
      </w:r>
      <w:r>
        <w:rPr>
          <w:rStyle w:val="FootnoteReference"/>
        </w:rPr>
        <w:footnoteReference w:id="859"/>
      </w:r>
    </w:p>
    <w:p>
      <w:pPr>
        <w:numPr>
          <w:ilvl w:val="0"/>
          <w:numId w:val="1197"/>
        </w:numPr>
        <w:pStyle w:val="Compact"/>
      </w:pPr>
      <w:r>
        <w:t xml:space="preserve">Header-based routing makes gateway enforcement practical</w:t>
      </w:r>
      <w:r>
        <w:t xml:space="preserve"> </w:t>
      </w:r>
      <w:r>
        <w:rPr>
          <w:rStyle w:val="ClaimLabel"/>
        </w:rPr>
        <w:t xml:space="preserve">VF</w:t>
      </w:r>
      <w:r>
        <w:rPr>
          <w:rStyle w:val="FootnoteReference"/>
        </w:rPr>
        <w:footnoteReference w:id="860"/>
      </w:r>
    </w:p>
    <w:p>
      <w:pPr>
        <w:numPr>
          <w:ilvl w:val="0"/>
          <w:numId w:val="1197"/>
        </w:numPr>
        <w:pStyle w:val="Compact"/>
      </w:pPr>
      <w:r>
        <w:t xml:space="preserve">EMA gives central IdP policy and one audit trail</w:t>
      </w:r>
      <w:r>
        <w:t xml:space="preserve"> </w:t>
      </w:r>
      <w:r>
        <w:rPr>
          <w:rStyle w:val="ClaimLabel"/>
        </w:rPr>
        <w:t xml:space="preserve">VF</w:t>
      </w:r>
      <w:r>
        <w:rPr>
          <w:rStyle w:val="FootnoteReference"/>
        </w:rPr>
        <w:footnoteReference w:id="861"/>
      </w:r>
    </w:p>
    <w:p>
      <w:pPr>
        <w:numPr>
          <w:ilvl w:val="0"/>
          <w:numId w:val="1197"/>
        </w:numPr>
        <w:pStyle w:val="Compact"/>
      </w:pPr>
      <w:r>
        <w:t xml:space="preserve">Hosted by AAIF (Linux Foundation) since 9 December 2025</w:t>
      </w:r>
      <w:r>
        <w:t xml:space="preserve"> </w:t>
      </w:r>
      <w:r>
        <w:rPr>
          <w:rStyle w:val="ClaimLabel"/>
        </w:rPr>
        <w:t xml:space="preserve">VF</w:t>
      </w:r>
      <w:r>
        <w:rPr>
          <w:rStyle w:val="FootnoteReference"/>
        </w:rPr>
        <w:footnoteReference w:id="862"/>
      </w:r>
    </w:p>
    <w:p>
      <w:pPr>
        <w:pStyle w:val="FirstParagraph"/>
      </w:pPr>
      <w:r>
        <w:rPr>
          <w:bCs/>
          <w:b/>
        </w:rPr>
        <w:t xml:space="preserve">Limitations and risks</w:t>
      </w:r>
    </w:p>
    <w:p>
      <w:pPr>
        <w:numPr>
          <w:ilvl w:val="0"/>
          <w:numId w:val="1198"/>
        </w:numPr>
        <w:pStyle w:val="Compact"/>
      </w:pPr>
      <w:r>
        <w:t xml:space="preserve">Authorisation is OPTIONAL in the specification</w:t>
      </w:r>
      <w:r>
        <w:t xml:space="preserve"> </w:t>
      </w:r>
      <w:r>
        <w:rPr>
          <w:rStyle w:val="ClaimLabel"/>
        </w:rPr>
        <w:t xml:space="preserve">VF</w:t>
      </w:r>
      <w:r>
        <w:rPr>
          <w:rStyle w:val="FootnoteReference"/>
        </w:rPr>
        <w:footnoteReference w:id="864"/>
      </w:r>
    </w:p>
    <w:p>
      <w:pPr>
        <w:numPr>
          <w:ilvl w:val="0"/>
          <w:numId w:val="1198"/>
        </w:numPr>
        <w:pStyle w:val="Compact"/>
      </w:pPr>
      <w:r>
        <w:t xml:space="preserve">Tool annotations are untrusted hints</w:t>
      </w:r>
      <w:r>
        <w:t xml:space="preserve"> </w:t>
      </w:r>
      <w:r>
        <w:rPr>
          <w:rStyle w:val="ClaimLabel"/>
        </w:rPr>
        <w:t xml:space="preserve">VF</w:t>
      </w:r>
      <w:r>
        <w:rPr>
          <w:rStyle w:val="FootnoteReference"/>
        </w:rPr>
        <w:footnoteReference w:id="865"/>
      </w:r>
    </w:p>
    <w:p>
      <w:pPr>
        <w:numPr>
          <w:ilvl w:val="0"/>
          <w:numId w:val="1198"/>
        </w:numPr>
        <w:pStyle w:val="Compact"/>
      </w:pPr>
      <w:r>
        <w:t xml:space="preserve">Tool poisoning: 36.5% average attack success across 20 models in MCPTox</w:t>
      </w:r>
      <w:r>
        <w:t xml:space="preserve"> </w:t>
      </w:r>
      <w:r>
        <w:rPr>
          <w:rStyle w:val="ClaimLabel"/>
        </w:rPr>
        <w:t xml:space="preserve">VF</w:t>
      </w:r>
      <w:r>
        <w:rPr>
          <w:rStyle w:val="FootnoteReference"/>
        </w:rPr>
        <w:footnoteReference w:id="867"/>
      </w:r>
      <w:r>
        <w:t xml:space="preserve">; OWASP MCP03 tool poisoning</w:t>
      </w:r>
      <w:r>
        <w:t xml:space="preserve"> </w:t>
      </w:r>
      <w:r>
        <w:rPr>
          <w:rStyle w:val="ClaimLabel"/>
        </w:rPr>
        <w:t xml:space="preserve">VF</w:t>
      </w:r>
      <w:r>
        <w:rPr>
          <w:rStyle w:val="FootnoteReference"/>
        </w:rPr>
        <w:footnoteReference w:id="868"/>
      </w:r>
    </w:p>
    <w:p>
      <w:pPr>
        <w:numPr>
          <w:ilvl w:val="0"/>
          <w:numId w:val="1198"/>
        </w:numPr>
        <w:pStyle w:val="Compact"/>
      </w:pPr>
      <w:r>
        <w:t xml:space="preserve">IDE clients (including Claude Code) had high-severity auto-execution issues</w:t>
      </w:r>
      <w:r>
        <w:t xml:space="preserve"> </w:t>
      </w:r>
      <w:r>
        <w:rPr>
          <w:rStyle w:val="ClaimLabel"/>
        </w:rPr>
        <w:t xml:space="preserve">R</w:t>
      </w:r>
      <w:r>
        <w:rPr>
          <w:rStyle w:val="FootnoteReference"/>
        </w:rPr>
        <w:footnoteReference w:id="870"/>
      </w:r>
    </w:p>
    <w:p>
      <w:pPr>
        <w:numPr>
          <w:ilvl w:val="0"/>
          <w:numId w:val="1198"/>
        </w:numPr>
        <w:pStyle w:val="Compact"/>
      </w:pPr>
      <w:r>
        <w:t xml:space="preserve">Both Lead Maintainers are Anthropic staff; AAIF does not set technical direction</w:t>
      </w:r>
      <w:r>
        <w:t xml:space="preserve"> </w:t>
      </w:r>
      <w:r>
        <w:rPr>
          <w:rStyle w:val="ClaimLabel"/>
        </w:rPr>
        <w:t xml:space="preserve">VF</w:t>
      </w:r>
      <w:r>
        <w:rPr>
          <w:rStyle w:val="FootnoteReference"/>
        </w:rPr>
        <w:footnoteReference w:id="872"/>
      </w:r>
    </w:p>
    <w:p>
      <w:pPr>
        <w:numPr>
          <w:ilvl w:val="0"/>
          <w:numId w:val="1198"/>
        </w:numPr>
        <w:pStyle w:val="Compact"/>
      </w:pPr>
      <w:r>
        <w:t xml:space="preserve">Official Registry still preview, API v0.1, denylist moderation</w:t>
      </w:r>
      <w:r>
        <w:t xml:space="preserve"> </w:t>
      </w:r>
      <w:r>
        <w:rPr>
          <w:rStyle w:val="ClaimLabel"/>
        </w:rPr>
        <w:t xml:space="preserve">VF</w:t>
      </w:r>
      <w:r>
        <w:rPr>
          <w:rStyle w:val="FootnoteReference"/>
        </w:rPr>
        <w:footnoteReference w:id="873"/>
      </w:r>
    </w:p>
    <w:p>
      <w:pPr>
        <w:numPr>
          <w:ilvl w:val="0"/>
          <w:numId w:val="1198"/>
        </w:numPr>
        <w:pStyle w:val="Compact"/>
      </w:pPr>
      <w:r>
        <w:t xml:space="preserve">2026-07-28 contained breaking changes and deprecations (Roots, Sampling, Logging, DCR)</w:t>
      </w:r>
      <w:r>
        <w:t xml:space="preserve"> </w:t>
      </w:r>
      <w:r>
        <w:rPr>
          <w:rStyle w:val="ClaimLabel"/>
        </w:rPr>
        <w:t xml:space="preserve">VF</w:t>
      </w:r>
      <w:r>
        <w:rPr>
          <w:rStyle w:val="FootnoteReference"/>
        </w:rPr>
        <w:footnoteReference w:id="876"/>
      </w:r>
    </w:p>
    <w:p>
      <w:pPr>
        <w:numPr>
          <w:ilvl w:val="0"/>
          <w:numId w:val="1198"/>
        </w:numPr>
        <w:pStyle w:val="Compact"/>
      </w:pPr>
      <w:r>
        <w:t xml:space="preserve">2026 TypeScript SDK advisories include GHSA-6qxp-vccf-f47h (High: OAuth credentials sent to a server-chosen authorisation server; the fix also needs expectedIssuer configured), GHSA-22jm-h49p-29qw (High) and CVE-2026-25536 (High)</w:t>
      </w:r>
      <w:r>
        <w:t xml:space="preserve"> </w:t>
      </w:r>
      <w:r>
        <w:rPr>
          <w:rStyle w:val="ClaimLabel"/>
        </w:rPr>
        <w:t xml:space="preserve">VF</w:t>
      </w:r>
      <w:r>
        <w:rPr>
          <w:rStyle w:val="FootnoteReference"/>
        </w:rPr>
        <w:footnoteReference w:id="877"/>
      </w:r>
    </w:p>
    <w:p>
      <w:pPr>
        <w:pStyle w:val="FirstParagraph"/>
      </w:pPr>
      <w:r>
        <w:rPr>
          <w:bCs/>
          <w:b/>
        </w:rPr>
        <w:t xml:space="preserve">Choose when</w:t>
      </w:r>
    </w:p>
    <w:p>
      <w:pPr>
        <w:numPr>
          <w:ilvl w:val="0"/>
          <w:numId w:val="1199"/>
        </w:numPr>
        <w:pStyle w:val="Compact"/>
      </w:pPr>
      <w:r>
        <w:t xml:space="preserve">One tool contract is needed across several agent frameworks and model vendors</w:t>
      </w:r>
      <w:r>
        <w:t xml:space="preserve"> </w:t>
      </w:r>
      <w:r>
        <w:rPr>
          <w:rStyle w:val="ClaimLabel"/>
        </w:rPr>
        <w:t xml:space="preserve">AJ</w:t>
      </w:r>
    </w:p>
    <w:p>
      <w:pPr>
        <w:pStyle w:val="FirstParagraph"/>
      </w:pPr>
      <w:r>
        <w:rPr>
          <w:bCs/>
          <w:b/>
        </w:rPr>
        <w:t xml:space="preserve">Avoid when</w:t>
      </w:r>
    </w:p>
    <w:p>
      <w:pPr>
        <w:numPr>
          <w:ilvl w:val="0"/>
          <w:numId w:val="1200"/>
        </w:numPr>
        <w:pStyle w:val="Compact"/>
      </w:pPr>
      <w:r>
        <w:t xml:space="preserve">Clients would connect directly to third-party servers without a gateway, private registry and pinned definitions</w:t>
      </w:r>
      <w:r>
        <w:t xml:space="preserve"> </w:t>
      </w:r>
      <w:r>
        <w:rPr>
          <w:rStyle w:val="ClaimLabel"/>
        </w:rPr>
        <w:t xml:space="preserve">AJ</w:t>
      </w:r>
    </w:p>
    <w:p>
      <w:pPr>
        <w:pStyle w:val="FirstParagraph"/>
      </w:pPr>
      <w:r>
        <w:rPr>
          <w:bCs/>
          <w:b/>
        </w:rPr>
        <w:t xml:space="preserve">Nearest competitors:</w:t>
      </w:r>
      <w:r>
        <w:t xml:space="preserve"> </w:t>
      </w:r>
      <w:r>
        <w:t xml:space="preserve">OpenAPI tool definitions via gateway, L4-a2a, L4-aws-agentcore-gateway-identity</w:t>
      </w:r>
    </w:p>
    <w:p>
      <w:pPr>
        <w:pStyle w:val="BodyText"/>
      </w:pPr>
      <w:r>
        <w:rPr>
          <w:bCs/>
          <w:b/>
        </w:rPr>
        <w:t xml:space="preserve">Regulated-FS note.</w:t>
      </w:r>
      <w:r>
        <w:t xml:space="preserve"> </w:t>
      </w:r>
      <w:r>
        <w:t xml:space="preserve">Adopt the protocol, not the public ecosystem: internal servers behind a firm-owned gateway with authorisation mandatory and definitions hash-pinned; independent alternative is OpenAPI-described tools exposed through a gateway</w:t>
      </w:r>
      <w:r>
        <w:t xml:space="preserve"> </w:t>
      </w:r>
      <w:r>
        <w:rPr>
          <w:rStyle w:val="ClaimLabel"/>
        </w:rPr>
        <w:t xml:space="preserve">Rec</w:t>
      </w:r>
      <w:r>
        <w:t xml:space="preserve">.</w:t>
      </w:r>
    </w:p>
    <w:p>
      <w:pPr>
        <w:pStyle w:val="BodyText"/>
      </w:pPr>
      <w:r>
        <w:rPr>
          <w:bCs/>
          <w:b/>
        </w:rPr>
        <w:t xml:space="preserve">Facts (as of 2026-10-08)</w:t>
      </w:r>
    </w:p>
    <w:tbl>
      <w:tblPr>
        <w:tblStyle w:val="Table"/>
        <w:tblW w:type="pct" w:w="5000"/>
        <w:tblLook w:firstRow="1" w:lastRow="0" w:firstColumn="0" w:lastColumn="0" w:noHBand="0" w:noVBand="0" w:val="0020"/>
        <w:jc w:val="start"/>
      </w:tblPr>
      <w:tblGrid>
        <w:gridCol w:w="1485"/>
        <w:gridCol w:w="4290"/>
        <w:gridCol w:w="1320"/>
        <w:gridCol w:w="825"/>
      </w:tblGrid>
      <w:tr>
        <w:trPr>
          <w:tblHeader w:val="true"/>
        </w:trPr>
        <w:tc>
          <w:tcPr/>
          <w:p>
            <w:pPr>
              <w:pStyle w:val="Compact"/>
              <w:jc w:val="left"/>
            </w:pPr>
            <w:r>
              <w:t xml:space="preserve">Field</w:t>
            </w:r>
          </w:p>
        </w:tc>
        <w:tc>
          <w:tcPr/>
          <w:p>
            <w:pPr>
              <w:pStyle w:val="Compact"/>
              <w:jc w:val="left"/>
            </w:pPr>
            <w:r>
              <w:t xml:space="preserve">Value</w:t>
            </w:r>
          </w:p>
        </w:tc>
        <w:tc>
          <w:tcPr/>
          <w:p>
            <w:pPr>
              <w:pStyle w:val="Compact"/>
              <w:jc w:val="left"/>
            </w:pPr>
            <w:r>
              <w:t xml:space="preserve">Label</w:t>
            </w:r>
          </w:p>
        </w:tc>
        <w:tc>
          <w:tcPr/>
          <w:p>
            <w:pPr>
              <w:pStyle w:val="Compact"/>
              <w:jc w:val="left"/>
            </w:pPr>
            <w:r>
              <w:t xml:space="preserve">Sources</w:t>
            </w:r>
          </w:p>
        </w:tc>
      </w:tr>
      <w:tr>
        <w:tc>
          <w:tcPr/>
          <w:p>
            <w:pPr>
              <w:pStyle w:val="Compact"/>
              <w:jc w:val="left"/>
            </w:pPr>
            <w:r>
              <w:t xml:space="preserve">Company</w:t>
            </w:r>
          </w:p>
        </w:tc>
        <w:tc>
          <w:tcPr/>
          <w:p>
            <w:pPr>
              <w:pStyle w:val="Compact"/>
              <w:jc w:val="left"/>
            </w:pPr>
            <w:r>
              <w:t xml:space="preserve">Open-source project hosted by the Agentic AI Foundation (AAIF), a directed fund under the Linux Foundation; originated at Anthropic (created by David Soria Parra and Justin Spahr-Summers) and donated on 9 December 2025</w:t>
            </w:r>
          </w:p>
        </w:tc>
        <w:tc>
          <w:tcPr/>
          <w:p>
            <w:pPr>
              <w:pStyle w:val="Compact"/>
              <w:jc w:val="left"/>
            </w:pPr>
            <w:r>
              <w:t xml:space="preserve">Verified fact</w:t>
            </w:r>
          </w:p>
        </w:tc>
        <w:tc>
          <w:tcPr/>
          <w:p>
            <w:pPr>
              <w:pStyle w:val="Compact"/>
              <w:jc w:val="left"/>
            </w:pPr>
            <w:r>
              <w:t xml:space="preserve">A3-S018, A3-S058, V1-S038</w:t>
            </w:r>
          </w:p>
        </w:tc>
      </w:tr>
      <w:tr>
        <w:tc>
          <w:tcPr/>
          <w:p>
            <w:pPr>
              <w:pStyle w:val="Compact"/>
              <w:jc w:val="left"/>
            </w:pPr>
            <w:r>
              <w:t xml:space="preserve">Category</w:t>
            </w:r>
          </w:p>
        </w:tc>
        <w:tc>
          <w:tcPr/>
          <w:p>
            <w:pPr>
              <w:pStyle w:val="Compact"/>
              <w:jc w:val="left"/>
            </w:pPr>
            <w:r>
              <w:t xml:space="preserve">Open protocol specification for connecting agents/LLM applications to tools, resources and prompts</w:t>
            </w:r>
          </w:p>
        </w:tc>
        <w:tc>
          <w:tcPr/>
          <w:p>
            <w:pPr>
              <w:pStyle w:val="Compact"/>
              <w:jc w:val="left"/>
            </w:pPr>
            <w:r>
              <w:t xml:space="preserve">Verified fact</w:t>
            </w:r>
          </w:p>
        </w:tc>
        <w:tc>
          <w:tcPr/>
          <w:p>
            <w:pPr>
              <w:pStyle w:val="Compact"/>
              <w:jc w:val="left"/>
            </w:pPr>
            <w:r>
              <w:t xml:space="preserve">A3-S058, A3-S015</w:t>
            </w:r>
          </w:p>
        </w:tc>
      </w:tr>
      <w:tr>
        <w:tc>
          <w:tcPr/>
          <w:p>
            <w:pPr>
              <w:pStyle w:val="Compact"/>
              <w:jc w:val="left"/>
            </w:pPr>
            <w:r>
              <w:t xml:space="preserve">Version / lineup</w:t>
            </w:r>
          </w:p>
        </w:tc>
        <w:tc>
          <w:tcPr/>
          <w:p>
            <w:pPr>
              <w:pStyle w:val="Compact"/>
              <w:jc w:val="left"/>
            </w:pPr>
            <w:r>
              <w:t xml:space="preserve">Specification 2026-07-28 (released 28 July 2026; previous 2025-11-25). Tier 1 SDKs: TypeScript, Python, Go, C#; Python</w:t>
            </w:r>
            <w:r>
              <w:t xml:space="preserve"> </w:t>
            </w:r>
            <w:r>
              <w:t xml:space="preserve">‘</w:t>
            </w:r>
            <w:r>
              <w:t xml:space="preserve">mcp</w:t>
            </w:r>
            <w:r>
              <w:t xml:space="preserve">’</w:t>
            </w:r>
            <w:r>
              <w:t xml:space="preserve"> </w:t>
            </w:r>
            <w:r>
              <w:t xml:space="preserve">2.3.0 (2 October 2026); TypeScript</w:t>
            </w:r>
            <w:r>
              <w:t xml:space="preserve"> </w:t>
            </w:r>
            <w:r>
              <w:t xml:space="preserve">‘</w:t>
            </w:r>
            <w:r>
              <w:t xml:space="preserve">@modelcontextprotocol/sdk</w:t>
            </w:r>
            <w:r>
              <w:t xml:space="preserve">’</w:t>
            </w:r>
            <w:r>
              <w:t xml:space="preserve"> </w:t>
            </w:r>
            <w:r>
              <w:t xml:space="preserve">1.32.1 (5 October 2026)</w:t>
            </w:r>
          </w:p>
        </w:tc>
        <w:tc>
          <w:tcPr/>
          <w:p>
            <w:pPr>
              <w:pStyle w:val="Compact"/>
              <w:jc w:val="left"/>
            </w:pPr>
            <w:r>
              <w:t xml:space="preserve">Verified fact</w:t>
            </w:r>
          </w:p>
        </w:tc>
        <w:tc>
          <w:tcPr/>
          <w:p>
            <w:pPr>
              <w:pStyle w:val="Compact"/>
              <w:jc w:val="left"/>
            </w:pPr>
            <w:r>
              <w:t xml:space="preserve">A3-S015, A3-S057, A3-S011, A3-S074, V1-S037</w:t>
            </w:r>
          </w:p>
        </w:tc>
      </w:tr>
      <w:tr>
        <w:tc>
          <w:tcPr/>
          <w:p>
            <w:pPr>
              <w:pStyle w:val="Compact"/>
              <w:jc w:val="left"/>
            </w:pPr>
            <w:r>
              <w:t xml:space="preserve">Licence</w:t>
            </w:r>
          </w:p>
        </w:tc>
        <w:tc>
          <w:tcPr/>
          <w:p>
            <w:pPr>
              <w:pStyle w:val="Compact"/>
              <w:jc w:val="left"/>
            </w:pPr>
            <w:r>
              <w:t xml:space="preserve">Open specification; specification repository and SDKs MIT-licensed</w:t>
            </w:r>
          </w:p>
        </w:tc>
        <w:tc>
          <w:tcPr/>
          <w:p>
            <w:pPr>
              <w:pStyle w:val="Compact"/>
              <w:jc w:val="left"/>
            </w:pPr>
            <w:r>
              <w:t xml:space="preserve">Verified fact</w:t>
            </w:r>
          </w:p>
        </w:tc>
        <w:tc>
          <w:tcPr/>
          <w:p>
            <w:pPr>
              <w:pStyle w:val="Compact"/>
              <w:jc w:val="left"/>
            </w:pPr>
            <w:r>
              <w:t xml:space="preserve">A3-S058, A3-S011, A3-S074</w:t>
            </w:r>
          </w:p>
        </w:tc>
      </w:tr>
      <w:tr>
        <w:tc>
          <w:tcPr/>
          <w:p>
            <w:pPr>
              <w:pStyle w:val="Compact"/>
              <w:jc w:val="left"/>
            </w:pPr>
            <w:r>
              <w:t xml:space="preserve">Status events</w:t>
            </w:r>
          </w:p>
        </w:tc>
        <w:tc>
          <w:tcPr/>
          <w:p>
            <w:pPr>
              <w:pStyle w:val="Compact"/>
              <w:jc w:val="left"/>
            </w:pPr>
            <w:r>
              <w:t xml:space="preserve">9 December 2025: donated by Anthropic to the Agentic AI Foundation (Linux Foundation); maintainer structure unchanged; 8 September 2025: official MCP Registry launched in preview; API frozen at v0.1 (24 October 2025); Registry working-group charter lists</w:t>
            </w:r>
            <w:r>
              <w:t xml:space="preserve"> </w:t>
            </w:r>
            <w:r>
              <w:t xml:space="preserve">‘</w:t>
            </w:r>
            <w:r>
              <w:t xml:space="preserve">Registry API v1 GA</w:t>
            </w:r>
            <w:r>
              <w:t xml:space="preserve">’</w:t>
            </w:r>
            <w:r>
              <w:t xml:space="preserve"> </w:t>
            </w:r>
            <w:r>
              <w:t xml:space="preserve">as Ideating with no target date; /v0.1 live and /v1 absent on 7 October 2026; 18 June 2026: Enterprise-Managed Authorization extension declared stable; 28 July 2026: spec 2026-07-28 removes sessions and the initialize handshake (stateless core), adds Multi Round-Trip Requests, header-based routing, cacheable lists, extensi</w:t>
            </w:r>
          </w:p>
        </w:tc>
        <w:tc>
          <w:tcPr/>
          <w:p>
            <w:pPr>
              <w:pStyle w:val="Compact"/>
              <w:jc w:val="left"/>
            </w:pPr>
            <w:r>
              <w:t xml:space="preserve">Verified fact</w:t>
            </w:r>
          </w:p>
        </w:tc>
        <w:tc>
          <w:tcPr/>
          <w:p>
            <w:pPr>
              <w:pStyle w:val="Compact"/>
              <w:jc w:val="left"/>
            </w:pPr>
            <w:r>
              <w:t xml:space="preserve">A3-S015, A3-S017, A3-S018, A3-S019, A3-S036, A3-S042, A3-S057, A3-S082, A3-S114, V1-S037, V1-S038, V1-S045</w:t>
            </w:r>
          </w:p>
        </w:tc>
      </w:tr>
      <w:tr>
        <w:tc>
          <w:tcPr/>
          <w:p>
            <w:pPr>
              <w:pStyle w:val="Compact"/>
              <w:jc w:val="left"/>
            </w:pPr>
            <w:r>
              <w:t xml:space="preserve">Strategic direction</w:t>
            </w:r>
          </w:p>
        </w:tc>
        <w:tc>
          <w:tcPr/>
          <w:p>
            <w:pPr>
              <w:pStyle w:val="Compact"/>
              <w:jc w:val="left"/>
            </w:pPr>
            <w:r>
              <w:t xml:space="preserve">Roadmap (22 August 2026): agentic messaging primitives (server-initiated events, Tasks), HTTP-native transport unification, agent identity and enterprise security (DPoP, Workload Identity Federation, ID-JAG, token exchange; engagement with IETF OAuth and WIMSE), progressive tool discovery for large catalogues, SDK conformance</w:t>
            </w:r>
          </w:p>
        </w:tc>
        <w:tc>
          <w:tcPr/>
          <w:p>
            <w:pPr>
              <w:pStyle w:val="Compact"/>
              <w:jc w:val="left"/>
            </w:pPr>
            <w:r>
              <w:t xml:space="preserve">Verified fact</w:t>
            </w:r>
          </w:p>
        </w:tc>
        <w:tc>
          <w:tcPr/>
          <w:p>
            <w:pPr>
              <w:pStyle w:val="Compact"/>
              <w:jc w:val="left"/>
            </w:pPr>
            <w:r>
              <w:t xml:space="preserve">A3-S016</w:t>
            </w:r>
          </w:p>
        </w:tc>
      </w:tr>
      <w:tr>
        <w:tc>
          <w:tcPr/>
          <w:p>
            <w:pPr>
              <w:pStyle w:val="Compact"/>
              <w:jc w:val="left"/>
            </w:pPr>
            <w:r>
              <w:t xml:space="preserve">What it does</w:t>
            </w:r>
          </w:p>
        </w:tc>
        <w:tc>
          <w:tcPr/>
          <w:p>
            <w:pPr>
              <w:pStyle w:val="Compact"/>
              <w:jc w:val="left"/>
            </w:pPr>
            <w:r>
              <w:t xml:space="preserve">Defines how clients (agent hosts) discover and call server-exposed tools, resources and prompts over JSON-RPC; as of 2026-07-28 each request is self-describing and stateless, with optional server/discover, and long-running work via the Tasks extension</w:t>
            </w:r>
          </w:p>
        </w:tc>
        <w:tc>
          <w:tcPr/>
          <w:p>
            <w:pPr>
              <w:pStyle w:val="Compact"/>
              <w:jc w:val="left"/>
            </w:pPr>
            <w:r>
              <w:t xml:space="preserve">Verified fact</w:t>
            </w:r>
          </w:p>
        </w:tc>
        <w:tc>
          <w:tcPr/>
          <w:p>
            <w:pPr>
              <w:pStyle w:val="Compact"/>
              <w:jc w:val="left"/>
            </w:pPr>
            <w:r>
              <w:t xml:space="preserve">A3-S015, A3-S057</w:t>
            </w:r>
          </w:p>
        </w:tc>
      </w:tr>
      <w:tr>
        <w:tc>
          <w:tcPr/>
          <w:p>
            <w:pPr>
              <w:pStyle w:val="Compact"/>
              <w:jc w:val="left"/>
            </w:pPr>
            <w:r>
              <w:t xml:space="preserve">Stack position</w:t>
            </w:r>
          </w:p>
        </w:tc>
        <w:tc>
          <w:tcPr/>
          <w:p>
            <w:pPr>
              <w:pStyle w:val="Compact"/>
              <w:jc w:val="left"/>
            </w:pPr>
            <w:r>
              <w:t xml:space="preserve">L4 connectivity standard; the 2026-07-28 release puts method and tool names in Mcp-Method/Mcp-Name HTTP headers so gateways, rate limiters and WAFs can route and authorise without parsing bodies</w:t>
            </w:r>
          </w:p>
        </w:tc>
        <w:tc>
          <w:tcPr/>
          <w:p>
            <w:pPr>
              <w:pStyle w:val="Compact"/>
              <w:jc w:val="left"/>
            </w:pPr>
            <w:r>
              <w:t xml:space="preserve">Verified fact</w:t>
            </w:r>
          </w:p>
        </w:tc>
        <w:tc>
          <w:tcPr/>
          <w:p>
            <w:pPr>
              <w:pStyle w:val="Compact"/>
              <w:jc w:val="left"/>
            </w:pPr>
            <w:r>
              <w:t xml:space="preserve">A3-S015</w:t>
            </w:r>
          </w:p>
        </w:tc>
      </w:tr>
      <w:tr>
        <w:tc>
          <w:tcPr/>
          <w:p>
            <w:pPr>
              <w:pStyle w:val="Compact"/>
              <w:jc w:val="left"/>
            </w:pPr>
            <w:r>
              <w:t xml:space="preserve">Integration</w:t>
            </w:r>
          </w:p>
        </w:tc>
        <w:tc>
          <w:tcPr/>
          <w:p>
            <w:pPr>
              <w:pStyle w:val="Compact"/>
              <w:jc w:val="left"/>
            </w:pPr>
            <w:r>
              <w:t xml:space="preserve">Open protocol with official SDKs (TypeScript, Python, Go, C# Tier 1; Rust beta); first-class client support reported in ChatGPT, Claude, Cursor, Gemini, Microsoft Copilot and VS Code (December 2025)</w:t>
            </w:r>
          </w:p>
        </w:tc>
        <w:tc>
          <w:tcPr/>
          <w:p>
            <w:pPr>
              <w:pStyle w:val="Compact"/>
              <w:jc w:val="left"/>
            </w:pPr>
            <w:r>
              <w:t xml:space="preserve">Verified fact</w:t>
            </w:r>
          </w:p>
        </w:tc>
        <w:tc>
          <w:tcPr/>
          <w:p>
            <w:pPr>
              <w:pStyle w:val="Compact"/>
              <w:jc w:val="left"/>
            </w:pPr>
            <w:r>
              <w:t xml:space="preserve">A3-S015, A3-S018</w:t>
            </w:r>
          </w:p>
        </w:tc>
      </w:tr>
      <w:tr>
        <w:tc>
          <w:tcPr/>
          <w:p>
            <w:pPr>
              <w:pStyle w:val="Compact"/>
              <w:jc w:val="left"/>
            </w:pPr>
            <w:r>
              <w:t xml:space="preserve">Dependencies</w:t>
            </w:r>
          </w:p>
        </w:tc>
        <w:tc>
          <w:tcPr/>
          <w:p>
            <w:pPr>
              <w:pStyle w:val="Compact"/>
              <w:jc w:val="left"/>
            </w:pPr>
            <w:r>
              <w:t xml:space="preserve">Transports stdio and Streamable HTTP; remote authorisation relies on an external OAuth 2.1 authorisation server</w:t>
            </w:r>
          </w:p>
        </w:tc>
        <w:tc>
          <w:tcPr/>
          <w:p>
            <w:pPr>
              <w:pStyle w:val="Compact"/>
              <w:jc w:val="left"/>
            </w:pPr>
            <w:r>
              <w:t xml:space="preserve">Verified fact</w:t>
            </w:r>
          </w:p>
        </w:tc>
        <w:tc>
          <w:tcPr/>
          <w:p>
            <w:pPr>
              <w:pStyle w:val="Compact"/>
              <w:jc w:val="left"/>
            </w:pPr>
            <w:r>
              <w:t xml:space="preserve">A3-S055, A3-S057</w:t>
            </w:r>
          </w:p>
        </w:tc>
      </w:tr>
      <w:tr>
        <w:tc>
          <w:tcPr/>
          <w:p>
            <w:pPr>
              <w:pStyle w:val="Compact"/>
              <w:jc w:val="left"/>
            </w:pPr>
            <w:r>
              <w:t xml:space="preserve">Certifications</w:t>
            </w:r>
          </w:p>
        </w:tc>
        <w:tc>
          <w:tcPr/>
          <w:p>
            <w:pPr>
              <w:pStyle w:val="Compact"/>
              <w:jc w:val="left"/>
            </w:pPr>
            <w:r>
              <w:t xml:space="preserve">Not applicable (open specification)</w:t>
            </w:r>
          </w:p>
        </w:tc>
        <w:tc>
          <w:tcPr/>
          <w:p>
            <w:pPr>
              <w:pStyle w:val="Compact"/>
              <w:jc w:val="left"/>
            </w:pPr>
            <w:r>
              <w:t xml:space="preserve">Architectural judgement</w:t>
            </w:r>
          </w:p>
        </w:tc>
        <w:tc>
          <w:tcPr/>
          <w:p>
            <w:pPr>
              <w:pStyle w:val="Compact"/>
            </w:pPr>
          </w:p>
        </w:tc>
      </w:tr>
      <w:tr>
        <w:tc>
          <w:tcPr/>
          <w:p>
            <w:pPr>
              <w:pStyle w:val="Compact"/>
              <w:jc w:val="left"/>
            </w:pPr>
            <w:r>
              <w:t xml:space="preserve">GDPR / residency</w:t>
            </w:r>
          </w:p>
        </w:tc>
        <w:tc>
          <w:tcPr/>
          <w:p>
            <w:pPr>
              <w:pStyle w:val="Compact"/>
              <w:jc w:val="left"/>
            </w:pPr>
            <w:r>
              <w:t xml:space="preserve">Not applicable (open specification)</w:t>
            </w:r>
          </w:p>
        </w:tc>
        <w:tc>
          <w:tcPr/>
          <w:p>
            <w:pPr>
              <w:pStyle w:val="Compact"/>
              <w:jc w:val="left"/>
            </w:pPr>
            <w:r>
              <w:t xml:space="preserve">Architectural judgement</w:t>
            </w:r>
          </w:p>
        </w:tc>
        <w:tc>
          <w:tcPr/>
          <w:p>
            <w:pPr>
              <w:pStyle w:val="Compact"/>
            </w:pPr>
          </w:p>
        </w:tc>
      </w:tr>
      <w:tr>
        <w:tc>
          <w:tcPr/>
          <w:p>
            <w:pPr>
              <w:pStyle w:val="Compact"/>
              <w:jc w:val="left"/>
            </w:pPr>
            <w:r>
              <w:t xml:space="preserve">Security features</w:t>
            </w:r>
          </w:p>
        </w:tc>
        <w:tc>
          <w:tcPr/>
          <w:p>
            <w:pPr>
              <w:pStyle w:val="Compact"/>
              <w:jc w:val="left"/>
            </w:pPr>
            <w:r>
              <w:t xml:space="preserve">Authorisation is OPTIONAL. When used: OAuth 2.1 (draft-13) with PKCE; servers MUST publish Protected Resource Metadata (RFC 9728); clients MUST send Resource Indicators (RFC 8707); servers MUST validate token audience; token passthrough forbidden; RFC 9207 issuer validation; DCR deprecated for Client ID Metadata Documents. Tool annotations are untrusted hints</w:t>
            </w:r>
          </w:p>
        </w:tc>
        <w:tc>
          <w:tcPr/>
          <w:p>
            <w:pPr>
              <w:pStyle w:val="Compact"/>
              <w:jc w:val="left"/>
            </w:pPr>
            <w:r>
              <w:t xml:space="preserve">Verified fact</w:t>
            </w:r>
          </w:p>
        </w:tc>
        <w:tc>
          <w:tcPr/>
          <w:p>
            <w:pPr>
              <w:pStyle w:val="Compact"/>
              <w:jc w:val="left"/>
            </w:pPr>
            <w:r>
              <w:t xml:space="preserve">A3-S055, A3-S056, A3-S057, A3-S020</w:t>
            </w:r>
          </w:p>
        </w:tc>
      </w:tr>
      <w:tr>
        <w:tc>
          <w:tcPr/>
          <w:p>
            <w:pPr>
              <w:pStyle w:val="Compact"/>
              <w:jc w:val="left"/>
            </w:pPr>
            <w:r>
              <w:t xml:space="preserve">Access controls</w:t>
            </w:r>
          </w:p>
        </w:tc>
        <w:tc>
          <w:tcPr/>
          <w:p>
            <w:pPr>
              <w:pStyle w:val="Compact"/>
              <w:jc w:val="left"/>
            </w:pPr>
            <w:r>
              <w:t xml:space="preserve">Enterprise-Managed Authorization extension (stable 18 June 2026): IdP issues an Identity Assertion JWT Authorization Grant (ID-JAG) exchanged for MCP access tokens, giving central policy and audit; Okta (Cross App Access) first IdP; adopted by Anthropic clients, VS Code and servers incl. Asana, Atlassian, Canva, Figma, Linear and Supabase</w:t>
            </w:r>
          </w:p>
        </w:tc>
        <w:tc>
          <w:tcPr/>
          <w:p>
            <w:pPr>
              <w:pStyle w:val="Compact"/>
              <w:jc w:val="left"/>
            </w:pPr>
            <w:r>
              <w:t xml:space="preserve">Verified fact</w:t>
            </w:r>
          </w:p>
        </w:tc>
        <w:tc>
          <w:tcPr/>
          <w:p>
            <w:pPr>
              <w:pStyle w:val="Compact"/>
              <w:jc w:val="left"/>
            </w:pPr>
            <w:r>
              <w:t xml:space="preserve">A3-S017</w:t>
            </w:r>
          </w:p>
        </w:tc>
      </w:tr>
      <w:tr>
        <w:tc>
          <w:tcPr/>
          <w:p>
            <w:pPr>
              <w:pStyle w:val="Compact"/>
              <w:jc w:val="left"/>
            </w:pPr>
            <w:r>
              <w:t xml:space="preserve">Enterprise support</w:t>
            </w:r>
          </w:p>
        </w:tc>
        <w:tc>
          <w:tcPr/>
          <w:p>
            <w:pPr>
              <w:pStyle w:val="Compact"/>
              <w:jc w:val="left"/>
            </w:pPr>
            <w:r>
              <w:t xml:space="preserve">Not applicable (community specification); support comes from implementers</w:t>
            </w:r>
          </w:p>
        </w:tc>
        <w:tc>
          <w:tcPr/>
          <w:p>
            <w:pPr>
              <w:pStyle w:val="Compact"/>
              <w:jc w:val="left"/>
            </w:pPr>
            <w:r>
              <w:t xml:space="preserve">Architectural judgement</w:t>
            </w:r>
          </w:p>
        </w:tc>
        <w:tc>
          <w:tcPr/>
          <w:p>
            <w:pPr>
              <w:pStyle w:val="Compact"/>
            </w:pPr>
          </w:p>
        </w:tc>
      </w:tr>
      <w:tr>
        <w:tc>
          <w:tcPr/>
          <w:p>
            <w:pPr>
              <w:pStyle w:val="Compact"/>
              <w:jc w:val="left"/>
            </w:pPr>
            <w:r>
              <w:t xml:space="preserve">Pricing</w:t>
            </w:r>
          </w:p>
        </w:tc>
        <w:tc>
          <w:tcPr/>
          <w:p>
            <w:pPr>
              <w:pStyle w:val="Compact"/>
              <w:jc w:val="left"/>
            </w:pPr>
            <w:r>
              <w:t xml:space="preserve">Free open specification and SDKs</w:t>
            </w:r>
          </w:p>
        </w:tc>
        <w:tc>
          <w:tcPr/>
          <w:p>
            <w:pPr>
              <w:pStyle w:val="Compact"/>
              <w:jc w:val="left"/>
            </w:pPr>
            <w:r>
              <w:t xml:space="preserve">Verified fact</w:t>
            </w:r>
          </w:p>
        </w:tc>
        <w:tc>
          <w:tcPr/>
          <w:p>
            <w:pPr>
              <w:pStyle w:val="Compact"/>
              <w:jc w:val="left"/>
            </w:pPr>
            <w:r>
              <w:t xml:space="preserve">A3-S058, A3-S011</w:t>
            </w:r>
          </w:p>
        </w:tc>
      </w:tr>
      <w:tr>
        <w:tc>
          <w:tcPr/>
          <w:p>
            <w:pPr>
              <w:pStyle w:val="Compact"/>
              <w:jc w:val="left"/>
            </w:pPr>
            <w:r>
              <w:t xml:space="preserve">Infrastructure cost</w:t>
            </w:r>
          </w:p>
        </w:tc>
        <w:tc>
          <w:tcPr/>
          <w:p>
            <w:pPr>
              <w:pStyle w:val="Compact"/>
              <w:jc w:val="left"/>
            </w:pPr>
            <w:r>
              <w:t xml:space="preserve">Cost lies in hosting MCP servers, gateways and the authorisation server</w:t>
            </w:r>
          </w:p>
        </w:tc>
        <w:tc>
          <w:tcPr/>
          <w:p>
            <w:pPr>
              <w:pStyle w:val="Compact"/>
              <w:jc w:val="left"/>
            </w:pPr>
            <w:r>
              <w:t xml:space="preserve">Architectural judgement</w:t>
            </w:r>
          </w:p>
        </w:tc>
        <w:tc>
          <w:tcPr/>
          <w:p>
            <w:pPr>
              <w:pStyle w:val="Compact"/>
            </w:pPr>
          </w:p>
        </w:tc>
      </w:tr>
      <w:tr>
        <w:tc>
          <w:tcPr/>
          <w:p>
            <w:pPr>
              <w:pStyle w:val="Compact"/>
              <w:jc w:val="left"/>
            </w:pPr>
            <w:r>
              <w:t xml:space="preserve">Ecosystem</w:t>
            </w:r>
          </w:p>
        </w:tc>
        <w:tc>
          <w:tcPr/>
          <w:p>
            <w:pPr>
              <w:pStyle w:val="Compact"/>
              <w:jc w:val="left"/>
            </w:pPr>
            <w:r>
              <w:t xml:space="preserve">Launch partners for 2026-07-28 include AWS (AgentCore; Tasks extension contributed by AWS), Cloudflare, Google Cloud, Microsoft Foundry, Figma, Netlify, Supabase, Honeycomb, FastMCP/Horizon and Runlayer; official Registry with public and private sub-registries</w:t>
            </w:r>
          </w:p>
        </w:tc>
        <w:tc>
          <w:tcPr/>
          <w:p>
            <w:pPr>
              <w:pStyle w:val="Compact"/>
              <w:jc w:val="left"/>
            </w:pPr>
            <w:r>
              <w:t xml:space="preserve">Verified fact</w:t>
            </w:r>
          </w:p>
        </w:tc>
        <w:tc>
          <w:tcPr/>
          <w:p>
            <w:pPr>
              <w:pStyle w:val="Compact"/>
              <w:jc w:val="left"/>
            </w:pPr>
            <w:r>
              <w:t xml:space="preserve">A3-S015, A3-S019</w:t>
            </w:r>
          </w:p>
        </w:tc>
      </w:tr>
      <w:tr>
        <w:tc>
          <w:tcPr/>
          <w:p>
            <w:pPr>
              <w:pStyle w:val="Compact"/>
              <w:jc w:val="left"/>
            </w:pPr>
            <w:r>
              <w:t xml:space="preserve">Adoption signals</w:t>
            </w:r>
          </w:p>
        </w:tc>
        <w:tc>
          <w:tcPr/>
          <w:p>
            <w:pPr>
              <w:pStyle w:val="Compact"/>
              <w:jc w:val="left"/>
            </w:pPr>
            <w:r>
              <w:t xml:space="preserve">97M monthly SDK downloads and 10,000 active servers (December 2025); close to 0.5bn monthly downloads across Tier 1 SDKs and &gt;1bn total each for TypeScript and Python (July 2026, project claim); modelcontextprotocol/servers 91,068 GitHub stars</w:t>
            </w:r>
          </w:p>
        </w:tc>
        <w:tc>
          <w:tcPr/>
          <w:p>
            <w:pPr>
              <w:pStyle w:val="Compact"/>
              <w:jc w:val="left"/>
            </w:pPr>
            <w:r>
              <w:t xml:space="preserve">Verified fact</w:t>
            </w:r>
          </w:p>
        </w:tc>
        <w:tc>
          <w:tcPr/>
          <w:p>
            <w:pPr>
              <w:pStyle w:val="Compact"/>
              <w:jc w:val="left"/>
            </w:pPr>
            <w:r>
              <w:t xml:space="preserve">A3-S018, A3-S015, A3-S054</w:t>
            </w:r>
          </w:p>
        </w:tc>
      </w:tr>
      <w:tr>
        <w:tc>
          <w:tcPr/>
          <w:p>
            <w:pPr>
              <w:pStyle w:val="Compact"/>
              <w:jc w:val="left"/>
            </w:pPr>
            <w:r>
              <w:t xml:space="preserve">Maturity</w:t>
            </w:r>
          </w:p>
        </w:tc>
        <w:tc>
          <w:tcPr/>
          <w:p>
            <w:pPr>
              <w:pStyle w:val="Compact"/>
              <w:jc w:val="left"/>
            </w:pPr>
            <w:r>
              <w:t xml:space="preserve">Initial release November 2024 (first SDK on PyPI 20 November 2024); formal deprecation policy with 12-month minimum window; 2026-07-28 contained breaking changes</w:t>
            </w:r>
          </w:p>
        </w:tc>
        <w:tc>
          <w:tcPr/>
          <w:p>
            <w:pPr>
              <w:pStyle w:val="Compact"/>
              <w:jc w:val="left"/>
            </w:pPr>
            <w:r>
              <w:t xml:space="preserve">Verified fact</w:t>
            </w:r>
          </w:p>
        </w:tc>
        <w:tc>
          <w:tcPr/>
          <w:p>
            <w:pPr>
              <w:pStyle w:val="Compact"/>
              <w:jc w:val="left"/>
            </w:pPr>
            <w:r>
              <w:t xml:space="preserve">A3-S011, A3-S015</w:t>
            </w:r>
          </w:p>
        </w:tc>
      </w:tr>
      <w:tr>
        <w:tc>
          <w:tcPr/>
          <w:p>
            <w:pPr>
              <w:pStyle w:val="Compact"/>
              <w:jc w:val="left"/>
            </w:pPr>
            <w:r>
              <w:t xml:space="preserve">Deployment</w:t>
            </w:r>
          </w:p>
        </w:tc>
        <w:tc>
          <w:tcPr/>
          <w:p>
            <w:pPr>
              <w:pStyle w:val="Compact"/>
              <w:jc w:val="left"/>
            </w:pPr>
            <w:r>
              <w:t xml:space="preserve">saas: No (open specification; deployment depends on each implementation); managed_cloud: No (open specification; deployment depends on each implementation); vpc_byoc: No (open specification; deployment depends on each implementation); private_cloud: No (open specification; deployment depends on each implementation); self_hosted: Yes (implementations can be self-hosted; the specification itself is not a hosted service); on_prem: Yes (implementations can be self-hosted; the specification itself is not a hosted service)</w:t>
            </w:r>
          </w:p>
        </w:tc>
        <w:tc>
          <w:tcPr/>
          <w:p>
            <w:pPr>
              <w:pStyle w:val="Compact"/>
            </w:pPr>
          </w:p>
        </w:tc>
        <w:tc>
          <w:tcPr/>
          <w:p>
            <w:pPr>
              <w:pStyle w:val="Compact"/>
            </w:pPr>
          </w:p>
        </w:tc>
      </w:tr>
    </w:tbl>
    <w:bookmarkEnd w:id="878"/>
    <w:bookmarkStart w:id="895" w:name="X32e7d4464451ef8f44c50306aa79631a0c8fda5"/>
    <w:p>
      <w:pPr>
        <w:pStyle w:val="Heading2"/>
      </w:pPr>
      <w:r>
        <w:t xml:space="preserve">Amazon Bedrock AgentCore Gateway and AgentCore Identity (</w:t>
      </w:r>
      <w:r>
        <w:rPr>
          <w:rStyle w:val="VerbatimChar"/>
        </w:rPr>
        <w:t xml:space="preserve">L4-aws-agentcore-gateway-identity</w:t>
      </w:r>
      <w:r>
        <w:t xml:space="preserve">)</w:t>
      </w:r>
    </w:p>
    <w:p>
      <w:pPr>
        <w:pStyle w:val="FirstParagraph"/>
      </w:pPr>
      <w:r>
        <w:rPr>
          <w:bCs/>
          <w:b/>
        </w:rPr>
        <w:t xml:space="preserve">Tier:</w:t>
      </w:r>
      <w:r>
        <w:t xml:space="preserve"> </w:t>
      </w:r>
      <w:r>
        <w:t xml:space="preserve">Strategic ·</w:t>
      </w:r>
      <w:r>
        <w:t xml:space="preserve"> </w:t>
      </w:r>
      <w:r>
        <w:rPr>
          <w:bCs/>
          <w:b/>
        </w:rPr>
        <w:t xml:space="preserve">Flags:</w:t>
      </w:r>
      <w:r>
        <w:t xml:space="preserve"> </w:t>
      </w:r>
      <w:r>
        <w:t xml:space="preserve">none ·</w:t>
      </w:r>
      <w:r>
        <w:t xml:space="preserve"> </w:t>
      </w:r>
      <w:r>
        <w:rPr>
          <w:bCs/>
          <w:b/>
        </w:rPr>
        <w:t xml:space="preserve">Original graphic label:</w:t>
      </w:r>
      <w:r>
        <w:t xml:space="preserve"> </w:t>
      </w:r>
      <w:r>
        <w:t xml:space="preserve">not in graphic</w:t>
      </w:r>
    </w:p>
    <w:p>
      <w:pPr>
        <w:pStyle w:val="BodyText"/>
      </w:pPr>
      <w:r>
        <w:rPr>
          <w:iCs/>
          <w:i/>
        </w:rPr>
        <w:t xml:space="preserve">Rationale:</w:t>
      </w:r>
      <w:r>
        <w:t xml:space="preserve"> </w:t>
      </w:r>
      <w:r>
        <w:t xml:space="preserve">Strategic, conditional: where AWS is your primary cloud (CP3 Q2, rubric rule 10). AWS’s lead managed tool gateway and agent identity service; deployment 2 (AWS-managed only) is accepted under rule 11 because the condition is an existing platform commitment. Same tier as C1-aws-agentcore-gateway</w:t>
      </w:r>
      <w:r>
        <w:t xml:space="preserve"> </w:t>
      </w:r>
      <w:r>
        <w:rPr>
          <w:rStyle w:val="ClaimLabel"/>
        </w:rPr>
        <w:t xml:space="preserve">AJ</w:t>
      </w:r>
      <w:r>
        <w:t xml:space="preserve">.</w:t>
      </w:r>
    </w:p>
    <w:tbl>
      <w:tblPr>
        <w:tblStyle w:val="Table"/>
        <w:tblW w:type="pct" w:w="5000"/>
        <w:tblLook w:firstRow="1" w:lastRow="0" w:firstColumn="0" w:lastColumn="0" w:noHBand="0" w:noVBand="0" w:val="0020"/>
        <w:jc w:val="start"/>
      </w:tblPr>
      <w:tblGrid>
        <w:gridCol w:w="1545"/>
        <w:gridCol w:w="579"/>
        <w:gridCol w:w="5795"/>
      </w:tblGrid>
      <w:tr>
        <w:trPr>
          <w:tblHeader w:val="true"/>
        </w:trPr>
        <w:tc>
          <w:tcPr/>
          <w:p>
            <w:pPr>
              <w:pStyle w:val="Compact"/>
              <w:jc w:val="left"/>
            </w:pPr>
            <w:r>
              <w:t xml:space="preserve">Criterion</w:t>
            </w:r>
          </w:p>
        </w:tc>
        <w:tc>
          <w:tcPr/>
          <w:p>
            <w:pPr>
              <w:pStyle w:val="Compact"/>
              <w:jc w:val="right"/>
            </w:pPr>
            <w:r>
              <w:t xml:space="preserve">Score</w:t>
            </w:r>
          </w:p>
        </w:tc>
        <w:tc>
          <w:tcPr/>
          <w:p>
            <w:pPr>
              <w:pStyle w:val="Compact"/>
              <w:jc w:val="left"/>
            </w:pPr>
            <w:r>
              <w:t xml:space="preserve">Rationale</w:t>
            </w:r>
          </w:p>
        </w:tc>
      </w:tr>
      <w:tr>
        <w:tc>
          <w:tcPr/>
          <w:p>
            <w:pPr>
              <w:pStyle w:val="Compact"/>
              <w:jc w:val="left"/>
            </w:pPr>
            <w:r>
              <w:t xml:space="preserve">Technical</w:t>
            </w:r>
          </w:p>
        </w:tc>
        <w:tc>
          <w:tcPr/>
          <w:p>
            <w:pPr>
              <w:pStyle w:val="Compact"/>
              <w:jc w:val="right"/>
            </w:pPr>
            <w:r>
              <w:t xml:space="preserve">4</w:t>
            </w:r>
          </w:p>
        </w:tc>
        <w:tc>
          <w:tcPr/>
          <w:p>
            <w:pPr>
              <w:pStyle w:val="Compact"/>
              <w:jc w:val="left"/>
            </w:pPr>
            <w:r>
              <w:t xml:space="preserve">Tool conversion, inbound identity, outbound vault and Cedar policy</w:t>
            </w:r>
            <w:r>
              <w:t xml:space="preserve"> </w:t>
            </w:r>
            <w:r>
              <w:rPr>
                <w:rStyle w:val="ClaimLabel"/>
              </w:rPr>
              <w:t xml:space="preserve">VF</w:t>
            </w:r>
            <w:r>
              <w:rPr>
                <w:rStyle w:val="FootnoteReference"/>
              </w:rPr>
              <w:footnoteReference w:id="879"/>
            </w:r>
          </w:p>
        </w:tc>
      </w:tr>
      <w:tr>
        <w:tc>
          <w:tcPr/>
          <w:p>
            <w:pPr>
              <w:pStyle w:val="Compact"/>
              <w:jc w:val="left"/>
            </w:pPr>
            <w:r>
              <w:t xml:space="preserve">Enterprise readiness</w:t>
            </w:r>
          </w:p>
        </w:tc>
        <w:tc>
          <w:tcPr/>
          <w:p>
            <w:pPr>
              <w:pStyle w:val="Compact"/>
              <w:jc w:val="right"/>
            </w:pPr>
            <w:r>
              <w:t xml:space="preserve">4</w:t>
            </w:r>
          </w:p>
        </w:tc>
        <w:tc>
          <w:tcPr/>
          <w:p>
            <w:pPr>
              <w:pStyle w:val="Compact"/>
              <w:jc w:val="left"/>
            </w:pPr>
            <w:r>
              <w:t xml:space="preserve">Hyperscaler presumption: platform controls presumed (CP2 Q1); confirm per service</w:t>
            </w:r>
            <w:r>
              <w:t xml:space="preserve"> </w:t>
            </w:r>
            <w:r>
              <w:rPr>
                <w:rStyle w:val="ClaimLabel"/>
              </w:rPr>
              <w:t xml:space="preserve">AJ</w:t>
            </w:r>
          </w:p>
        </w:tc>
      </w:tr>
      <w:tr>
        <w:tc>
          <w:tcPr/>
          <w:p>
            <w:pPr>
              <w:pStyle w:val="Compact"/>
              <w:jc w:val="left"/>
            </w:pPr>
            <w:r>
              <w:t xml:space="preserve">Security and compliance</w:t>
            </w:r>
          </w:p>
        </w:tc>
        <w:tc>
          <w:tcPr/>
          <w:p>
            <w:pPr>
              <w:pStyle w:val="Compact"/>
              <w:jc w:val="right"/>
            </w:pPr>
            <w:r>
              <w:t xml:space="preserve">4</w:t>
            </w:r>
          </w:p>
        </w:tc>
        <w:tc>
          <w:tcPr/>
          <w:p>
            <w:pPr>
              <w:pStyle w:val="Compact"/>
              <w:jc w:val="left"/>
            </w:pPr>
            <w:r>
              <w:t xml:space="preserve">SOC 1/2/3 scope listed; ISO listed with inconsistent wording; CMK for vault; one point below 5 under rule 8</w:t>
            </w:r>
            <w:r>
              <w:t xml:space="preserve"> </w:t>
            </w:r>
            <w:r>
              <w:rPr>
                <w:rStyle w:val="ClaimLabel"/>
              </w:rPr>
              <w:t xml:space="preserve">VF</w:t>
            </w:r>
            <w:r>
              <w:rPr>
                <w:rStyle w:val="FootnoteReference"/>
              </w:rPr>
              <w:footnoteReference w:id="881"/>
            </w:r>
          </w:p>
        </w:tc>
      </w:tr>
      <w:tr>
        <w:tc>
          <w:tcPr/>
          <w:p>
            <w:pPr>
              <w:pStyle w:val="Compact"/>
              <w:jc w:val="left"/>
            </w:pPr>
            <w:r>
              <w:t xml:space="preserve">Deployment flexibility</w:t>
            </w:r>
          </w:p>
        </w:tc>
        <w:tc>
          <w:tcPr/>
          <w:p>
            <w:pPr>
              <w:pStyle w:val="Compact"/>
              <w:jc w:val="right"/>
            </w:pPr>
            <w:r>
              <w:t xml:space="preserve">2</w:t>
            </w:r>
          </w:p>
        </w:tc>
        <w:tc>
          <w:tcPr/>
          <w:p>
            <w:pPr>
              <w:pStyle w:val="Compact"/>
              <w:jc w:val="left"/>
            </w:pPr>
            <w:r>
              <w:t xml:space="preserve">Managed AWS service only, with VPC and PrivateLink connectivity; no self-host (A3-S047, A3-S048); 2, consistent with C1-aws-agentcore-gateway and every other AWS-only managed service (CP3 review A)</w:t>
            </w:r>
          </w:p>
        </w:tc>
      </w:tr>
      <w:tr>
        <w:tc>
          <w:tcPr/>
          <w:p>
            <w:pPr>
              <w:pStyle w:val="Compact"/>
              <w:jc w:val="left"/>
            </w:pPr>
            <w:r>
              <w:t xml:space="preserve">Ecosystem</w:t>
            </w:r>
          </w:p>
        </w:tc>
        <w:tc>
          <w:tcPr/>
          <w:p>
            <w:pPr>
              <w:pStyle w:val="Compact"/>
              <w:jc w:val="right"/>
            </w:pPr>
            <w:r>
              <w:t xml:space="preserve">4</w:t>
            </w:r>
          </w:p>
        </w:tc>
        <w:tc>
          <w:tcPr/>
          <w:p>
            <w:pPr>
              <w:pStyle w:val="Compact"/>
              <w:jc w:val="left"/>
            </w:pPr>
            <w:r>
              <w:t xml:space="preserve">MCP on both sides, OAuth and IAM integration</w:t>
            </w:r>
            <w:r>
              <w:t xml:space="preserve"> </w:t>
            </w:r>
            <w:r>
              <w:rPr>
                <w:rStyle w:val="ClaimLabel"/>
              </w:rPr>
              <w:t xml:space="preserve">VF</w:t>
            </w:r>
            <w:r>
              <w:rPr>
                <w:rStyle w:val="FootnoteReference"/>
              </w:rPr>
              <w:footnoteReference w:id="884"/>
            </w:r>
          </w:p>
        </w:tc>
      </w:tr>
      <w:tr>
        <w:tc>
          <w:tcPr/>
          <w:p>
            <w:pPr>
              <w:pStyle w:val="Compact"/>
              <w:jc w:val="left"/>
            </w:pPr>
            <w:r>
              <w:t xml:space="preserve">Reliability and maturity</w:t>
            </w:r>
          </w:p>
        </w:tc>
        <w:tc>
          <w:tcPr/>
          <w:p>
            <w:pPr>
              <w:pStyle w:val="Compact"/>
              <w:jc w:val="right"/>
            </w:pPr>
            <w:r>
              <w:t xml:space="preserve">3</w:t>
            </w:r>
          </w:p>
        </w:tc>
        <w:tc>
          <w:tcPr/>
          <w:p>
            <w:pPr>
              <w:pStyle w:val="Compact"/>
              <w:jc w:val="left"/>
            </w:pPr>
            <w:r>
              <w:t xml:space="preserve">GA October 2025 with regular feature releases (A3-S047, A3-S048); about one year GA, so 3, consistent with AgentCore Memory (L5) (CP3 review A)</w:t>
            </w:r>
          </w:p>
        </w:tc>
      </w:tr>
      <w:tr>
        <w:tc>
          <w:tcPr/>
          <w:p>
            <w:pPr>
              <w:pStyle w:val="Compact"/>
              <w:jc w:val="left"/>
            </w:pPr>
            <w:r>
              <w:t xml:space="preserve">Cost / TCO</w:t>
            </w:r>
          </w:p>
        </w:tc>
        <w:tc>
          <w:tcPr/>
          <w:p>
            <w:pPr>
              <w:pStyle w:val="Compact"/>
              <w:jc w:val="right"/>
            </w:pPr>
            <w:r>
              <w:t xml:space="preserve">4</w:t>
            </w:r>
          </w:p>
        </w:tc>
        <w:tc>
          <w:tcPr/>
          <w:p>
            <w:pPr>
              <w:pStyle w:val="Compact"/>
              <w:jc w:val="left"/>
            </w:pPr>
            <w:r>
              <w:t xml:space="preserve">Low published per-call pricing</w:t>
            </w:r>
            <w:r>
              <w:t xml:space="preserve"> </w:t>
            </w:r>
            <w:r>
              <w:rPr>
                <w:rStyle w:val="ClaimLabel"/>
              </w:rPr>
              <w:t xml:space="preserve">VF</w:t>
            </w:r>
            <w:r>
              <w:rPr>
                <w:rStyle w:val="FootnoteReference"/>
              </w:rPr>
              <w:footnoteReference w:id="885"/>
            </w:r>
          </w:p>
        </w:tc>
      </w:tr>
      <w:tr>
        <w:tc>
          <w:tcPr/>
          <w:p>
            <w:pPr>
              <w:pStyle w:val="Compact"/>
              <w:jc w:val="left"/>
            </w:pPr>
            <w:r>
              <w:t xml:space="preserve">Lock-in / portability</w:t>
            </w:r>
          </w:p>
        </w:tc>
        <w:tc>
          <w:tcPr/>
          <w:p>
            <w:pPr>
              <w:pStyle w:val="Compact"/>
              <w:jc w:val="right"/>
            </w:pPr>
            <w:r>
              <w:t xml:space="preserve">3</w:t>
            </w:r>
          </w:p>
        </w:tc>
        <w:tc>
          <w:tcPr/>
          <w:p>
            <w:pPr>
              <w:pStyle w:val="Compact"/>
              <w:jc w:val="left"/>
            </w:pPr>
            <w:r>
              <w:t xml:space="preserve">Proprietary AWS API but standard MCP/OAuth interfaces; Cedar policies portable</w:t>
            </w:r>
            <w:r>
              <w:t xml:space="preserve"> </w:t>
            </w:r>
            <w:r>
              <w:rPr>
                <w:rStyle w:val="ClaimLabel"/>
              </w:rPr>
              <w:t xml:space="preserve">VF</w:t>
            </w:r>
            <w:r>
              <w:rPr>
                <w:rStyle w:val="FootnoteReference"/>
              </w:rPr>
              <w:footnoteReference w:id="886"/>
            </w:r>
          </w:p>
        </w:tc>
      </w:tr>
      <w:tr>
        <w:tc>
          <w:tcPr/>
          <w:p>
            <w:pPr>
              <w:pStyle w:val="Compact"/>
              <w:jc w:val="left"/>
            </w:pPr>
            <w:r>
              <w:rPr>
                <w:bCs/>
                <w:b/>
              </w:rPr>
              <w:t xml:space="preserve">Total (generic / FS)</w:t>
            </w:r>
          </w:p>
        </w:tc>
        <w:tc>
          <w:tcPr/>
          <w:p>
            <w:pPr>
              <w:pStyle w:val="Compact"/>
              <w:jc w:val="right"/>
            </w:pPr>
            <w:r>
              <w:rPr>
                <w:bCs/>
                <w:b/>
              </w:rPr>
              <w:t xml:space="preserve">3.55 / 3.45</w:t>
            </w:r>
          </w:p>
        </w:tc>
        <w:tc>
          <w:tcPr/>
          <w:p>
            <w:pPr>
              <w:pStyle w:val="Compact"/>
            </w:pPr>
          </w:p>
        </w:tc>
      </w:tr>
    </w:tbl>
    <w:p>
      <w:pPr>
        <w:pStyle w:val="BodyText"/>
      </w:pPr>
      <w:r>
        <w:rPr>
          <w:bCs/>
          <w:b/>
        </w:rPr>
        <w:t xml:space="preserve">Capabilities.</w:t>
      </w:r>
      <w:r>
        <w:t xml:space="preserve"> </w:t>
      </w:r>
      <w:r>
        <w:t xml:space="preserve">Managed MCP tool gateway (APIs, Lambda and MCP servers as tools; IAM or JWT inbound; 3LO outbound) plus agent identity and refresh-token vault; pairs with Cedar-based AgentCore Policy for pre-execution authorisation</w:t>
      </w:r>
      <w:r>
        <w:t xml:space="preserve"> </w:t>
      </w:r>
      <w:r>
        <w:rPr>
          <w:rStyle w:val="ClaimLabel"/>
        </w:rPr>
        <w:t xml:space="preserve">VF</w:t>
      </w:r>
      <w:r>
        <w:rPr>
          <w:rStyle w:val="FootnoteReference"/>
        </w:rPr>
        <w:footnoteReference w:id="888"/>
      </w:r>
      <w:r>
        <w:t xml:space="preserve">. Same service also profiled as C1-aws-agentcore-gateway</w:t>
      </w:r>
      <w:r>
        <w:t xml:space="preserve"> </w:t>
      </w:r>
      <w:r>
        <w:rPr>
          <w:rStyle w:val="ClaimLabel"/>
        </w:rPr>
        <w:t xml:space="preserve">AJ</w:t>
      </w:r>
      <w:r>
        <w:t xml:space="preserve">.</w:t>
      </w:r>
    </w:p>
    <w:p>
      <w:pPr>
        <w:pStyle w:val="BodyText"/>
      </w:pPr>
      <w:r>
        <w:rPr>
          <w:bCs/>
          <w:b/>
        </w:rPr>
        <w:t xml:space="preserve">Strengths</w:t>
      </w:r>
    </w:p>
    <w:p>
      <w:pPr>
        <w:numPr>
          <w:ilvl w:val="0"/>
          <w:numId w:val="1201"/>
        </w:numPr>
        <w:pStyle w:val="Compact"/>
      </w:pPr>
      <w:r>
        <w:t xml:space="preserve">Most complete managed implementation of the tool-governance sub-layer found</w:t>
      </w:r>
      <w:r>
        <w:t xml:space="preserve"> </w:t>
      </w:r>
      <w:r>
        <w:rPr>
          <w:rStyle w:val="ClaimLabel"/>
        </w:rPr>
        <w:t xml:space="preserve">AJ</w:t>
      </w:r>
    </w:p>
    <w:p>
      <w:pPr>
        <w:numPr>
          <w:ilvl w:val="0"/>
          <w:numId w:val="1201"/>
        </w:numPr>
        <w:pStyle w:val="Compact"/>
      </w:pPr>
      <w:r>
        <w:t xml:space="preserve">Supports MCP 2026-07-28 and earlier revisions</w:t>
      </w:r>
      <w:r>
        <w:t xml:space="preserve"> </w:t>
      </w:r>
      <w:r>
        <w:rPr>
          <w:rStyle w:val="ClaimLabel"/>
        </w:rPr>
        <w:t xml:space="preserve">VF</w:t>
      </w:r>
      <w:r>
        <w:rPr>
          <w:rStyle w:val="FootnoteReference"/>
        </w:rPr>
        <w:footnoteReference w:id="889"/>
      </w:r>
    </w:p>
    <w:p>
      <w:pPr>
        <w:numPr>
          <w:ilvl w:val="0"/>
          <w:numId w:val="1201"/>
        </w:numPr>
        <w:pStyle w:val="Compact"/>
      </w:pPr>
      <w:r>
        <w:t xml:space="preserve">Customer-managed KMS key for the token vault</w:t>
      </w:r>
      <w:r>
        <w:t xml:space="preserve"> </w:t>
      </w:r>
      <w:r>
        <w:rPr>
          <w:rStyle w:val="ClaimLabel"/>
        </w:rPr>
        <w:t xml:space="preserve">VF</w:t>
      </w:r>
      <w:r>
        <w:rPr>
          <w:rStyle w:val="FootnoteReference"/>
        </w:rPr>
        <w:footnoteReference w:id="891"/>
      </w:r>
    </w:p>
    <w:p>
      <w:pPr>
        <w:numPr>
          <w:ilvl w:val="0"/>
          <w:numId w:val="1201"/>
        </w:numPr>
        <w:pStyle w:val="Compact"/>
      </w:pPr>
      <w:r>
        <w:t xml:space="preserve">Published per-call pricing</w:t>
      </w:r>
      <w:r>
        <w:t xml:space="preserve"> </w:t>
      </w:r>
      <w:r>
        <w:rPr>
          <w:rStyle w:val="ClaimLabel"/>
        </w:rPr>
        <w:t xml:space="preserve">VF</w:t>
      </w:r>
      <w:r>
        <w:rPr>
          <w:rStyle w:val="FootnoteReference"/>
        </w:rPr>
        <w:footnoteReference w:id="892"/>
      </w:r>
    </w:p>
    <w:p>
      <w:pPr>
        <w:pStyle w:val="FirstParagraph"/>
      </w:pPr>
      <w:r>
        <w:rPr>
          <w:bCs/>
          <w:b/>
        </w:rPr>
        <w:t xml:space="preserve">Limitations and risks</w:t>
      </w:r>
    </w:p>
    <w:p>
      <w:pPr>
        <w:numPr>
          <w:ilvl w:val="0"/>
          <w:numId w:val="1202"/>
        </w:numPr>
        <w:pStyle w:val="Compact"/>
      </w:pPr>
      <w:r>
        <w:t xml:space="preserve">AWS only; no self-hosted option</w:t>
      </w:r>
      <w:r>
        <w:t xml:space="preserve"> </w:t>
      </w:r>
      <w:r>
        <w:rPr>
          <w:rStyle w:val="ClaimLabel"/>
        </w:rPr>
        <w:t xml:space="preserve">VF</w:t>
      </w:r>
      <w:r>
        <w:rPr>
          <w:rStyle w:val="FootnoteReference"/>
        </w:rPr>
        <w:footnoteReference w:id="893"/>
      </w:r>
    </w:p>
    <w:p>
      <w:pPr>
        <w:numPr>
          <w:ilvl w:val="0"/>
          <w:numId w:val="1202"/>
        </w:numPr>
        <w:pStyle w:val="Compact"/>
      </w:pPr>
      <w:r>
        <w:t xml:space="preserve">ISO scope wording inconsistent across AWS pages (</w:t>
      </w:r>
      <w:r>
        <w:t xml:space="preserve">‘</w:t>
      </w:r>
      <w:r>
        <w:t xml:space="preserve">aligns</w:t>
      </w:r>
      <w:r>
        <w:t xml:space="preserve">’</w:t>
      </w:r>
      <w:r>
        <w:t xml:space="preserve"> </w:t>
      </w:r>
      <w:r>
        <w:t xml:space="preserve">pending third-party review)</w:t>
      </w:r>
      <w:r>
        <w:t xml:space="preserve"> </w:t>
      </w:r>
      <w:r>
        <w:rPr>
          <w:rStyle w:val="ClaimLabel"/>
        </w:rPr>
        <w:t xml:space="preserve">VF</w:t>
      </w:r>
      <w:r>
        <w:rPr>
          <w:rStyle w:val="FootnoteReference"/>
        </w:rPr>
        <w:footnoteReference w:id="894"/>
      </w:r>
    </w:p>
    <w:p>
      <w:pPr>
        <w:numPr>
          <w:ilvl w:val="0"/>
          <w:numId w:val="1202"/>
        </w:numPr>
        <w:pStyle w:val="Compact"/>
      </w:pPr>
      <w:r>
        <w:t xml:space="preserve">Adds to AWS concentration</w:t>
      </w:r>
      <w:r>
        <w:t xml:space="preserve"> </w:t>
      </w:r>
      <w:r>
        <w:rPr>
          <w:rStyle w:val="ClaimLabel"/>
        </w:rPr>
        <w:t xml:space="preserve">AJ</w:t>
      </w:r>
    </w:p>
    <w:p>
      <w:pPr>
        <w:pStyle w:val="FirstParagraph"/>
      </w:pPr>
      <w:r>
        <w:rPr>
          <w:bCs/>
          <w:b/>
        </w:rPr>
        <w:t xml:space="preserve">Choose when</w:t>
      </w:r>
    </w:p>
    <w:p>
      <w:pPr>
        <w:numPr>
          <w:ilvl w:val="0"/>
          <w:numId w:val="1203"/>
        </w:numPr>
        <w:pStyle w:val="Compact"/>
      </w:pPr>
      <w:r>
        <w:t xml:space="preserve">AWS is the primary agent platform</w:t>
      </w:r>
      <w:r>
        <w:t xml:space="preserve"> </w:t>
      </w:r>
      <w:r>
        <w:rPr>
          <w:rStyle w:val="ClaimLabel"/>
        </w:rPr>
        <w:t xml:space="preserve">AJ</w:t>
      </w:r>
    </w:p>
    <w:p>
      <w:pPr>
        <w:pStyle w:val="FirstParagraph"/>
      </w:pPr>
      <w:r>
        <w:rPr>
          <w:bCs/>
          <w:b/>
        </w:rPr>
        <w:t xml:space="preserve">Avoid when</w:t>
      </w:r>
    </w:p>
    <w:p>
      <w:pPr>
        <w:numPr>
          <w:ilvl w:val="0"/>
          <w:numId w:val="1204"/>
        </w:numPr>
        <w:pStyle w:val="Compact"/>
      </w:pPr>
      <w:r>
        <w:t xml:space="preserve">Tools and agents span several clouds and one policy point is required</w:t>
      </w:r>
      <w:r>
        <w:t xml:space="preserve"> </w:t>
      </w:r>
      <w:r>
        <w:rPr>
          <w:rStyle w:val="ClaimLabel"/>
        </w:rPr>
        <w:t xml:space="preserve">AJ</w:t>
      </w:r>
    </w:p>
    <w:p>
      <w:pPr>
        <w:pStyle w:val="FirstParagraph"/>
      </w:pPr>
      <w:r>
        <w:rPr>
          <w:bCs/>
          <w:b/>
        </w:rPr>
        <w:t xml:space="preserve">Nearest competitors:</w:t>
      </w:r>
      <w:r>
        <w:t xml:space="preserve"> </w:t>
      </w:r>
      <w:r>
        <w:t xml:space="preserve">C1-azure-apim-ai-gateway, C1-agentgateway, C1-kong-ai-gateway, L4-composio</w:t>
      </w:r>
    </w:p>
    <w:p>
      <w:pPr>
        <w:pStyle w:val="BodyText"/>
      </w:pPr>
      <w:r>
        <w:rPr>
          <w:bCs/>
          <w:b/>
        </w:rPr>
        <w:t xml:space="preserve">Regulated-FS note.</w:t>
      </w:r>
      <w:r>
        <w:t xml:space="preserve"> </w:t>
      </w:r>
      <w:r>
        <w:t xml:space="preserve">Sits within AWS, a designated CTP under DORA and the UK regime; include in AWS concentration analysis; platform controls presumed (CP2 Q1), confirm per service</w:t>
      </w:r>
      <w:r>
        <w:t xml:space="preserve"> </w:t>
      </w:r>
      <w:r>
        <w:rPr>
          <w:rStyle w:val="ClaimLabel"/>
        </w:rPr>
        <w:t xml:space="preserve">Rec</w:t>
      </w:r>
      <w:r>
        <w:t xml:space="preserve">.</w:t>
      </w:r>
    </w:p>
    <w:p>
      <w:pPr>
        <w:pStyle w:val="BodyText"/>
      </w:pPr>
      <w:r>
        <w:rPr>
          <w:bCs/>
          <w:b/>
        </w:rPr>
        <w:t xml:space="preserve">Facts (as of 2026-10-07)</w:t>
      </w:r>
    </w:p>
    <w:tbl>
      <w:tblPr>
        <w:tblStyle w:val="Table"/>
        <w:tblW w:type="pct" w:w="5000"/>
        <w:tblLook w:firstRow="1" w:lastRow="0" w:firstColumn="0" w:lastColumn="0" w:noHBand="0" w:noVBand="0" w:val="0020"/>
        <w:jc w:val="start"/>
      </w:tblPr>
      <w:tblGrid>
        <w:gridCol w:w="1485"/>
        <w:gridCol w:w="4290"/>
        <w:gridCol w:w="1320"/>
        <w:gridCol w:w="825"/>
      </w:tblGrid>
      <w:tr>
        <w:trPr>
          <w:tblHeader w:val="true"/>
        </w:trPr>
        <w:tc>
          <w:tcPr/>
          <w:p>
            <w:pPr>
              <w:pStyle w:val="Compact"/>
              <w:jc w:val="left"/>
            </w:pPr>
            <w:r>
              <w:t xml:space="preserve">Field</w:t>
            </w:r>
          </w:p>
        </w:tc>
        <w:tc>
          <w:tcPr/>
          <w:p>
            <w:pPr>
              <w:pStyle w:val="Compact"/>
              <w:jc w:val="left"/>
            </w:pPr>
            <w:r>
              <w:t xml:space="preserve">Value</w:t>
            </w:r>
          </w:p>
        </w:tc>
        <w:tc>
          <w:tcPr/>
          <w:p>
            <w:pPr>
              <w:pStyle w:val="Compact"/>
              <w:jc w:val="left"/>
            </w:pPr>
            <w:r>
              <w:t xml:space="preserve">Label</w:t>
            </w:r>
          </w:p>
        </w:tc>
        <w:tc>
          <w:tcPr/>
          <w:p>
            <w:pPr>
              <w:pStyle w:val="Compact"/>
              <w:jc w:val="left"/>
            </w:pPr>
            <w:r>
              <w:t xml:space="preserve">Sources</w:t>
            </w:r>
          </w:p>
        </w:tc>
      </w:tr>
      <w:tr>
        <w:tc>
          <w:tcPr/>
          <w:p>
            <w:pPr>
              <w:pStyle w:val="Compact"/>
              <w:jc w:val="left"/>
            </w:pPr>
            <w:r>
              <w:t xml:space="preserve">Company</w:t>
            </w:r>
          </w:p>
        </w:tc>
        <w:tc>
          <w:tcPr/>
          <w:p>
            <w:pPr>
              <w:pStyle w:val="Compact"/>
              <w:jc w:val="left"/>
            </w:pPr>
            <w:r>
              <w:t xml:space="preserve">Amazon Web Services</w:t>
            </w:r>
          </w:p>
        </w:tc>
        <w:tc>
          <w:tcPr/>
          <w:p>
            <w:pPr>
              <w:pStyle w:val="Compact"/>
              <w:jc w:val="left"/>
            </w:pPr>
            <w:r>
              <w:t xml:space="preserve">Verified fact</w:t>
            </w:r>
          </w:p>
        </w:tc>
        <w:tc>
          <w:tcPr/>
          <w:p>
            <w:pPr>
              <w:pStyle w:val="Compact"/>
              <w:jc w:val="left"/>
            </w:pPr>
            <w:r>
              <w:t xml:space="preserve">A3-S047</w:t>
            </w:r>
          </w:p>
        </w:tc>
      </w:tr>
      <w:tr>
        <w:tc>
          <w:tcPr/>
          <w:p>
            <w:pPr>
              <w:pStyle w:val="Compact"/>
              <w:jc w:val="left"/>
            </w:pPr>
            <w:r>
              <w:t xml:space="preserve">Category</w:t>
            </w:r>
          </w:p>
        </w:tc>
        <w:tc>
          <w:tcPr/>
          <w:p>
            <w:pPr>
              <w:pStyle w:val="Compact"/>
              <w:jc w:val="left"/>
            </w:pPr>
            <w:r>
              <w:t xml:space="preserve">Managed MCP tool gateway and agent identity/credential service</w:t>
            </w:r>
          </w:p>
        </w:tc>
        <w:tc>
          <w:tcPr/>
          <w:p>
            <w:pPr>
              <w:pStyle w:val="Compact"/>
              <w:jc w:val="left"/>
            </w:pPr>
            <w:r>
              <w:t xml:space="preserve">Verified fact</w:t>
            </w:r>
          </w:p>
        </w:tc>
        <w:tc>
          <w:tcPr/>
          <w:p>
            <w:pPr>
              <w:pStyle w:val="Compact"/>
              <w:jc w:val="left"/>
            </w:pPr>
            <w:r>
              <w:t xml:space="preserve">A3-S047</w:t>
            </w:r>
          </w:p>
        </w:tc>
      </w:tr>
      <w:tr>
        <w:tc>
          <w:tcPr/>
          <w:p>
            <w:pPr>
              <w:pStyle w:val="Compact"/>
              <w:jc w:val="left"/>
            </w:pPr>
            <w:r>
              <w:t xml:space="preserve">Version / lineup</w:t>
            </w:r>
          </w:p>
        </w:tc>
        <w:tc>
          <w:tcPr/>
          <w:p>
            <w:pPr>
              <w:pStyle w:val="Compact"/>
              <w:jc w:val="left"/>
            </w:pPr>
            <w:r>
              <w:t xml:space="preserve">GA October 2025; Gateway three-legged OAuth for MCP targets GA and VPC egress (April 2026); supports MCP 2026-07-28 stateless core</w:t>
            </w:r>
          </w:p>
        </w:tc>
        <w:tc>
          <w:tcPr/>
          <w:p>
            <w:pPr>
              <w:pStyle w:val="Compact"/>
              <w:jc w:val="left"/>
            </w:pPr>
            <w:r>
              <w:t xml:space="preserve">Verified fact</w:t>
            </w:r>
          </w:p>
        </w:tc>
        <w:tc>
          <w:tcPr/>
          <w:p>
            <w:pPr>
              <w:pStyle w:val="Compact"/>
              <w:jc w:val="left"/>
            </w:pPr>
            <w:r>
              <w:t xml:space="preserve">A3-S047, A3-S048, A3-S015</w:t>
            </w:r>
          </w:p>
        </w:tc>
      </w:tr>
      <w:tr>
        <w:tc>
          <w:tcPr/>
          <w:p>
            <w:pPr>
              <w:pStyle w:val="Compact"/>
              <w:jc w:val="left"/>
            </w:pPr>
            <w:r>
              <w:t xml:space="preserve">Licence</w:t>
            </w:r>
          </w:p>
        </w:tc>
        <w:tc>
          <w:tcPr/>
          <w:p>
            <w:pPr>
              <w:pStyle w:val="Compact"/>
              <w:jc w:val="left"/>
            </w:pPr>
            <w:r>
              <w:t xml:space="preserve">Proprietary managed service</w:t>
            </w:r>
          </w:p>
        </w:tc>
        <w:tc>
          <w:tcPr/>
          <w:p>
            <w:pPr>
              <w:pStyle w:val="Compact"/>
              <w:jc w:val="left"/>
            </w:pPr>
            <w:r>
              <w:t xml:space="preserve">Verified fact</w:t>
            </w:r>
          </w:p>
        </w:tc>
        <w:tc>
          <w:tcPr/>
          <w:p>
            <w:pPr>
              <w:pStyle w:val="Compact"/>
              <w:jc w:val="left"/>
            </w:pPr>
            <w:r>
              <w:t xml:space="preserve">A3-S047</w:t>
            </w:r>
          </w:p>
        </w:tc>
      </w:tr>
      <w:tr>
        <w:tc>
          <w:tcPr/>
          <w:p>
            <w:pPr>
              <w:pStyle w:val="Compact"/>
              <w:jc w:val="left"/>
            </w:pPr>
            <w:r>
              <w:t xml:space="preserve">Status events</w:t>
            </w:r>
          </w:p>
        </w:tc>
        <w:tc>
          <w:tcPr/>
          <w:p>
            <w:pPr>
              <w:pStyle w:val="Compact"/>
              <w:jc w:val="left"/>
            </w:pPr>
            <w:r>
              <w:t xml:space="preserve">October 2025: GA; April 2026: Gateway 3LO for MCP targets GA; VPC egress for Gateway and Identity</w:t>
            </w:r>
          </w:p>
        </w:tc>
        <w:tc>
          <w:tcPr/>
          <w:p>
            <w:pPr>
              <w:pStyle w:val="Compact"/>
              <w:jc w:val="left"/>
            </w:pPr>
            <w:r>
              <w:t xml:space="preserve">Verified fact</w:t>
            </w:r>
          </w:p>
        </w:tc>
        <w:tc>
          <w:tcPr/>
          <w:p>
            <w:pPr>
              <w:pStyle w:val="Compact"/>
              <w:jc w:val="left"/>
            </w:pPr>
            <w:r>
              <w:t xml:space="preserve">A3-S047, A3-S048</w:t>
            </w:r>
          </w:p>
        </w:tc>
      </w:tr>
      <w:tr>
        <w:tc>
          <w:tcPr/>
          <w:p>
            <w:pPr>
              <w:pStyle w:val="Compact"/>
              <w:jc w:val="left"/>
            </w:pPr>
            <w:r>
              <w:t xml:space="preserve">Strategic direction</w:t>
            </w:r>
          </w:p>
        </w:tc>
        <w:tc>
          <w:tcPr/>
          <w:p>
            <w:pPr>
              <w:pStyle w:val="Compact"/>
              <w:jc w:val="left"/>
            </w:pPr>
            <w:r>
              <w:t xml:space="preserve">AWS contributed the MCP Tasks extension and supports the stateless 2026-07-28 spec in AgentCore</w:t>
            </w:r>
          </w:p>
        </w:tc>
        <w:tc>
          <w:tcPr/>
          <w:p>
            <w:pPr>
              <w:pStyle w:val="Compact"/>
              <w:jc w:val="left"/>
            </w:pPr>
            <w:r>
              <w:t xml:space="preserve">Verified fact</w:t>
            </w:r>
          </w:p>
        </w:tc>
        <w:tc>
          <w:tcPr/>
          <w:p>
            <w:pPr>
              <w:pStyle w:val="Compact"/>
              <w:jc w:val="left"/>
            </w:pPr>
            <w:r>
              <w:t xml:space="preserve">A3-S015</w:t>
            </w:r>
          </w:p>
        </w:tc>
      </w:tr>
      <w:tr>
        <w:tc>
          <w:tcPr/>
          <w:p>
            <w:pPr>
              <w:pStyle w:val="Compact"/>
              <w:jc w:val="left"/>
            </w:pPr>
            <w:r>
              <w:t xml:space="preserve">What it does</w:t>
            </w:r>
          </w:p>
        </w:tc>
        <w:tc>
          <w:tcPr/>
          <w:p>
            <w:pPr>
              <w:pStyle w:val="Compact"/>
              <w:jc w:val="left"/>
            </w:pPr>
            <w:r>
              <w:t xml:space="preserve">Gateway converts APIs and Lambda functions into agent tools and fronts existing MCP servers with IAM or OAuth authorisation; Identity provides identity-aware authorisation, a vault for refresh tokens and integrations with OAuth services</w:t>
            </w:r>
          </w:p>
        </w:tc>
        <w:tc>
          <w:tcPr/>
          <w:p>
            <w:pPr>
              <w:pStyle w:val="Compact"/>
              <w:jc w:val="left"/>
            </w:pPr>
            <w:r>
              <w:t xml:space="preserve">Verified fact</w:t>
            </w:r>
          </w:p>
        </w:tc>
        <w:tc>
          <w:tcPr/>
          <w:p>
            <w:pPr>
              <w:pStyle w:val="Compact"/>
              <w:jc w:val="left"/>
            </w:pPr>
            <w:r>
              <w:t xml:space="preserve">A3-S047</w:t>
            </w:r>
          </w:p>
        </w:tc>
      </w:tr>
      <w:tr>
        <w:tc>
          <w:tcPr/>
          <w:p>
            <w:pPr>
              <w:pStyle w:val="Compact"/>
              <w:jc w:val="left"/>
            </w:pPr>
            <w:r>
              <w:t xml:space="preserve">Stack position</w:t>
            </w:r>
          </w:p>
        </w:tc>
        <w:tc>
          <w:tcPr/>
          <w:p>
            <w:pPr>
              <w:pStyle w:val="Compact"/>
              <w:jc w:val="left"/>
            </w:pPr>
            <w:r>
              <w:t xml:space="preserve">L4 governance sub-layer (MCP gateway) plus C4 agent identity</w:t>
            </w:r>
          </w:p>
        </w:tc>
        <w:tc>
          <w:tcPr/>
          <w:p>
            <w:pPr>
              <w:pStyle w:val="Compact"/>
              <w:jc w:val="left"/>
            </w:pPr>
            <w:r>
              <w:t xml:space="preserve">Architectural judgement</w:t>
            </w:r>
          </w:p>
        </w:tc>
        <w:tc>
          <w:tcPr/>
          <w:p>
            <w:pPr>
              <w:pStyle w:val="Compact"/>
            </w:pPr>
          </w:p>
        </w:tc>
      </w:tr>
      <w:tr>
        <w:tc>
          <w:tcPr/>
          <w:p>
            <w:pPr>
              <w:pStyle w:val="Compact"/>
              <w:jc w:val="left"/>
            </w:pPr>
            <w:r>
              <w:t xml:space="preserve">Integration</w:t>
            </w:r>
          </w:p>
        </w:tc>
        <w:tc>
          <w:tcPr/>
          <w:p>
            <w:pPr>
              <w:pStyle w:val="Compact"/>
              <w:jc w:val="left"/>
            </w:pPr>
            <w:r>
              <w:t xml:space="preserve">MCP (server-facing and client-facing), OAuth, IAM</w:t>
            </w:r>
          </w:p>
        </w:tc>
        <w:tc>
          <w:tcPr/>
          <w:p>
            <w:pPr>
              <w:pStyle w:val="Compact"/>
              <w:jc w:val="left"/>
            </w:pPr>
            <w:r>
              <w:t xml:space="preserve">Verified fact</w:t>
            </w:r>
          </w:p>
        </w:tc>
        <w:tc>
          <w:tcPr/>
          <w:p>
            <w:pPr>
              <w:pStyle w:val="Compact"/>
              <w:jc w:val="left"/>
            </w:pPr>
            <w:r>
              <w:t xml:space="preserve">A3-S047</w:t>
            </w:r>
          </w:p>
        </w:tc>
      </w:tr>
      <w:tr>
        <w:tc>
          <w:tcPr/>
          <w:p>
            <w:pPr>
              <w:pStyle w:val="Compact"/>
              <w:jc w:val="left"/>
            </w:pPr>
            <w:r>
              <w:t xml:space="preserve">Dependencies</w:t>
            </w:r>
          </w:p>
        </w:tc>
        <w:tc>
          <w:tcPr/>
          <w:p>
            <w:pPr>
              <w:pStyle w:val="Compact"/>
              <w:jc w:val="left"/>
            </w:pPr>
            <w:r>
              <w:t xml:space="preserve">AWS account and Amazon Bedrock AgentCore</w:t>
            </w:r>
          </w:p>
        </w:tc>
        <w:tc>
          <w:tcPr/>
          <w:p>
            <w:pPr>
              <w:pStyle w:val="Compact"/>
              <w:jc w:val="left"/>
            </w:pPr>
            <w:r>
              <w:t xml:space="preserve">Verified fact</w:t>
            </w:r>
          </w:p>
        </w:tc>
        <w:tc>
          <w:tcPr/>
          <w:p>
            <w:pPr>
              <w:pStyle w:val="Compact"/>
              <w:jc w:val="left"/>
            </w:pPr>
            <w:r>
              <w:t xml:space="preserve">A3-S047</w:t>
            </w:r>
          </w:p>
        </w:tc>
      </w:tr>
      <w:tr>
        <w:tc>
          <w:tcPr/>
          <w:p>
            <w:pPr>
              <w:pStyle w:val="Compact"/>
              <w:jc w:val="left"/>
            </w:pPr>
            <w:r>
              <w:t xml:space="preserve">Certifications</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GDPR / residency</w:t>
            </w:r>
          </w:p>
        </w:tc>
        <w:tc>
          <w:tcPr/>
          <w:p>
            <w:pPr>
              <w:pStyle w:val="Compact"/>
              <w:jc w:val="left"/>
            </w:pPr>
            <w:r>
              <w:t xml:space="preserve">15 AWS Regions (EU coverage not individually verified)</w:t>
            </w:r>
          </w:p>
        </w:tc>
        <w:tc>
          <w:tcPr/>
          <w:p>
            <w:pPr>
              <w:pStyle w:val="Compact"/>
              <w:jc w:val="left"/>
            </w:pPr>
            <w:r>
              <w:t xml:space="preserve">Verified fact</w:t>
            </w:r>
          </w:p>
        </w:tc>
        <w:tc>
          <w:tcPr/>
          <w:p>
            <w:pPr>
              <w:pStyle w:val="Compact"/>
              <w:jc w:val="left"/>
            </w:pPr>
            <w:r>
              <w:t xml:space="preserve">A3-S048</w:t>
            </w:r>
          </w:p>
        </w:tc>
      </w:tr>
      <w:tr>
        <w:tc>
          <w:tcPr/>
          <w:p>
            <w:pPr>
              <w:pStyle w:val="Compact"/>
              <w:jc w:val="left"/>
            </w:pPr>
            <w:r>
              <w:t xml:space="preserve">Security features</w:t>
            </w:r>
          </w:p>
        </w:tc>
        <w:tc>
          <w:tcPr/>
          <w:p>
            <w:pPr>
              <w:pStyle w:val="Compact"/>
              <w:jc w:val="left"/>
            </w:pPr>
            <w:r>
              <w:t xml:space="preserve">Refresh-token vault; IAM or OAuth for agent-to-tool calls; private networking</w:t>
            </w:r>
          </w:p>
        </w:tc>
        <w:tc>
          <w:tcPr/>
          <w:p>
            <w:pPr>
              <w:pStyle w:val="Compact"/>
              <w:jc w:val="left"/>
            </w:pPr>
            <w:r>
              <w:t xml:space="preserve">Verified fact</w:t>
            </w:r>
          </w:p>
        </w:tc>
        <w:tc>
          <w:tcPr/>
          <w:p>
            <w:pPr>
              <w:pStyle w:val="Compact"/>
              <w:jc w:val="left"/>
            </w:pPr>
            <w:r>
              <w:t xml:space="preserve">A3-S047</w:t>
            </w:r>
          </w:p>
        </w:tc>
      </w:tr>
      <w:tr>
        <w:tc>
          <w:tcPr/>
          <w:p>
            <w:pPr>
              <w:pStyle w:val="Compact"/>
              <w:jc w:val="left"/>
            </w:pPr>
            <w:r>
              <w:t xml:space="preserve">Access controls</w:t>
            </w:r>
          </w:p>
        </w:tc>
        <w:tc>
          <w:tcPr/>
          <w:p>
            <w:pPr>
              <w:pStyle w:val="Compact"/>
              <w:jc w:val="left"/>
            </w:pPr>
            <w:r>
              <w:t xml:space="preserve">Identity-aware authorisation; per-user tokens via 3LO for MCP targets</w:t>
            </w:r>
          </w:p>
        </w:tc>
        <w:tc>
          <w:tcPr/>
          <w:p>
            <w:pPr>
              <w:pStyle w:val="Compact"/>
              <w:jc w:val="left"/>
            </w:pPr>
            <w:r>
              <w:t xml:space="preserve">Verified fact</w:t>
            </w:r>
          </w:p>
        </w:tc>
        <w:tc>
          <w:tcPr/>
          <w:p>
            <w:pPr>
              <w:pStyle w:val="Compact"/>
              <w:jc w:val="left"/>
            </w:pPr>
            <w:r>
              <w:t xml:space="preserve">A3-S047, A3-S048</w:t>
            </w:r>
          </w:p>
        </w:tc>
      </w:tr>
      <w:tr>
        <w:tc>
          <w:tcPr/>
          <w:p>
            <w:pPr>
              <w:pStyle w:val="Compact"/>
              <w:jc w:val="left"/>
            </w:pPr>
            <w:r>
              <w:t xml:space="preserve">Enterprise support</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Pricing</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Infrastructure cost</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Ecosystem</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Adoption signals</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Maturity</w:t>
            </w:r>
          </w:p>
        </w:tc>
        <w:tc>
          <w:tcPr/>
          <w:p>
            <w:pPr>
              <w:pStyle w:val="Compact"/>
              <w:jc w:val="left"/>
            </w:pPr>
            <w:r>
              <w:t xml:space="preserve">GA October 2025</w:t>
            </w:r>
          </w:p>
        </w:tc>
        <w:tc>
          <w:tcPr/>
          <w:p>
            <w:pPr>
              <w:pStyle w:val="Compact"/>
              <w:jc w:val="left"/>
            </w:pPr>
            <w:r>
              <w:t xml:space="preserve">Verified fact</w:t>
            </w:r>
          </w:p>
        </w:tc>
        <w:tc>
          <w:tcPr/>
          <w:p>
            <w:pPr>
              <w:pStyle w:val="Compact"/>
              <w:jc w:val="left"/>
            </w:pPr>
            <w:r>
              <w:t xml:space="preserve">A3-S047</w:t>
            </w:r>
          </w:p>
        </w:tc>
      </w:tr>
      <w:tr>
        <w:tc>
          <w:tcPr/>
          <w:p>
            <w:pPr>
              <w:pStyle w:val="Compact"/>
              <w:jc w:val="left"/>
            </w:pPr>
            <w:r>
              <w:t xml:space="preserve">Deployment</w:t>
            </w:r>
          </w:p>
        </w:tc>
        <w:tc>
          <w:tcPr/>
          <w:p>
            <w:pPr>
              <w:pStyle w:val="Compact"/>
              <w:jc w:val="left"/>
            </w:pPr>
            <w:r>
              <w:t xml:space="preserve">saas: Yes; managed_cloud: Yes; vpc_byoc: VPC, PrivateLink and VPC egress supported; private_cloud: Not publicly verified; self_hosted: No; on_prem: No</w:t>
            </w:r>
          </w:p>
        </w:tc>
        <w:tc>
          <w:tcPr/>
          <w:p>
            <w:pPr>
              <w:pStyle w:val="Compact"/>
            </w:pPr>
          </w:p>
        </w:tc>
        <w:tc>
          <w:tcPr/>
          <w:p>
            <w:pPr>
              <w:pStyle w:val="Compact"/>
            </w:pPr>
          </w:p>
        </w:tc>
      </w:tr>
    </w:tbl>
    <w:bookmarkEnd w:id="895"/>
    <w:bookmarkStart w:id="913" w:name="X265e3ef0567125bc1878de4f3ac620f9c60e930"/>
    <w:p>
      <w:pPr>
        <w:pStyle w:val="Heading2"/>
      </w:pPr>
      <w:r>
        <w:t xml:space="preserve">Browserbase (cloud browser infrastructure) and Stagehand (open-source browser automation SDK) (</w:t>
      </w:r>
      <w:r>
        <w:rPr>
          <w:rStyle w:val="VerbatimChar"/>
        </w:rPr>
        <w:t xml:space="preserve">L4-browserbase</w:t>
      </w:r>
      <w:r>
        <w:t xml:space="preserve">)</w:t>
      </w:r>
    </w:p>
    <w:p>
      <w:pPr>
        <w:pStyle w:val="FirstParagraph"/>
      </w:pPr>
      <w:r>
        <w:rPr>
          <w:bCs/>
          <w:b/>
        </w:rPr>
        <w:t xml:space="preserve">Tier:</w:t>
      </w:r>
      <w:r>
        <w:t xml:space="preserve"> </w:t>
      </w:r>
      <w:r>
        <w:t xml:space="preserve">Tactical ·</w:t>
      </w:r>
      <w:r>
        <w:t xml:space="preserve"> </w:t>
      </w:r>
      <w:r>
        <w:rPr>
          <w:bCs/>
          <w:b/>
        </w:rPr>
        <w:t xml:space="preserve">Flags:</w:t>
      </w:r>
      <w:r>
        <w:t xml:space="preserve"> </w:t>
      </w:r>
      <w:r>
        <w:t xml:space="preserve">none ·</w:t>
      </w:r>
      <w:r>
        <w:t xml:space="preserve"> </w:t>
      </w:r>
      <w:r>
        <w:rPr>
          <w:bCs/>
          <w:b/>
        </w:rPr>
        <w:t xml:space="preserve">Original graphic label:</w:t>
      </w:r>
      <w:r>
        <w:t xml:space="preserve"> </w:t>
      </w:r>
      <w:r>
        <w:t xml:space="preserve">Browserbase – cloud browsers</w:t>
      </w:r>
    </w:p>
    <w:p>
      <w:pPr>
        <w:pStyle w:val="BodyText"/>
      </w:pPr>
      <w:r>
        <w:rPr>
          <w:iCs/>
          <w:i/>
        </w:rPr>
        <w:t xml:space="preserve">Rationale:</w:t>
      </w:r>
      <w:r>
        <w:t xml:space="preserve"> </w:t>
      </w:r>
      <w:r>
        <w:t xml:space="preserve">Well-controlled browser runtime for the narrow case where no API exists</w:t>
      </w:r>
      <w:r>
        <w:t xml:space="preserve"> </w:t>
      </w:r>
      <w:r>
        <w:rPr>
          <w:rStyle w:val="ClaimLabel"/>
        </w:rPr>
        <w:t xml:space="preserve">AJ</w:t>
      </w:r>
      <w:r>
        <w:t xml:space="preserve">.</w:t>
      </w:r>
    </w:p>
    <w:tbl>
      <w:tblPr>
        <w:tblStyle w:val="Table"/>
        <w:tblW w:type="pct" w:w="5000"/>
        <w:tblLook w:firstRow="1" w:lastRow="0" w:firstColumn="0" w:lastColumn="0" w:noHBand="0" w:noVBand="0" w:val="0020"/>
        <w:jc w:val="start"/>
      </w:tblPr>
      <w:tblGrid>
        <w:gridCol w:w="1545"/>
        <w:gridCol w:w="579"/>
        <w:gridCol w:w="5795"/>
      </w:tblGrid>
      <w:tr>
        <w:trPr>
          <w:tblHeader w:val="true"/>
        </w:trPr>
        <w:tc>
          <w:tcPr/>
          <w:p>
            <w:pPr>
              <w:pStyle w:val="Compact"/>
              <w:jc w:val="left"/>
            </w:pPr>
            <w:r>
              <w:t xml:space="preserve">Criterion</w:t>
            </w:r>
          </w:p>
        </w:tc>
        <w:tc>
          <w:tcPr/>
          <w:p>
            <w:pPr>
              <w:pStyle w:val="Compact"/>
              <w:jc w:val="right"/>
            </w:pPr>
            <w:r>
              <w:t xml:space="preserve">Score</w:t>
            </w:r>
          </w:p>
        </w:tc>
        <w:tc>
          <w:tcPr/>
          <w:p>
            <w:pPr>
              <w:pStyle w:val="Compact"/>
              <w:jc w:val="left"/>
            </w:pPr>
            <w:r>
              <w:t xml:space="preserve">Rationale</w:t>
            </w:r>
          </w:p>
        </w:tc>
      </w:tr>
      <w:tr>
        <w:tc>
          <w:tcPr/>
          <w:p>
            <w:pPr>
              <w:pStyle w:val="Compact"/>
              <w:jc w:val="left"/>
            </w:pPr>
            <w:r>
              <w:t xml:space="preserve">Technical</w:t>
            </w:r>
          </w:p>
        </w:tc>
        <w:tc>
          <w:tcPr/>
          <w:p>
            <w:pPr>
              <w:pStyle w:val="Compact"/>
              <w:jc w:val="right"/>
            </w:pPr>
            <w:r>
              <w:t xml:space="preserve">4</w:t>
            </w:r>
          </w:p>
        </w:tc>
        <w:tc>
          <w:tcPr/>
          <w:p>
            <w:pPr>
              <w:pStyle w:val="Compact"/>
              <w:jc w:val="left"/>
            </w:pPr>
            <w:r>
              <w:t xml:space="preserve">Isolated browsers plus AI interaction layer</w:t>
            </w:r>
            <w:r>
              <w:t xml:space="preserve"> </w:t>
            </w:r>
            <w:r>
              <w:rPr>
                <w:rStyle w:val="ClaimLabel"/>
              </w:rPr>
              <w:t xml:space="preserve">VF</w:t>
            </w:r>
            <w:r>
              <w:rPr>
                <w:rStyle w:val="FootnoteReference"/>
              </w:rPr>
              <w:footnoteReference w:id="896"/>
            </w:r>
          </w:p>
        </w:tc>
      </w:tr>
      <w:tr>
        <w:tc>
          <w:tcPr/>
          <w:p>
            <w:pPr>
              <w:pStyle w:val="Compact"/>
              <w:jc w:val="left"/>
            </w:pPr>
            <w:r>
              <w:t xml:space="preserve">Enterprise readiness</w:t>
            </w:r>
          </w:p>
        </w:tc>
        <w:tc>
          <w:tcPr/>
          <w:p>
            <w:pPr>
              <w:pStyle w:val="Compact"/>
              <w:jc w:val="right"/>
            </w:pPr>
            <w:r>
              <w:t xml:space="preserve">3</w:t>
            </w:r>
          </w:p>
        </w:tc>
        <w:tc>
          <w:tcPr/>
          <w:p>
            <w:pPr>
              <w:pStyle w:val="Compact"/>
              <w:jc w:val="left"/>
            </w:pPr>
            <w:r>
              <w:t xml:space="preserve">SAML SSO verified (CP2 rule 7: max 3)</w:t>
            </w:r>
            <w:r>
              <w:t xml:space="preserve"> </w:t>
            </w:r>
            <w:r>
              <w:rPr>
                <w:rStyle w:val="ClaimLabel"/>
              </w:rPr>
              <w:t xml:space="preserve">VF</w:t>
            </w:r>
            <w:r>
              <w:rPr>
                <w:rStyle w:val="FootnoteReference"/>
              </w:rPr>
              <w:footnoteReference w:id="898"/>
            </w:r>
          </w:p>
        </w:tc>
      </w:tr>
      <w:tr>
        <w:tc>
          <w:tcPr/>
          <w:p>
            <w:pPr>
              <w:pStyle w:val="Compact"/>
              <w:jc w:val="left"/>
            </w:pPr>
            <w:r>
              <w:t xml:space="preserve">Security and compliance</w:t>
            </w:r>
          </w:p>
        </w:tc>
        <w:tc>
          <w:tcPr/>
          <w:p>
            <w:pPr>
              <w:pStyle w:val="Compact"/>
              <w:jc w:val="right"/>
            </w:pPr>
            <w:r>
              <w:t xml:space="preserve">3</w:t>
            </w:r>
          </w:p>
        </w:tc>
        <w:tc>
          <w:tcPr/>
          <w:p>
            <w:pPr>
              <w:pStyle w:val="Compact"/>
              <w:jc w:val="left"/>
            </w:pPr>
            <w:r>
              <w:t xml:space="preserve">SOC 2 Type II, pen test, DPA; no ISO 27001</w:t>
            </w:r>
            <w:r>
              <w:t xml:space="preserve"> </w:t>
            </w:r>
            <w:r>
              <w:rPr>
                <w:rStyle w:val="ClaimLabel"/>
              </w:rPr>
              <w:t xml:space="preserve">VF</w:t>
            </w:r>
            <w:r>
              <w:rPr>
                <w:rStyle w:val="FootnoteReference"/>
              </w:rPr>
              <w:footnoteReference w:id="900"/>
            </w:r>
          </w:p>
        </w:tc>
      </w:tr>
      <w:tr>
        <w:tc>
          <w:tcPr/>
          <w:p>
            <w:pPr>
              <w:pStyle w:val="Compact"/>
              <w:jc w:val="left"/>
            </w:pPr>
            <w:r>
              <w:t xml:space="preserve">Deployment flexibility</w:t>
            </w:r>
          </w:p>
        </w:tc>
        <w:tc>
          <w:tcPr/>
          <w:p>
            <w:pPr>
              <w:pStyle w:val="Compact"/>
              <w:jc w:val="right"/>
            </w:pPr>
            <w:r>
              <w:t xml:space="preserve">3</w:t>
            </w:r>
          </w:p>
        </w:tc>
        <w:tc>
          <w:tcPr/>
          <w:p>
            <w:pPr>
              <w:pStyle w:val="Compact"/>
              <w:jc w:val="left"/>
            </w:pPr>
            <w:r>
              <w:t xml:space="preserve">SaaS plus VPC/private-cloud options for large enterprise</w:t>
            </w:r>
            <w:r>
              <w:t xml:space="preserve"> </w:t>
            </w:r>
            <w:r>
              <w:rPr>
                <w:rStyle w:val="ClaimLabel"/>
              </w:rPr>
              <w:t xml:space="preserve">VF</w:t>
            </w:r>
            <w:r>
              <w:rPr>
                <w:rStyle w:val="FootnoteReference"/>
              </w:rPr>
              <w:footnoteReference w:id="902"/>
            </w:r>
          </w:p>
        </w:tc>
      </w:tr>
      <w:tr>
        <w:tc>
          <w:tcPr/>
          <w:p>
            <w:pPr>
              <w:pStyle w:val="Compact"/>
              <w:jc w:val="left"/>
            </w:pPr>
            <w:r>
              <w:t xml:space="preserve">Ecosystem</w:t>
            </w:r>
          </w:p>
        </w:tc>
        <w:tc>
          <w:tcPr/>
          <w:p>
            <w:pPr>
              <w:pStyle w:val="Compact"/>
              <w:jc w:val="right"/>
            </w:pPr>
            <w:r>
              <w:t xml:space="preserve">4</w:t>
            </w:r>
          </w:p>
        </w:tc>
        <w:tc>
          <w:tcPr/>
          <w:p>
            <w:pPr>
              <w:pStyle w:val="Compact"/>
              <w:jc w:val="left"/>
            </w:pPr>
            <w:r>
              <w:t xml:space="preserve">Stagehand widely used; CDP/Playwright standard</w:t>
            </w:r>
            <w:r>
              <w:t xml:space="preserve"> </w:t>
            </w:r>
            <w:r>
              <w:rPr>
                <w:rStyle w:val="ClaimLabel"/>
              </w:rPr>
              <w:t xml:space="preserve">VF</w:t>
            </w:r>
            <w:r>
              <w:rPr>
                <w:rStyle w:val="FootnoteReference"/>
              </w:rPr>
              <w:footnoteReference w:id="903"/>
            </w:r>
          </w:p>
        </w:tc>
      </w:tr>
      <w:tr>
        <w:tc>
          <w:tcPr/>
          <w:p>
            <w:pPr>
              <w:pStyle w:val="Compact"/>
              <w:jc w:val="left"/>
            </w:pPr>
            <w:r>
              <w:t xml:space="preserve">Reliability and maturity</w:t>
            </w:r>
          </w:p>
        </w:tc>
        <w:tc>
          <w:tcPr/>
          <w:p>
            <w:pPr>
              <w:pStyle w:val="Compact"/>
              <w:jc w:val="right"/>
            </w:pPr>
            <w:r>
              <w:t xml:space="preserve">3</w:t>
            </w:r>
          </w:p>
        </w:tc>
        <w:tc>
          <w:tcPr/>
          <w:p>
            <w:pPr>
              <w:pStyle w:val="Compact"/>
              <w:jc w:val="left"/>
            </w:pPr>
            <w:r>
              <w:t xml:space="preserve">Since April 2024, 46 SDK releases; MCP repo archived</w:t>
            </w:r>
            <w:r>
              <w:t xml:space="preserve"> </w:t>
            </w:r>
            <w:r>
              <w:rPr>
                <w:rStyle w:val="ClaimLabel"/>
              </w:rPr>
              <w:t xml:space="preserve">VF</w:t>
            </w:r>
            <w:r>
              <w:rPr>
                <w:rStyle w:val="FootnoteReference"/>
              </w:rPr>
              <w:footnoteReference w:id="904"/>
            </w:r>
          </w:p>
        </w:tc>
      </w:tr>
      <w:tr>
        <w:tc>
          <w:tcPr/>
          <w:p>
            <w:pPr>
              <w:pStyle w:val="Compact"/>
              <w:jc w:val="left"/>
            </w:pPr>
            <w:r>
              <w:t xml:space="preserve">Cost / TCO</w:t>
            </w:r>
          </w:p>
        </w:tc>
        <w:tc>
          <w:tcPr/>
          <w:p>
            <w:pPr>
              <w:pStyle w:val="Compact"/>
              <w:jc w:val="right"/>
            </w:pPr>
            <w:r>
              <w:t xml:space="preserve">3</w:t>
            </w:r>
          </w:p>
        </w:tc>
        <w:tc>
          <w:tcPr/>
          <w:p>
            <w:pPr>
              <w:pStyle w:val="Compact"/>
              <w:jc w:val="left"/>
            </w:pPr>
            <w:r>
              <w:t xml:space="preserve">Transparent tiered pricing</w:t>
            </w:r>
            <w:r>
              <w:t xml:space="preserve"> </w:t>
            </w:r>
            <w:r>
              <w:rPr>
                <w:rStyle w:val="ClaimLabel"/>
              </w:rPr>
              <w:t xml:space="preserve">VF</w:t>
            </w:r>
            <w:r>
              <w:rPr>
                <w:rStyle w:val="FootnoteReference"/>
              </w:rPr>
              <w:footnoteReference w:id="905"/>
            </w:r>
          </w:p>
        </w:tc>
      </w:tr>
      <w:tr>
        <w:tc>
          <w:tcPr/>
          <w:p>
            <w:pPr>
              <w:pStyle w:val="Compact"/>
              <w:jc w:val="left"/>
            </w:pPr>
            <w:r>
              <w:t xml:space="preserve">Lock-in / portability</w:t>
            </w:r>
          </w:p>
        </w:tc>
        <w:tc>
          <w:tcPr/>
          <w:p>
            <w:pPr>
              <w:pStyle w:val="Compact"/>
              <w:jc w:val="right"/>
            </w:pPr>
            <w:r>
              <w:t xml:space="preserve">4</w:t>
            </w:r>
          </w:p>
        </w:tc>
        <w:tc>
          <w:tcPr/>
          <w:p>
            <w:pPr>
              <w:pStyle w:val="Compact"/>
              <w:jc w:val="left"/>
            </w:pPr>
            <w:r>
              <w:t xml:space="preserve">Client-side tooling open and portable; service proprietary</w:t>
            </w:r>
            <w:r>
              <w:t xml:space="preserve"> </w:t>
            </w:r>
            <w:r>
              <w:rPr>
                <w:rStyle w:val="ClaimLabel"/>
              </w:rPr>
              <w:t xml:space="preserve">AJ</w:t>
            </w:r>
          </w:p>
        </w:tc>
      </w:tr>
      <w:tr>
        <w:tc>
          <w:tcPr/>
          <w:p>
            <w:pPr>
              <w:pStyle w:val="Compact"/>
              <w:jc w:val="left"/>
            </w:pPr>
            <w:r>
              <w:rPr>
                <w:bCs/>
                <w:b/>
              </w:rPr>
              <w:t xml:space="preserve">Total (generic / FS)</w:t>
            </w:r>
          </w:p>
        </w:tc>
        <w:tc>
          <w:tcPr/>
          <w:p>
            <w:pPr>
              <w:pStyle w:val="Compact"/>
              <w:jc w:val="right"/>
            </w:pPr>
            <w:r>
              <w:rPr>
                <w:bCs/>
                <w:b/>
              </w:rPr>
              <w:t xml:space="preserve">3.35 / 3.35</w:t>
            </w:r>
          </w:p>
        </w:tc>
        <w:tc>
          <w:tcPr/>
          <w:p>
            <w:pPr>
              <w:pStyle w:val="Compact"/>
            </w:pPr>
          </w:p>
        </w:tc>
      </w:tr>
    </w:tbl>
    <w:p>
      <w:pPr>
        <w:pStyle w:val="BodyText"/>
      </w:pPr>
      <w:r>
        <w:rPr>
          <w:bCs/>
          <w:b/>
        </w:rPr>
        <w:t xml:space="preserve">Capabilities.</w:t>
      </w:r>
      <w:r>
        <w:t xml:space="preserve"> </w:t>
      </w:r>
      <w:r>
        <w:t xml:space="preserve">Managed headless browsers driven over CDP by Playwright/Puppeteer, with Stagehand (MIT) for AI-driven interaction and extraction</w:t>
      </w:r>
      <w:r>
        <w:t xml:space="preserve"> </w:t>
      </w:r>
      <w:r>
        <w:rPr>
          <w:rStyle w:val="ClaimLabel"/>
        </w:rPr>
        <w:t xml:space="preserve">VF</w:t>
      </w:r>
      <w:r>
        <w:rPr>
          <w:rStyle w:val="FootnoteReference"/>
        </w:rPr>
        <w:footnoteReference w:id="906"/>
      </w:r>
      <w:r>
        <w:t xml:space="preserve">.</w:t>
      </w:r>
    </w:p>
    <w:p>
      <w:pPr>
        <w:pStyle w:val="BodyText"/>
      </w:pPr>
      <w:r>
        <w:rPr>
          <w:bCs/>
          <w:b/>
        </w:rPr>
        <w:t xml:space="preserve">Strengths</w:t>
      </w:r>
    </w:p>
    <w:p>
      <w:pPr>
        <w:numPr>
          <w:ilvl w:val="0"/>
          <w:numId w:val="1205"/>
        </w:numPr>
        <w:pStyle w:val="Compact"/>
      </w:pPr>
      <w:r>
        <w:t xml:space="preserve">SOC 2 Type II (2025, 2026), pen test, HIPAA BAA, DPA, US/EU/Asia residency for large enterprise</w:t>
      </w:r>
      <w:r>
        <w:t xml:space="preserve"> </w:t>
      </w:r>
      <w:r>
        <w:rPr>
          <w:rStyle w:val="ClaimLabel"/>
        </w:rPr>
        <w:t xml:space="preserve">VF</w:t>
      </w:r>
      <w:r>
        <w:rPr>
          <w:rStyle w:val="FootnoteReference"/>
        </w:rPr>
        <w:footnoteReference w:id="908"/>
      </w:r>
    </w:p>
    <w:p>
      <w:pPr>
        <w:numPr>
          <w:ilvl w:val="0"/>
          <w:numId w:val="1205"/>
        </w:numPr>
        <w:pStyle w:val="Compact"/>
      </w:pPr>
      <w:r>
        <w:t xml:space="preserve">SAML SSO on Enterprise; recordings to customer S3</w:t>
      </w:r>
      <w:r>
        <w:t xml:space="preserve"> </w:t>
      </w:r>
      <w:r>
        <w:rPr>
          <w:rStyle w:val="ClaimLabel"/>
        </w:rPr>
        <w:t xml:space="preserve">VF</w:t>
      </w:r>
      <w:r>
        <w:rPr>
          <w:rStyle w:val="FootnoteReference"/>
        </w:rPr>
        <w:footnoteReference w:id="909"/>
      </w:r>
    </w:p>
    <w:p>
      <w:pPr>
        <w:numPr>
          <w:ilvl w:val="0"/>
          <w:numId w:val="1205"/>
        </w:numPr>
        <w:pStyle w:val="Compact"/>
      </w:pPr>
      <w:r>
        <w:t xml:space="preserve">Portable client side (Playwright, CDP, MIT Stagehand)</w:t>
      </w:r>
      <w:r>
        <w:t xml:space="preserve"> </w:t>
      </w:r>
      <w:r>
        <w:rPr>
          <w:rStyle w:val="ClaimLabel"/>
        </w:rPr>
        <w:t xml:space="preserve">VF</w:t>
      </w:r>
      <w:r>
        <w:rPr>
          <w:rStyle w:val="FootnoteReference"/>
        </w:rPr>
        <w:footnoteReference w:id="910"/>
      </w:r>
    </w:p>
    <w:p>
      <w:pPr>
        <w:pStyle w:val="FirstParagraph"/>
      </w:pPr>
      <w:r>
        <w:rPr>
          <w:bCs/>
          <w:b/>
        </w:rPr>
        <w:t xml:space="preserve">Limitations and risks</w:t>
      </w:r>
    </w:p>
    <w:p>
      <w:pPr>
        <w:numPr>
          <w:ilvl w:val="0"/>
          <w:numId w:val="1206"/>
        </w:numPr>
        <w:pStyle w:val="Compact"/>
      </w:pPr>
      <w:r>
        <w:t xml:space="preserve">Standalone MCP server repository archived</w:t>
      </w:r>
      <w:r>
        <w:t xml:space="preserve"> </w:t>
      </w:r>
      <w:r>
        <w:rPr>
          <w:rStyle w:val="ClaimLabel"/>
        </w:rPr>
        <w:t xml:space="preserve">VF</w:t>
      </w:r>
      <w:r>
        <w:rPr>
          <w:rStyle w:val="FootnoteReference"/>
        </w:rPr>
        <w:footnoteReference w:id="911"/>
      </w:r>
    </w:p>
    <w:p>
      <w:pPr>
        <w:numPr>
          <w:ilvl w:val="0"/>
          <w:numId w:val="1206"/>
        </w:numPr>
        <w:pStyle w:val="Compact"/>
      </w:pPr>
      <w:r>
        <w:t xml:space="preserve">No admin audit log found; plan naming inconsistent</w:t>
      </w:r>
      <w:r>
        <w:t xml:space="preserve"> </w:t>
      </w:r>
      <w:r>
        <w:rPr>
          <w:rStyle w:val="ClaimLabel"/>
        </w:rPr>
        <w:t xml:space="preserve">VF</w:t>
      </w:r>
      <w:r>
        <w:rPr>
          <w:rStyle w:val="FootnoteReference"/>
        </w:rPr>
        <w:footnoteReference w:id="912"/>
      </w:r>
      <w:r>
        <w:t xml:space="preserve"> </w:t>
      </w:r>
      <w:r>
        <w:rPr>
          <w:rStyle w:val="ClaimLabel"/>
        </w:rPr>
        <w:t xml:space="preserve">NPV</w:t>
      </w:r>
    </w:p>
    <w:p>
      <w:pPr>
        <w:numPr>
          <w:ilvl w:val="0"/>
          <w:numId w:val="1206"/>
        </w:numPr>
        <w:pStyle w:val="Compact"/>
      </w:pPr>
      <w:r>
        <w:t xml:space="preserve">Browser automation is fragile and hard to audit compared with APIs</w:t>
      </w:r>
      <w:r>
        <w:t xml:space="preserve"> </w:t>
      </w:r>
      <w:r>
        <w:rPr>
          <w:rStyle w:val="ClaimLabel"/>
        </w:rPr>
        <w:t xml:space="preserve">AJ</w:t>
      </w:r>
    </w:p>
    <w:p>
      <w:pPr>
        <w:pStyle w:val="FirstParagraph"/>
      </w:pPr>
      <w:r>
        <w:rPr>
          <w:bCs/>
          <w:b/>
        </w:rPr>
        <w:t xml:space="preserve">Choose when</w:t>
      </w:r>
    </w:p>
    <w:p>
      <w:pPr>
        <w:numPr>
          <w:ilvl w:val="0"/>
          <w:numId w:val="1207"/>
        </w:numPr>
        <w:pStyle w:val="Compact"/>
      </w:pPr>
      <w:r>
        <w:t xml:space="preserve">An agent must operate a website that has no API</w:t>
      </w:r>
      <w:r>
        <w:t xml:space="preserve"> </w:t>
      </w:r>
      <w:r>
        <w:rPr>
          <w:rStyle w:val="ClaimLabel"/>
        </w:rPr>
        <w:t xml:space="preserve">AJ</w:t>
      </w:r>
    </w:p>
    <w:p>
      <w:pPr>
        <w:pStyle w:val="FirstParagraph"/>
      </w:pPr>
      <w:r>
        <w:rPr>
          <w:bCs/>
          <w:b/>
        </w:rPr>
        <w:t xml:space="preserve">Avoid when</w:t>
      </w:r>
    </w:p>
    <w:p>
      <w:pPr>
        <w:numPr>
          <w:ilvl w:val="0"/>
          <w:numId w:val="1208"/>
        </w:numPr>
        <w:pStyle w:val="Compact"/>
      </w:pPr>
      <w:r>
        <w:t xml:space="preserve">An API or read-only data tool exists</w:t>
      </w:r>
      <w:r>
        <w:t xml:space="preserve"> </w:t>
      </w:r>
      <w:r>
        <w:rPr>
          <w:rStyle w:val="ClaimLabel"/>
        </w:rPr>
        <w:t xml:space="preserve">AJ</w:t>
      </w:r>
    </w:p>
    <w:p>
      <w:pPr>
        <w:pStyle w:val="FirstParagraph"/>
      </w:pPr>
      <w:r>
        <w:rPr>
          <w:bCs/>
          <w:b/>
        </w:rPr>
        <w:t xml:space="preserve">Nearest competitors:</w:t>
      </w:r>
      <w:r>
        <w:t xml:space="preserve"> </w:t>
      </w:r>
      <w:r>
        <w:t xml:space="preserve">L8-firecrawl, L8-apify, L4-e2b</w:t>
      </w:r>
    </w:p>
    <w:p>
      <w:pPr>
        <w:pStyle w:val="BodyText"/>
      </w:pPr>
      <w:r>
        <w:rPr>
          <w:bCs/>
          <w:b/>
        </w:rPr>
        <w:t xml:space="preserve">Regulated-FS note.</w:t>
      </w:r>
      <w:r>
        <w:t xml:space="preserve"> </w:t>
      </w:r>
      <w:r>
        <w:t xml:space="preserve">Allow-list target domains and never give browser sessions credentials to client-facing systems</w:t>
      </w:r>
      <w:r>
        <w:t xml:space="preserve"> </w:t>
      </w:r>
      <w:r>
        <w:rPr>
          <w:rStyle w:val="ClaimLabel"/>
        </w:rPr>
        <w:t xml:space="preserve">Rec</w:t>
      </w:r>
      <w:r>
        <w:t xml:space="preserve">.</w:t>
      </w:r>
    </w:p>
    <w:p>
      <w:pPr>
        <w:pStyle w:val="BodyText"/>
      </w:pPr>
      <w:r>
        <w:rPr>
          <w:bCs/>
          <w:b/>
        </w:rPr>
        <w:t xml:space="preserve">Facts (as of 2026-10-08)</w:t>
      </w:r>
    </w:p>
    <w:tbl>
      <w:tblPr>
        <w:tblStyle w:val="Table"/>
        <w:tblW w:type="pct" w:w="5000"/>
        <w:tblLook w:firstRow="1" w:lastRow="0" w:firstColumn="0" w:lastColumn="0" w:noHBand="0" w:noVBand="0" w:val="0020"/>
        <w:jc w:val="start"/>
      </w:tblPr>
      <w:tblGrid>
        <w:gridCol w:w="1485"/>
        <w:gridCol w:w="4290"/>
        <w:gridCol w:w="1320"/>
        <w:gridCol w:w="825"/>
      </w:tblGrid>
      <w:tr>
        <w:trPr>
          <w:tblHeader w:val="true"/>
        </w:trPr>
        <w:tc>
          <w:tcPr/>
          <w:p>
            <w:pPr>
              <w:pStyle w:val="Compact"/>
              <w:jc w:val="left"/>
            </w:pPr>
            <w:r>
              <w:t xml:space="preserve">Field</w:t>
            </w:r>
          </w:p>
        </w:tc>
        <w:tc>
          <w:tcPr/>
          <w:p>
            <w:pPr>
              <w:pStyle w:val="Compact"/>
              <w:jc w:val="left"/>
            </w:pPr>
            <w:r>
              <w:t xml:space="preserve">Value</w:t>
            </w:r>
          </w:p>
        </w:tc>
        <w:tc>
          <w:tcPr/>
          <w:p>
            <w:pPr>
              <w:pStyle w:val="Compact"/>
              <w:jc w:val="left"/>
            </w:pPr>
            <w:r>
              <w:t xml:space="preserve">Label</w:t>
            </w:r>
          </w:p>
        </w:tc>
        <w:tc>
          <w:tcPr/>
          <w:p>
            <w:pPr>
              <w:pStyle w:val="Compact"/>
              <w:jc w:val="left"/>
            </w:pPr>
            <w:r>
              <w:t xml:space="preserve">Sources</w:t>
            </w:r>
          </w:p>
        </w:tc>
      </w:tr>
      <w:tr>
        <w:tc>
          <w:tcPr/>
          <w:p>
            <w:pPr>
              <w:pStyle w:val="Compact"/>
              <w:jc w:val="left"/>
            </w:pPr>
            <w:r>
              <w:t xml:space="preserve">Company</w:t>
            </w:r>
          </w:p>
        </w:tc>
        <w:tc>
          <w:tcPr/>
          <w:p>
            <w:pPr>
              <w:pStyle w:val="Compact"/>
              <w:jc w:val="left"/>
            </w:pPr>
            <w:r>
              <w:t xml:space="preserve">Browserbase Inc.</w:t>
            </w:r>
          </w:p>
        </w:tc>
        <w:tc>
          <w:tcPr/>
          <w:p>
            <w:pPr>
              <w:pStyle w:val="Compact"/>
              <w:jc w:val="left"/>
            </w:pPr>
            <w:r>
              <w:t xml:space="preserve">Verified fact</w:t>
            </w:r>
          </w:p>
        </w:tc>
        <w:tc>
          <w:tcPr/>
          <w:p>
            <w:pPr>
              <w:pStyle w:val="Compact"/>
              <w:jc w:val="left"/>
            </w:pPr>
            <w:r>
              <w:t xml:space="preserve">A3-S068</w:t>
            </w:r>
          </w:p>
        </w:tc>
      </w:tr>
      <w:tr>
        <w:tc>
          <w:tcPr/>
          <w:p>
            <w:pPr>
              <w:pStyle w:val="Compact"/>
              <w:jc w:val="left"/>
            </w:pPr>
            <w:r>
              <w:t xml:space="preserve">Category</w:t>
            </w:r>
          </w:p>
        </w:tc>
        <w:tc>
          <w:tcPr/>
          <w:p>
            <w:pPr>
              <w:pStyle w:val="Compact"/>
              <w:jc w:val="left"/>
            </w:pPr>
            <w:r>
              <w:t xml:space="preserve">Managed headless-browser infrastructure for agents</w:t>
            </w:r>
          </w:p>
        </w:tc>
        <w:tc>
          <w:tcPr/>
          <w:p>
            <w:pPr>
              <w:pStyle w:val="Compact"/>
              <w:jc w:val="left"/>
            </w:pPr>
            <w:r>
              <w:t xml:space="preserve">Verified fact</w:t>
            </w:r>
          </w:p>
        </w:tc>
        <w:tc>
          <w:tcPr/>
          <w:p>
            <w:pPr>
              <w:pStyle w:val="Compact"/>
              <w:jc w:val="left"/>
            </w:pPr>
            <w:r>
              <w:t xml:space="preserve">A3-S013</w:t>
            </w:r>
          </w:p>
        </w:tc>
      </w:tr>
      <w:tr>
        <w:tc>
          <w:tcPr/>
          <w:p>
            <w:pPr>
              <w:pStyle w:val="Compact"/>
              <w:jc w:val="left"/>
            </w:pPr>
            <w:r>
              <w:t xml:space="preserve">Version / lineup</w:t>
            </w:r>
          </w:p>
        </w:tc>
        <w:tc>
          <w:tcPr/>
          <w:p>
            <w:pPr>
              <w:pStyle w:val="Compact"/>
              <w:jc w:val="left"/>
            </w:pPr>
            <w:r>
              <w:t xml:space="preserve">browserbase Python SDK 1.20.0 (24 September 2026); Stagehand 4.1.0 (9 September 2026)</w:t>
            </w:r>
          </w:p>
        </w:tc>
        <w:tc>
          <w:tcPr/>
          <w:p>
            <w:pPr>
              <w:pStyle w:val="Compact"/>
              <w:jc w:val="left"/>
            </w:pPr>
            <w:r>
              <w:t xml:space="preserve">Verified fact</w:t>
            </w:r>
          </w:p>
        </w:tc>
        <w:tc>
          <w:tcPr/>
          <w:p>
            <w:pPr>
              <w:pStyle w:val="Compact"/>
              <w:jc w:val="left"/>
            </w:pPr>
            <w:r>
              <w:t xml:space="preserve">A3-S013, A3-S076</w:t>
            </w:r>
          </w:p>
        </w:tc>
      </w:tr>
      <w:tr>
        <w:tc>
          <w:tcPr/>
          <w:p>
            <w:pPr>
              <w:pStyle w:val="Compact"/>
              <w:jc w:val="left"/>
            </w:pPr>
            <w:r>
              <w:t xml:space="preserve">Licence</w:t>
            </w:r>
          </w:p>
        </w:tc>
        <w:tc>
          <w:tcPr/>
          <w:p>
            <w:pPr>
              <w:pStyle w:val="Compact"/>
              <w:jc w:val="left"/>
            </w:pPr>
            <w:r>
              <w:t xml:space="preserve">SDK Apache-2.0; Stagehand MIT; browser service proprietary</w:t>
            </w:r>
          </w:p>
        </w:tc>
        <w:tc>
          <w:tcPr/>
          <w:p>
            <w:pPr>
              <w:pStyle w:val="Compact"/>
              <w:jc w:val="left"/>
            </w:pPr>
            <w:r>
              <w:t xml:space="preserve">Verified fact</w:t>
            </w:r>
          </w:p>
        </w:tc>
        <w:tc>
          <w:tcPr/>
          <w:p>
            <w:pPr>
              <w:pStyle w:val="Compact"/>
              <w:jc w:val="left"/>
            </w:pPr>
            <w:r>
              <w:t xml:space="preserve">A3-S013, A3-S068</w:t>
            </w:r>
          </w:p>
        </w:tc>
      </w:tr>
      <w:tr>
        <w:tc>
          <w:tcPr/>
          <w:p>
            <w:pPr>
              <w:pStyle w:val="Compact"/>
              <w:jc w:val="left"/>
            </w:pPr>
            <w:r>
              <w:t xml:space="preserve">Status events</w:t>
            </w:r>
          </w:p>
        </w:tc>
        <w:tc>
          <w:tcPr/>
          <w:p>
            <w:pPr>
              <w:pStyle w:val="Compact"/>
              <w:jc w:val="left"/>
            </w:pPr>
            <w:r>
              <w:t xml:space="preserve">browserbase/mcp-server-browserbase repository archived (status on 7 October 2026)</w:t>
            </w:r>
          </w:p>
        </w:tc>
        <w:tc>
          <w:tcPr/>
          <w:p>
            <w:pPr>
              <w:pStyle w:val="Compact"/>
              <w:jc w:val="left"/>
            </w:pPr>
            <w:r>
              <w:t xml:space="preserve">Verified fact</w:t>
            </w:r>
          </w:p>
        </w:tc>
        <w:tc>
          <w:tcPr/>
          <w:p>
            <w:pPr>
              <w:pStyle w:val="Compact"/>
              <w:jc w:val="left"/>
            </w:pPr>
            <w:r>
              <w:t xml:space="preserve">A3-S054, V1-S081</w:t>
            </w:r>
          </w:p>
        </w:tc>
      </w:tr>
      <w:tr>
        <w:tc>
          <w:tcPr/>
          <w:p>
            <w:pPr>
              <w:pStyle w:val="Compact"/>
              <w:jc w:val="left"/>
            </w:pPr>
            <w:r>
              <w:t xml:space="preserve">Strategic direction</w:t>
            </w:r>
          </w:p>
        </w:tc>
        <w:tc>
          <w:tcPr/>
          <w:p>
            <w:pPr>
              <w:pStyle w:val="Compact"/>
              <w:jc w:val="left"/>
            </w:pPr>
            <w:r>
              <w:t xml:space="preserve">Agent skills collection and Stagehand integrations with coding agents; standalone MCP server repository archived</w:t>
            </w:r>
          </w:p>
        </w:tc>
        <w:tc>
          <w:tcPr/>
          <w:p>
            <w:pPr>
              <w:pStyle w:val="Compact"/>
              <w:jc w:val="left"/>
            </w:pPr>
            <w:r>
              <w:t xml:space="preserve">Verified fact</w:t>
            </w:r>
          </w:p>
        </w:tc>
        <w:tc>
          <w:tcPr/>
          <w:p>
            <w:pPr>
              <w:pStyle w:val="Compact"/>
              <w:jc w:val="left"/>
            </w:pPr>
            <w:r>
              <w:t xml:space="preserve">A3-S054</w:t>
            </w:r>
          </w:p>
        </w:tc>
      </w:tr>
      <w:tr>
        <w:tc>
          <w:tcPr/>
          <w:p>
            <w:pPr>
              <w:pStyle w:val="Compact"/>
              <w:jc w:val="left"/>
            </w:pPr>
            <w:r>
              <w:t xml:space="preserve">What it does</w:t>
            </w:r>
          </w:p>
        </w:tc>
        <w:tc>
          <w:tcPr/>
          <w:p>
            <w:pPr>
              <w:pStyle w:val="Compact"/>
              <w:jc w:val="left"/>
            </w:pPr>
            <w:r>
              <w:t xml:space="preserve">Creates remote browser sessions that Playwright/Puppeteer connect to over CDP; Stagehand adds AI-driven interaction and data extraction</w:t>
            </w:r>
          </w:p>
        </w:tc>
        <w:tc>
          <w:tcPr/>
          <w:p>
            <w:pPr>
              <w:pStyle w:val="Compact"/>
              <w:jc w:val="left"/>
            </w:pPr>
            <w:r>
              <w:t xml:space="preserve">Verified fact</w:t>
            </w:r>
          </w:p>
        </w:tc>
        <w:tc>
          <w:tcPr/>
          <w:p>
            <w:pPr>
              <w:pStyle w:val="Compact"/>
              <w:jc w:val="left"/>
            </w:pPr>
            <w:r>
              <w:t xml:space="preserve">A3-S013, A3-S054</w:t>
            </w:r>
          </w:p>
        </w:tc>
      </w:tr>
      <w:tr>
        <w:tc>
          <w:tcPr/>
          <w:p>
            <w:pPr>
              <w:pStyle w:val="Compact"/>
              <w:jc w:val="left"/>
            </w:pPr>
            <w:r>
              <w:t xml:space="preserve">Stack position</w:t>
            </w:r>
          </w:p>
        </w:tc>
        <w:tc>
          <w:tcPr/>
          <w:p>
            <w:pPr>
              <w:pStyle w:val="Compact"/>
              <w:jc w:val="left"/>
            </w:pPr>
            <w:r>
              <w:t xml:space="preserve">L4 tool runtime (browser execution); overlaps L8 web extraction</w:t>
            </w:r>
          </w:p>
        </w:tc>
        <w:tc>
          <w:tcPr/>
          <w:p>
            <w:pPr>
              <w:pStyle w:val="Compact"/>
              <w:jc w:val="left"/>
            </w:pPr>
            <w:r>
              <w:t xml:space="preserve">Verified fact</w:t>
            </w:r>
          </w:p>
        </w:tc>
        <w:tc>
          <w:tcPr/>
          <w:p>
            <w:pPr>
              <w:pStyle w:val="Compact"/>
              <w:jc w:val="left"/>
            </w:pPr>
            <w:r>
              <w:t xml:space="preserve">A3-S013</w:t>
            </w:r>
          </w:p>
        </w:tc>
      </w:tr>
      <w:tr>
        <w:tc>
          <w:tcPr/>
          <w:p>
            <w:pPr>
              <w:pStyle w:val="Compact"/>
              <w:jc w:val="left"/>
            </w:pPr>
            <w:r>
              <w:t xml:space="preserve">Integration</w:t>
            </w:r>
          </w:p>
        </w:tc>
        <w:tc>
          <w:tcPr/>
          <w:p>
            <w:pPr>
              <w:pStyle w:val="Compact"/>
              <w:jc w:val="left"/>
            </w:pPr>
            <w:r>
              <w:t xml:space="preserve">REST API, Python/Node SDKs, CDP connect URL, Stagehand SDK, agent skills</w:t>
            </w:r>
          </w:p>
        </w:tc>
        <w:tc>
          <w:tcPr/>
          <w:p>
            <w:pPr>
              <w:pStyle w:val="Compact"/>
              <w:jc w:val="left"/>
            </w:pPr>
            <w:r>
              <w:t xml:space="preserve">Verified fact</w:t>
            </w:r>
          </w:p>
        </w:tc>
        <w:tc>
          <w:tcPr/>
          <w:p>
            <w:pPr>
              <w:pStyle w:val="Compact"/>
              <w:jc w:val="left"/>
            </w:pPr>
            <w:r>
              <w:t xml:space="preserve">A3-S013, A3-S054</w:t>
            </w:r>
          </w:p>
        </w:tc>
      </w:tr>
      <w:tr>
        <w:tc>
          <w:tcPr/>
          <w:p>
            <w:pPr>
              <w:pStyle w:val="Compact"/>
              <w:jc w:val="left"/>
            </w:pPr>
            <w:r>
              <w:t xml:space="preserve">Dependencies</w:t>
            </w:r>
          </w:p>
        </w:tc>
        <w:tc>
          <w:tcPr/>
          <w:p>
            <w:pPr>
              <w:pStyle w:val="Compact"/>
              <w:jc w:val="left"/>
            </w:pPr>
            <w:r>
              <w:t xml:space="preserve">Browserbase hosted service; Playwright/CDP client</w:t>
            </w:r>
          </w:p>
        </w:tc>
        <w:tc>
          <w:tcPr/>
          <w:p>
            <w:pPr>
              <w:pStyle w:val="Compact"/>
              <w:jc w:val="left"/>
            </w:pPr>
            <w:r>
              <w:t xml:space="preserve">Verified fact</w:t>
            </w:r>
          </w:p>
        </w:tc>
        <w:tc>
          <w:tcPr/>
          <w:p>
            <w:pPr>
              <w:pStyle w:val="Compact"/>
              <w:jc w:val="left"/>
            </w:pPr>
            <w:r>
              <w:t xml:space="preserve">A3-S013</w:t>
            </w:r>
          </w:p>
        </w:tc>
      </w:tr>
      <w:tr>
        <w:tc>
          <w:tcPr/>
          <w:p>
            <w:pPr>
              <w:pStyle w:val="Compact"/>
              <w:jc w:val="left"/>
            </w:pPr>
            <w:r>
              <w:t xml:space="preserve">Certifications</w:t>
            </w:r>
          </w:p>
        </w:tc>
        <w:tc>
          <w:tcPr/>
          <w:p>
            <w:pPr>
              <w:pStyle w:val="Compact"/>
              <w:jc w:val="left"/>
            </w:pPr>
            <w:r>
              <w:t xml:space="preserve">SOC 2 Type II reports 2025 and 2026; 2026 penetration test; HIPAA with BAA on Scale/Enterprise</w:t>
            </w:r>
          </w:p>
        </w:tc>
        <w:tc>
          <w:tcPr/>
          <w:p>
            <w:pPr>
              <w:pStyle w:val="Compact"/>
              <w:jc w:val="left"/>
            </w:pPr>
            <w:r>
              <w:t xml:space="preserve">Verified fact</w:t>
            </w:r>
          </w:p>
        </w:tc>
        <w:tc>
          <w:tcPr/>
          <w:p>
            <w:pPr>
              <w:pStyle w:val="Compact"/>
              <w:jc w:val="left"/>
            </w:pPr>
            <w:r>
              <w:t xml:space="preserve">A3-S102</w:t>
            </w:r>
          </w:p>
        </w:tc>
      </w:tr>
      <w:tr>
        <w:tc>
          <w:tcPr/>
          <w:p>
            <w:pPr>
              <w:pStyle w:val="Compact"/>
              <w:jc w:val="left"/>
            </w:pPr>
            <w:r>
              <w:t xml:space="preserve">GDPR / residency</w:t>
            </w:r>
          </w:p>
        </w:tc>
        <w:tc>
          <w:tcPr/>
          <w:p>
            <w:pPr>
              <w:pStyle w:val="Compact"/>
              <w:jc w:val="left"/>
            </w:pPr>
            <w:r>
              <w:t xml:space="preserve">Data residency controls US/EU/Asia for large enterprise customers; DPA available</w:t>
            </w:r>
          </w:p>
        </w:tc>
        <w:tc>
          <w:tcPr/>
          <w:p>
            <w:pPr>
              <w:pStyle w:val="Compact"/>
              <w:jc w:val="left"/>
            </w:pPr>
            <w:r>
              <w:t xml:space="preserve">Verified fact</w:t>
            </w:r>
          </w:p>
        </w:tc>
        <w:tc>
          <w:tcPr/>
          <w:p>
            <w:pPr>
              <w:pStyle w:val="Compact"/>
              <w:jc w:val="left"/>
            </w:pPr>
            <w:r>
              <w:t xml:space="preserve">A3-S102</w:t>
            </w:r>
          </w:p>
        </w:tc>
      </w:tr>
      <w:tr>
        <w:tc>
          <w:tcPr/>
          <w:p>
            <w:pPr>
              <w:pStyle w:val="Compact"/>
              <w:jc w:val="left"/>
            </w:pPr>
            <w:r>
              <w:t xml:space="preserve">Security features</w:t>
            </w:r>
          </w:p>
        </w:tc>
        <w:tc>
          <w:tcPr/>
          <w:p>
            <w:pPr>
              <w:pStyle w:val="Compact"/>
              <w:jc w:val="left"/>
            </w:pPr>
            <w:r>
              <w:t xml:space="preserve">Isolated browsers; VPC connectivity and private cloud options for large enterprises</w:t>
            </w:r>
          </w:p>
        </w:tc>
        <w:tc>
          <w:tcPr/>
          <w:p>
            <w:pPr>
              <w:pStyle w:val="Compact"/>
              <w:jc w:val="left"/>
            </w:pPr>
            <w:r>
              <w:t xml:space="preserve">Verified fact</w:t>
            </w:r>
          </w:p>
        </w:tc>
        <w:tc>
          <w:tcPr/>
          <w:p>
            <w:pPr>
              <w:pStyle w:val="Compact"/>
              <w:jc w:val="left"/>
            </w:pPr>
            <w:r>
              <w:t xml:space="preserve">A3-S102</w:t>
            </w:r>
          </w:p>
        </w:tc>
      </w:tr>
      <w:tr>
        <w:tc>
          <w:tcPr/>
          <w:p>
            <w:pPr>
              <w:pStyle w:val="Compact"/>
              <w:jc w:val="left"/>
            </w:pPr>
            <w:r>
              <w:t xml:space="preserve">Access controls</w:t>
            </w:r>
          </w:p>
        </w:tc>
        <w:tc>
          <w:tcPr/>
          <w:p>
            <w:pPr>
              <w:pStyle w:val="Compact"/>
              <w:jc w:val="left"/>
            </w:pPr>
            <w:r>
              <w:t xml:space="preserve">SSO on enterprise tier</w:t>
            </w:r>
          </w:p>
        </w:tc>
        <w:tc>
          <w:tcPr/>
          <w:p>
            <w:pPr>
              <w:pStyle w:val="Compact"/>
              <w:jc w:val="left"/>
            </w:pPr>
            <w:r>
              <w:t xml:space="preserve">Verified fact</w:t>
            </w:r>
          </w:p>
        </w:tc>
        <w:tc>
          <w:tcPr/>
          <w:p>
            <w:pPr>
              <w:pStyle w:val="Compact"/>
              <w:jc w:val="left"/>
            </w:pPr>
            <w:r>
              <w:t xml:space="preserve">A3-S102</w:t>
            </w:r>
          </w:p>
        </w:tc>
      </w:tr>
      <w:tr>
        <w:tc>
          <w:tcPr/>
          <w:p>
            <w:pPr>
              <w:pStyle w:val="Compact"/>
              <w:jc w:val="left"/>
            </w:pPr>
            <w:r>
              <w:t xml:space="preserve">Enterprise support</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Pricing</w:t>
            </w:r>
          </w:p>
        </w:tc>
        <w:tc>
          <w:tcPr/>
          <w:p>
            <w:pPr>
              <w:pStyle w:val="Compact"/>
              <w:jc w:val="left"/>
            </w:pPr>
            <w:r>
              <w:t xml:space="preserve">Free; Developer US$20/month; Startup US$99/month; Scale/Enterprise custom</w:t>
            </w:r>
          </w:p>
        </w:tc>
        <w:tc>
          <w:tcPr/>
          <w:p>
            <w:pPr>
              <w:pStyle w:val="Compact"/>
              <w:jc w:val="left"/>
            </w:pPr>
            <w:r>
              <w:t xml:space="preserve">Verified fact</w:t>
            </w:r>
          </w:p>
        </w:tc>
        <w:tc>
          <w:tcPr/>
          <w:p>
            <w:pPr>
              <w:pStyle w:val="Compact"/>
              <w:jc w:val="left"/>
            </w:pPr>
            <w:r>
              <w:t xml:space="preserve">A3-S102</w:t>
            </w:r>
          </w:p>
        </w:tc>
      </w:tr>
      <w:tr>
        <w:tc>
          <w:tcPr/>
          <w:p>
            <w:pPr>
              <w:pStyle w:val="Compact"/>
              <w:jc w:val="left"/>
            </w:pPr>
            <w:r>
              <w:t xml:space="preserve">Infrastructure cost</w:t>
            </w:r>
          </w:p>
        </w:tc>
        <w:tc>
          <w:tcPr/>
          <w:p>
            <w:pPr>
              <w:pStyle w:val="Compact"/>
              <w:jc w:val="left"/>
            </w:pPr>
            <w:r>
              <w:t xml:space="preserve">Not applicable (SaaS)</w:t>
            </w:r>
          </w:p>
        </w:tc>
        <w:tc>
          <w:tcPr/>
          <w:p>
            <w:pPr>
              <w:pStyle w:val="Compact"/>
              <w:jc w:val="left"/>
            </w:pPr>
            <w:r>
              <w:t xml:space="preserve">Architectural judgement</w:t>
            </w:r>
          </w:p>
        </w:tc>
        <w:tc>
          <w:tcPr/>
          <w:p>
            <w:pPr>
              <w:pStyle w:val="Compact"/>
            </w:pPr>
          </w:p>
        </w:tc>
      </w:tr>
      <w:tr>
        <w:tc>
          <w:tcPr/>
          <w:p>
            <w:pPr>
              <w:pStyle w:val="Compact"/>
              <w:jc w:val="left"/>
            </w:pPr>
            <w:r>
              <w:t xml:space="preserve">Ecosystem</w:t>
            </w:r>
          </w:p>
        </w:tc>
        <w:tc>
          <w:tcPr/>
          <w:p>
            <w:pPr>
              <w:pStyle w:val="Compact"/>
              <w:jc w:val="left"/>
            </w:pPr>
            <w:r>
              <w:t xml:space="preserve">Stagehand works with Claude Code, Codex, Mastra and others (repo description)</w:t>
            </w:r>
          </w:p>
        </w:tc>
        <w:tc>
          <w:tcPr/>
          <w:p>
            <w:pPr>
              <w:pStyle w:val="Compact"/>
              <w:jc w:val="left"/>
            </w:pPr>
            <w:r>
              <w:t xml:space="preserve">Verified fact</w:t>
            </w:r>
          </w:p>
        </w:tc>
        <w:tc>
          <w:tcPr/>
          <w:p>
            <w:pPr>
              <w:pStyle w:val="Compact"/>
              <w:jc w:val="left"/>
            </w:pPr>
            <w:r>
              <w:t xml:space="preserve">A3-S054</w:t>
            </w:r>
          </w:p>
        </w:tc>
      </w:tr>
      <w:tr>
        <w:tc>
          <w:tcPr/>
          <w:p>
            <w:pPr>
              <w:pStyle w:val="Compact"/>
              <w:jc w:val="left"/>
            </w:pPr>
            <w:r>
              <w:t xml:space="preserve">Adoption signals</w:t>
            </w:r>
          </w:p>
        </w:tc>
        <w:tc>
          <w:tcPr/>
          <w:p>
            <w:pPr>
              <w:pStyle w:val="Compact"/>
              <w:jc w:val="left"/>
            </w:pPr>
            <w:r>
              <w:t xml:space="preserve">browserbase/stagehand 25,562 GitHub stars (7 October 2026); US$40M Series B led by Notable Capital (June 2025, reported US$300M valuation)</w:t>
            </w:r>
          </w:p>
        </w:tc>
        <w:tc>
          <w:tcPr/>
          <w:p>
            <w:pPr>
              <w:pStyle w:val="Compact"/>
              <w:jc w:val="left"/>
            </w:pPr>
            <w:r>
              <w:t xml:space="preserve">Verified fact</w:t>
            </w:r>
          </w:p>
        </w:tc>
        <w:tc>
          <w:tcPr/>
          <w:p>
            <w:pPr>
              <w:pStyle w:val="Compact"/>
              <w:jc w:val="left"/>
            </w:pPr>
            <w:r>
              <w:t xml:space="preserve">A3-S054, A3-S103</w:t>
            </w:r>
          </w:p>
        </w:tc>
      </w:tr>
      <w:tr>
        <w:tc>
          <w:tcPr/>
          <w:p>
            <w:pPr>
              <w:pStyle w:val="Compact"/>
              <w:jc w:val="left"/>
            </w:pPr>
            <w:r>
              <w:t xml:space="preserve">Maturity</w:t>
            </w:r>
          </w:p>
        </w:tc>
        <w:tc>
          <w:tcPr/>
          <w:p>
            <w:pPr>
              <w:pStyle w:val="Compact"/>
              <w:jc w:val="left"/>
            </w:pPr>
            <w:r>
              <w:t xml:space="preserve">Python SDK first released April 2024; 46 releases</w:t>
            </w:r>
          </w:p>
        </w:tc>
        <w:tc>
          <w:tcPr/>
          <w:p>
            <w:pPr>
              <w:pStyle w:val="Compact"/>
              <w:jc w:val="left"/>
            </w:pPr>
            <w:r>
              <w:t xml:space="preserve">Verified fact</w:t>
            </w:r>
          </w:p>
        </w:tc>
        <w:tc>
          <w:tcPr/>
          <w:p>
            <w:pPr>
              <w:pStyle w:val="Compact"/>
              <w:jc w:val="left"/>
            </w:pPr>
            <w:r>
              <w:t xml:space="preserve">A3-S013</w:t>
            </w:r>
          </w:p>
        </w:tc>
      </w:tr>
      <w:tr>
        <w:tc>
          <w:tcPr/>
          <w:p>
            <w:pPr>
              <w:pStyle w:val="Compact"/>
              <w:jc w:val="left"/>
            </w:pPr>
            <w:r>
              <w:t xml:space="preserve">Deployment</w:t>
            </w:r>
          </w:p>
        </w:tc>
        <w:tc>
          <w:tcPr/>
          <w:p>
            <w:pPr>
              <w:pStyle w:val="Compact"/>
              <w:jc w:val="left"/>
            </w:pPr>
            <w:r>
              <w:t xml:space="preserve">saas: Yes; managed_cloud: Not publicly verified; vpc_byoc: VPC connectivity for large enterprise customers; private_cloud: Yes (private cloud options for large enterprise customers); self_hosted: Not publicly verified; on_prem: Not publicly verified</w:t>
            </w:r>
          </w:p>
        </w:tc>
        <w:tc>
          <w:tcPr/>
          <w:p>
            <w:pPr>
              <w:pStyle w:val="Compact"/>
            </w:pPr>
          </w:p>
        </w:tc>
        <w:tc>
          <w:tcPr/>
          <w:p>
            <w:pPr>
              <w:pStyle w:val="Compact"/>
            </w:pPr>
          </w:p>
        </w:tc>
      </w:tr>
    </w:tbl>
    <w:bookmarkEnd w:id="913"/>
    <w:bookmarkStart w:id="936" w:name="e2b-l4-e2b"/>
    <w:p>
      <w:pPr>
        <w:pStyle w:val="Heading2"/>
      </w:pPr>
      <w:r>
        <w:t xml:space="preserve">E2B (</w:t>
      </w:r>
      <w:r>
        <w:rPr>
          <w:rStyle w:val="VerbatimChar"/>
        </w:rPr>
        <w:t xml:space="preserve">L4-e2b</w:t>
      </w:r>
      <w:r>
        <w:t xml:space="preserve">)</w:t>
      </w:r>
    </w:p>
    <w:p>
      <w:pPr>
        <w:pStyle w:val="FirstParagraph"/>
      </w:pPr>
      <w:r>
        <w:rPr>
          <w:bCs/>
          <w:b/>
        </w:rPr>
        <w:t xml:space="preserve">Tier:</w:t>
      </w:r>
      <w:r>
        <w:t xml:space="preserve"> </w:t>
      </w:r>
      <w:r>
        <w:t xml:space="preserve">Tactical ·</w:t>
      </w:r>
      <w:r>
        <w:t xml:space="preserve"> </w:t>
      </w:r>
      <w:r>
        <w:rPr>
          <w:bCs/>
          <w:b/>
        </w:rPr>
        <w:t xml:space="preserve">Flags:</w:t>
      </w:r>
      <w:r>
        <w:t xml:space="preserve"> </w:t>
      </w:r>
      <w:r>
        <w:t xml:space="preserve">none ·</w:t>
      </w:r>
      <w:r>
        <w:t xml:space="preserve"> </w:t>
      </w:r>
      <w:r>
        <w:rPr>
          <w:bCs/>
          <w:b/>
        </w:rPr>
        <w:t xml:space="preserve">Original graphic label:</w:t>
      </w:r>
      <w:r>
        <w:t xml:space="preserve"> </w:t>
      </w:r>
      <w:r>
        <w:t xml:space="preserve">E2B – code sandboxes</w:t>
      </w:r>
    </w:p>
    <w:p>
      <w:pPr>
        <w:pStyle w:val="BodyText"/>
      </w:pPr>
      <w:r>
        <w:rPr>
          <w:iCs/>
          <w:i/>
        </w:rPr>
        <w:t xml:space="preserve">Rationale:</w:t>
      </w:r>
      <w:r>
        <w:t xml:space="preserve"> </w:t>
      </w:r>
      <w:r>
        <w:t xml:space="preserve">Reference sandbox pattern; missing enterprise identity controls keep it short of Strategic</w:t>
      </w:r>
      <w:r>
        <w:t xml:space="preserve"> </w:t>
      </w:r>
      <w:r>
        <w:rPr>
          <w:rStyle w:val="ClaimLabel"/>
        </w:rPr>
        <w:t xml:space="preserve">AJ</w:t>
      </w:r>
      <w:r>
        <w:t xml:space="preserve">.</w:t>
      </w:r>
    </w:p>
    <w:tbl>
      <w:tblPr>
        <w:tblStyle w:val="Table"/>
        <w:tblW w:type="pct" w:w="5000"/>
        <w:tblLook w:firstRow="1" w:lastRow="0" w:firstColumn="0" w:lastColumn="0" w:noHBand="0" w:noVBand="0" w:val="0020"/>
        <w:jc w:val="start"/>
      </w:tblPr>
      <w:tblGrid>
        <w:gridCol w:w="1545"/>
        <w:gridCol w:w="579"/>
        <w:gridCol w:w="5795"/>
      </w:tblGrid>
      <w:tr>
        <w:trPr>
          <w:tblHeader w:val="true"/>
        </w:trPr>
        <w:tc>
          <w:tcPr/>
          <w:p>
            <w:pPr>
              <w:pStyle w:val="Compact"/>
              <w:jc w:val="left"/>
            </w:pPr>
            <w:r>
              <w:t xml:space="preserve">Criterion</w:t>
            </w:r>
          </w:p>
        </w:tc>
        <w:tc>
          <w:tcPr/>
          <w:p>
            <w:pPr>
              <w:pStyle w:val="Compact"/>
              <w:jc w:val="right"/>
            </w:pPr>
            <w:r>
              <w:t xml:space="preserve">Score</w:t>
            </w:r>
          </w:p>
        </w:tc>
        <w:tc>
          <w:tcPr/>
          <w:p>
            <w:pPr>
              <w:pStyle w:val="Compact"/>
              <w:jc w:val="left"/>
            </w:pPr>
            <w:r>
              <w:t xml:space="preserve">Rationale</w:t>
            </w:r>
          </w:p>
        </w:tc>
      </w:tr>
      <w:tr>
        <w:tc>
          <w:tcPr/>
          <w:p>
            <w:pPr>
              <w:pStyle w:val="Compact"/>
              <w:jc w:val="left"/>
            </w:pPr>
            <w:r>
              <w:t xml:space="preserve">Technical</w:t>
            </w:r>
          </w:p>
        </w:tc>
        <w:tc>
          <w:tcPr/>
          <w:p>
            <w:pPr>
              <w:pStyle w:val="Compact"/>
              <w:jc w:val="right"/>
            </w:pPr>
            <w:r>
              <w:t xml:space="preserve">4</w:t>
            </w:r>
          </w:p>
        </w:tc>
        <w:tc>
          <w:tcPr/>
          <w:p>
            <w:pPr>
              <w:pStyle w:val="Compact"/>
              <w:jc w:val="left"/>
            </w:pPr>
            <w:r>
              <w:t xml:space="preserve">Leading isolation, egress and secrets design for code execution</w:t>
            </w:r>
            <w:r>
              <w:t xml:space="preserve"> </w:t>
            </w:r>
            <w:r>
              <w:rPr>
                <w:rStyle w:val="ClaimLabel"/>
              </w:rPr>
              <w:t xml:space="preserve">VF</w:t>
            </w:r>
            <w:r>
              <w:rPr>
                <w:rStyle w:val="FootnoteReference"/>
              </w:rPr>
              <w:footnoteReference w:id="914"/>
            </w:r>
          </w:p>
        </w:tc>
      </w:tr>
      <w:tr>
        <w:tc>
          <w:tcPr/>
          <w:p>
            <w:pPr>
              <w:pStyle w:val="Compact"/>
              <w:jc w:val="left"/>
            </w:pPr>
            <w:r>
              <w:t xml:space="preserve">Enterprise readiness</w:t>
            </w:r>
          </w:p>
        </w:tc>
        <w:tc>
          <w:tcPr/>
          <w:p>
            <w:pPr>
              <w:pStyle w:val="Compact"/>
              <w:jc w:val="right"/>
            </w:pPr>
            <w:r>
              <w:t xml:space="preserve">2</w:t>
            </w:r>
          </w:p>
        </w:tc>
        <w:tc>
          <w:tcPr/>
          <w:p>
            <w:pPr>
              <w:pStyle w:val="Compact"/>
              <w:jc w:val="left"/>
            </w:pPr>
            <w:r>
              <w:t xml:space="preserve">Capped at 2: SSO, SCIM and RBAC planned, no verified customer audit log</w:t>
            </w:r>
            <w:r>
              <w:t xml:space="preserve"> </w:t>
            </w:r>
            <w:r>
              <w:rPr>
                <w:rStyle w:val="ClaimLabel"/>
              </w:rPr>
              <w:t xml:space="preserve">VF</w:t>
            </w:r>
            <w:r>
              <w:rPr>
                <w:rStyle w:val="FootnoteReference"/>
              </w:rPr>
              <w:footnoteReference w:id="916"/>
            </w:r>
          </w:p>
        </w:tc>
      </w:tr>
      <w:tr>
        <w:tc>
          <w:tcPr/>
          <w:p>
            <w:pPr>
              <w:pStyle w:val="Compact"/>
              <w:jc w:val="left"/>
            </w:pPr>
            <w:r>
              <w:t xml:space="preserve">Security and compliance</w:t>
            </w:r>
          </w:p>
        </w:tc>
        <w:tc>
          <w:tcPr/>
          <w:p>
            <w:pPr>
              <w:pStyle w:val="Compact"/>
              <w:jc w:val="right"/>
            </w:pPr>
            <w:r>
              <w:t xml:space="preserve">3</w:t>
            </w:r>
          </w:p>
        </w:tc>
        <w:tc>
          <w:tcPr/>
          <w:p>
            <w:pPr>
              <w:pStyle w:val="Compact"/>
              <w:jc w:val="left"/>
            </w:pPr>
            <w:r>
              <w:t xml:space="preserve">SOC 2 Type II (control plane), HIPAA BAA, pen test; no ISO 27001</w:t>
            </w:r>
            <w:r>
              <w:t xml:space="preserve"> </w:t>
            </w:r>
            <w:r>
              <w:rPr>
                <w:rStyle w:val="ClaimLabel"/>
              </w:rPr>
              <w:t xml:space="preserve">VF</w:t>
            </w:r>
            <w:r>
              <w:rPr>
                <w:rStyle w:val="FootnoteReference"/>
              </w:rPr>
              <w:footnoteReference w:id="918"/>
            </w:r>
          </w:p>
        </w:tc>
      </w:tr>
      <w:tr>
        <w:tc>
          <w:tcPr/>
          <w:p>
            <w:pPr>
              <w:pStyle w:val="Compact"/>
              <w:jc w:val="left"/>
            </w:pPr>
            <w:r>
              <w:t xml:space="preserve">Deployment flexibility</w:t>
            </w:r>
          </w:p>
        </w:tc>
        <w:tc>
          <w:tcPr/>
          <w:p>
            <w:pPr>
              <w:pStyle w:val="Compact"/>
              <w:jc w:val="right"/>
            </w:pPr>
            <w:r>
              <w:t xml:space="preserve">4</w:t>
            </w:r>
          </w:p>
        </w:tc>
        <w:tc>
          <w:tcPr/>
          <w:p>
            <w:pPr>
              <w:pStyle w:val="Compact"/>
              <w:jc w:val="left"/>
            </w:pPr>
            <w:r>
              <w:t xml:space="preserve">Cloud with EU region, BYOC AWS/GCP, dedicated; no production self-host or air-gap</w:t>
            </w:r>
            <w:r>
              <w:t xml:space="preserve"> </w:t>
            </w:r>
            <w:r>
              <w:rPr>
                <w:rStyle w:val="ClaimLabel"/>
              </w:rPr>
              <w:t xml:space="preserve">VF</w:t>
            </w:r>
            <w:r>
              <w:rPr>
                <w:rStyle w:val="FootnoteReference"/>
              </w:rPr>
              <w:footnoteReference w:id="921"/>
            </w:r>
          </w:p>
        </w:tc>
      </w:tr>
      <w:tr>
        <w:tc>
          <w:tcPr/>
          <w:p>
            <w:pPr>
              <w:pStyle w:val="Compact"/>
              <w:jc w:val="left"/>
            </w:pPr>
            <w:r>
              <w:t xml:space="preserve">Ecosystem</w:t>
            </w:r>
          </w:p>
        </w:tc>
        <w:tc>
          <w:tcPr/>
          <w:p>
            <w:pPr>
              <w:pStyle w:val="Compact"/>
              <w:jc w:val="right"/>
            </w:pPr>
            <w:r>
              <w:t xml:space="preserve">4</w:t>
            </w:r>
          </w:p>
        </w:tc>
        <w:tc>
          <w:tcPr/>
          <w:p>
            <w:pPr>
              <w:pStyle w:val="Compact"/>
              <w:jc w:val="left"/>
            </w:pPr>
            <w:r>
              <w:t xml:space="preserve">SDKs, OTel export, broad agent use</w:t>
            </w:r>
            <w:r>
              <w:t xml:space="preserve"> </w:t>
            </w:r>
            <w:r>
              <w:rPr>
                <w:rStyle w:val="ClaimLabel"/>
              </w:rPr>
              <w:t xml:space="preserve">VF</w:t>
            </w:r>
            <w:r>
              <w:rPr>
                <w:rStyle w:val="FootnoteReference"/>
              </w:rPr>
              <w:footnoteReference w:id="922"/>
            </w:r>
          </w:p>
        </w:tc>
      </w:tr>
      <w:tr>
        <w:tc>
          <w:tcPr/>
          <w:p>
            <w:pPr>
              <w:pStyle w:val="Compact"/>
              <w:jc w:val="left"/>
            </w:pPr>
            <w:r>
              <w:t xml:space="preserve">Reliability and maturity</w:t>
            </w:r>
          </w:p>
        </w:tc>
        <w:tc>
          <w:tcPr/>
          <w:p>
            <w:pPr>
              <w:pStyle w:val="Compact"/>
              <w:jc w:val="right"/>
            </w:pPr>
            <w:r>
              <w:t xml:space="preserve">3</w:t>
            </w:r>
          </w:p>
        </w:tc>
        <w:tc>
          <w:tcPr/>
          <w:p>
            <w:pPr>
              <w:pStyle w:val="Compact"/>
              <w:jc w:val="left"/>
            </w:pPr>
            <w:r>
              <w:t xml:space="preserve">Since August 2023, 365 SDK releases; Series A stage</w:t>
            </w:r>
            <w:r>
              <w:t xml:space="preserve"> </w:t>
            </w:r>
            <w:r>
              <w:rPr>
                <w:rStyle w:val="ClaimLabel"/>
              </w:rPr>
              <w:t xml:space="preserve">VF</w:t>
            </w:r>
            <w:r>
              <w:rPr>
                <w:rStyle w:val="FootnoteReference"/>
              </w:rPr>
              <w:footnoteReference w:id="923"/>
            </w:r>
          </w:p>
        </w:tc>
      </w:tr>
      <w:tr>
        <w:tc>
          <w:tcPr/>
          <w:p>
            <w:pPr>
              <w:pStyle w:val="Compact"/>
              <w:jc w:val="left"/>
            </w:pPr>
            <w:r>
              <w:t xml:space="preserve">Cost / TCO</w:t>
            </w:r>
          </w:p>
        </w:tc>
        <w:tc>
          <w:tcPr/>
          <w:p>
            <w:pPr>
              <w:pStyle w:val="Compact"/>
              <w:jc w:val="right"/>
            </w:pPr>
            <w:r>
              <w:t xml:space="preserve">3</w:t>
            </w:r>
          </w:p>
        </w:tc>
        <w:tc>
          <w:tcPr/>
          <w:p>
            <w:pPr>
              <w:pStyle w:val="Compact"/>
              <w:jc w:val="left"/>
            </w:pPr>
            <w:r>
              <w:t xml:space="preserve">Published pricing but high Enterprise minimum and heavy self-host stack</w:t>
            </w:r>
            <w:r>
              <w:t xml:space="preserve"> </w:t>
            </w:r>
            <w:r>
              <w:rPr>
                <w:rStyle w:val="ClaimLabel"/>
              </w:rPr>
              <w:t xml:space="preserve">VF</w:t>
            </w:r>
            <w:r>
              <w:rPr>
                <w:rStyle w:val="FootnoteReference"/>
              </w:rPr>
              <w:footnoteReference w:id="926"/>
            </w:r>
          </w:p>
        </w:tc>
      </w:tr>
      <w:tr>
        <w:tc>
          <w:tcPr/>
          <w:p>
            <w:pPr>
              <w:pStyle w:val="Compact"/>
              <w:jc w:val="left"/>
            </w:pPr>
            <w:r>
              <w:t xml:space="preserve">Lock-in / portability</w:t>
            </w:r>
          </w:p>
        </w:tc>
        <w:tc>
          <w:tcPr/>
          <w:p>
            <w:pPr>
              <w:pStyle w:val="Compact"/>
              <w:jc w:val="right"/>
            </w:pPr>
            <w:r>
              <w:t xml:space="preserve">4</w:t>
            </w:r>
          </w:p>
        </w:tc>
        <w:tc>
          <w:tcPr/>
          <w:p>
            <w:pPr>
              <w:pStyle w:val="Compact"/>
              <w:jc w:val="left"/>
            </w:pPr>
            <w:r>
              <w:t xml:space="preserve">Apache-2.0 runtime and MIT SDK; proprietary cloud</w:t>
            </w:r>
            <w:r>
              <w:t xml:space="preserve"> </w:t>
            </w:r>
            <w:r>
              <w:rPr>
                <w:rStyle w:val="ClaimLabel"/>
              </w:rPr>
              <w:t xml:space="preserve">VF</w:t>
            </w:r>
            <w:r>
              <w:rPr>
                <w:rStyle w:val="FootnoteReference"/>
              </w:rPr>
              <w:footnoteReference w:id="927"/>
            </w:r>
          </w:p>
        </w:tc>
      </w:tr>
      <w:tr>
        <w:tc>
          <w:tcPr/>
          <w:p>
            <w:pPr>
              <w:pStyle w:val="Compact"/>
              <w:jc w:val="left"/>
            </w:pPr>
            <w:r>
              <w:rPr>
                <w:bCs/>
                <w:b/>
              </w:rPr>
              <w:t xml:space="preserve">Total (generic / FS)</w:t>
            </w:r>
          </w:p>
        </w:tc>
        <w:tc>
          <w:tcPr/>
          <w:p>
            <w:pPr>
              <w:pStyle w:val="Compact"/>
              <w:jc w:val="right"/>
            </w:pPr>
            <w:r>
              <w:rPr>
                <w:bCs/>
                <w:b/>
              </w:rPr>
              <w:t xml:space="preserve">3.35 / 3.35</w:t>
            </w:r>
          </w:p>
        </w:tc>
        <w:tc>
          <w:tcPr/>
          <w:p>
            <w:pPr>
              <w:pStyle w:val="Compact"/>
            </w:pPr>
          </w:p>
        </w:tc>
      </w:tr>
    </w:tbl>
    <w:p>
      <w:pPr>
        <w:pStyle w:val="BodyText"/>
      </w:pPr>
      <w:r>
        <w:rPr>
          <w:iCs/>
          <w:i/>
        </w:rPr>
        <w:t xml:space="preserve">Evidence rules applied:</w:t>
      </w:r>
      <w:r>
        <w:t xml:space="preserve"> </w:t>
      </w:r>
      <w:r>
        <w:t xml:space="preserve">enterprise_readiness capped at 2: SSO/SCIM/RBAC listed as planned; no verified SSO, RBAC or customer audit log (B-L4-S003)</w:t>
      </w:r>
    </w:p>
    <w:p>
      <w:pPr>
        <w:pStyle w:val="BodyText"/>
      </w:pPr>
      <w:r>
        <w:rPr>
          <w:bCs/>
          <w:b/>
        </w:rPr>
        <w:t xml:space="preserve">Capabilities.</w:t>
      </w:r>
      <w:r>
        <w:t xml:space="preserve"> </w:t>
      </w:r>
      <w:r>
        <w:t xml:space="preserve">Firecracker microVM sandboxes for AI-generated code with per-sandbox egress firewall, workload identity tokens and secrets kept out of API/logs/spans; Apache-2.0 runtime; Cloud, BYOC (AWS, GCP) and dedicated deployments</w:t>
      </w:r>
      <w:r>
        <w:t xml:space="preserve"> </w:t>
      </w:r>
      <w:r>
        <w:rPr>
          <w:rStyle w:val="ClaimLabel"/>
        </w:rPr>
        <w:t xml:space="preserve">VF</w:t>
      </w:r>
      <w:r>
        <w:rPr>
          <w:rStyle w:val="FootnoteReference"/>
        </w:rPr>
        <w:footnoteReference w:id="928"/>
      </w:r>
      <w:r>
        <w:t xml:space="preserve">.</w:t>
      </w:r>
    </w:p>
    <w:p>
      <w:pPr>
        <w:pStyle w:val="BodyText"/>
      </w:pPr>
      <w:r>
        <w:rPr>
          <w:bCs/>
          <w:b/>
        </w:rPr>
        <w:t xml:space="preserve">Strengths</w:t>
      </w:r>
    </w:p>
    <w:p>
      <w:pPr>
        <w:numPr>
          <w:ilvl w:val="0"/>
          <w:numId w:val="1209"/>
        </w:numPr>
        <w:pStyle w:val="Compact"/>
      </w:pPr>
      <w:r>
        <w:t xml:space="preserve">Strong isolation and egress model</w:t>
      </w:r>
      <w:r>
        <w:t xml:space="preserve"> </w:t>
      </w:r>
      <w:r>
        <w:rPr>
          <w:rStyle w:val="ClaimLabel"/>
        </w:rPr>
        <w:t xml:space="preserve">VF</w:t>
      </w:r>
      <w:r>
        <w:rPr>
          <w:rStyle w:val="FootnoteReference"/>
        </w:rPr>
        <w:footnoteReference w:id="929"/>
      </w:r>
    </w:p>
    <w:p>
      <w:pPr>
        <w:numPr>
          <w:ilvl w:val="0"/>
          <w:numId w:val="1209"/>
        </w:numPr>
        <w:pStyle w:val="Compact"/>
      </w:pPr>
      <w:r>
        <w:t xml:space="preserve">Open-source runtime as an exit route</w:t>
      </w:r>
      <w:r>
        <w:t xml:space="preserve"> </w:t>
      </w:r>
      <w:r>
        <w:rPr>
          <w:rStyle w:val="ClaimLabel"/>
        </w:rPr>
        <w:t xml:space="preserve">VF</w:t>
      </w:r>
      <w:r>
        <w:rPr>
          <w:rStyle w:val="FootnoteReference"/>
        </w:rPr>
        <w:footnoteReference w:id="930"/>
      </w:r>
    </w:p>
    <w:p>
      <w:pPr>
        <w:numPr>
          <w:ilvl w:val="0"/>
          <w:numId w:val="1209"/>
        </w:numPr>
        <w:pStyle w:val="Compact"/>
      </w:pPr>
      <w:r>
        <w:t xml:space="preserve">EU region and BYOC keep data in customer VPC</w:t>
      </w:r>
      <w:r>
        <w:t xml:space="preserve"> </w:t>
      </w:r>
      <w:r>
        <w:rPr>
          <w:rStyle w:val="ClaimLabel"/>
        </w:rPr>
        <w:t xml:space="preserve">VF</w:t>
      </w:r>
      <w:r>
        <w:rPr>
          <w:rStyle w:val="FootnoteReference"/>
        </w:rPr>
        <w:footnoteReference w:id="931"/>
      </w:r>
    </w:p>
    <w:p>
      <w:pPr>
        <w:pStyle w:val="FirstParagraph"/>
      </w:pPr>
      <w:r>
        <w:rPr>
          <w:bCs/>
          <w:b/>
        </w:rPr>
        <w:t xml:space="preserve">Limitations and risks</w:t>
      </w:r>
    </w:p>
    <w:p>
      <w:pPr>
        <w:numPr>
          <w:ilvl w:val="0"/>
          <w:numId w:val="1210"/>
        </w:numPr>
        <w:pStyle w:val="Compact"/>
      </w:pPr>
      <w:r>
        <w:t xml:space="preserve">SSO, SCIM and RBAC still</w:t>
      </w:r>
      <w:r>
        <w:t xml:space="preserve"> </w:t>
      </w:r>
      <w:r>
        <w:t xml:space="preserve">‘</w:t>
      </w:r>
      <w:r>
        <w:t xml:space="preserve">planned</w:t>
      </w:r>
      <w:r>
        <w:t xml:space="preserve">’</w:t>
      </w:r>
      <w:r>
        <w:t xml:space="preserve">; no customer audit-log export found</w:t>
      </w:r>
      <w:r>
        <w:t xml:space="preserve"> </w:t>
      </w:r>
      <w:r>
        <w:rPr>
          <w:rStyle w:val="ClaimLabel"/>
        </w:rPr>
        <w:t xml:space="preserve">VF</w:t>
      </w:r>
      <w:r>
        <w:rPr>
          <w:rStyle w:val="FootnoteReference"/>
        </w:rPr>
        <w:footnoteReference w:id="932"/>
      </w:r>
    </w:p>
    <w:p>
      <w:pPr>
        <w:numPr>
          <w:ilvl w:val="0"/>
          <w:numId w:val="1210"/>
        </w:numPr>
        <w:pStyle w:val="Compact"/>
      </w:pPr>
      <w:r>
        <w:t xml:space="preserve">Self-hosting is evaluation-only per vendor</w:t>
      </w:r>
      <w:r>
        <w:t xml:space="preserve"> </w:t>
      </w:r>
      <w:r>
        <w:rPr>
          <w:rStyle w:val="ClaimLabel"/>
        </w:rPr>
        <w:t xml:space="preserve">VF</w:t>
      </w:r>
      <w:r>
        <w:rPr>
          <w:rStyle w:val="FootnoteReference"/>
        </w:rPr>
        <w:footnoteReference w:id="933"/>
      </w:r>
    </w:p>
    <w:p>
      <w:pPr>
        <w:numPr>
          <w:ilvl w:val="0"/>
          <w:numId w:val="1210"/>
        </w:numPr>
        <w:pStyle w:val="Compact"/>
      </w:pPr>
      <w:r>
        <w:t xml:space="preserve">SOC 2 scope excludes customer BYOC accounts</w:t>
      </w:r>
      <w:r>
        <w:t xml:space="preserve"> </w:t>
      </w:r>
      <w:r>
        <w:rPr>
          <w:rStyle w:val="ClaimLabel"/>
        </w:rPr>
        <w:t xml:space="preserve">VF</w:t>
      </w:r>
      <w:r>
        <w:rPr>
          <w:rStyle w:val="FootnoteReference"/>
        </w:rPr>
        <w:footnoteReference w:id="934"/>
      </w:r>
    </w:p>
    <w:p>
      <w:pPr>
        <w:numPr>
          <w:ilvl w:val="0"/>
          <w:numId w:val="1210"/>
        </w:numPr>
        <w:pStyle w:val="Compact"/>
      </w:pPr>
      <w:r>
        <w:t xml:space="preserve">Enterprise minimum US$3,000 per month</w:t>
      </w:r>
      <w:r>
        <w:t xml:space="preserve"> </w:t>
      </w:r>
      <w:r>
        <w:rPr>
          <w:rStyle w:val="ClaimLabel"/>
        </w:rPr>
        <w:t xml:space="preserve">VF</w:t>
      </w:r>
      <w:r>
        <w:rPr>
          <w:rStyle w:val="FootnoteReference"/>
        </w:rPr>
        <w:footnoteReference w:id="935"/>
      </w:r>
    </w:p>
    <w:p>
      <w:pPr>
        <w:pStyle w:val="FirstParagraph"/>
      </w:pPr>
      <w:r>
        <w:rPr>
          <w:bCs/>
          <w:b/>
        </w:rPr>
        <w:t xml:space="preserve">Choose when</w:t>
      </w:r>
    </w:p>
    <w:p>
      <w:pPr>
        <w:numPr>
          <w:ilvl w:val="0"/>
          <w:numId w:val="1211"/>
        </w:numPr>
        <w:pStyle w:val="Compact"/>
      </w:pPr>
      <w:r>
        <w:t xml:space="preserve">Any generated code must run, including derived calculations</w:t>
      </w:r>
      <w:r>
        <w:t xml:space="preserve"> </w:t>
      </w:r>
      <w:r>
        <w:rPr>
          <w:rStyle w:val="ClaimLabel"/>
        </w:rPr>
        <w:t xml:space="preserve">AJ</w:t>
      </w:r>
    </w:p>
    <w:p>
      <w:pPr>
        <w:pStyle w:val="FirstParagraph"/>
      </w:pPr>
      <w:r>
        <w:rPr>
          <w:bCs/>
          <w:b/>
        </w:rPr>
        <w:t xml:space="preserve">Avoid when</w:t>
      </w:r>
    </w:p>
    <w:p>
      <w:pPr>
        <w:numPr>
          <w:ilvl w:val="0"/>
          <w:numId w:val="1212"/>
        </w:numPr>
        <w:pStyle w:val="Compact"/>
      </w:pPr>
      <w:r>
        <w:t xml:space="preserve">You need console SSO and RBAC today and cannot compensate with BYOC and your cloud IAM</w:t>
      </w:r>
      <w:r>
        <w:t xml:space="preserve"> </w:t>
      </w:r>
      <w:r>
        <w:rPr>
          <w:rStyle w:val="ClaimLabel"/>
        </w:rPr>
        <w:t xml:space="preserve">AJ</w:t>
      </w:r>
    </w:p>
    <w:p>
      <w:pPr>
        <w:pStyle w:val="FirstParagraph"/>
      </w:pPr>
      <w:r>
        <w:rPr>
          <w:bCs/>
          <w:b/>
        </w:rPr>
        <w:t xml:space="preserve">Nearest competitors:</w:t>
      </w:r>
      <w:r>
        <w:t xml:space="preserve"> </w:t>
      </w:r>
      <w:r>
        <w:t xml:space="preserve">L4-aws-agentcore-gateway-identity, LangSmith Sandboxes, Daytona / Modal (not profiled)</w:t>
      </w:r>
    </w:p>
    <w:p>
      <w:pPr>
        <w:pStyle w:val="BodyText"/>
      </w:pPr>
      <w:r>
        <w:rPr>
          <w:bCs/>
          <w:b/>
        </w:rPr>
        <w:t xml:space="preserve">Regulated-FS note.</w:t>
      </w:r>
      <w:r>
        <w:t xml:space="preserve"> </w:t>
      </w:r>
      <w:r>
        <w:t xml:space="preserve">Use BYOC or the EU region with default-deny egress; reconcile sandbox outputs to authoritative engines before use</w:t>
      </w:r>
      <w:r>
        <w:t xml:space="preserve"> </w:t>
      </w:r>
      <w:r>
        <w:rPr>
          <w:rStyle w:val="ClaimLabel"/>
        </w:rPr>
        <w:t xml:space="preserve">Rec</w:t>
      </w:r>
      <w:r>
        <w:t xml:space="preserve">.</w:t>
      </w:r>
    </w:p>
    <w:p>
      <w:pPr>
        <w:pStyle w:val="BodyText"/>
      </w:pPr>
      <w:r>
        <w:rPr>
          <w:bCs/>
          <w:b/>
        </w:rPr>
        <w:t xml:space="preserve">Facts (as of 2026-10-08)</w:t>
      </w:r>
    </w:p>
    <w:tbl>
      <w:tblPr>
        <w:tblStyle w:val="Table"/>
        <w:tblW w:type="pct" w:w="5000"/>
        <w:tblLook w:firstRow="1" w:lastRow="0" w:firstColumn="0" w:lastColumn="0" w:noHBand="0" w:noVBand="0" w:val="0020"/>
        <w:jc w:val="start"/>
      </w:tblPr>
      <w:tblGrid>
        <w:gridCol w:w="1485"/>
        <w:gridCol w:w="4290"/>
        <w:gridCol w:w="1320"/>
        <w:gridCol w:w="825"/>
      </w:tblGrid>
      <w:tr>
        <w:trPr>
          <w:tblHeader w:val="true"/>
        </w:trPr>
        <w:tc>
          <w:tcPr/>
          <w:p>
            <w:pPr>
              <w:pStyle w:val="Compact"/>
              <w:jc w:val="left"/>
            </w:pPr>
            <w:r>
              <w:t xml:space="preserve">Field</w:t>
            </w:r>
          </w:p>
        </w:tc>
        <w:tc>
          <w:tcPr/>
          <w:p>
            <w:pPr>
              <w:pStyle w:val="Compact"/>
              <w:jc w:val="left"/>
            </w:pPr>
            <w:r>
              <w:t xml:space="preserve">Value</w:t>
            </w:r>
          </w:p>
        </w:tc>
        <w:tc>
          <w:tcPr/>
          <w:p>
            <w:pPr>
              <w:pStyle w:val="Compact"/>
              <w:jc w:val="left"/>
            </w:pPr>
            <w:r>
              <w:t xml:space="preserve">Label</w:t>
            </w:r>
          </w:p>
        </w:tc>
        <w:tc>
          <w:tcPr/>
          <w:p>
            <w:pPr>
              <w:pStyle w:val="Compact"/>
              <w:jc w:val="left"/>
            </w:pPr>
            <w:r>
              <w:t xml:space="preserve">Sources</w:t>
            </w:r>
          </w:p>
        </w:tc>
      </w:tr>
      <w:tr>
        <w:tc>
          <w:tcPr/>
          <w:p>
            <w:pPr>
              <w:pStyle w:val="Compact"/>
              <w:jc w:val="left"/>
            </w:pPr>
            <w:r>
              <w:t xml:space="preserve">Company</w:t>
            </w:r>
          </w:p>
        </w:tc>
        <w:tc>
          <w:tcPr/>
          <w:p>
            <w:pPr>
              <w:pStyle w:val="Compact"/>
              <w:jc w:val="left"/>
            </w:pPr>
            <w:r>
              <w:t xml:space="preserve">E2B</w:t>
            </w:r>
          </w:p>
        </w:tc>
        <w:tc>
          <w:tcPr/>
          <w:p>
            <w:pPr>
              <w:pStyle w:val="Compact"/>
              <w:jc w:val="left"/>
            </w:pPr>
            <w:r>
              <w:t xml:space="preserve">Verified fact</w:t>
            </w:r>
          </w:p>
        </w:tc>
        <w:tc>
          <w:tcPr/>
          <w:p>
            <w:pPr>
              <w:pStyle w:val="Compact"/>
              <w:jc w:val="left"/>
            </w:pPr>
            <w:r>
              <w:t xml:space="preserve">A3-S062</w:t>
            </w:r>
          </w:p>
        </w:tc>
      </w:tr>
      <w:tr>
        <w:tc>
          <w:tcPr/>
          <w:p>
            <w:pPr>
              <w:pStyle w:val="Compact"/>
              <w:jc w:val="left"/>
            </w:pPr>
            <w:r>
              <w:t xml:space="preserve">Category</w:t>
            </w:r>
          </w:p>
        </w:tc>
        <w:tc>
          <w:tcPr/>
          <w:p>
            <w:pPr>
              <w:pStyle w:val="Compact"/>
              <w:jc w:val="left"/>
            </w:pPr>
            <w:r>
              <w:t xml:space="preserve">Secure cloud sandboxes (Firecracker microVMs) for running AI-generated code</w:t>
            </w:r>
          </w:p>
        </w:tc>
        <w:tc>
          <w:tcPr/>
          <w:p>
            <w:pPr>
              <w:pStyle w:val="Compact"/>
              <w:jc w:val="left"/>
            </w:pPr>
            <w:r>
              <w:t xml:space="preserve">Verified fact</w:t>
            </w:r>
          </w:p>
        </w:tc>
        <w:tc>
          <w:tcPr/>
          <w:p>
            <w:pPr>
              <w:pStyle w:val="Compact"/>
              <w:jc w:val="left"/>
            </w:pPr>
            <w:r>
              <w:t xml:space="preserve">A3-S062</w:t>
            </w:r>
          </w:p>
        </w:tc>
      </w:tr>
      <w:tr>
        <w:tc>
          <w:tcPr/>
          <w:p>
            <w:pPr>
              <w:pStyle w:val="Compact"/>
              <w:jc w:val="left"/>
            </w:pPr>
            <w:r>
              <w:t xml:space="preserve">Version / lineup</w:t>
            </w:r>
          </w:p>
        </w:tc>
        <w:tc>
          <w:tcPr/>
          <w:p>
            <w:pPr>
              <w:pStyle w:val="Compact"/>
              <w:jc w:val="left"/>
            </w:pPr>
            <w:r>
              <w:t xml:space="preserve">e2b SDK 2.53.1 and e2b-code-interpreter 2.10.3 (6 October 2026)</w:t>
            </w:r>
          </w:p>
        </w:tc>
        <w:tc>
          <w:tcPr/>
          <w:p>
            <w:pPr>
              <w:pStyle w:val="Compact"/>
              <w:jc w:val="left"/>
            </w:pPr>
            <w:r>
              <w:t xml:space="preserve">Verified fact</w:t>
            </w:r>
          </w:p>
        </w:tc>
        <w:tc>
          <w:tcPr/>
          <w:p>
            <w:pPr>
              <w:pStyle w:val="Compact"/>
              <w:jc w:val="left"/>
            </w:pPr>
            <w:r>
              <w:t xml:space="preserve">A3-S007</w:t>
            </w:r>
          </w:p>
        </w:tc>
      </w:tr>
      <w:tr>
        <w:tc>
          <w:tcPr/>
          <w:p>
            <w:pPr>
              <w:pStyle w:val="Compact"/>
              <w:jc w:val="left"/>
            </w:pPr>
            <w:r>
              <w:t xml:space="preserve">Licence</w:t>
            </w:r>
          </w:p>
        </w:tc>
        <w:tc>
          <w:tcPr/>
          <w:p>
            <w:pPr>
              <w:pStyle w:val="Compact"/>
              <w:jc w:val="left"/>
            </w:pPr>
            <w:r>
              <w:t xml:space="preserve">Open source: SDK MIT; E2B Runtime (control plane, orchestrator, in-VM agent) Apache-2.0; E2B Cloud hosted service</w:t>
            </w:r>
          </w:p>
        </w:tc>
        <w:tc>
          <w:tcPr/>
          <w:p>
            <w:pPr>
              <w:pStyle w:val="Compact"/>
              <w:jc w:val="left"/>
            </w:pPr>
            <w:r>
              <w:t xml:space="preserve">Verified fact</w:t>
            </w:r>
          </w:p>
        </w:tc>
        <w:tc>
          <w:tcPr/>
          <w:p>
            <w:pPr>
              <w:pStyle w:val="Compact"/>
              <w:jc w:val="left"/>
            </w:pPr>
            <w:r>
              <w:t xml:space="preserve">A3-S007, A3-S062</w:t>
            </w:r>
          </w:p>
        </w:tc>
      </w:tr>
      <w:tr>
        <w:tc>
          <w:tcPr/>
          <w:p>
            <w:pPr>
              <w:pStyle w:val="Compact"/>
              <w:jc w:val="left"/>
            </w:pPr>
            <w:r>
              <w:t xml:space="preserve">Strategic direction</w:t>
            </w:r>
          </w:p>
        </w:tc>
        <w:tc>
          <w:tcPr/>
          <w:p>
            <w:pPr>
              <w:pStyle w:val="Compact"/>
              <w:jc w:val="left"/>
            </w:pPr>
            <w:r>
              <w:t xml:space="preserve">Positions itself as</w:t>
            </w:r>
            <w:r>
              <w:t xml:space="preserve"> </w:t>
            </w:r>
            <w:r>
              <w:t xml:space="preserve">‘</w:t>
            </w:r>
            <w:r>
              <w:t xml:space="preserve">the AI agent cloud</w:t>
            </w:r>
            <w:r>
              <w:t xml:space="preserve">’</w:t>
            </w:r>
            <w:r>
              <w:t xml:space="preserve">: snapshot-resume microVMs, pause/resume, forking running sandboxes, persistent volumes, secrets and workload identity</w:t>
            </w:r>
          </w:p>
        </w:tc>
        <w:tc>
          <w:tcPr/>
          <w:p>
            <w:pPr>
              <w:pStyle w:val="Compact"/>
              <w:jc w:val="left"/>
            </w:pPr>
            <w:r>
              <w:t xml:space="preserve">Verified fact</w:t>
            </w:r>
          </w:p>
        </w:tc>
        <w:tc>
          <w:tcPr/>
          <w:p>
            <w:pPr>
              <w:pStyle w:val="Compact"/>
              <w:jc w:val="left"/>
            </w:pPr>
            <w:r>
              <w:t xml:space="preserve">A3-S062</w:t>
            </w:r>
          </w:p>
        </w:tc>
      </w:tr>
      <w:tr>
        <w:tc>
          <w:tcPr/>
          <w:p>
            <w:pPr>
              <w:pStyle w:val="Compact"/>
              <w:jc w:val="left"/>
            </w:pPr>
            <w:r>
              <w:t xml:space="preserve">What it does</w:t>
            </w:r>
          </w:p>
        </w:tc>
        <w:tc>
          <w:tcPr/>
          <w:p>
            <w:pPr>
              <w:pStyle w:val="Compact"/>
              <w:jc w:val="left"/>
            </w:pPr>
            <w:r>
              <w:t xml:space="preserve">Starts isolated sandboxes from pre-booted templates, runs commands and code, exposes ports via sandbox URLs and pauses idle sandboxes</w:t>
            </w:r>
          </w:p>
        </w:tc>
        <w:tc>
          <w:tcPr/>
          <w:p>
            <w:pPr>
              <w:pStyle w:val="Compact"/>
              <w:jc w:val="left"/>
            </w:pPr>
            <w:r>
              <w:t xml:space="preserve">Verified fact</w:t>
            </w:r>
          </w:p>
        </w:tc>
        <w:tc>
          <w:tcPr/>
          <w:p>
            <w:pPr>
              <w:pStyle w:val="Compact"/>
              <w:jc w:val="left"/>
            </w:pPr>
            <w:r>
              <w:t xml:space="preserve">A3-S062, A3-S007</w:t>
            </w:r>
          </w:p>
        </w:tc>
      </w:tr>
      <w:tr>
        <w:tc>
          <w:tcPr/>
          <w:p>
            <w:pPr>
              <w:pStyle w:val="Compact"/>
              <w:jc w:val="left"/>
            </w:pPr>
            <w:r>
              <w:t xml:space="preserve">Stack position</w:t>
            </w:r>
          </w:p>
        </w:tc>
        <w:tc>
          <w:tcPr/>
          <w:p>
            <w:pPr>
              <w:pStyle w:val="Compact"/>
              <w:jc w:val="left"/>
            </w:pPr>
            <w:r>
              <w:t xml:space="preserve">L4 tool runtime (code execution); also a C7 sandboxing control</w:t>
            </w:r>
          </w:p>
        </w:tc>
        <w:tc>
          <w:tcPr/>
          <w:p>
            <w:pPr>
              <w:pStyle w:val="Compact"/>
              <w:jc w:val="left"/>
            </w:pPr>
            <w:r>
              <w:t xml:space="preserve">Verified fact</w:t>
            </w:r>
          </w:p>
        </w:tc>
        <w:tc>
          <w:tcPr/>
          <w:p>
            <w:pPr>
              <w:pStyle w:val="Compact"/>
              <w:jc w:val="left"/>
            </w:pPr>
            <w:r>
              <w:t xml:space="preserve">A3-S062</w:t>
            </w:r>
          </w:p>
        </w:tc>
      </w:tr>
      <w:tr>
        <w:tc>
          <w:tcPr/>
          <w:p>
            <w:pPr>
              <w:pStyle w:val="Compact"/>
              <w:jc w:val="left"/>
            </w:pPr>
            <w:r>
              <w:t xml:space="preserve">Integration</w:t>
            </w:r>
          </w:p>
        </w:tc>
        <w:tc>
          <w:tcPr/>
          <w:p>
            <w:pPr>
              <w:pStyle w:val="Compact"/>
              <w:jc w:val="left"/>
            </w:pPr>
            <w:r>
              <w:t xml:space="preserve">Python/JavaScript SDKs and CLI; REST API; envd in-VM API over Connect RPC/REST</w:t>
            </w:r>
          </w:p>
        </w:tc>
        <w:tc>
          <w:tcPr/>
          <w:p>
            <w:pPr>
              <w:pStyle w:val="Compact"/>
              <w:jc w:val="left"/>
            </w:pPr>
            <w:r>
              <w:t xml:space="preserve">Verified fact</w:t>
            </w:r>
          </w:p>
        </w:tc>
        <w:tc>
          <w:tcPr/>
          <w:p>
            <w:pPr>
              <w:pStyle w:val="Compact"/>
              <w:jc w:val="left"/>
            </w:pPr>
            <w:r>
              <w:t xml:space="preserve">A3-S062</w:t>
            </w:r>
          </w:p>
        </w:tc>
      </w:tr>
      <w:tr>
        <w:tc>
          <w:tcPr/>
          <w:p>
            <w:pPr>
              <w:pStyle w:val="Compact"/>
              <w:jc w:val="left"/>
            </w:pPr>
            <w:r>
              <w:t xml:space="preserve">Dependencies</w:t>
            </w:r>
          </w:p>
        </w:tc>
        <w:tc>
          <w:tcPr/>
          <w:p>
            <w:pPr>
              <w:pStyle w:val="Compact"/>
              <w:jc w:val="left"/>
            </w:pPr>
            <w:r>
              <w:t xml:space="preserve">Self-hosting needs Linux with KVM; runtime uses PostgreSQL, Redis, ClickHouse and object storage</w:t>
            </w:r>
          </w:p>
        </w:tc>
        <w:tc>
          <w:tcPr/>
          <w:p>
            <w:pPr>
              <w:pStyle w:val="Compact"/>
              <w:jc w:val="left"/>
            </w:pPr>
            <w:r>
              <w:t xml:space="preserve">Verified fact</w:t>
            </w:r>
          </w:p>
        </w:tc>
        <w:tc>
          <w:tcPr/>
          <w:p>
            <w:pPr>
              <w:pStyle w:val="Compact"/>
              <w:jc w:val="left"/>
            </w:pPr>
            <w:r>
              <w:t xml:space="preserve">A3-S062</w:t>
            </w:r>
          </w:p>
        </w:tc>
      </w:tr>
      <w:tr>
        <w:tc>
          <w:tcPr/>
          <w:p>
            <w:pPr>
              <w:pStyle w:val="Compact"/>
              <w:jc w:val="left"/>
            </w:pPr>
            <w:r>
              <w:t xml:space="preserve">Certifications</w:t>
            </w:r>
          </w:p>
        </w:tc>
        <w:tc>
          <w:tcPr/>
          <w:p>
            <w:pPr>
              <w:pStyle w:val="Compact"/>
              <w:jc w:val="left"/>
            </w:pPr>
            <w:r>
              <w:t xml:space="preserve">SOC 2 Type II (covers E2B software and control plane; BYOC cloud account is customer’s responsibility); HIPAA BAA on Enterprise; pen test and DPA in trust centre</w:t>
            </w:r>
          </w:p>
        </w:tc>
        <w:tc>
          <w:tcPr/>
          <w:p>
            <w:pPr>
              <w:pStyle w:val="Compact"/>
              <w:jc w:val="left"/>
            </w:pPr>
            <w:r>
              <w:t xml:space="preserve">Verified fact</w:t>
            </w:r>
          </w:p>
        </w:tc>
        <w:tc>
          <w:tcPr/>
          <w:p>
            <w:pPr>
              <w:pStyle w:val="Compact"/>
              <w:jc w:val="left"/>
            </w:pPr>
            <w:r>
              <w:t xml:space="preserve">A3-S104, A3-S120, V1-S096</w:t>
            </w:r>
          </w:p>
        </w:tc>
      </w:tr>
      <w:tr>
        <w:tc>
          <w:tcPr/>
          <w:p>
            <w:pPr>
              <w:pStyle w:val="Compact"/>
              <w:jc w:val="left"/>
            </w:pPr>
            <w:r>
              <w:t xml:space="preserve">GDPR / residency</w:t>
            </w:r>
          </w:p>
        </w:tc>
        <w:tc>
          <w:tcPr/>
          <w:p>
            <w:pPr>
              <w:pStyle w:val="Compact"/>
              <w:jc w:val="left"/>
            </w:pPr>
            <w:r>
              <w:t xml:space="preserve">Managed regions US (default), EU and APAC (EU/APAC on Pro and above, enabled by support); regions do not share state; BYOC on AWS and GCP keeps traffic and logs in customer VPC</w:t>
            </w:r>
          </w:p>
        </w:tc>
        <w:tc>
          <w:tcPr/>
          <w:p>
            <w:pPr>
              <w:pStyle w:val="Compact"/>
              <w:jc w:val="left"/>
            </w:pPr>
            <w:r>
              <w:t xml:space="preserve">Verified fact</w:t>
            </w:r>
          </w:p>
        </w:tc>
        <w:tc>
          <w:tcPr/>
          <w:p>
            <w:pPr>
              <w:pStyle w:val="Compact"/>
              <w:jc w:val="left"/>
            </w:pPr>
            <w:r>
              <w:t xml:space="preserve">A3-S120, A3-S104</w:t>
            </w:r>
          </w:p>
        </w:tc>
      </w:tr>
      <w:tr>
        <w:tc>
          <w:tcPr/>
          <w:p>
            <w:pPr>
              <w:pStyle w:val="Compact"/>
              <w:jc w:val="left"/>
            </w:pPr>
            <w:r>
              <w:t xml:space="preserve">Security features</w:t>
            </w:r>
          </w:p>
        </w:tc>
        <w:tc>
          <w:tcPr/>
          <w:p>
            <w:pPr>
              <w:pStyle w:val="Compact"/>
              <w:jc w:val="left"/>
            </w:pPr>
            <w:r>
              <w:t xml:space="preserve">One Firecracker microVM per sandbox with own cgroup and network namespace; per-sandbox nftables egress firewall with domain allow/deny lists; secrets never cross API/logs/spans; short-lived workload identity tokens; per-sandbox access tokens for URLs</w:t>
            </w:r>
          </w:p>
        </w:tc>
        <w:tc>
          <w:tcPr/>
          <w:p>
            <w:pPr>
              <w:pStyle w:val="Compact"/>
              <w:jc w:val="left"/>
            </w:pPr>
            <w:r>
              <w:t xml:space="preserve">Verified fact</w:t>
            </w:r>
          </w:p>
        </w:tc>
        <w:tc>
          <w:tcPr/>
          <w:p>
            <w:pPr>
              <w:pStyle w:val="Compact"/>
              <w:jc w:val="left"/>
            </w:pPr>
            <w:r>
              <w:t xml:space="preserve">A3-S062</w:t>
            </w:r>
          </w:p>
        </w:tc>
      </w:tr>
      <w:tr>
        <w:tc>
          <w:tcPr/>
          <w:p>
            <w:pPr>
              <w:pStyle w:val="Compact"/>
              <w:jc w:val="left"/>
            </w:pPr>
            <w:r>
              <w:t xml:space="preserve">Access controls</w:t>
            </w:r>
          </w:p>
        </w:tc>
        <w:tc>
          <w:tcPr/>
          <w:p>
            <w:pPr>
              <w:pStyle w:val="Compact"/>
              <w:jc w:val="left"/>
            </w:pPr>
            <w:r>
              <w:t xml:space="preserve">SSO, SCIM and RBAC listed as planned on Enterprise page (page about 436 days old); Enterprise telemetry to customer OTLP endpoint and signed lifecycle webhooks</w:t>
            </w:r>
          </w:p>
        </w:tc>
        <w:tc>
          <w:tcPr/>
          <w:p>
            <w:pPr>
              <w:pStyle w:val="Compact"/>
              <w:jc w:val="left"/>
            </w:pPr>
            <w:r>
              <w:t xml:space="preserve">Verified fact</w:t>
            </w:r>
          </w:p>
        </w:tc>
        <w:tc>
          <w:tcPr/>
          <w:p>
            <w:pPr>
              <w:pStyle w:val="Compact"/>
              <w:jc w:val="left"/>
            </w:pPr>
            <w:r>
              <w:t xml:space="preserve">A3-S120</w:t>
            </w:r>
          </w:p>
        </w:tc>
      </w:tr>
      <w:tr>
        <w:tc>
          <w:tcPr/>
          <w:p>
            <w:pPr>
              <w:pStyle w:val="Compact"/>
              <w:jc w:val="left"/>
            </w:pPr>
            <w:r>
              <w:t xml:space="preserve">Enterprise support</w:t>
            </w:r>
          </w:p>
        </w:tc>
        <w:tc>
          <w:tcPr/>
          <w:p>
            <w:pPr>
              <w:pStyle w:val="Compact"/>
              <w:jc w:val="left"/>
            </w:pPr>
            <w:r>
              <w:t xml:space="preserve">Enterprise dedicated deployments offered</w:t>
            </w:r>
          </w:p>
        </w:tc>
        <w:tc>
          <w:tcPr/>
          <w:p>
            <w:pPr>
              <w:pStyle w:val="Compact"/>
              <w:jc w:val="left"/>
            </w:pPr>
            <w:r>
              <w:t xml:space="preserve">Verified fact</w:t>
            </w:r>
          </w:p>
        </w:tc>
        <w:tc>
          <w:tcPr/>
          <w:p>
            <w:pPr>
              <w:pStyle w:val="Compact"/>
              <w:jc w:val="left"/>
            </w:pPr>
            <w:r>
              <w:t xml:space="preserve">A3-S062</w:t>
            </w:r>
          </w:p>
        </w:tc>
      </w:tr>
      <w:tr>
        <w:tc>
          <w:tcPr/>
          <w:p>
            <w:pPr>
              <w:pStyle w:val="Compact"/>
              <w:jc w:val="left"/>
            </w:pPr>
            <w:r>
              <w:t xml:space="preserve">Pricing</w:t>
            </w:r>
          </w:p>
        </w:tc>
        <w:tc>
          <w:tcPr/>
          <w:p>
            <w:pPr>
              <w:pStyle w:val="Compact"/>
              <w:jc w:val="left"/>
            </w:pPr>
            <w:r>
              <w:t xml:space="preserve">Hobby free (one-time US$100 credit); Pro US$150/month plus usage; Enterprise custom with US$3,000/month minimum; per-second billing, paused sandboxes not billed</w:t>
            </w:r>
          </w:p>
        </w:tc>
        <w:tc>
          <w:tcPr/>
          <w:p>
            <w:pPr>
              <w:pStyle w:val="Compact"/>
              <w:jc w:val="left"/>
            </w:pPr>
            <w:r>
              <w:t xml:space="preserve">Verified fact</w:t>
            </w:r>
          </w:p>
        </w:tc>
        <w:tc>
          <w:tcPr/>
          <w:p>
            <w:pPr>
              <w:pStyle w:val="Compact"/>
              <w:jc w:val="left"/>
            </w:pPr>
            <w:r>
              <w:t xml:space="preserve">A3-S104</w:t>
            </w:r>
          </w:p>
        </w:tc>
      </w:tr>
      <w:tr>
        <w:tc>
          <w:tcPr/>
          <w:p>
            <w:pPr>
              <w:pStyle w:val="Compact"/>
              <w:jc w:val="left"/>
            </w:pPr>
            <w:r>
              <w:t xml:space="preserve">Infrastructure cost</w:t>
            </w:r>
          </w:p>
        </w:tc>
        <w:tc>
          <w:tcPr/>
          <w:p>
            <w:pPr>
              <w:pStyle w:val="Compact"/>
              <w:jc w:val="left"/>
            </w:pPr>
            <w:r>
              <w:t xml:space="preserve">Self-host cost drivers: KVM hosts, object storage for templates/snapshots, PostgreSQL, Redis and ClickHouse</w:t>
            </w:r>
          </w:p>
        </w:tc>
        <w:tc>
          <w:tcPr/>
          <w:p>
            <w:pPr>
              <w:pStyle w:val="Compact"/>
              <w:jc w:val="left"/>
            </w:pPr>
            <w:r>
              <w:t xml:space="preserve">Verified fact</w:t>
            </w:r>
          </w:p>
        </w:tc>
        <w:tc>
          <w:tcPr/>
          <w:p>
            <w:pPr>
              <w:pStyle w:val="Compact"/>
              <w:jc w:val="left"/>
            </w:pPr>
            <w:r>
              <w:t xml:space="preserve">A3-S062</w:t>
            </w:r>
          </w:p>
        </w:tc>
      </w:tr>
      <w:tr>
        <w:tc>
          <w:tcPr/>
          <w:p>
            <w:pPr>
              <w:pStyle w:val="Compact"/>
              <w:jc w:val="left"/>
            </w:pPr>
            <w:r>
              <w:t xml:space="preserve">Ecosystem</w:t>
            </w:r>
          </w:p>
        </w:tc>
        <w:tc>
          <w:tcPr/>
          <w:p>
            <w:pPr>
              <w:pStyle w:val="Compact"/>
              <w:jc w:val="left"/>
            </w:pPr>
            <w:r>
              <w:t xml:space="preserve">OpenTelemetry export built in</w:t>
            </w:r>
          </w:p>
        </w:tc>
        <w:tc>
          <w:tcPr/>
          <w:p>
            <w:pPr>
              <w:pStyle w:val="Compact"/>
              <w:jc w:val="left"/>
            </w:pPr>
            <w:r>
              <w:t xml:space="preserve">Verified fact</w:t>
            </w:r>
          </w:p>
        </w:tc>
        <w:tc>
          <w:tcPr/>
          <w:p>
            <w:pPr>
              <w:pStyle w:val="Compact"/>
              <w:jc w:val="left"/>
            </w:pPr>
            <w:r>
              <w:t xml:space="preserve">A3-S062</w:t>
            </w:r>
          </w:p>
        </w:tc>
      </w:tr>
      <w:tr>
        <w:tc>
          <w:tcPr/>
          <w:p>
            <w:pPr>
              <w:pStyle w:val="Compact"/>
              <w:jc w:val="left"/>
            </w:pPr>
            <w:r>
              <w:t xml:space="preserve">Adoption signals</w:t>
            </w:r>
          </w:p>
        </w:tc>
        <w:tc>
          <w:tcPr/>
          <w:p>
            <w:pPr>
              <w:pStyle w:val="Compact"/>
              <w:jc w:val="left"/>
            </w:pPr>
            <w:r>
              <w:t xml:space="preserve">e2b-dev/E2B 14,219 GitHub stars (7 October 2026); US$21M Series A led by Insight Partners (July 2025); vendor claims 88% of Fortune 100 signed up</w:t>
            </w:r>
          </w:p>
        </w:tc>
        <w:tc>
          <w:tcPr/>
          <w:p>
            <w:pPr>
              <w:pStyle w:val="Compact"/>
              <w:jc w:val="left"/>
            </w:pPr>
            <w:r>
              <w:t xml:space="preserve">Verified fact</w:t>
            </w:r>
          </w:p>
        </w:tc>
        <w:tc>
          <w:tcPr/>
          <w:p>
            <w:pPr>
              <w:pStyle w:val="Compact"/>
              <w:jc w:val="left"/>
            </w:pPr>
            <w:r>
              <w:t xml:space="preserve">A3-S054, A3-S105</w:t>
            </w:r>
          </w:p>
        </w:tc>
      </w:tr>
      <w:tr>
        <w:tc>
          <w:tcPr/>
          <w:p>
            <w:pPr>
              <w:pStyle w:val="Compact"/>
              <w:jc w:val="left"/>
            </w:pPr>
            <w:r>
              <w:t xml:space="preserve">Maturity</w:t>
            </w:r>
          </w:p>
        </w:tc>
        <w:tc>
          <w:tcPr/>
          <w:p>
            <w:pPr>
              <w:pStyle w:val="Compact"/>
              <w:jc w:val="left"/>
            </w:pPr>
            <w:r>
              <w:t xml:space="preserve">SDK first released August 2023; 365 releases</w:t>
            </w:r>
          </w:p>
        </w:tc>
        <w:tc>
          <w:tcPr/>
          <w:p>
            <w:pPr>
              <w:pStyle w:val="Compact"/>
              <w:jc w:val="left"/>
            </w:pPr>
            <w:r>
              <w:t xml:space="preserve">Verified fact</w:t>
            </w:r>
          </w:p>
        </w:tc>
        <w:tc>
          <w:tcPr/>
          <w:p>
            <w:pPr>
              <w:pStyle w:val="Compact"/>
              <w:jc w:val="left"/>
            </w:pPr>
            <w:r>
              <w:t xml:space="preserve">A3-S007</w:t>
            </w:r>
          </w:p>
        </w:tc>
      </w:tr>
      <w:tr>
        <w:tc>
          <w:tcPr/>
          <w:p>
            <w:pPr>
              <w:pStyle w:val="Compact"/>
              <w:jc w:val="left"/>
            </w:pPr>
            <w:r>
              <w:t xml:space="preserve">Deployment</w:t>
            </w:r>
          </w:p>
        </w:tc>
        <w:tc>
          <w:tcPr/>
          <w:p>
            <w:pPr>
              <w:pStyle w:val="Compact"/>
              <w:jc w:val="left"/>
            </w:pPr>
            <w:r>
              <w:t xml:space="preserve">saas: Yes (E2B Cloud); managed_cloud: Yes (dedicated deployment run by E2B inside customer account); vpc_byoc: Yes (BYOC on AWS and GCP; Azure not yet per docs, listed on Enterprise page - conflict); private_cloud: Not publicly verified; self_hosted: Yes for evaluation (E2B Embed single host; GCP Terraform and Kubernetes manifests) - vendor says not a production pattern; on_prem: Not publicly verified</w:t>
            </w:r>
          </w:p>
        </w:tc>
        <w:tc>
          <w:tcPr/>
          <w:p>
            <w:pPr>
              <w:pStyle w:val="Compact"/>
            </w:pPr>
          </w:p>
        </w:tc>
        <w:tc>
          <w:tcPr/>
          <w:p>
            <w:pPr>
              <w:pStyle w:val="Compact"/>
            </w:pPr>
          </w:p>
        </w:tc>
      </w:tr>
    </w:tbl>
    <w:bookmarkEnd w:id="936"/>
    <w:bookmarkStart w:id="960" w:name="X4374645deff7fc7994a6934acb5a3deadbe1cf3"/>
    <w:p>
      <w:pPr>
        <w:pStyle w:val="Heading2"/>
      </w:pPr>
      <w:r>
        <w:t xml:space="preserve">Agent Skills (SKILL.md open format) (</w:t>
      </w:r>
      <w:r>
        <w:rPr>
          <w:rStyle w:val="VerbatimChar"/>
        </w:rPr>
        <w:t xml:space="preserve">L4-agent-skills</w:t>
      </w:r>
      <w:r>
        <w:t xml:space="preserve">)</w:t>
      </w:r>
    </w:p>
    <w:p>
      <w:pPr>
        <w:pStyle w:val="FirstParagraph"/>
      </w:pPr>
      <w:r>
        <w:rPr>
          <w:bCs/>
          <w:b/>
        </w:rPr>
        <w:t xml:space="preserve">Tier:</w:t>
      </w:r>
      <w:r>
        <w:t xml:space="preserve"> </w:t>
      </w:r>
      <w:r>
        <w:t xml:space="preserve">Tactical ·</w:t>
      </w:r>
      <w:r>
        <w:t xml:space="preserve"> </w:t>
      </w:r>
      <w:r>
        <w:rPr>
          <w:bCs/>
          <w:b/>
        </w:rPr>
        <w:t xml:space="preserve">Flags:</w:t>
      </w:r>
      <w:r>
        <w:t xml:space="preserve"> </w:t>
      </w:r>
      <w:r>
        <w:t xml:space="preserve">none ·</w:t>
      </w:r>
      <w:r>
        <w:t xml:space="preserve"> </w:t>
      </w:r>
      <w:r>
        <w:rPr>
          <w:bCs/>
          <w:b/>
        </w:rPr>
        <w:t xml:space="preserve">Original graphic label:</w:t>
      </w:r>
      <w:r>
        <w:t xml:space="preserve"> </w:t>
      </w:r>
      <w:r>
        <w:t xml:space="preserve">Agent Skills – reusable skills</w:t>
      </w:r>
    </w:p>
    <w:p>
      <w:pPr>
        <w:pStyle w:val="BodyText"/>
      </w:pPr>
      <w:r>
        <w:rPr>
          <w:iCs/>
          <w:i/>
        </w:rPr>
        <w:t xml:space="preserve">Rationale:</w:t>
      </w:r>
      <w:r>
        <w:t xml:space="preserve"> </w:t>
      </w:r>
      <w:r>
        <w:t xml:space="preserve">Useful format, but vendor-led governance, no versioning and no provenance keep it out of foundational use</w:t>
      </w:r>
      <w:r>
        <w:t xml:space="preserve"> </w:t>
      </w:r>
      <w:r>
        <w:rPr>
          <w:rStyle w:val="ClaimLabel"/>
        </w:rPr>
        <w:t xml:space="preserve">AJ</w:t>
      </w:r>
      <w:r>
        <w:t xml:space="preserve">.</w:t>
      </w:r>
    </w:p>
    <w:tbl>
      <w:tblPr>
        <w:tblStyle w:val="Table"/>
        <w:tblW w:type="pct" w:w="5000"/>
        <w:tblLook w:firstRow="1" w:lastRow="0" w:firstColumn="0" w:lastColumn="0" w:noHBand="0" w:noVBand="0" w:val="0020"/>
        <w:jc w:val="start"/>
      </w:tblPr>
      <w:tblGrid>
        <w:gridCol w:w="1545"/>
        <w:gridCol w:w="579"/>
        <w:gridCol w:w="5795"/>
      </w:tblGrid>
      <w:tr>
        <w:trPr>
          <w:tblHeader w:val="true"/>
        </w:trPr>
        <w:tc>
          <w:tcPr/>
          <w:p>
            <w:pPr>
              <w:pStyle w:val="Compact"/>
              <w:jc w:val="left"/>
            </w:pPr>
            <w:r>
              <w:t xml:space="preserve">Criterion</w:t>
            </w:r>
          </w:p>
        </w:tc>
        <w:tc>
          <w:tcPr/>
          <w:p>
            <w:pPr>
              <w:pStyle w:val="Compact"/>
              <w:jc w:val="right"/>
            </w:pPr>
            <w:r>
              <w:t xml:space="preserve">Score</w:t>
            </w:r>
          </w:p>
        </w:tc>
        <w:tc>
          <w:tcPr/>
          <w:p>
            <w:pPr>
              <w:pStyle w:val="Compact"/>
              <w:jc w:val="left"/>
            </w:pPr>
            <w:r>
              <w:t xml:space="preserve">Rationale</w:t>
            </w:r>
          </w:p>
        </w:tc>
      </w:tr>
      <w:tr>
        <w:tc>
          <w:tcPr/>
          <w:p>
            <w:pPr>
              <w:pStyle w:val="Compact"/>
              <w:jc w:val="left"/>
            </w:pPr>
            <w:r>
              <w:t xml:space="preserve">Technical</w:t>
            </w:r>
          </w:p>
        </w:tc>
        <w:tc>
          <w:tcPr/>
          <w:p>
            <w:pPr>
              <w:pStyle w:val="Compact"/>
              <w:jc w:val="right"/>
            </w:pPr>
            <w:r>
              <w:t xml:space="preserve">3</w:t>
            </w:r>
          </w:p>
        </w:tc>
        <w:tc>
          <w:tcPr/>
          <w:p>
            <w:pPr>
              <w:pStyle w:val="Compact"/>
              <w:jc w:val="left"/>
            </w:pPr>
            <w:r>
              <w:t xml:space="preserve">Packages procedural knowledge competently; no versioning, dependency or signing model</w:t>
            </w:r>
            <w:r>
              <w:t xml:space="preserve"> </w:t>
            </w:r>
            <w:r>
              <w:rPr>
                <w:rStyle w:val="ClaimLabel"/>
              </w:rPr>
              <w:t xml:space="preserve">AJ</w:t>
            </w:r>
          </w:p>
        </w:tc>
      </w:tr>
      <w:tr>
        <w:tc>
          <w:tcPr/>
          <w:p>
            <w:pPr>
              <w:pStyle w:val="Compact"/>
              <w:jc w:val="left"/>
            </w:pPr>
            <w:r>
              <w:t xml:space="preserve">Enterprise readiness</w:t>
            </w:r>
          </w:p>
        </w:tc>
        <w:tc>
          <w:tcPr/>
          <w:p>
            <w:pPr>
              <w:pStyle w:val="Compact"/>
              <w:jc w:val="right"/>
            </w:pPr>
            <w:r>
              <w:t xml:space="preserve">2</w:t>
            </w:r>
          </w:p>
        </w:tc>
        <w:tc>
          <w:tcPr/>
          <w:p>
            <w:pPr>
              <w:pStyle w:val="Compact"/>
              <w:jc w:val="left"/>
            </w:pPr>
            <w:r>
              <w:t xml:space="preserve">Open format (rule 2): enterprise provisioning is a vendor feature, not part of the standard</w:t>
            </w:r>
            <w:r>
              <w:t xml:space="preserve"> </w:t>
            </w:r>
            <w:r>
              <w:rPr>
                <w:rStyle w:val="ClaimLabel"/>
              </w:rPr>
              <w:t xml:space="preserve">VF</w:t>
            </w:r>
            <w:r>
              <w:rPr>
                <w:rStyle w:val="FootnoteReference"/>
              </w:rPr>
              <w:footnoteReference w:id="937"/>
            </w:r>
          </w:p>
        </w:tc>
      </w:tr>
      <w:tr>
        <w:tc>
          <w:tcPr/>
          <w:p>
            <w:pPr>
              <w:pStyle w:val="Compact"/>
              <w:jc w:val="left"/>
            </w:pPr>
            <w:r>
              <w:t xml:space="preserve">Security and compliance</w:t>
            </w:r>
          </w:p>
        </w:tc>
        <w:tc>
          <w:tcPr/>
          <w:p>
            <w:pPr>
              <w:pStyle w:val="Compact"/>
              <w:jc w:val="right"/>
            </w:pPr>
            <w:r>
              <w:t xml:space="preserve">2</w:t>
            </w:r>
          </w:p>
        </w:tc>
        <w:tc>
          <w:tcPr/>
          <w:p>
            <w:pPr>
              <w:pStyle w:val="Compact"/>
              <w:jc w:val="left"/>
            </w:pPr>
            <w:r>
              <w:t xml:space="preserve">Rule 2 hygiene: executable content without signing or provenance</w:t>
            </w:r>
            <w:r>
              <w:t xml:space="preserve"> </w:t>
            </w:r>
            <w:r>
              <w:rPr>
                <w:rStyle w:val="ClaimLabel"/>
              </w:rPr>
              <w:t xml:space="preserve">VF</w:t>
            </w:r>
            <w:r>
              <w:rPr>
                <w:rStyle w:val="FootnoteReference"/>
              </w:rPr>
              <w:footnoteReference w:id="939"/>
            </w:r>
          </w:p>
        </w:tc>
      </w:tr>
      <w:tr>
        <w:tc>
          <w:tcPr/>
          <w:p>
            <w:pPr>
              <w:pStyle w:val="Compact"/>
              <w:jc w:val="left"/>
            </w:pPr>
            <w:r>
              <w:t xml:space="preserve">Deployment flexibility</w:t>
            </w:r>
          </w:p>
        </w:tc>
        <w:tc>
          <w:tcPr/>
          <w:p>
            <w:pPr>
              <w:pStyle w:val="Compact"/>
              <w:jc w:val="right"/>
            </w:pPr>
            <w:r>
              <w:t xml:space="preserve">5</w:t>
            </w:r>
          </w:p>
        </w:tc>
        <w:tc>
          <w:tcPr/>
          <w:p>
            <w:pPr>
              <w:pStyle w:val="Compact"/>
              <w:jc w:val="left"/>
            </w:pPr>
            <w:r>
              <w:t xml:space="preserve">Plain files usable anywhere</w:t>
            </w:r>
            <w:r>
              <w:t xml:space="preserve"> </w:t>
            </w:r>
            <w:r>
              <w:rPr>
                <w:rStyle w:val="ClaimLabel"/>
              </w:rPr>
              <w:t xml:space="preserve">VF</w:t>
            </w:r>
            <w:r>
              <w:rPr>
                <w:rStyle w:val="FootnoteReference"/>
              </w:rPr>
              <w:footnoteReference w:id="942"/>
            </w:r>
          </w:p>
        </w:tc>
      </w:tr>
      <w:tr>
        <w:tc>
          <w:tcPr/>
          <w:p>
            <w:pPr>
              <w:pStyle w:val="Compact"/>
              <w:jc w:val="left"/>
            </w:pPr>
            <w:r>
              <w:t xml:space="preserve">Ecosystem</w:t>
            </w:r>
          </w:p>
        </w:tc>
        <w:tc>
          <w:tcPr/>
          <w:p>
            <w:pPr>
              <w:pStyle w:val="Compact"/>
              <w:jc w:val="right"/>
            </w:pPr>
            <w:r>
              <w:t xml:space="preserve">4</w:t>
            </w:r>
          </w:p>
        </w:tc>
        <w:tc>
          <w:tcPr/>
          <w:p>
            <w:pPr>
              <w:pStyle w:val="Compact"/>
              <w:jc w:val="left"/>
            </w:pPr>
            <w:r>
              <w:t xml:space="preserve">46 clients including major vendors, but young</w:t>
            </w:r>
            <w:r>
              <w:t xml:space="preserve"> </w:t>
            </w:r>
            <w:r>
              <w:rPr>
                <w:rStyle w:val="ClaimLabel"/>
              </w:rPr>
              <w:t xml:space="preserve">VF</w:t>
            </w:r>
            <w:r>
              <w:rPr>
                <w:rStyle w:val="FootnoteReference"/>
              </w:rPr>
              <w:footnoteReference w:id="944"/>
            </w:r>
          </w:p>
        </w:tc>
      </w:tr>
      <w:tr>
        <w:tc>
          <w:tcPr/>
          <w:p>
            <w:pPr>
              <w:pStyle w:val="Compact"/>
              <w:jc w:val="left"/>
            </w:pPr>
            <w:r>
              <w:t xml:space="preserve">Reliability and maturity</w:t>
            </w:r>
          </w:p>
        </w:tc>
        <w:tc>
          <w:tcPr/>
          <w:p>
            <w:pPr>
              <w:pStyle w:val="Compact"/>
              <w:jc w:val="right"/>
            </w:pPr>
            <w:r>
              <w:t xml:space="preserve">2</w:t>
            </w:r>
          </w:p>
        </w:tc>
        <w:tc>
          <w:tcPr/>
          <w:p>
            <w:pPr>
              <w:pStyle w:val="Compact"/>
              <w:jc w:val="left"/>
            </w:pPr>
            <w:r>
              <w:t xml:space="preserve">Under one year as an open standard; no tagged releases</w:t>
            </w:r>
            <w:r>
              <w:t xml:space="preserve"> </w:t>
            </w:r>
            <w:r>
              <w:rPr>
                <w:rStyle w:val="ClaimLabel"/>
              </w:rPr>
              <w:t xml:space="preserve">VF</w:t>
            </w:r>
            <w:r>
              <w:rPr>
                <w:rStyle w:val="FootnoteReference"/>
              </w:rPr>
              <w:footnoteReference w:id="946"/>
            </w:r>
          </w:p>
        </w:tc>
      </w:tr>
      <w:tr>
        <w:tc>
          <w:tcPr/>
          <w:p>
            <w:pPr>
              <w:pStyle w:val="Compact"/>
              <w:jc w:val="left"/>
            </w:pPr>
            <w:r>
              <w:t xml:space="preserve">Cost / TCO</w:t>
            </w:r>
          </w:p>
        </w:tc>
        <w:tc>
          <w:tcPr/>
          <w:p>
            <w:pPr>
              <w:pStyle w:val="Compact"/>
              <w:jc w:val="right"/>
            </w:pPr>
            <w:r>
              <w:t xml:space="preserve">5</w:t>
            </w:r>
          </w:p>
        </w:tc>
        <w:tc>
          <w:tcPr/>
          <w:p>
            <w:pPr>
              <w:pStyle w:val="Compact"/>
              <w:jc w:val="left"/>
            </w:pPr>
            <w:r>
              <w:t xml:space="preserve">Free, no operations</w:t>
            </w:r>
            <w:r>
              <w:t xml:space="preserve"> </w:t>
            </w:r>
            <w:r>
              <w:rPr>
                <w:rStyle w:val="ClaimLabel"/>
              </w:rPr>
              <w:t xml:space="preserve">VF</w:t>
            </w:r>
            <w:r>
              <w:rPr>
                <w:rStyle w:val="FootnoteReference"/>
              </w:rPr>
              <w:footnoteReference w:id="948"/>
            </w:r>
          </w:p>
        </w:tc>
      </w:tr>
      <w:tr>
        <w:tc>
          <w:tcPr/>
          <w:p>
            <w:pPr>
              <w:pStyle w:val="Compact"/>
              <w:jc w:val="left"/>
            </w:pPr>
            <w:r>
              <w:t xml:space="preserve">Lock-in / portability</w:t>
            </w:r>
          </w:p>
        </w:tc>
        <w:tc>
          <w:tcPr/>
          <w:p>
            <w:pPr>
              <w:pStyle w:val="Compact"/>
              <w:jc w:val="right"/>
            </w:pPr>
            <w:r>
              <w:t xml:space="preserve">3</w:t>
            </w:r>
          </w:p>
        </w:tc>
        <w:tc>
          <w:tcPr/>
          <w:p>
            <w:pPr>
              <w:pStyle w:val="Compact"/>
              <w:jc w:val="left"/>
            </w:pPr>
            <w:r>
              <w:t xml:space="preserve">Portable Markdown, but no neutral governance</w:t>
            </w:r>
            <w:r>
              <w:t xml:space="preserve"> </w:t>
            </w:r>
            <w:r>
              <w:rPr>
                <w:rStyle w:val="ClaimLabel"/>
              </w:rPr>
              <w:t xml:space="preserve">VF</w:t>
            </w:r>
            <w:r>
              <w:rPr>
                <w:rStyle w:val="FootnoteReference"/>
              </w:rPr>
              <w:footnoteReference w:id="949"/>
            </w:r>
          </w:p>
        </w:tc>
      </w:tr>
      <w:tr>
        <w:tc>
          <w:tcPr/>
          <w:p>
            <w:pPr>
              <w:pStyle w:val="Compact"/>
              <w:jc w:val="left"/>
            </w:pPr>
            <w:r>
              <w:rPr>
                <w:bCs/>
                <w:b/>
              </w:rPr>
              <w:t xml:space="preserve">Total (generic / FS)</w:t>
            </w:r>
          </w:p>
        </w:tc>
        <w:tc>
          <w:tcPr/>
          <w:p>
            <w:pPr>
              <w:pStyle w:val="Compact"/>
              <w:jc w:val="right"/>
            </w:pPr>
            <w:r>
              <w:rPr>
                <w:bCs/>
                <w:b/>
              </w:rPr>
              <w:t xml:space="preserve">3.20 / 3.00</w:t>
            </w:r>
          </w:p>
        </w:tc>
        <w:tc>
          <w:tcPr/>
          <w:p>
            <w:pPr>
              <w:pStyle w:val="Compact"/>
            </w:pPr>
          </w:p>
        </w:tc>
      </w:tr>
    </w:tbl>
    <w:p>
      <w:pPr>
        <w:pStyle w:val="BodyText"/>
      </w:pPr>
      <w:r>
        <w:rPr>
          <w:bCs/>
          <w:b/>
        </w:rPr>
        <w:t xml:space="preserve">Capabilities.</w:t>
      </w:r>
      <w:r>
        <w:t xml:space="preserve"> </w:t>
      </w:r>
      <w:r>
        <w:t xml:space="preserve">Open packaging format (SKILL.md plus optional scripts, references, assets) with progressive disclosure; adopted by 46 listed clients including OpenAI Codex and Gemini CLI</w:t>
      </w:r>
      <w:r>
        <w:t xml:space="preserve"> </w:t>
      </w:r>
      <w:r>
        <w:rPr>
          <w:rStyle w:val="ClaimLabel"/>
        </w:rPr>
        <w:t xml:space="preserve">VF</w:t>
      </w:r>
      <w:r>
        <w:rPr>
          <w:rStyle w:val="FootnoteReference"/>
        </w:rPr>
        <w:footnoteReference w:id="951"/>
      </w:r>
      <w:r>
        <w:t xml:space="preserve">. Conflict of interest: originated at Anthropic and maintained by Anthropic staff; author is an Anthropic model</w:t>
      </w:r>
      <w:r>
        <w:t xml:space="preserve"> </w:t>
      </w:r>
      <w:r>
        <w:rPr>
          <w:rStyle w:val="ClaimLabel"/>
        </w:rPr>
        <w:t xml:space="preserve">AJ</w:t>
      </w:r>
      <w:r>
        <w:t xml:space="preserve">.</w:t>
      </w:r>
    </w:p>
    <w:p>
      <w:pPr>
        <w:pStyle w:val="BodyText"/>
      </w:pPr>
      <w:r>
        <w:rPr>
          <w:bCs/>
          <w:b/>
        </w:rPr>
        <w:t xml:space="preserve">Strengths</w:t>
      </w:r>
    </w:p>
    <w:p>
      <w:pPr>
        <w:numPr>
          <w:ilvl w:val="0"/>
          <w:numId w:val="1213"/>
        </w:numPr>
        <w:pStyle w:val="Compact"/>
      </w:pPr>
      <w:r>
        <w:t xml:space="preserve">Plain, reviewable files portable across clients</w:t>
      </w:r>
      <w:r>
        <w:t xml:space="preserve"> </w:t>
      </w:r>
      <w:r>
        <w:rPr>
          <w:rStyle w:val="ClaimLabel"/>
        </w:rPr>
        <w:t xml:space="preserve">VF</w:t>
      </w:r>
      <w:r>
        <w:rPr>
          <w:rStyle w:val="FootnoteReference"/>
        </w:rPr>
        <w:footnoteReference w:id="954"/>
      </w:r>
    </w:p>
    <w:p>
      <w:pPr>
        <w:numPr>
          <w:ilvl w:val="0"/>
          <w:numId w:val="1213"/>
        </w:numPr>
        <w:pStyle w:val="Compact"/>
      </w:pPr>
      <w:r>
        <w:t xml:space="preserve">Independent adoption confirmed by OpenAI and Google documentation</w:t>
      </w:r>
      <w:r>
        <w:t xml:space="preserve"> </w:t>
      </w:r>
      <w:r>
        <w:rPr>
          <w:rStyle w:val="ClaimLabel"/>
        </w:rPr>
        <w:t xml:space="preserve">VF</w:t>
      </w:r>
      <w:r>
        <w:rPr>
          <w:rStyle w:val="FootnoteReference"/>
        </w:rPr>
        <w:footnoteReference w:id="955"/>
      </w:r>
    </w:p>
    <w:p>
      <w:pPr>
        <w:pStyle w:val="FirstParagraph"/>
      </w:pPr>
      <w:r>
        <w:rPr>
          <w:bCs/>
          <w:b/>
        </w:rPr>
        <w:t xml:space="preserve">Limitations and risks</w:t>
      </w:r>
    </w:p>
    <w:p>
      <w:pPr>
        <w:numPr>
          <w:ilvl w:val="0"/>
          <w:numId w:val="1214"/>
        </w:numPr>
        <w:pStyle w:val="Compact"/>
      </w:pPr>
      <w:r>
        <w:t xml:space="preserve">No neutral governance body; maintainers are Anthropic employees; AAIF proposal not accepted on available evidence</w:t>
      </w:r>
      <w:r>
        <w:t xml:space="preserve"> </w:t>
      </w:r>
      <w:r>
        <w:rPr>
          <w:rStyle w:val="ClaimLabel"/>
        </w:rPr>
        <w:t xml:space="preserve">VF</w:t>
      </w:r>
      <w:r>
        <w:rPr>
          <w:rStyle w:val="FootnoteReference"/>
        </w:rPr>
        <w:footnoteReference w:id="956"/>
      </w:r>
    </w:p>
    <w:p>
      <w:pPr>
        <w:numPr>
          <w:ilvl w:val="0"/>
          <w:numId w:val="1214"/>
        </w:numPr>
        <w:pStyle w:val="Compact"/>
      </w:pPr>
      <w:r>
        <w:t xml:space="preserve">Living document with no tagged releases</w:t>
      </w:r>
      <w:r>
        <w:t xml:space="preserve"> </w:t>
      </w:r>
      <w:r>
        <w:rPr>
          <w:rStyle w:val="ClaimLabel"/>
        </w:rPr>
        <w:t xml:space="preserve">VF</w:t>
      </w:r>
      <w:r>
        <w:rPr>
          <w:rStyle w:val="FootnoteReference"/>
        </w:rPr>
        <w:footnoteReference w:id="958"/>
      </w:r>
    </w:p>
    <w:p>
      <w:pPr>
        <w:numPr>
          <w:ilvl w:val="0"/>
          <w:numId w:val="1214"/>
        </w:numPr>
        <w:pStyle w:val="Compact"/>
      </w:pPr>
      <w:r>
        <w:t xml:space="preserve">No signing or provenance; skills can carry executable scripts; vendor warns of exfiltration</w:t>
      </w:r>
      <w:r>
        <w:t xml:space="preserve"> </w:t>
      </w:r>
      <w:r>
        <w:rPr>
          <w:rStyle w:val="ClaimLabel"/>
        </w:rPr>
        <w:t xml:space="preserve">VF</w:t>
      </w:r>
      <w:r>
        <w:rPr>
          <w:rStyle w:val="FootnoteReference"/>
        </w:rPr>
        <w:footnoteReference w:id="959"/>
      </w:r>
    </w:p>
    <w:p>
      <w:pPr>
        <w:pStyle w:val="FirstParagraph"/>
      </w:pPr>
      <w:r>
        <w:rPr>
          <w:bCs/>
          <w:b/>
        </w:rPr>
        <w:t xml:space="preserve">Choose when</w:t>
      </w:r>
    </w:p>
    <w:p>
      <w:pPr>
        <w:numPr>
          <w:ilvl w:val="0"/>
          <w:numId w:val="1215"/>
        </w:numPr>
        <w:pStyle w:val="Compact"/>
      </w:pPr>
      <w:r>
        <w:t xml:space="preserve">Packaging internally authored house procedures for several agent clients</w:t>
      </w:r>
      <w:r>
        <w:t xml:space="preserve"> </w:t>
      </w:r>
      <w:r>
        <w:rPr>
          <w:rStyle w:val="ClaimLabel"/>
        </w:rPr>
        <w:t xml:space="preserve">AJ</w:t>
      </w:r>
    </w:p>
    <w:p>
      <w:pPr>
        <w:pStyle w:val="FirstParagraph"/>
      </w:pPr>
      <w:r>
        <w:rPr>
          <w:bCs/>
          <w:b/>
        </w:rPr>
        <w:t xml:space="preserve">Avoid when</w:t>
      </w:r>
    </w:p>
    <w:p>
      <w:pPr>
        <w:numPr>
          <w:ilvl w:val="0"/>
          <w:numId w:val="1216"/>
        </w:numPr>
        <w:pStyle w:val="Compact"/>
      </w:pPr>
      <w:r>
        <w:t xml:space="preserve">Skills would come from outside the firm or carry scripts that run with agent credentials</w:t>
      </w:r>
      <w:r>
        <w:t xml:space="preserve"> </w:t>
      </w:r>
      <w:r>
        <w:rPr>
          <w:rStyle w:val="ClaimLabel"/>
        </w:rPr>
        <w:t xml:space="preserve">AJ</w:t>
      </w:r>
    </w:p>
    <w:p>
      <w:pPr>
        <w:pStyle w:val="FirstParagraph"/>
      </w:pPr>
      <w:r>
        <w:rPr>
          <w:bCs/>
          <w:b/>
        </w:rPr>
        <w:t xml:space="preserve">Nearest competitors:</w:t>
      </w:r>
      <w:r>
        <w:t xml:space="preserve"> </w:t>
      </w:r>
      <w:r>
        <w:t xml:space="preserve">AGENTS.md, C5 prompt packages (Git-based), L4-mcp</w:t>
      </w:r>
    </w:p>
    <w:p>
      <w:pPr>
        <w:pStyle w:val="BodyText"/>
      </w:pPr>
      <w:r>
        <w:rPr>
          <w:bCs/>
          <w:b/>
        </w:rPr>
        <w:t xml:space="preserve">Regulated-FS note.</w:t>
      </w:r>
      <w:r>
        <w:t xml:space="preserve"> </w:t>
      </w:r>
      <w:r>
        <w:t xml:space="preserve">Internally authored, Git-reviewed, script-free skills only until signing, versioning and neutral governance exist; independent alternatives are C5 prompt packages and AGENTS.md</w:t>
      </w:r>
      <w:r>
        <w:t xml:space="preserve"> </w:t>
      </w:r>
      <w:r>
        <w:rPr>
          <w:rStyle w:val="ClaimLabel"/>
        </w:rPr>
        <w:t xml:space="preserve">Rec</w:t>
      </w:r>
      <w:r>
        <w:t xml:space="preserve">.</w:t>
      </w:r>
    </w:p>
    <w:p>
      <w:pPr>
        <w:pStyle w:val="BodyText"/>
      </w:pPr>
      <w:r>
        <w:rPr>
          <w:bCs/>
          <w:b/>
        </w:rPr>
        <w:t xml:space="preserve">Facts (as of 2026-10-08)</w:t>
      </w:r>
    </w:p>
    <w:tbl>
      <w:tblPr>
        <w:tblStyle w:val="Table"/>
        <w:tblW w:type="pct" w:w="5000"/>
        <w:tblLook w:firstRow="1" w:lastRow="0" w:firstColumn="0" w:lastColumn="0" w:noHBand="0" w:noVBand="0" w:val="0020"/>
        <w:jc w:val="start"/>
      </w:tblPr>
      <w:tblGrid>
        <w:gridCol w:w="1485"/>
        <w:gridCol w:w="4290"/>
        <w:gridCol w:w="1320"/>
        <w:gridCol w:w="825"/>
      </w:tblGrid>
      <w:tr>
        <w:trPr>
          <w:tblHeader w:val="true"/>
        </w:trPr>
        <w:tc>
          <w:tcPr/>
          <w:p>
            <w:pPr>
              <w:pStyle w:val="Compact"/>
              <w:jc w:val="left"/>
            </w:pPr>
            <w:r>
              <w:t xml:space="preserve">Field</w:t>
            </w:r>
          </w:p>
        </w:tc>
        <w:tc>
          <w:tcPr/>
          <w:p>
            <w:pPr>
              <w:pStyle w:val="Compact"/>
              <w:jc w:val="left"/>
            </w:pPr>
            <w:r>
              <w:t xml:space="preserve">Value</w:t>
            </w:r>
          </w:p>
        </w:tc>
        <w:tc>
          <w:tcPr/>
          <w:p>
            <w:pPr>
              <w:pStyle w:val="Compact"/>
              <w:jc w:val="left"/>
            </w:pPr>
            <w:r>
              <w:t xml:space="preserve">Label</w:t>
            </w:r>
          </w:p>
        </w:tc>
        <w:tc>
          <w:tcPr/>
          <w:p>
            <w:pPr>
              <w:pStyle w:val="Compact"/>
              <w:jc w:val="left"/>
            </w:pPr>
            <w:r>
              <w:t xml:space="preserve">Sources</w:t>
            </w:r>
          </w:p>
        </w:tc>
      </w:tr>
      <w:tr>
        <w:tc>
          <w:tcPr/>
          <w:p>
            <w:pPr>
              <w:pStyle w:val="Compact"/>
              <w:jc w:val="left"/>
            </w:pPr>
            <w:r>
              <w:t xml:space="preserve">Company</w:t>
            </w:r>
          </w:p>
        </w:tc>
        <w:tc>
          <w:tcPr/>
          <w:p>
            <w:pPr>
              <w:pStyle w:val="Compact"/>
              <w:jc w:val="left"/>
            </w:pPr>
            <w:r>
              <w:t xml:space="preserve">Originated at Anthropic (launched 16 October 2025; published as an open standard 18 December 2025); specification maintained in the agentskills/agentskills repository and agentskills.io; no published governance body or charter, and no evidence that it is an AAIF-hosted project (AAIF material treats the format as owned by the Agent Skills specification; secondary claims that Anthropic stewards it through AAIF are unsupported)</w:t>
            </w:r>
          </w:p>
        </w:tc>
        <w:tc>
          <w:tcPr/>
          <w:p>
            <w:pPr>
              <w:pStyle w:val="Compact"/>
              <w:jc w:val="left"/>
            </w:pPr>
            <w:r>
              <w:t xml:space="preserve">Verified fact</w:t>
            </w:r>
          </w:p>
        </w:tc>
        <w:tc>
          <w:tcPr/>
          <w:p>
            <w:pPr>
              <w:pStyle w:val="Compact"/>
              <w:jc w:val="left"/>
            </w:pPr>
            <w:r>
              <w:t xml:space="preserve">A3-S028, A3-S029, A3-S061, V1-S046</w:t>
            </w:r>
          </w:p>
        </w:tc>
      </w:tr>
      <w:tr>
        <w:tc>
          <w:tcPr/>
          <w:p>
            <w:pPr>
              <w:pStyle w:val="Compact"/>
              <w:jc w:val="left"/>
            </w:pPr>
            <w:r>
              <w:t xml:space="preserve">Category</w:t>
            </w:r>
          </w:p>
        </w:tc>
        <w:tc>
          <w:tcPr/>
          <w:p>
            <w:pPr>
              <w:pStyle w:val="Compact"/>
              <w:jc w:val="left"/>
            </w:pPr>
            <w:r>
              <w:t xml:space="preserve">Open packaging format for procedural knowledge: folders with SKILL.md (name and description required) plus optional scripts, references and assets</w:t>
            </w:r>
          </w:p>
        </w:tc>
        <w:tc>
          <w:tcPr/>
          <w:p>
            <w:pPr>
              <w:pStyle w:val="Compact"/>
              <w:jc w:val="left"/>
            </w:pPr>
            <w:r>
              <w:t xml:space="preserve">Verified fact</w:t>
            </w:r>
          </w:p>
        </w:tc>
        <w:tc>
          <w:tcPr/>
          <w:p>
            <w:pPr>
              <w:pStyle w:val="Compact"/>
              <w:jc w:val="left"/>
            </w:pPr>
            <w:r>
              <w:t xml:space="preserve">A3-S061, A3-S037</w:t>
            </w:r>
          </w:p>
        </w:tc>
      </w:tr>
      <w:tr>
        <w:tc>
          <w:tcPr/>
          <w:p>
            <w:pPr>
              <w:pStyle w:val="Compact"/>
              <w:jc w:val="left"/>
            </w:pPr>
            <w:r>
              <w:t xml:space="preserve">Version / lineup</w:t>
            </w:r>
          </w:p>
        </w:tc>
        <w:tc>
          <w:tcPr/>
          <w:p>
            <w:pPr>
              <w:pStyle w:val="Compact"/>
              <w:jc w:val="left"/>
            </w:pPr>
            <w:r>
              <w:t xml:space="preserve">No versioned releases: specification is a</w:t>
            </w:r>
            <w:r>
              <w:t xml:space="preserve"> </w:t>
            </w:r>
            <w:r>
              <w:t xml:space="preserve">‘</w:t>
            </w:r>
            <w:r>
              <w:t xml:space="preserve">living document</w:t>
            </w:r>
            <w:r>
              <w:t xml:space="preserve">’</w:t>
            </w:r>
            <w:r>
              <w:t xml:space="preserve">; tagged releases with changelog are planned (AAIF proposal); no CHANGELOG.md in repository root on 7 October 2026</w:t>
            </w:r>
          </w:p>
        </w:tc>
        <w:tc>
          <w:tcPr/>
          <w:p>
            <w:pPr>
              <w:pStyle w:val="Compact"/>
              <w:jc w:val="left"/>
            </w:pPr>
            <w:r>
              <w:t xml:space="preserve">Verified fact</w:t>
            </w:r>
          </w:p>
        </w:tc>
        <w:tc>
          <w:tcPr/>
          <w:p>
            <w:pPr>
              <w:pStyle w:val="Compact"/>
              <w:jc w:val="left"/>
            </w:pPr>
            <w:r>
              <w:t xml:space="preserve">A3-S115, A3-S112</w:t>
            </w:r>
          </w:p>
        </w:tc>
      </w:tr>
      <w:tr>
        <w:tc>
          <w:tcPr/>
          <w:p>
            <w:pPr>
              <w:pStyle w:val="Compact"/>
              <w:jc w:val="left"/>
            </w:pPr>
            <w:r>
              <w:t xml:space="preserve">Licence</w:t>
            </w:r>
          </w:p>
        </w:tc>
        <w:tc>
          <w:tcPr/>
          <w:p>
            <w:pPr>
              <w:pStyle w:val="Compact"/>
              <w:jc w:val="left"/>
            </w:pPr>
            <w:r>
              <w:t xml:space="preserve">Open specification; repository code Apache-2.0, documentation CC-BY-4.0</w:t>
            </w:r>
          </w:p>
        </w:tc>
        <w:tc>
          <w:tcPr/>
          <w:p>
            <w:pPr>
              <w:pStyle w:val="Compact"/>
              <w:jc w:val="left"/>
            </w:pPr>
            <w:r>
              <w:t xml:space="preserve">Verified fact</w:t>
            </w:r>
          </w:p>
        </w:tc>
        <w:tc>
          <w:tcPr/>
          <w:p>
            <w:pPr>
              <w:pStyle w:val="Compact"/>
              <w:jc w:val="left"/>
            </w:pPr>
            <w:r>
              <w:t xml:space="preserve">A3-S061</w:t>
            </w:r>
          </w:p>
        </w:tc>
      </w:tr>
      <w:tr>
        <w:tc>
          <w:tcPr/>
          <w:p>
            <w:pPr>
              <w:pStyle w:val="Compact"/>
              <w:jc w:val="left"/>
            </w:pPr>
            <w:r>
              <w:t xml:space="preserve">Status events</w:t>
            </w:r>
          </w:p>
        </w:tc>
        <w:tc>
          <w:tcPr/>
          <w:p>
            <w:pPr>
              <w:pStyle w:val="Compact"/>
              <w:jc w:val="left"/>
            </w:pPr>
            <w:r>
              <w:t xml:space="preserve">18 December 2025: published as an open standard</w:t>
            </w:r>
          </w:p>
        </w:tc>
        <w:tc>
          <w:tcPr/>
          <w:p>
            <w:pPr>
              <w:pStyle w:val="Compact"/>
              <w:jc w:val="left"/>
            </w:pPr>
            <w:r>
              <w:t xml:space="preserve">Verified fact</w:t>
            </w:r>
          </w:p>
        </w:tc>
        <w:tc>
          <w:tcPr/>
          <w:p>
            <w:pPr>
              <w:pStyle w:val="Compact"/>
              <w:jc w:val="left"/>
            </w:pPr>
            <w:r>
              <w:t xml:space="preserve">A3-S029, V1-S040</w:t>
            </w:r>
          </w:p>
        </w:tc>
      </w:tr>
      <w:tr>
        <w:tc>
          <w:tcPr/>
          <w:p>
            <w:pPr>
              <w:pStyle w:val="Compact"/>
              <w:jc w:val="left"/>
            </w:pPr>
            <w:r>
              <w:t xml:space="preserve">Strategic direction</w:t>
            </w:r>
          </w:p>
        </w:tc>
        <w:tc>
          <w:tcPr/>
          <w:p>
            <w:pPr>
              <w:pStyle w:val="Compact"/>
              <w:jc w:val="left"/>
            </w:pPr>
            <w:r>
              <w:t xml:space="preserve">Portable across agent products; AAIF</w:t>
            </w:r>
            <w:r>
              <w:t xml:space="preserve"> </w:t>
            </w:r>
            <w:r>
              <w:t xml:space="preserve">‘</w:t>
            </w:r>
            <w:r>
              <w:t xml:space="preserve">Skills Over MCP</w:t>
            </w:r>
            <w:r>
              <w:t xml:space="preserve">’</w:t>
            </w:r>
            <w:r>
              <w:t xml:space="preserve"> </w:t>
            </w:r>
            <w:r>
              <w:t xml:space="preserve">working group exploring delivery of skills via MCP; Claude adds org-wide admin provisioning and a partner skills directory</w:t>
            </w:r>
          </w:p>
        </w:tc>
        <w:tc>
          <w:tcPr/>
          <w:p>
            <w:pPr>
              <w:pStyle w:val="Compact"/>
              <w:jc w:val="left"/>
            </w:pPr>
            <w:r>
              <w:t xml:space="preserve">Verified fact</w:t>
            </w:r>
          </w:p>
        </w:tc>
        <w:tc>
          <w:tcPr/>
          <w:p>
            <w:pPr>
              <w:pStyle w:val="Compact"/>
              <w:jc w:val="left"/>
            </w:pPr>
            <w:r>
              <w:t xml:space="preserve">A3-S038, A3-S029</w:t>
            </w:r>
          </w:p>
        </w:tc>
      </w:tr>
      <w:tr>
        <w:tc>
          <w:tcPr/>
          <w:p>
            <w:pPr>
              <w:pStyle w:val="Compact"/>
              <w:jc w:val="left"/>
            </w:pPr>
            <w:r>
              <w:t xml:space="preserve">What it does</w:t>
            </w:r>
          </w:p>
        </w:tc>
        <w:tc>
          <w:tcPr/>
          <w:p>
            <w:pPr>
              <w:pStyle w:val="Compact"/>
              <w:jc w:val="left"/>
            </w:pPr>
            <w:r>
              <w:t xml:space="preserve">Agents load only skill names/descriptions at start-up, read the full SKILL.md when a task matches (progressive disclosure) and may execute bundled scripts</w:t>
            </w:r>
          </w:p>
        </w:tc>
        <w:tc>
          <w:tcPr/>
          <w:p>
            <w:pPr>
              <w:pStyle w:val="Compact"/>
              <w:jc w:val="left"/>
            </w:pPr>
            <w:r>
              <w:t xml:space="preserve">Verified fact</w:t>
            </w:r>
          </w:p>
        </w:tc>
        <w:tc>
          <w:tcPr/>
          <w:p>
            <w:pPr>
              <w:pStyle w:val="Compact"/>
              <w:jc w:val="left"/>
            </w:pPr>
            <w:r>
              <w:t xml:space="preserve">A3-S061</w:t>
            </w:r>
          </w:p>
        </w:tc>
      </w:tr>
      <w:tr>
        <w:tc>
          <w:tcPr/>
          <w:p>
            <w:pPr>
              <w:pStyle w:val="Compact"/>
              <w:jc w:val="left"/>
            </w:pPr>
            <w:r>
              <w:t xml:space="preserve">Stack position</w:t>
            </w:r>
          </w:p>
        </w:tc>
        <w:tc>
          <w:tcPr/>
          <w:p>
            <w:pPr>
              <w:pStyle w:val="Compact"/>
              <w:jc w:val="left"/>
            </w:pPr>
            <w:r>
              <w:t xml:space="preserve">Sits between L3 agent harness and L4 tools: packaged instructions plus code, often wrapping MCP tools</w:t>
            </w:r>
          </w:p>
        </w:tc>
        <w:tc>
          <w:tcPr/>
          <w:p>
            <w:pPr>
              <w:pStyle w:val="Compact"/>
              <w:jc w:val="left"/>
            </w:pPr>
            <w:r>
              <w:t xml:space="preserve">Architectural judgement</w:t>
            </w:r>
          </w:p>
        </w:tc>
        <w:tc>
          <w:tcPr/>
          <w:p>
            <w:pPr>
              <w:pStyle w:val="Compact"/>
            </w:pPr>
          </w:p>
        </w:tc>
      </w:tr>
      <w:tr>
        <w:tc>
          <w:tcPr/>
          <w:p>
            <w:pPr>
              <w:pStyle w:val="Compact"/>
              <w:jc w:val="left"/>
            </w:pPr>
            <w:r>
              <w:t xml:space="preserve">Integration</w:t>
            </w:r>
          </w:p>
        </w:tc>
        <w:tc>
          <w:tcPr/>
          <w:p>
            <w:pPr>
              <w:pStyle w:val="Compact"/>
              <w:jc w:val="left"/>
            </w:pPr>
            <w:r>
              <w:t xml:space="preserve">Filesystem convention (.agents/skills and vendor paths); Claude API /v1/skills endpoint; adopted by OpenAI Codex and Google Gemini CLI</w:t>
            </w:r>
          </w:p>
        </w:tc>
        <w:tc>
          <w:tcPr/>
          <w:p>
            <w:pPr>
              <w:pStyle w:val="Compact"/>
              <w:jc w:val="left"/>
            </w:pPr>
            <w:r>
              <w:t xml:space="preserve">Verified fact</w:t>
            </w:r>
          </w:p>
        </w:tc>
        <w:tc>
          <w:tcPr/>
          <w:p>
            <w:pPr>
              <w:pStyle w:val="Compact"/>
              <w:jc w:val="left"/>
            </w:pPr>
            <w:r>
              <w:t xml:space="preserve">A3-S029, A3-S033, A3-S034</w:t>
            </w:r>
          </w:p>
        </w:tc>
      </w:tr>
      <w:tr>
        <w:tc>
          <w:tcPr/>
          <w:p>
            <w:pPr>
              <w:pStyle w:val="Compact"/>
              <w:jc w:val="left"/>
            </w:pPr>
            <w:r>
              <w:t xml:space="preserve">Dependencies</w:t>
            </w:r>
          </w:p>
        </w:tc>
        <w:tc>
          <w:tcPr/>
          <w:p>
            <w:pPr>
              <w:pStyle w:val="Compact"/>
              <w:jc w:val="left"/>
            </w:pPr>
            <w:r>
              <w:t xml:space="preserve">A skills-compatible agent with file access; scripts require a code-execution environment (Claude requires Code Execution and File Creation)</w:t>
            </w:r>
          </w:p>
        </w:tc>
        <w:tc>
          <w:tcPr/>
          <w:p>
            <w:pPr>
              <w:pStyle w:val="Compact"/>
              <w:jc w:val="left"/>
            </w:pPr>
            <w:r>
              <w:t xml:space="preserve">Verified fact</w:t>
            </w:r>
          </w:p>
        </w:tc>
        <w:tc>
          <w:tcPr/>
          <w:p>
            <w:pPr>
              <w:pStyle w:val="Compact"/>
              <w:jc w:val="left"/>
            </w:pPr>
            <w:r>
              <w:t xml:space="preserve">A3-S029, A3-S061</w:t>
            </w:r>
          </w:p>
        </w:tc>
      </w:tr>
      <w:tr>
        <w:tc>
          <w:tcPr/>
          <w:p>
            <w:pPr>
              <w:pStyle w:val="Compact"/>
              <w:jc w:val="left"/>
            </w:pPr>
            <w:r>
              <w:t xml:space="preserve">Certifications</w:t>
            </w:r>
          </w:p>
        </w:tc>
        <w:tc>
          <w:tcPr/>
          <w:p>
            <w:pPr>
              <w:pStyle w:val="Compact"/>
              <w:jc w:val="left"/>
            </w:pPr>
            <w:r>
              <w:t xml:space="preserve">Not applicable (open format)</w:t>
            </w:r>
          </w:p>
        </w:tc>
        <w:tc>
          <w:tcPr/>
          <w:p>
            <w:pPr>
              <w:pStyle w:val="Compact"/>
              <w:jc w:val="left"/>
            </w:pPr>
            <w:r>
              <w:t xml:space="preserve">Architectural judgement</w:t>
            </w:r>
          </w:p>
        </w:tc>
        <w:tc>
          <w:tcPr/>
          <w:p>
            <w:pPr>
              <w:pStyle w:val="Compact"/>
            </w:pPr>
          </w:p>
        </w:tc>
      </w:tr>
      <w:tr>
        <w:tc>
          <w:tcPr/>
          <w:p>
            <w:pPr>
              <w:pStyle w:val="Compact"/>
              <w:jc w:val="left"/>
            </w:pPr>
            <w:r>
              <w:t xml:space="preserve">GDPR / residency</w:t>
            </w:r>
          </w:p>
        </w:tc>
        <w:tc>
          <w:tcPr/>
          <w:p>
            <w:pPr>
              <w:pStyle w:val="Compact"/>
              <w:jc w:val="left"/>
            </w:pPr>
            <w:r>
              <w:t xml:space="preserve">Not applicable (open format)</w:t>
            </w:r>
          </w:p>
        </w:tc>
        <w:tc>
          <w:tcPr/>
          <w:p>
            <w:pPr>
              <w:pStyle w:val="Compact"/>
              <w:jc w:val="left"/>
            </w:pPr>
            <w:r>
              <w:t xml:space="preserve">Architectural judgement</w:t>
            </w:r>
          </w:p>
        </w:tc>
        <w:tc>
          <w:tcPr/>
          <w:p>
            <w:pPr>
              <w:pStyle w:val="Compact"/>
            </w:pPr>
          </w:p>
        </w:tc>
      </w:tr>
      <w:tr>
        <w:tc>
          <w:tcPr/>
          <w:p>
            <w:pPr>
              <w:pStyle w:val="Compact"/>
              <w:jc w:val="left"/>
            </w:pPr>
            <w:r>
              <w:t xml:space="preserve">Security features</w:t>
            </w:r>
          </w:p>
        </w:tc>
        <w:tc>
          <w:tcPr/>
          <w:p>
            <w:pPr>
              <w:pStyle w:val="Compact"/>
              <w:jc w:val="left"/>
            </w:pPr>
            <w:r>
              <w:t xml:space="preserve">No signing or provenance in the core format found; Anthropic warns malicious skills may exfiltrate data and advises installing only from trusted sources; Gemini CLI docs advise inspecting third-party skills</w:t>
            </w:r>
          </w:p>
        </w:tc>
        <w:tc>
          <w:tcPr/>
          <w:p>
            <w:pPr>
              <w:pStyle w:val="Compact"/>
              <w:jc w:val="left"/>
            </w:pPr>
            <w:r>
              <w:t xml:space="preserve">Verified fact</w:t>
            </w:r>
          </w:p>
        </w:tc>
        <w:tc>
          <w:tcPr/>
          <w:p>
            <w:pPr>
              <w:pStyle w:val="Compact"/>
              <w:jc w:val="left"/>
            </w:pPr>
            <w:r>
              <w:t xml:space="preserve">A3-S072, A3-S034, A3-S037</w:t>
            </w:r>
          </w:p>
        </w:tc>
      </w:tr>
      <w:tr>
        <w:tc>
          <w:tcPr/>
          <w:p>
            <w:pPr>
              <w:pStyle w:val="Compact"/>
              <w:jc w:val="left"/>
            </w:pPr>
            <w:r>
              <w:t xml:space="preserve">Access controls</w:t>
            </w:r>
          </w:p>
        </w:tc>
        <w:tc>
          <w:tcPr/>
          <w:p>
            <w:pPr>
              <w:pStyle w:val="Compact"/>
              <w:jc w:val="left"/>
            </w:pPr>
            <w:r>
              <w:t xml:space="preserve">Claude Team/Enterprise admins can provision skills centrally (vendor feature, not part of the standard)</w:t>
            </w:r>
          </w:p>
        </w:tc>
        <w:tc>
          <w:tcPr/>
          <w:p>
            <w:pPr>
              <w:pStyle w:val="Compact"/>
              <w:jc w:val="left"/>
            </w:pPr>
            <w:r>
              <w:t xml:space="preserve">Verified fact</w:t>
            </w:r>
          </w:p>
        </w:tc>
        <w:tc>
          <w:tcPr/>
          <w:p>
            <w:pPr>
              <w:pStyle w:val="Compact"/>
              <w:jc w:val="left"/>
            </w:pPr>
            <w:r>
              <w:t xml:space="preserve">A3-S029</w:t>
            </w:r>
          </w:p>
        </w:tc>
      </w:tr>
      <w:tr>
        <w:tc>
          <w:tcPr/>
          <w:p>
            <w:pPr>
              <w:pStyle w:val="Compact"/>
              <w:jc w:val="left"/>
            </w:pPr>
            <w:r>
              <w:t xml:space="preserve">Enterprise support</w:t>
            </w:r>
          </w:p>
        </w:tc>
        <w:tc>
          <w:tcPr/>
          <w:p>
            <w:pPr>
              <w:pStyle w:val="Compact"/>
              <w:jc w:val="left"/>
            </w:pPr>
            <w:r>
              <w:t xml:space="preserve">Not applicable (open format)</w:t>
            </w:r>
          </w:p>
        </w:tc>
        <w:tc>
          <w:tcPr/>
          <w:p>
            <w:pPr>
              <w:pStyle w:val="Compact"/>
              <w:jc w:val="left"/>
            </w:pPr>
            <w:r>
              <w:t xml:space="preserve">Architectural judgement</w:t>
            </w:r>
          </w:p>
        </w:tc>
        <w:tc>
          <w:tcPr/>
          <w:p>
            <w:pPr>
              <w:pStyle w:val="Compact"/>
            </w:pPr>
          </w:p>
        </w:tc>
      </w:tr>
      <w:tr>
        <w:tc>
          <w:tcPr/>
          <w:p>
            <w:pPr>
              <w:pStyle w:val="Compact"/>
              <w:jc w:val="left"/>
            </w:pPr>
            <w:r>
              <w:t xml:space="preserve">Pricing</w:t>
            </w:r>
          </w:p>
        </w:tc>
        <w:tc>
          <w:tcPr/>
          <w:p>
            <w:pPr>
              <w:pStyle w:val="Compact"/>
              <w:jc w:val="left"/>
            </w:pPr>
            <w:r>
              <w:t xml:space="preserve">Free open format</w:t>
            </w:r>
          </w:p>
        </w:tc>
        <w:tc>
          <w:tcPr/>
          <w:p>
            <w:pPr>
              <w:pStyle w:val="Compact"/>
              <w:jc w:val="left"/>
            </w:pPr>
            <w:r>
              <w:t xml:space="preserve">Verified fact</w:t>
            </w:r>
          </w:p>
        </w:tc>
        <w:tc>
          <w:tcPr/>
          <w:p>
            <w:pPr>
              <w:pStyle w:val="Compact"/>
              <w:jc w:val="left"/>
            </w:pPr>
            <w:r>
              <w:t xml:space="preserve">A3-S061</w:t>
            </w:r>
          </w:p>
        </w:tc>
      </w:tr>
      <w:tr>
        <w:tc>
          <w:tcPr/>
          <w:p>
            <w:pPr>
              <w:pStyle w:val="Compact"/>
              <w:jc w:val="left"/>
            </w:pPr>
            <w:r>
              <w:t xml:space="preserve">Infrastructure cost</w:t>
            </w:r>
          </w:p>
        </w:tc>
        <w:tc>
          <w:tcPr/>
          <w:p>
            <w:pPr>
              <w:pStyle w:val="Compact"/>
              <w:jc w:val="left"/>
            </w:pPr>
            <w:r>
              <w:t xml:space="preserve">Not applicable</w:t>
            </w:r>
          </w:p>
        </w:tc>
        <w:tc>
          <w:tcPr/>
          <w:p>
            <w:pPr>
              <w:pStyle w:val="Compact"/>
              <w:jc w:val="left"/>
            </w:pPr>
            <w:r>
              <w:t xml:space="preserve">Architectural judgement</w:t>
            </w:r>
          </w:p>
        </w:tc>
        <w:tc>
          <w:tcPr/>
          <w:p>
            <w:pPr>
              <w:pStyle w:val="Compact"/>
            </w:pPr>
          </w:p>
        </w:tc>
      </w:tr>
      <w:tr>
        <w:tc>
          <w:tcPr/>
          <w:p>
            <w:pPr>
              <w:pStyle w:val="Compact"/>
              <w:jc w:val="left"/>
            </w:pPr>
            <w:r>
              <w:t xml:space="preserve">Ecosystem</w:t>
            </w:r>
          </w:p>
        </w:tc>
        <w:tc>
          <w:tcPr/>
          <w:p>
            <w:pPr>
              <w:pStyle w:val="Compact"/>
              <w:jc w:val="left"/>
            </w:pPr>
            <w:r>
              <w:t xml:space="preserve">46 client products listed on agentskills.io showcase (e.g. ChatGPT &amp; Codex, Gemini CLI, GitHub Copilot, VS Code, Cursor, Goose, Kiro, Junie, Databricks Genie Code, Snowflake Cortex Code, Mistral AI Vibe, Spring AI, Letta); OpenAI and Google primary docs confirm support</w:t>
            </w:r>
          </w:p>
        </w:tc>
        <w:tc>
          <w:tcPr/>
          <w:p>
            <w:pPr>
              <w:pStyle w:val="Compact"/>
              <w:jc w:val="left"/>
            </w:pPr>
            <w:r>
              <w:t xml:space="preserve">Verified fact</w:t>
            </w:r>
          </w:p>
        </w:tc>
        <w:tc>
          <w:tcPr/>
          <w:p>
            <w:pPr>
              <w:pStyle w:val="Compact"/>
              <w:jc w:val="left"/>
            </w:pPr>
            <w:r>
              <w:t xml:space="preserve">A3-S027, A3-S033, A3-S034, A3-S113, V1-S047</w:t>
            </w:r>
          </w:p>
        </w:tc>
      </w:tr>
      <w:tr>
        <w:tc>
          <w:tcPr/>
          <w:p>
            <w:pPr>
              <w:pStyle w:val="Compact"/>
              <w:jc w:val="left"/>
            </w:pPr>
            <w:r>
              <w:t xml:space="preserve">Adoption signals</w:t>
            </w:r>
          </w:p>
        </w:tc>
        <w:tc>
          <w:tcPr/>
          <w:p>
            <w:pPr>
              <w:pStyle w:val="Compact"/>
              <w:jc w:val="left"/>
            </w:pPr>
            <w:r>
              <w:t xml:space="preserve">agentskills/agentskills 25,954 GitHub stars (7 October 2026)</w:t>
            </w:r>
          </w:p>
        </w:tc>
        <w:tc>
          <w:tcPr/>
          <w:p>
            <w:pPr>
              <w:pStyle w:val="Compact"/>
              <w:jc w:val="left"/>
            </w:pPr>
            <w:r>
              <w:t xml:space="preserve">Verified fact</w:t>
            </w:r>
          </w:p>
        </w:tc>
        <w:tc>
          <w:tcPr/>
          <w:p>
            <w:pPr>
              <w:pStyle w:val="Compact"/>
              <w:jc w:val="left"/>
            </w:pPr>
            <w:r>
              <w:t xml:space="preserve">A3-S054</w:t>
            </w:r>
          </w:p>
        </w:tc>
      </w:tr>
      <w:tr>
        <w:tc>
          <w:tcPr/>
          <w:p>
            <w:pPr>
              <w:pStyle w:val="Compact"/>
              <w:jc w:val="left"/>
            </w:pPr>
            <w:r>
              <w:t xml:space="preserve">Maturity</w:t>
            </w:r>
          </w:p>
        </w:tc>
        <w:tc>
          <w:tcPr/>
          <w:p>
            <w:pPr>
              <w:pStyle w:val="Compact"/>
              <w:jc w:val="left"/>
            </w:pPr>
            <w:r>
              <w:t xml:space="preserve">Specification repository created 16 December 2025; no versioned releases found</w:t>
            </w:r>
          </w:p>
        </w:tc>
        <w:tc>
          <w:tcPr/>
          <w:p>
            <w:pPr>
              <w:pStyle w:val="Compact"/>
              <w:jc w:val="left"/>
            </w:pPr>
            <w:r>
              <w:t xml:space="preserve">Verified fact</w:t>
            </w:r>
          </w:p>
        </w:tc>
        <w:tc>
          <w:tcPr/>
          <w:p>
            <w:pPr>
              <w:pStyle w:val="Compact"/>
              <w:jc w:val="left"/>
            </w:pPr>
            <w:r>
              <w:t xml:space="preserve">A3-S054</w:t>
            </w:r>
          </w:p>
        </w:tc>
      </w:tr>
      <w:tr>
        <w:tc>
          <w:tcPr/>
          <w:p>
            <w:pPr>
              <w:pStyle w:val="Compact"/>
              <w:jc w:val="left"/>
            </w:pPr>
            <w:r>
              <w:t xml:space="preserve">Deployment</w:t>
            </w:r>
          </w:p>
        </w:tc>
        <w:tc>
          <w:tcPr/>
          <w:p>
            <w:pPr>
              <w:pStyle w:val="Compact"/>
              <w:jc w:val="left"/>
            </w:pPr>
            <w:r>
              <w:t xml:space="preserve">saas: No (open specification; deployment depends on each implementation); managed_cloud: No (open specification; deployment depends on each implementation); vpc_byoc: No (open specification; deployment depends on each implementation); private_cloud: No (open specification; deployment depends on each implementation); self_hosted: Yes (implementations can be self-hosted; the specification itself is not a hosted service); on_prem: Yes (implementations can be self-hosted; the specification itself is not a hosted service)</w:t>
            </w:r>
          </w:p>
        </w:tc>
        <w:tc>
          <w:tcPr/>
          <w:p>
            <w:pPr>
              <w:pStyle w:val="Compact"/>
            </w:pPr>
          </w:p>
        </w:tc>
        <w:tc>
          <w:tcPr/>
          <w:p>
            <w:pPr>
              <w:pStyle w:val="Compact"/>
            </w:pPr>
          </w:p>
        </w:tc>
      </w:tr>
    </w:tbl>
    <w:bookmarkEnd w:id="960"/>
    <w:bookmarkStart w:id="979" w:name="composio-l4-composio"/>
    <w:p>
      <w:pPr>
        <w:pStyle w:val="Heading2"/>
      </w:pPr>
      <w:r>
        <w:t xml:space="preserve">Composio (</w:t>
      </w:r>
      <w:r>
        <w:rPr>
          <w:rStyle w:val="VerbatimChar"/>
        </w:rPr>
        <w:t xml:space="preserve">L4-composio</w:t>
      </w:r>
      <w:r>
        <w:t xml:space="preserve">)</w:t>
      </w:r>
    </w:p>
    <w:p>
      <w:pPr>
        <w:pStyle w:val="FirstParagraph"/>
      </w:pPr>
      <w:r>
        <w:rPr>
          <w:bCs/>
          <w:b/>
        </w:rPr>
        <w:t xml:space="preserve">Tier:</w:t>
      </w:r>
      <w:r>
        <w:t xml:space="preserve"> </w:t>
      </w:r>
      <w:r>
        <w:t xml:space="preserve">Experimental ·</w:t>
      </w:r>
      <w:r>
        <w:t xml:space="preserve"> </w:t>
      </w:r>
      <w:r>
        <w:rPr>
          <w:bCs/>
          <w:b/>
        </w:rPr>
        <w:t xml:space="preserve">Flags:</w:t>
      </w:r>
      <w:r>
        <w:t xml:space="preserve"> </w:t>
      </w:r>
      <w:r>
        <w:t xml:space="preserve">none ·</w:t>
      </w:r>
      <w:r>
        <w:t xml:space="preserve"> </w:t>
      </w:r>
      <w:r>
        <w:rPr>
          <w:bCs/>
          <w:b/>
        </w:rPr>
        <w:t xml:space="preserve">Original graphic label:</w:t>
      </w:r>
      <w:r>
        <w:t xml:space="preserve"> </w:t>
      </w:r>
      <w:r>
        <w:t xml:space="preserve">Composio – integrations</w:t>
      </w:r>
    </w:p>
    <w:p>
      <w:pPr>
        <w:pStyle w:val="BodyText"/>
      </w:pPr>
      <w:r>
        <w:rPr>
          <w:iCs/>
          <w:i/>
        </w:rPr>
        <w:t xml:space="preserve">Rationale:</w:t>
      </w:r>
      <w:r>
        <w:t xml:space="preserve"> </w:t>
      </w:r>
      <w:r>
        <w:t xml:space="preserve">Credential-broker model, vendor-only security evidence and the May 2026 token-exposure incident make it unsuitable as a critical dependency</w:t>
      </w:r>
      <w:r>
        <w:t xml:space="preserve"> </w:t>
      </w:r>
      <w:r>
        <w:rPr>
          <w:rStyle w:val="ClaimLabel"/>
        </w:rPr>
        <w:t xml:space="preserve">AJ</w:t>
      </w:r>
      <w:r>
        <w:t xml:space="preserve">.</w:t>
      </w:r>
    </w:p>
    <w:tbl>
      <w:tblPr>
        <w:tblStyle w:val="Table"/>
        <w:tblW w:type="pct" w:w="5000"/>
        <w:tblLook w:firstRow="1" w:lastRow="0" w:firstColumn="0" w:lastColumn="0" w:noHBand="0" w:noVBand="0" w:val="0020"/>
        <w:jc w:val="start"/>
      </w:tblPr>
      <w:tblGrid>
        <w:gridCol w:w="1545"/>
        <w:gridCol w:w="579"/>
        <w:gridCol w:w="5795"/>
      </w:tblGrid>
      <w:tr>
        <w:trPr>
          <w:tblHeader w:val="true"/>
        </w:trPr>
        <w:tc>
          <w:tcPr/>
          <w:p>
            <w:pPr>
              <w:pStyle w:val="Compact"/>
              <w:jc w:val="left"/>
            </w:pPr>
            <w:r>
              <w:t xml:space="preserve">Criterion</w:t>
            </w:r>
          </w:p>
        </w:tc>
        <w:tc>
          <w:tcPr/>
          <w:p>
            <w:pPr>
              <w:pStyle w:val="Compact"/>
              <w:jc w:val="right"/>
            </w:pPr>
            <w:r>
              <w:t xml:space="preserve">Score</w:t>
            </w:r>
          </w:p>
        </w:tc>
        <w:tc>
          <w:tcPr/>
          <w:p>
            <w:pPr>
              <w:pStyle w:val="Compact"/>
              <w:jc w:val="left"/>
            </w:pPr>
            <w:r>
              <w:t xml:space="preserve">Rationale</w:t>
            </w:r>
          </w:p>
        </w:tc>
      </w:tr>
      <w:tr>
        <w:tc>
          <w:tcPr/>
          <w:p>
            <w:pPr>
              <w:pStyle w:val="Compact"/>
              <w:jc w:val="left"/>
            </w:pPr>
            <w:r>
              <w:t xml:space="preserve">Technical</w:t>
            </w:r>
          </w:p>
        </w:tc>
        <w:tc>
          <w:tcPr/>
          <w:p>
            <w:pPr>
              <w:pStyle w:val="Compact"/>
              <w:jc w:val="right"/>
            </w:pPr>
            <w:r>
              <w:t xml:space="preserve">4</w:t>
            </w:r>
          </w:p>
        </w:tc>
        <w:tc>
          <w:tcPr/>
          <w:p>
            <w:pPr>
              <w:pStyle w:val="Compact"/>
              <w:jc w:val="left"/>
            </w:pPr>
            <w:r>
              <w:t xml:space="preserve">Broad connectors, per-user auth, gateway and policy features</w:t>
            </w:r>
            <w:r>
              <w:t xml:space="preserve"> </w:t>
            </w:r>
            <w:r>
              <w:rPr>
                <w:rStyle w:val="ClaimLabel"/>
              </w:rPr>
              <w:t xml:space="preserve">VF</w:t>
            </w:r>
            <w:r>
              <w:rPr>
                <w:rStyle w:val="FootnoteReference"/>
              </w:rPr>
              <w:footnoteReference w:id="961"/>
            </w:r>
          </w:p>
        </w:tc>
      </w:tr>
      <w:tr>
        <w:tc>
          <w:tcPr/>
          <w:p>
            <w:pPr>
              <w:pStyle w:val="Compact"/>
              <w:jc w:val="left"/>
            </w:pPr>
            <w:r>
              <w:t xml:space="preserve">Enterprise readiness</w:t>
            </w:r>
          </w:p>
        </w:tc>
        <w:tc>
          <w:tcPr/>
          <w:p>
            <w:pPr>
              <w:pStyle w:val="Compact"/>
              <w:jc w:val="right"/>
            </w:pPr>
            <w:r>
              <w:t xml:space="preserve">3</w:t>
            </w:r>
          </w:p>
        </w:tc>
        <w:tc>
          <w:tcPr/>
          <w:p>
            <w:pPr>
              <w:pStyle w:val="Compact"/>
              <w:jc w:val="left"/>
            </w:pPr>
            <w:r>
              <w:t xml:space="preserve">SSO, SCIM, RBAC, audit logs and SLA are vendor-stated; one-or-more controls lift the cap to 3 under CP2 rule 7</w:t>
            </w:r>
            <w:r>
              <w:t xml:space="preserve"> </w:t>
            </w:r>
            <w:r>
              <w:rPr>
                <w:rStyle w:val="ClaimLabel"/>
              </w:rPr>
              <w:t xml:space="preserve">VF</w:t>
            </w:r>
            <w:r>
              <w:rPr>
                <w:rStyle w:val="FootnoteReference"/>
              </w:rPr>
              <w:footnoteReference w:id="964"/>
            </w:r>
          </w:p>
        </w:tc>
      </w:tr>
      <w:tr>
        <w:tc>
          <w:tcPr/>
          <w:p>
            <w:pPr>
              <w:pStyle w:val="Compact"/>
              <w:jc w:val="left"/>
            </w:pPr>
            <w:r>
              <w:t xml:space="preserve">Security and compliance</w:t>
            </w:r>
          </w:p>
        </w:tc>
        <w:tc>
          <w:tcPr/>
          <w:p>
            <w:pPr>
              <w:pStyle w:val="Compact"/>
              <w:jc w:val="right"/>
            </w:pPr>
            <w:r>
              <w:t xml:space="preserve">2</w:t>
            </w:r>
          </w:p>
        </w:tc>
        <w:tc>
          <w:tcPr/>
          <w:p>
            <w:pPr>
              <w:pStyle w:val="Compact"/>
              <w:jc w:val="left"/>
            </w:pPr>
            <w:r>
              <w:t xml:space="preserve">Capped at 2: certifications vendor-marketing only (V1 section 4); May 2026 incident</w:t>
            </w:r>
            <w:r>
              <w:t xml:space="preserve"> </w:t>
            </w:r>
            <w:r>
              <w:rPr>
                <w:rStyle w:val="ClaimLabel"/>
              </w:rPr>
              <w:t xml:space="preserve">VF</w:t>
            </w:r>
            <w:r>
              <w:rPr>
                <w:rStyle w:val="FootnoteReference"/>
              </w:rPr>
              <w:footnoteReference w:id="966"/>
            </w:r>
          </w:p>
        </w:tc>
      </w:tr>
      <w:tr>
        <w:tc>
          <w:tcPr/>
          <w:p>
            <w:pPr>
              <w:pStyle w:val="Compact"/>
              <w:jc w:val="left"/>
            </w:pPr>
            <w:r>
              <w:t xml:space="preserve">Deployment flexibility</w:t>
            </w:r>
          </w:p>
        </w:tc>
        <w:tc>
          <w:tcPr/>
          <w:p>
            <w:pPr>
              <w:pStyle w:val="Compact"/>
              <w:jc w:val="right"/>
            </w:pPr>
            <w:r>
              <w:t xml:space="preserve">4</w:t>
            </w:r>
          </w:p>
        </w:tc>
        <w:tc>
          <w:tcPr/>
          <w:p>
            <w:pPr>
              <w:pStyle w:val="Compact"/>
              <w:jc w:val="left"/>
            </w:pPr>
            <w:r>
              <w:t xml:space="preserve">SaaS plus VPC, self-host and on-prem on Enterprise; no air-gap evidence</w:t>
            </w:r>
            <w:r>
              <w:t xml:space="preserve"> </w:t>
            </w:r>
            <w:r>
              <w:rPr>
                <w:rStyle w:val="ClaimLabel"/>
              </w:rPr>
              <w:t xml:space="preserve">VF</w:t>
            </w:r>
            <w:r>
              <w:rPr>
                <w:rStyle w:val="FootnoteReference"/>
              </w:rPr>
              <w:footnoteReference w:id="968"/>
            </w:r>
          </w:p>
        </w:tc>
      </w:tr>
      <w:tr>
        <w:tc>
          <w:tcPr/>
          <w:p>
            <w:pPr>
              <w:pStyle w:val="Compact"/>
              <w:jc w:val="left"/>
            </w:pPr>
            <w:r>
              <w:t xml:space="preserve">Ecosystem</w:t>
            </w:r>
          </w:p>
        </w:tc>
        <w:tc>
          <w:tcPr/>
          <w:p>
            <w:pPr>
              <w:pStyle w:val="Compact"/>
              <w:jc w:val="right"/>
            </w:pPr>
            <w:r>
              <w:t xml:space="preserve">4</w:t>
            </w:r>
          </w:p>
        </w:tc>
        <w:tc>
          <w:tcPr/>
          <w:p>
            <w:pPr>
              <w:pStyle w:val="Compact"/>
              <w:jc w:val="left"/>
            </w:pPr>
            <w:r>
              <w:t xml:space="preserve">Adapters for major frameworks and remote MCP server</w:t>
            </w:r>
            <w:r>
              <w:t xml:space="preserve"> </w:t>
            </w:r>
            <w:r>
              <w:rPr>
                <w:rStyle w:val="ClaimLabel"/>
              </w:rPr>
              <w:t xml:space="preserve">VF</w:t>
            </w:r>
            <w:r>
              <w:rPr>
                <w:rStyle w:val="FootnoteReference"/>
              </w:rPr>
              <w:footnoteReference w:id="969"/>
            </w:r>
          </w:p>
        </w:tc>
      </w:tr>
      <w:tr>
        <w:tc>
          <w:tcPr/>
          <w:p>
            <w:pPr>
              <w:pStyle w:val="Compact"/>
              <w:jc w:val="left"/>
            </w:pPr>
            <w:r>
              <w:t xml:space="preserve">Reliability and maturity</w:t>
            </w:r>
          </w:p>
        </w:tc>
        <w:tc>
          <w:tcPr/>
          <w:p>
            <w:pPr>
              <w:pStyle w:val="Compact"/>
              <w:jc w:val="right"/>
            </w:pPr>
            <w:r>
              <w:t xml:space="preserve">2</w:t>
            </w:r>
          </w:p>
        </w:tc>
        <w:tc>
          <w:tcPr/>
          <w:p>
            <w:pPr>
              <w:pStyle w:val="Compact"/>
              <w:jc w:val="left"/>
            </w:pPr>
            <w:r>
              <w:t xml:space="preserve">Pre-1.0 SDK, 2.0 beta, recent security incident</w:t>
            </w:r>
            <w:r>
              <w:t xml:space="preserve"> </w:t>
            </w:r>
            <w:r>
              <w:rPr>
                <w:rStyle w:val="ClaimLabel"/>
              </w:rPr>
              <w:t xml:space="preserve">VF</w:t>
            </w:r>
            <w:r>
              <w:rPr>
                <w:rStyle w:val="FootnoteReference"/>
              </w:rPr>
              <w:footnoteReference w:id="970"/>
            </w:r>
          </w:p>
        </w:tc>
      </w:tr>
      <w:tr>
        <w:tc>
          <w:tcPr/>
          <w:p>
            <w:pPr>
              <w:pStyle w:val="Compact"/>
              <w:jc w:val="left"/>
            </w:pPr>
            <w:r>
              <w:t xml:space="preserve">Cost / TCO</w:t>
            </w:r>
          </w:p>
        </w:tc>
        <w:tc>
          <w:tcPr/>
          <w:p>
            <w:pPr>
              <w:pStyle w:val="Compact"/>
              <w:jc w:val="right"/>
            </w:pPr>
            <w:r>
              <w:t xml:space="preserve">3</w:t>
            </w:r>
          </w:p>
        </w:tc>
        <w:tc>
          <w:tcPr/>
          <w:p>
            <w:pPr>
              <w:pStyle w:val="Compact"/>
              <w:jc w:val="left"/>
            </w:pPr>
            <w:r>
              <w:t xml:space="preserve">Metered per-call pricing published (low confidence)</w:t>
            </w:r>
            <w:r>
              <w:t xml:space="preserve"> </w:t>
            </w:r>
            <w:r>
              <w:rPr>
                <w:rStyle w:val="ClaimLabel"/>
              </w:rPr>
              <w:t xml:space="preserve">VF</w:t>
            </w:r>
            <w:r>
              <w:rPr>
                <w:rStyle w:val="FootnoteReference"/>
              </w:rPr>
              <w:footnoteReference w:id="972"/>
            </w:r>
          </w:p>
        </w:tc>
      </w:tr>
      <w:tr>
        <w:tc>
          <w:tcPr/>
          <w:p>
            <w:pPr>
              <w:pStyle w:val="Compact"/>
              <w:jc w:val="left"/>
            </w:pPr>
            <w:r>
              <w:t xml:space="preserve">Lock-in / portability</w:t>
            </w:r>
          </w:p>
        </w:tc>
        <w:tc>
          <w:tcPr/>
          <w:p>
            <w:pPr>
              <w:pStyle w:val="Compact"/>
              <w:jc w:val="right"/>
            </w:pPr>
            <w:r>
              <w:t xml:space="preserve">2</w:t>
            </w:r>
          </w:p>
        </w:tc>
        <w:tc>
          <w:tcPr/>
          <w:p>
            <w:pPr>
              <w:pStyle w:val="Compact"/>
              <w:jc w:val="left"/>
            </w:pPr>
            <w:r>
              <w:t xml:space="preserve">Proprietary API holding user tokens; hard exit</w:t>
            </w:r>
            <w:r>
              <w:t xml:space="preserve"> </w:t>
            </w:r>
            <w:r>
              <w:rPr>
                <w:rStyle w:val="ClaimLabel"/>
              </w:rPr>
              <w:t xml:space="preserve">AJ</w:t>
            </w:r>
          </w:p>
        </w:tc>
      </w:tr>
      <w:tr>
        <w:tc>
          <w:tcPr/>
          <w:p>
            <w:pPr>
              <w:pStyle w:val="Compact"/>
              <w:jc w:val="left"/>
            </w:pPr>
            <w:r>
              <w:rPr>
                <w:bCs/>
                <w:b/>
              </w:rPr>
              <w:t xml:space="preserve">Total (generic / FS)</w:t>
            </w:r>
          </w:p>
        </w:tc>
        <w:tc>
          <w:tcPr/>
          <w:p>
            <w:pPr>
              <w:pStyle w:val="Compact"/>
              <w:jc w:val="right"/>
            </w:pPr>
            <w:r>
              <w:rPr>
                <w:bCs/>
                <w:b/>
              </w:rPr>
              <w:t xml:space="preserve">3.15 / 2.90</w:t>
            </w:r>
          </w:p>
        </w:tc>
        <w:tc>
          <w:tcPr/>
          <w:p>
            <w:pPr>
              <w:pStyle w:val="Compact"/>
            </w:pPr>
          </w:p>
        </w:tc>
      </w:tr>
    </w:tbl>
    <w:p>
      <w:pPr>
        <w:pStyle w:val="BodyText"/>
      </w:pPr>
      <w:r>
        <w:rPr>
          <w:iCs/>
          <w:i/>
        </w:rPr>
        <w:t xml:space="preserve">Evidence rules applied:</w:t>
      </w:r>
      <w:r>
        <w:t xml:space="preserve"> </w:t>
      </w:r>
      <w:r>
        <w:t xml:space="preserve">security_compliance capped at 2: Composio security claims are vendor marketing only (V1 verification log section 4)</w:t>
      </w:r>
    </w:p>
    <w:p>
      <w:pPr>
        <w:pStyle w:val="BodyText"/>
      </w:pPr>
      <w:r>
        <w:rPr>
          <w:bCs/>
          <w:b/>
        </w:rPr>
        <w:t xml:space="preserve">Capabilities.</w:t>
      </w:r>
      <w:r>
        <w:t xml:space="preserve"> </w:t>
      </w:r>
      <w:r>
        <w:t xml:space="preserve">Managed tool-integration platform: 1000+ toolkits, per-user sessions, OAuth/connected-account brokering, per-session tool restriction, and an MCP Gateway with vendor-stated SSO, SCIM, policy-as-code and per-call audit logs</w:t>
      </w:r>
      <w:r>
        <w:t xml:space="preserve"> </w:t>
      </w:r>
      <w:r>
        <w:rPr>
          <w:rStyle w:val="ClaimLabel"/>
        </w:rPr>
        <w:t xml:space="preserve">VF</w:t>
      </w:r>
      <w:r>
        <w:rPr>
          <w:rStyle w:val="FootnoteReference"/>
        </w:rPr>
        <w:footnoteReference w:id="973"/>
      </w:r>
      <w:r>
        <w:t xml:space="preserve">.</w:t>
      </w:r>
    </w:p>
    <w:p>
      <w:pPr>
        <w:pStyle w:val="BodyText"/>
      </w:pPr>
      <w:r>
        <w:rPr>
          <w:bCs/>
          <w:b/>
        </w:rPr>
        <w:t xml:space="preserve">Strengths</w:t>
      </w:r>
    </w:p>
    <w:p>
      <w:pPr>
        <w:numPr>
          <w:ilvl w:val="0"/>
          <w:numId w:val="1217"/>
        </w:numPr>
        <w:pStyle w:val="Compact"/>
      </w:pPr>
      <w:r>
        <w:t xml:space="preserve">Broadest SaaS connector catalogue with per-user authentication</w:t>
      </w:r>
      <w:r>
        <w:t xml:space="preserve"> </w:t>
      </w:r>
      <w:r>
        <w:rPr>
          <w:rStyle w:val="ClaimLabel"/>
        </w:rPr>
        <w:t xml:space="preserve">VF</w:t>
      </w:r>
      <w:r>
        <w:rPr>
          <w:rStyle w:val="FootnoteReference"/>
        </w:rPr>
        <w:footnoteReference w:id="974"/>
      </w:r>
    </w:p>
    <w:p>
      <w:pPr>
        <w:numPr>
          <w:ilvl w:val="0"/>
          <w:numId w:val="1217"/>
        </w:numPr>
        <w:pStyle w:val="Compact"/>
      </w:pPr>
      <w:r>
        <w:t xml:space="preserve">Self-hosted, VPC and on-premises options on Enterprise</w:t>
      </w:r>
      <w:r>
        <w:t xml:space="preserve"> </w:t>
      </w:r>
      <w:r>
        <w:rPr>
          <w:rStyle w:val="ClaimLabel"/>
        </w:rPr>
        <w:t xml:space="preserve">VF</w:t>
      </w:r>
      <w:r>
        <w:rPr>
          <w:rStyle w:val="FootnoteReference"/>
        </w:rPr>
        <w:footnoteReference w:id="975"/>
      </w:r>
    </w:p>
    <w:p>
      <w:pPr>
        <w:pStyle w:val="FirstParagraph"/>
      </w:pPr>
      <w:r>
        <w:rPr>
          <w:bCs/>
          <w:b/>
        </w:rPr>
        <w:t xml:space="preserve">Limitations and risks</w:t>
      </w:r>
    </w:p>
    <w:p>
      <w:pPr>
        <w:numPr>
          <w:ilvl w:val="0"/>
          <w:numId w:val="1218"/>
        </w:numPr>
        <w:pStyle w:val="Compact"/>
      </w:pPr>
      <w:r>
        <w:t xml:space="preserve">May 2026 incident: unauthorised access to internal systems; about 0.3% of connections and 5,241 API keys possibly exposed; token revocations and customer rotation required</w:t>
      </w:r>
      <w:r>
        <w:t xml:space="preserve"> </w:t>
      </w:r>
      <w:r>
        <w:rPr>
          <w:rStyle w:val="ClaimLabel"/>
        </w:rPr>
        <w:t xml:space="preserve">VF</w:t>
      </w:r>
      <w:r>
        <w:rPr>
          <w:rStyle w:val="FootnoteReference"/>
        </w:rPr>
        <w:footnoteReference w:id="976"/>
      </w:r>
    </w:p>
    <w:p>
      <w:pPr>
        <w:numPr>
          <w:ilvl w:val="0"/>
          <w:numId w:val="1218"/>
        </w:numPr>
        <w:pStyle w:val="Compact"/>
      </w:pPr>
      <w:r>
        <w:t xml:space="preserve">Security claims are vendor marketing only (V1 log section 4)</w:t>
      </w:r>
      <w:r>
        <w:t xml:space="preserve"> </w:t>
      </w:r>
      <w:r>
        <w:rPr>
          <w:rStyle w:val="ClaimLabel"/>
        </w:rPr>
        <w:t xml:space="preserve">NPV</w:t>
      </w:r>
    </w:p>
    <w:p>
      <w:pPr>
        <w:numPr>
          <w:ilvl w:val="0"/>
          <w:numId w:val="1218"/>
        </w:numPr>
        <w:pStyle w:val="Compact"/>
      </w:pPr>
      <w:r>
        <w:t xml:space="preserve">Holds end users’ OAuth tokens: high switching cost</w:t>
      </w:r>
      <w:r>
        <w:t xml:space="preserve"> </w:t>
      </w:r>
      <w:r>
        <w:rPr>
          <w:rStyle w:val="ClaimLabel"/>
        </w:rPr>
        <w:t xml:space="preserve">AJ</w:t>
      </w:r>
    </w:p>
    <w:p>
      <w:pPr>
        <w:numPr>
          <w:ilvl w:val="0"/>
          <w:numId w:val="1218"/>
        </w:numPr>
        <w:pStyle w:val="Compact"/>
      </w:pPr>
      <w:r>
        <w:t xml:space="preserve">Managed cloud US-hosted; EU residency needs self-hosting</w:t>
      </w:r>
      <w:r>
        <w:t xml:space="preserve"> </w:t>
      </w:r>
      <w:r>
        <w:rPr>
          <w:rStyle w:val="ClaimLabel"/>
        </w:rPr>
        <w:t xml:space="preserve">VF</w:t>
      </w:r>
      <w:r>
        <w:rPr>
          <w:rStyle w:val="FootnoteReference"/>
        </w:rPr>
        <w:footnoteReference w:id="977"/>
      </w:r>
    </w:p>
    <w:p>
      <w:pPr>
        <w:numPr>
          <w:ilvl w:val="0"/>
          <w:numId w:val="1218"/>
        </w:numPr>
        <w:pStyle w:val="Compact"/>
      </w:pPr>
      <w:r>
        <w:t xml:space="preserve">SDK pre-1.0 with 2.0 in beta</w:t>
      </w:r>
      <w:r>
        <w:t xml:space="preserve"> </w:t>
      </w:r>
      <w:r>
        <w:rPr>
          <w:rStyle w:val="ClaimLabel"/>
        </w:rPr>
        <w:t xml:space="preserve">VF</w:t>
      </w:r>
      <w:r>
        <w:rPr>
          <w:rStyle w:val="FootnoteReference"/>
        </w:rPr>
        <w:footnoteReference w:id="978"/>
      </w:r>
    </w:p>
    <w:p>
      <w:pPr>
        <w:pStyle w:val="FirstParagraph"/>
      </w:pPr>
      <w:r>
        <w:rPr>
          <w:bCs/>
          <w:b/>
        </w:rPr>
        <w:t xml:space="preserve">Choose when</w:t>
      </w:r>
    </w:p>
    <w:p>
      <w:pPr>
        <w:numPr>
          <w:ilvl w:val="0"/>
          <w:numId w:val="1219"/>
        </w:numPr>
        <w:pStyle w:val="Compact"/>
      </w:pPr>
      <w:r>
        <w:t xml:space="preserve">A low-risk internal productivity agent needs many SaaS connectors quickly, self-hosted</w:t>
      </w:r>
      <w:r>
        <w:t xml:space="preserve"> </w:t>
      </w:r>
      <w:r>
        <w:rPr>
          <w:rStyle w:val="ClaimLabel"/>
        </w:rPr>
        <w:t xml:space="preserve">AJ</w:t>
      </w:r>
    </w:p>
    <w:p>
      <w:pPr>
        <w:pStyle w:val="FirstParagraph"/>
      </w:pPr>
      <w:r>
        <w:rPr>
          <w:bCs/>
          <w:b/>
        </w:rPr>
        <w:t xml:space="preserve">Avoid when</w:t>
      </w:r>
    </w:p>
    <w:p>
      <w:pPr>
        <w:numPr>
          <w:ilvl w:val="0"/>
          <w:numId w:val="1220"/>
        </w:numPr>
        <w:pStyle w:val="Compact"/>
      </w:pPr>
      <w:r>
        <w:t xml:space="preserve">The agent touches client data or you cannot self-host in-region</w:t>
      </w:r>
      <w:r>
        <w:t xml:space="preserve"> </w:t>
      </w:r>
      <w:r>
        <w:rPr>
          <w:rStyle w:val="ClaimLabel"/>
        </w:rPr>
        <w:t xml:space="preserve">AJ</w:t>
      </w:r>
    </w:p>
    <w:p>
      <w:pPr>
        <w:pStyle w:val="FirstParagraph"/>
      </w:pPr>
      <w:r>
        <w:rPr>
          <w:bCs/>
          <w:b/>
        </w:rPr>
        <w:t xml:space="preserve">Nearest competitors:</w:t>
      </w:r>
      <w:r>
        <w:t xml:space="preserve"> </w:t>
      </w:r>
      <w:r>
        <w:t xml:space="preserve">L4-aws-agentcore-gateway-identity, C4-okta-auth0-ai-agents, C1-kong-ai-gateway</w:t>
      </w:r>
    </w:p>
    <w:p>
      <w:pPr>
        <w:pStyle w:val="BodyText"/>
      </w:pPr>
      <w:r>
        <w:rPr>
          <w:bCs/>
          <w:b/>
        </w:rPr>
        <w:t xml:space="preserve">Regulated-FS note.</w:t>
      </w:r>
      <w:r>
        <w:t xml:space="preserve"> </w:t>
      </w:r>
      <w:r>
        <w:t xml:space="preserve">Do not let a third party hold staff OAuth tokens to firm systems in its multi-tenant cloud; if used, self-host and keep the token vault in your estate</w:t>
      </w:r>
      <w:r>
        <w:t xml:space="preserve"> </w:t>
      </w:r>
      <w:r>
        <w:rPr>
          <w:rStyle w:val="ClaimLabel"/>
        </w:rPr>
        <w:t xml:space="preserve">Rec</w:t>
      </w:r>
      <w:r>
        <w:t xml:space="preserve">.</w:t>
      </w:r>
    </w:p>
    <w:p>
      <w:pPr>
        <w:pStyle w:val="BodyText"/>
      </w:pPr>
      <w:r>
        <w:rPr>
          <w:bCs/>
          <w:b/>
        </w:rPr>
        <w:t xml:space="preserve">Facts (as of 2026-10-08)</w:t>
      </w:r>
    </w:p>
    <w:tbl>
      <w:tblPr>
        <w:tblStyle w:val="Table"/>
        <w:tblW w:type="pct" w:w="5000"/>
        <w:tblLook w:firstRow="1" w:lastRow="0" w:firstColumn="0" w:lastColumn="0" w:noHBand="0" w:noVBand="0" w:val="0020"/>
        <w:jc w:val="start"/>
      </w:tblPr>
      <w:tblGrid>
        <w:gridCol w:w="1485"/>
        <w:gridCol w:w="4290"/>
        <w:gridCol w:w="1320"/>
        <w:gridCol w:w="825"/>
      </w:tblGrid>
      <w:tr>
        <w:trPr>
          <w:tblHeader w:val="true"/>
        </w:trPr>
        <w:tc>
          <w:tcPr/>
          <w:p>
            <w:pPr>
              <w:pStyle w:val="Compact"/>
              <w:jc w:val="left"/>
            </w:pPr>
            <w:r>
              <w:t xml:space="preserve">Field</w:t>
            </w:r>
          </w:p>
        </w:tc>
        <w:tc>
          <w:tcPr/>
          <w:p>
            <w:pPr>
              <w:pStyle w:val="Compact"/>
              <w:jc w:val="left"/>
            </w:pPr>
            <w:r>
              <w:t xml:space="preserve">Value</w:t>
            </w:r>
          </w:p>
        </w:tc>
        <w:tc>
          <w:tcPr/>
          <w:p>
            <w:pPr>
              <w:pStyle w:val="Compact"/>
              <w:jc w:val="left"/>
            </w:pPr>
            <w:r>
              <w:t xml:space="preserve">Label</w:t>
            </w:r>
          </w:p>
        </w:tc>
        <w:tc>
          <w:tcPr/>
          <w:p>
            <w:pPr>
              <w:pStyle w:val="Compact"/>
              <w:jc w:val="left"/>
            </w:pPr>
            <w:r>
              <w:t xml:space="preserve">Sources</w:t>
            </w:r>
          </w:p>
        </w:tc>
      </w:tr>
      <w:tr>
        <w:tc>
          <w:tcPr/>
          <w:p>
            <w:pPr>
              <w:pStyle w:val="Compact"/>
              <w:jc w:val="left"/>
            </w:pPr>
            <w:r>
              <w:t xml:space="preserve">Company</w:t>
            </w:r>
          </w:p>
        </w:tc>
        <w:tc>
          <w:tcPr/>
          <w:p>
            <w:pPr>
              <w:pStyle w:val="Compact"/>
              <w:jc w:val="left"/>
            </w:pPr>
            <w:r>
              <w:t xml:space="preserve">Composio (SDK copyright Sampark Inc.; San Francisco)</w:t>
            </w:r>
          </w:p>
        </w:tc>
        <w:tc>
          <w:tcPr/>
          <w:p>
            <w:pPr>
              <w:pStyle w:val="Compact"/>
              <w:jc w:val="left"/>
            </w:pPr>
            <w:r>
              <w:t xml:space="preserve">Verified fact</w:t>
            </w:r>
          </w:p>
        </w:tc>
        <w:tc>
          <w:tcPr/>
          <w:p>
            <w:pPr>
              <w:pStyle w:val="Compact"/>
              <w:jc w:val="left"/>
            </w:pPr>
            <w:r>
              <w:t xml:space="preserve">A3-S063, A3-S067, A3-S099</w:t>
            </w:r>
          </w:p>
        </w:tc>
      </w:tr>
      <w:tr>
        <w:tc>
          <w:tcPr/>
          <w:p>
            <w:pPr>
              <w:pStyle w:val="Compact"/>
              <w:jc w:val="left"/>
            </w:pPr>
            <w:r>
              <w:t xml:space="preserve">Category</w:t>
            </w:r>
          </w:p>
        </w:tc>
        <w:tc>
          <w:tcPr/>
          <w:p>
            <w:pPr>
              <w:pStyle w:val="Compact"/>
              <w:jc w:val="left"/>
            </w:pPr>
            <w:r>
              <w:t xml:space="preserve">Managed tool-integration platform for agents: 1000+ pre-authenticated toolkits, per-user sessions, authentication, triggers and a sandbox</w:t>
            </w:r>
          </w:p>
        </w:tc>
        <w:tc>
          <w:tcPr/>
          <w:p>
            <w:pPr>
              <w:pStyle w:val="Compact"/>
              <w:jc w:val="left"/>
            </w:pPr>
            <w:r>
              <w:t xml:space="preserve">Verified fact</w:t>
            </w:r>
          </w:p>
        </w:tc>
        <w:tc>
          <w:tcPr/>
          <w:p>
            <w:pPr>
              <w:pStyle w:val="Compact"/>
              <w:jc w:val="left"/>
            </w:pPr>
            <w:r>
              <w:t xml:space="preserve">A3-S063</w:t>
            </w:r>
          </w:p>
        </w:tc>
      </w:tr>
      <w:tr>
        <w:tc>
          <w:tcPr/>
          <w:p>
            <w:pPr>
              <w:pStyle w:val="Compact"/>
              <w:jc w:val="left"/>
            </w:pPr>
            <w:r>
              <w:t xml:space="preserve">Version / lineup</w:t>
            </w:r>
          </w:p>
        </w:tc>
        <w:tc>
          <w:tcPr/>
          <w:p>
            <w:pPr>
              <w:pStyle w:val="Compact"/>
              <w:jc w:val="left"/>
            </w:pPr>
            <w:r>
              <w:t xml:space="preserve">Python SDK composio 0.25.0 (29 September 2026); 2.0.0b0 pre-release (31 August 2026)</w:t>
            </w:r>
          </w:p>
        </w:tc>
        <w:tc>
          <w:tcPr/>
          <w:p>
            <w:pPr>
              <w:pStyle w:val="Compact"/>
              <w:jc w:val="left"/>
            </w:pPr>
            <w:r>
              <w:t xml:space="preserve">Verified fact</w:t>
            </w:r>
          </w:p>
        </w:tc>
        <w:tc>
          <w:tcPr/>
          <w:p>
            <w:pPr>
              <w:pStyle w:val="Compact"/>
              <w:jc w:val="left"/>
            </w:pPr>
            <w:r>
              <w:t xml:space="preserve">A3-S008, V1-S098</w:t>
            </w:r>
          </w:p>
        </w:tc>
      </w:tr>
      <w:tr>
        <w:tc>
          <w:tcPr/>
          <w:p>
            <w:pPr>
              <w:pStyle w:val="Compact"/>
              <w:jc w:val="left"/>
            </w:pPr>
            <w:r>
              <w:t xml:space="preserve">Licence</w:t>
            </w:r>
          </w:p>
        </w:tc>
        <w:tc>
          <w:tcPr/>
          <w:p>
            <w:pPr>
              <w:pStyle w:val="Compact"/>
              <w:jc w:val="left"/>
            </w:pPr>
            <w:r>
              <w:t xml:space="preserve">SDKs MIT; platform is a hosted proprietary service (API key from dashboard)</w:t>
            </w:r>
          </w:p>
        </w:tc>
        <w:tc>
          <w:tcPr/>
          <w:p>
            <w:pPr>
              <w:pStyle w:val="Compact"/>
              <w:jc w:val="left"/>
            </w:pPr>
            <w:r>
              <w:t xml:space="preserve">Verified fact</w:t>
            </w:r>
          </w:p>
        </w:tc>
        <w:tc>
          <w:tcPr/>
          <w:p>
            <w:pPr>
              <w:pStyle w:val="Compact"/>
              <w:jc w:val="left"/>
            </w:pPr>
            <w:r>
              <w:t xml:space="preserve">A3-S067, A3-S063</w:t>
            </w:r>
          </w:p>
        </w:tc>
      </w:tr>
      <w:tr>
        <w:tc>
          <w:tcPr/>
          <w:p>
            <w:pPr>
              <w:pStyle w:val="Compact"/>
              <w:jc w:val="left"/>
            </w:pPr>
            <w:r>
              <w:t xml:space="preserve">Strategic direction</w:t>
            </w:r>
          </w:p>
        </w:tc>
        <w:tc>
          <w:tcPr/>
          <w:p>
            <w:pPr>
              <w:pStyle w:val="Compact"/>
              <w:jc w:val="left"/>
            </w:pPr>
            <w:r>
              <w:t xml:space="preserve">Session-based meta tools; markets an MCP Gateway product with governance (policy, audit, SSO)</w:t>
            </w:r>
          </w:p>
        </w:tc>
        <w:tc>
          <w:tcPr/>
          <w:p>
            <w:pPr>
              <w:pStyle w:val="Compact"/>
              <w:jc w:val="left"/>
            </w:pPr>
            <w:r>
              <w:t xml:space="preserve">Verified fact</w:t>
            </w:r>
          </w:p>
        </w:tc>
        <w:tc>
          <w:tcPr/>
          <w:p>
            <w:pPr>
              <w:pStyle w:val="Compact"/>
              <w:jc w:val="left"/>
            </w:pPr>
            <w:r>
              <w:t xml:space="preserve">A3-S008, A3-S119</w:t>
            </w:r>
          </w:p>
        </w:tc>
      </w:tr>
      <w:tr>
        <w:tc>
          <w:tcPr/>
          <w:p>
            <w:pPr>
              <w:pStyle w:val="Compact"/>
              <w:jc w:val="left"/>
            </w:pPr>
            <w:r>
              <w:t xml:space="preserve">What it does</w:t>
            </w:r>
          </w:p>
        </w:tc>
        <w:tc>
          <w:tcPr/>
          <w:p>
            <w:pPr>
              <w:pStyle w:val="Compact"/>
              <w:jc w:val="left"/>
            </w:pPr>
            <w:r>
              <w:t xml:space="preserve">Creates per-user sessions whose tools an agent calls across 1000+ apps; handles OAuth/connected accounts and restricts toolkits, tools, auth configs and connected accounts per session</w:t>
            </w:r>
          </w:p>
        </w:tc>
        <w:tc>
          <w:tcPr/>
          <w:p>
            <w:pPr>
              <w:pStyle w:val="Compact"/>
              <w:jc w:val="left"/>
            </w:pPr>
            <w:r>
              <w:t xml:space="preserve">Verified fact</w:t>
            </w:r>
          </w:p>
        </w:tc>
        <w:tc>
          <w:tcPr/>
          <w:p>
            <w:pPr>
              <w:pStyle w:val="Compact"/>
              <w:jc w:val="left"/>
            </w:pPr>
            <w:r>
              <w:t xml:space="preserve">A3-S063, A3-S008</w:t>
            </w:r>
          </w:p>
        </w:tc>
      </w:tr>
      <w:tr>
        <w:tc>
          <w:tcPr/>
          <w:p>
            <w:pPr>
              <w:pStyle w:val="Compact"/>
              <w:jc w:val="left"/>
            </w:pPr>
            <w:r>
              <w:t xml:space="preserve">Stack position</w:t>
            </w:r>
          </w:p>
        </w:tc>
        <w:tc>
          <w:tcPr/>
          <w:p>
            <w:pPr>
              <w:pStyle w:val="Compact"/>
              <w:jc w:val="left"/>
            </w:pPr>
            <w:r>
              <w:t xml:space="preserve">L4 integration/tool-hub; also acts as a managed credential broker for third-party apps</w:t>
            </w:r>
          </w:p>
        </w:tc>
        <w:tc>
          <w:tcPr/>
          <w:p>
            <w:pPr>
              <w:pStyle w:val="Compact"/>
              <w:jc w:val="left"/>
            </w:pPr>
            <w:r>
              <w:t xml:space="preserve">Verified fact</w:t>
            </w:r>
          </w:p>
        </w:tc>
        <w:tc>
          <w:tcPr/>
          <w:p>
            <w:pPr>
              <w:pStyle w:val="Compact"/>
              <w:jc w:val="left"/>
            </w:pPr>
            <w:r>
              <w:t xml:space="preserve">A3-S063</w:t>
            </w:r>
          </w:p>
        </w:tc>
      </w:tr>
      <w:tr>
        <w:tc>
          <w:tcPr/>
          <w:p>
            <w:pPr>
              <w:pStyle w:val="Compact"/>
              <w:jc w:val="left"/>
            </w:pPr>
            <w:r>
              <w:t xml:space="preserve">Integration</w:t>
            </w:r>
          </w:p>
        </w:tc>
        <w:tc>
          <w:tcPr/>
          <w:p>
            <w:pPr>
              <w:pStyle w:val="Compact"/>
              <w:jc w:val="left"/>
            </w:pPr>
            <w:r>
              <w:t xml:space="preserve">Python/TypeScript SDKs, CLI, provider adapters for OpenAI Agents, Claude Agent SDK, Vercel AI SDK, LangChain; remote MCP server</w:t>
            </w:r>
          </w:p>
        </w:tc>
        <w:tc>
          <w:tcPr/>
          <w:p>
            <w:pPr>
              <w:pStyle w:val="Compact"/>
              <w:jc w:val="left"/>
            </w:pPr>
            <w:r>
              <w:t xml:space="preserve">Verified fact</w:t>
            </w:r>
          </w:p>
        </w:tc>
        <w:tc>
          <w:tcPr/>
          <w:p>
            <w:pPr>
              <w:pStyle w:val="Compact"/>
              <w:jc w:val="left"/>
            </w:pPr>
            <w:r>
              <w:t xml:space="preserve">A3-S063, A3-S054</w:t>
            </w:r>
          </w:p>
        </w:tc>
      </w:tr>
      <w:tr>
        <w:tc>
          <w:tcPr/>
          <w:p>
            <w:pPr>
              <w:pStyle w:val="Compact"/>
              <w:jc w:val="left"/>
            </w:pPr>
            <w:r>
              <w:t xml:space="preserve">Dependencies</w:t>
            </w:r>
          </w:p>
        </w:tc>
        <w:tc>
          <w:tcPr/>
          <w:p>
            <w:pPr>
              <w:pStyle w:val="Compact"/>
              <w:jc w:val="left"/>
            </w:pPr>
            <w:r>
              <w:t xml:space="preserve">Composio hosted API</w:t>
            </w:r>
          </w:p>
        </w:tc>
        <w:tc>
          <w:tcPr/>
          <w:p>
            <w:pPr>
              <w:pStyle w:val="Compact"/>
              <w:jc w:val="left"/>
            </w:pPr>
            <w:r>
              <w:t xml:space="preserve">Verified fact</w:t>
            </w:r>
          </w:p>
        </w:tc>
        <w:tc>
          <w:tcPr/>
          <w:p>
            <w:pPr>
              <w:pStyle w:val="Compact"/>
              <w:jc w:val="left"/>
            </w:pPr>
            <w:r>
              <w:t xml:space="preserve">A3-S063</w:t>
            </w:r>
          </w:p>
        </w:tc>
      </w:tr>
      <w:tr>
        <w:tc>
          <w:tcPr/>
          <w:p>
            <w:pPr>
              <w:pStyle w:val="Compact"/>
              <w:jc w:val="left"/>
            </w:pPr>
            <w:r>
              <w:t xml:space="preserve">Certifications</w:t>
            </w:r>
          </w:p>
        </w:tc>
        <w:tc>
          <w:tcPr/>
          <w:p>
            <w:pPr>
              <w:pStyle w:val="Compact"/>
              <w:jc w:val="left"/>
            </w:pPr>
            <w:r>
              <w:t xml:space="preserve">Vendor states SOC 2 Type II and ISO/IEC 27001:2022; evidence via trust centre (security.composio.dev)</w:t>
            </w:r>
          </w:p>
        </w:tc>
        <w:tc>
          <w:tcPr/>
          <w:p>
            <w:pPr>
              <w:pStyle w:val="Compact"/>
              <w:jc w:val="left"/>
            </w:pPr>
            <w:r>
              <w:t xml:space="preserve">Verified fact</w:t>
            </w:r>
          </w:p>
        </w:tc>
        <w:tc>
          <w:tcPr/>
          <w:p>
            <w:pPr>
              <w:pStyle w:val="Compact"/>
              <w:jc w:val="left"/>
            </w:pPr>
            <w:r>
              <w:t xml:space="preserve">A3-S098</w:t>
            </w:r>
          </w:p>
        </w:tc>
      </w:tr>
      <w:tr>
        <w:tc>
          <w:tcPr/>
          <w:p>
            <w:pPr>
              <w:pStyle w:val="Compact"/>
              <w:jc w:val="left"/>
            </w:pPr>
            <w:r>
              <w:t xml:space="preserve">GDPR / residency</w:t>
            </w:r>
          </w:p>
        </w:tc>
        <w:tc>
          <w:tcPr/>
          <w:p>
            <w:pPr>
              <w:pStyle w:val="Compact"/>
              <w:jc w:val="left"/>
            </w:pPr>
            <w:r>
              <w:t xml:space="preserve">Managed cloud hosted in the US; EU-only residency requires self-hosted Enterprise deployment</w:t>
            </w:r>
          </w:p>
        </w:tc>
        <w:tc>
          <w:tcPr/>
          <w:p>
            <w:pPr>
              <w:pStyle w:val="Compact"/>
              <w:jc w:val="left"/>
            </w:pPr>
            <w:r>
              <w:t xml:space="preserve">Verified fact</w:t>
            </w:r>
          </w:p>
        </w:tc>
        <w:tc>
          <w:tcPr/>
          <w:p>
            <w:pPr>
              <w:pStyle w:val="Compact"/>
              <w:jc w:val="left"/>
            </w:pPr>
            <w:r>
              <w:t xml:space="preserve">A3-S119</w:t>
            </w:r>
          </w:p>
        </w:tc>
      </w:tr>
      <w:tr>
        <w:tc>
          <w:tcPr/>
          <w:p>
            <w:pPr>
              <w:pStyle w:val="Compact"/>
              <w:jc w:val="left"/>
            </w:pPr>
            <w:r>
              <w:t xml:space="preserve">Security features</w:t>
            </w:r>
          </w:p>
        </w:tc>
        <w:tc>
          <w:tcPr/>
          <w:p>
            <w:pPr>
              <w:pStyle w:val="Compact"/>
              <w:jc w:val="left"/>
            </w:pPr>
            <w:r>
              <w:t xml:space="preserve">Credentials AES-256 encrypted and isolated from app code and LLM context; KMS key management on Enterprise; Zero Data Retention on Pro and above</w:t>
            </w:r>
          </w:p>
        </w:tc>
        <w:tc>
          <w:tcPr/>
          <w:p>
            <w:pPr>
              <w:pStyle w:val="Compact"/>
              <w:jc w:val="left"/>
            </w:pPr>
            <w:r>
              <w:t xml:space="preserve">Verified fact</w:t>
            </w:r>
          </w:p>
        </w:tc>
        <w:tc>
          <w:tcPr/>
          <w:p>
            <w:pPr>
              <w:pStyle w:val="Compact"/>
              <w:jc w:val="left"/>
            </w:pPr>
            <w:r>
              <w:t xml:space="preserve">A3-S098, A3-S119</w:t>
            </w:r>
          </w:p>
        </w:tc>
      </w:tr>
      <w:tr>
        <w:tc>
          <w:tcPr/>
          <w:p>
            <w:pPr>
              <w:pStyle w:val="Compact"/>
              <w:jc w:val="left"/>
            </w:pPr>
            <w:r>
              <w:t xml:space="preserve">Access controls</w:t>
            </w:r>
          </w:p>
        </w:tc>
        <w:tc>
          <w:tcPr/>
          <w:p>
            <w:pPr>
              <w:pStyle w:val="Compact"/>
              <w:jc w:val="left"/>
            </w:pPr>
            <w:r>
              <w:t xml:space="preserve">SAML 2.0/OIDC SSO (Okta, Entra ID, Google Workspace) and SCIM 2.0 on Enterprise; action-level policy-as-code RBAC; per-call audit logs incl. denied calls, 7-day to 1-year retention, SIEM export; per-session tool restrictions</w:t>
            </w:r>
          </w:p>
        </w:tc>
        <w:tc>
          <w:tcPr/>
          <w:p>
            <w:pPr>
              <w:pStyle w:val="Compact"/>
              <w:jc w:val="left"/>
            </w:pPr>
            <w:r>
              <w:t xml:space="preserve">Verified fact</w:t>
            </w:r>
          </w:p>
        </w:tc>
        <w:tc>
          <w:tcPr/>
          <w:p>
            <w:pPr>
              <w:pStyle w:val="Compact"/>
              <w:jc w:val="left"/>
            </w:pPr>
            <w:r>
              <w:t xml:space="preserve">A3-S119, A3-S098, A3-S008</w:t>
            </w:r>
          </w:p>
        </w:tc>
      </w:tr>
      <w:tr>
        <w:tc>
          <w:tcPr/>
          <w:p>
            <w:pPr>
              <w:pStyle w:val="Compact"/>
              <w:jc w:val="left"/>
            </w:pPr>
            <w:r>
              <w:t xml:space="preserve">Enterprise support</w:t>
            </w:r>
          </w:p>
        </w:tc>
        <w:tc>
          <w:tcPr/>
          <w:p>
            <w:pPr>
              <w:pStyle w:val="Compact"/>
              <w:jc w:val="left"/>
            </w:pPr>
            <w:r>
              <w:t xml:space="preserve">Enterprise: MSA/DPA/SLA, dedicated support, committed volume</w:t>
            </w:r>
          </w:p>
        </w:tc>
        <w:tc>
          <w:tcPr/>
          <w:p>
            <w:pPr>
              <w:pStyle w:val="Compact"/>
              <w:jc w:val="left"/>
            </w:pPr>
            <w:r>
              <w:t xml:space="preserve">Verified fact</w:t>
            </w:r>
          </w:p>
        </w:tc>
        <w:tc>
          <w:tcPr/>
          <w:p>
            <w:pPr>
              <w:pStyle w:val="Compact"/>
              <w:jc w:val="left"/>
            </w:pPr>
            <w:r>
              <w:t xml:space="preserve">A3-S098</w:t>
            </w:r>
          </w:p>
        </w:tc>
      </w:tr>
      <w:tr>
        <w:tc>
          <w:tcPr/>
          <w:p>
            <w:pPr>
              <w:pStyle w:val="Compact"/>
              <w:jc w:val="left"/>
            </w:pPr>
            <w:r>
              <w:t xml:space="preserve">Pricing</w:t>
            </w:r>
          </w:p>
        </w:tc>
        <w:tc>
          <w:tcPr/>
          <w:p>
            <w:pPr>
              <w:pStyle w:val="Compact"/>
              <w:jc w:val="left"/>
            </w:pPr>
            <w:r>
              <w:t xml:space="preserve">Metered by tool call: free 20,000 calls/month; US$29/month for 200,000; US$229/month for 2M; Enterprise custom (as reported on Composio comparison pages)</w:t>
            </w:r>
          </w:p>
        </w:tc>
        <w:tc>
          <w:tcPr/>
          <w:p>
            <w:pPr>
              <w:pStyle w:val="Compact"/>
              <w:jc w:val="left"/>
            </w:pPr>
            <w:r>
              <w:t xml:space="preserve">Verified fact</w:t>
            </w:r>
          </w:p>
        </w:tc>
        <w:tc>
          <w:tcPr/>
          <w:p>
            <w:pPr>
              <w:pStyle w:val="Compact"/>
              <w:jc w:val="left"/>
            </w:pPr>
            <w:r>
              <w:t xml:space="preserve">A3-S098</w:t>
            </w:r>
          </w:p>
        </w:tc>
      </w:tr>
      <w:tr>
        <w:tc>
          <w:tcPr/>
          <w:p>
            <w:pPr>
              <w:pStyle w:val="Compact"/>
              <w:jc w:val="left"/>
            </w:pPr>
            <w:r>
              <w:t xml:space="preserve">Infrastructure cost</w:t>
            </w:r>
          </w:p>
        </w:tc>
        <w:tc>
          <w:tcPr/>
          <w:p>
            <w:pPr>
              <w:pStyle w:val="Compact"/>
              <w:jc w:val="left"/>
            </w:pPr>
            <w:r>
              <w:t xml:space="preserve">Not applicable (SaaS)</w:t>
            </w:r>
          </w:p>
        </w:tc>
        <w:tc>
          <w:tcPr/>
          <w:p>
            <w:pPr>
              <w:pStyle w:val="Compact"/>
              <w:jc w:val="left"/>
            </w:pPr>
            <w:r>
              <w:t xml:space="preserve">Architectural judgement</w:t>
            </w:r>
          </w:p>
        </w:tc>
        <w:tc>
          <w:tcPr/>
          <w:p>
            <w:pPr>
              <w:pStyle w:val="Compact"/>
            </w:pPr>
          </w:p>
        </w:tc>
      </w:tr>
      <w:tr>
        <w:tc>
          <w:tcPr/>
          <w:p>
            <w:pPr>
              <w:pStyle w:val="Compact"/>
              <w:jc w:val="left"/>
            </w:pPr>
            <w:r>
              <w:t xml:space="preserve">Ecosystem</w:t>
            </w:r>
          </w:p>
        </w:tc>
        <w:tc>
          <w:tcPr/>
          <w:p>
            <w:pPr>
              <w:pStyle w:val="Compact"/>
              <w:jc w:val="left"/>
            </w:pPr>
            <w:r>
              <w:t xml:space="preserve">Provider adapters for major agent frameworks; maintains awesome-claude-skills list (76,670 stars)</w:t>
            </w:r>
          </w:p>
        </w:tc>
        <w:tc>
          <w:tcPr/>
          <w:p>
            <w:pPr>
              <w:pStyle w:val="Compact"/>
              <w:jc w:val="left"/>
            </w:pPr>
            <w:r>
              <w:t xml:space="preserve">Verified fact</w:t>
            </w:r>
          </w:p>
        </w:tc>
        <w:tc>
          <w:tcPr/>
          <w:p>
            <w:pPr>
              <w:pStyle w:val="Compact"/>
              <w:jc w:val="left"/>
            </w:pPr>
            <w:r>
              <w:t xml:space="preserve">A3-S063, A3-S054</w:t>
            </w:r>
          </w:p>
        </w:tc>
      </w:tr>
      <w:tr>
        <w:tc>
          <w:tcPr/>
          <w:p>
            <w:pPr>
              <w:pStyle w:val="Compact"/>
              <w:jc w:val="left"/>
            </w:pPr>
            <w:r>
              <w:t xml:space="preserve">Adoption signals</w:t>
            </w:r>
          </w:p>
        </w:tc>
        <w:tc>
          <w:tcPr/>
          <w:p>
            <w:pPr>
              <w:pStyle w:val="Compact"/>
              <w:jc w:val="left"/>
            </w:pPr>
            <w:r>
              <w:t xml:space="preserve">ComposioHQ/composio 30,464 GitHub stars (7 October 2026); US$25M Series A led by Lightspeed (July 2025; US$29M total, Reported)</w:t>
            </w:r>
          </w:p>
        </w:tc>
        <w:tc>
          <w:tcPr/>
          <w:p>
            <w:pPr>
              <w:pStyle w:val="Compact"/>
              <w:jc w:val="left"/>
            </w:pPr>
            <w:r>
              <w:t xml:space="preserve">Verified fact</w:t>
            </w:r>
          </w:p>
        </w:tc>
        <w:tc>
          <w:tcPr/>
          <w:p>
            <w:pPr>
              <w:pStyle w:val="Compact"/>
              <w:jc w:val="left"/>
            </w:pPr>
            <w:r>
              <w:t xml:space="preserve">A3-S054, A3-S099</w:t>
            </w:r>
          </w:p>
        </w:tc>
      </w:tr>
      <w:tr>
        <w:tc>
          <w:tcPr/>
          <w:p>
            <w:pPr>
              <w:pStyle w:val="Compact"/>
              <w:jc w:val="left"/>
            </w:pPr>
            <w:r>
              <w:t xml:space="preserve">Maturity</w:t>
            </w:r>
          </w:p>
        </w:tc>
        <w:tc>
          <w:tcPr/>
          <w:p>
            <w:pPr>
              <w:pStyle w:val="Compact"/>
              <w:jc w:val="left"/>
            </w:pPr>
            <w:r>
              <w:t xml:space="preserve">Current Python SDK line first published December 2024; pre-1.0 with 2.0 in beta</w:t>
            </w:r>
          </w:p>
        </w:tc>
        <w:tc>
          <w:tcPr/>
          <w:p>
            <w:pPr>
              <w:pStyle w:val="Compact"/>
              <w:jc w:val="left"/>
            </w:pPr>
            <w:r>
              <w:t xml:space="preserve">Verified fact</w:t>
            </w:r>
          </w:p>
        </w:tc>
        <w:tc>
          <w:tcPr/>
          <w:p>
            <w:pPr>
              <w:pStyle w:val="Compact"/>
              <w:jc w:val="left"/>
            </w:pPr>
            <w:r>
              <w:t xml:space="preserve">A3-S008</w:t>
            </w:r>
          </w:p>
        </w:tc>
      </w:tr>
      <w:tr>
        <w:tc>
          <w:tcPr/>
          <w:p>
            <w:pPr>
              <w:pStyle w:val="Compact"/>
              <w:jc w:val="left"/>
            </w:pPr>
            <w:r>
              <w:t xml:space="preserve">Deployment</w:t>
            </w:r>
          </w:p>
        </w:tc>
        <w:tc>
          <w:tcPr/>
          <w:p>
            <w:pPr>
              <w:pStyle w:val="Compact"/>
              <w:jc w:val="left"/>
            </w:pPr>
            <w:r>
              <w:t xml:space="preserve">saas: Yes; managed_cloud: Yes (regional managed cloud handling); vpc_byoc: Yes (Enterprise VPC deployment); private_cloud: Not publicly verified; self_hosted: Yes (Enterprise fully self-hosted); on_prem: Yes (on-premise option on Enterprise)</w:t>
            </w:r>
          </w:p>
        </w:tc>
        <w:tc>
          <w:tcPr/>
          <w:p>
            <w:pPr>
              <w:pStyle w:val="Compact"/>
            </w:pPr>
          </w:p>
        </w:tc>
        <w:tc>
          <w:tcPr/>
          <w:p>
            <w:pPr>
              <w:pStyle w:val="Compact"/>
            </w:pPr>
          </w:p>
        </w:tc>
      </w:tr>
    </w:tbl>
    <w:bookmarkEnd w:id="979"/>
    <w:bookmarkStart w:id="997" w:name="exa-l4-exa"/>
    <w:p>
      <w:pPr>
        <w:pStyle w:val="Heading2"/>
      </w:pPr>
      <w:r>
        <w:t xml:space="preserve">Exa (</w:t>
      </w:r>
      <w:r>
        <w:rPr>
          <w:rStyle w:val="VerbatimChar"/>
        </w:rPr>
        <w:t xml:space="preserve">L4-exa</w:t>
      </w:r>
      <w:r>
        <w:t xml:space="preserve">)</w:t>
      </w:r>
    </w:p>
    <w:p>
      <w:pPr>
        <w:pStyle w:val="FirstParagraph"/>
      </w:pPr>
      <w:r>
        <w:rPr>
          <w:bCs/>
          <w:b/>
        </w:rPr>
        <w:t xml:space="preserve">Tier:</w:t>
      </w:r>
      <w:r>
        <w:t xml:space="preserve"> </w:t>
      </w:r>
      <w:r>
        <w:t xml:space="preserve">Tactical ·</w:t>
      </w:r>
      <w:r>
        <w:t xml:space="preserve"> </w:t>
      </w:r>
      <w:r>
        <w:rPr>
          <w:bCs/>
          <w:b/>
        </w:rPr>
        <w:t xml:space="preserve">Flags:</w:t>
      </w:r>
      <w:r>
        <w:t xml:space="preserve"> </w:t>
      </w:r>
      <w:r>
        <w:t xml:space="preserve">none ·</w:t>
      </w:r>
      <w:r>
        <w:t xml:space="preserve"> </w:t>
      </w:r>
      <w:r>
        <w:rPr>
          <w:bCs/>
          <w:b/>
        </w:rPr>
        <w:t xml:space="preserve">Original graphic label:</w:t>
      </w:r>
      <w:r>
        <w:t xml:space="preserve"> </w:t>
      </w:r>
      <w:r>
        <w:t xml:space="preserve">Exa – search API</w:t>
      </w:r>
    </w:p>
    <w:p>
      <w:pPr>
        <w:pStyle w:val="BodyText"/>
      </w:pPr>
      <w:r>
        <w:rPr>
          <w:iCs/>
          <w:i/>
        </w:rPr>
        <w:t xml:space="preserve">Rationale:</w:t>
      </w:r>
      <w:r>
        <w:t xml:space="preserve"> </w:t>
      </w:r>
      <w:r>
        <w:t xml:space="preserve">Competent, certified search API; SaaS-only with no EU region</w:t>
      </w:r>
      <w:r>
        <w:t xml:space="preserve"> </w:t>
      </w:r>
      <w:r>
        <w:rPr>
          <w:rStyle w:val="ClaimLabel"/>
        </w:rPr>
        <w:t xml:space="preserve">AJ</w:t>
      </w:r>
      <w:r>
        <w:t xml:space="preserve">.</w:t>
      </w:r>
    </w:p>
    <w:tbl>
      <w:tblPr>
        <w:tblStyle w:val="Table"/>
        <w:tblW w:type="pct" w:w="5000"/>
        <w:tblLook w:firstRow="1" w:lastRow="0" w:firstColumn="0" w:lastColumn="0" w:noHBand="0" w:noVBand="0" w:val="0020"/>
        <w:jc w:val="start"/>
      </w:tblPr>
      <w:tblGrid>
        <w:gridCol w:w="1545"/>
        <w:gridCol w:w="579"/>
        <w:gridCol w:w="5795"/>
      </w:tblGrid>
      <w:tr>
        <w:trPr>
          <w:tblHeader w:val="true"/>
        </w:trPr>
        <w:tc>
          <w:tcPr/>
          <w:p>
            <w:pPr>
              <w:pStyle w:val="Compact"/>
              <w:jc w:val="left"/>
            </w:pPr>
            <w:r>
              <w:t xml:space="preserve">Criterion</w:t>
            </w:r>
          </w:p>
        </w:tc>
        <w:tc>
          <w:tcPr/>
          <w:p>
            <w:pPr>
              <w:pStyle w:val="Compact"/>
              <w:jc w:val="right"/>
            </w:pPr>
            <w:r>
              <w:t xml:space="preserve">Score</w:t>
            </w:r>
          </w:p>
        </w:tc>
        <w:tc>
          <w:tcPr/>
          <w:p>
            <w:pPr>
              <w:pStyle w:val="Compact"/>
              <w:jc w:val="left"/>
            </w:pPr>
            <w:r>
              <w:t xml:space="preserve">Rationale</w:t>
            </w:r>
          </w:p>
        </w:tc>
      </w:tr>
      <w:tr>
        <w:tc>
          <w:tcPr/>
          <w:p>
            <w:pPr>
              <w:pStyle w:val="Compact"/>
              <w:jc w:val="left"/>
            </w:pPr>
            <w:r>
              <w:t xml:space="preserve">Technical</w:t>
            </w:r>
          </w:p>
        </w:tc>
        <w:tc>
          <w:tcPr/>
          <w:p>
            <w:pPr>
              <w:pStyle w:val="Compact"/>
              <w:jc w:val="right"/>
            </w:pPr>
            <w:r>
              <w:t xml:space="preserve">3</w:t>
            </w:r>
          </w:p>
        </w:tc>
        <w:tc>
          <w:tcPr/>
          <w:p>
            <w:pPr>
              <w:pStyle w:val="Compact"/>
              <w:jc w:val="left"/>
            </w:pPr>
            <w:r>
              <w:t xml:space="preserve">Covers search and extraction competently</w:t>
            </w:r>
            <w:r>
              <w:t xml:space="preserve"> </w:t>
            </w:r>
            <w:r>
              <w:rPr>
                <w:rStyle w:val="ClaimLabel"/>
              </w:rPr>
              <w:t xml:space="preserve">VF</w:t>
            </w:r>
            <w:r>
              <w:rPr>
                <w:rStyle w:val="FootnoteReference"/>
              </w:rPr>
              <w:footnoteReference w:id="980"/>
            </w:r>
          </w:p>
        </w:tc>
      </w:tr>
      <w:tr>
        <w:tc>
          <w:tcPr/>
          <w:p>
            <w:pPr>
              <w:pStyle w:val="Compact"/>
              <w:jc w:val="left"/>
            </w:pPr>
            <w:r>
              <w:t xml:space="preserve">Enterprise readiness</w:t>
            </w:r>
          </w:p>
        </w:tc>
        <w:tc>
          <w:tcPr/>
          <w:p>
            <w:pPr>
              <w:pStyle w:val="Compact"/>
              <w:jc w:val="right"/>
            </w:pPr>
            <w:r>
              <w:t xml:space="preserve">3</w:t>
            </w:r>
          </w:p>
        </w:tc>
        <w:tc>
          <w:tcPr/>
          <w:p>
            <w:pPr>
              <w:pStyle w:val="Compact"/>
              <w:jc w:val="left"/>
            </w:pPr>
            <w:r>
              <w:t xml:space="preserve">SSO and SCIM verified; RBAC and audit logs not found (CP2 rule 7: max 3)</w:t>
            </w:r>
            <w:r>
              <w:t xml:space="preserve"> </w:t>
            </w:r>
            <w:r>
              <w:rPr>
                <w:rStyle w:val="ClaimLabel"/>
              </w:rPr>
              <w:t xml:space="preserve">VF</w:t>
            </w:r>
            <w:r>
              <w:rPr>
                <w:rStyle w:val="FootnoteReference"/>
              </w:rPr>
              <w:footnoteReference w:id="982"/>
            </w:r>
          </w:p>
        </w:tc>
      </w:tr>
      <w:tr>
        <w:tc>
          <w:tcPr/>
          <w:p>
            <w:pPr>
              <w:pStyle w:val="Compact"/>
              <w:jc w:val="left"/>
            </w:pPr>
            <w:r>
              <w:t xml:space="preserve">Security and compliance</w:t>
            </w:r>
          </w:p>
        </w:tc>
        <w:tc>
          <w:tcPr/>
          <w:p>
            <w:pPr>
              <w:pStyle w:val="Compact"/>
              <w:jc w:val="right"/>
            </w:pPr>
            <w:r>
              <w:t xml:space="preserve">3</w:t>
            </w:r>
          </w:p>
        </w:tc>
        <w:tc>
          <w:tcPr/>
          <w:p>
            <w:pPr>
              <w:pStyle w:val="Compact"/>
              <w:jc w:val="left"/>
            </w:pPr>
            <w:r>
              <w:t xml:space="preserve">SOC 2 Type II, DPA; no ISO 27001 found</w:t>
            </w:r>
            <w:r>
              <w:t xml:space="preserve"> </w:t>
            </w:r>
            <w:r>
              <w:rPr>
                <w:rStyle w:val="ClaimLabel"/>
              </w:rPr>
              <w:t xml:space="preserve">VF</w:t>
            </w:r>
            <w:r>
              <w:rPr>
                <w:rStyle w:val="FootnoteReference"/>
              </w:rPr>
              <w:footnoteReference w:id="984"/>
            </w:r>
          </w:p>
        </w:tc>
      </w:tr>
      <w:tr>
        <w:tc>
          <w:tcPr/>
          <w:p>
            <w:pPr>
              <w:pStyle w:val="Compact"/>
              <w:jc w:val="left"/>
            </w:pPr>
            <w:r>
              <w:t xml:space="preserve">Deployment flexibility</w:t>
            </w:r>
          </w:p>
        </w:tc>
        <w:tc>
          <w:tcPr/>
          <w:p>
            <w:pPr>
              <w:pStyle w:val="Compact"/>
              <w:jc w:val="right"/>
            </w:pPr>
            <w:r>
              <w:t xml:space="preserve">1</w:t>
            </w:r>
          </w:p>
        </w:tc>
        <w:tc>
          <w:tcPr/>
          <w:p>
            <w:pPr>
              <w:pStyle w:val="Compact"/>
              <w:jc w:val="left"/>
            </w:pPr>
            <w:r>
              <w:t xml:space="preserve">One SaaS service, no region choice found</w:t>
            </w:r>
            <w:r>
              <w:t xml:space="preserve"> </w:t>
            </w:r>
            <w:r>
              <w:rPr>
                <w:rStyle w:val="ClaimLabel"/>
              </w:rPr>
              <w:t xml:space="preserve">VF</w:t>
            </w:r>
            <w:r>
              <w:rPr>
                <w:rStyle w:val="FootnoteReference"/>
              </w:rPr>
              <w:footnoteReference w:id="986"/>
            </w:r>
          </w:p>
        </w:tc>
      </w:tr>
      <w:tr>
        <w:tc>
          <w:tcPr/>
          <w:p>
            <w:pPr>
              <w:pStyle w:val="Compact"/>
              <w:jc w:val="left"/>
            </w:pPr>
            <w:r>
              <w:t xml:space="preserve">Ecosystem</w:t>
            </w:r>
          </w:p>
        </w:tc>
        <w:tc>
          <w:tcPr/>
          <w:p>
            <w:pPr>
              <w:pStyle w:val="Compact"/>
              <w:jc w:val="right"/>
            </w:pPr>
            <w:r>
              <w:t xml:space="preserve">3</w:t>
            </w:r>
          </w:p>
        </w:tc>
        <w:tc>
          <w:tcPr/>
          <w:p>
            <w:pPr>
              <w:pStyle w:val="Compact"/>
              <w:jc w:val="left"/>
            </w:pPr>
            <w:r>
              <w:t xml:space="preserve">SDKs and MCP server; mainstream</w:t>
            </w:r>
            <w:r>
              <w:t xml:space="preserve"> </w:t>
            </w:r>
            <w:r>
              <w:rPr>
                <w:rStyle w:val="ClaimLabel"/>
              </w:rPr>
              <w:t xml:space="preserve">VF</w:t>
            </w:r>
            <w:r>
              <w:rPr>
                <w:rStyle w:val="FootnoteReference"/>
              </w:rPr>
              <w:footnoteReference w:id="987"/>
            </w:r>
          </w:p>
        </w:tc>
      </w:tr>
      <w:tr>
        <w:tc>
          <w:tcPr/>
          <w:p>
            <w:pPr>
              <w:pStyle w:val="Compact"/>
              <w:jc w:val="left"/>
            </w:pPr>
            <w:r>
              <w:t xml:space="preserve">Reliability and maturity</w:t>
            </w:r>
          </w:p>
        </w:tc>
        <w:tc>
          <w:tcPr/>
          <w:p>
            <w:pPr>
              <w:pStyle w:val="Compact"/>
              <w:jc w:val="right"/>
            </w:pPr>
            <w:r>
              <w:t xml:space="preserve">3</w:t>
            </w:r>
          </w:p>
        </w:tc>
        <w:tc>
          <w:tcPr/>
          <w:p>
            <w:pPr>
              <w:pStyle w:val="Compact"/>
              <w:jc w:val="left"/>
            </w:pPr>
            <w:r>
              <w:t xml:space="preserve">Steady releases since January 2024; well funded</w:t>
            </w:r>
            <w:r>
              <w:t xml:space="preserve"> </w:t>
            </w:r>
            <w:r>
              <w:rPr>
                <w:rStyle w:val="ClaimLabel"/>
              </w:rPr>
              <w:t xml:space="preserve">VF</w:t>
            </w:r>
            <w:r>
              <w:rPr>
                <w:rStyle w:val="FootnoteReference"/>
              </w:rPr>
              <w:footnoteReference w:id="988"/>
            </w:r>
            <w:r>
              <w:t xml:space="preserve"> </w:t>
            </w:r>
            <w:r>
              <w:rPr>
                <w:rStyle w:val="ClaimLabel"/>
              </w:rPr>
              <w:t xml:space="preserve">R</w:t>
            </w:r>
            <w:r>
              <w:rPr>
                <w:rStyle w:val="FootnoteReference"/>
              </w:rPr>
              <w:footnoteReference w:id="989"/>
            </w:r>
          </w:p>
        </w:tc>
      </w:tr>
      <w:tr>
        <w:tc>
          <w:tcPr/>
          <w:p>
            <w:pPr>
              <w:pStyle w:val="Compact"/>
              <w:jc w:val="left"/>
            </w:pPr>
            <w:r>
              <w:t xml:space="preserve">Cost / TCO</w:t>
            </w:r>
          </w:p>
        </w:tc>
        <w:tc>
          <w:tcPr/>
          <w:p>
            <w:pPr>
              <w:pStyle w:val="Compact"/>
              <w:jc w:val="right"/>
            </w:pPr>
            <w:r>
              <w:t xml:space="preserve">3</w:t>
            </w:r>
          </w:p>
        </w:tc>
        <w:tc>
          <w:tcPr/>
          <w:p>
            <w:pPr>
              <w:pStyle w:val="Compact"/>
              <w:jc w:val="left"/>
            </w:pPr>
            <w:r>
              <w:t xml:space="preserve">Transparent per-request pricing with a page conflict</w:t>
            </w:r>
            <w:r>
              <w:t xml:space="preserve"> </w:t>
            </w:r>
            <w:r>
              <w:rPr>
                <w:rStyle w:val="ClaimLabel"/>
              </w:rPr>
              <w:t xml:space="preserve">VF</w:t>
            </w:r>
            <w:r>
              <w:rPr>
                <w:rStyle w:val="FootnoteReference"/>
              </w:rPr>
              <w:footnoteReference w:id="991"/>
            </w:r>
          </w:p>
        </w:tc>
      </w:tr>
      <w:tr>
        <w:tc>
          <w:tcPr/>
          <w:p>
            <w:pPr>
              <w:pStyle w:val="Compact"/>
              <w:jc w:val="left"/>
            </w:pPr>
            <w:r>
              <w:t xml:space="preserve">Lock-in / portability</w:t>
            </w:r>
          </w:p>
        </w:tc>
        <w:tc>
          <w:tcPr/>
          <w:p>
            <w:pPr>
              <w:pStyle w:val="Compact"/>
              <w:jc w:val="right"/>
            </w:pPr>
            <w:r>
              <w:t xml:space="preserve">3</w:t>
            </w:r>
          </w:p>
        </w:tc>
        <w:tc>
          <w:tcPr/>
          <w:p>
            <w:pPr>
              <w:pStyle w:val="Compact"/>
              <w:jc w:val="left"/>
            </w:pPr>
            <w:r>
              <w:t xml:space="preserve">Proprietary index, but trivially swappable behind one interface</w:t>
            </w:r>
            <w:r>
              <w:t xml:space="preserve"> </w:t>
            </w:r>
            <w:r>
              <w:rPr>
                <w:rStyle w:val="ClaimLabel"/>
              </w:rPr>
              <w:t xml:space="preserve">AJ</w:t>
            </w:r>
          </w:p>
        </w:tc>
      </w:tr>
      <w:tr>
        <w:tc>
          <w:tcPr/>
          <w:p>
            <w:pPr>
              <w:pStyle w:val="Compact"/>
              <w:jc w:val="left"/>
            </w:pPr>
            <w:r>
              <w:rPr>
                <w:bCs/>
                <w:b/>
              </w:rPr>
              <w:t xml:space="preserve">Total (generic / FS)</w:t>
            </w:r>
          </w:p>
        </w:tc>
        <w:tc>
          <w:tcPr/>
          <w:p>
            <w:pPr>
              <w:pStyle w:val="Compact"/>
              <w:jc w:val="right"/>
            </w:pPr>
            <w:r>
              <w:rPr>
                <w:bCs/>
                <w:b/>
              </w:rPr>
              <w:t xml:space="preserve">2.70 / 2.70</w:t>
            </w:r>
          </w:p>
        </w:tc>
        <w:tc>
          <w:tcPr/>
          <w:p>
            <w:pPr>
              <w:pStyle w:val="Compact"/>
            </w:pPr>
          </w:p>
        </w:tc>
      </w:tr>
    </w:tbl>
    <w:p>
      <w:pPr>
        <w:pStyle w:val="BodyText"/>
      </w:pPr>
      <w:r>
        <w:rPr>
          <w:bCs/>
          <w:b/>
        </w:rPr>
        <w:t xml:space="preserve">Capabilities.</w:t>
      </w:r>
      <w:r>
        <w:t xml:space="preserve"> </w:t>
      </w:r>
      <w:r>
        <w:t xml:space="preserve">Web search API for AI with filters, page contents, answers and structured output; MCP server</w:t>
      </w:r>
      <w:r>
        <w:t xml:space="preserve"> </w:t>
      </w:r>
      <w:r>
        <w:rPr>
          <w:rStyle w:val="ClaimLabel"/>
        </w:rPr>
        <w:t xml:space="preserve">VF</w:t>
      </w:r>
      <w:r>
        <w:rPr>
          <w:rStyle w:val="FootnoteReference"/>
        </w:rPr>
        <w:footnoteReference w:id="992"/>
      </w:r>
      <w:r>
        <w:t xml:space="preserve">.</w:t>
      </w:r>
    </w:p>
    <w:p>
      <w:pPr>
        <w:pStyle w:val="BodyText"/>
      </w:pPr>
      <w:r>
        <w:rPr>
          <w:bCs/>
          <w:b/>
        </w:rPr>
        <w:t xml:space="preserve">Strengths</w:t>
      </w:r>
    </w:p>
    <w:p>
      <w:pPr>
        <w:numPr>
          <w:ilvl w:val="0"/>
          <w:numId w:val="1221"/>
        </w:numPr>
        <w:pStyle w:val="Compact"/>
      </w:pPr>
      <w:r>
        <w:t xml:space="preserve">SOC 2 Type II with 2026 bridge letter; ZDR on Enterprise; DPA with SCCs and UK Addendum</w:t>
      </w:r>
      <w:r>
        <w:t xml:space="preserve"> </w:t>
      </w:r>
      <w:r>
        <w:rPr>
          <w:rStyle w:val="ClaimLabel"/>
        </w:rPr>
        <w:t xml:space="preserve">VF</w:t>
      </w:r>
      <w:r>
        <w:rPr>
          <w:rStyle w:val="FootnoteReference"/>
        </w:rPr>
        <w:footnoteReference w:id="993"/>
      </w:r>
    </w:p>
    <w:p>
      <w:pPr>
        <w:numPr>
          <w:ilvl w:val="0"/>
          <w:numId w:val="1221"/>
        </w:numPr>
        <w:pStyle w:val="Compact"/>
      </w:pPr>
      <w:r>
        <w:t xml:space="preserve">Dashboard SSO and SCIM on Enterprise</w:t>
      </w:r>
      <w:r>
        <w:t xml:space="preserve"> </w:t>
      </w:r>
      <w:r>
        <w:rPr>
          <w:rStyle w:val="ClaimLabel"/>
        </w:rPr>
        <w:t xml:space="preserve">VF</w:t>
      </w:r>
      <w:r>
        <w:rPr>
          <w:rStyle w:val="FootnoteReference"/>
        </w:rPr>
        <w:footnoteReference w:id="994"/>
      </w:r>
    </w:p>
    <w:p>
      <w:pPr>
        <w:pStyle w:val="FirstParagraph"/>
      </w:pPr>
      <w:r>
        <w:rPr>
          <w:bCs/>
          <w:b/>
        </w:rPr>
        <w:t xml:space="preserve">Limitations and risks</w:t>
      </w:r>
    </w:p>
    <w:p>
      <w:pPr>
        <w:numPr>
          <w:ilvl w:val="0"/>
          <w:numId w:val="1222"/>
        </w:numPr>
        <w:pStyle w:val="Compact"/>
      </w:pPr>
      <w:r>
        <w:t xml:space="preserve">SaaS only; no EU processing region found</w:t>
      </w:r>
      <w:r>
        <w:t xml:space="preserve"> </w:t>
      </w:r>
      <w:r>
        <w:rPr>
          <w:rStyle w:val="ClaimLabel"/>
        </w:rPr>
        <w:t xml:space="preserve">VF</w:t>
      </w:r>
      <w:r>
        <w:rPr>
          <w:rStyle w:val="FootnoteReference"/>
        </w:rPr>
        <w:footnoteReference w:id="995"/>
      </w:r>
    </w:p>
    <w:p>
      <w:pPr>
        <w:numPr>
          <w:ilvl w:val="0"/>
          <w:numId w:val="1222"/>
        </w:numPr>
        <w:pStyle w:val="Compact"/>
      </w:pPr>
      <w:r>
        <w:t xml:space="preserve">Pricing conflict US$7 vs US$4 per 1,000 searches</w:t>
      </w:r>
      <w:r>
        <w:t xml:space="preserve"> </w:t>
      </w:r>
      <w:r>
        <w:rPr>
          <w:rStyle w:val="ClaimLabel"/>
        </w:rPr>
        <w:t xml:space="preserve">VF</w:t>
      </w:r>
      <w:r>
        <w:rPr>
          <w:rStyle w:val="FootnoteReference"/>
        </w:rPr>
        <w:footnoteReference w:id="996"/>
      </w:r>
    </w:p>
    <w:p>
      <w:pPr>
        <w:numPr>
          <w:ilvl w:val="0"/>
          <w:numId w:val="1222"/>
        </w:numPr>
        <w:pStyle w:val="Compact"/>
      </w:pPr>
      <w:r>
        <w:t xml:space="preserve">Search queries can leak confidential intent</w:t>
      </w:r>
      <w:r>
        <w:t xml:space="preserve"> </w:t>
      </w:r>
      <w:r>
        <w:rPr>
          <w:rStyle w:val="ClaimLabel"/>
        </w:rPr>
        <w:t xml:space="preserve">AJ</w:t>
      </w:r>
    </w:p>
    <w:p>
      <w:pPr>
        <w:pStyle w:val="FirstParagraph"/>
      </w:pPr>
      <w:r>
        <w:rPr>
          <w:bCs/>
          <w:b/>
        </w:rPr>
        <w:t xml:space="preserve">Choose when</w:t>
      </w:r>
    </w:p>
    <w:p>
      <w:pPr>
        <w:numPr>
          <w:ilvl w:val="0"/>
          <w:numId w:val="1223"/>
        </w:numPr>
        <w:pStyle w:val="Compact"/>
      </w:pPr>
      <w:r>
        <w:t xml:space="preserve">Public-web research on non-confidential questions</w:t>
      </w:r>
      <w:r>
        <w:t xml:space="preserve"> </w:t>
      </w:r>
      <w:r>
        <w:rPr>
          <w:rStyle w:val="ClaimLabel"/>
        </w:rPr>
        <w:t xml:space="preserve">AJ</w:t>
      </w:r>
    </w:p>
    <w:p>
      <w:pPr>
        <w:pStyle w:val="FirstParagraph"/>
      </w:pPr>
      <w:r>
        <w:rPr>
          <w:bCs/>
          <w:b/>
        </w:rPr>
        <w:t xml:space="preserve">Avoid when</w:t>
      </w:r>
    </w:p>
    <w:p>
      <w:pPr>
        <w:numPr>
          <w:ilvl w:val="0"/>
          <w:numId w:val="1224"/>
        </w:numPr>
        <w:pStyle w:val="Compact"/>
      </w:pPr>
      <w:r>
        <w:t xml:space="preserve">Queries could contain client, holdings or deal information</w:t>
      </w:r>
      <w:r>
        <w:t xml:space="preserve"> </w:t>
      </w:r>
      <w:r>
        <w:rPr>
          <w:rStyle w:val="ClaimLabel"/>
        </w:rPr>
        <w:t xml:space="preserve">AJ</w:t>
      </w:r>
    </w:p>
    <w:p>
      <w:pPr>
        <w:pStyle w:val="FirstParagraph"/>
      </w:pPr>
      <w:r>
        <w:rPr>
          <w:bCs/>
          <w:b/>
        </w:rPr>
        <w:t xml:space="preserve">Nearest competitors:</w:t>
      </w:r>
      <w:r>
        <w:t xml:space="preserve"> </w:t>
      </w:r>
      <w:r>
        <w:t xml:space="preserve">L4-tavily, L8-firecrawl, L8-apify</w:t>
      </w:r>
    </w:p>
    <w:p>
      <w:pPr>
        <w:pStyle w:val="BodyText"/>
      </w:pPr>
      <w:r>
        <w:rPr>
          <w:bCs/>
          <w:b/>
        </w:rPr>
        <w:t xml:space="preserve">Regulated-FS note.</w:t>
      </w:r>
      <w:r>
        <w:t xml:space="preserve"> </w:t>
      </w:r>
      <w:r>
        <w:t xml:space="preserve">Enable ZDR, route through the egress proxy with DLP, and register as an ICT third-party service</w:t>
      </w:r>
      <w:r>
        <w:t xml:space="preserve"> </w:t>
      </w:r>
      <w:r>
        <w:rPr>
          <w:rStyle w:val="ClaimLabel"/>
        </w:rPr>
        <w:t xml:space="preserve">Rec</w:t>
      </w:r>
      <w:r>
        <w:t xml:space="preserve">.</w:t>
      </w:r>
    </w:p>
    <w:p>
      <w:pPr>
        <w:pStyle w:val="BodyText"/>
      </w:pPr>
      <w:r>
        <w:rPr>
          <w:bCs/>
          <w:b/>
        </w:rPr>
        <w:t xml:space="preserve">Facts (as of 2026-10-07)</w:t>
      </w:r>
    </w:p>
    <w:tbl>
      <w:tblPr>
        <w:tblStyle w:val="Table"/>
        <w:tblW w:type="pct" w:w="5000"/>
        <w:tblLook w:firstRow="1" w:lastRow="0" w:firstColumn="0" w:lastColumn="0" w:noHBand="0" w:noVBand="0" w:val="0020"/>
        <w:jc w:val="start"/>
      </w:tblPr>
      <w:tblGrid>
        <w:gridCol w:w="1485"/>
        <w:gridCol w:w="4290"/>
        <w:gridCol w:w="1320"/>
        <w:gridCol w:w="825"/>
      </w:tblGrid>
      <w:tr>
        <w:trPr>
          <w:tblHeader w:val="true"/>
        </w:trPr>
        <w:tc>
          <w:tcPr/>
          <w:p>
            <w:pPr>
              <w:pStyle w:val="Compact"/>
              <w:jc w:val="left"/>
            </w:pPr>
            <w:r>
              <w:t xml:space="preserve">Field</w:t>
            </w:r>
          </w:p>
        </w:tc>
        <w:tc>
          <w:tcPr/>
          <w:p>
            <w:pPr>
              <w:pStyle w:val="Compact"/>
              <w:jc w:val="left"/>
            </w:pPr>
            <w:r>
              <w:t xml:space="preserve">Value</w:t>
            </w:r>
          </w:p>
        </w:tc>
        <w:tc>
          <w:tcPr/>
          <w:p>
            <w:pPr>
              <w:pStyle w:val="Compact"/>
              <w:jc w:val="left"/>
            </w:pPr>
            <w:r>
              <w:t xml:space="preserve">Label</w:t>
            </w:r>
          </w:p>
        </w:tc>
        <w:tc>
          <w:tcPr/>
          <w:p>
            <w:pPr>
              <w:pStyle w:val="Compact"/>
              <w:jc w:val="left"/>
            </w:pPr>
            <w:r>
              <w:t xml:space="preserve">Sources</w:t>
            </w:r>
          </w:p>
        </w:tc>
      </w:tr>
      <w:tr>
        <w:tc>
          <w:tcPr/>
          <w:p>
            <w:pPr>
              <w:pStyle w:val="Compact"/>
              <w:jc w:val="left"/>
            </w:pPr>
            <w:r>
              <w:t xml:space="preserve">Company</w:t>
            </w:r>
          </w:p>
        </w:tc>
        <w:tc>
          <w:tcPr/>
          <w:p>
            <w:pPr>
              <w:pStyle w:val="Compact"/>
              <w:jc w:val="left"/>
            </w:pPr>
            <w:r>
              <w:t xml:space="preserve">Exa (Exa Labs, Inc.)</w:t>
            </w:r>
          </w:p>
        </w:tc>
        <w:tc>
          <w:tcPr/>
          <w:p>
            <w:pPr>
              <w:pStyle w:val="Compact"/>
              <w:jc w:val="left"/>
            </w:pPr>
            <w:r>
              <w:t xml:space="preserve">Verified fact</w:t>
            </w:r>
          </w:p>
        </w:tc>
        <w:tc>
          <w:tcPr/>
          <w:p>
            <w:pPr>
              <w:pStyle w:val="Compact"/>
              <w:jc w:val="left"/>
            </w:pPr>
            <w:r>
              <w:t xml:space="preserve">A3-S010, A3-S121</w:t>
            </w:r>
          </w:p>
        </w:tc>
      </w:tr>
      <w:tr>
        <w:tc>
          <w:tcPr/>
          <w:p>
            <w:pPr>
              <w:pStyle w:val="Compact"/>
              <w:jc w:val="left"/>
            </w:pPr>
            <w:r>
              <w:t xml:space="preserve">Category</w:t>
            </w:r>
          </w:p>
        </w:tc>
        <w:tc>
          <w:tcPr/>
          <w:p>
            <w:pPr>
              <w:pStyle w:val="Compact"/>
              <w:jc w:val="left"/>
            </w:pPr>
            <w:r>
              <w:t xml:space="preserve">Web search API for AI (search, contents, answer, streaming)</w:t>
            </w:r>
          </w:p>
        </w:tc>
        <w:tc>
          <w:tcPr/>
          <w:p>
            <w:pPr>
              <w:pStyle w:val="Compact"/>
              <w:jc w:val="left"/>
            </w:pPr>
            <w:r>
              <w:t xml:space="preserve">Verified fact</w:t>
            </w:r>
          </w:p>
        </w:tc>
        <w:tc>
          <w:tcPr/>
          <w:p>
            <w:pPr>
              <w:pStyle w:val="Compact"/>
              <w:jc w:val="left"/>
            </w:pPr>
            <w:r>
              <w:t xml:space="preserve">A3-S010</w:t>
            </w:r>
          </w:p>
        </w:tc>
      </w:tr>
      <w:tr>
        <w:tc>
          <w:tcPr/>
          <w:p>
            <w:pPr>
              <w:pStyle w:val="Compact"/>
              <w:jc w:val="left"/>
            </w:pPr>
            <w:r>
              <w:t xml:space="preserve">Version / lineup</w:t>
            </w:r>
          </w:p>
        </w:tc>
        <w:tc>
          <w:tcPr/>
          <w:p>
            <w:pPr>
              <w:pStyle w:val="Compact"/>
              <w:jc w:val="left"/>
            </w:pPr>
            <w:r>
              <w:t xml:space="preserve">exa-py 2.25.0 (1 October 2026)</w:t>
            </w:r>
          </w:p>
        </w:tc>
        <w:tc>
          <w:tcPr/>
          <w:p>
            <w:pPr>
              <w:pStyle w:val="Compact"/>
              <w:jc w:val="left"/>
            </w:pPr>
            <w:r>
              <w:t xml:space="preserve">Verified fact</w:t>
            </w:r>
          </w:p>
        </w:tc>
        <w:tc>
          <w:tcPr/>
          <w:p>
            <w:pPr>
              <w:pStyle w:val="Compact"/>
              <w:jc w:val="left"/>
            </w:pPr>
            <w:r>
              <w:t xml:space="preserve">A3-S010</w:t>
            </w:r>
          </w:p>
        </w:tc>
      </w:tr>
      <w:tr>
        <w:tc>
          <w:tcPr/>
          <w:p>
            <w:pPr>
              <w:pStyle w:val="Compact"/>
              <w:jc w:val="left"/>
            </w:pPr>
            <w:r>
              <w:t xml:space="preserve">Licence</w:t>
            </w:r>
          </w:p>
        </w:tc>
        <w:tc>
          <w:tcPr/>
          <w:p>
            <w:pPr>
              <w:pStyle w:val="Compact"/>
              <w:jc w:val="left"/>
            </w:pPr>
            <w:r>
              <w:t xml:space="preserve">SDK MIT; search API proprietary</w:t>
            </w:r>
          </w:p>
        </w:tc>
        <w:tc>
          <w:tcPr/>
          <w:p>
            <w:pPr>
              <w:pStyle w:val="Compact"/>
              <w:jc w:val="left"/>
            </w:pPr>
            <w:r>
              <w:t xml:space="preserve">Verified fact</w:t>
            </w:r>
          </w:p>
        </w:tc>
        <w:tc>
          <w:tcPr/>
          <w:p>
            <w:pPr>
              <w:pStyle w:val="Compact"/>
              <w:jc w:val="left"/>
            </w:pPr>
            <w:r>
              <w:t xml:space="preserve">A3-S010</w:t>
            </w:r>
          </w:p>
        </w:tc>
      </w:tr>
      <w:tr>
        <w:tc>
          <w:tcPr/>
          <w:p>
            <w:pPr>
              <w:pStyle w:val="Compact"/>
              <w:jc w:val="left"/>
            </w:pPr>
            <w:r>
              <w:t xml:space="preserve">Strategic direction</w:t>
            </w:r>
          </w:p>
        </w:tc>
        <w:tc>
          <w:tcPr/>
          <w:p>
            <w:pPr>
              <w:pStyle w:val="Compact"/>
              <w:jc w:val="left"/>
            </w:pPr>
            <w:r>
              <w:t xml:space="preserve">Search with structured output schemas and streamed answers</w:t>
            </w:r>
          </w:p>
        </w:tc>
        <w:tc>
          <w:tcPr/>
          <w:p>
            <w:pPr>
              <w:pStyle w:val="Compact"/>
              <w:jc w:val="left"/>
            </w:pPr>
            <w:r>
              <w:t xml:space="preserve">Verified fact</w:t>
            </w:r>
          </w:p>
        </w:tc>
        <w:tc>
          <w:tcPr/>
          <w:p>
            <w:pPr>
              <w:pStyle w:val="Compact"/>
              <w:jc w:val="left"/>
            </w:pPr>
            <w:r>
              <w:t xml:space="preserve">A3-S010</w:t>
            </w:r>
          </w:p>
        </w:tc>
      </w:tr>
      <w:tr>
        <w:tc>
          <w:tcPr/>
          <w:p>
            <w:pPr>
              <w:pStyle w:val="Compact"/>
              <w:jc w:val="left"/>
            </w:pPr>
            <w:r>
              <w:t xml:space="preserve">What it does</w:t>
            </w:r>
          </w:p>
        </w:tc>
        <w:tc>
          <w:tcPr/>
          <w:p>
            <w:pPr>
              <w:pStyle w:val="Compact"/>
              <w:jc w:val="left"/>
            </w:pPr>
            <w:r>
              <w:t xml:space="preserve">Searches the web with date/domain filters, returns page contents/highlights, generates answers and supports structured output via output_schema</w:t>
            </w:r>
          </w:p>
        </w:tc>
        <w:tc>
          <w:tcPr/>
          <w:p>
            <w:pPr>
              <w:pStyle w:val="Compact"/>
              <w:jc w:val="left"/>
            </w:pPr>
            <w:r>
              <w:t xml:space="preserve">Verified fact</w:t>
            </w:r>
          </w:p>
        </w:tc>
        <w:tc>
          <w:tcPr/>
          <w:p>
            <w:pPr>
              <w:pStyle w:val="Compact"/>
              <w:jc w:val="left"/>
            </w:pPr>
            <w:r>
              <w:t xml:space="preserve">A3-S010</w:t>
            </w:r>
          </w:p>
        </w:tc>
      </w:tr>
      <w:tr>
        <w:tc>
          <w:tcPr/>
          <w:p>
            <w:pPr>
              <w:pStyle w:val="Compact"/>
              <w:jc w:val="left"/>
            </w:pPr>
            <w:r>
              <w:t xml:space="preserve">Stack position</w:t>
            </w:r>
          </w:p>
        </w:tc>
        <w:tc>
          <w:tcPr/>
          <w:p>
            <w:pPr>
              <w:pStyle w:val="Compact"/>
              <w:jc w:val="left"/>
            </w:pPr>
            <w:r>
              <w:t xml:space="preserve">L4 tool (web retrieval) feeding agents; overlaps L8 web extraction</w:t>
            </w:r>
          </w:p>
        </w:tc>
        <w:tc>
          <w:tcPr/>
          <w:p>
            <w:pPr>
              <w:pStyle w:val="Compact"/>
              <w:jc w:val="left"/>
            </w:pPr>
            <w:r>
              <w:t xml:space="preserve">Verified fact</w:t>
            </w:r>
          </w:p>
        </w:tc>
        <w:tc>
          <w:tcPr/>
          <w:p>
            <w:pPr>
              <w:pStyle w:val="Compact"/>
              <w:jc w:val="left"/>
            </w:pPr>
            <w:r>
              <w:t xml:space="preserve">A3-S010</w:t>
            </w:r>
          </w:p>
        </w:tc>
      </w:tr>
      <w:tr>
        <w:tc>
          <w:tcPr/>
          <w:p>
            <w:pPr>
              <w:pStyle w:val="Compact"/>
              <w:jc w:val="left"/>
            </w:pPr>
            <w:r>
              <w:t xml:space="preserve">Integration</w:t>
            </w:r>
          </w:p>
        </w:tc>
        <w:tc>
          <w:tcPr/>
          <w:p>
            <w:pPr>
              <w:pStyle w:val="Compact"/>
              <w:jc w:val="left"/>
            </w:pPr>
            <w:r>
              <w:t xml:space="preserve">Python and JavaScript SDKs; MCP server (exa-mcp-server)</w:t>
            </w:r>
          </w:p>
        </w:tc>
        <w:tc>
          <w:tcPr/>
          <w:p>
            <w:pPr>
              <w:pStyle w:val="Compact"/>
              <w:jc w:val="left"/>
            </w:pPr>
            <w:r>
              <w:t xml:space="preserve">Verified fact</w:t>
            </w:r>
          </w:p>
        </w:tc>
        <w:tc>
          <w:tcPr/>
          <w:p>
            <w:pPr>
              <w:pStyle w:val="Compact"/>
              <w:jc w:val="left"/>
            </w:pPr>
            <w:r>
              <w:t xml:space="preserve">A3-S010, A3-S054</w:t>
            </w:r>
          </w:p>
        </w:tc>
      </w:tr>
      <w:tr>
        <w:tc>
          <w:tcPr/>
          <w:p>
            <w:pPr>
              <w:pStyle w:val="Compact"/>
              <w:jc w:val="left"/>
            </w:pPr>
            <w:r>
              <w:t xml:space="preserve">Dependencies</w:t>
            </w:r>
          </w:p>
        </w:tc>
        <w:tc>
          <w:tcPr/>
          <w:p>
            <w:pPr>
              <w:pStyle w:val="Compact"/>
              <w:jc w:val="left"/>
            </w:pPr>
            <w:r>
              <w:t xml:space="preserve">Exa hosted API (API key)</w:t>
            </w:r>
          </w:p>
        </w:tc>
        <w:tc>
          <w:tcPr/>
          <w:p>
            <w:pPr>
              <w:pStyle w:val="Compact"/>
              <w:jc w:val="left"/>
            </w:pPr>
            <w:r>
              <w:t xml:space="preserve">Verified fact</w:t>
            </w:r>
          </w:p>
        </w:tc>
        <w:tc>
          <w:tcPr/>
          <w:p>
            <w:pPr>
              <w:pStyle w:val="Compact"/>
              <w:jc w:val="left"/>
            </w:pPr>
            <w:r>
              <w:t xml:space="preserve">A3-S010</w:t>
            </w:r>
          </w:p>
        </w:tc>
      </w:tr>
      <w:tr>
        <w:tc>
          <w:tcPr/>
          <w:p>
            <w:pPr>
              <w:pStyle w:val="Compact"/>
              <w:jc w:val="left"/>
            </w:pPr>
            <w:r>
              <w:t xml:space="preserve">Certifications</w:t>
            </w:r>
          </w:p>
        </w:tc>
        <w:tc>
          <w:tcPr/>
          <w:p>
            <w:pPr>
              <w:pStyle w:val="Compact"/>
              <w:jc w:val="left"/>
            </w:pPr>
            <w:r>
              <w:t xml:space="preserve">SOC 2 Type II (security, confidentiality, availability); 2026 bridge letter; HIPAA BAA for eligible Enterprise customers</w:t>
            </w:r>
          </w:p>
        </w:tc>
        <w:tc>
          <w:tcPr/>
          <w:p>
            <w:pPr>
              <w:pStyle w:val="Compact"/>
              <w:jc w:val="left"/>
            </w:pPr>
            <w:r>
              <w:t xml:space="preserve">Verified fact</w:t>
            </w:r>
          </w:p>
        </w:tc>
        <w:tc>
          <w:tcPr/>
          <w:p>
            <w:pPr>
              <w:pStyle w:val="Compact"/>
              <w:jc w:val="left"/>
            </w:pPr>
            <w:r>
              <w:t xml:space="preserve">A3-S100, A3-S121</w:t>
            </w:r>
          </w:p>
        </w:tc>
      </w:tr>
      <w:tr>
        <w:tc>
          <w:tcPr/>
          <w:p>
            <w:pPr>
              <w:pStyle w:val="Compact"/>
              <w:jc w:val="left"/>
            </w:pPr>
            <w:r>
              <w:t xml:space="preserve">GDPR / residency</w:t>
            </w:r>
          </w:p>
        </w:tc>
        <w:tc>
          <w:tcPr/>
          <w:p>
            <w:pPr>
              <w:pStyle w:val="Compact"/>
              <w:jc w:val="left"/>
            </w:pPr>
            <w:r>
              <w:t xml:space="preserve">DPA with EU SCCs (2021/914) and UK Addendum; GDPR/CCPA rights honoured; zero data retention on Enterprise; no EU processing region stated</w:t>
            </w:r>
          </w:p>
        </w:tc>
        <w:tc>
          <w:tcPr/>
          <w:p>
            <w:pPr>
              <w:pStyle w:val="Compact"/>
              <w:jc w:val="left"/>
            </w:pPr>
            <w:r>
              <w:t xml:space="preserve">Verified fact</w:t>
            </w:r>
          </w:p>
        </w:tc>
        <w:tc>
          <w:tcPr/>
          <w:p>
            <w:pPr>
              <w:pStyle w:val="Compact"/>
              <w:jc w:val="left"/>
            </w:pPr>
            <w:r>
              <w:t xml:space="preserve">A3-S121, A3-S100</w:t>
            </w:r>
          </w:p>
        </w:tc>
      </w:tr>
      <w:tr>
        <w:tc>
          <w:tcPr/>
          <w:p>
            <w:pPr>
              <w:pStyle w:val="Compact"/>
              <w:jc w:val="left"/>
            </w:pPr>
            <w:r>
              <w:t xml:space="preserve">Security features</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Access controls</w:t>
            </w:r>
          </w:p>
        </w:tc>
        <w:tc>
          <w:tcPr/>
          <w:p>
            <w:pPr>
              <w:pStyle w:val="Compact"/>
              <w:jc w:val="left"/>
            </w:pPr>
            <w:r>
              <w:t xml:space="preserve">SSO and SCIM for the Exa Dashboard on Enterprise</w:t>
            </w:r>
          </w:p>
        </w:tc>
        <w:tc>
          <w:tcPr/>
          <w:p>
            <w:pPr>
              <w:pStyle w:val="Compact"/>
              <w:jc w:val="left"/>
            </w:pPr>
            <w:r>
              <w:t xml:space="preserve">Verified fact</w:t>
            </w:r>
          </w:p>
        </w:tc>
        <w:tc>
          <w:tcPr/>
          <w:p>
            <w:pPr>
              <w:pStyle w:val="Compact"/>
              <w:jc w:val="left"/>
            </w:pPr>
            <w:r>
              <w:t xml:space="preserve">A3-S121</w:t>
            </w:r>
          </w:p>
        </w:tc>
      </w:tr>
      <w:tr>
        <w:tc>
          <w:tcPr/>
          <w:p>
            <w:pPr>
              <w:pStyle w:val="Compact"/>
              <w:jc w:val="left"/>
            </w:pPr>
            <w:r>
              <w:t xml:space="preserve">Enterprise support</w:t>
            </w:r>
          </w:p>
        </w:tc>
        <w:tc>
          <w:tcPr/>
          <w:p>
            <w:pPr>
              <w:pStyle w:val="Compact"/>
              <w:jc w:val="left"/>
            </w:pPr>
            <w:r>
              <w:t xml:space="preserve">Enterprise: custom MSA/DPA, volume discounts, custom datasets</w:t>
            </w:r>
          </w:p>
        </w:tc>
        <w:tc>
          <w:tcPr/>
          <w:p>
            <w:pPr>
              <w:pStyle w:val="Compact"/>
              <w:jc w:val="left"/>
            </w:pPr>
            <w:r>
              <w:t xml:space="preserve">Verified fact</w:t>
            </w:r>
          </w:p>
        </w:tc>
        <w:tc>
          <w:tcPr/>
          <w:p>
            <w:pPr>
              <w:pStyle w:val="Compact"/>
              <w:jc w:val="left"/>
            </w:pPr>
            <w:r>
              <w:t xml:space="preserve">A3-S100, A3-S121</w:t>
            </w:r>
          </w:p>
        </w:tc>
      </w:tr>
      <w:tr>
        <w:tc>
          <w:tcPr/>
          <w:p>
            <w:pPr>
              <w:pStyle w:val="Compact"/>
              <w:jc w:val="left"/>
            </w:pPr>
            <w:r>
              <w:t xml:space="preserve">Pricing</w:t>
            </w:r>
          </w:p>
        </w:tc>
        <w:tc>
          <w:tcPr/>
          <w:p>
            <w:pPr>
              <w:pStyle w:val="Compact"/>
              <w:jc w:val="left"/>
            </w:pPr>
            <w:r>
              <w:t xml:space="preserve">Search US$7 per 1,000 requests; Monitors US$15 per 1,000; one page says from US$4 per 1,000 (conflict); Enterprise custom</w:t>
            </w:r>
          </w:p>
        </w:tc>
        <w:tc>
          <w:tcPr/>
          <w:p>
            <w:pPr>
              <w:pStyle w:val="Compact"/>
              <w:jc w:val="left"/>
            </w:pPr>
            <w:r>
              <w:t xml:space="preserve">Verified fact</w:t>
            </w:r>
          </w:p>
        </w:tc>
        <w:tc>
          <w:tcPr/>
          <w:p>
            <w:pPr>
              <w:pStyle w:val="Compact"/>
              <w:jc w:val="left"/>
            </w:pPr>
            <w:r>
              <w:t xml:space="preserve">A3-S100</w:t>
            </w:r>
          </w:p>
        </w:tc>
      </w:tr>
      <w:tr>
        <w:tc>
          <w:tcPr/>
          <w:p>
            <w:pPr>
              <w:pStyle w:val="Compact"/>
              <w:jc w:val="left"/>
            </w:pPr>
            <w:r>
              <w:t xml:space="preserve">Infrastructure cost</w:t>
            </w:r>
          </w:p>
        </w:tc>
        <w:tc>
          <w:tcPr/>
          <w:p>
            <w:pPr>
              <w:pStyle w:val="Compact"/>
              <w:jc w:val="left"/>
            </w:pPr>
            <w:r>
              <w:t xml:space="preserve">Not applicable (SaaS)</w:t>
            </w:r>
          </w:p>
        </w:tc>
        <w:tc>
          <w:tcPr/>
          <w:p>
            <w:pPr>
              <w:pStyle w:val="Compact"/>
              <w:jc w:val="left"/>
            </w:pPr>
            <w:r>
              <w:t xml:space="preserve">Architectural judgement</w:t>
            </w:r>
          </w:p>
        </w:tc>
        <w:tc>
          <w:tcPr/>
          <w:p>
            <w:pPr>
              <w:pStyle w:val="Compact"/>
            </w:pPr>
          </w:p>
        </w:tc>
      </w:tr>
      <w:tr>
        <w:tc>
          <w:tcPr/>
          <w:p>
            <w:pPr>
              <w:pStyle w:val="Compact"/>
              <w:jc w:val="left"/>
            </w:pPr>
            <w:r>
              <w:t xml:space="preserve">Ecosystem</w:t>
            </w:r>
          </w:p>
        </w:tc>
        <w:tc>
          <w:tcPr/>
          <w:p>
            <w:pPr>
              <w:pStyle w:val="Compact"/>
              <w:jc w:val="left"/>
            </w:pPr>
            <w:r>
              <w:t xml:space="preserve">MCP server for agent clients</w:t>
            </w:r>
          </w:p>
        </w:tc>
        <w:tc>
          <w:tcPr/>
          <w:p>
            <w:pPr>
              <w:pStyle w:val="Compact"/>
              <w:jc w:val="left"/>
            </w:pPr>
            <w:r>
              <w:t xml:space="preserve">Verified fact</w:t>
            </w:r>
          </w:p>
        </w:tc>
        <w:tc>
          <w:tcPr/>
          <w:p>
            <w:pPr>
              <w:pStyle w:val="Compact"/>
              <w:jc w:val="left"/>
            </w:pPr>
            <w:r>
              <w:t xml:space="preserve">A3-S054</w:t>
            </w:r>
          </w:p>
        </w:tc>
      </w:tr>
      <w:tr>
        <w:tc>
          <w:tcPr/>
          <w:p>
            <w:pPr>
              <w:pStyle w:val="Compact"/>
              <w:jc w:val="left"/>
            </w:pPr>
            <w:r>
              <w:t xml:space="preserve">Adoption signals</w:t>
            </w:r>
          </w:p>
        </w:tc>
        <w:tc>
          <w:tcPr/>
          <w:p>
            <w:pPr>
              <w:pStyle w:val="Compact"/>
              <w:jc w:val="left"/>
            </w:pPr>
            <w:r>
              <w:t xml:space="preserve">exa-mcp-server 5,091 GitHub stars (7 October 2026); US$85M Series B at US$700M (September 2025, Benchmark) and US$250M Series C at US$2.2B (May 2026, a16z) (Reported)</w:t>
            </w:r>
          </w:p>
        </w:tc>
        <w:tc>
          <w:tcPr/>
          <w:p>
            <w:pPr>
              <w:pStyle w:val="Compact"/>
              <w:jc w:val="left"/>
            </w:pPr>
            <w:r>
              <w:t xml:space="preserve">Verified fact</w:t>
            </w:r>
          </w:p>
        </w:tc>
        <w:tc>
          <w:tcPr/>
          <w:p>
            <w:pPr>
              <w:pStyle w:val="Compact"/>
              <w:jc w:val="left"/>
            </w:pPr>
            <w:r>
              <w:t xml:space="preserve">A3-S054, A3-S101</w:t>
            </w:r>
          </w:p>
        </w:tc>
      </w:tr>
      <w:tr>
        <w:tc>
          <w:tcPr/>
          <w:p>
            <w:pPr>
              <w:pStyle w:val="Compact"/>
              <w:jc w:val="left"/>
            </w:pPr>
            <w:r>
              <w:t xml:space="preserve">Maturity</w:t>
            </w:r>
          </w:p>
        </w:tc>
        <w:tc>
          <w:tcPr/>
          <w:p>
            <w:pPr>
              <w:pStyle w:val="Compact"/>
              <w:jc w:val="left"/>
            </w:pPr>
            <w:r>
              <w:t xml:space="preserve">exa-py first released January 2024; 130 releases</w:t>
            </w:r>
          </w:p>
        </w:tc>
        <w:tc>
          <w:tcPr/>
          <w:p>
            <w:pPr>
              <w:pStyle w:val="Compact"/>
              <w:jc w:val="left"/>
            </w:pPr>
            <w:r>
              <w:t xml:space="preserve">Verified fact</w:t>
            </w:r>
          </w:p>
        </w:tc>
        <w:tc>
          <w:tcPr/>
          <w:p>
            <w:pPr>
              <w:pStyle w:val="Compact"/>
              <w:jc w:val="left"/>
            </w:pPr>
            <w:r>
              <w:t xml:space="preserve">A3-S010</w:t>
            </w:r>
          </w:p>
        </w:tc>
      </w:tr>
      <w:tr>
        <w:tc>
          <w:tcPr/>
          <w:p>
            <w:pPr>
              <w:pStyle w:val="Compact"/>
              <w:jc w:val="left"/>
            </w:pPr>
            <w:r>
              <w:t xml:space="preserve">Deployment</w:t>
            </w:r>
          </w:p>
        </w:tc>
        <w:tc>
          <w:tcPr/>
          <w:p>
            <w:pPr>
              <w:pStyle w:val="Compact"/>
              <w:jc w:val="left"/>
            </w:pPr>
            <w:r>
              <w:t xml:space="preserve">saas: Yes; managed_cloud: Not publicly verified; vpc_byoc: Not publicly verified; private_cloud: Not publicly verified; self_hosted: Not publicly verified; on_prem: Not publicly verified</w:t>
            </w:r>
          </w:p>
        </w:tc>
        <w:tc>
          <w:tcPr/>
          <w:p>
            <w:pPr>
              <w:pStyle w:val="Compact"/>
            </w:pPr>
          </w:p>
        </w:tc>
        <w:tc>
          <w:tcPr/>
          <w:p>
            <w:pPr>
              <w:pStyle w:val="Compact"/>
            </w:pPr>
          </w:p>
        </w:tc>
      </w:tr>
    </w:tbl>
    <w:bookmarkEnd w:id="997"/>
    <w:bookmarkStart w:id="1016" w:name="tavily-l4-tavily"/>
    <w:p>
      <w:pPr>
        <w:pStyle w:val="Heading2"/>
      </w:pPr>
      <w:r>
        <w:t xml:space="preserve">Tavily (</w:t>
      </w:r>
      <w:r>
        <w:rPr>
          <w:rStyle w:val="VerbatimChar"/>
        </w:rPr>
        <w:t xml:space="preserve">L4-tavily</w:t>
      </w:r>
      <w:r>
        <w:t xml:space="preserve">)</w:t>
      </w:r>
    </w:p>
    <w:p>
      <w:pPr>
        <w:pStyle w:val="FirstParagraph"/>
      </w:pPr>
      <w:r>
        <w:rPr>
          <w:bCs/>
          <w:b/>
        </w:rPr>
        <w:t xml:space="preserve">Tier:</w:t>
      </w:r>
      <w:r>
        <w:t xml:space="preserve"> </w:t>
      </w:r>
      <w:r>
        <w:t xml:space="preserve">Tactical ·</w:t>
      </w:r>
      <w:r>
        <w:t xml:space="preserve"> </w:t>
      </w:r>
      <w:r>
        <w:rPr>
          <w:bCs/>
          <w:b/>
        </w:rPr>
        <w:t xml:space="preserve">Flags:</w:t>
      </w:r>
      <w:r>
        <w:t xml:space="preserve"> </w:t>
      </w:r>
      <w:r>
        <w:t xml:space="preserve">Acquired ·</w:t>
      </w:r>
      <w:r>
        <w:t xml:space="preserve"> </w:t>
      </w:r>
      <w:r>
        <w:rPr>
          <w:bCs/>
          <w:b/>
        </w:rPr>
        <w:t xml:space="preserve">Original graphic label:</w:t>
      </w:r>
      <w:r>
        <w:t xml:space="preserve"> </w:t>
      </w:r>
      <w:r>
        <w:t xml:space="preserve">Tavily – search API</w:t>
      </w:r>
    </w:p>
    <w:p>
      <w:pPr>
        <w:pStyle w:val="BodyText"/>
      </w:pPr>
      <w:r>
        <w:rPr>
          <w:iCs/>
          <w:i/>
        </w:rPr>
        <w:t xml:space="preserve">Rationale:</w:t>
      </w:r>
      <w:r>
        <w:t xml:space="preserve"> </w:t>
      </w:r>
      <w:r>
        <w:t xml:space="preserve">Useful search API with good proxy support; SaaS-only and newly acquired</w:t>
      </w:r>
      <w:r>
        <w:t xml:space="preserve"> </w:t>
      </w:r>
      <w:r>
        <w:rPr>
          <w:rStyle w:val="ClaimLabel"/>
        </w:rPr>
        <w:t xml:space="preserve">AJ</w:t>
      </w:r>
      <w:r>
        <w:t xml:space="preserve">.</w:t>
      </w:r>
    </w:p>
    <w:tbl>
      <w:tblPr>
        <w:tblStyle w:val="Table"/>
        <w:tblW w:type="pct" w:w="5000"/>
        <w:tblLook w:firstRow="1" w:lastRow="0" w:firstColumn="0" w:lastColumn="0" w:noHBand="0" w:noVBand="0" w:val="0020"/>
        <w:jc w:val="start"/>
      </w:tblPr>
      <w:tblGrid>
        <w:gridCol w:w="1545"/>
        <w:gridCol w:w="579"/>
        <w:gridCol w:w="5795"/>
      </w:tblGrid>
      <w:tr>
        <w:trPr>
          <w:tblHeader w:val="true"/>
        </w:trPr>
        <w:tc>
          <w:tcPr/>
          <w:p>
            <w:pPr>
              <w:pStyle w:val="Compact"/>
              <w:jc w:val="left"/>
            </w:pPr>
            <w:r>
              <w:t xml:space="preserve">Criterion</w:t>
            </w:r>
          </w:p>
        </w:tc>
        <w:tc>
          <w:tcPr/>
          <w:p>
            <w:pPr>
              <w:pStyle w:val="Compact"/>
              <w:jc w:val="right"/>
            </w:pPr>
            <w:r>
              <w:t xml:space="preserve">Score</w:t>
            </w:r>
          </w:p>
        </w:tc>
        <w:tc>
          <w:tcPr/>
          <w:p>
            <w:pPr>
              <w:pStyle w:val="Compact"/>
              <w:jc w:val="left"/>
            </w:pPr>
            <w:r>
              <w:t xml:space="preserve">Rationale</w:t>
            </w:r>
          </w:p>
        </w:tc>
      </w:tr>
      <w:tr>
        <w:tc>
          <w:tcPr/>
          <w:p>
            <w:pPr>
              <w:pStyle w:val="Compact"/>
              <w:jc w:val="left"/>
            </w:pPr>
            <w:r>
              <w:t xml:space="preserve">Technical</w:t>
            </w:r>
          </w:p>
        </w:tc>
        <w:tc>
          <w:tcPr/>
          <w:p>
            <w:pPr>
              <w:pStyle w:val="Compact"/>
              <w:jc w:val="right"/>
            </w:pPr>
            <w:r>
              <w:t xml:space="preserve">3</w:t>
            </w:r>
          </w:p>
        </w:tc>
        <w:tc>
          <w:tcPr/>
          <w:p>
            <w:pPr>
              <w:pStyle w:val="Compact"/>
              <w:jc w:val="left"/>
            </w:pPr>
            <w:r>
              <w:t xml:space="preserve">Search, extract, crawl and research endpoints</w:t>
            </w:r>
            <w:r>
              <w:t xml:space="preserve"> </w:t>
            </w:r>
            <w:r>
              <w:rPr>
                <w:rStyle w:val="ClaimLabel"/>
              </w:rPr>
              <w:t xml:space="preserve">VF</w:t>
            </w:r>
            <w:r>
              <w:rPr>
                <w:rStyle w:val="FootnoteReference"/>
              </w:rPr>
              <w:footnoteReference w:id="998"/>
            </w:r>
          </w:p>
        </w:tc>
      </w:tr>
      <w:tr>
        <w:tc>
          <w:tcPr/>
          <w:p>
            <w:pPr>
              <w:pStyle w:val="Compact"/>
              <w:jc w:val="left"/>
            </w:pPr>
            <w:r>
              <w:t xml:space="preserve">Enterprise readiness</w:t>
            </w:r>
          </w:p>
        </w:tc>
        <w:tc>
          <w:tcPr/>
          <w:p>
            <w:pPr>
              <w:pStyle w:val="Compact"/>
              <w:jc w:val="right"/>
            </w:pPr>
            <w:r>
              <w:t xml:space="preserve">3</w:t>
            </w:r>
          </w:p>
        </w:tc>
        <w:tc>
          <w:tcPr/>
          <w:p>
            <w:pPr>
              <w:pStyle w:val="Compact"/>
              <w:jc w:val="left"/>
            </w:pPr>
            <w:r>
              <w:t xml:space="preserve">RBAC roles verified (CP2 rule 7 lifts cap to 3); SSO and audit logs not found</w:t>
            </w:r>
            <w:r>
              <w:t xml:space="preserve"> </w:t>
            </w:r>
            <w:r>
              <w:rPr>
                <w:rStyle w:val="ClaimLabel"/>
              </w:rPr>
              <w:t xml:space="preserve">VF</w:t>
            </w:r>
            <w:r>
              <w:rPr>
                <w:rStyle w:val="FootnoteReference"/>
              </w:rPr>
              <w:footnoteReference w:id="1000"/>
            </w:r>
          </w:p>
        </w:tc>
      </w:tr>
      <w:tr>
        <w:tc>
          <w:tcPr/>
          <w:p>
            <w:pPr>
              <w:pStyle w:val="Compact"/>
              <w:jc w:val="left"/>
            </w:pPr>
            <w:r>
              <w:t xml:space="preserve">Security and compliance</w:t>
            </w:r>
          </w:p>
        </w:tc>
        <w:tc>
          <w:tcPr/>
          <w:p>
            <w:pPr>
              <w:pStyle w:val="Compact"/>
              <w:jc w:val="right"/>
            </w:pPr>
            <w:r>
              <w:t xml:space="preserve">3</w:t>
            </w:r>
          </w:p>
        </w:tc>
        <w:tc>
          <w:tcPr/>
          <w:p>
            <w:pPr>
              <w:pStyle w:val="Compact"/>
              <w:jc w:val="left"/>
            </w:pPr>
            <w:r>
              <w:t xml:space="preserve">SOC 2 Type II per Trust Center; GDPR and ZDR stated; no ISO</w:t>
            </w:r>
            <w:r>
              <w:t xml:space="preserve"> </w:t>
            </w:r>
            <w:r>
              <w:rPr>
                <w:rStyle w:val="ClaimLabel"/>
              </w:rPr>
              <w:t xml:space="preserve">VF</w:t>
            </w:r>
            <w:r>
              <w:rPr>
                <w:rStyle w:val="FootnoteReference"/>
              </w:rPr>
              <w:footnoteReference w:id="1002"/>
            </w:r>
          </w:p>
        </w:tc>
      </w:tr>
      <w:tr>
        <w:tc>
          <w:tcPr/>
          <w:p>
            <w:pPr>
              <w:pStyle w:val="Compact"/>
              <w:jc w:val="left"/>
            </w:pPr>
            <w:r>
              <w:t xml:space="preserve">Deployment flexibility</w:t>
            </w:r>
          </w:p>
        </w:tc>
        <w:tc>
          <w:tcPr/>
          <w:p>
            <w:pPr>
              <w:pStyle w:val="Compact"/>
              <w:jc w:val="right"/>
            </w:pPr>
            <w:r>
              <w:t xml:space="preserve">1</w:t>
            </w:r>
          </w:p>
        </w:tc>
        <w:tc>
          <w:tcPr/>
          <w:p>
            <w:pPr>
              <w:pStyle w:val="Compact"/>
              <w:jc w:val="left"/>
            </w:pPr>
            <w:r>
              <w:t xml:space="preserve">SaaS only, no region choice found</w:t>
            </w:r>
            <w:r>
              <w:t xml:space="preserve"> </w:t>
            </w:r>
            <w:r>
              <w:rPr>
                <w:rStyle w:val="ClaimLabel"/>
              </w:rPr>
              <w:t xml:space="preserve">VF</w:t>
            </w:r>
            <w:r>
              <w:rPr>
                <w:rStyle w:val="FootnoteReference"/>
              </w:rPr>
              <w:footnoteReference w:id="1005"/>
            </w:r>
          </w:p>
        </w:tc>
      </w:tr>
      <w:tr>
        <w:tc>
          <w:tcPr/>
          <w:p>
            <w:pPr>
              <w:pStyle w:val="Compact"/>
              <w:jc w:val="left"/>
            </w:pPr>
            <w:r>
              <w:t xml:space="preserve">Ecosystem</w:t>
            </w:r>
          </w:p>
        </w:tc>
        <w:tc>
          <w:tcPr/>
          <w:p>
            <w:pPr>
              <w:pStyle w:val="Compact"/>
              <w:jc w:val="right"/>
            </w:pPr>
            <w:r>
              <w:t xml:space="preserve">3</w:t>
            </w:r>
          </w:p>
        </w:tc>
        <w:tc>
          <w:tcPr/>
          <w:p>
            <w:pPr>
              <w:pStyle w:val="Compact"/>
              <w:jc w:val="left"/>
            </w:pPr>
            <w:r>
              <w:t xml:space="preserve">SDKs and MCP server</w:t>
            </w:r>
            <w:r>
              <w:t xml:space="preserve"> </w:t>
            </w:r>
            <w:r>
              <w:rPr>
                <w:rStyle w:val="ClaimLabel"/>
              </w:rPr>
              <w:t xml:space="preserve">VF</w:t>
            </w:r>
            <w:r>
              <w:rPr>
                <w:rStyle w:val="FootnoteReference"/>
              </w:rPr>
              <w:footnoteReference w:id="1006"/>
            </w:r>
          </w:p>
        </w:tc>
      </w:tr>
      <w:tr>
        <w:tc>
          <w:tcPr/>
          <w:p>
            <w:pPr>
              <w:pStyle w:val="Compact"/>
              <w:jc w:val="left"/>
            </w:pPr>
            <w:r>
              <w:t xml:space="preserve">Reliability and maturity</w:t>
            </w:r>
          </w:p>
        </w:tc>
        <w:tc>
          <w:tcPr/>
          <w:p>
            <w:pPr>
              <w:pStyle w:val="Compact"/>
              <w:jc w:val="right"/>
            </w:pPr>
            <w:r>
              <w:t xml:space="preserve">3</w:t>
            </w:r>
          </w:p>
        </w:tc>
        <w:tc>
          <w:tcPr/>
          <w:p>
            <w:pPr>
              <w:pStyle w:val="Compact"/>
              <w:jc w:val="left"/>
            </w:pPr>
            <w:r>
              <w:t xml:space="preserve">Releases since 2023; acquired by Nebius February 2026</w:t>
            </w:r>
            <w:r>
              <w:t xml:space="preserve"> </w:t>
            </w:r>
            <w:r>
              <w:rPr>
                <w:rStyle w:val="ClaimLabel"/>
              </w:rPr>
              <w:t xml:space="preserve">VF</w:t>
            </w:r>
            <w:r>
              <w:rPr>
                <w:rStyle w:val="FootnoteReference"/>
              </w:rPr>
              <w:footnoteReference w:id="1007"/>
            </w:r>
          </w:p>
        </w:tc>
      </w:tr>
      <w:tr>
        <w:tc>
          <w:tcPr/>
          <w:p>
            <w:pPr>
              <w:pStyle w:val="Compact"/>
              <w:jc w:val="left"/>
            </w:pPr>
            <w:r>
              <w:t xml:space="preserve">Cost / TCO</w:t>
            </w:r>
          </w:p>
        </w:tc>
        <w:tc>
          <w:tcPr/>
          <w:p>
            <w:pPr>
              <w:pStyle w:val="Compact"/>
              <w:jc w:val="right"/>
            </w:pPr>
            <w:r>
              <w:t xml:space="preserve">3</w:t>
            </w:r>
          </w:p>
        </w:tc>
        <w:tc>
          <w:tcPr/>
          <w:p>
            <w:pPr>
              <w:pStyle w:val="Compact"/>
              <w:jc w:val="left"/>
            </w:pPr>
            <w:r>
              <w:t xml:space="preserve">Transparent credit pricing</w:t>
            </w:r>
            <w:r>
              <w:t xml:space="preserve"> </w:t>
            </w:r>
            <w:r>
              <w:rPr>
                <w:rStyle w:val="ClaimLabel"/>
              </w:rPr>
              <w:t xml:space="preserve">VF</w:t>
            </w:r>
            <w:r>
              <w:rPr>
                <w:rStyle w:val="FootnoteReference"/>
              </w:rPr>
              <w:footnoteReference w:id="1009"/>
            </w:r>
          </w:p>
        </w:tc>
      </w:tr>
      <w:tr>
        <w:tc>
          <w:tcPr/>
          <w:p>
            <w:pPr>
              <w:pStyle w:val="Compact"/>
              <w:jc w:val="left"/>
            </w:pPr>
            <w:r>
              <w:t xml:space="preserve">Lock-in / portability</w:t>
            </w:r>
          </w:p>
        </w:tc>
        <w:tc>
          <w:tcPr/>
          <w:p>
            <w:pPr>
              <w:pStyle w:val="Compact"/>
              <w:jc w:val="right"/>
            </w:pPr>
            <w:r>
              <w:t xml:space="preserve">2</w:t>
            </w:r>
          </w:p>
        </w:tc>
        <w:tc>
          <w:tcPr/>
          <w:p>
            <w:pPr>
              <w:pStyle w:val="Compact"/>
              <w:jc w:val="left"/>
            </w:pPr>
            <w:r>
              <w:t xml:space="preserve">Proprietary but swappable; reduced by 1 for ownership change (rule 3)</w:t>
            </w:r>
            <w:r>
              <w:t xml:space="preserve"> </w:t>
            </w:r>
            <w:r>
              <w:rPr>
                <w:rStyle w:val="ClaimLabel"/>
              </w:rPr>
              <w:t xml:space="preserve">AJ</w:t>
            </w:r>
          </w:p>
        </w:tc>
      </w:tr>
      <w:tr>
        <w:tc>
          <w:tcPr/>
          <w:p>
            <w:pPr>
              <w:pStyle w:val="Compact"/>
              <w:jc w:val="left"/>
            </w:pPr>
            <w:r>
              <w:rPr>
                <w:bCs/>
                <w:b/>
              </w:rPr>
              <w:t xml:space="preserve">Total (generic / FS)</w:t>
            </w:r>
          </w:p>
        </w:tc>
        <w:tc>
          <w:tcPr/>
          <w:p>
            <w:pPr>
              <w:pStyle w:val="Compact"/>
              <w:jc w:val="right"/>
            </w:pPr>
            <w:r>
              <w:rPr>
                <w:bCs/>
                <w:b/>
              </w:rPr>
              <w:t xml:space="preserve">2.65 / 2.55</w:t>
            </w:r>
          </w:p>
        </w:tc>
        <w:tc>
          <w:tcPr/>
          <w:p>
            <w:pPr>
              <w:pStyle w:val="Compact"/>
            </w:pPr>
          </w:p>
        </w:tc>
      </w:tr>
    </w:tbl>
    <w:p>
      <w:pPr>
        <w:pStyle w:val="BodyText"/>
      </w:pPr>
      <w:r>
        <w:rPr>
          <w:bCs/>
          <w:b/>
        </w:rPr>
        <w:t xml:space="preserve">Capabilities.</w:t>
      </w:r>
      <w:r>
        <w:t xml:space="preserve"> </w:t>
      </w:r>
      <w:r>
        <w:t xml:space="preserve">Search, extract, crawl, map and research API for agents; custom HTTP session injection for proxying through an enterprise gateway; MCP server</w:t>
      </w:r>
      <w:r>
        <w:t xml:space="preserve"> </w:t>
      </w:r>
      <w:r>
        <w:rPr>
          <w:rStyle w:val="ClaimLabel"/>
        </w:rPr>
        <w:t xml:space="preserve">VF</w:t>
      </w:r>
      <w:r>
        <w:rPr>
          <w:rStyle w:val="FootnoteReference"/>
        </w:rPr>
        <w:footnoteReference w:id="1010"/>
      </w:r>
      <w:r>
        <w:t xml:space="preserve">.</w:t>
      </w:r>
    </w:p>
    <w:p>
      <w:pPr>
        <w:pStyle w:val="BodyText"/>
      </w:pPr>
      <w:r>
        <w:rPr>
          <w:bCs/>
          <w:b/>
        </w:rPr>
        <w:t xml:space="preserve">Strengths</w:t>
      </w:r>
    </w:p>
    <w:p>
      <w:pPr>
        <w:numPr>
          <w:ilvl w:val="0"/>
          <w:numId w:val="1225"/>
        </w:numPr>
        <w:pStyle w:val="Compact"/>
      </w:pPr>
      <w:r>
        <w:t xml:space="preserve">Gateway-proxy support built into the SDK</w:t>
      </w:r>
      <w:r>
        <w:t xml:space="preserve"> </w:t>
      </w:r>
      <w:r>
        <w:rPr>
          <w:rStyle w:val="ClaimLabel"/>
        </w:rPr>
        <w:t xml:space="preserve">VF</w:t>
      </w:r>
      <w:r>
        <w:rPr>
          <w:rStyle w:val="FootnoteReference"/>
        </w:rPr>
        <w:footnoteReference w:id="1011"/>
      </w:r>
    </w:p>
    <w:p>
      <w:pPr>
        <w:numPr>
          <w:ilvl w:val="0"/>
          <w:numId w:val="1225"/>
        </w:numPr>
        <w:pStyle w:val="Compact"/>
      </w:pPr>
      <w:r>
        <w:t xml:space="preserve">SOC 2 Type II via Trust Center; Owner/Admin/Member roles; Enterprise SLAs</w:t>
      </w:r>
      <w:r>
        <w:t xml:space="preserve"> </w:t>
      </w:r>
      <w:r>
        <w:rPr>
          <w:rStyle w:val="ClaimLabel"/>
        </w:rPr>
        <w:t xml:space="preserve">VF</w:t>
      </w:r>
      <w:r>
        <w:rPr>
          <w:rStyle w:val="FootnoteReference"/>
        </w:rPr>
        <w:footnoteReference w:id="1012"/>
      </w:r>
    </w:p>
    <w:p>
      <w:pPr>
        <w:pStyle w:val="FirstParagraph"/>
      </w:pPr>
      <w:r>
        <w:rPr>
          <w:bCs/>
          <w:b/>
        </w:rPr>
        <w:t xml:space="preserve">Limitations and risks</w:t>
      </w:r>
    </w:p>
    <w:p>
      <w:pPr>
        <w:numPr>
          <w:ilvl w:val="0"/>
          <w:numId w:val="1226"/>
        </w:numPr>
        <w:pStyle w:val="Compact"/>
      </w:pPr>
      <w:r>
        <w:t xml:space="preserve">Acquired by Nebius (closed 19 February 2026); roadmap tied to a neocloud</w:t>
      </w:r>
      <w:r>
        <w:t xml:space="preserve"> </w:t>
      </w:r>
      <w:r>
        <w:rPr>
          <w:rStyle w:val="ClaimLabel"/>
        </w:rPr>
        <w:t xml:space="preserve">VF</w:t>
      </w:r>
      <w:r>
        <w:rPr>
          <w:rStyle w:val="FootnoteReference"/>
        </w:rPr>
        <w:footnoteReference w:id="1013"/>
      </w:r>
    </w:p>
    <w:p>
      <w:pPr>
        <w:numPr>
          <w:ilvl w:val="0"/>
          <w:numId w:val="1226"/>
        </w:numPr>
        <w:pStyle w:val="Compact"/>
      </w:pPr>
      <w:r>
        <w:t xml:space="preserve">No EU processing region found; SSO not found</w:t>
      </w:r>
      <w:r>
        <w:t xml:space="preserve"> </w:t>
      </w:r>
      <w:r>
        <w:rPr>
          <w:rStyle w:val="ClaimLabel"/>
        </w:rPr>
        <w:t xml:space="preserve">VF</w:t>
      </w:r>
      <w:r>
        <w:rPr>
          <w:rStyle w:val="FootnoteReference"/>
        </w:rPr>
        <w:footnoteReference w:id="1015"/>
      </w:r>
      <w:r>
        <w:t xml:space="preserve"> </w:t>
      </w:r>
      <w:r>
        <w:rPr>
          <w:rStyle w:val="ClaimLabel"/>
        </w:rPr>
        <w:t xml:space="preserve">NPV</w:t>
      </w:r>
    </w:p>
    <w:p>
      <w:pPr>
        <w:pStyle w:val="FirstParagraph"/>
      </w:pPr>
      <w:r>
        <w:rPr>
          <w:bCs/>
          <w:b/>
        </w:rPr>
        <w:t xml:space="preserve">Choose when</w:t>
      </w:r>
    </w:p>
    <w:p>
      <w:pPr>
        <w:numPr>
          <w:ilvl w:val="0"/>
          <w:numId w:val="1227"/>
        </w:numPr>
        <w:pStyle w:val="Compact"/>
      </w:pPr>
      <w:r>
        <w:t xml:space="preserve">Search plus extraction in one API, proxied through your gateway</w:t>
      </w:r>
      <w:r>
        <w:t xml:space="preserve"> </w:t>
      </w:r>
      <w:r>
        <w:rPr>
          <w:rStyle w:val="ClaimLabel"/>
        </w:rPr>
        <w:t xml:space="preserve">AJ</w:t>
      </w:r>
    </w:p>
    <w:p>
      <w:pPr>
        <w:pStyle w:val="FirstParagraph"/>
      </w:pPr>
      <w:r>
        <w:rPr>
          <w:bCs/>
          <w:b/>
        </w:rPr>
        <w:t xml:space="preserve">Avoid when</w:t>
      </w:r>
    </w:p>
    <w:p>
      <w:pPr>
        <w:numPr>
          <w:ilvl w:val="0"/>
          <w:numId w:val="1228"/>
        </w:numPr>
        <w:pStyle w:val="Compact"/>
      </w:pPr>
      <w:r>
        <w:t xml:space="preserve">You need EU processing or roadmap independence from Nebius</w:t>
      </w:r>
      <w:r>
        <w:t xml:space="preserve"> </w:t>
      </w:r>
      <w:r>
        <w:rPr>
          <w:rStyle w:val="ClaimLabel"/>
        </w:rPr>
        <w:t xml:space="preserve">AJ</w:t>
      </w:r>
    </w:p>
    <w:p>
      <w:pPr>
        <w:pStyle w:val="FirstParagraph"/>
      </w:pPr>
      <w:r>
        <w:rPr>
          <w:bCs/>
          <w:b/>
        </w:rPr>
        <w:t xml:space="preserve">Nearest competitors:</w:t>
      </w:r>
      <w:r>
        <w:t xml:space="preserve"> </w:t>
      </w:r>
      <w:r>
        <w:t xml:space="preserve">L4-exa, L8-firecrawl</w:t>
      </w:r>
    </w:p>
    <w:p>
      <w:pPr>
        <w:pStyle w:val="BodyText"/>
      </w:pPr>
      <w:r>
        <w:rPr>
          <w:bCs/>
          <w:b/>
        </w:rPr>
        <w:t xml:space="preserve">Regulated-FS note.</w:t>
      </w:r>
      <w:r>
        <w:t xml:space="preserve"> </w:t>
      </w:r>
      <w:r>
        <w:t xml:space="preserve">Refresh third-party due diligence after the change of control and plan contract changes around PS7/26 notification lead times</w:t>
      </w:r>
      <w:r>
        <w:t xml:space="preserve"> </w:t>
      </w:r>
      <w:r>
        <w:rPr>
          <w:rStyle w:val="ClaimLabel"/>
        </w:rPr>
        <w:t xml:space="preserve">Rec</w:t>
      </w:r>
      <w:r>
        <w:t xml:space="preserve">.</w:t>
      </w:r>
    </w:p>
    <w:p>
      <w:pPr>
        <w:pStyle w:val="BodyText"/>
      </w:pPr>
      <w:r>
        <w:rPr>
          <w:bCs/>
          <w:b/>
        </w:rPr>
        <w:t xml:space="preserve">Facts (as of 2026-10-08)</w:t>
      </w:r>
    </w:p>
    <w:tbl>
      <w:tblPr>
        <w:tblStyle w:val="Table"/>
        <w:tblW w:type="pct" w:w="5000"/>
        <w:tblLook w:firstRow="1" w:lastRow="0" w:firstColumn="0" w:lastColumn="0" w:noHBand="0" w:noVBand="0" w:val="0020"/>
        <w:jc w:val="start"/>
      </w:tblPr>
      <w:tblGrid>
        <w:gridCol w:w="1485"/>
        <w:gridCol w:w="4290"/>
        <w:gridCol w:w="1320"/>
        <w:gridCol w:w="825"/>
      </w:tblGrid>
      <w:tr>
        <w:trPr>
          <w:tblHeader w:val="true"/>
        </w:trPr>
        <w:tc>
          <w:tcPr/>
          <w:p>
            <w:pPr>
              <w:pStyle w:val="Compact"/>
              <w:jc w:val="left"/>
            </w:pPr>
            <w:r>
              <w:t xml:space="preserve">Field</w:t>
            </w:r>
          </w:p>
        </w:tc>
        <w:tc>
          <w:tcPr/>
          <w:p>
            <w:pPr>
              <w:pStyle w:val="Compact"/>
              <w:jc w:val="left"/>
            </w:pPr>
            <w:r>
              <w:t xml:space="preserve">Value</w:t>
            </w:r>
          </w:p>
        </w:tc>
        <w:tc>
          <w:tcPr/>
          <w:p>
            <w:pPr>
              <w:pStyle w:val="Compact"/>
              <w:jc w:val="left"/>
            </w:pPr>
            <w:r>
              <w:t xml:space="preserve">Label</w:t>
            </w:r>
          </w:p>
        </w:tc>
        <w:tc>
          <w:tcPr/>
          <w:p>
            <w:pPr>
              <w:pStyle w:val="Compact"/>
              <w:jc w:val="left"/>
            </w:pPr>
            <w:r>
              <w:t xml:space="preserve">Sources</w:t>
            </w:r>
          </w:p>
        </w:tc>
      </w:tr>
      <w:tr>
        <w:tc>
          <w:tcPr/>
          <w:p>
            <w:pPr>
              <w:pStyle w:val="Compact"/>
              <w:jc w:val="left"/>
            </w:pPr>
            <w:r>
              <w:t xml:space="preserve">Company</w:t>
            </w:r>
          </w:p>
        </w:tc>
        <w:tc>
          <w:tcPr/>
          <w:p>
            <w:pPr>
              <w:pStyle w:val="Compact"/>
              <w:jc w:val="left"/>
            </w:pPr>
            <w:r>
              <w:t xml:space="preserve">Tavily, a wholly owned subsidiary of Nebius Group N.V. (acquisition announced 10 February 2026; closed 19 February 2026)</w:t>
            </w:r>
          </w:p>
        </w:tc>
        <w:tc>
          <w:tcPr/>
          <w:p>
            <w:pPr>
              <w:pStyle w:val="Compact"/>
              <w:jc w:val="left"/>
            </w:pPr>
            <w:r>
              <w:t xml:space="preserve">Verified fact</w:t>
            </w:r>
          </w:p>
        </w:tc>
        <w:tc>
          <w:tcPr/>
          <w:p>
            <w:pPr>
              <w:pStyle w:val="Compact"/>
              <w:jc w:val="left"/>
            </w:pPr>
            <w:r>
              <w:t xml:space="preserve">A3-S084, A3-S085, A3-S086, V1-S041</w:t>
            </w:r>
          </w:p>
        </w:tc>
      </w:tr>
      <w:tr>
        <w:tc>
          <w:tcPr/>
          <w:p>
            <w:pPr>
              <w:pStyle w:val="Compact"/>
              <w:jc w:val="left"/>
            </w:pPr>
            <w:r>
              <w:t xml:space="preserve">Category</w:t>
            </w:r>
          </w:p>
        </w:tc>
        <w:tc>
          <w:tcPr/>
          <w:p>
            <w:pPr>
              <w:pStyle w:val="Compact"/>
              <w:jc w:val="left"/>
            </w:pPr>
            <w:r>
              <w:t xml:space="preserve">Search, extract, crawl, map and research API for agents</w:t>
            </w:r>
          </w:p>
        </w:tc>
        <w:tc>
          <w:tcPr/>
          <w:p>
            <w:pPr>
              <w:pStyle w:val="Compact"/>
              <w:jc w:val="left"/>
            </w:pPr>
            <w:r>
              <w:t xml:space="preserve">Verified fact</w:t>
            </w:r>
          </w:p>
        </w:tc>
        <w:tc>
          <w:tcPr/>
          <w:p>
            <w:pPr>
              <w:pStyle w:val="Compact"/>
              <w:jc w:val="left"/>
            </w:pPr>
            <w:r>
              <w:t xml:space="preserve">A3-S009</w:t>
            </w:r>
          </w:p>
        </w:tc>
      </w:tr>
      <w:tr>
        <w:tc>
          <w:tcPr/>
          <w:p>
            <w:pPr>
              <w:pStyle w:val="Compact"/>
              <w:jc w:val="left"/>
            </w:pPr>
            <w:r>
              <w:t xml:space="preserve">Version / lineup</w:t>
            </w:r>
          </w:p>
        </w:tc>
        <w:tc>
          <w:tcPr/>
          <w:p>
            <w:pPr>
              <w:pStyle w:val="Compact"/>
              <w:jc w:val="left"/>
            </w:pPr>
            <w:r>
              <w:t xml:space="preserve">tavily-python 0.8.5 (6 October 2026);</w:t>
            </w:r>
            <w:r>
              <w:t xml:space="preserve"> </w:t>
            </w:r>
            <w:r>
              <w:t xml:space="preserve">@tavily/core</w:t>
            </w:r>
            <w:r>
              <w:t xml:space="preserve"> </w:t>
            </w:r>
            <w:r>
              <w:t xml:space="preserve">0.7.14 (6 October 2026)</w:t>
            </w:r>
          </w:p>
        </w:tc>
        <w:tc>
          <w:tcPr/>
          <w:p>
            <w:pPr>
              <w:pStyle w:val="Compact"/>
              <w:jc w:val="left"/>
            </w:pPr>
            <w:r>
              <w:t xml:space="preserve">Verified fact</w:t>
            </w:r>
          </w:p>
        </w:tc>
        <w:tc>
          <w:tcPr/>
          <w:p>
            <w:pPr>
              <w:pStyle w:val="Compact"/>
              <w:jc w:val="left"/>
            </w:pPr>
            <w:r>
              <w:t xml:space="preserve">A3-S009, A3-S083</w:t>
            </w:r>
          </w:p>
        </w:tc>
      </w:tr>
      <w:tr>
        <w:tc>
          <w:tcPr/>
          <w:p>
            <w:pPr>
              <w:pStyle w:val="Compact"/>
              <w:jc w:val="left"/>
            </w:pPr>
            <w:r>
              <w:t xml:space="preserve">Licence</w:t>
            </w:r>
          </w:p>
        </w:tc>
        <w:tc>
          <w:tcPr/>
          <w:p>
            <w:pPr>
              <w:pStyle w:val="Compact"/>
              <w:jc w:val="left"/>
            </w:pPr>
            <w:r>
              <w:t xml:space="preserve">Proprietary API; JavaScript SDK MIT; Python SDK licence not stated in PyPI metadata</w:t>
            </w:r>
          </w:p>
        </w:tc>
        <w:tc>
          <w:tcPr/>
          <w:p>
            <w:pPr>
              <w:pStyle w:val="Compact"/>
              <w:jc w:val="left"/>
            </w:pPr>
            <w:r>
              <w:t xml:space="preserve">Verified fact</w:t>
            </w:r>
          </w:p>
        </w:tc>
        <w:tc>
          <w:tcPr/>
          <w:p>
            <w:pPr>
              <w:pStyle w:val="Compact"/>
              <w:jc w:val="left"/>
            </w:pPr>
            <w:r>
              <w:t xml:space="preserve">A3-S083, A3-S009</w:t>
            </w:r>
          </w:p>
        </w:tc>
      </w:tr>
      <w:tr>
        <w:tc>
          <w:tcPr/>
          <w:p>
            <w:pPr>
              <w:pStyle w:val="Compact"/>
              <w:jc w:val="left"/>
            </w:pPr>
            <w:r>
              <w:t xml:space="preserve">Status events</w:t>
            </w:r>
          </w:p>
        </w:tc>
        <w:tc>
          <w:tcPr/>
          <w:p>
            <w:pPr>
              <w:pStyle w:val="Compact"/>
              <w:jc w:val="left"/>
            </w:pPr>
            <w:r>
              <w:t xml:space="preserve">10 February 2026: Tavily announced it is joining Nebius; 19 February 2026: acquisition closed, Nebius acquiring 100% ownership (Nebius FY2025 Form 20-F); Nebius 6-K describes a merger making Tavily a wholly owned subsidiary, cash consideration; Nebius Q1 2026 filing accounts for the acquisition as completed: fair value of consideration US$189.7M (US$177.2M cash) plus an ARR-based earnout measured December 2026 and March 2027; Press reported a US$275M deal value (not disclosed by Nebius)</w:t>
            </w:r>
          </w:p>
        </w:tc>
        <w:tc>
          <w:tcPr/>
          <w:p>
            <w:pPr>
              <w:pStyle w:val="Compact"/>
              <w:jc w:val="left"/>
            </w:pPr>
            <w:r>
              <w:t xml:space="preserve">Verified fact</w:t>
            </w:r>
          </w:p>
        </w:tc>
        <w:tc>
          <w:tcPr/>
          <w:p>
            <w:pPr>
              <w:pStyle w:val="Compact"/>
              <w:jc w:val="left"/>
            </w:pPr>
            <w:r>
              <w:t xml:space="preserve">A3-S084, A3-S085, A3-S086, A3-S087, V1-S041</w:t>
            </w:r>
          </w:p>
        </w:tc>
      </w:tr>
      <w:tr>
        <w:tc>
          <w:tcPr/>
          <w:p>
            <w:pPr>
              <w:pStyle w:val="Compact"/>
              <w:jc w:val="left"/>
            </w:pPr>
            <w:r>
              <w:t xml:space="preserve">Strategic direction</w:t>
            </w:r>
          </w:p>
        </w:tc>
        <w:tc>
          <w:tcPr/>
          <w:p>
            <w:pPr>
              <w:pStyle w:val="Compact"/>
              <w:jc w:val="left"/>
            </w:pPr>
            <w:r>
              <w:t xml:space="preserve">Integration into Nebius AI cloud (Token Factory reported); Tavily states API, data policies and zero data retention unchanged; adds asynchronous research tasks and keyless trial mode</w:t>
            </w:r>
          </w:p>
        </w:tc>
        <w:tc>
          <w:tcPr/>
          <w:p>
            <w:pPr>
              <w:pStyle w:val="Compact"/>
              <w:jc w:val="left"/>
            </w:pPr>
            <w:r>
              <w:t xml:space="preserve">Verified fact</w:t>
            </w:r>
          </w:p>
        </w:tc>
        <w:tc>
          <w:tcPr/>
          <w:p>
            <w:pPr>
              <w:pStyle w:val="Compact"/>
              <w:jc w:val="left"/>
            </w:pPr>
            <w:r>
              <w:t xml:space="preserve">A3-S084, A3-S086, A3-S009</w:t>
            </w:r>
          </w:p>
        </w:tc>
      </w:tr>
      <w:tr>
        <w:tc>
          <w:tcPr/>
          <w:p>
            <w:pPr>
              <w:pStyle w:val="Compact"/>
              <w:jc w:val="left"/>
            </w:pPr>
            <w:r>
              <w:t xml:space="preserve">What it does</w:t>
            </w:r>
          </w:p>
        </w:tc>
        <w:tc>
          <w:tcPr/>
          <w:p>
            <w:pPr>
              <w:pStyle w:val="Compact"/>
              <w:jc w:val="left"/>
            </w:pPr>
            <w:r>
              <w:t xml:space="preserve">Provides web search, content extraction, site crawl/map and multi-step research endpoints via API</w:t>
            </w:r>
          </w:p>
        </w:tc>
        <w:tc>
          <w:tcPr/>
          <w:p>
            <w:pPr>
              <w:pStyle w:val="Compact"/>
              <w:jc w:val="left"/>
            </w:pPr>
            <w:r>
              <w:t xml:space="preserve">Verified fact</w:t>
            </w:r>
          </w:p>
        </w:tc>
        <w:tc>
          <w:tcPr/>
          <w:p>
            <w:pPr>
              <w:pStyle w:val="Compact"/>
              <w:jc w:val="left"/>
            </w:pPr>
            <w:r>
              <w:t xml:space="preserve">A3-S009</w:t>
            </w:r>
          </w:p>
        </w:tc>
      </w:tr>
      <w:tr>
        <w:tc>
          <w:tcPr/>
          <w:p>
            <w:pPr>
              <w:pStyle w:val="Compact"/>
              <w:jc w:val="left"/>
            </w:pPr>
            <w:r>
              <w:t xml:space="preserve">Stack position</w:t>
            </w:r>
          </w:p>
        </w:tc>
        <w:tc>
          <w:tcPr/>
          <w:p>
            <w:pPr>
              <w:pStyle w:val="Compact"/>
              <w:jc w:val="left"/>
            </w:pPr>
            <w:r>
              <w:t xml:space="preserve">L4 tool (web retrieval) for agents; overlaps L8</w:t>
            </w:r>
          </w:p>
        </w:tc>
        <w:tc>
          <w:tcPr/>
          <w:p>
            <w:pPr>
              <w:pStyle w:val="Compact"/>
              <w:jc w:val="left"/>
            </w:pPr>
            <w:r>
              <w:t xml:space="preserve">Verified fact</w:t>
            </w:r>
          </w:p>
        </w:tc>
        <w:tc>
          <w:tcPr/>
          <w:p>
            <w:pPr>
              <w:pStyle w:val="Compact"/>
              <w:jc w:val="left"/>
            </w:pPr>
            <w:r>
              <w:t xml:space="preserve">A3-S009</w:t>
            </w:r>
          </w:p>
        </w:tc>
      </w:tr>
      <w:tr>
        <w:tc>
          <w:tcPr/>
          <w:p>
            <w:pPr>
              <w:pStyle w:val="Compact"/>
              <w:jc w:val="left"/>
            </w:pPr>
            <w:r>
              <w:t xml:space="preserve">Integration</w:t>
            </w:r>
          </w:p>
        </w:tc>
        <w:tc>
          <w:tcPr/>
          <w:p>
            <w:pPr>
              <w:pStyle w:val="Compact"/>
              <w:jc w:val="left"/>
            </w:pPr>
            <w:r>
              <w:t xml:space="preserve">Python/JS SDKs; supports custom HTTP session injection so enterprises can proxy traffic through an API gateway for central auth, logging and policy; MCP server</w:t>
            </w:r>
          </w:p>
        </w:tc>
        <w:tc>
          <w:tcPr/>
          <w:p>
            <w:pPr>
              <w:pStyle w:val="Compact"/>
              <w:jc w:val="left"/>
            </w:pPr>
            <w:r>
              <w:t xml:space="preserve">Verified fact</w:t>
            </w:r>
          </w:p>
        </w:tc>
        <w:tc>
          <w:tcPr/>
          <w:p>
            <w:pPr>
              <w:pStyle w:val="Compact"/>
              <w:jc w:val="left"/>
            </w:pPr>
            <w:r>
              <w:t xml:space="preserve">A3-S009, A3-S054</w:t>
            </w:r>
          </w:p>
        </w:tc>
      </w:tr>
      <w:tr>
        <w:tc>
          <w:tcPr/>
          <w:p>
            <w:pPr>
              <w:pStyle w:val="Compact"/>
              <w:jc w:val="left"/>
            </w:pPr>
            <w:r>
              <w:t xml:space="preserve">Dependencies</w:t>
            </w:r>
          </w:p>
        </w:tc>
        <w:tc>
          <w:tcPr/>
          <w:p>
            <w:pPr>
              <w:pStyle w:val="Compact"/>
              <w:jc w:val="left"/>
            </w:pPr>
            <w:r>
              <w:t xml:space="preserve">Tavily hosted API</w:t>
            </w:r>
          </w:p>
        </w:tc>
        <w:tc>
          <w:tcPr/>
          <w:p>
            <w:pPr>
              <w:pStyle w:val="Compact"/>
              <w:jc w:val="left"/>
            </w:pPr>
            <w:r>
              <w:t xml:space="preserve">Verified fact</w:t>
            </w:r>
          </w:p>
        </w:tc>
        <w:tc>
          <w:tcPr/>
          <w:p>
            <w:pPr>
              <w:pStyle w:val="Compact"/>
              <w:jc w:val="left"/>
            </w:pPr>
            <w:r>
              <w:t xml:space="preserve">A3-S009</w:t>
            </w:r>
          </w:p>
        </w:tc>
      </w:tr>
      <w:tr>
        <w:tc>
          <w:tcPr/>
          <w:p>
            <w:pPr>
              <w:pStyle w:val="Compact"/>
              <w:jc w:val="left"/>
            </w:pPr>
            <w:r>
              <w:t xml:space="preserve">Certifications</w:t>
            </w:r>
          </w:p>
        </w:tc>
        <w:tc>
          <w:tcPr/>
          <w:p>
            <w:pPr>
              <w:pStyle w:val="Compact"/>
              <w:jc w:val="left"/>
            </w:pPr>
            <w:r>
              <w:t xml:space="preserve">Vendor states SOC 2 certified; report type and period not confirmed (trust.tavily.com)</w:t>
            </w:r>
          </w:p>
        </w:tc>
        <w:tc>
          <w:tcPr/>
          <w:p>
            <w:pPr>
              <w:pStyle w:val="Compact"/>
              <w:jc w:val="left"/>
            </w:pPr>
            <w:r>
              <w:t xml:space="preserve">Verified fact</w:t>
            </w:r>
          </w:p>
        </w:tc>
        <w:tc>
          <w:tcPr/>
          <w:p>
            <w:pPr>
              <w:pStyle w:val="Compact"/>
              <w:jc w:val="left"/>
            </w:pPr>
            <w:r>
              <w:t xml:space="preserve">A3-S088</w:t>
            </w:r>
          </w:p>
        </w:tc>
      </w:tr>
      <w:tr>
        <w:tc>
          <w:tcPr/>
          <w:p>
            <w:pPr>
              <w:pStyle w:val="Compact"/>
              <w:jc w:val="left"/>
            </w:pPr>
            <w:r>
              <w:t xml:space="preserve">GDPR / residency</w:t>
            </w:r>
          </w:p>
        </w:tc>
        <w:tc>
          <w:tcPr/>
          <w:p>
            <w:pPr>
              <w:pStyle w:val="Compact"/>
              <w:jc w:val="left"/>
            </w:pPr>
            <w:r>
              <w:t xml:space="preserve">Vendor states GDPR and CCPA compliant; zero data retention described as core; EU processing region not found</w:t>
            </w:r>
          </w:p>
        </w:tc>
        <w:tc>
          <w:tcPr/>
          <w:p>
            <w:pPr>
              <w:pStyle w:val="Compact"/>
              <w:jc w:val="left"/>
            </w:pPr>
            <w:r>
              <w:t xml:space="preserve">Verified fact</w:t>
            </w:r>
          </w:p>
        </w:tc>
        <w:tc>
          <w:tcPr/>
          <w:p>
            <w:pPr>
              <w:pStyle w:val="Compact"/>
              <w:jc w:val="left"/>
            </w:pPr>
            <w:r>
              <w:t xml:space="preserve">A3-S088, A3-S084</w:t>
            </w:r>
          </w:p>
        </w:tc>
      </w:tr>
      <w:tr>
        <w:tc>
          <w:tcPr/>
          <w:p>
            <w:pPr>
              <w:pStyle w:val="Compact"/>
              <w:jc w:val="left"/>
            </w:pPr>
            <w:r>
              <w:t xml:space="preserve">Security features</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Access controls</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Enterprise support</w:t>
            </w:r>
          </w:p>
        </w:tc>
        <w:tc>
          <w:tcPr/>
          <w:p>
            <w:pPr>
              <w:pStyle w:val="Compact"/>
              <w:jc w:val="left"/>
            </w:pPr>
            <w:r>
              <w:t xml:space="preserve">Enterprise plan (custom): custom rate limits, dedicated account manager, Slack channel, AI engineer support, uptime and support SLAs</w:t>
            </w:r>
          </w:p>
        </w:tc>
        <w:tc>
          <w:tcPr/>
          <w:p>
            <w:pPr>
              <w:pStyle w:val="Compact"/>
              <w:jc w:val="left"/>
            </w:pPr>
            <w:r>
              <w:t xml:space="preserve">Verified fact</w:t>
            </w:r>
          </w:p>
        </w:tc>
        <w:tc>
          <w:tcPr/>
          <w:p>
            <w:pPr>
              <w:pStyle w:val="Compact"/>
              <w:jc w:val="left"/>
            </w:pPr>
            <w:r>
              <w:t xml:space="preserve">A3-S088</w:t>
            </w:r>
          </w:p>
        </w:tc>
      </w:tr>
      <w:tr>
        <w:tc>
          <w:tcPr/>
          <w:p>
            <w:pPr>
              <w:pStyle w:val="Compact"/>
              <w:jc w:val="left"/>
            </w:pPr>
            <w:r>
              <w:t xml:space="preserve">Pricing</w:t>
            </w:r>
          </w:p>
        </w:tc>
        <w:tc>
          <w:tcPr/>
          <w:p>
            <w:pPr>
              <w:pStyle w:val="Compact"/>
              <w:jc w:val="left"/>
            </w:pPr>
            <w:r>
              <w:t xml:space="preserve">Free 1,000 credits per month; pay-as-you-go US$0.008 per credit; monthly plans US$0.0075-0.005 per credit; Enterprise custom</w:t>
            </w:r>
          </w:p>
        </w:tc>
        <w:tc>
          <w:tcPr/>
          <w:p>
            <w:pPr>
              <w:pStyle w:val="Compact"/>
              <w:jc w:val="left"/>
            </w:pPr>
            <w:r>
              <w:t xml:space="preserve">Verified fact</w:t>
            </w:r>
          </w:p>
        </w:tc>
        <w:tc>
          <w:tcPr/>
          <w:p>
            <w:pPr>
              <w:pStyle w:val="Compact"/>
              <w:jc w:val="left"/>
            </w:pPr>
            <w:r>
              <w:t xml:space="preserve">A3-S088, A3-S009</w:t>
            </w:r>
          </w:p>
        </w:tc>
      </w:tr>
      <w:tr>
        <w:tc>
          <w:tcPr/>
          <w:p>
            <w:pPr>
              <w:pStyle w:val="Compact"/>
              <w:jc w:val="left"/>
            </w:pPr>
            <w:r>
              <w:t xml:space="preserve">Infrastructure cost</w:t>
            </w:r>
          </w:p>
        </w:tc>
        <w:tc>
          <w:tcPr/>
          <w:p>
            <w:pPr>
              <w:pStyle w:val="Compact"/>
              <w:jc w:val="left"/>
            </w:pPr>
            <w:r>
              <w:t xml:space="preserve">Not applicable (SaaS)</w:t>
            </w:r>
          </w:p>
        </w:tc>
        <w:tc>
          <w:tcPr/>
          <w:p>
            <w:pPr>
              <w:pStyle w:val="Compact"/>
              <w:jc w:val="left"/>
            </w:pPr>
            <w:r>
              <w:t xml:space="preserve">Architectural judgement</w:t>
            </w:r>
          </w:p>
        </w:tc>
        <w:tc>
          <w:tcPr/>
          <w:p>
            <w:pPr>
              <w:pStyle w:val="Compact"/>
            </w:pPr>
          </w:p>
        </w:tc>
      </w:tr>
      <w:tr>
        <w:tc>
          <w:tcPr/>
          <w:p>
            <w:pPr>
              <w:pStyle w:val="Compact"/>
              <w:jc w:val="left"/>
            </w:pPr>
            <w:r>
              <w:t xml:space="preserve">Ecosystem</w:t>
            </w:r>
          </w:p>
        </w:tc>
        <w:tc>
          <w:tcPr/>
          <w:p>
            <w:pPr>
              <w:pStyle w:val="Compact"/>
              <w:jc w:val="left"/>
            </w:pPr>
            <w:r>
              <w:t xml:space="preserve">MCP server (tavily-mcp)</w:t>
            </w:r>
          </w:p>
        </w:tc>
        <w:tc>
          <w:tcPr/>
          <w:p>
            <w:pPr>
              <w:pStyle w:val="Compact"/>
              <w:jc w:val="left"/>
            </w:pPr>
            <w:r>
              <w:t xml:space="preserve">Verified fact</w:t>
            </w:r>
          </w:p>
        </w:tc>
        <w:tc>
          <w:tcPr/>
          <w:p>
            <w:pPr>
              <w:pStyle w:val="Compact"/>
              <w:jc w:val="left"/>
            </w:pPr>
            <w:r>
              <w:t xml:space="preserve">A3-S054</w:t>
            </w:r>
          </w:p>
        </w:tc>
      </w:tr>
      <w:tr>
        <w:tc>
          <w:tcPr/>
          <w:p>
            <w:pPr>
              <w:pStyle w:val="Compact"/>
              <w:jc w:val="left"/>
            </w:pPr>
            <w:r>
              <w:t xml:space="preserve">Adoption signals</w:t>
            </w:r>
          </w:p>
        </w:tc>
        <w:tc>
          <w:tcPr/>
          <w:p>
            <w:pPr>
              <w:pStyle w:val="Compact"/>
              <w:jc w:val="left"/>
            </w:pPr>
            <w:r>
              <w:t xml:space="preserve">tavily-mcp 2,422 and tavily-python 1,420 GitHub stars (7 October 2026)</w:t>
            </w:r>
          </w:p>
        </w:tc>
        <w:tc>
          <w:tcPr/>
          <w:p>
            <w:pPr>
              <w:pStyle w:val="Compact"/>
              <w:jc w:val="left"/>
            </w:pPr>
            <w:r>
              <w:t xml:space="preserve">Verified fact</w:t>
            </w:r>
          </w:p>
        </w:tc>
        <w:tc>
          <w:tcPr/>
          <w:p>
            <w:pPr>
              <w:pStyle w:val="Compact"/>
              <w:jc w:val="left"/>
            </w:pPr>
            <w:r>
              <w:t xml:space="preserve">A3-S054</w:t>
            </w:r>
          </w:p>
        </w:tc>
      </w:tr>
      <w:tr>
        <w:tc>
          <w:tcPr/>
          <w:p>
            <w:pPr>
              <w:pStyle w:val="Compact"/>
              <w:jc w:val="left"/>
            </w:pPr>
            <w:r>
              <w:t xml:space="preserve">Maturity</w:t>
            </w:r>
          </w:p>
        </w:tc>
        <w:tc>
          <w:tcPr/>
          <w:p>
            <w:pPr>
              <w:pStyle w:val="Compact"/>
              <w:jc w:val="left"/>
            </w:pPr>
            <w:r>
              <w:t xml:space="preserve">tavily-python first released September 2023; 69 releases</w:t>
            </w:r>
          </w:p>
        </w:tc>
        <w:tc>
          <w:tcPr/>
          <w:p>
            <w:pPr>
              <w:pStyle w:val="Compact"/>
              <w:jc w:val="left"/>
            </w:pPr>
            <w:r>
              <w:t xml:space="preserve">Verified fact</w:t>
            </w:r>
          </w:p>
        </w:tc>
        <w:tc>
          <w:tcPr/>
          <w:p>
            <w:pPr>
              <w:pStyle w:val="Compact"/>
              <w:jc w:val="left"/>
            </w:pPr>
            <w:r>
              <w:t xml:space="preserve">A3-S009</w:t>
            </w:r>
          </w:p>
        </w:tc>
      </w:tr>
      <w:tr>
        <w:tc>
          <w:tcPr/>
          <w:p>
            <w:pPr>
              <w:pStyle w:val="Compact"/>
              <w:jc w:val="left"/>
            </w:pPr>
            <w:r>
              <w:t xml:space="preserve">Deployment</w:t>
            </w:r>
          </w:p>
        </w:tc>
        <w:tc>
          <w:tcPr/>
          <w:p>
            <w:pPr>
              <w:pStyle w:val="Compact"/>
              <w:jc w:val="left"/>
            </w:pPr>
            <w:r>
              <w:t xml:space="preserve">saas: Yes; managed_cloud: Not publicly verified; vpc_byoc: Not publicly verified; private_cloud: Not publicly verified; self_hosted: Not publicly verified; on_prem: Not publicly verified</w:t>
            </w:r>
          </w:p>
        </w:tc>
        <w:tc>
          <w:tcPr/>
          <w:p>
            <w:pPr>
              <w:pStyle w:val="Compact"/>
            </w:pPr>
          </w:p>
        </w:tc>
        <w:tc>
          <w:tcPr/>
          <w:p>
            <w:pPr>
              <w:pStyle w:val="Compact"/>
            </w:pPr>
          </w:p>
        </w:tc>
      </w:tr>
    </w:tbl>
    <w:bookmarkEnd w:id="1016"/>
    <w:bookmarkEnd w:id="1017"/>
    <w:bookmarkStart w:id="1257" w:name="l3-agent-frameworks-and-orchestration"/>
    <w:p>
      <w:pPr>
        <w:pStyle w:val="Heading1"/>
      </w:pPr>
      <w:r>
        <w:t xml:space="preserve">L3: Agent frameworks and orchestration</w:t>
      </w:r>
    </w:p>
    <w:bookmarkStart w:id="1043" w:name="Xb10406b679ef2687478da134c9bba658d839acc"/>
    <w:p>
      <w:pPr>
        <w:pStyle w:val="Heading2"/>
      </w:pPr>
      <w:r>
        <w:t xml:space="preserve">LangGraph (open-source framework); managed runtime now branded LangSmith Deployment (formerly LangGraph Platform) (</w:t>
      </w:r>
      <w:r>
        <w:rPr>
          <w:rStyle w:val="VerbatimChar"/>
        </w:rPr>
        <w:t xml:space="preserve">L3-langgraph</w:t>
      </w:r>
      <w:r>
        <w:t xml:space="preserve">)</w:t>
      </w:r>
    </w:p>
    <w:p>
      <w:pPr>
        <w:pStyle w:val="FirstParagraph"/>
      </w:pPr>
      <w:r>
        <w:rPr>
          <w:bCs/>
          <w:b/>
        </w:rPr>
        <w:t xml:space="preserve">Tier:</w:t>
      </w:r>
      <w:r>
        <w:t xml:space="preserve"> </w:t>
      </w:r>
      <w:r>
        <w:t xml:space="preserve">Strategic ·</w:t>
      </w:r>
      <w:r>
        <w:t xml:space="preserve"> </w:t>
      </w:r>
      <w:r>
        <w:rPr>
          <w:bCs/>
          <w:b/>
        </w:rPr>
        <w:t xml:space="preserve">Flags:</w:t>
      </w:r>
      <w:r>
        <w:t xml:space="preserve"> </w:t>
      </w:r>
      <w:r>
        <w:t xml:space="preserve">Renamed ·</w:t>
      </w:r>
      <w:r>
        <w:t xml:space="preserve"> </w:t>
      </w:r>
      <w:r>
        <w:rPr>
          <w:bCs/>
          <w:b/>
        </w:rPr>
        <w:t xml:space="preserve">Original graphic label:</w:t>
      </w:r>
      <w:r>
        <w:t xml:space="preserve"> </w:t>
      </w:r>
      <w:r>
        <w:t xml:space="preserve">LangGraph – workflow</w:t>
      </w:r>
    </w:p>
    <w:p>
      <w:pPr>
        <w:pStyle w:val="BodyText"/>
      </w:pPr>
      <w:r>
        <w:rPr>
          <w:iCs/>
          <w:i/>
        </w:rPr>
        <w:t xml:space="preserve">Rationale:</w:t>
      </w:r>
      <w:r>
        <w:t xml:space="preserve"> </w:t>
      </w:r>
      <w:r>
        <w:t xml:space="preserve">Deepest coverage of the L3 questions with a stable 1.x line; Renamed refers to LangGraph Platform -&gt; LangSmith Deployment.</w:t>
      </w:r>
    </w:p>
    <w:tbl>
      <w:tblPr>
        <w:tblStyle w:val="Table"/>
        <w:tblW w:type="pct" w:w="5000"/>
        <w:tblLook w:firstRow="1" w:lastRow="0" w:firstColumn="0" w:lastColumn="0" w:noHBand="0" w:noVBand="0" w:val="0020"/>
        <w:jc w:val="start"/>
      </w:tblPr>
      <w:tblGrid>
        <w:gridCol w:w="1545"/>
        <w:gridCol w:w="579"/>
        <w:gridCol w:w="5795"/>
      </w:tblGrid>
      <w:tr>
        <w:trPr>
          <w:tblHeader w:val="true"/>
        </w:trPr>
        <w:tc>
          <w:tcPr/>
          <w:p>
            <w:pPr>
              <w:pStyle w:val="Compact"/>
              <w:jc w:val="left"/>
            </w:pPr>
            <w:r>
              <w:t xml:space="preserve">Criterion</w:t>
            </w:r>
          </w:p>
        </w:tc>
        <w:tc>
          <w:tcPr/>
          <w:p>
            <w:pPr>
              <w:pStyle w:val="Compact"/>
              <w:jc w:val="right"/>
            </w:pPr>
            <w:r>
              <w:t xml:space="preserve">Score</w:t>
            </w:r>
          </w:p>
        </w:tc>
        <w:tc>
          <w:tcPr/>
          <w:p>
            <w:pPr>
              <w:pStyle w:val="Compact"/>
              <w:jc w:val="left"/>
            </w:pPr>
            <w:r>
              <w:t xml:space="preserve">Rationale</w:t>
            </w:r>
          </w:p>
        </w:tc>
      </w:tr>
      <w:tr>
        <w:tc>
          <w:tcPr/>
          <w:p>
            <w:pPr>
              <w:pStyle w:val="Compact"/>
              <w:jc w:val="left"/>
            </w:pPr>
            <w:r>
              <w:t xml:space="preserve">Technical</w:t>
            </w:r>
          </w:p>
        </w:tc>
        <w:tc>
          <w:tcPr/>
          <w:p>
            <w:pPr>
              <w:pStyle w:val="Compact"/>
              <w:jc w:val="right"/>
            </w:pPr>
            <w:r>
              <w:t xml:space="preserve">5</w:t>
            </w:r>
          </w:p>
        </w:tc>
        <w:tc>
          <w:tcPr/>
          <w:p>
            <w:pPr>
              <w:pStyle w:val="Compact"/>
              <w:jc w:val="left"/>
            </w:pPr>
            <w:r>
              <w:t xml:space="preserve">Durable execution, interrupts, time travel, memory, deterministic plus LLM nodes, both Functional and Graph APIs</w:t>
            </w:r>
            <w:r>
              <w:t xml:space="preserve"> </w:t>
            </w:r>
            <w:r>
              <w:rPr>
                <w:rStyle w:val="ClaimLabel"/>
              </w:rPr>
              <w:t xml:space="preserve">VF</w:t>
            </w:r>
            <w:r>
              <w:rPr>
                <w:rStyle w:val="FootnoteReference"/>
              </w:rPr>
              <w:footnoteReference w:id="1018"/>
            </w:r>
          </w:p>
        </w:tc>
      </w:tr>
      <w:tr>
        <w:tc>
          <w:tcPr/>
          <w:p>
            <w:pPr>
              <w:pStyle w:val="Compact"/>
              <w:jc w:val="left"/>
            </w:pPr>
            <w:r>
              <w:t xml:space="preserve">Enterprise readiness</w:t>
            </w:r>
          </w:p>
        </w:tc>
        <w:tc>
          <w:tcPr/>
          <w:p>
            <w:pPr>
              <w:pStyle w:val="Compact"/>
              <w:jc w:val="right"/>
            </w:pPr>
            <w:r>
              <w:t xml:space="preserve">4</w:t>
            </w:r>
          </w:p>
        </w:tc>
        <w:tc>
          <w:tcPr/>
          <w:p>
            <w:pPr>
              <w:pStyle w:val="Compact"/>
              <w:jc w:val="left"/>
            </w:pPr>
            <w:r>
              <w:t xml:space="preserve">LangSmith Enterprise: SAML/OIDC SSO, SCIM, custom-role RBAC, audit logs on self-hosted</w:t>
            </w:r>
            <w:r>
              <w:t xml:space="preserve"> </w:t>
            </w:r>
            <w:r>
              <w:rPr>
                <w:rStyle w:val="ClaimLabel"/>
              </w:rPr>
              <w:t xml:space="preserve">VF</w:t>
            </w:r>
            <w:r>
              <w:rPr>
                <w:rStyle w:val="FootnoteReference"/>
              </w:rPr>
              <w:footnoteReference w:id="1021"/>
            </w:r>
          </w:p>
        </w:tc>
      </w:tr>
      <w:tr>
        <w:tc>
          <w:tcPr/>
          <w:p>
            <w:pPr>
              <w:pStyle w:val="Compact"/>
              <w:jc w:val="left"/>
            </w:pPr>
            <w:r>
              <w:t xml:space="preserve">Security and compliance</w:t>
            </w:r>
          </w:p>
        </w:tc>
        <w:tc>
          <w:tcPr/>
          <w:p>
            <w:pPr>
              <w:pStyle w:val="Compact"/>
              <w:jc w:val="right"/>
            </w:pPr>
            <w:r>
              <w:t xml:space="preserve">4</w:t>
            </w:r>
          </w:p>
        </w:tc>
        <w:tc>
          <w:tcPr/>
          <w:p>
            <w:pPr>
              <w:pStyle w:val="Compact"/>
              <w:jc w:val="left"/>
            </w:pPr>
            <w:r>
              <w:t xml:space="preserve">LangSmith SOC 2 Type II and HIPAA; ISO 27001 claimed, scope unconfirmed, so 4 not 5 (rule 8); OSS advisories published and patched</w:t>
            </w:r>
            <w:r>
              <w:t xml:space="preserve"> </w:t>
            </w:r>
            <w:r>
              <w:rPr>
                <w:rStyle w:val="ClaimLabel"/>
              </w:rPr>
              <w:t xml:space="preserve">VF</w:t>
            </w:r>
            <w:r>
              <w:rPr>
                <w:rStyle w:val="FootnoteReference"/>
              </w:rPr>
              <w:footnoteReference w:id="1023"/>
            </w:r>
          </w:p>
        </w:tc>
      </w:tr>
      <w:tr>
        <w:tc>
          <w:tcPr/>
          <w:p>
            <w:pPr>
              <w:pStyle w:val="Compact"/>
              <w:jc w:val="left"/>
            </w:pPr>
            <w:r>
              <w:t xml:space="preserve">Deployment flexibility</w:t>
            </w:r>
          </w:p>
        </w:tc>
        <w:tc>
          <w:tcPr/>
          <w:p>
            <w:pPr>
              <w:pStyle w:val="Compact"/>
              <w:jc w:val="right"/>
            </w:pPr>
            <w:r>
              <w:t xml:space="preserve">5</w:t>
            </w:r>
          </w:p>
        </w:tc>
        <w:tc>
          <w:tcPr/>
          <w:p>
            <w:pPr>
              <w:pStyle w:val="Compact"/>
              <w:jc w:val="left"/>
            </w:pPr>
            <w:r>
              <w:t xml:space="preserve">Library anywhere; LangSmith Deployment SaaS, BYOC/hybrid, self-hosted and on-prem Kubernetes</w:t>
            </w:r>
            <w:r>
              <w:t xml:space="preserve"> </w:t>
            </w:r>
            <w:r>
              <w:rPr>
                <w:rStyle w:val="ClaimLabel"/>
              </w:rPr>
              <w:t xml:space="preserve">VF</w:t>
            </w:r>
            <w:r>
              <w:rPr>
                <w:rStyle w:val="FootnoteReference"/>
              </w:rPr>
              <w:footnoteReference w:id="1025"/>
            </w:r>
          </w:p>
        </w:tc>
      </w:tr>
      <w:tr>
        <w:tc>
          <w:tcPr/>
          <w:p>
            <w:pPr>
              <w:pStyle w:val="Compact"/>
              <w:jc w:val="left"/>
            </w:pPr>
            <w:r>
              <w:t xml:space="preserve">Ecosystem</w:t>
            </w:r>
          </w:p>
        </w:tc>
        <w:tc>
          <w:tcPr/>
          <w:p>
            <w:pPr>
              <w:pStyle w:val="Compact"/>
              <w:jc w:val="right"/>
            </w:pPr>
            <w:r>
              <w:t xml:space="preserve">5</w:t>
            </w:r>
          </w:p>
        </w:tc>
        <w:tc>
          <w:tcPr/>
          <w:p>
            <w:pPr>
              <w:pStyle w:val="Compact"/>
              <w:jc w:val="left"/>
            </w:pPr>
            <w:r>
              <w:t xml:space="preserve">LangChain integrations, JS port, hosted by AgentCore and other runtimes</w:t>
            </w:r>
            <w:r>
              <w:t xml:space="preserve"> </w:t>
            </w:r>
            <w:r>
              <w:rPr>
                <w:rStyle w:val="ClaimLabel"/>
              </w:rPr>
              <w:t xml:space="preserve">VF</w:t>
            </w:r>
            <w:r>
              <w:rPr>
                <w:rStyle w:val="FootnoteReference"/>
              </w:rPr>
              <w:footnoteReference w:id="1027"/>
            </w:r>
          </w:p>
        </w:tc>
      </w:tr>
      <w:tr>
        <w:tc>
          <w:tcPr/>
          <w:p>
            <w:pPr>
              <w:pStyle w:val="Compact"/>
              <w:jc w:val="left"/>
            </w:pPr>
            <w:r>
              <w:t xml:space="preserve">Reliability and maturity</w:t>
            </w:r>
          </w:p>
        </w:tc>
        <w:tc>
          <w:tcPr/>
          <w:p>
            <w:pPr>
              <w:pStyle w:val="Compact"/>
              <w:jc w:val="right"/>
            </w:pPr>
            <w:r>
              <w:t xml:space="preserve">4</w:t>
            </w:r>
          </w:p>
        </w:tc>
        <w:tc>
          <w:tcPr/>
          <w:p>
            <w:pPr>
              <w:pStyle w:val="Compact"/>
              <w:jc w:val="left"/>
            </w:pPr>
            <w:r>
              <w:t xml:space="preserve">1.0 GA October 2025, Production/Stable, frequent releases, stable API commitment</w:t>
            </w:r>
            <w:r>
              <w:t xml:space="preserve"> </w:t>
            </w:r>
            <w:r>
              <w:rPr>
                <w:rStyle w:val="ClaimLabel"/>
              </w:rPr>
              <w:t xml:space="preserve">VF</w:t>
            </w:r>
            <w:r>
              <w:rPr>
                <w:rStyle w:val="FootnoteReference"/>
              </w:rPr>
              <w:footnoteReference w:id="1029"/>
            </w:r>
          </w:p>
        </w:tc>
      </w:tr>
      <w:tr>
        <w:tc>
          <w:tcPr/>
          <w:p>
            <w:pPr>
              <w:pStyle w:val="Compact"/>
              <w:jc w:val="left"/>
            </w:pPr>
            <w:r>
              <w:t xml:space="preserve">Cost / TCO</w:t>
            </w:r>
          </w:p>
        </w:tc>
        <w:tc>
          <w:tcPr/>
          <w:p>
            <w:pPr>
              <w:pStyle w:val="Compact"/>
              <w:jc w:val="right"/>
            </w:pPr>
            <w:r>
              <w:t xml:space="preserve">4</w:t>
            </w:r>
          </w:p>
        </w:tc>
        <w:tc>
          <w:tcPr/>
          <w:p>
            <w:pPr>
              <w:pStyle w:val="Compact"/>
              <w:jc w:val="left"/>
            </w:pPr>
            <w:r>
              <w:t xml:space="preserve">OSS free; LangSmith seat and LSU pricing published</w:t>
            </w:r>
            <w:r>
              <w:t xml:space="preserve"> </w:t>
            </w:r>
            <w:r>
              <w:rPr>
                <w:rStyle w:val="ClaimLabel"/>
              </w:rPr>
              <w:t xml:space="preserve">VF</w:t>
            </w:r>
            <w:r>
              <w:rPr>
                <w:rStyle w:val="FootnoteReference"/>
              </w:rPr>
              <w:footnoteReference w:id="1032"/>
            </w:r>
          </w:p>
        </w:tc>
      </w:tr>
      <w:tr>
        <w:tc>
          <w:tcPr/>
          <w:p>
            <w:pPr>
              <w:pStyle w:val="Compact"/>
              <w:jc w:val="left"/>
            </w:pPr>
            <w:r>
              <w:t xml:space="preserve">Lock-in / portability</w:t>
            </w:r>
          </w:p>
        </w:tc>
        <w:tc>
          <w:tcPr/>
          <w:p>
            <w:pPr>
              <w:pStyle w:val="Compact"/>
              <w:jc w:val="right"/>
            </w:pPr>
            <w:r>
              <w:t xml:space="preserve">3</w:t>
            </w:r>
          </w:p>
        </w:tc>
        <w:tc>
          <w:tcPr/>
          <w:p>
            <w:pPr>
              <w:pStyle w:val="Compact"/>
              <w:jc w:val="left"/>
            </w:pPr>
            <w:r>
              <w:t xml:space="preserve">MIT, self-hostable, but graph/checkpoint APIs proprietary to LangGraph and deployment is proprietary</w:t>
            </w:r>
            <w:r>
              <w:t xml:space="preserve"> </w:t>
            </w:r>
            <w:r>
              <w:rPr>
                <w:rStyle w:val="ClaimLabel"/>
              </w:rPr>
              <w:t xml:space="preserve">VF</w:t>
            </w:r>
            <w:r>
              <w:rPr>
                <w:rStyle w:val="FootnoteReference"/>
              </w:rPr>
              <w:footnoteReference w:id="1033"/>
            </w:r>
          </w:p>
        </w:tc>
      </w:tr>
      <w:tr>
        <w:tc>
          <w:tcPr/>
          <w:p>
            <w:pPr>
              <w:pStyle w:val="Compact"/>
              <w:jc w:val="left"/>
            </w:pPr>
            <w:r>
              <w:rPr>
                <w:bCs/>
                <w:b/>
              </w:rPr>
              <w:t xml:space="preserve">Total (generic / FS)</w:t>
            </w:r>
          </w:p>
        </w:tc>
        <w:tc>
          <w:tcPr/>
          <w:p>
            <w:pPr>
              <w:pStyle w:val="Compact"/>
              <w:jc w:val="right"/>
            </w:pPr>
            <w:r>
              <w:rPr>
                <w:bCs/>
                <w:b/>
              </w:rPr>
              <w:t xml:space="preserve">4.40 / 4.20</w:t>
            </w:r>
          </w:p>
        </w:tc>
        <w:tc>
          <w:tcPr/>
          <w:p>
            <w:pPr>
              <w:pStyle w:val="Compact"/>
            </w:pPr>
          </w:p>
        </w:tc>
      </w:tr>
    </w:tbl>
    <w:p>
      <w:pPr>
        <w:pStyle w:val="BodyText"/>
      </w:pPr>
      <w:r>
        <w:rPr>
          <w:bCs/>
          <w:b/>
        </w:rPr>
        <w:t xml:space="preserve">Capabilities.</w:t>
      </w:r>
      <w:r>
        <w:t xml:space="preserve"> </w:t>
      </w:r>
      <w:r>
        <w:t xml:space="preserve">Low-level stateful graph runtime (MIT) combining deterministic code and LLM decisions in one graph, with checkpointed durable execution, interrupts for human-in-the-loop, time travel, memory and streaming; managed runtime is LangSmith Deployment (formerly LangGraph Platform)</w:t>
      </w:r>
      <w:r>
        <w:t xml:space="preserve"> </w:t>
      </w:r>
      <w:r>
        <w:rPr>
          <w:rStyle w:val="ClaimLabel"/>
        </w:rPr>
        <w:t xml:space="preserve">VF</w:t>
      </w:r>
      <w:r>
        <w:rPr>
          <w:rStyle w:val="FootnoteReference"/>
        </w:rPr>
        <w:footnoteReference w:id="1034"/>
      </w:r>
      <w:r>
        <w:t xml:space="preserve">.</w:t>
      </w:r>
    </w:p>
    <w:p>
      <w:pPr>
        <w:pStyle w:val="BodyText"/>
      </w:pPr>
      <w:r>
        <w:rPr>
          <w:bCs/>
          <w:b/>
        </w:rPr>
        <w:t xml:space="preserve">Strengths</w:t>
      </w:r>
    </w:p>
    <w:p>
      <w:pPr>
        <w:numPr>
          <w:ilvl w:val="0"/>
          <w:numId w:val="1229"/>
        </w:numPr>
        <w:pStyle w:val="Compact"/>
      </w:pPr>
      <w:r>
        <w:t xml:space="preserve">Covers every L3 research question in one GA (1.x) framework with a no-breaking-changes commitment until 2.0</w:t>
      </w:r>
      <w:r>
        <w:t xml:space="preserve"> </w:t>
      </w:r>
      <w:r>
        <w:rPr>
          <w:rStyle w:val="ClaimLabel"/>
        </w:rPr>
        <w:t xml:space="preserve">VF</w:t>
      </w:r>
      <w:r>
        <w:rPr>
          <w:rStyle w:val="FootnoteReference"/>
        </w:rPr>
        <w:footnoteReference w:id="1036"/>
      </w:r>
      <w:r>
        <w:t xml:space="preserve"> </w:t>
      </w:r>
      <w:r>
        <w:rPr>
          <w:rStyle w:val="ClaimLabel"/>
        </w:rPr>
        <w:t xml:space="preserve">AJ</w:t>
      </w:r>
    </w:p>
    <w:p>
      <w:pPr>
        <w:numPr>
          <w:ilvl w:val="0"/>
          <w:numId w:val="1229"/>
        </w:numPr>
        <w:pStyle w:val="Compact"/>
      </w:pPr>
      <w:r>
        <w:t xml:space="preserve">Deployment range from library to SaaS, BYOC, self-hosted and on-prem Kubernetes</w:t>
      </w:r>
      <w:r>
        <w:t xml:space="preserve"> </w:t>
      </w:r>
      <w:r>
        <w:rPr>
          <w:rStyle w:val="ClaimLabel"/>
        </w:rPr>
        <w:t xml:space="preserve">VF</w:t>
      </w:r>
      <w:r>
        <w:rPr>
          <w:rStyle w:val="FootnoteReference"/>
        </w:rPr>
        <w:footnoteReference w:id="1037"/>
      </w:r>
    </w:p>
    <w:p>
      <w:pPr>
        <w:pStyle w:val="FirstParagraph"/>
      </w:pPr>
      <w:r>
        <w:rPr>
          <w:bCs/>
          <w:b/>
        </w:rPr>
        <w:t xml:space="preserve">Limitations and risks</w:t>
      </w:r>
    </w:p>
    <w:p>
      <w:pPr>
        <w:numPr>
          <w:ilvl w:val="0"/>
          <w:numId w:val="1230"/>
        </w:numPr>
        <w:pStyle w:val="Compact"/>
      </w:pPr>
      <w:r>
        <w:t xml:space="preserve">Graph and checkpoint APIs are LangGraph-specific</w:t>
      </w:r>
      <w:r>
        <w:t xml:space="preserve"> </w:t>
      </w:r>
      <w:r>
        <w:rPr>
          <w:rStyle w:val="ClaimLabel"/>
        </w:rPr>
        <w:t xml:space="preserve">VF</w:t>
      </w:r>
      <w:r>
        <w:rPr>
          <w:rStyle w:val="FootnoteReference"/>
        </w:rPr>
        <w:footnoteReference w:id="1038"/>
      </w:r>
    </w:p>
    <w:p>
      <w:pPr>
        <w:numPr>
          <w:ilvl w:val="0"/>
          <w:numId w:val="1230"/>
        </w:numPr>
        <w:pStyle w:val="Compact"/>
      </w:pPr>
      <w:r>
        <w:t xml:space="preserve">Three checkpoint deserialisation advisories in 2025-26, all patched; the checkpoint store is a security boundary</w:t>
      </w:r>
      <w:r>
        <w:t xml:space="preserve"> </w:t>
      </w:r>
      <w:r>
        <w:rPr>
          <w:rStyle w:val="ClaimLabel"/>
        </w:rPr>
        <w:t xml:space="preserve">VF</w:t>
      </w:r>
      <w:r>
        <w:rPr>
          <w:rStyle w:val="FootnoteReference"/>
        </w:rPr>
        <w:footnoteReference w:id="1039"/>
      </w:r>
    </w:p>
    <w:p>
      <w:pPr>
        <w:numPr>
          <w:ilvl w:val="0"/>
          <w:numId w:val="1230"/>
        </w:numPr>
        <w:pStyle w:val="Compact"/>
      </w:pPr>
      <w:r>
        <w:t xml:space="preserve">LangSmith ISO 27001 claimed but scope unconfirmed</w:t>
      </w:r>
      <w:r>
        <w:t xml:space="preserve"> </w:t>
      </w:r>
      <w:r>
        <w:rPr>
          <w:rStyle w:val="ClaimLabel"/>
        </w:rPr>
        <w:t xml:space="preserve">VF</w:t>
      </w:r>
      <w:r>
        <w:rPr>
          <w:rStyle w:val="FootnoteReference"/>
        </w:rPr>
        <w:footnoteReference w:id="1040"/>
      </w:r>
    </w:p>
    <w:p>
      <w:pPr>
        <w:numPr>
          <w:ilvl w:val="0"/>
          <w:numId w:val="1230"/>
        </w:numPr>
        <w:pStyle w:val="Compact"/>
      </w:pPr>
      <w:r>
        <w:t xml:space="preserve">Full self-hosted platform needs the Enterprise plan</w:t>
      </w:r>
      <w:r>
        <w:t xml:space="preserve"> </w:t>
      </w:r>
      <w:r>
        <w:rPr>
          <w:rStyle w:val="ClaimLabel"/>
        </w:rPr>
        <w:t xml:space="preserve">VF</w:t>
      </w:r>
      <w:r>
        <w:rPr>
          <w:rStyle w:val="FootnoteReference"/>
        </w:rPr>
        <w:footnoteReference w:id="1042"/>
      </w:r>
    </w:p>
    <w:p>
      <w:pPr>
        <w:pStyle w:val="FirstParagraph"/>
      </w:pPr>
      <w:r>
        <w:rPr>
          <w:bCs/>
          <w:b/>
        </w:rPr>
        <w:t xml:space="preserve">Choose when</w:t>
      </w:r>
    </w:p>
    <w:p>
      <w:pPr>
        <w:numPr>
          <w:ilvl w:val="0"/>
          <w:numId w:val="1231"/>
        </w:numPr>
        <w:pStyle w:val="Compact"/>
      </w:pPr>
      <w:r>
        <w:t xml:space="preserve">You need deterministic workflow graphs with one or more LLM steps, durable checkpoints and approval interrupts</w:t>
      </w:r>
      <w:r>
        <w:t xml:space="preserve"> </w:t>
      </w:r>
      <w:r>
        <w:rPr>
          <w:rStyle w:val="ClaimLabel"/>
        </w:rPr>
        <w:t xml:space="preserve">AJ</w:t>
      </w:r>
    </w:p>
    <w:p>
      <w:pPr>
        <w:numPr>
          <w:ilvl w:val="0"/>
          <w:numId w:val="1231"/>
        </w:numPr>
        <w:pStyle w:val="Compact"/>
      </w:pPr>
      <w:r>
        <w:t xml:space="preserve">Python or TypeScript teams standardising on one orchestration framework</w:t>
      </w:r>
      <w:r>
        <w:t xml:space="preserve"> </w:t>
      </w:r>
      <w:r>
        <w:rPr>
          <w:rStyle w:val="ClaimLabel"/>
        </w:rPr>
        <w:t xml:space="preserve">AJ</w:t>
      </w:r>
    </w:p>
    <w:p>
      <w:pPr>
        <w:pStyle w:val="FirstParagraph"/>
      </w:pPr>
      <w:r>
        <w:rPr>
          <w:bCs/>
          <w:b/>
        </w:rPr>
        <w:t xml:space="preserve">Avoid when</w:t>
      </w:r>
    </w:p>
    <w:p>
      <w:pPr>
        <w:numPr>
          <w:ilvl w:val="0"/>
          <w:numId w:val="1232"/>
        </w:numPr>
        <w:pStyle w:val="Compact"/>
      </w:pPr>
      <w:r>
        <w:t xml:space="preserve">The workflow is a single model call that needs no framework</w:t>
      </w:r>
      <w:r>
        <w:t xml:space="preserve"> </w:t>
      </w:r>
      <w:r>
        <w:rPr>
          <w:rStyle w:val="ClaimLabel"/>
        </w:rPr>
        <w:t xml:space="preserve">AJ</w:t>
      </w:r>
    </w:p>
    <w:p>
      <w:pPr>
        <w:numPr>
          <w:ilvl w:val="0"/>
          <w:numId w:val="1232"/>
        </w:numPr>
        <w:pStyle w:val="Compact"/>
      </w:pPr>
      <w:r>
        <w:t xml:space="preserve">You cannot restrict write access to the checkpoint database</w:t>
      </w:r>
      <w:r>
        <w:t xml:space="preserve"> </w:t>
      </w:r>
      <w:r>
        <w:rPr>
          <w:rStyle w:val="ClaimLabel"/>
        </w:rPr>
        <w:t xml:space="preserve">AJ</w:t>
      </w:r>
    </w:p>
    <w:p>
      <w:pPr>
        <w:pStyle w:val="FirstParagraph"/>
      </w:pPr>
      <w:r>
        <w:rPr>
          <w:bCs/>
          <w:b/>
        </w:rPr>
        <w:t xml:space="preserve">Nearest competitors:</w:t>
      </w:r>
      <w:r>
        <w:t xml:space="preserve"> </w:t>
      </w:r>
      <w:r>
        <w:t xml:space="preserve">L3-microsoft-agent-framework, L3-pydantic-ai, L3-google-adk, L3-temporal</w:t>
      </w:r>
    </w:p>
    <w:p>
      <w:pPr>
        <w:pStyle w:val="BodyText"/>
      </w:pPr>
      <w:r>
        <w:rPr>
          <w:bCs/>
          <w:b/>
        </w:rPr>
        <w:t xml:space="preserve">Regulated-FS note.</w:t>
      </w:r>
      <w:r>
        <w:t xml:space="preserve"> </w:t>
      </w:r>
      <w:r>
        <w:t xml:space="preserve">Pin langgraph and langgraph-checkpoint, keep checkpoints in a firm-controlled Postgres with write access limited to the runtime, and export traces via OTel as well as LangSmith</w:t>
      </w:r>
      <w:r>
        <w:t xml:space="preserve"> </w:t>
      </w:r>
      <w:r>
        <w:rPr>
          <w:rStyle w:val="ClaimLabel"/>
        </w:rPr>
        <w:t xml:space="preserve">Rec</w:t>
      </w:r>
      <w:r>
        <w:t xml:space="preserve">.</w:t>
      </w:r>
    </w:p>
    <w:p>
      <w:pPr>
        <w:pStyle w:val="BodyText"/>
      </w:pPr>
      <w:r>
        <w:rPr>
          <w:bCs/>
          <w:b/>
        </w:rPr>
        <w:t xml:space="preserve">Facts (as of 2026-10-08)</w:t>
      </w:r>
    </w:p>
    <w:tbl>
      <w:tblPr>
        <w:tblStyle w:val="Table"/>
        <w:tblW w:type="pct" w:w="5000"/>
        <w:tblLook w:firstRow="1" w:lastRow="0" w:firstColumn="0" w:lastColumn="0" w:noHBand="0" w:noVBand="0" w:val="0020"/>
        <w:jc w:val="start"/>
      </w:tblPr>
      <w:tblGrid>
        <w:gridCol w:w="1485"/>
        <w:gridCol w:w="4290"/>
        <w:gridCol w:w="1320"/>
        <w:gridCol w:w="825"/>
      </w:tblGrid>
      <w:tr>
        <w:trPr>
          <w:tblHeader w:val="true"/>
        </w:trPr>
        <w:tc>
          <w:tcPr/>
          <w:p>
            <w:pPr>
              <w:pStyle w:val="Compact"/>
              <w:jc w:val="left"/>
            </w:pPr>
            <w:r>
              <w:t xml:space="preserve">Field</w:t>
            </w:r>
          </w:p>
        </w:tc>
        <w:tc>
          <w:tcPr/>
          <w:p>
            <w:pPr>
              <w:pStyle w:val="Compact"/>
              <w:jc w:val="left"/>
            </w:pPr>
            <w:r>
              <w:t xml:space="preserve">Value</w:t>
            </w:r>
          </w:p>
        </w:tc>
        <w:tc>
          <w:tcPr/>
          <w:p>
            <w:pPr>
              <w:pStyle w:val="Compact"/>
              <w:jc w:val="left"/>
            </w:pPr>
            <w:r>
              <w:t xml:space="preserve">Label</w:t>
            </w:r>
          </w:p>
        </w:tc>
        <w:tc>
          <w:tcPr/>
          <w:p>
            <w:pPr>
              <w:pStyle w:val="Compact"/>
              <w:jc w:val="left"/>
            </w:pPr>
            <w:r>
              <w:t xml:space="preserve">Sources</w:t>
            </w:r>
          </w:p>
        </w:tc>
      </w:tr>
      <w:tr>
        <w:tc>
          <w:tcPr/>
          <w:p>
            <w:pPr>
              <w:pStyle w:val="Compact"/>
              <w:jc w:val="left"/>
            </w:pPr>
            <w:r>
              <w:t xml:space="preserve">Company</w:t>
            </w:r>
          </w:p>
        </w:tc>
        <w:tc>
          <w:tcPr/>
          <w:p>
            <w:pPr>
              <w:pStyle w:val="Compact"/>
              <w:jc w:val="left"/>
            </w:pPr>
            <w:r>
              <w:t xml:space="preserve">LangChain, Inc.</w:t>
            </w:r>
          </w:p>
        </w:tc>
        <w:tc>
          <w:tcPr/>
          <w:p>
            <w:pPr>
              <w:pStyle w:val="Compact"/>
              <w:jc w:val="left"/>
            </w:pPr>
            <w:r>
              <w:t xml:space="preserve">Verified fact</w:t>
            </w:r>
          </w:p>
        </w:tc>
        <w:tc>
          <w:tcPr/>
          <w:p>
            <w:pPr>
              <w:pStyle w:val="Compact"/>
              <w:jc w:val="left"/>
            </w:pPr>
            <w:r>
              <w:t xml:space="preserve">A4-S001, A4-S032</w:t>
            </w:r>
          </w:p>
        </w:tc>
      </w:tr>
      <w:tr>
        <w:tc>
          <w:tcPr/>
          <w:p>
            <w:pPr>
              <w:pStyle w:val="Compact"/>
              <w:jc w:val="left"/>
            </w:pPr>
            <w:r>
              <w:t xml:space="preserve">Category</w:t>
            </w:r>
          </w:p>
        </w:tc>
        <w:tc>
          <w:tcPr/>
          <w:p>
            <w:pPr>
              <w:pStyle w:val="Compact"/>
              <w:jc w:val="left"/>
            </w:pPr>
            <w:r>
              <w:t xml:space="preserve">Low-level stateful agent and workflow orchestration framework (graph runtime) with a commercial managed deployment service</w:t>
            </w:r>
          </w:p>
        </w:tc>
        <w:tc>
          <w:tcPr/>
          <w:p>
            <w:pPr>
              <w:pStyle w:val="Compact"/>
              <w:jc w:val="left"/>
            </w:pPr>
            <w:r>
              <w:t xml:space="preserve">Verified fact</w:t>
            </w:r>
          </w:p>
        </w:tc>
        <w:tc>
          <w:tcPr/>
          <w:p>
            <w:pPr>
              <w:pStyle w:val="Compact"/>
              <w:jc w:val="left"/>
            </w:pPr>
            <w:r>
              <w:t xml:space="preserve">A4-S118, A4-S037</w:t>
            </w:r>
          </w:p>
        </w:tc>
      </w:tr>
      <w:tr>
        <w:tc>
          <w:tcPr/>
          <w:p>
            <w:pPr>
              <w:pStyle w:val="Compact"/>
              <w:jc w:val="left"/>
            </w:pPr>
            <w:r>
              <w:t xml:space="preserve">Version / lineup</w:t>
            </w:r>
          </w:p>
        </w:tc>
        <w:tc>
          <w:tcPr/>
          <w:p>
            <w:pPr>
              <w:pStyle w:val="Compact"/>
              <w:jc w:val="left"/>
            </w:pPr>
            <w:r>
              <w:t xml:space="preserve">langgraph 1.2.14 on PyPI (released 6 October 2026);</w:t>
            </w:r>
            <w:r>
              <w:t xml:space="preserve"> </w:t>
            </w:r>
            <w:r>
              <w:t xml:space="preserve">@langchain/langgraph</w:t>
            </w:r>
            <w:r>
              <w:t xml:space="preserve"> </w:t>
            </w:r>
            <w:r>
              <w:t xml:space="preserve">1.4.21 on npm (7 October 2026); 1.0.0 released 17 October 2025 (Python) / 18 October 2025 (JS)</w:t>
            </w:r>
          </w:p>
        </w:tc>
        <w:tc>
          <w:tcPr/>
          <w:p>
            <w:pPr>
              <w:pStyle w:val="Compact"/>
              <w:jc w:val="left"/>
            </w:pPr>
            <w:r>
              <w:t xml:space="preserve">Verified fact</w:t>
            </w:r>
          </w:p>
        </w:tc>
        <w:tc>
          <w:tcPr/>
          <w:p>
            <w:pPr>
              <w:pStyle w:val="Compact"/>
              <w:jc w:val="left"/>
            </w:pPr>
            <w:r>
              <w:t xml:space="preserve">A4-S001, A4-S026</w:t>
            </w:r>
          </w:p>
        </w:tc>
      </w:tr>
      <w:tr>
        <w:tc>
          <w:tcPr/>
          <w:p>
            <w:pPr>
              <w:pStyle w:val="Compact"/>
              <w:jc w:val="left"/>
            </w:pPr>
            <w:r>
              <w:t xml:space="preserve">Licence</w:t>
            </w:r>
          </w:p>
        </w:tc>
        <w:tc>
          <w:tcPr/>
          <w:p>
            <w:pPr>
              <w:pStyle w:val="Compact"/>
              <w:jc w:val="left"/>
            </w:pPr>
            <w:r>
              <w:t xml:space="preserve">Open source, MIT (framework). LangSmith (Observability, Evaluation, Deployment) is proprietary SaaS / self-hosted enterprise software</w:t>
            </w:r>
          </w:p>
        </w:tc>
        <w:tc>
          <w:tcPr/>
          <w:p>
            <w:pPr>
              <w:pStyle w:val="Compact"/>
              <w:jc w:val="left"/>
            </w:pPr>
            <w:r>
              <w:t xml:space="preserve">Verified fact</w:t>
            </w:r>
          </w:p>
        </w:tc>
        <w:tc>
          <w:tcPr/>
          <w:p>
            <w:pPr>
              <w:pStyle w:val="Compact"/>
              <w:jc w:val="left"/>
            </w:pPr>
            <w:r>
              <w:t xml:space="preserve">A4-S001, A4-S026, A4-S036</w:t>
            </w:r>
          </w:p>
        </w:tc>
      </w:tr>
      <w:tr>
        <w:tc>
          <w:tcPr/>
          <w:p>
            <w:pPr>
              <w:pStyle w:val="Compact"/>
              <w:jc w:val="left"/>
            </w:pPr>
            <w:r>
              <w:t xml:space="preserve">Status events</w:t>
            </w:r>
          </w:p>
        </w:tc>
        <w:tc>
          <w:tcPr/>
          <w:p>
            <w:pPr>
              <w:pStyle w:val="Compact"/>
              <w:jc w:val="left"/>
            </w:pPr>
            <w:r>
              <w:t xml:space="preserve">14 October 2025: LangGraph Platform renamed LangSmith Deployment; LangGraph Studio renamed LangSmith Studio; 17 October 2025: LangGraph 1.0.0 GA on PyPI; 1 October 2026: existing LangSmith Deployment customers move from per-run/uptime pricing to usage-based LSU pricing</w:t>
            </w:r>
          </w:p>
        </w:tc>
        <w:tc>
          <w:tcPr/>
          <w:p>
            <w:pPr>
              <w:pStyle w:val="Compact"/>
              <w:jc w:val="left"/>
            </w:pPr>
            <w:r>
              <w:t xml:space="preserve">Verified fact</w:t>
            </w:r>
          </w:p>
        </w:tc>
        <w:tc>
          <w:tcPr/>
          <w:p>
            <w:pPr>
              <w:pStyle w:val="Compact"/>
              <w:jc w:val="left"/>
            </w:pPr>
            <w:r>
              <w:t xml:space="preserve">A4-S031, A4-S001, A4-S036, V1-S056</w:t>
            </w:r>
          </w:p>
        </w:tc>
      </w:tr>
      <w:tr>
        <w:tc>
          <w:tcPr/>
          <w:p>
            <w:pPr>
              <w:pStyle w:val="Compact"/>
              <w:jc w:val="left"/>
            </w:pPr>
            <w:r>
              <w:t xml:space="preserve">Strategic direction</w:t>
            </w:r>
          </w:p>
        </w:tc>
        <w:tc>
          <w:tcPr/>
          <w:p>
            <w:pPr>
              <w:pStyle w:val="Compact"/>
              <w:jc w:val="left"/>
            </w:pPr>
            <w:r>
              <w:t xml:space="preserve">LangGraph 1.0 positioned as</w:t>
            </w:r>
            <w:r>
              <w:t xml:space="preserve"> </w:t>
            </w:r>
            <w:r>
              <w:t xml:space="preserve">‘</w:t>
            </w:r>
            <w:r>
              <w:t xml:space="preserve">the first stable major release in the durable agent framework space</w:t>
            </w:r>
            <w:r>
              <w:t xml:space="preserve">’</w:t>
            </w:r>
            <w:r>
              <w:t xml:space="preserve"> </w:t>
            </w:r>
            <w:r>
              <w:t xml:space="preserve">with no breaking changes until 2.0; LangChain 1.0 create_agent runs on the LangGraph runtime; Deep Agents harness built on LangGraph. Interrupt 2026 (13-14 May 2026) launched LangSmith Engine, Managed Deep Agents, SmithDB, Context Hub, an LLM Gateway and Sandboxes GA; Agent Builder rebranded LangSmith Fleet (March 2026)</w:t>
            </w:r>
          </w:p>
        </w:tc>
        <w:tc>
          <w:tcPr/>
          <w:p>
            <w:pPr>
              <w:pStyle w:val="Compact"/>
              <w:jc w:val="left"/>
            </w:pPr>
            <w:r>
              <w:t xml:space="preserve">Verified fact</w:t>
            </w:r>
          </w:p>
        </w:tc>
        <w:tc>
          <w:tcPr/>
          <w:p>
            <w:pPr>
              <w:pStyle w:val="Compact"/>
              <w:jc w:val="left"/>
            </w:pPr>
            <w:r>
              <w:t xml:space="preserve">A4-S033, A4-S118, A4-S040</w:t>
            </w:r>
          </w:p>
        </w:tc>
      </w:tr>
      <w:tr>
        <w:tc>
          <w:tcPr/>
          <w:p>
            <w:pPr>
              <w:pStyle w:val="Compact"/>
              <w:jc w:val="left"/>
            </w:pPr>
            <w:r>
              <w:t xml:space="preserve">What it does</w:t>
            </w:r>
          </w:p>
        </w:tc>
        <w:tc>
          <w:tcPr/>
          <w:p>
            <w:pPr>
              <w:pStyle w:val="Compact"/>
              <w:jc w:val="left"/>
            </w:pPr>
            <w:r>
              <w:t xml:space="preserve">Provides low-level infrastructure for long-running, stateful workflows or agents: durable execution that resumes from where it left off, human-in-the-loop via interrupts, short- and long-term memory, streaming, and deployment through LangSmith. Deterministic code and LLM-driven decisions can be combined in one graph; a Functional API (</w:t>
            </w:r>
            <w:r>
              <w:t xml:space="preserve">@entrypoint</w:t>
            </w:r>
            <w:r>
              <w:t xml:space="preserve">/</w:t>
            </w:r>
            <w:r>
              <w:t xml:space="preserve">@task</w:t>
            </w:r>
            <w:r>
              <w:t xml:space="preserve">) offers a workflow style.</w:t>
            </w:r>
          </w:p>
        </w:tc>
        <w:tc>
          <w:tcPr/>
          <w:p>
            <w:pPr>
              <w:pStyle w:val="Compact"/>
              <w:jc w:val="left"/>
            </w:pPr>
            <w:r>
              <w:t xml:space="preserve">Verified fact</w:t>
            </w:r>
          </w:p>
        </w:tc>
        <w:tc>
          <w:tcPr/>
          <w:p>
            <w:pPr>
              <w:pStyle w:val="Compact"/>
              <w:jc w:val="left"/>
            </w:pPr>
            <w:r>
              <w:t xml:space="preserve">A4-S118, A4-S039</w:t>
            </w:r>
          </w:p>
        </w:tc>
      </w:tr>
      <w:tr>
        <w:tc>
          <w:tcPr/>
          <w:p>
            <w:pPr>
              <w:pStyle w:val="Compact"/>
              <w:jc w:val="left"/>
            </w:pPr>
            <w:r>
              <w:t xml:space="preserve">Stack position</w:t>
            </w:r>
          </w:p>
        </w:tc>
        <w:tc>
          <w:tcPr/>
          <w:p>
            <w:pPr>
              <w:pStyle w:val="Compact"/>
              <w:jc w:val="left"/>
            </w:pPr>
            <w:r>
              <w:t xml:space="preserve">Agent orchestration runtime (L3). LangSmith Deployment is a separate agent-hosting runtime; LangSmith Observability/Evaluation sit in L9. The graphic’s label</w:t>
            </w:r>
            <w:r>
              <w:t xml:space="preserve"> </w:t>
            </w:r>
            <w:r>
              <w:t xml:space="preserve">‘</w:t>
            </w:r>
            <w:r>
              <w:t xml:space="preserve">workflow</w:t>
            </w:r>
            <w:r>
              <w:t xml:space="preserve">’</w:t>
            </w:r>
            <w:r>
              <w:t xml:space="preserve"> </w:t>
            </w:r>
            <w:r>
              <w:t xml:space="preserve">captures only part of its role: LangGraph covers both deterministic workflows and agent loops.</w:t>
            </w:r>
          </w:p>
        </w:tc>
        <w:tc>
          <w:tcPr/>
          <w:p>
            <w:pPr>
              <w:pStyle w:val="Compact"/>
              <w:jc w:val="left"/>
            </w:pPr>
            <w:r>
              <w:t xml:space="preserve">Verified fact</w:t>
            </w:r>
          </w:p>
        </w:tc>
        <w:tc>
          <w:tcPr/>
          <w:p>
            <w:pPr>
              <w:pStyle w:val="Compact"/>
              <w:jc w:val="left"/>
            </w:pPr>
            <w:r>
              <w:t xml:space="preserve">A4-S039, A4-S031</w:t>
            </w:r>
          </w:p>
        </w:tc>
      </w:tr>
      <w:tr>
        <w:tc>
          <w:tcPr/>
          <w:p>
            <w:pPr>
              <w:pStyle w:val="Compact"/>
              <w:jc w:val="left"/>
            </w:pPr>
            <w:r>
              <w:t xml:space="preserve">Integration</w:t>
            </w:r>
          </w:p>
        </w:tc>
        <w:tc>
          <w:tcPr/>
          <w:p>
            <w:pPr>
              <w:pStyle w:val="Compact"/>
              <w:jc w:val="left"/>
            </w:pPr>
            <w:r>
              <w:t xml:space="preserve">Python and JS/TS libraries; LangGraph SDK / Agent Server API for deployed graphs; LangChain model and tool integrations; tracing to LangSmith</w:t>
            </w:r>
          </w:p>
        </w:tc>
        <w:tc>
          <w:tcPr/>
          <w:p>
            <w:pPr>
              <w:pStyle w:val="Compact"/>
              <w:jc w:val="left"/>
            </w:pPr>
            <w:r>
              <w:t xml:space="preserve">Verified fact</w:t>
            </w:r>
          </w:p>
        </w:tc>
        <w:tc>
          <w:tcPr/>
          <w:p>
            <w:pPr>
              <w:pStyle w:val="Compact"/>
              <w:jc w:val="left"/>
            </w:pPr>
            <w:r>
              <w:t xml:space="preserve">A4-S118, A4-S037</w:t>
            </w:r>
          </w:p>
        </w:tc>
      </w:tr>
      <w:tr>
        <w:tc>
          <w:tcPr/>
          <w:p>
            <w:pPr>
              <w:pStyle w:val="Compact"/>
              <w:jc w:val="left"/>
            </w:pPr>
            <w:r>
              <w:t xml:space="preserve">Dependencies</w:t>
            </w:r>
          </w:p>
        </w:tc>
        <w:tc>
          <w:tcPr/>
          <w:p>
            <w:pPr>
              <w:pStyle w:val="Compact"/>
              <w:jc w:val="left"/>
            </w:pPr>
            <w:r>
              <w:t xml:space="preserve">Python &gt;=3.10 (or JS/TS); checkpointer backend for persistence (durable, database-backed checkpointer recommended in production, e.g. Postgres via langgraph-checkpoint-postgres); LangSmith for deployment/observability (optional); any LLM provider via LangChain integrations</w:t>
            </w:r>
          </w:p>
        </w:tc>
        <w:tc>
          <w:tcPr/>
          <w:p>
            <w:pPr>
              <w:pStyle w:val="Compact"/>
              <w:jc w:val="left"/>
            </w:pPr>
            <w:r>
              <w:t xml:space="preserve">Verified fact</w:t>
            </w:r>
          </w:p>
        </w:tc>
        <w:tc>
          <w:tcPr/>
          <w:p>
            <w:pPr>
              <w:pStyle w:val="Compact"/>
              <w:jc w:val="left"/>
            </w:pPr>
            <w:r>
              <w:t xml:space="preserve">A4-S001, A4-S039</w:t>
            </w:r>
          </w:p>
        </w:tc>
      </w:tr>
      <w:tr>
        <w:tc>
          <w:tcPr/>
          <w:p>
            <w:pPr>
              <w:pStyle w:val="Compact"/>
              <w:jc w:val="left"/>
            </w:pPr>
            <w:r>
              <w:t xml:space="preserve">Certifications</w:t>
            </w:r>
          </w:p>
        </w:tc>
        <w:tc>
          <w:tcPr/>
          <w:p>
            <w:pPr>
              <w:pStyle w:val="Compact"/>
              <w:jc w:val="left"/>
            </w:pPr>
            <w:r>
              <w:t xml:space="preserve">LangSmith: SOC 2 Type II and HIPAA (BAA on Enterprise) consistently stated; ISO 27001 stated only on the enterprise marketing page and LangSmith Engine security docs (</w:t>
            </w:r>
            <w:r>
              <w:t xml:space="preserve">‘</w:t>
            </w:r>
            <w:r>
              <w:t xml:space="preserve">certified to ISO 27001</w:t>
            </w:r>
            <w:r>
              <w:t xml:space="preserve">’</w:t>
            </w:r>
            <w:r>
              <w:t xml:space="preserve">), while LangSmith enterprise/shared-responsibility docs and the EU-residency announcement omit it and the trust-centre listing seen does not name it. Treat ISO 27001 as claimed, scope unconfirmed. Not applicable to the OSS library.</w:t>
            </w:r>
          </w:p>
        </w:tc>
        <w:tc>
          <w:tcPr/>
          <w:p>
            <w:pPr>
              <w:pStyle w:val="Compact"/>
              <w:jc w:val="left"/>
            </w:pPr>
            <w:r>
              <w:t xml:space="preserve">Verified fact</w:t>
            </w:r>
          </w:p>
        </w:tc>
        <w:tc>
          <w:tcPr/>
          <w:p>
            <w:pPr>
              <w:pStyle w:val="Compact"/>
              <w:jc w:val="left"/>
            </w:pPr>
            <w:r>
              <w:t xml:space="preserve">A4-S034, A4-S035, A4-S149</w:t>
            </w:r>
          </w:p>
        </w:tc>
      </w:tr>
      <w:tr>
        <w:tc>
          <w:tcPr/>
          <w:p>
            <w:pPr>
              <w:pStyle w:val="Compact"/>
              <w:jc w:val="left"/>
            </w:pPr>
            <w:r>
              <w:t xml:space="preserve">GDPR / residency</w:t>
            </w:r>
          </w:p>
        </w:tc>
        <w:tc>
          <w:tcPr/>
          <w:p>
            <w:pPr>
              <w:pStyle w:val="Compact"/>
              <w:jc w:val="left"/>
            </w:pPr>
            <w:r>
              <w:t xml:space="preserve">LangSmith regional instances: GCP EU (eu.smith.langchain.com), GCP US, GCP APAC, AWS US; available on all plans; region migration not supported; no EU legal entity for contracting; DPA on request</w:t>
            </w:r>
          </w:p>
        </w:tc>
        <w:tc>
          <w:tcPr/>
          <w:p>
            <w:pPr>
              <w:pStyle w:val="Compact"/>
              <w:jc w:val="left"/>
            </w:pPr>
            <w:r>
              <w:t xml:space="preserve">Verified fact</w:t>
            </w:r>
          </w:p>
        </w:tc>
        <w:tc>
          <w:tcPr/>
          <w:p>
            <w:pPr>
              <w:pStyle w:val="Compact"/>
              <w:jc w:val="left"/>
            </w:pPr>
            <w:r>
              <w:t xml:space="preserve">A4-S034</w:t>
            </w:r>
          </w:p>
        </w:tc>
      </w:tr>
      <w:tr>
        <w:tc>
          <w:tcPr/>
          <w:p>
            <w:pPr>
              <w:pStyle w:val="Compact"/>
              <w:jc w:val="left"/>
            </w:pPr>
            <w:r>
              <w:t xml:space="preserve">Security features</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Access controls</w:t>
            </w:r>
          </w:p>
        </w:tc>
        <w:tc>
          <w:tcPr/>
          <w:p>
            <w:pPr>
              <w:pStyle w:val="Compact"/>
              <w:jc w:val="left"/>
            </w:pPr>
            <w:r>
              <w:t xml:space="preserve">LangSmith Enterprise: SAML 2.0 / OIDC SSO with JIT provisioning, SCIM 2.0, workspace RBAC with custom roles; self-hosted v0.14: ABAC and audit logs (OCSF 1.7.0) enabled by default</w:t>
            </w:r>
          </w:p>
        </w:tc>
        <w:tc>
          <w:tcPr/>
          <w:p>
            <w:pPr>
              <w:pStyle w:val="Compact"/>
              <w:jc w:val="left"/>
            </w:pPr>
            <w:r>
              <w:t xml:space="preserve">Verified fact</w:t>
            </w:r>
          </w:p>
        </w:tc>
        <w:tc>
          <w:tcPr/>
          <w:p>
            <w:pPr>
              <w:pStyle w:val="Compact"/>
              <w:jc w:val="left"/>
            </w:pPr>
            <w:r>
              <w:t xml:space="preserve">A4-S038</w:t>
            </w:r>
          </w:p>
        </w:tc>
      </w:tr>
      <w:tr>
        <w:tc>
          <w:tcPr/>
          <w:p>
            <w:pPr>
              <w:pStyle w:val="Compact"/>
              <w:jc w:val="left"/>
            </w:pPr>
            <w:r>
              <w:t xml:space="preserve">Enterprise support</w:t>
            </w:r>
          </w:p>
        </w:tc>
        <w:tc>
          <w:tcPr/>
          <w:p>
            <w:pPr>
              <w:pStyle w:val="Compact"/>
              <w:jc w:val="left"/>
            </w:pPr>
            <w:r>
              <w:t xml:space="preserve">LangSmith Enterprise plan (custom pricing, invoiced annually upfront)</w:t>
            </w:r>
          </w:p>
        </w:tc>
        <w:tc>
          <w:tcPr/>
          <w:p>
            <w:pPr>
              <w:pStyle w:val="Compact"/>
              <w:jc w:val="left"/>
            </w:pPr>
            <w:r>
              <w:t xml:space="preserve">Verified fact</w:t>
            </w:r>
          </w:p>
        </w:tc>
        <w:tc>
          <w:tcPr/>
          <w:p>
            <w:pPr>
              <w:pStyle w:val="Compact"/>
              <w:jc w:val="left"/>
            </w:pPr>
            <w:r>
              <w:t xml:space="preserve">A4-S036</w:t>
            </w:r>
          </w:p>
        </w:tc>
      </w:tr>
      <w:tr>
        <w:tc>
          <w:tcPr/>
          <w:p>
            <w:pPr>
              <w:pStyle w:val="Compact"/>
              <w:jc w:val="left"/>
            </w:pPr>
            <w:r>
              <w:t xml:space="preserve">Pricing</w:t>
            </w:r>
          </w:p>
        </w:tc>
        <w:tc>
          <w:tcPr/>
          <w:p>
            <w:pPr>
              <w:pStyle w:val="Compact"/>
              <w:jc w:val="left"/>
            </w:pPr>
            <w:r>
              <w:t xml:space="preserve">LangGraph OSS free (MIT). LangSmith Plus US$39 per seat per month (10k base traces/month then pay-as-you-go; 1 free small serverless deployment); Enterprise custom. Deployment billed on resources consumed in LangChain Standard Units (LSU), replacing per-run/uptime pricing (pricing page shows 1 LSU = US$1 in the Engine section)</w:t>
            </w:r>
          </w:p>
        </w:tc>
        <w:tc>
          <w:tcPr/>
          <w:p>
            <w:pPr>
              <w:pStyle w:val="Compact"/>
              <w:jc w:val="left"/>
            </w:pPr>
            <w:r>
              <w:t xml:space="preserve">Verified fact</w:t>
            </w:r>
          </w:p>
        </w:tc>
        <w:tc>
          <w:tcPr/>
          <w:p>
            <w:pPr>
              <w:pStyle w:val="Compact"/>
              <w:jc w:val="left"/>
            </w:pPr>
            <w:r>
              <w:t xml:space="preserve">A4-S036</w:t>
            </w:r>
          </w:p>
        </w:tc>
      </w:tr>
      <w:tr>
        <w:tc>
          <w:tcPr/>
          <w:p>
            <w:pPr>
              <w:pStyle w:val="Compact"/>
              <w:jc w:val="left"/>
            </w:pPr>
            <w:r>
              <w:t xml:space="preserve">Infrastructure cost</w:t>
            </w:r>
          </w:p>
        </w:tc>
        <w:tc>
          <w:tcPr/>
          <w:p>
            <w:pPr>
              <w:pStyle w:val="Compact"/>
              <w:jc w:val="left"/>
            </w:pPr>
            <w:r>
              <w:t xml:space="preserve">Self-hosting requires a durable checkpointer database; self-hosted LangSmith Deployment runs control plane and Agent Servers on customer Kubernetes</w:t>
            </w:r>
          </w:p>
        </w:tc>
        <w:tc>
          <w:tcPr/>
          <w:p>
            <w:pPr>
              <w:pStyle w:val="Compact"/>
              <w:jc w:val="left"/>
            </w:pPr>
            <w:r>
              <w:t xml:space="preserve">Verified fact</w:t>
            </w:r>
          </w:p>
        </w:tc>
        <w:tc>
          <w:tcPr/>
          <w:p>
            <w:pPr>
              <w:pStyle w:val="Compact"/>
              <w:jc w:val="left"/>
            </w:pPr>
            <w:r>
              <w:t xml:space="preserve">A4-S039, A4-S037</w:t>
            </w:r>
          </w:p>
        </w:tc>
      </w:tr>
      <w:tr>
        <w:tc>
          <w:tcPr/>
          <w:p>
            <w:pPr>
              <w:pStyle w:val="Compact"/>
              <w:jc w:val="left"/>
            </w:pPr>
            <w:r>
              <w:t xml:space="preserve">Ecosystem</w:t>
            </w:r>
          </w:p>
        </w:tc>
        <w:tc>
          <w:tcPr/>
          <w:p>
            <w:pPr>
              <w:pStyle w:val="Compact"/>
              <w:jc w:val="left"/>
            </w:pPr>
            <w:r>
              <w:t xml:space="preserve">LangChain integrations; Deep Agents; LangSmith; JS/TS port (LangGraph.js); NVIDIA Dynamo publishes a LangChain integration</w:t>
            </w:r>
          </w:p>
        </w:tc>
        <w:tc>
          <w:tcPr/>
          <w:p>
            <w:pPr>
              <w:pStyle w:val="Compact"/>
              <w:jc w:val="left"/>
            </w:pPr>
            <w:r>
              <w:t xml:space="preserve">Verified fact</w:t>
            </w:r>
          </w:p>
        </w:tc>
        <w:tc>
          <w:tcPr/>
          <w:p>
            <w:pPr>
              <w:pStyle w:val="Compact"/>
              <w:jc w:val="left"/>
            </w:pPr>
            <w:r>
              <w:t xml:space="preserve">A4-S118, A4-S026, A4-S098</w:t>
            </w:r>
          </w:p>
        </w:tc>
      </w:tr>
      <w:tr>
        <w:tc>
          <w:tcPr/>
          <w:p>
            <w:pPr>
              <w:pStyle w:val="Compact"/>
              <w:jc w:val="left"/>
            </w:pPr>
            <w:r>
              <w:t xml:space="preserve">Adoption signals</w:t>
            </w:r>
          </w:p>
        </w:tc>
        <w:tc>
          <w:tcPr/>
          <w:p>
            <w:pPr>
              <w:pStyle w:val="Compact"/>
              <w:jc w:val="left"/>
            </w:pPr>
            <w:r>
              <w:t xml:space="preserve">README names Klarna, Replit and Elastic; LangChain raised US$125M at US$1.25B valuation (IVP lead) alongside the 1.0 releases (October 2025)</w:t>
            </w:r>
          </w:p>
        </w:tc>
        <w:tc>
          <w:tcPr/>
          <w:p>
            <w:pPr>
              <w:pStyle w:val="Compact"/>
              <w:jc w:val="left"/>
            </w:pPr>
            <w:r>
              <w:t xml:space="preserve">Verified fact</w:t>
            </w:r>
          </w:p>
        </w:tc>
        <w:tc>
          <w:tcPr/>
          <w:p>
            <w:pPr>
              <w:pStyle w:val="Compact"/>
              <w:jc w:val="left"/>
            </w:pPr>
            <w:r>
              <w:t xml:space="preserve">A4-S118, A4-S032</w:t>
            </w:r>
          </w:p>
        </w:tc>
      </w:tr>
      <w:tr>
        <w:tc>
          <w:tcPr/>
          <w:p>
            <w:pPr>
              <w:pStyle w:val="Compact"/>
              <w:jc w:val="left"/>
            </w:pPr>
            <w:r>
              <w:t xml:space="preserve">Maturity</w:t>
            </w:r>
          </w:p>
        </w:tc>
        <w:tc>
          <w:tcPr/>
          <w:p>
            <w:pPr>
              <w:pStyle w:val="Compact"/>
              <w:jc w:val="left"/>
            </w:pPr>
            <w:r>
              <w:t xml:space="preserve">First PyPI release 8 January 2024; 1.0 GA October 2025 (Development Status: Production/Stable); frequent releases (1.2.14 on 6 October 2026)</w:t>
            </w:r>
          </w:p>
        </w:tc>
        <w:tc>
          <w:tcPr/>
          <w:p>
            <w:pPr>
              <w:pStyle w:val="Compact"/>
              <w:jc w:val="left"/>
            </w:pPr>
            <w:r>
              <w:t xml:space="preserve">Verified fact</w:t>
            </w:r>
          </w:p>
        </w:tc>
        <w:tc>
          <w:tcPr/>
          <w:p>
            <w:pPr>
              <w:pStyle w:val="Compact"/>
              <w:jc w:val="left"/>
            </w:pPr>
            <w:r>
              <w:t xml:space="preserve">A4-S001</w:t>
            </w:r>
          </w:p>
        </w:tc>
      </w:tr>
      <w:tr>
        <w:tc>
          <w:tcPr/>
          <w:p>
            <w:pPr>
              <w:pStyle w:val="Compact"/>
              <w:jc w:val="left"/>
            </w:pPr>
            <w:r>
              <w:t xml:space="preserve">Deployment</w:t>
            </w:r>
          </w:p>
        </w:tc>
        <w:tc>
          <w:tcPr/>
          <w:p>
            <w:pPr>
              <w:pStyle w:val="Compact"/>
              <w:jc w:val="left"/>
            </w:pPr>
            <w:r>
              <w:t xml:space="preserve">saas: Yes (LangSmith Deployment cloud; Plus plan or above); managed_cloud: Yes (LangSmith Deployment managed cloud); vpc_byoc: Yes (BYOC and hybrid: data plane in customer VPC; Enterprise plan); private_cloud: Yes (self-hosted LangSmith with Deployment control plane on Kubernetes; Enterprise plan); self_hosted: Yes (open-source library runs anywhere; full self-hosted platform requires Enterprise plan); on_prem: Yes (self-hosted Kubernetes deployment of LangSmith; Enterprise)</w:t>
            </w:r>
          </w:p>
        </w:tc>
        <w:tc>
          <w:tcPr/>
          <w:p>
            <w:pPr>
              <w:pStyle w:val="Compact"/>
            </w:pPr>
          </w:p>
        </w:tc>
        <w:tc>
          <w:tcPr/>
          <w:p>
            <w:pPr>
              <w:pStyle w:val="Compact"/>
            </w:pPr>
          </w:p>
        </w:tc>
      </w:tr>
    </w:tbl>
    <w:bookmarkEnd w:id="1043"/>
    <w:bookmarkStart w:id="1065" w:name="X57e40bee0419e2997a36ff437cf5ad34afc9cca"/>
    <w:p>
      <w:pPr>
        <w:pStyle w:val="Heading2"/>
      </w:pPr>
      <w:r>
        <w:t xml:space="preserve">Temporal (durable execution platform; Python SDK temporalio) (</w:t>
      </w:r>
      <w:r>
        <w:rPr>
          <w:rStyle w:val="VerbatimChar"/>
        </w:rPr>
        <w:t xml:space="preserve">L3-temporal</w:t>
      </w:r>
      <w:r>
        <w:t xml:space="preserve">)</w:t>
      </w:r>
    </w:p>
    <w:p>
      <w:pPr>
        <w:pStyle w:val="FirstParagraph"/>
      </w:pPr>
      <w:r>
        <w:rPr>
          <w:bCs/>
          <w:b/>
        </w:rPr>
        <w:t xml:space="preserve">Tier:</w:t>
      </w:r>
      <w:r>
        <w:t xml:space="preserve"> </w:t>
      </w:r>
      <w:r>
        <w:t xml:space="preserve">Strategic ·</w:t>
      </w:r>
      <w:r>
        <w:t xml:space="preserve"> </w:t>
      </w:r>
      <w:r>
        <w:rPr>
          <w:bCs/>
          <w:b/>
        </w:rPr>
        <w:t xml:space="preserve">Flags:</w:t>
      </w:r>
      <w:r>
        <w:t xml:space="preserve"> </w:t>
      </w:r>
      <w:r>
        <w:t xml:space="preserve">none ·</w:t>
      </w:r>
      <w:r>
        <w:t xml:space="preserve"> </w:t>
      </w:r>
      <w:r>
        <w:rPr>
          <w:bCs/>
          <w:b/>
        </w:rPr>
        <w:t xml:space="preserve">Original graphic label:</w:t>
      </w:r>
      <w:r>
        <w:t xml:space="preserve"> </w:t>
      </w:r>
      <w:r>
        <w:t xml:space="preserve">not in graphic</w:t>
      </w:r>
    </w:p>
    <w:p>
      <w:pPr>
        <w:pStyle w:val="BodyText"/>
      </w:pPr>
      <w:r>
        <w:rPr>
          <w:iCs/>
          <w:i/>
        </w:rPr>
        <w:t xml:space="preserve">Rationale:</w:t>
      </w:r>
      <w:r>
        <w:t xml:space="preserve"> </w:t>
      </w:r>
      <w:r>
        <w:t xml:space="preserve">Strategic as the durable-execution substrate under deterministic workflows; independent of model vendors.</w:t>
      </w:r>
    </w:p>
    <w:tbl>
      <w:tblPr>
        <w:tblStyle w:val="Table"/>
        <w:tblW w:type="pct" w:w="5000"/>
        <w:tblLook w:firstRow="1" w:lastRow="0" w:firstColumn="0" w:lastColumn="0" w:noHBand="0" w:noVBand="0" w:val="0020"/>
        <w:jc w:val="start"/>
      </w:tblPr>
      <w:tblGrid>
        <w:gridCol w:w="1545"/>
        <w:gridCol w:w="579"/>
        <w:gridCol w:w="5795"/>
      </w:tblGrid>
      <w:tr>
        <w:trPr>
          <w:tblHeader w:val="true"/>
        </w:trPr>
        <w:tc>
          <w:tcPr/>
          <w:p>
            <w:pPr>
              <w:pStyle w:val="Compact"/>
              <w:jc w:val="left"/>
            </w:pPr>
            <w:r>
              <w:t xml:space="preserve">Criterion</w:t>
            </w:r>
          </w:p>
        </w:tc>
        <w:tc>
          <w:tcPr/>
          <w:p>
            <w:pPr>
              <w:pStyle w:val="Compact"/>
              <w:jc w:val="right"/>
            </w:pPr>
            <w:r>
              <w:t xml:space="preserve">Score</w:t>
            </w:r>
          </w:p>
        </w:tc>
        <w:tc>
          <w:tcPr/>
          <w:p>
            <w:pPr>
              <w:pStyle w:val="Compact"/>
              <w:jc w:val="left"/>
            </w:pPr>
            <w:r>
              <w:t xml:space="preserve">Rationale</w:t>
            </w:r>
          </w:p>
        </w:tc>
      </w:tr>
      <w:tr>
        <w:tc>
          <w:tcPr/>
          <w:p>
            <w:pPr>
              <w:pStyle w:val="Compact"/>
              <w:jc w:val="left"/>
            </w:pPr>
            <w:r>
              <w:t xml:space="preserve">Technical</w:t>
            </w:r>
          </w:p>
        </w:tc>
        <w:tc>
          <w:tcPr/>
          <w:p>
            <w:pPr>
              <w:pStyle w:val="Compact"/>
              <w:jc w:val="right"/>
            </w:pPr>
            <w:r>
              <w:t xml:space="preserve">4</w:t>
            </w:r>
          </w:p>
        </w:tc>
        <w:tc>
          <w:tcPr/>
          <w:p>
            <w:pPr>
              <w:pStyle w:val="Compact"/>
              <w:jc w:val="left"/>
            </w:pPr>
            <w:r>
              <w:t xml:space="preserve">Leading durability, retries and deterministic workflow semantics; no agent loop itself</w:t>
            </w:r>
            <w:r>
              <w:t xml:space="preserve"> </w:t>
            </w:r>
            <w:r>
              <w:rPr>
                <w:rStyle w:val="ClaimLabel"/>
              </w:rPr>
              <w:t xml:space="preserve">VF</w:t>
            </w:r>
            <w:r>
              <w:rPr>
                <w:rStyle w:val="FootnoteReference"/>
              </w:rPr>
              <w:footnoteReference w:id="1044"/>
            </w:r>
          </w:p>
        </w:tc>
      </w:tr>
      <w:tr>
        <w:tc>
          <w:tcPr/>
          <w:p>
            <w:pPr>
              <w:pStyle w:val="Compact"/>
              <w:jc w:val="left"/>
            </w:pPr>
            <w:r>
              <w:t xml:space="preserve">Enterprise readiness</w:t>
            </w:r>
          </w:p>
        </w:tc>
        <w:tc>
          <w:tcPr/>
          <w:p>
            <w:pPr>
              <w:pStyle w:val="Compact"/>
              <w:jc w:val="right"/>
            </w:pPr>
            <w:r>
              <w:t xml:space="preserve">4</w:t>
            </w:r>
          </w:p>
        </w:tc>
        <w:tc>
          <w:tcPr/>
          <w:p>
            <w:pPr>
              <w:pStyle w:val="Compact"/>
              <w:jc w:val="left"/>
            </w:pPr>
            <w:r>
              <w:t xml:space="preserve">SAML SSO, SCIM, roles and custom roles, audit logs, Cloud Ops API; SLA not verified</w:t>
            </w:r>
            <w:r>
              <w:t xml:space="preserve"> </w:t>
            </w:r>
            <w:r>
              <w:rPr>
                <w:rStyle w:val="ClaimLabel"/>
              </w:rPr>
              <w:t xml:space="preserve">VF</w:t>
            </w:r>
            <w:r>
              <w:rPr>
                <w:rStyle w:val="FootnoteReference"/>
              </w:rPr>
              <w:footnoteReference w:id="1047"/>
            </w:r>
          </w:p>
        </w:tc>
      </w:tr>
      <w:tr>
        <w:tc>
          <w:tcPr/>
          <w:p>
            <w:pPr>
              <w:pStyle w:val="Compact"/>
              <w:jc w:val="left"/>
            </w:pPr>
            <w:r>
              <w:t xml:space="preserve">Security and compliance</w:t>
            </w:r>
          </w:p>
        </w:tc>
        <w:tc>
          <w:tcPr/>
          <w:p>
            <w:pPr>
              <w:pStyle w:val="Compact"/>
              <w:jc w:val="right"/>
            </w:pPr>
            <w:r>
              <w:t xml:space="preserve">3</w:t>
            </w:r>
          </w:p>
        </w:tc>
        <w:tc>
          <w:tcPr/>
          <w:p>
            <w:pPr>
              <w:pStyle w:val="Compact"/>
              <w:jc w:val="left"/>
            </w:pPr>
            <w:r>
              <w:t xml:space="preserve">SOC 2 Type 2, HIPAA BAA, GDPR DPA, client-side encryption; no ISO 27001 found</w:t>
            </w:r>
            <w:r>
              <w:t xml:space="preserve"> </w:t>
            </w:r>
            <w:r>
              <w:rPr>
                <w:rStyle w:val="ClaimLabel"/>
              </w:rPr>
              <w:t xml:space="preserve">VF</w:t>
            </w:r>
            <w:r>
              <w:rPr>
                <w:rStyle w:val="FootnoteReference"/>
              </w:rPr>
              <w:footnoteReference w:id="1049"/>
            </w:r>
          </w:p>
        </w:tc>
      </w:tr>
      <w:tr>
        <w:tc>
          <w:tcPr/>
          <w:p>
            <w:pPr>
              <w:pStyle w:val="Compact"/>
              <w:jc w:val="left"/>
            </w:pPr>
            <w:r>
              <w:t xml:space="preserve">Deployment flexibility</w:t>
            </w:r>
          </w:p>
        </w:tc>
        <w:tc>
          <w:tcPr/>
          <w:p>
            <w:pPr>
              <w:pStyle w:val="Compact"/>
              <w:jc w:val="right"/>
            </w:pPr>
            <w:r>
              <w:t xml:space="preserve">5</w:t>
            </w:r>
          </w:p>
        </w:tc>
        <w:tc>
          <w:tcPr/>
          <w:p>
            <w:pPr>
              <w:pStyle w:val="Compact"/>
              <w:jc w:val="left"/>
            </w:pPr>
            <w:r>
              <w:t xml:space="preserve">Temporal Cloud on 14 AWS and 6 GCP regions incl. Europe; MIT self-host anywhere</w:t>
            </w:r>
            <w:r>
              <w:t xml:space="preserve"> </w:t>
            </w:r>
            <w:r>
              <w:rPr>
                <w:rStyle w:val="ClaimLabel"/>
              </w:rPr>
              <w:t xml:space="preserve">VF</w:t>
            </w:r>
            <w:r>
              <w:rPr>
                <w:rStyle w:val="FootnoteReference"/>
              </w:rPr>
              <w:footnoteReference w:id="1051"/>
            </w:r>
          </w:p>
        </w:tc>
      </w:tr>
      <w:tr>
        <w:tc>
          <w:tcPr/>
          <w:p>
            <w:pPr>
              <w:pStyle w:val="Compact"/>
              <w:jc w:val="left"/>
            </w:pPr>
            <w:r>
              <w:t xml:space="preserve">Ecosystem</w:t>
            </w:r>
          </w:p>
        </w:tc>
        <w:tc>
          <w:tcPr/>
          <w:p>
            <w:pPr>
              <w:pStyle w:val="Compact"/>
              <w:jc w:val="right"/>
            </w:pPr>
            <w:r>
              <w:t xml:space="preserve">4</w:t>
            </w:r>
          </w:p>
        </w:tc>
        <w:tc>
          <w:tcPr/>
          <w:p>
            <w:pPr>
              <w:pStyle w:val="Compact"/>
              <w:jc w:val="left"/>
            </w:pPr>
            <w:r>
              <w:t xml:space="preserve">Built into Pydantic AI, OpenAI Agents SDK, Mistral Workflows</w:t>
            </w:r>
            <w:r>
              <w:t xml:space="preserve"> </w:t>
            </w:r>
            <w:r>
              <w:rPr>
                <w:rStyle w:val="ClaimLabel"/>
              </w:rPr>
              <w:t xml:space="preserve">VF</w:t>
            </w:r>
            <w:r>
              <w:rPr>
                <w:rStyle w:val="FootnoteReference"/>
              </w:rPr>
              <w:footnoteReference w:id="1053"/>
            </w:r>
          </w:p>
        </w:tc>
      </w:tr>
      <w:tr>
        <w:tc>
          <w:tcPr/>
          <w:p>
            <w:pPr>
              <w:pStyle w:val="Compact"/>
              <w:jc w:val="left"/>
            </w:pPr>
            <w:r>
              <w:t xml:space="preserve">Reliability and maturity</w:t>
            </w:r>
          </w:p>
        </w:tc>
        <w:tc>
          <w:tcPr/>
          <w:p>
            <w:pPr>
              <w:pStyle w:val="Compact"/>
              <w:jc w:val="right"/>
            </w:pPr>
            <w:r>
              <w:t xml:space="preserve">4</w:t>
            </w:r>
          </w:p>
        </w:tc>
        <w:tc>
          <w:tcPr/>
          <w:p>
            <w:pPr>
              <w:pStyle w:val="Compact"/>
              <w:jc w:val="left"/>
            </w:pPr>
            <w:r>
              <w:t xml:space="preserve">Python SDK since March 2022; long-established</w:t>
            </w:r>
            <w:r>
              <w:t xml:space="preserve"> </w:t>
            </w:r>
            <w:r>
              <w:rPr>
                <w:rStyle w:val="ClaimLabel"/>
              </w:rPr>
              <w:t xml:space="preserve">VF</w:t>
            </w:r>
            <w:r>
              <w:rPr>
                <w:rStyle w:val="FootnoteReference"/>
              </w:rPr>
              <w:footnoteReference w:id="1056"/>
            </w:r>
          </w:p>
        </w:tc>
      </w:tr>
      <w:tr>
        <w:tc>
          <w:tcPr/>
          <w:p>
            <w:pPr>
              <w:pStyle w:val="Compact"/>
              <w:jc w:val="left"/>
            </w:pPr>
            <w:r>
              <w:t xml:space="preserve">Cost / TCO</w:t>
            </w:r>
          </w:p>
        </w:tc>
        <w:tc>
          <w:tcPr/>
          <w:p>
            <w:pPr>
              <w:pStyle w:val="Compact"/>
              <w:jc w:val="right"/>
            </w:pPr>
            <w:r>
              <w:t xml:space="preserve">3</w:t>
            </w:r>
          </w:p>
        </w:tc>
        <w:tc>
          <w:tcPr/>
          <w:p>
            <w:pPr>
              <w:pStyle w:val="Compact"/>
              <w:jc w:val="left"/>
            </w:pPr>
            <w:r>
              <w:t xml:space="preserve">Cloud pricing not verified; self-host operations heavy</w:t>
            </w:r>
            <w:r>
              <w:t xml:space="preserve"> </w:t>
            </w:r>
            <w:r>
              <w:rPr>
                <w:rStyle w:val="ClaimLabel"/>
              </w:rPr>
              <w:t xml:space="preserve">NPV</w:t>
            </w:r>
            <w:r>
              <w:t xml:space="preserve"> </w:t>
            </w:r>
            <w:r>
              <w:rPr>
                <w:rStyle w:val="ClaimLabel"/>
              </w:rPr>
              <w:t xml:space="preserve">VF</w:t>
            </w:r>
            <w:r>
              <w:rPr>
                <w:rStyle w:val="FootnoteReference"/>
              </w:rPr>
              <w:footnoteReference w:id="1057"/>
            </w:r>
          </w:p>
        </w:tc>
      </w:tr>
      <w:tr>
        <w:tc>
          <w:tcPr/>
          <w:p>
            <w:pPr>
              <w:pStyle w:val="Compact"/>
              <w:jc w:val="left"/>
            </w:pPr>
            <w:r>
              <w:t xml:space="preserve">Lock-in / portability</w:t>
            </w:r>
          </w:p>
        </w:tc>
        <w:tc>
          <w:tcPr/>
          <w:p>
            <w:pPr>
              <w:pStyle w:val="Compact"/>
              <w:jc w:val="right"/>
            </w:pPr>
            <w:r>
              <w:t xml:space="preserve">4</w:t>
            </w:r>
          </w:p>
        </w:tc>
        <w:tc>
          <w:tcPr/>
          <w:p>
            <w:pPr>
              <w:pStyle w:val="Compact"/>
              <w:jc w:val="left"/>
            </w:pPr>
            <w:r>
              <w:t xml:space="preserve">MIT server; portable between self-host and Cloud; code is Temporal-specific</w:t>
            </w:r>
            <w:r>
              <w:t xml:space="preserve"> </w:t>
            </w:r>
            <w:r>
              <w:rPr>
                <w:rStyle w:val="ClaimLabel"/>
              </w:rPr>
              <w:t xml:space="preserve">VF</w:t>
            </w:r>
            <w:r>
              <w:rPr>
                <w:rStyle w:val="FootnoteReference"/>
              </w:rPr>
              <w:footnoteReference w:id="1058"/>
            </w:r>
          </w:p>
        </w:tc>
      </w:tr>
      <w:tr>
        <w:tc>
          <w:tcPr/>
          <w:p>
            <w:pPr>
              <w:pStyle w:val="Compact"/>
              <w:jc w:val="left"/>
            </w:pPr>
            <w:r>
              <w:rPr>
                <w:bCs/>
                <w:b/>
              </w:rPr>
              <w:t xml:space="preserve">Total (generic / FS)</w:t>
            </w:r>
          </w:p>
        </w:tc>
        <w:tc>
          <w:tcPr/>
          <w:p>
            <w:pPr>
              <w:pStyle w:val="Compact"/>
              <w:jc w:val="right"/>
            </w:pPr>
            <w:r>
              <w:rPr>
                <w:bCs/>
                <w:b/>
              </w:rPr>
              <w:t xml:space="preserve">3.90 / 3.90</w:t>
            </w:r>
          </w:p>
        </w:tc>
        <w:tc>
          <w:tcPr/>
          <w:p>
            <w:pPr>
              <w:pStyle w:val="Compact"/>
            </w:pPr>
          </w:p>
        </w:tc>
      </w:tr>
    </w:tbl>
    <w:p>
      <w:pPr>
        <w:pStyle w:val="BodyText"/>
      </w:pPr>
      <w:r>
        <w:rPr>
          <w:bCs/>
          <w:b/>
        </w:rPr>
        <w:t xml:space="preserve">Capabilities.</w:t>
      </w:r>
      <w:r>
        <w:t xml:space="preserve"> </w:t>
      </w:r>
      <w:r>
        <w:t xml:space="preserve">Durable execution engine: workflows whose activities are recorded so execution resumes after failure; used beneath Pydantic AI, the OpenAI Agents SDK and Mistral Workflows. MIT server, self-hosted or Temporal Cloud on AWS and GCP</w:t>
      </w:r>
      <w:r>
        <w:t xml:space="preserve"> </w:t>
      </w:r>
      <w:r>
        <w:rPr>
          <w:rStyle w:val="ClaimLabel"/>
        </w:rPr>
        <w:t xml:space="preserve">VF</w:t>
      </w:r>
      <w:r>
        <w:rPr>
          <w:rStyle w:val="FootnoteReference"/>
        </w:rPr>
        <w:footnoteReference w:id="1059"/>
      </w:r>
      <w:r>
        <w:t xml:space="preserve">.</w:t>
      </w:r>
    </w:p>
    <w:p>
      <w:pPr>
        <w:pStyle w:val="BodyText"/>
      </w:pPr>
      <w:r>
        <w:rPr>
          <w:bCs/>
          <w:b/>
        </w:rPr>
        <w:t xml:space="preserve">Strengths</w:t>
      </w:r>
    </w:p>
    <w:p>
      <w:pPr>
        <w:numPr>
          <w:ilvl w:val="0"/>
          <w:numId w:val="1233"/>
        </w:numPr>
        <w:pStyle w:val="Compact"/>
      </w:pPr>
      <w:r>
        <w:t xml:space="preserve">Separates reliability (retries, resume, timers, signals) from agent logic</w:t>
      </w:r>
      <w:r>
        <w:t xml:space="preserve"> </w:t>
      </w:r>
      <w:r>
        <w:rPr>
          <w:rStyle w:val="ClaimLabel"/>
        </w:rPr>
        <w:t xml:space="preserve">AJ</w:t>
      </w:r>
    </w:p>
    <w:p>
      <w:pPr>
        <w:numPr>
          <w:ilvl w:val="0"/>
          <w:numId w:val="1233"/>
        </w:numPr>
        <w:pStyle w:val="Compact"/>
      </w:pPr>
      <w:r>
        <w:t xml:space="preserve">Same server in self-hosted and Cloud; moves without code changes</w:t>
      </w:r>
      <w:r>
        <w:t xml:space="preserve"> </w:t>
      </w:r>
      <w:r>
        <w:rPr>
          <w:rStyle w:val="ClaimLabel"/>
        </w:rPr>
        <w:t xml:space="preserve">VF</w:t>
      </w:r>
      <w:r>
        <w:rPr>
          <w:rStyle w:val="FootnoteReference"/>
        </w:rPr>
        <w:footnoteReference w:id="1060"/>
      </w:r>
    </w:p>
    <w:p>
      <w:pPr>
        <w:numPr>
          <w:ilvl w:val="0"/>
          <w:numId w:val="1233"/>
        </w:numPr>
        <w:pStyle w:val="Compact"/>
      </w:pPr>
      <w:r>
        <w:t xml:space="preserve">Cloud: SAML SSO, SCIM, roles, exportable audit logs</w:t>
      </w:r>
      <w:r>
        <w:t xml:space="preserve"> </w:t>
      </w:r>
      <w:r>
        <w:rPr>
          <w:rStyle w:val="ClaimLabel"/>
        </w:rPr>
        <w:t xml:space="preserve">VF</w:t>
      </w:r>
      <w:r>
        <w:rPr>
          <w:rStyle w:val="FootnoteReference"/>
        </w:rPr>
        <w:footnoteReference w:id="1061"/>
      </w:r>
    </w:p>
    <w:p>
      <w:pPr>
        <w:pStyle w:val="FirstParagraph"/>
      </w:pPr>
      <w:r>
        <w:rPr>
          <w:bCs/>
          <w:b/>
        </w:rPr>
        <w:t xml:space="preserve">Limitations and risks</w:t>
      </w:r>
    </w:p>
    <w:p>
      <w:pPr>
        <w:numPr>
          <w:ilvl w:val="0"/>
          <w:numId w:val="1234"/>
        </w:numPr>
        <w:pStyle w:val="Compact"/>
      </w:pPr>
      <w:r>
        <w:t xml:space="preserve">Not an agent framework</w:t>
      </w:r>
      <w:r>
        <w:t xml:space="preserve"> </w:t>
      </w:r>
      <w:r>
        <w:rPr>
          <w:rStyle w:val="ClaimLabel"/>
        </w:rPr>
        <w:t xml:space="preserve">AJ</w:t>
      </w:r>
    </w:p>
    <w:p>
      <w:pPr>
        <w:numPr>
          <w:ilvl w:val="0"/>
          <w:numId w:val="1234"/>
        </w:numPr>
        <w:pStyle w:val="Compact"/>
      </w:pPr>
      <w:r>
        <w:t xml:space="preserve">Self-hosting needs Kubernetes and persistence stores, sequential upgrades</w:t>
      </w:r>
      <w:r>
        <w:t xml:space="preserve"> </w:t>
      </w:r>
      <w:r>
        <w:rPr>
          <w:rStyle w:val="ClaimLabel"/>
        </w:rPr>
        <w:t xml:space="preserve">VF</w:t>
      </w:r>
      <w:r>
        <w:rPr>
          <w:rStyle w:val="FootnoteReference"/>
        </w:rPr>
        <w:footnoteReference w:id="1062"/>
      </w:r>
    </w:p>
    <w:p>
      <w:pPr>
        <w:numPr>
          <w:ilvl w:val="0"/>
          <w:numId w:val="1234"/>
        </w:numPr>
        <w:pStyle w:val="Compact"/>
      </w:pPr>
      <w:r>
        <w:t xml:space="preserve">No ISO 27001 found; certification evidence from search extracts</w:t>
      </w:r>
      <w:r>
        <w:t xml:space="preserve"> </w:t>
      </w:r>
      <w:r>
        <w:rPr>
          <w:rStyle w:val="ClaimLabel"/>
        </w:rPr>
        <w:t xml:space="preserve">VF</w:t>
      </w:r>
      <w:r>
        <w:rPr>
          <w:rStyle w:val="FootnoteReference"/>
        </w:rPr>
        <w:footnoteReference w:id="1063"/>
      </w:r>
    </w:p>
    <w:p>
      <w:pPr>
        <w:numPr>
          <w:ilvl w:val="0"/>
          <w:numId w:val="1234"/>
        </w:numPr>
        <w:pStyle w:val="Compact"/>
      </w:pPr>
      <w:r>
        <w:t xml:space="preserve">Workflow code becomes a hard dependency</w:t>
      </w:r>
      <w:r>
        <w:t xml:space="preserve"> </w:t>
      </w:r>
      <w:r>
        <w:rPr>
          <w:rStyle w:val="ClaimLabel"/>
        </w:rPr>
        <w:t xml:space="preserve">AJ</w:t>
      </w:r>
    </w:p>
    <w:p>
      <w:pPr>
        <w:numPr>
          <w:ilvl w:val="0"/>
          <w:numId w:val="1234"/>
        </w:numPr>
        <w:pStyle w:val="Compact"/>
      </w:pPr>
      <w:r>
        <w:t xml:space="preserve">Cloud pricing not verified</w:t>
      </w:r>
      <w:r>
        <w:t xml:space="preserve"> </w:t>
      </w:r>
      <w:r>
        <w:rPr>
          <w:rStyle w:val="ClaimLabel"/>
        </w:rPr>
        <w:t xml:space="preserve">NPV</w:t>
      </w:r>
    </w:p>
    <w:p>
      <w:pPr>
        <w:pStyle w:val="FirstParagraph"/>
      </w:pPr>
      <w:r>
        <w:rPr>
          <w:bCs/>
          <w:b/>
        </w:rPr>
        <w:t xml:space="preserve">Choose when</w:t>
      </w:r>
    </w:p>
    <w:p>
      <w:pPr>
        <w:numPr>
          <w:ilvl w:val="0"/>
          <w:numId w:val="1235"/>
        </w:numPr>
        <w:pStyle w:val="Compact"/>
      </w:pPr>
      <w:r>
        <w:t xml:space="preserve">Any regulated agent workflow that must resume without re-calling tools</w:t>
      </w:r>
      <w:r>
        <w:t xml:space="preserve"> </w:t>
      </w:r>
      <w:r>
        <w:rPr>
          <w:rStyle w:val="ClaimLabel"/>
        </w:rPr>
        <w:t xml:space="preserve">AJ</w:t>
      </w:r>
    </w:p>
    <w:p>
      <w:pPr>
        <w:pStyle w:val="FirstParagraph"/>
      </w:pPr>
      <w:r>
        <w:rPr>
          <w:bCs/>
          <w:b/>
        </w:rPr>
        <w:t xml:space="preserve">Avoid when</w:t>
      </w:r>
    </w:p>
    <w:p>
      <w:pPr>
        <w:numPr>
          <w:ilvl w:val="0"/>
          <w:numId w:val="1236"/>
        </w:numPr>
        <w:pStyle w:val="Compact"/>
      </w:pPr>
      <w:r>
        <w:t xml:space="preserve">Short, stateless single-call tasks</w:t>
      </w:r>
      <w:r>
        <w:t xml:space="preserve"> </w:t>
      </w:r>
      <w:r>
        <w:rPr>
          <w:rStyle w:val="ClaimLabel"/>
        </w:rPr>
        <w:t xml:space="preserve">AJ</w:t>
      </w:r>
    </w:p>
    <w:p>
      <w:pPr>
        <w:pStyle w:val="FirstParagraph"/>
      </w:pPr>
      <w:r>
        <w:rPr>
          <w:bCs/>
          <w:b/>
        </w:rPr>
        <w:t xml:space="preserve">Nearest competitors:</w:t>
      </w:r>
      <w:r>
        <w:t xml:space="preserve"> </w:t>
      </w:r>
      <w:r>
        <w:t xml:space="preserve">DBOS, Restate, L3-langgraph, L3-microsoft-agent-framework</w:t>
      </w:r>
    </w:p>
    <w:p>
      <w:pPr>
        <w:pStyle w:val="BodyText"/>
      </w:pPr>
      <w:r>
        <w:rPr>
          <w:bCs/>
          <w:b/>
        </w:rPr>
        <w:t xml:space="preserve">Regulated-FS note.</w:t>
      </w:r>
      <w:r>
        <w:t xml:space="preserve"> </w:t>
      </w:r>
      <w:r>
        <w:t xml:space="preserve">Encrypt payloads client-side so Temporal Cloud stores ciphertext, or self-host in-region</w:t>
      </w:r>
      <w:r>
        <w:t xml:space="preserve"> </w:t>
      </w:r>
      <w:r>
        <w:rPr>
          <w:rStyle w:val="ClaimLabel"/>
        </w:rPr>
        <w:t xml:space="preserve">VF</w:t>
      </w:r>
      <w:r>
        <w:rPr>
          <w:rStyle w:val="FootnoteReference"/>
        </w:rPr>
        <w:footnoteReference w:id="1064"/>
      </w:r>
      <w:r>
        <w:t xml:space="preserve"> </w:t>
      </w:r>
      <w:r>
        <w:rPr>
          <w:rStyle w:val="ClaimLabel"/>
        </w:rPr>
        <w:t xml:space="preserve">Rec</w:t>
      </w:r>
      <w:r>
        <w:t xml:space="preserve">.</w:t>
      </w:r>
    </w:p>
    <w:p>
      <w:pPr>
        <w:pStyle w:val="BodyText"/>
      </w:pPr>
      <w:r>
        <w:rPr>
          <w:bCs/>
          <w:b/>
        </w:rPr>
        <w:t xml:space="preserve">Facts (as of 2026-10-07)</w:t>
      </w:r>
    </w:p>
    <w:tbl>
      <w:tblPr>
        <w:tblStyle w:val="Table"/>
        <w:tblW w:type="pct" w:w="5000"/>
        <w:tblLook w:firstRow="1" w:lastRow="0" w:firstColumn="0" w:lastColumn="0" w:noHBand="0" w:noVBand="0" w:val="0020"/>
        <w:jc w:val="start"/>
      </w:tblPr>
      <w:tblGrid>
        <w:gridCol w:w="1485"/>
        <w:gridCol w:w="4290"/>
        <w:gridCol w:w="1320"/>
        <w:gridCol w:w="825"/>
      </w:tblGrid>
      <w:tr>
        <w:trPr>
          <w:tblHeader w:val="true"/>
        </w:trPr>
        <w:tc>
          <w:tcPr/>
          <w:p>
            <w:pPr>
              <w:pStyle w:val="Compact"/>
              <w:jc w:val="left"/>
            </w:pPr>
            <w:r>
              <w:t xml:space="preserve">Field</w:t>
            </w:r>
          </w:p>
        </w:tc>
        <w:tc>
          <w:tcPr/>
          <w:p>
            <w:pPr>
              <w:pStyle w:val="Compact"/>
              <w:jc w:val="left"/>
            </w:pPr>
            <w:r>
              <w:t xml:space="preserve">Value</w:t>
            </w:r>
          </w:p>
        </w:tc>
        <w:tc>
          <w:tcPr/>
          <w:p>
            <w:pPr>
              <w:pStyle w:val="Compact"/>
              <w:jc w:val="left"/>
            </w:pPr>
            <w:r>
              <w:t xml:space="preserve">Label</w:t>
            </w:r>
          </w:p>
        </w:tc>
        <w:tc>
          <w:tcPr/>
          <w:p>
            <w:pPr>
              <w:pStyle w:val="Compact"/>
              <w:jc w:val="left"/>
            </w:pPr>
            <w:r>
              <w:t xml:space="preserve">Sources</w:t>
            </w:r>
          </w:p>
        </w:tc>
      </w:tr>
      <w:tr>
        <w:tc>
          <w:tcPr/>
          <w:p>
            <w:pPr>
              <w:pStyle w:val="Compact"/>
              <w:jc w:val="left"/>
            </w:pPr>
            <w:r>
              <w:t xml:space="preserve">Company</w:t>
            </w:r>
          </w:p>
        </w:tc>
        <w:tc>
          <w:tcPr/>
          <w:p>
            <w:pPr>
              <w:pStyle w:val="Compact"/>
              <w:jc w:val="left"/>
            </w:pPr>
            <w:r>
              <w:t xml:space="preserve">Temporal Technologies Inc.</w:t>
            </w:r>
          </w:p>
        </w:tc>
        <w:tc>
          <w:tcPr/>
          <w:p>
            <w:pPr>
              <w:pStyle w:val="Compact"/>
              <w:jc w:val="left"/>
            </w:pPr>
            <w:r>
              <w:t xml:space="preserve">Verified fact</w:t>
            </w:r>
          </w:p>
        </w:tc>
        <w:tc>
          <w:tcPr/>
          <w:p>
            <w:pPr>
              <w:pStyle w:val="Compact"/>
              <w:jc w:val="left"/>
            </w:pPr>
            <w:r>
              <w:t xml:space="preserve">A4-S019</w:t>
            </w:r>
          </w:p>
        </w:tc>
      </w:tr>
      <w:tr>
        <w:tc>
          <w:tcPr/>
          <w:p>
            <w:pPr>
              <w:pStyle w:val="Compact"/>
              <w:jc w:val="left"/>
            </w:pPr>
            <w:r>
              <w:t xml:space="preserve">Category</w:t>
            </w:r>
          </w:p>
        </w:tc>
        <w:tc>
          <w:tcPr/>
          <w:p>
            <w:pPr>
              <w:pStyle w:val="Compact"/>
              <w:jc w:val="left"/>
            </w:pPr>
            <w:r>
              <w:t xml:space="preserve">Durable execution / workflow orchestration engine used as the reliability layer under agent frameworks</w:t>
            </w:r>
          </w:p>
        </w:tc>
        <w:tc>
          <w:tcPr/>
          <w:p>
            <w:pPr>
              <w:pStyle w:val="Compact"/>
              <w:jc w:val="left"/>
            </w:pPr>
            <w:r>
              <w:t xml:space="preserve">Verified fact</w:t>
            </w:r>
          </w:p>
        </w:tc>
        <w:tc>
          <w:tcPr/>
          <w:p>
            <w:pPr>
              <w:pStyle w:val="Compact"/>
              <w:jc w:val="left"/>
            </w:pPr>
            <w:r>
              <w:t xml:space="preserve">A4-S019, A4-S045, A4-S058</w:t>
            </w:r>
          </w:p>
        </w:tc>
      </w:tr>
      <w:tr>
        <w:tc>
          <w:tcPr/>
          <w:p>
            <w:pPr>
              <w:pStyle w:val="Compact"/>
              <w:jc w:val="left"/>
            </w:pPr>
            <w:r>
              <w:t xml:space="preserve">Version / lineup</w:t>
            </w:r>
          </w:p>
        </w:tc>
        <w:tc>
          <w:tcPr/>
          <w:p>
            <w:pPr>
              <w:pStyle w:val="Compact"/>
              <w:jc w:val="left"/>
            </w:pPr>
            <w:r>
              <w:t xml:space="preserve">temporalio (Python SDK) 1.34.0 (30 September 2026)</w:t>
            </w:r>
          </w:p>
        </w:tc>
        <w:tc>
          <w:tcPr/>
          <w:p>
            <w:pPr>
              <w:pStyle w:val="Compact"/>
              <w:jc w:val="left"/>
            </w:pPr>
            <w:r>
              <w:t xml:space="preserve">Verified fact</w:t>
            </w:r>
          </w:p>
        </w:tc>
        <w:tc>
          <w:tcPr/>
          <w:p>
            <w:pPr>
              <w:pStyle w:val="Compact"/>
              <w:jc w:val="left"/>
            </w:pPr>
            <w:r>
              <w:t xml:space="preserve">A4-S019</w:t>
            </w:r>
          </w:p>
        </w:tc>
      </w:tr>
      <w:tr>
        <w:tc>
          <w:tcPr/>
          <w:p>
            <w:pPr>
              <w:pStyle w:val="Compact"/>
              <w:jc w:val="left"/>
            </w:pPr>
            <w:r>
              <w:t xml:space="preserve">Licence</w:t>
            </w:r>
          </w:p>
        </w:tc>
        <w:tc>
          <w:tcPr/>
          <w:p>
            <w:pPr>
              <w:pStyle w:val="Compact"/>
              <w:jc w:val="left"/>
            </w:pPr>
            <w:r>
              <w:t xml:space="preserve">Python SDK MIT; server licence and Temporal Cloud terms not verified in this run</w:t>
            </w:r>
          </w:p>
        </w:tc>
        <w:tc>
          <w:tcPr/>
          <w:p>
            <w:pPr>
              <w:pStyle w:val="Compact"/>
              <w:jc w:val="left"/>
            </w:pPr>
            <w:r>
              <w:t xml:space="preserve">Verified fact</w:t>
            </w:r>
          </w:p>
        </w:tc>
        <w:tc>
          <w:tcPr/>
          <w:p>
            <w:pPr>
              <w:pStyle w:val="Compact"/>
              <w:jc w:val="left"/>
            </w:pPr>
            <w:r>
              <w:t xml:space="preserve">A4-S019</w:t>
            </w:r>
          </w:p>
        </w:tc>
      </w:tr>
      <w:tr>
        <w:tc>
          <w:tcPr/>
          <w:p>
            <w:pPr>
              <w:pStyle w:val="Compact"/>
              <w:jc w:val="left"/>
            </w:pPr>
            <w:r>
              <w:t xml:space="preserve">Status events</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Strategic direction</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What it does</w:t>
            </w:r>
          </w:p>
        </w:tc>
        <w:tc>
          <w:tcPr/>
          <w:p>
            <w:pPr>
              <w:pStyle w:val="Compact"/>
              <w:jc w:val="left"/>
            </w:pPr>
            <w:r>
              <w:t xml:space="preserve">Runs workflows whose steps (activities) are recorded so execution resumes after failures. Agent frameworks run model calls, tool calls and MCP traffic as Temporal activities (Pydantic AI), offer Temporal integrations for long-running human-in-the-loop agents (OpenAI Agents SDK), or build their workflow product on it (Mistral Workflows).</w:t>
            </w:r>
          </w:p>
        </w:tc>
        <w:tc>
          <w:tcPr/>
          <w:p>
            <w:pPr>
              <w:pStyle w:val="Compact"/>
              <w:jc w:val="left"/>
            </w:pPr>
            <w:r>
              <w:t xml:space="preserve">Verified fact</w:t>
            </w:r>
          </w:p>
        </w:tc>
        <w:tc>
          <w:tcPr/>
          <w:p>
            <w:pPr>
              <w:pStyle w:val="Compact"/>
              <w:jc w:val="left"/>
            </w:pPr>
            <w:r>
              <w:t xml:space="preserve">A4-S045, A4-S052, A4-S058</w:t>
            </w:r>
          </w:p>
        </w:tc>
      </w:tr>
      <w:tr>
        <w:tc>
          <w:tcPr/>
          <w:p>
            <w:pPr>
              <w:pStyle w:val="Compact"/>
              <w:jc w:val="left"/>
            </w:pPr>
            <w:r>
              <w:t xml:space="preserve">Stack position</w:t>
            </w:r>
          </w:p>
        </w:tc>
        <w:tc>
          <w:tcPr/>
          <w:p>
            <w:pPr>
              <w:pStyle w:val="Compact"/>
              <w:jc w:val="left"/>
            </w:pPr>
            <w:r>
              <w:t xml:space="preserve">Cross-cutting reliability substrate beneath L3 (deterministic workflow layer in H2), not an agent framework itself</w:t>
            </w:r>
          </w:p>
        </w:tc>
        <w:tc>
          <w:tcPr/>
          <w:p>
            <w:pPr>
              <w:pStyle w:val="Compact"/>
              <w:jc w:val="left"/>
            </w:pPr>
            <w:r>
              <w:t xml:space="preserve">Architectural judgement</w:t>
            </w:r>
          </w:p>
        </w:tc>
        <w:tc>
          <w:tcPr/>
          <w:p>
            <w:pPr>
              <w:pStyle w:val="Compact"/>
            </w:pPr>
          </w:p>
        </w:tc>
      </w:tr>
      <w:tr>
        <w:tc>
          <w:tcPr/>
          <w:p>
            <w:pPr>
              <w:pStyle w:val="Compact"/>
              <w:jc w:val="left"/>
            </w:pPr>
            <w:r>
              <w:t xml:space="preserve">Integration</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Dependencies</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Certifications</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GDPR / residency</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Security features</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Access controls</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Enterprise support</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Pricing</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Infrastructure cost</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Ecosystem</w:t>
            </w:r>
          </w:p>
        </w:tc>
        <w:tc>
          <w:tcPr/>
          <w:p>
            <w:pPr>
              <w:pStyle w:val="Compact"/>
              <w:jc w:val="left"/>
            </w:pPr>
            <w:r>
              <w:t xml:space="preserve">Integrated by Pydantic AI, OpenAI Agents SDK and Mistral Workflows; alternatives DBOS (dbos 3.2.0, MIT) and Restate (restate-sdk 1.0.5)</w:t>
            </w:r>
          </w:p>
        </w:tc>
        <w:tc>
          <w:tcPr/>
          <w:p>
            <w:pPr>
              <w:pStyle w:val="Compact"/>
              <w:jc w:val="left"/>
            </w:pPr>
            <w:r>
              <w:t xml:space="preserve">Verified fact</w:t>
            </w:r>
          </w:p>
        </w:tc>
        <w:tc>
          <w:tcPr/>
          <w:p>
            <w:pPr>
              <w:pStyle w:val="Compact"/>
              <w:jc w:val="left"/>
            </w:pPr>
            <w:r>
              <w:t xml:space="preserve">A4-S045, A4-S052, A4-S058, A4-S020, A4-S104</w:t>
            </w:r>
          </w:p>
        </w:tc>
      </w:tr>
      <w:tr>
        <w:tc>
          <w:tcPr/>
          <w:p>
            <w:pPr>
              <w:pStyle w:val="Compact"/>
              <w:jc w:val="left"/>
            </w:pPr>
            <w:r>
              <w:t xml:space="preserve">Adoption signals</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Maturity</w:t>
            </w:r>
          </w:p>
        </w:tc>
        <w:tc>
          <w:tcPr/>
          <w:p>
            <w:pPr>
              <w:pStyle w:val="Compact"/>
              <w:jc w:val="left"/>
            </w:pPr>
            <w:r>
              <w:t xml:space="preserve">Python SDK since March 2022</w:t>
            </w:r>
          </w:p>
        </w:tc>
        <w:tc>
          <w:tcPr/>
          <w:p>
            <w:pPr>
              <w:pStyle w:val="Compact"/>
              <w:jc w:val="left"/>
            </w:pPr>
            <w:r>
              <w:t xml:space="preserve">Verified fact</w:t>
            </w:r>
          </w:p>
        </w:tc>
        <w:tc>
          <w:tcPr/>
          <w:p>
            <w:pPr>
              <w:pStyle w:val="Compact"/>
              <w:jc w:val="left"/>
            </w:pPr>
            <w:r>
              <w:t xml:space="preserve">A4-S019</w:t>
            </w:r>
          </w:p>
        </w:tc>
      </w:tr>
      <w:tr>
        <w:tc>
          <w:tcPr/>
          <w:p>
            <w:pPr>
              <w:pStyle w:val="Compact"/>
              <w:jc w:val="left"/>
            </w:pPr>
            <w:r>
              <w:t xml:space="preserve">Deployment</w:t>
            </w:r>
          </w:p>
        </w:tc>
        <w:tc>
          <w:tcPr/>
          <w:p>
            <w:pPr>
              <w:pStyle w:val="Compact"/>
              <w:jc w:val="left"/>
            </w:pPr>
            <w:r>
              <w:t xml:space="preserve">saas: Not publicly verified; managed_cloud: Not publicly verified; vpc_byoc: Not publicly verified; private_cloud: Not publicly verified; self_hosted: Not publicly verified; on_prem: Not publicly verified</w:t>
            </w:r>
          </w:p>
        </w:tc>
        <w:tc>
          <w:tcPr/>
          <w:p>
            <w:pPr>
              <w:pStyle w:val="Compact"/>
            </w:pPr>
          </w:p>
        </w:tc>
        <w:tc>
          <w:tcPr/>
          <w:p>
            <w:pPr>
              <w:pStyle w:val="Compact"/>
            </w:pPr>
          </w:p>
        </w:tc>
      </w:tr>
    </w:tbl>
    <w:bookmarkEnd w:id="1065"/>
    <w:bookmarkStart w:id="1089" w:name="Xcc70ae2b88085936357c66f770a8a58847776a0"/>
    <w:p>
      <w:pPr>
        <w:pStyle w:val="Heading2"/>
      </w:pPr>
      <w:r>
        <w:t xml:space="preserve">Microsoft Agent Framework (MAF) (</w:t>
      </w:r>
      <w:r>
        <w:rPr>
          <w:rStyle w:val="VerbatimChar"/>
        </w:rPr>
        <w:t xml:space="preserve">L3-microsoft-agent-framework</w:t>
      </w:r>
      <w:r>
        <w:t xml:space="preserve">)</w:t>
      </w:r>
    </w:p>
    <w:p>
      <w:pPr>
        <w:pStyle w:val="FirstParagraph"/>
      </w:pPr>
      <w:r>
        <w:rPr>
          <w:bCs/>
          <w:b/>
        </w:rPr>
        <w:t xml:space="preserve">Tier:</w:t>
      </w:r>
      <w:r>
        <w:t xml:space="preserve"> </w:t>
      </w:r>
      <w:r>
        <w:t xml:space="preserve">Strategic ·</w:t>
      </w:r>
      <w:r>
        <w:t xml:space="preserve"> </w:t>
      </w:r>
      <w:r>
        <w:rPr>
          <w:bCs/>
          <w:b/>
        </w:rPr>
        <w:t xml:space="preserve">Flags:</w:t>
      </w:r>
      <w:r>
        <w:t xml:space="preserve"> </w:t>
      </w:r>
      <w:r>
        <w:t xml:space="preserve">none ·</w:t>
      </w:r>
      <w:r>
        <w:t xml:space="preserve"> </w:t>
      </w:r>
      <w:r>
        <w:rPr>
          <w:bCs/>
          <w:b/>
        </w:rPr>
        <w:t xml:space="preserve">Original graphic label:</w:t>
      </w:r>
      <w:r>
        <w:t xml:space="preserve"> </w:t>
      </w:r>
      <w:r>
        <w:t xml:space="preserve">Agent Framework – Microsoft</w:t>
      </w:r>
    </w:p>
    <w:p>
      <w:pPr>
        <w:pStyle w:val="BodyText"/>
      </w:pPr>
      <w:r>
        <w:rPr>
          <w:iCs/>
          <w:i/>
        </w:rPr>
        <w:t xml:space="preserve">Rationale:</w:t>
      </w:r>
      <w:r>
        <w:t xml:space="preserve"> </w:t>
      </w:r>
      <w:r>
        <w:t xml:space="preserve">Strategic, conditional: where Microsoft/Azure or .NET is the primary platform; supersedes Semantic Kernel and AutoGen.</w:t>
      </w:r>
    </w:p>
    <w:tbl>
      <w:tblPr>
        <w:tblStyle w:val="Table"/>
        <w:tblW w:type="pct" w:w="5000"/>
        <w:tblLook w:firstRow="1" w:lastRow="0" w:firstColumn="0" w:lastColumn="0" w:noHBand="0" w:noVBand="0" w:val="0020"/>
        <w:jc w:val="start"/>
      </w:tblPr>
      <w:tblGrid>
        <w:gridCol w:w="1545"/>
        <w:gridCol w:w="579"/>
        <w:gridCol w:w="5795"/>
      </w:tblGrid>
      <w:tr>
        <w:trPr>
          <w:tblHeader w:val="true"/>
        </w:trPr>
        <w:tc>
          <w:tcPr/>
          <w:p>
            <w:pPr>
              <w:pStyle w:val="Compact"/>
              <w:jc w:val="left"/>
            </w:pPr>
            <w:r>
              <w:t xml:space="preserve">Criterion</w:t>
            </w:r>
          </w:p>
        </w:tc>
        <w:tc>
          <w:tcPr/>
          <w:p>
            <w:pPr>
              <w:pStyle w:val="Compact"/>
              <w:jc w:val="right"/>
            </w:pPr>
            <w:r>
              <w:t xml:space="preserve">Score</w:t>
            </w:r>
          </w:p>
        </w:tc>
        <w:tc>
          <w:tcPr/>
          <w:p>
            <w:pPr>
              <w:pStyle w:val="Compact"/>
              <w:jc w:val="left"/>
            </w:pPr>
            <w:r>
              <w:t xml:space="preserve">Rationale</w:t>
            </w:r>
          </w:p>
        </w:tc>
      </w:tr>
      <w:tr>
        <w:tc>
          <w:tcPr/>
          <w:p>
            <w:pPr>
              <w:pStyle w:val="Compact"/>
              <w:jc w:val="left"/>
            </w:pPr>
            <w:r>
              <w:t xml:space="preserve">Technical</w:t>
            </w:r>
          </w:p>
        </w:tc>
        <w:tc>
          <w:tcPr/>
          <w:p>
            <w:pPr>
              <w:pStyle w:val="Compact"/>
              <w:jc w:val="right"/>
            </w:pPr>
            <w:r>
              <w:t xml:space="preserve">4</w:t>
            </w:r>
          </w:p>
        </w:tc>
        <w:tc>
          <w:tcPr/>
          <w:p>
            <w:pPr>
              <w:pStyle w:val="Compact"/>
              <w:jc w:val="left"/>
            </w:pPr>
            <w:r>
              <w:t xml:space="preserve">Agents plus graph workflows, checkpointing, HITL, time travel, A2A/MCP; durability beta</w:t>
            </w:r>
            <w:r>
              <w:t xml:space="preserve"> </w:t>
            </w:r>
            <w:r>
              <w:rPr>
                <w:rStyle w:val="ClaimLabel"/>
              </w:rPr>
              <w:t xml:space="preserve">VF</w:t>
            </w:r>
            <w:r>
              <w:rPr>
                <w:rStyle w:val="FootnoteReference"/>
              </w:rPr>
              <w:footnoteReference w:id="1066"/>
            </w:r>
          </w:p>
        </w:tc>
      </w:tr>
      <w:tr>
        <w:tc>
          <w:tcPr/>
          <w:p>
            <w:pPr>
              <w:pStyle w:val="Compact"/>
              <w:jc w:val="left"/>
            </w:pPr>
            <w:r>
              <w:t xml:space="preserve">Enterprise readiness</w:t>
            </w:r>
          </w:p>
        </w:tc>
        <w:tc>
          <w:tcPr/>
          <w:p>
            <w:pPr>
              <w:pStyle w:val="Compact"/>
              <w:jc w:val="right"/>
            </w:pPr>
            <w:r>
              <w:t xml:space="preserve">4</w:t>
            </w:r>
          </w:p>
        </w:tc>
        <w:tc>
          <w:tcPr/>
          <w:p>
            <w:pPr>
              <w:pStyle w:val="Compact"/>
              <w:jc w:val="left"/>
            </w:pPr>
            <w:r>
              <w:t xml:space="preserve">Library (rule 2) with Microsoft long-term support commitment; Foundry Hosted Agents GA</w:t>
            </w:r>
            <w:r>
              <w:t xml:space="preserve"> </w:t>
            </w:r>
            <w:r>
              <w:rPr>
                <w:rStyle w:val="ClaimLabel"/>
              </w:rPr>
              <w:t xml:space="preserve">VF</w:t>
            </w:r>
            <w:r>
              <w:rPr>
                <w:rStyle w:val="FootnoteReference"/>
              </w:rPr>
              <w:footnoteReference w:id="1069"/>
            </w:r>
          </w:p>
        </w:tc>
      </w:tr>
      <w:tr>
        <w:tc>
          <w:tcPr/>
          <w:p>
            <w:pPr>
              <w:pStyle w:val="Compact"/>
              <w:jc w:val="left"/>
            </w:pPr>
            <w:r>
              <w:t xml:space="preserve">Security and compliance</w:t>
            </w:r>
          </w:p>
        </w:tc>
        <w:tc>
          <w:tcPr/>
          <w:p>
            <w:pPr>
              <w:pStyle w:val="Compact"/>
              <w:jc w:val="right"/>
            </w:pPr>
            <w:r>
              <w:t xml:space="preserve">3</w:t>
            </w:r>
          </w:p>
        </w:tc>
        <w:tc>
          <w:tcPr/>
          <w:p>
            <w:pPr>
              <w:pStyle w:val="Compact"/>
              <w:jc w:val="left"/>
            </w:pPr>
            <w:r>
              <w:t xml:space="preserve">Library (rule 2); hygiene not assessed; Azure/Foundry certifications out of record scope</w:t>
            </w:r>
            <w:r>
              <w:t xml:space="preserve"> </w:t>
            </w:r>
            <w:r>
              <w:rPr>
                <w:rStyle w:val="ClaimLabel"/>
              </w:rPr>
              <w:t xml:space="preserve">AJ</w:t>
            </w:r>
          </w:p>
        </w:tc>
      </w:tr>
      <w:tr>
        <w:tc>
          <w:tcPr/>
          <w:p>
            <w:pPr>
              <w:pStyle w:val="Compact"/>
              <w:jc w:val="left"/>
            </w:pPr>
            <w:r>
              <w:t xml:space="preserve">Deployment flexibility</w:t>
            </w:r>
          </w:p>
        </w:tc>
        <w:tc>
          <w:tcPr/>
          <w:p>
            <w:pPr>
              <w:pStyle w:val="Compact"/>
              <w:jc w:val="right"/>
            </w:pPr>
            <w:r>
              <w:t xml:space="preserve">4</w:t>
            </w:r>
          </w:p>
        </w:tc>
        <w:tc>
          <w:tcPr/>
          <w:p>
            <w:pPr>
              <w:pStyle w:val="Compact"/>
              <w:jc w:val="left"/>
            </w:pPr>
            <w:r>
              <w:t xml:space="preserve">Library anywhere; Foundry Hosted Agents and Azure Functions managed</w:t>
            </w:r>
            <w:r>
              <w:t xml:space="preserve"> </w:t>
            </w:r>
            <w:r>
              <w:rPr>
                <w:rStyle w:val="ClaimLabel"/>
              </w:rPr>
              <w:t xml:space="preserve">VF</w:t>
            </w:r>
            <w:r>
              <w:rPr>
                <w:rStyle w:val="FootnoteReference"/>
              </w:rPr>
              <w:footnoteReference w:id="1072"/>
            </w:r>
          </w:p>
        </w:tc>
      </w:tr>
      <w:tr>
        <w:tc>
          <w:tcPr/>
          <w:p>
            <w:pPr>
              <w:pStyle w:val="Compact"/>
              <w:jc w:val="left"/>
            </w:pPr>
            <w:r>
              <w:t xml:space="preserve">Ecosystem</w:t>
            </w:r>
          </w:p>
        </w:tc>
        <w:tc>
          <w:tcPr/>
          <w:p>
            <w:pPr>
              <w:pStyle w:val="Compact"/>
              <w:jc w:val="right"/>
            </w:pPr>
            <w:r>
              <w:t xml:space="preserve">4</w:t>
            </w:r>
          </w:p>
        </w:tc>
        <w:tc>
          <w:tcPr/>
          <w:p>
            <w:pPr>
              <w:pStyle w:val="Compact"/>
              <w:jc w:val="left"/>
            </w:pPr>
            <w:r>
              <w:t xml:space="preserve">Foundry, Azure OpenAI, OpenAI, Copilot Studio, A2A, MCP, OTel</w:t>
            </w:r>
            <w:r>
              <w:t xml:space="preserve"> </w:t>
            </w:r>
            <w:r>
              <w:rPr>
                <w:rStyle w:val="ClaimLabel"/>
              </w:rPr>
              <w:t xml:space="preserve">VF</w:t>
            </w:r>
            <w:r>
              <w:rPr>
                <w:rStyle w:val="FootnoteReference"/>
              </w:rPr>
              <w:footnoteReference w:id="1074"/>
            </w:r>
          </w:p>
        </w:tc>
      </w:tr>
      <w:tr>
        <w:tc>
          <w:tcPr/>
          <w:p>
            <w:pPr>
              <w:pStyle w:val="Compact"/>
              <w:jc w:val="left"/>
            </w:pPr>
            <w:r>
              <w:t xml:space="preserve">Reliability and maturity</w:t>
            </w:r>
          </w:p>
        </w:tc>
        <w:tc>
          <w:tcPr/>
          <w:p>
            <w:pPr>
              <w:pStyle w:val="Compact"/>
              <w:jc w:val="right"/>
            </w:pPr>
            <w:r>
              <w:t xml:space="preserve">4</w:t>
            </w:r>
          </w:p>
        </w:tc>
        <w:tc>
          <w:tcPr/>
          <w:p>
            <w:pPr>
              <w:pStyle w:val="Compact"/>
              <w:jc w:val="left"/>
            </w:pPr>
            <w:r>
              <w:t xml:space="preserve">GA April 2026 with LTS commitment; successor to two mature frameworks</w:t>
            </w:r>
            <w:r>
              <w:t xml:space="preserve"> </w:t>
            </w:r>
            <w:r>
              <w:rPr>
                <w:rStyle w:val="ClaimLabel"/>
              </w:rPr>
              <w:t xml:space="preserve">VF</w:t>
            </w:r>
            <w:r>
              <w:rPr>
                <w:rStyle w:val="FootnoteReference"/>
              </w:rPr>
              <w:footnoteReference w:id="1075"/>
            </w:r>
          </w:p>
        </w:tc>
      </w:tr>
      <w:tr>
        <w:tc>
          <w:tcPr/>
          <w:p>
            <w:pPr>
              <w:pStyle w:val="Compact"/>
              <w:jc w:val="left"/>
            </w:pPr>
            <w:r>
              <w:t xml:space="preserve">Cost / TCO</w:t>
            </w:r>
          </w:p>
        </w:tc>
        <w:tc>
          <w:tcPr/>
          <w:p>
            <w:pPr>
              <w:pStyle w:val="Compact"/>
              <w:jc w:val="right"/>
            </w:pPr>
            <w:r>
              <w:t xml:space="preserve">4</w:t>
            </w:r>
          </w:p>
        </w:tc>
        <w:tc>
          <w:tcPr/>
          <w:p>
            <w:pPr>
              <w:pStyle w:val="Compact"/>
              <w:jc w:val="left"/>
            </w:pPr>
            <w:r>
              <w:t xml:space="preserve">Free MIT; durable hosting extra</w:t>
            </w:r>
            <w:r>
              <w:t xml:space="preserve"> </w:t>
            </w:r>
            <w:r>
              <w:rPr>
                <w:rStyle w:val="ClaimLabel"/>
              </w:rPr>
              <w:t xml:space="preserve">VF</w:t>
            </w:r>
            <w:r>
              <w:rPr>
                <w:rStyle w:val="FootnoteReference"/>
              </w:rPr>
              <w:footnoteReference w:id="1076"/>
            </w:r>
          </w:p>
        </w:tc>
      </w:tr>
      <w:tr>
        <w:tc>
          <w:tcPr/>
          <w:p>
            <w:pPr>
              <w:pStyle w:val="Compact"/>
              <w:jc w:val="left"/>
            </w:pPr>
            <w:r>
              <w:t xml:space="preserve">Lock-in / portability</w:t>
            </w:r>
          </w:p>
        </w:tc>
        <w:tc>
          <w:tcPr/>
          <w:p>
            <w:pPr>
              <w:pStyle w:val="Compact"/>
              <w:jc w:val="right"/>
            </w:pPr>
            <w:r>
              <w:t xml:space="preserve">3</w:t>
            </w:r>
          </w:p>
        </w:tc>
        <w:tc>
          <w:tcPr/>
          <w:p>
            <w:pPr>
              <w:pStyle w:val="Compact"/>
              <w:jc w:val="left"/>
            </w:pPr>
            <w:r>
              <w:t xml:space="preserve">MIT, multi-provider, but Azure-first integrations</w:t>
            </w:r>
            <w:r>
              <w:t xml:space="preserve"> </w:t>
            </w:r>
            <w:r>
              <w:rPr>
                <w:rStyle w:val="ClaimLabel"/>
              </w:rPr>
              <w:t xml:space="preserve">VF</w:t>
            </w:r>
            <w:r>
              <w:rPr>
                <w:rStyle w:val="FootnoteReference"/>
              </w:rPr>
              <w:footnoteReference w:id="1078"/>
            </w:r>
          </w:p>
        </w:tc>
      </w:tr>
      <w:tr>
        <w:tc>
          <w:tcPr/>
          <w:p>
            <w:pPr>
              <w:pStyle w:val="Compact"/>
              <w:jc w:val="left"/>
            </w:pPr>
            <w:r>
              <w:rPr>
                <w:bCs/>
                <w:b/>
              </w:rPr>
              <w:t xml:space="preserve">Total (generic / FS)</w:t>
            </w:r>
          </w:p>
        </w:tc>
        <w:tc>
          <w:tcPr/>
          <w:p>
            <w:pPr>
              <w:pStyle w:val="Compact"/>
              <w:jc w:val="right"/>
            </w:pPr>
            <w:r>
              <w:rPr>
                <w:bCs/>
                <w:b/>
              </w:rPr>
              <w:t xml:space="preserve">3.80 / 3.65</w:t>
            </w:r>
          </w:p>
        </w:tc>
        <w:tc>
          <w:tcPr/>
          <w:p>
            <w:pPr>
              <w:pStyle w:val="Compact"/>
            </w:pPr>
          </w:p>
        </w:tc>
      </w:tr>
    </w:tbl>
    <w:p>
      <w:pPr>
        <w:pStyle w:val="BodyText"/>
      </w:pPr>
      <w:r>
        <w:rPr>
          <w:bCs/>
          <w:b/>
        </w:rPr>
        <w:t xml:space="preserve">Capabilities.</w:t>
      </w:r>
      <w:r>
        <w:t xml:space="preserve"> </w:t>
      </w:r>
      <w:r>
        <w:t xml:space="preserve">MIT framework (Python, .NET, Go) that separates Agents from graph-based Workflows (sequential, concurrent, handoff, group collaboration) with checkpointing, streaming, HITL and time travel; durable agents via Durable Task or Azure Durable Functions (beta); A2A, MCP, OTel; declared successor to Semantic Kernel and AutoGen; Foundry Hosted Agents for managed hosting</w:t>
      </w:r>
      <w:r>
        <w:t xml:space="preserve"> </w:t>
      </w:r>
      <w:r>
        <w:rPr>
          <w:rStyle w:val="ClaimLabel"/>
        </w:rPr>
        <w:t xml:space="preserve">VF</w:t>
      </w:r>
      <w:r>
        <w:rPr>
          <w:rStyle w:val="FootnoteReference"/>
        </w:rPr>
        <w:footnoteReference w:id="1079"/>
      </w:r>
      <w:r>
        <w:t xml:space="preserve">.</w:t>
      </w:r>
    </w:p>
    <w:p>
      <w:pPr>
        <w:pStyle w:val="BodyText"/>
      </w:pPr>
      <w:r>
        <w:rPr>
          <w:bCs/>
          <w:b/>
        </w:rPr>
        <w:t xml:space="preserve">Strengths</w:t>
      </w:r>
    </w:p>
    <w:p>
      <w:pPr>
        <w:numPr>
          <w:ilvl w:val="0"/>
          <w:numId w:val="1237"/>
        </w:numPr>
        <w:pStyle w:val="Compact"/>
      </w:pPr>
      <w:r>
        <w:t xml:space="preserve">Explicit agents-versus-workflows split is the clearest H2 implementation</w:t>
      </w:r>
      <w:r>
        <w:t xml:space="preserve"> </w:t>
      </w:r>
      <w:r>
        <w:rPr>
          <w:rStyle w:val="ClaimLabel"/>
        </w:rPr>
        <w:t xml:space="preserve">VF</w:t>
      </w:r>
      <w:r>
        <w:rPr>
          <w:rStyle w:val="FootnoteReference"/>
        </w:rPr>
        <w:footnoteReference w:id="1081"/>
      </w:r>
      <w:r>
        <w:t xml:space="preserve"> </w:t>
      </w:r>
      <w:r>
        <w:rPr>
          <w:rStyle w:val="ClaimLabel"/>
        </w:rPr>
        <w:t xml:space="preserve">AJ</w:t>
      </w:r>
    </w:p>
    <w:p>
      <w:pPr>
        <w:numPr>
          <w:ilvl w:val="0"/>
          <w:numId w:val="1237"/>
        </w:numPr>
        <w:pStyle w:val="Compact"/>
      </w:pPr>
      <w:r>
        <w:t xml:space="preserve">1.0 with stable APIs and a long-term support commitment</w:t>
      </w:r>
      <w:r>
        <w:t xml:space="preserve"> </w:t>
      </w:r>
      <w:r>
        <w:rPr>
          <w:rStyle w:val="ClaimLabel"/>
        </w:rPr>
        <w:t xml:space="preserve">VF</w:t>
      </w:r>
      <w:r>
        <w:rPr>
          <w:rStyle w:val="FootnoteReference"/>
        </w:rPr>
        <w:footnoteReference w:id="1082"/>
      </w:r>
    </w:p>
    <w:p>
      <w:pPr>
        <w:numPr>
          <w:ilvl w:val="0"/>
          <w:numId w:val="1237"/>
        </w:numPr>
        <w:pStyle w:val="Compact"/>
      </w:pPr>
      <w:r>
        <w:t xml:space="preserve">.NET first-class for Microsoft estates</w:t>
      </w:r>
      <w:r>
        <w:t xml:space="preserve"> </w:t>
      </w:r>
      <w:r>
        <w:rPr>
          <w:rStyle w:val="ClaimLabel"/>
        </w:rPr>
        <w:t xml:space="preserve">VF</w:t>
      </w:r>
      <w:r>
        <w:rPr>
          <w:rStyle w:val="FootnoteReference"/>
        </w:rPr>
        <w:footnoteReference w:id="1084"/>
      </w:r>
    </w:p>
    <w:p>
      <w:pPr>
        <w:pStyle w:val="FirstParagraph"/>
      </w:pPr>
      <w:r>
        <w:rPr>
          <w:bCs/>
          <w:b/>
        </w:rPr>
        <w:t xml:space="preserve">Limitations and risks</w:t>
      </w:r>
    </w:p>
    <w:p>
      <w:pPr>
        <w:numPr>
          <w:ilvl w:val="0"/>
          <w:numId w:val="1238"/>
        </w:numPr>
        <w:pStyle w:val="Compact"/>
      </w:pPr>
      <w:r>
        <w:t xml:space="preserve">Durable extensions still beta</w:t>
      </w:r>
      <w:r>
        <w:t xml:space="preserve"> </w:t>
      </w:r>
      <w:r>
        <w:rPr>
          <w:rStyle w:val="ClaimLabel"/>
        </w:rPr>
        <w:t xml:space="preserve">VF</w:t>
      </w:r>
      <w:r>
        <w:rPr>
          <w:rStyle w:val="FootnoteReference"/>
        </w:rPr>
        <w:footnoteReference w:id="1085"/>
      </w:r>
    </w:p>
    <w:p>
      <w:pPr>
        <w:numPr>
          <w:ilvl w:val="0"/>
          <w:numId w:val="1238"/>
        </w:numPr>
        <w:pStyle w:val="Compact"/>
      </w:pPr>
      <w:r>
        <w:t xml:space="preserve">Foundry hosting integration package for Python prerelease</w:t>
      </w:r>
      <w:r>
        <w:t xml:space="preserve"> </w:t>
      </w:r>
      <w:r>
        <w:rPr>
          <w:rStyle w:val="ClaimLabel"/>
        </w:rPr>
        <w:t xml:space="preserve">VF</w:t>
      </w:r>
      <w:r>
        <w:rPr>
          <w:rStyle w:val="FootnoteReference"/>
        </w:rPr>
        <w:footnoteReference w:id="1086"/>
      </w:r>
    </w:p>
    <w:p>
      <w:pPr>
        <w:numPr>
          <w:ilvl w:val="0"/>
          <w:numId w:val="1238"/>
        </w:numPr>
        <w:pStyle w:val="Compact"/>
      </w:pPr>
      <w:r>
        <w:t xml:space="preserve">First-class integrations are Azure/Foundry</w:t>
      </w:r>
      <w:r>
        <w:t xml:space="preserve"> </w:t>
      </w:r>
      <w:r>
        <w:rPr>
          <w:rStyle w:val="ClaimLabel"/>
        </w:rPr>
        <w:t xml:space="preserve">VF</w:t>
      </w:r>
      <w:r>
        <w:rPr>
          <w:rStyle w:val="FootnoteReference"/>
        </w:rPr>
        <w:footnoteReference w:id="1087"/>
      </w:r>
    </w:p>
    <w:p>
      <w:pPr>
        <w:numPr>
          <w:ilvl w:val="0"/>
          <w:numId w:val="1238"/>
        </w:numPr>
        <w:pStyle w:val="Compact"/>
      </w:pPr>
      <w:r>
        <w:t xml:space="preserve">Young GA (April 2026)</w:t>
      </w:r>
      <w:r>
        <w:t xml:space="preserve"> </w:t>
      </w:r>
      <w:r>
        <w:rPr>
          <w:rStyle w:val="ClaimLabel"/>
        </w:rPr>
        <w:t xml:space="preserve">VF</w:t>
      </w:r>
      <w:r>
        <w:rPr>
          <w:rStyle w:val="FootnoteReference"/>
        </w:rPr>
        <w:footnoteReference w:id="1088"/>
      </w:r>
    </w:p>
    <w:p>
      <w:pPr>
        <w:pStyle w:val="FirstParagraph"/>
      </w:pPr>
      <w:r>
        <w:rPr>
          <w:bCs/>
          <w:b/>
        </w:rPr>
        <w:t xml:space="preserve">Choose when</w:t>
      </w:r>
    </w:p>
    <w:p>
      <w:pPr>
        <w:numPr>
          <w:ilvl w:val="0"/>
          <w:numId w:val="1239"/>
        </w:numPr>
        <w:pStyle w:val="Compact"/>
      </w:pPr>
      <w:r>
        <w:t xml:space="preserve">Microsoft/.NET estate, or Semantic Kernel/AutoGen code to migrate</w:t>
      </w:r>
      <w:r>
        <w:t xml:space="preserve"> </w:t>
      </w:r>
      <w:r>
        <w:rPr>
          <w:rStyle w:val="ClaimLabel"/>
        </w:rPr>
        <w:t xml:space="preserve">AJ</w:t>
      </w:r>
    </w:p>
    <w:p>
      <w:pPr>
        <w:pStyle w:val="FirstParagraph"/>
      </w:pPr>
      <w:r>
        <w:rPr>
          <w:bCs/>
          <w:b/>
        </w:rPr>
        <w:t xml:space="preserve">Avoid when</w:t>
      </w:r>
    </w:p>
    <w:p>
      <w:pPr>
        <w:numPr>
          <w:ilvl w:val="0"/>
          <w:numId w:val="1240"/>
        </w:numPr>
        <w:pStyle w:val="Compact"/>
      </w:pPr>
      <w:r>
        <w:t xml:space="preserve">You need GA durable execution today without adding Temporal or Durable Task</w:t>
      </w:r>
      <w:r>
        <w:t xml:space="preserve"> </w:t>
      </w:r>
      <w:r>
        <w:rPr>
          <w:rStyle w:val="ClaimLabel"/>
        </w:rPr>
        <w:t xml:space="preserve">AJ</w:t>
      </w:r>
    </w:p>
    <w:p>
      <w:pPr>
        <w:pStyle w:val="FirstParagraph"/>
      </w:pPr>
      <w:r>
        <w:rPr>
          <w:bCs/>
          <w:b/>
        </w:rPr>
        <w:t xml:space="preserve">Nearest competitors:</w:t>
      </w:r>
      <w:r>
        <w:t xml:space="preserve"> </w:t>
      </w:r>
      <w:r>
        <w:t xml:space="preserve">L3-langgraph, L3-google-adk, L3-aws-strands-agentcore</w:t>
      </w:r>
    </w:p>
    <w:p>
      <w:pPr>
        <w:pStyle w:val="BodyText"/>
      </w:pPr>
      <w:r>
        <w:rPr>
          <w:bCs/>
          <w:b/>
        </w:rPr>
        <w:t xml:space="preserve">Regulated-FS note.</w:t>
      </w:r>
      <w:r>
        <w:t xml:space="preserve"> </w:t>
      </w:r>
      <w:r>
        <w:t xml:space="preserve">Migrate Semantic Kernel and AutoGen workloads here; until durable packages are GA, back long-running workflows with a GA durable engine</w:t>
      </w:r>
      <w:r>
        <w:t xml:space="preserve"> </w:t>
      </w:r>
      <w:r>
        <w:rPr>
          <w:rStyle w:val="ClaimLabel"/>
        </w:rPr>
        <w:t xml:space="preserve">Rec</w:t>
      </w:r>
      <w:r>
        <w:t xml:space="preserve">.</w:t>
      </w:r>
    </w:p>
    <w:p>
      <w:pPr>
        <w:pStyle w:val="BodyText"/>
      </w:pPr>
      <w:r>
        <w:rPr>
          <w:bCs/>
          <w:b/>
        </w:rPr>
        <w:t xml:space="preserve">Facts (as of 2026-10-08)</w:t>
      </w:r>
    </w:p>
    <w:tbl>
      <w:tblPr>
        <w:tblStyle w:val="Table"/>
        <w:tblW w:type="pct" w:w="5000"/>
        <w:tblLook w:firstRow="1" w:lastRow="0" w:firstColumn="0" w:lastColumn="0" w:noHBand="0" w:noVBand="0" w:val="0020"/>
        <w:jc w:val="start"/>
      </w:tblPr>
      <w:tblGrid>
        <w:gridCol w:w="1485"/>
        <w:gridCol w:w="4290"/>
        <w:gridCol w:w="1320"/>
        <w:gridCol w:w="825"/>
      </w:tblGrid>
      <w:tr>
        <w:trPr>
          <w:tblHeader w:val="true"/>
        </w:trPr>
        <w:tc>
          <w:tcPr/>
          <w:p>
            <w:pPr>
              <w:pStyle w:val="Compact"/>
              <w:jc w:val="left"/>
            </w:pPr>
            <w:r>
              <w:t xml:space="preserve">Field</w:t>
            </w:r>
          </w:p>
        </w:tc>
        <w:tc>
          <w:tcPr/>
          <w:p>
            <w:pPr>
              <w:pStyle w:val="Compact"/>
              <w:jc w:val="left"/>
            </w:pPr>
            <w:r>
              <w:t xml:space="preserve">Value</w:t>
            </w:r>
          </w:p>
        </w:tc>
        <w:tc>
          <w:tcPr/>
          <w:p>
            <w:pPr>
              <w:pStyle w:val="Compact"/>
              <w:jc w:val="left"/>
            </w:pPr>
            <w:r>
              <w:t xml:space="preserve">Label</w:t>
            </w:r>
          </w:p>
        </w:tc>
        <w:tc>
          <w:tcPr/>
          <w:p>
            <w:pPr>
              <w:pStyle w:val="Compact"/>
              <w:jc w:val="left"/>
            </w:pPr>
            <w:r>
              <w:t xml:space="preserve">Sources</w:t>
            </w:r>
          </w:p>
        </w:tc>
      </w:tr>
      <w:tr>
        <w:tc>
          <w:tcPr/>
          <w:p>
            <w:pPr>
              <w:pStyle w:val="Compact"/>
              <w:jc w:val="left"/>
            </w:pPr>
            <w:r>
              <w:t xml:space="preserve">Company</w:t>
            </w:r>
          </w:p>
        </w:tc>
        <w:tc>
          <w:tcPr/>
          <w:p>
            <w:pPr>
              <w:pStyle w:val="Compact"/>
              <w:jc w:val="left"/>
            </w:pPr>
            <w:r>
              <w:t xml:space="preserve">Microsoft Corporation</w:t>
            </w:r>
          </w:p>
        </w:tc>
        <w:tc>
          <w:tcPr/>
          <w:p>
            <w:pPr>
              <w:pStyle w:val="Compact"/>
              <w:jc w:val="left"/>
            </w:pPr>
            <w:r>
              <w:t xml:space="preserve">Verified fact</w:t>
            </w:r>
          </w:p>
        </w:tc>
        <w:tc>
          <w:tcPr/>
          <w:p>
            <w:pPr>
              <w:pStyle w:val="Compact"/>
              <w:jc w:val="left"/>
            </w:pPr>
            <w:r>
              <w:t xml:space="preserve">A4-S067</w:t>
            </w:r>
          </w:p>
        </w:tc>
      </w:tr>
      <w:tr>
        <w:tc>
          <w:tcPr/>
          <w:p>
            <w:pPr>
              <w:pStyle w:val="Compact"/>
              <w:jc w:val="left"/>
            </w:pPr>
            <w:r>
              <w:t xml:space="preserve">Category</w:t>
            </w:r>
          </w:p>
        </w:tc>
        <w:tc>
          <w:tcPr/>
          <w:p>
            <w:pPr>
              <w:pStyle w:val="Compact"/>
              <w:jc w:val="left"/>
            </w:pPr>
            <w:r>
              <w:t xml:space="preserve">Multi-language agent and multi-agent workflow framework (Python, .NET, Go)</w:t>
            </w:r>
          </w:p>
        </w:tc>
        <w:tc>
          <w:tcPr/>
          <w:p>
            <w:pPr>
              <w:pStyle w:val="Compact"/>
              <w:jc w:val="left"/>
            </w:pPr>
            <w:r>
              <w:t xml:space="preserve">Verified fact</w:t>
            </w:r>
          </w:p>
        </w:tc>
        <w:tc>
          <w:tcPr/>
          <w:p>
            <w:pPr>
              <w:pStyle w:val="Compact"/>
              <w:jc w:val="left"/>
            </w:pPr>
            <w:r>
              <w:t xml:space="preserve">A4-S066</w:t>
            </w:r>
          </w:p>
        </w:tc>
      </w:tr>
      <w:tr>
        <w:tc>
          <w:tcPr/>
          <w:p>
            <w:pPr>
              <w:pStyle w:val="Compact"/>
              <w:jc w:val="left"/>
            </w:pPr>
            <w:r>
              <w:t xml:space="preserve">Version / lineup</w:t>
            </w:r>
          </w:p>
        </w:tc>
        <w:tc>
          <w:tcPr/>
          <w:p>
            <w:pPr>
              <w:pStyle w:val="Compact"/>
              <w:jc w:val="left"/>
            </w:pPr>
            <w:r>
              <w:t xml:space="preserve">agent-framework (Python) 1.20.0 (2 October 2026); 1.0.0 GA 2 April 2026 (Development Status: Production/Stable); durable extensions agent-framework-durabletask and agent-framework-azurefunctions still beta (1.0.0b260922)</w:t>
            </w:r>
          </w:p>
        </w:tc>
        <w:tc>
          <w:tcPr/>
          <w:p>
            <w:pPr>
              <w:pStyle w:val="Compact"/>
              <w:jc w:val="left"/>
            </w:pPr>
            <w:r>
              <w:t xml:space="preserve">Verified fact</w:t>
            </w:r>
          </w:p>
        </w:tc>
        <w:tc>
          <w:tcPr/>
          <w:p>
            <w:pPr>
              <w:pStyle w:val="Compact"/>
              <w:jc w:val="left"/>
            </w:pPr>
            <w:r>
              <w:t xml:space="preserve">A4-S008, A4-S101, A4-S102</w:t>
            </w:r>
          </w:p>
        </w:tc>
      </w:tr>
      <w:tr>
        <w:tc>
          <w:tcPr/>
          <w:p>
            <w:pPr>
              <w:pStyle w:val="Compact"/>
              <w:jc w:val="left"/>
            </w:pPr>
            <w:r>
              <w:t xml:space="preserve">Licence</w:t>
            </w:r>
          </w:p>
        </w:tc>
        <w:tc>
          <w:tcPr/>
          <w:p>
            <w:pPr>
              <w:pStyle w:val="Compact"/>
              <w:jc w:val="left"/>
            </w:pPr>
            <w:r>
              <w:t xml:space="preserve">Open source, MIT</w:t>
            </w:r>
          </w:p>
        </w:tc>
        <w:tc>
          <w:tcPr/>
          <w:p>
            <w:pPr>
              <w:pStyle w:val="Compact"/>
              <w:jc w:val="left"/>
            </w:pPr>
            <w:r>
              <w:t xml:space="preserve">Verified fact</w:t>
            </w:r>
          </w:p>
        </w:tc>
        <w:tc>
          <w:tcPr/>
          <w:p>
            <w:pPr>
              <w:pStyle w:val="Compact"/>
              <w:jc w:val="left"/>
            </w:pPr>
            <w:r>
              <w:t xml:space="preserve">A4-S067, A4-S008</w:t>
            </w:r>
          </w:p>
        </w:tc>
      </w:tr>
      <w:tr>
        <w:tc>
          <w:tcPr/>
          <w:p>
            <w:pPr>
              <w:pStyle w:val="Compact"/>
              <w:jc w:val="left"/>
            </w:pPr>
            <w:r>
              <w:t xml:space="preserve">Status events</w:t>
            </w:r>
          </w:p>
        </w:tc>
        <w:tc>
          <w:tcPr/>
          <w:p>
            <w:pPr>
              <w:pStyle w:val="Compact"/>
              <w:jc w:val="left"/>
            </w:pPr>
            <w:r>
              <w:t xml:space="preserve">1 October 2025: first public preview on PyPI; 2 April 2026: 1.0.0 GA; Semantic Kernel README:</w:t>
            </w:r>
            <w:r>
              <w:t xml:space="preserve"> </w:t>
            </w:r>
            <w:r>
              <w:t xml:space="preserve">‘</w:t>
            </w:r>
            <w:r>
              <w:t xml:space="preserve">Semantic Kernel is now Microsoft Agent Framework</w:t>
            </w:r>
            <w:r>
              <w:t xml:space="preserve">’</w:t>
            </w:r>
            <w:r>
              <w:t xml:space="preserve">; AutoGen placed in maintenance mode (no new features; community managed); last autogen-agentchat release 0.7.5 on 30 September 2025</w:t>
            </w:r>
          </w:p>
        </w:tc>
        <w:tc>
          <w:tcPr/>
          <w:p>
            <w:pPr>
              <w:pStyle w:val="Compact"/>
              <w:jc w:val="left"/>
            </w:pPr>
            <w:r>
              <w:t xml:space="preserve">Verified fact</w:t>
            </w:r>
          </w:p>
        </w:tc>
        <w:tc>
          <w:tcPr/>
          <w:p>
            <w:pPr>
              <w:pStyle w:val="Compact"/>
              <w:jc w:val="left"/>
            </w:pPr>
            <w:r>
              <w:t xml:space="preserve">A4-S008, A4-S012, A4-S068, A4-S021, V1-S050, V1-S052</w:t>
            </w:r>
          </w:p>
        </w:tc>
      </w:tr>
      <w:tr>
        <w:tc>
          <w:tcPr/>
          <w:p>
            <w:pPr>
              <w:pStyle w:val="Compact"/>
              <w:jc w:val="left"/>
            </w:pPr>
            <w:r>
              <w:t xml:space="preserve">Strategic direction</w:t>
            </w:r>
          </w:p>
        </w:tc>
        <w:tc>
          <w:tcPr/>
          <w:p>
            <w:pPr>
              <w:pStyle w:val="Compact"/>
              <w:jc w:val="left"/>
            </w:pPr>
            <w:r>
              <w:t xml:space="preserve">Declared</w:t>
            </w:r>
            <w:r>
              <w:t xml:space="preserve"> </w:t>
            </w:r>
            <w:r>
              <w:t xml:space="preserve">‘</w:t>
            </w:r>
            <w:r>
              <w:t xml:space="preserve">enterprise-ready successor</w:t>
            </w:r>
            <w:r>
              <w:t xml:space="preserve">’</w:t>
            </w:r>
            <w:r>
              <w:t xml:space="preserve"> </w:t>
            </w:r>
            <w:r>
              <w:t xml:space="preserve">to both Semantic Kernel and AutoGen; graph-based workflows (sequential, concurrent, handoff, group collaboration) with checkpointing, streaming, human-in-the-loop and time-travel; Foundry Hosted Agents; A2A and MCP interoperability; declarative YAML agents; Agent Skills</w:t>
            </w:r>
          </w:p>
        </w:tc>
        <w:tc>
          <w:tcPr/>
          <w:p>
            <w:pPr>
              <w:pStyle w:val="Compact"/>
              <w:jc w:val="left"/>
            </w:pPr>
            <w:r>
              <w:t xml:space="preserve">Verified fact</w:t>
            </w:r>
          </w:p>
        </w:tc>
        <w:tc>
          <w:tcPr/>
          <w:p>
            <w:pPr>
              <w:pStyle w:val="Compact"/>
              <w:jc w:val="left"/>
            </w:pPr>
            <w:r>
              <w:t xml:space="preserve">A4-S066, A4-S012, A4-S068</w:t>
            </w:r>
          </w:p>
        </w:tc>
      </w:tr>
      <w:tr>
        <w:tc>
          <w:tcPr/>
          <w:p>
            <w:pPr>
              <w:pStyle w:val="Compact"/>
              <w:jc w:val="left"/>
            </w:pPr>
            <w:r>
              <w:t xml:space="preserve">What it does</w:t>
            </w:r>
          </w:p>
        </w:tc>
        <w:tc>
          <w:tcPr/>
          <w:p>
            <w:pPr>
              <w:pStyle w:val="Compact"/>
              <w:jc w:val="left"/>
            </w:pPr>
            <w:r>
              <w:t xml:space="preserve">Builds agents (chat-client based, multi-provider) and multi-agent workflows; middleware; OpenTelemetry observability; DevUI; durable agents via Durable Task or Azure Durable Functions that persist state and recover from failures.</w:t>
            </w:r>
          </w:p>
        </w:tc>
        <w:tc>
          <w:tcPr/>
          <w:p>
            <w:pPr>
              <w:pStyle w:val="Compact"/>
              <w:jc w:val="left"/>
            </w:pPr>
            <w:r>
              <w:t xml:space="preserve">Verified fact</w:t>
            </w:r>
          </w:p>
        </w:tc>
        <w:tc>
          <w:tcPr/>
          <w:p>
            <w:pPr>
              <w:pStyle w:val="Compact"/>
              <w:jc w:val="left"/>
            </w:pPr>
            <w:r>
              <w:t xml:space="preserve">A4-S066, A4-S101, A4-S102</w:t>
            </w:r>
          </w:p>
        </w:tc>
      </w:tr>
      <w:tr>
        <w:tc>
          <w:tcPr/>
          <w:p>
            <w:pPr>
              <w:pStyle w:val="Compact"/>
              <w:jc w:val="left"/>
            </w:pPr>
            <w:r>
              <w:t xml:space="preserve">Stack position</w:t>
            </w:r>
          </w:p>
        </w:tc>
        <w:tc>
          <w:tcPr/>
          <w:p>
            <w:pPr>
              <w:pStyle w:val="Compact"/>
              <w:jc w:val="left"/>
            </w:pPr>
            <w:r>
              <w:t xml:space="preserve">L3; explicitly separates Agents from graph-based Workflows within one framework</w:t>
            </w:r>
          </w:p>
        </w:tc>
        <w:tc>
          <w:tcPr/>
          <w:p>
            <w:pPr>
              <w:pStyle w:val="Compact"/>
              <w:jc w:val="left"/>
            </w:pPr>
            <w:r>
              <w:t xml:space="preserve">Verified fact</w:t>
            </w:r>
          </w:p>
        </w:tc>
        <w:tc>
          <w:tcPr/>
          <w:p>
            <w:pPr>
              <w:pStyle w:val="Compact"/>
              <w:jc w:val="left"/>
            </w:pPr>
            <w:r>
              <w:t xml:space="preserve">A4-S066</w:t>
            </w:r>
          </w:p>
        </w:tc>
      </w:tr>
      <w:tr>
        <w:tc>
          <w:tcPr/>
          <w:p>
            <w:pPr>
              <w:pStyle w:val="Compact"/>
              <w:jc w:val="left"/>
            </w:pPr>
            <w:r>
              <w:t xml:space="preserve">Integration</w:t>
            </w:r>
          </w:p>
        </w:tc>
        <w:tc>
          <w:tcPr/>
          <w:p>
            <w:pPr>
              <w:pStyle w:val="Compact"/>
              <w:jc w:val="left"/>
            </w:pPr>
            <w:r>
              <w:t xml:space="preserve">Python packages (agent-framework-core, -foundry, preview -copilotstudio), NuGet for .NET; A2A and MCP; OpenTelemetry</w:t>
            </w:r>
          </w:p>
        </w:tc>
        <w:tc>
          <w:tcPr/>
          <w:p>
            <w:pPr>
              <w:pStyle w:val="Compact"/>
              <w:jc w:val="left"/>
            </w:pPr>
            <w:r>
              <w:t xml:space="preserve">Verified fact</w:t>
            </w:r>
          </w:p>
        </w:tc>
        <w:tc>
          <w:tcPr/>
          <w:p>
            <w:pPr>
              <w:pStyle w:val="Compact"/>
              <w:jc w:val="left"/>
            </w:pPr>
            <w:r>
              <w:t xml:space="preserve">A4-S008, A4-S066, A4-S012</w:t>
            </w:r>
          </w:p>
        </w:tc>
      </w:tr>
      <w:tr>
        <w:tc>
          <w:tcPr/>
          <w:p>
            <w:pPr>
              <w:pStyle w:val="Compact"/>
              <w:jc w:val="left"/>
            </w:pPr>
            <w:r>
              <w:t xml:space="preserve">Dependencies</w:t>
            </w:r>
          </w:p>
        </w:tc>
        <w:tc>
          <w:tcPr/>
          <w:p>
            <w:pPr>
              <w:pStyle w:val="Compact"/>
              <w:jc w:val="left"/>
            </w:pPr>
            <w:r>
              <w:t xml:space="preserve">Python &gt;=3.10 or .NET (Go SDK separate repo); providers incl. Microsoft Foundry, Azure OpenAI, OpenAI, GitHub Copilot SDK; optional Durable Task / Azure Functions</w:t>
            </w:r>
          </w:p>
        </w:tc>
        <w:tc>
          <w:tcPr/>
          <w:p>
            <w:pPr>
              <w:pStyle w:val="Compact"/>
              <w:jc w:val="left"/>
            </w:pPr>
            <w:r>
              <w:t xml:space="preserve">Verified fact</w:t>
            </w:r>
          </w:p>
        </w:tc>
        <w:tc>
          <w:tcPr/>
          <w:p>
            <w:pPr>
              <w:pStyle w:val="Compact"/>
              <w:jc w:val="left"/>
            </w:pPr>
            <w:r>
              <w:t xml:space="preserve">A4-S008, A4-S066, A4-S101</w:t>
            </w:r>
          </w:p>
        </w:tc>
      </w:tr>
      <w:tr>
        <w:tc>
          <w:tcPr/>
          <w:p>
            <w:pPr>
              <w:pStyle w:val="Compact"/>
              <w:jc w:val="left"/>
            </w:pPr>
            <w:r>
              <w:t xml:space="preserve">Certifications</w:t>
            </w:r>
          </w:p>
        </w:tc>
        <w:tc>
          <w:tcPr/>
          <w:p>
            <w:pPr>
              <w:pStyle w:val="Compact"/>
              <w:jc w:val="left"/>
            </w:pPr>
            <w:r>
              <w:t xml:space="preserve">Not applicable to the MIT library; Azure/Foundry certifications out of scope for this record</w:t>
            </w:r>
          </w:p>
        </w:tc>
        <w:tc>
          <w:tcPr/>
          <w:p>
            <w:pPr>
              <w:pStyle w:val="Compact"/>
              <w:jc w:val="left"/>
            </w:pPr>
            <w:r>
              <w:t xml:space="preserve">Architectural judgement</w:t>
            </w:r>
          </w:p>
        </w:tc>
        <w:tc>
          <w:tcPr/>
          <w:p>
            <w:pPr>
              <w:pStyle w:val="Compact"/>
            </w:pPr>
          </w:p>
        </w:tc>
      </w:tr>
      <w:tr>
        <w:tc>
          <w:tcPr/>
          <w:p>
            <w:pPr>
              <w:pStyle w:val="Compact"/>
              <w:jc w:val="left"/>
            </w:pPr>
            <w:r>
              <w:t xml:space="preserve">GDPR / residency</w:t>
            </w:r>
          </w:p>
        </w:tc>
        <w:tc>
          <w:tcPr/>
          <w:p>
            <w:pPr>
              <w:pStyle w:val="Compact"/>
              <w:jc w:val="left"/>
            </w:pPr>
            <w:r>
              <w:t xml:space="preserve">Inherits the chosen model provider/hosting (e.g. Azure region)</w:t>
            </w:r>
          </w:p>
        </w:tc>
        <w:tc>
          <w:tcPr/>
          <w:p>
            <w:pPr>
              <w:pStyle w:val="Compact"/>
              <w:jc w:val="left"/>
            </w:pPr>
            <w:r>
              <w:t xml:space="preserve">Architectural judgement</w:t>
            </w:r>
          </w:p>
        </w:tc>
        <w:tc>
          <w:tcPr/>
          <w:p>
            <w:pPr>
              <w:pStyle w:val="Compact"/>
            </w:pPr>
          </w:p>
        </w:tc>
      </w:tr>
      <w:tr>
        <w:tc>
          <w:tcPr/>
          <w:p>
            <w:pPr>
              <w:pStyle w:val="Compact"/>
              <w:jc w:val="left"/>
            </w:pPr>
            <w:r>
              <w:t xml:space="preserve">Security features</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Access controls</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Enterprise support</w:t>
            </w:r>
          </w:p>
        </w:tc>
        <w:tc>
          <w:tcPr/>
          <w:p>
            <w:pPr>
              <w:pStyle w:val="Compact"/>
              <w:jc w:val="left"/>
            </w:pPr>
            <w:r>
              <w:t xml:space="preserve">Microsoft states 1.0 comes with stable APIs and a commitment to long-term support</w:t>
            </w:r>
          </w:p>
        </w:tc>
        <w:tc>
          <w:tcPr/>
          <w:p>
            <w:pPr>
              <w:pStyle w:val="Compact"/>
              <w:jc w:val="left"/>
            </w:pPr>
            <w:r>
              <w:t xml:space="preserve">Verified fact</w:t>
            </w:r>
          </w:p>
        </w:tc>
        <w:tc>
          <w:tcPr/>
          <w:p>
            <w:pPr>
              <w:pStyle w:val="Compact"/>
              <w:jc w:val="left"/>
            </w:pPr>
            <w:r>
              <w:t xml:space="preserve">A4-S012, A4-S068</w:t>
            </w:r>
          </w:p>
        </w:tc>
      </w:tr>
      <w:tr>
        <w:tc>
          <w:tcPr/>
          <w:p>
            <w:pPr>
              <w:pStyle w:val="Compact"/>
              <w:jc w:val="left"/>
            </w:pPr>
            <w:r>
              <w:t xml:space="preserve">Pricing</w:t>
            </w:r>
          </w:p>
        </w:tc>
        <w:tc>
          <w:tcPr/>
          <w:p>
            <w:pPr>
              <w:pStyle w:val="Compact"/>
              <w:jc w:val="left"/>
            </w:pPr>
            <w:r>
              <w:t xml:space="preserve">Free (MIT); hosting and models billed separately</w:t>
            </w:r>
          </w:p>
        </w:tc>
        <w:tc>
          <w:tcPr/>
          <w:p>
            <w:pPr>
              <w:pStyle w:val="Compact"/>
              <w:jc w:val="left"/>
            </w:pPr>
            <w:r>
              <w:t xml:space="preserve">Verified fact</w:t>
            </w:r>
          </w:p>
        </w:tc>
        <w:tc>
          <w:tcPr/>
          <w:p>
            <w:pPr>
              <w:pStyle w:val="Compact"/>
              <w:jc w:val="left"/>
            </w:pPr>
            <w:r>
              <w:t xml:space="preserve">A4-S067</w:t>
            </w:r>
          </w:p>
        </w:tc>
      </w:tr>
      <w:tr>
        <w:tc>
          <w:tcPr/>
          <w:p>
            <w:pPr>
              <w:pStyle w:val="Compact"/>
              <w:jc w:val="left"/>
            </w:pPr>
            <w:r>
              <w:t xml:space="preserve">Infrastructure cost</w:t>
            </w:r>
          </w:p>
        </w:tc>
        <w:tc>
          <w:tcPr/>
          <w:p>
            <w:pPr>
              <w:pStyle w:val="Compact"/>
              <w:jc w:val="left"/>
            </w:pPr>
            <w:r>
              <w:t xml:space="preserve">Durable agents require a Durable Task scheduler or Azure Functions</w:t>
            </w:r>
          </w:p>
        </w:tc>
        <w:tc>
          <w:tcPr/>
          <w:p>
            <w:pPr>
              <w:pStyle w:val="Compact"/>
              <w:jc w:val="left"/>
            </w:pPr>
            <w:r>
              <w:t xml:space="preserve">Architectural judgement</w:t>
            </w:r>
          </w:p>
        </w:tc>
        <w:tc>
          <w:tcPr/>
          <w:p>
            <w:pPr>
              <w:pStyle w:val="Compact"/>
            </w:pPr>
          </w:p>
        </w:tc>
      </w:tr>
      <w:tr>
        <w:tc>
          <w:tcPr/>
          <w:p>
            <w:pPr>
              <w:pStyle w:val="Compact"/>
              <w:jc w:val="left"/>
            </w:pPr>
            <w:r>
              <w:t xml:space="preserve">Ecosystem</w:t>
            </w:r>
          </w:p>
        </w:tc>
        <w:tc>
          <w:tcPr/>
          <w:p>
            <w:pPr>
              <w:pStyle w:val="Compact"/>
              <w:jc w:val="left"/>
            </w:pPr>
            <w:r>
              <w:t xml:space="preserve">Microsoft Foundry, Azure OpenAI, OpenAI, Copilot Studio, GitHub Copilot SDK; A2A; MCP</w:t>
            </w:r>
          </w:p>
        </w:tc>
        <w:tc>
          <w:tcPr/>
          <w:p>
            <w:pPr>
              <w:pStyle w:val="Compact"/>
              <w:jc w:val="left"/>
            </w:pPr>
            <w:r>
              <w:t xml:space="preserve">Verified fact</w:t>
            </w:r>
          </w:p>
        </w:tc>
        <w:tc>
          <w:tcPr/>
          <w:p>
            <w:pPr>
              <w:pStyle w:val="Compact"/>
              <w:jc w:val="left"/>
            </w:pPr>
            <w:r>
              <w:t xml:space="preserve">A4-S066, A4-S008</w:t>
            </w:r>
          </w:p>
        </w:tc>
      </w:tr>
      <w:tr>
        <w:tc>
          <w:tcPr/>
          <w:p>
            <w:pPr>
              <w:pStyle w:val="Compact"/>
              <w:jc w:val="left"/>
            </w:pPr>
            <w:r>
              <w:t xml:space="preserve">Adoption signals</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Maturity</w:t>
            </w:r>
          </w:p>
        </w:tc>
        <w:tc>
          <w:tcPr/>
          <w:p>
            <w:pPr>
              <w:pStyle w:val="Compact"/>
              <w:jc w:val="left"/>
            </w:pPr>
            <w:r>
              <w:t xml:space="preserve">GA since April 2026; weekly-to-fortnightly minor releases (1.13 on 30 July 2026 to 1.20 on 2 October 2026)</w:t>
            </w:r>
          </w:p>
        </w:tc>
        <w:tc>
          <w:tcPr/>
          <w:p>
            <w:pPr>
              <w:pStyle w:val="Compact"/>
              <w:jc w:val="left"/>
            </w:pPr>
            <w:r>
              <w:t xml:space="preserve">Verified fact</w:t>
            </w:r>
          </w:p>
        </w:tc>
        <w:tc>
          <w:tcPr/>
          <w:p>
            <w:pPr>
              <w:pStyle w:val="Compact"/>
              <w:jc w:val="left"/>
            </w:pPr>
            <w:r>
              <w:t xml:space="preserve">A4-S008</w:t>
            </w:r>
          </w:p>
        </w:tc>
      </w:tr>
      <w:tr>
        <w:tc>
          <w:tcPr/>
          <w:p>
            <w:pPr>
              <w:pStyle w:val="Compact"/>
              <w:jc w:val="left"/>
            </w:pPr>
            <w:r>
              <w:t xml:space="preserve">Deployment</w:t>
            </w:r>
          </w:p>
        </w:tc>
        <w:tc>
          <w:tcPr/>
          <w:p>
            <w:pPr>
              <w:pStyle w:val="Compact"/>
              <w:jc w:val="left"/>
            </w:pPr>
            <w:r>
              <w:t xml:space="preserve">saas: No for the framework; Foundry Hosted Agents provides managed hosting; managed_cloud: Yes (Foundry Hosted Agents; Azure Durable Functions); vpc_byoc: Yes (library runs inside the customer’s own environment); private_cloud: Yes (library runs inside the customer’s own environment); self_hosted: Yes; on_prem: Yes (library)</w:t>
            </w:r>
          </w:p>
        </w:tc>
        <w:tc>
          <w:tcPr/>
          <w:p>
            <w:pPr>
              <w:pStyle w:val="Compact"/>
            </w:pPr>
          </w:p>
        </w:tc>
        <w:tc>
          <w:tcPr/>
          <w:p>
            <w:pPr>
              <w:pStyle w:val="Compact"/>
            </w:pPr>
          </w:p>
        </w:tc>
      </w:tr>
    </w:tbl>
    <w:bookmarkEnd w:id="1089"/>
    <w:bookmarkStart w:id="1107" w:name="pydantic-ai-l3-pydantic-ai"/>
    <w:p>
      <w:pPr>
        <w:pStyle w:val="Heading2"/>
      </w:pPr>
      <w:r>
        <w:t xml:space="preserve">Pydantic AI (</w:t>
      </w:r>
      <w:r>
        <w:rPr>
          <w:rStyle w:val="VerbatimChar"/>
        </w:rPr>
        <w:t xml:space="preserve">L3-pydantic-ai</w:t>
      </w:r>
      <w:r>
        <w:t xml:space="preserve">)</w:t>
      </w:r>
    </w:p>
    <w:p>
      <w:pPr>
        <w:pStyle w:val="FirstParagraph"/>
      </w:pPr>
      <w:r>
        <w:rPr>
          <w:bCs/>
          <w:b/>
        </w:rPr>
        <w:t xml:space="preserve">Tier:</w:t>
      </w:r>
      <w:r>
        <w:t xml:space="preserve"> </w:t>
      </w:r>
      <w:r>
        <w:t xml:space="preserve">Strategic ·</w:t>
      </w:r>
      <w:r>
        <w:t xml:space="preserve"> </w:t>
      </w:r>
      <w:r>
        <w:rPr>
          <w:bCs/>
          <w:b/>
        </w:rPr>
        <w:t xml:space="preserve">Flags:</w:t>
      </w:r>
      <w:r>
        <w:t xml:space="preserve"> </w:t>
      </w:r>
      <w:r>
        <w:t xml:space="preserve">none ·</w:t>
      </w:r>
      <w:r>
        <w:t xml:space="preserve"> </w:t>
      </w:r>
      <w:r>
        <w:rPr>
          <w:bCs/>
          <w:b/>
        </w:rPr>
        <w:t xml:space="preserve">Original graphic label:</w:t>
      </w:r>
      <w:r>
        <w:t xml:space="preserve"> </w:t>
      </w:r>
      <w:r>
        <w:t xml:space="preserve">Pydantic AI – type-safe</w:t>
      </w:r>
    </w:p>
    <w:p>
      <w:pPr>
        <w:pStyle w:val="BodyText"/>
      </w:pPr>
      <w:r>
        <w:rPr>
          <w:iCs/>
          <w:i/>
        </w:rPr>
        <w:t xml:space="preserve">Rationale:</w:t>
      </w:r>
      <w:r>
        <w:t xml:space="preserve"> </w:t>
      </w:r>
      <w:r>
        <w:t xml:space="preserve">Strategic, conditional: for Python teams wanting type-safe agents, typically as the typed agent step inside a Temporal or DBOS workflow; pin the major version (breaking v2 ten months after v1) and note that commercial support is not verified. Upgraded from Tactical by the reader at Checkpoint 4 (CP4-4); scores unchanged (FS 3.55)</w:t>
      </w:r>
      <w:r>
        <w:t xml:space="preserve"> </w:t>
      </w:r>
      <w:r>
        <w:rPr>
          <w:rStyle w:val="ClaimLabel"/>
        </w:rPr>
        <w:t xml:space="preserve">AJ</w:t>
      </w:r>
      <w:r>
        <w:t xml:space="preserve">.</w:t>
      </w:r>
    </w:p>
    <w:tbl>
      <w:tblPr>
        <w:tblStyle w:val="Table"/>
        <w:tblW w:type="pct" w:w="5000"/>
        <w:tblLook w:firstRow="1" w:lastRow="0" w:firstColumn="0" w:lastColumn="0" w:noHBand="0" w:noVBand="0" w:val="0020"/>
        <w:jc w:val="start"/>
      </w:tblPr>
      <w:tblGrid>
        <w:gridCol w:w="1545"/>
        <w:gridCol w:w="579"/>
        <w:gridCol w:w="5795"/>
      </w:tblGrid>
      <w:tr>
        <w:trPr>
          <w:tblHeader w:val="true"/>
        </w:trPr>
        <w:tc>
          <w:tcPr/>
          <w:p>
            <w:pPr>
              <w:pStyle w:val="Compact"/>
              <w:jc w:val="left"/>
            </w:pPr>
            <w:r>
              <w:t xml:space="preserve">Criterion</w:t>
            </w:r>
          </w:p>
        </w:tc>
        <w:tc>
          <w:tcPr/>
          <w:p>
            <w:pPr>
              <w:pStyle w:val="Compact"/>
              <w:jc w:val="right"/>
            </w:pPr>
            <w:r>
              <w:t xml:space="preserve">Score</w:t>
            </w:r>
          </w:p>
        </w:tc>
        <w:tc>
          <w:tcPr/>
          <w:p>
            <w:pPr>
              <w:pStyle w:val="Compact"/>
              <w:jc w:val="left"/>
            </w:pPr>
            <w:r>
              <w:t xml:space="preserve">Rationale</w:t>
            </w:r>
          </w:p>
        </w:tc>
      </w:tr>
      <w:tr>
        <w:tc>
          <w:tcPr/>
          <w:p>
            <w:pPr>
              <w:pStyle w:val="Compact"/>
              <w:jc w:val="left"/>
            </w:pPr>
            <w:r>
              <w:t xml:space="preserve">Technical</w:t>
            </w:r>
          </w:p>
        </w:tc>
        <w:tc>
          <w:tcPr/>
          <w:p>
            <w:pPr>
              <w:pStyle w:val="Compact"/>
              <w:jc w:val="right"/>
            </w:pPr>
            <w:r>
              <w:t xml:space="preserve">4</w:t>
            </w:r>
          </w:p>
        </w:tc>
        <w:tc>
          <w:tcPr/>
          <w:p>
            <w:pPr>
              <w:pStyle w:val="Compact"/>
              <w:jc w:val="left"/>
            </w:pPr>
            <w:r>
              <w:t xml:space="preserve">Typed agent loop, graph control flow, durable capabilities via Temporal/DBOS/Prefect, MCP</w:t>
            </w:r>
            <w:r>
              <w:t xml:space="preserve"> </w:t>
            </w:r>
            <w:r>
              <w:rPr>
                <w:rStyle w:val="ClaimLabel"/>
              </w:rPr>
              <w:t xml:space="preserve">VF</w:t>
            </w:r>
            <w:r>
              <w:rPr>
                <w:rStyle w:val="FootnoteReference"/>
              </w:rPr>
              <w:footnoteReference w:id="1090"/>
            </w:r>
          </w:p>
        </w:tc>
      </w:tr>
      <w:tr>
        <w:tc>
          <w:tcPr/>
          <w:p>
            <w:pPr>
              <w:pStyle w:val="Compact"/>
              <w:jc w:val="left"/>
            </w:pPr>
            <w:r>
              <w:t xml:space="preserve">Enterprise readiness</w:t>
            </w:r>
          </w:p>
        </w:tc>
        <w:tc>
          <w:tcPr/>
          <w:p>
            <w:pPr>
              <w:pStyle w:val="Compact"/>
              <w:jc w:val="right"/>
            </w:pPr>
            <w:r>
              <w:t xml:space="preserve">3</w:t>
            </w:r>
          </w:p>
        </w:tc>
        <w:tc>
          <w:tcPr/>
          <w:p>
            <w:pPr>
              <w:pStyle w:val="Compact"/>
              <w:jc w:val="left"/>
            </w:pPr>
            <w:r>
              <w:t xml:space="preserve">Library (rule 2): enables controls in your estate; support not verified</w:t>
            </w:r>
            <w:r>
              <w:t xml:space="preserve"> </w:t>
            </w:r>
            <w:r>
              <w:rPr>
                <w:rStyle w:val="ClaimLabel"/>
              </w:rPr>
              <w:t xml:space="preserve">NPV</w:t>
            </w:r>
          </w:p>
        </w:tc>
      </w:tr>
      <w:tr>
        <w:tc>
          <w:tcPr/>
          <w:p>
            <w:pPr>
              <w:pStyle w:val="Compact"/>
              <w:jc w:val="left"/>
            </w:pPr>
            <w:r>
              <w:t xml:space="preserve">Security and compliance</w:t>
            </w:r>
          </w:p>
        </w:tc>
        <w:tc>
          <w:tcPr/>
          <w:p>
            <w:pPr>
              <w:pStyle w:val="Compact"/>
              <w:jc w:val="right"/>
            </w:pPr>
            <w:r>
              <w:t xml:space="preserve">3</w:t>
            </w:r>
          </w:p>
        </w:tc>
        <w:tc>
          <w:tcPr/>
          <w:p>
            <w:pPr>
              <w:pStyle w:val="Compact"/>
              <w:jc w:val="left"/>
            </w:pPr>
            <w:r>
              <w:t xml:space="preserve">Library hygiene: v1 security fixes promised for six months after v2</w:t>
            </w:r>
            <w:r>
              <w:t xml:space="preserve"> </w:t>
            </w:r>
            <w:r>
              <w:rPr>
                <w:rStyle w:val="ClaimLabel"/>
              </w:rPr>
              <w:t xml:space="preserve">VF</w:t>
            </w:r>
            <w:r>
              <w:rPr>
                <w:rStyle w:val="FootnoteReference"/>
              </w:rPr>
              <w:footnoteReference w:id="1092"/>
            </w:r>
            <w:r>
              <w:t xml:space="preserve">; inherits host controls</w:t>
            </w:r>
          </w:p>
        </w:tc>
      </w:tr>
      <w:tr>
        <w:tc>
          <w:tcPr/>
          <w:p>
            <w:pPr>
              <w:pStyle w:val="Compact"/>
              <w:jc w:val="left"/>
            </w:pPr>
            <w:r>
              <w:t xml:space="preserve">Deployment flexibility</w:t>
            </w:r>
          </w:p>
        </w:tc>
        <w:tc>
          <w:tcPr/>
          <w:p>
            <w:pPr>
              <w:pStyle w:val="Compact"/>
              <w:jc w:val="right"/>
            </w:pPr>
            <w:r>
              <w:t xml:space="preserve">4</w:t>
            </w:r>
          </w:p>
        </w:tc>
        <w:tc>
          <w:tcPr/>
          <w:p>
            <w:pPr>
              <w:pStyle w:val="Compact"/>
              <w:jc w:val="left"/>
            </w:pPr>
            <w:r>
              <w:t xml:space="preserve">Library anywhere; no managed runtime</w:t>
            </w:r>
            <w:r>
              <w:t xml:space="preserve"> </w:t>
            </w:r>
            <w:r>
              <w:rPr>
                <w:rStyle w:val="ClaimLabel"/>
              </w:rPr>
              <w:t xml:space="preserve">VF</w:t>
            </w:r>
            <w:r>
              <w:rPr>
                <w:rStyle w:val="FootnoteReference"/>
              </w:rPr>
              <w:footnoteReference w:id="1094"/>
            </w:r>
          </w:p>
        </w:tc>
      </w:tr>
      <w:tr>
        <w:tc>
          <w:tcPr/>
          <w:p>
            <w:pPr>
              <w:pStyle w:val="Compact"/>
              <w:jc w:val="left"/>
            </w:pPr>
            <w:r>
              <w:t xml:space="preserve">Ecosystem</w:t>
            </w:r>
          </w:p>
        </w:tc>
        <w:tc>
          <w:tcPr/>
          <w:p>
            <w:pPr>
              <w:pStyle w:val="Compact"/>
              <w:jc w:val="right"/>
            </w:pPr>
            <w:r>
              <w:t xml:space="preserve">4</w:t>
            </w:r>
          </w:p>
        </w:tc>
        <w:tc>
          <w:tcPr/>
          <w:p>
            <w:pPr>
              <w:pStyle w:val="Compact"/>
              <w:jc w:val="left"/>
            </w:pPr>
            <w:r>
              <w:t xml:space="preserve">Temporal, DBOS, Prefect integrations co-maintained; Logfire OTel</w:t>
            </w:r>
            <w:r>
              <w:t xml:space="preserve"> </w:t>
            </w:r>
            <w:r>
              <w:rPr>
                <w:rStyle w:val="ClaimLabel"/>
              </w:rPr>
              <w:t xml:space="preserve">VF</w:t>
            </w:r>
            <w:r>
              <w:rPr>
                <w:rStyle w:val="FootnoteReference"/>
              </w:rPr>
              <w:footnoteReference w:id="1096"/>
            </w:r>
          </w:p>
        </w:tc>
      </w:tr>
      <w:tr>
        <w:tc>
          <w:tcPr/>
          <w:p>
            <w:pPr>
              <w:pStyle w:val="Compact"/>
              <w:jc w:val="left"/>
            </w:pPr>
            <w:r>
              <w:t xml:space="preserve">Reliability and maturity</w:t>
            </w:r>
          </w:p>
        </w:tc>
        <w:tc>
          <w:tcPr/>
          <w:p>
            <w:pPr>
              <w:pStyle w:val="Compact"/>
              <w:jc w:val="right"/>
            </w:pPr>
            <w:r>
              <w:t xml:space="preserve">3</w:t>
            </w:r>
          </w:p>
        </w:tc>
        <w:tc>
          <w:tcPr/>
          <w:p>
            <w:pPr>
              <w:pStyle w:val="Compact"/>
              <w:jc w:val="left"/>
            </w:pPr>
            <w:r>
              <w:t xml:space="preserve">Production/Stable, but breaking v2 ten months after v1</w:t>
            </w:r>
            <w:r>
              <w:t xml:space="preserve"> </w:t>
            </w:r>
            <w:r>
              <w:rPr>
                <w:rStyle w:val="ClaimLabel"/>
              </w:rPr>
              <w:t xml:space="preserve">VF</w:t>
            </w:r>
            <w:r>
              <w:rPr>
                <w:rStyle w:val="FootnoteReference"/>
              </w:rPr>
              <w:footnoteReference w:id="1097"/>
            </w:r>
          </w:p>
        </w:tc>
      </w:tr>
      <w:tr>
        <w:tc>
          <w:tcPr/>
          <w:p>
            <w:pPr>
              <w:pStyle w:val="Compact"/>
              <w:jc w:val="left"/>
            </w:pPr>
            <w:r>
              <w:t xml:space="preserve">Cost / TCO</w:t>
            </w:r>
          </w:p>
        </w:tc>
        <w:tc>
          <w:tcPr/>
          <w:p>
            <w:pPr>
              <w:pStyle w:val="Compact"/>
              <w:jc w:val="right"/>
            </w:pPr>
            <w:r>
              <w:t xml:space="preserve">4</w:t>
            </w:r>
          </w:p>
        </w:tc>
        <w:tc>
          <w:tcPr/>
          <w:p>
            <w:pPr>
              <w:pStyle w:val="Compact"/>
              <w:jc w:val="left"/>
            </w:pPr>
            <w:r>
              <w:t xml:space="preserve">Free MIT; durability backend adds cost</w:t>
            </w:r>
            <w:r>
              <w:t xml:space="preserve"> </w:t>
            </w:r>
            <w:r>
              <w:rPr>
                <w:rStyle w:val="ClaimLabel"/>
              </w:rPr>
              <w:t xml:space="preserve">VF</w:t>
            </w:r>
            <w:r>
              <w:rPr>
                <w:rStyle w:val="FootnoteReference"/>
              </w:rPr>
              <w:footnoteReference w:id="1099"/>
            </w:r>
            <w:r>
              <w:t xml:space="preserve"> </w:t>
            </w:r>
            <w:r>
              <w:rPr>
                <w:rStyle w:val="ClaimLabel"/>
              </w:rPr>
              <w:t xml:space="preserve">AJ</w:t>
            </w:r>
          </w:p>
        </w:tc>
      </w:tr>
      <w:tr>
        <w:tc>
          <w:tcPr/>
          <w:p>
            <w:pPr>
              <w:pStyle w:val="Compact"/>
              <w:jc w:val="left"/>
            </w:pPr>
            <w:r>
              <w:t xml:space="preserve">Lock-in / portability</w:t>
            </w:r>
          </w:p>
        </w:tc>
        <w:tc>
          <w:tcPr/>
          <w:p>
            <w:pPr>
              <w:pStyle w:val="Compact"/>
              <w:jc w:val="right"/>
            </w:pPr>
            <w:r>
              <w:t xml:space="preserve">4</w:t>
            </w:r>
          </w:p>
        </w:tc>
        <w:tc>
          <w:tcPr/>
          <w:p>
            <w:pPr>
              <w:pStyle w:val="Compact"/>
              <w:jc w:val="left"/>
            </w:pPr>
            <w:r>
              <w:t xml:space="preserve">MIT, model-agnostic, durability on standard engines</w:t>
            </w:r>
            <w:r>
              <w:t xml:space="preserve"> </w:t>
            </w:r>
            <w:r>
              <w:rPr>
                <w:rStyle w:val="ClaimLabel"/>
              </w:rPr>
              <w:t xml:space="preserve">VF</w:t>
            </w:r>
            <w:r>
              <w:rPr>
                <w:rStyle w:val="FootnoteReference"/>
              </w:rPr>
              <w:footnoteReference w:id="1100"/>
            </w:r>
          </w:p>
        </w:tc>
      </w:tr>
      <w:tr>
        <w:tc>
          <w:tcPr/>
          <w:p>
            <w:pPr>
              <w:pStyle w:val="Compact"/>
              <w:jc w:val="left"/>
            </w:pPr>
            <w:r>
              <w:rPr>
                <w:bCs/>
                <w:b/>
              </w:rPr>
              <w:t xml:space="preserve">Total (generic / FS)</w:t>
            </w:r>
          </w:p>
        </w:tc>
        <w:tc>
          <w:tcPr/>
          <w:p>
            <w:pPr>
              <w:pStyle w:val="Compact"/>
              <w:jc w:val="right"/>
            </w:pPr>
            <w:r>
              <w:rPr>
                <w:bCs/>
                <w:b/>
              </w:rPr>
              <w:t xml:space="preserve">3.60 / 3.55</w:t>
            </w:r>
          </w:p>
        </w:tc>
        <w:tc>
          <w:tcPr/>
          <w:p>
            <w:pPr>
              <w:pStyle w:val="Compact"/>
            </w:pPr>
          </w:p>
        </w:tc>
      </w:tr>
    </w:tbl>
    <w:p>
      <w:pPr>
        <w:pStyle w:val="BodyText"/>
      </w:pPr>
      <w:r>
        <w:rPr>
          <w:bCs/>
          <w:b/>
        </w:rPr>
        <w:t xml:space="preserve">Capabilities.</w:t>
      </w:r>
      <w:r>
        <w:t xml:space="preserve"> </w:t>
      </w:r>
      <w:r>
        <w:t xml:space="preserve">Typed, model-agnostic Python agent loop with structured outputs and tools, pydantic_graph for graph control flow, and durable execution attached as a capability via Temporal, DBOS or Prefect</w:t>
      </w:r>
      <w:r>
        <w:t xml:space="preserve"> </w:t>
      </w:r>
      <w:r>
        <w:rPr>
          <w:rStyle w:val="ClaimLabel"/>
        </w:rPr>
        <w:t xml:space="preserve">VF</w:t>
      </w:r>
      <w:r>
        <w:rPr>
          <w:rStyle w:val="FootnoteReference"/>
        </w:rPr>
        <w:footnoteReference w:id="1101"/>
      </w:r>
      <w:r>
        <w:t xml:space="preserve">.</w:t>
      </w:r>
    </w:p>
    <w:p>
      <w:pPr>
        <w:pStyle w:val="BodyText"/>
      </w:pPr>
      <w:r>
        <w:rPr>
          <w:bCs/>
          <w:b/>
        </w:rPr>
        <w:t xml:space="preserve">Strengths</w:t>
      </w:r>
    </w:p>
    <w:p>
      <w:pPr>
        <w:numPr>
          <w:ilvl w:val="0"/>
          <w:numId w:val="1241"/>
        </w:numPr>
        <w:pStyle w:val="Compact"/>
      </w:pPr>
      <w:r>
        <w:t xml:space="preserve">Type-checked inputs and outputs suit numeric and structured tasks</w:t>
      </w:r>
      <w:r>
        <w:t xml:space="preserve"> </w:t>
      </w:r>
      <w:r>
        <w:rPr>
          <w:rStyle w:val="ClaimLabel"/>
        </w:rPr>
        <w:t xml:space="preserve">AJ</w:t>
      </w:r>
    </w:p>
    <w:p>
      <w:pPr>
        <w:numPr>
          <w:ilvl w:val="0"/>
          <w:numId w:val="1241"/>
        </w:numPr>
        <w:pStyle w:val="Compact"/>
      </w:pPr>
      <w:r>
        <w:t xml:space="preserve">Delegates durability to established engines instead of inventing its own</w:t>
      </w:r>
      <w:r>
        <w:t xml:space="preserve"> </w:t>
      </w:r>
      <w:r>
        <w:rPr>
          <w:rStyle w:val="ClaimLabel"/>
        </w:rPr>
        <w:t xml:space="preserve">VF</w:t>
      </w:r>
      <w:r>
        <w:rPr>
          <w:rStyle w:val="FootnoteReference"/>
        </w:rPr>
        <w:footnoteReference w:id="1102"/>
      </w:r>
      <w:r>
        <w:t xml:space="preserve"> </w:t>
      </w:r>
      <w:r>
        <w:rPr>
          <w:rStyle w:val="ClaimLabel"/>
        </w:rPr>
        <w:t xml:space="preserve">AJ</w:t>
      </w:r>
    </w:p>
    <w:p>
      <w:pPr>
        <w:pStyle w:val="FirstParagraph"/>
      </w:pPr>
      <w:r>
        <w:rPr>
          <w:bCs/>
          <w:b/>
        </w:rPr>
        <w:t xml:space="preserve">Limitations and risks</w:t>
      </w:r>
    </w:p>
    <w:p>
      <w:pPr>
        <w:numPr>
          <w:ilvl w:val="0"/>
          <w:numId w:val="1242"/>
        </w:numPr>
        <w:pStyle w:val="Compact"/>
      </w:pPr>
      <w:r>
        <w:t xml:space="preserve">v2 (June 2026) removed graph persistence; two majors in about ten months</w:t>
      </w:r>
      <w:r>
        <w:t xml:space="preserve"> </w:t>
      </w:r>
      <w:r>
        <w:rPr>
          <w:rStyle w:val="ClaimLabel"/>
        </w:rPr>
        <w:t xml:space="preserve">VF</w:t>
      </w:r>
      <w:r>
        <w:rPr>
          <w:rStyle w:val="FootnoteReference"/>
        </w:rPr>
        <w:footnoteReference w:id="1103"/>
      </w:r>
    </w:p>
    <w:p>
      <w:pPr>
        <w:numPr>
          <w:ilvl w:val="0"/>
          <w:numId w:val="1242"/>
        </w:numPr>
        <w:pStyle w:val="Compact"/>
      </w:pPr>
      <w:r>
        <w:t xml:space="preserve">Commercial support not publicly verified</w:t>
      </w:r>
      <w:r>
        <w:t xml:space="preserve"> </w:t>
      </w:r>
      <w:r>
        <w:rPr>
          <w:rStyle w:val="ClaimLabel"/>
        </w:rPr>
        <w:t xml:space="preserve">NPV</w:t>
      </w:r>
    </w:p>
    <w:p>
      <w:pPr>
        <w:numPr>
          <w:ilvl w:val="0"/>
          <w:numId w:val="1242"/>
        </w:numPr>
        <w:pStyle w:val="Compact"/>
      </w:pPr>
      <w:r>
        <w:t xml:space="preserve">Small vendor: US$12.5M Series A is the only round found</w:t>
      </w:r>
      <w:r>
        <w:t xml:space="preserve"> </w:t>
      </w:r>
      <w:r>
        <w:rPr>
          <w:rStyle w:val="ClaimLabel"/>
        </w:rPr>
        <w:t xml:space="preserve">VF</w:t>
      </w:r>
      <w:r>
        <w:rPr>
          <w:rStyle w:val="FootnoteReference"/>
        </w:rPr>
        <w:footnoteReference w:id="1104"/>
      </w:r>
    </w:p>
    <w:p>
      <w:pPr>
        <w:pStyle w:val="FirstParagraph"/>
      </w:pPr>
      <w:r>
        <w:rPr>
          <w:bCs/>
          <w:b/>
        </w:rPr>
        <w:t xml:space="preserve">Choose when</w:t>
      </w:r>
    </w:p>
    <w:p>
      <w:pPr>
        <w:numPr>
          <w:ilvl w:val="0"/>
          <w:numId w:val="1243"/>
        </w:numPr>
        <w:pStyle w:val="Compact"/>
      </w:pPr>
      <w:r>
        <w:t xml:space="preserve">Python teams wanting a typed agent step inside a Temporal or DBOS workflow</w:t>
      </w:r>
      <w:r>
        <w:t xml:space="preserve"> </w:t>
      </w:r>
      <w:r>
        <w:rPr>
          <w:rStyle w:val="ClaimLabel"/>
        </w:rPr>
        <w:t xml:space="preserve">AJ</w:t>
      </w:r>
    </w:p>
    <w:p>
      <w:pPr>
        <w:pStyle w:val="FirstParagraph"/>
      </w:pPr>
      <w:r>
        <w:rPr>
          <w:bCs/>
          <w:b/>
        </w:rPr>
        <w:t xml:space="preserve">Avoid when</w:t>
      </w:r>
    </w:p>
    <w:p>
      <w:pPr>
        <w:numPr>
          <w:ilvl w:val="0"/>
          <w:numId w:val="1244"/>
        </w:numPr>
        <w:pStyle w:val="Compact"/>
      </w:pPr>
      <w:r>
        <w:t xml:space="preserve">You need a vendor-supported platform with SLAs</w:t>
      </w:r>
      <w:r>
        <w:t xml:space="preserve"> </w:t>
      </w:r>
      <w:r>
        <w:rPr>
          <w:rStyle w:val="ClaimLabel"/>
        </w:rPr>
        <w:t xml:space="preserve">AJ</w:t>
      </w:r>
    </w:p>
    <w:p>
      <w:pPr>
        <w:pStyle w:val="FirstParagraph"/>
      </w:pPr>
      <w:r>
        <w:rPr>
          <w:bCs/>
          <w:b/>
        </w:rPr>
        <w:t xml:space="preserve">Nearest competitors:</w:t>
      </w:r>
      <w:r>
        <w:t xml:space="preserve"> </w:t>
      </w:r>
      <w:r>
        <w:t xml:space="preserve">L3-langgraph, L3-openai-agents-sdk, L3-temporal</w:t>
      </w:r>
    </w:p>
    <w:p>
      <w:pPr>
        <w:pStyle w:val="BodyText"/>
      </w:pPr>
      <w:r>
        <w:rPr>
          <w:bCs/>
          <w:b/>
        </w:rPr>
        <w:t xml:space="preserve">Regulated-FS note.</w:t>
      </w:r>
      <w:r>
        <w:t xml:space="preserve"> </w:t>
      </w:r>
      <w:r>
        <w:t xml:space="preserve">Pin the major version; v1 receives security fixes for at least six months after v2</w:t>
      </w:r>
      <w:r>
        <w:t xml:space="preserve"> </w:t>
      </w:r>
      <w:r>
        <w:rPr>
          <w:rStyle w:val="ClaimLabel"/>
        </w:rPr>
        <w:t xml:space="preserve">VF</w:t>
      </w:r>
      <w:r>
        <w:rPr>
          <w:rStyle w:val="FootnoteReference"/>
        </w:rPr>
        <w:footnoteReference w:id="1106"/>
      </w:r>
      <w:r>
        <w:t xml:space="preserve"> </w:t>
      </w:r>
      <w:r>
        <w:rPr>
          <w:rStyle w:val="ClaimLabel"/>
        </w:rPr>
        <w:t xml:space="preserve">Rec</w:t>
      </w:r>
      <w:r>
        <w:t xml:space="preserve">.</w:t>
      </w:r>
    </w:p>
    <w:p>
      <w:pPr>
        <w:pStyle w:val="BodyText"/>
      </w:pPr>
      <w:r>
        <w:rPr>
          <w:bCs/>
          <w:b/>
        </w:rPr>
        <w:t xml:space="preserve">Facts (as of 2026-10-08)</w:t>
      </w:r>
    </w:p>
    <w:tbl>
      <w:tblPr>
        <w:tblStyle w:val="Table"/>
        <w:tblW w:type="pct" w:w="5000"/>
        <w:tblLook w:firstRow="1" w:lastRow="0" w:firstColumn="0" w:lastColumn="0" w:noHBand="0" w:noVBand="0" w:val="0020"/>
        <w:jc w:val="start"/>
      </w:tblPr>
      <w:tblGrid>
        <w:gridCol w:w="1485"/>
        <w:gridCol w:w="4290"/>
        <w:gridCol w:w="1320"/>
        <w:gridCol w:w="825"/>
      </w:tblGrid>
      <w:tr>
        <w:trPr>
          <w:tblHeader w:val="true"/>
        </w:trPr>
        <w:tc>
          <w:tcPr/>
          <w:p>
            <w:pPr>
              <w:pStyle w:val="Compact"/>
              <w:jc w:val="left"/>
            </w:pPr>
            <w:r>
              <w:t xml:space="preserve">Field</w:t>
            </w:r>
          </w:p>
        </w:tc>
        <w:tc>
          <w:tcPr/>
          <w:p>
            <w:pPr>
              <w:pStyle w:val="Compact"/>
              <w:jc w:val="left"/>
            </w:pPr>
            <w:r>
              <w:t xml:space="preserve">Value</w:t>
            </w:r>
          </w:p>
        </w:tc>
        <w:tc>
          <w:tcPr/>
          <w:p>
            <w:pPr>
              <w:pStyle w:val="Compact"/>
              <w:jc w:val="left"/>
            </w:pPr>
            <w:r>
              <w:t xml:space="preserve">Label</w:t>
            </w:r>
          </w:p>
        </w:tc>
        <w:tc>
          <w:tcPr/>
          <w:p>
            <w:pPr>
              <w:pStyle w:val="Compact"/>
              <w:jc w:val="left"/>
            </w:pPr>
            <w:r>
              <w:t xml:space="preserve">Sources</w:t>
            </w:r>
          </w:p>
        </w:tc>
      </w:tr>
      <w:tr>
        <w:tc>
          <w:tcPr/>
          <w:p>
            <w:pPr>
              <w:pStyle w:val="Compact"/>
              <w:jc w:val="left"/>
            </w:pPr>
            <w:r>
              <w:t xml:space="preserve">Company</w:t>
            </w:r>
          </w:p>
        </w:tc>
        <w:tc>
          <w:tcPr/>
          <w:p>
            <w:pPr>
              <w:pStyle w:val="Compact"/>
              <w:jc w:val="left"/>
            </w:pPr>
            <w:r>
              <w:t xml:space="preserve">Pydantic Services Inc.</w:t>
            </w:r>
          </w:p>
        </w:tc>
        <w:tc>
          <w:tcPr/>
          <w:p>
            <w:pPr>
              <w:pStyle w:val="Compact"/>
              <w:jc w:val="left"/>
            </w:pPr>
            <w:r>
              <w:t xml:space="preserve">Verified fact</w:t>
            </w:r>
          </w:p>
        </w:tc>
        <w:tc>
          <w:tcPr/>
          <w:p>
            <w:pPr>
              <w:pStyle w:val="Compact"/>
              <w:jc w:val="left"/>
            </w:pPr>
            <w:r>
              <w:t xml:space="preserve">A4-S003, A4-S046</w:t>
            </w:r>
          </w:p>
        </w:tc>
      </w:tr>
      <w:tr>
        <w:tc>
          <w:tcPr/>
          <w:p>
            <w:pPr>
              <w:pStyle w:val="Compact"/>
              <w:jc w:val="left"/>
            </w:pPr>
            <w:r>
              <w:t xml:space="preserve">Category</w:t>
            </w:r>
          </w:p>
        </w:tc>
        <w:tc>
          <w:tcPr/>
          <w:p>
            <w:pPr>
              <w:pStyle w:val="Compact"/>
              <w:jc w:val="left"/>
            </w:pPr>
            <w:r>
              <w:t xml:space="preserve">Typed Python agent framework (agent loop) with optional graph library (pydantic_graph) and durable-execution integrations</w:t>
            </w:r>
          </w:p>
        </w:tc>
        <w:tc>
          <w:tcPr/>
          <w:p>
            <w:pPr>
              <w:pStyle w:val="Compact"/>
              <w:jc w:val="left"/>
            </w:pPr>
            <w:r>
              <w:t xml:space="preserve">Verified fact</w:t>
            </w:r>
          </w:p>
        </w:tc>
        <w:tc>
          <w:tcPr/>
          <w:p>
            <w:pPr>
              <w:pStyle w:val="Compact"/>
              <w:jc w:val="left"/>
            </w:pPr>
            <w:r>
              <w:t xml:space="preserve">A4-S119, A4-S044</w:t>
            </w:r>
          </w:p>
        </w:tc>
      </w:tr>
      <w:tr>
        <w:tc>
          <w:tcPr/>
          <w:p>
            <w:pPr>
              <w:pStyle w:val="Compact"/>
              <w:jc w:val="left"/>
            </w:pPr>
            <w:r>
              <w:t xml:space="preserve">Version / lineup</w:t>
            </w:r>
          </w:p>
        </w:tc>
        <w:tc>
          <w:tcPr/>
          <w:p>
            <w:pPr>
              <w:pStyle w:val="Compact"/>
              <w:jc w:val="left"/>
            </w:pPr>
            <w:r>
              <w:t xml:space="preserve">pydantic-ai 2.54.0 (3 October 2026); v2.0.0 released 23 June 2026; v1 line still patched (1.107.7 on 30 September 2026)</w:t>
            </w:r>
          </w:p>
        </w:tc>
        <w:tc>
          <w:tcPr/>
          <w:p>
            <w:pPr>
              <w:pStyle w:val="Compact"/>
              <w:jc w:val="left"/>
            </w:pPr>
            <w:r>
              <w:t xml:space="preserve">Verified fact</w:t>
            </w:r>
          </w:p>
        </w:tc>
        <w:tc>
          <w:tcPr/>
          <w:p>
            <w:pPr>
              <w:pStyle w:val="Compact"/>
              <w:jc w:val="left"/>
            </w:pPr>
            <w:r>
              <w:t xml:space="preserve">A4-S003</w:t>
            </w:r>
          </w:p>
        </w:tc>
      </w:tr>
      <w:tr>
        <w:tc>
          <w:tcPr/>
          <w:p>
            <w:pPr>
              <w:pStyle w:val="Compact"/>
              <w:jc w:val="left"/>
            </w:pPr>
            <w:r>
              <w:t xml:space="preserve">Licence</w:t>
            </w:r>
          </w:p>
        </w:tc>
        <w:tc>
          <w:tcPr/>
          <w:p>
            <w:pPr>
              <w:pStyle w:val="Compact"/>
              <w:jc w:val="left"/>
            </w:pPr>
            <w:r>
              <w:t xml:space="preserve">Open source, MIT</w:t>
            </w:r>
          </w:p>
        </w:tc>
        <w:tc>
          <w:tcPr/>
          <w:p>
            <w:pPr>
              <w:pStyle w:val="Compact"/>
              <w:jc w:val="left"/>
            </w:pPr>
            <w:r>
              <w:t xml:space="preserve">Verified fact</w:t>
            </w:r>
          </w:p>
        </w:tc>
        <w:tc>
          <w:tcPr/>
          <w:p>
            <w:pPr>
              <w:pStyle w:val="Compact"/>
              <w:jc w:val="left"/>
            </w:pPr>
            <w:r>
              <w:t xml:space="preserve">A4-S003, A4-S119</w:t>
            </w:r>
          </w:p>
        </w:tc>
      </w:tr>
      <w:tr>
        <w:tc>
          <w:tcPr/>
          <w:p>
            <w:pPr>
              <w:pStyle w:val="Compact"/>
              <w:jc w:val="left"/>
            </w:pPr>
            <w:r>
              <w:t xml:space="preserve">Status events</w:t>
            </w:r>
          </w:p>
        </w:tc>
        <w:tc>
          <w:tcPr/>
          <w:p>
            <w:pPr>
              <w:pStyle w:val="Compact"/>
              <w:jc w:val="left"/>
            </w:pPr>
            <w:r>
              <w:t xml:space="preserve">5 September 2025: v1.0.0; 23 June 2026: v2.0.0 (breaking: pydantic_graph.persistence removed); Pydantic AI Gateway (gateway.pydantic.dev) deprecated and moved into Logfire</w:t>
            </w:r>
          </w:p>
        </w:tc>
        <w:tc>
          <w:tcPr/>
          <w:p>
            <w:pPr>
              <w:pStyle w:val="Compact"/>
              <w:jc w:val="left"/>
            </w:pPr>
            <w:r>
              <w:t xml:space="preserve">Verified fact</w:t>
            </w:r>
          </w:p>
        </w:tc>
        <w:tc>
          <w:tcPr/>
          <w:p>
            <w:pPr>
              <w:pStyle w:val="Compact"/>
              <w:jc w:val="left"/>
            </w:pPr>
            <w:r>
              <w:t xml:space="preserve">A4-S003, A4-S044, A4-S046, V1-S074</w:t>
            </w:r>
          </w:p>
        </w:tc>
      </w:tr>
      <w:tr>
        <w:tc>
          <w:tcPr/>
          <w:p>
            <w:pPr>
              <w:pStyle w:val="Compact"/>
              <w:jc w:val="left"/>
            </w:pPr>
            <w:r>
              <w:t xml:space="preserve">Strategic direction</w:t>
            </w:r>
          </w:p>
        </w:tc>
        <w:tc>
          <w:tcPr/>
          <w:p>
            <w:pPr>
              <w:pStyle w:val="Compact"/>
              <w:jc w:val="left"/>
            </w:pPr>
            <w:r>
              <w:t xml:space="preserve">v2 (first beta 20 May 2026) introduced a capability layer, a leaner core and</w:t>
            </w:r>
            <w:r>
              <w:t xml:space="preserve"> </w:t>
            </w:r>
            <w:r>
              <w:t xml:space="preserve">‘</w:t>
            </w:r>
            <w:r>
              <w:t xml:space="preserve">the Harness</w:t>
            </w:r>
            <w:r>
              <w:t xml:space="preserve">’</w:t>
            </w:r>
            <w:r>
              <w:t xml:space="preserve">; durability is moving onto the capability layer (runtime extension point tracked for after v2). AI Gateway merged into Pydantic Logfire (adds failover, load balancing, DLP, spend caps)</w:t>
            </w:r>
          </w:p>
        </w:tc>
        <w:tc>
          <w:tcPr/>
          <w:p>
            <w:pPr>
              <w:pStyle w:val="Compact"/>
              <w:jc w:val="left"/>
            </w:pPr>
            <w:r>
              <w:t xml:space="preserve">Verified fact</w:t>
            </w:r>
          </w:p>
        </w:tc>
        <w:tc>
          <w:tcPr/>
          <w:p>
            <w:pPr>
              <w:pStyle w:val="Compact"/>
              <w:jc w:val="left"/>
            </w:pPr>
            <w:r>
              <w:t xml:space="preserve">A4-S044, A4-S046</w:t>
            </w:r>
          </w:p>
        </w:tc>
      </w:tr>
      <w:tr>
        <w:tc>
          <w:tcPr/>
          <w:p>
            <w:pPr>
              <w:pStyle w:val="Compact"/>
              <w:jc w:val="left"/>
            </w:pPr>
            <w:r>
              <w:t xml:space="preserve">What it does</w:t>
            </w:r>
          </w:p>
        </w:tc>
        <w:tc>
          <w:tcPr/>
          <w:p>
            <w:pPr>
              <w:pStyle w:val="Compact"/>
              <w:jc w:val="left"/>
            </w:pPr>
            <w:r>
              <w:t xml:space="preserve">A typed, extensible agent loop for Python with model-agnostic providers, structured outputs and tools; pydantic_graph provides graph-based control flow; durable execution is attached as a capability via Temporal, DBOS or Prefect (plus Harness packages such as AWS Lambda and Step Persistence).</w:t>
            </w:r>
          </w:p>
        </w:tc>
        <w:tc>
          <w:tcPr/>
          <w:p>
            <w:pPr>
              <w:pStyle w:val="Compact"/>
              <w:jc w:val="left"/>
            </w:pPr>
            <w:r>
              <w:t xml:space="preserve">Verified fact</w:t>
            </w:r>
          </w:p>
        </w:tc>
        <w:tc>
          <w:tcPr/>
          <w:p>
            <w:pPr>
              <w:pStyle w:val="Compact"/>
              <w:jc w:val="left"/>
            </w:pPr>
            <w:r>
              <w:t xml:space="preserve">A4-S119, A4-S044, A4-S045</w:t>
            </w:r>
          </w:p>
        </w:tc>
      </w:tr>
      <w:tr>
        <w:tc>
          <w:tcPr/>
          <w:p>
            <w:pPr>
              <w:pStyle w:val="Compact"/>
              <w:jc w:val="left"/>
            </w:pPr>
            <w:r>
              <w:t xml:space="preserve">Stack position</w:t>
            </w:r>
          </w:p>
        </w:tc>
        <w:tc>
          <w:tcPr/>
          <w:p>
            <w:pPr>
              <w:pStyle w:val="Compact"/>
              <w:jc w:val="left"/>
            </w:pPr>
            <w:r>
              <w:t xml:space="preserve">L3 agent framework; observability via Logfire (L9) and gateway via Logfire (C1) are separate commercial products</w:t>
            </w:r>
          </w:p>
        </w:tc>
        <w:tc>
          <w:tcPr/>
          <w:p>
            <w:pPr>
              <w:pStyle w:val="Compact"/>
              <w:jc w:val="left"/>
            </w:pPr>
            <w:r>
              <w:t xml:space="preserve">Verified fact</w:t>
            </w:r>
          </w:p>
        </w:tc>
        <w:tc>
          <w:tcPr/>
          <w:p>
            <w:pPr>
              <w:pStyle w:val="Compact"/>
              <w:jc w:val="left"/>
            </w:pPr>
            <w:r>
              <w:t xml:space="preserve">A4-S046</w:t>
            </w:r>
          </w:p>
        </w:tc>
      </w:tr>
      <w:tr>
        <w:tc>
          <w:tcPr/>
          <w:p>
            <w:pPr>
              <w:pStyle w:val="Compact"/>
              <w:jc w:val="left"/>
            </w:pPr>
            <w:r>
              <w:t xml:space="preserve">Integration</w:t>
            </w:r>
          </w:p>
        </w:tc>
        <w:tc>
          <w:tcPr/>
          <w:p>
            <w:pPr>
              <w:pStyle w:val="Compact"/>
              <w:jc w:val="left"/>
            </w:pPr>
            <w:r>
              <w:t xml:space="preserve">Python library; MCP support; OpenTelemetry via Logfire; durable-execution capabilities (TemporalDurability, DBOSDurability, PrefectDurability)</w:t>
            </w:r>
          </w:p>
        </w:tc>
        <w:tc>
          <w:tcPr/>
          <w:p>
            <w:pPr>
              <w:pStyle w:val="Compact"/>
              <w:jc w:val="left"/>
            </w:pPr>
            <w:r>
              <w:t xml:space="preserve">Verified fact</w:t>
            </w:r>
          </w:p>
        </w:tc>
        <w:tc>
          <w:tcPr/>
          <w:p>
            <w:pPr>
              <w:pStyle w:val="Compact"/>
              <w:jc w:val="left"/>
            </w:pPr>
            <w:r>
              <w:t xml:space="preserve">A4-S045, A4-S119</w:t>
            </w:r>
          </w:p>
        </w:tc>
      </w:tr>
      <w:tr>
        <w:tc>
          <w:tcPr/>
          <w:p>
            <w:pPr>
              <w:pStyle w:val="Compact"/>
              <w:jc w:val="left"/>
            </w:pPr>
            <w:r>
              <w:t xml:space="preserve">Dependencies</w:t>
            </w:r>
          </w:p>
        </w:tc>
        <w:tc>
          <w:tcPr/>
          <w:p>
            <w:pPr>
              <w:pStyle w:val="Compact"/>
              <w:jc w:val="left"/>
            </w:pPr>
            <w:r>
              <w:t xml:space="preserve">Python &gt;=3.10; Pydantic; model provider SDKs; optional Temporal/DBOS/Prefect for durability</w:t>
            </w:r>
          </w:p>
        </w:tc>
        <w:tc>
          <w:tcPr/>
          <w:p>
            <w:pPr>
              <w:pStyle w:val="Compact"/>
              <w:jc w:val="left"/>
            </w:pPr>
            <w:r>
              <w:t xml:space="preserve">Verified fact</w:t>
            </w:r>
          </w:p>
        </w:tc>
        <w:tc>
          <w:tcPr/>
          <w:p>
            <w:pPr>
              <w:pStyle w:val="Compact"/>
              <w:jc w:val="left"/>
            </w:pPr>
            <w:r>
              <w:t xml:space="preserve">A4-S003, A4-S045</w:t>
            </w:r>
          </w:p>
        </w:tc>
      </w:tr>
      <w:tr>
        <w:tc>
          <w:tcPr/>
          <w:p>
            <w:pPr>
              <w:pStyle w:val="Compact"/>
              <w:jc w:val="left"/>
            </w:pPr>
            <w:r>
              <w:t xml:space="preserve">Certifications</w:t>
            </w:r>
          </w:p>
        </w:tc>
        <w:tc>
          <w:tcPr/>
          <w:p>
            <w:pPr>
              <w:pStyle w:val="Compact"/>
              <w:jc w:val="left"/>
            </w:pPr>
            <w:r>
              <w:t xml:space="preserve">Not applicable to the open-source library; Logfire certifications out of scope for this record</w:t>
            </w:r>
          </w:p>
        </w:tc>
        <w:tc>
          <w:tcPr/>
          <w:p>
            <w:pPr>
              <w:pStyle w:val="Compact"/>
              <w:jc w:val="left"/>
            </w:pPr>
            <w:r>
              <w:t xml:space="preserve">Architectural judgement</w:t>
            </w:r>
          </w:p>
        </w:tc>
        <w:tc>
          <w:tcPr/>
          <w:p>
            <w:pPr>
              <w:pStyle w:val="Compact"/>
            </w:pPr>
          </w:p>
        </w:tc>
      </w:tr>
      <w:tr>
        <w:tc>
          <w:tcPr/>
          <w:p>
            <w:pPr>
              <w:pStyle w:val="Compact"/>
              <w:jc w:val="left"/>
            </w:pPr>
            <w:r>
              <w:t xml:space="preserve">GDPR / residency</w:t>
            </w:r>
          </w:p>
        </w:tc>
        <w:tc>
          <w:tcPr/>
          <w:p>
            <w:pPr>
              <w:pStyle w:val="Compact"/>
              <w:jc w:val="left"/>
            </w:pPr>
            <w:r>
              <w:t xml:space="preserve">Not applicable (library; data flows go to the customer’s chosen model provider)</w:t>
            </w:r>
          </w:p>
        </w:tc>
        <w:tc>
          <w:tcPr/>
          <w:p>
            <w:pPr>
              <w:pStyle w:val="Compact"/>
              <w:jc w:val="left"/>
            </w:pPr>
            <w:r>
              <w:t xml:space="preserve">Architectural judgement</w:t>
            </w:r>
          </w:p>
        </w:tc>
        <w:tc>
          <w:tcPr/>
          <w:p>
            <w:pPr>
              <w:pStyle w:val="Compact"/>
            </w:pPr>
          </w:p>
        </w:tc>
      </w:tr>
      <w:tr>
        <w:tc>
          <w:tcPr/>
          <w:p>
            <w:pPr>
              <w:pStyle w:val="Compact"/>
              <w:jc w:val="left"/>
            </w:pPr>
            <w:r>
              <w:t xml:space="preserve">Security features</w:t>
            </w:r>
          </w:p>
        </w:tc>
        <w:tc>
          <w:tcPr/>
          <w:p>
            <w:pPr>
              <w:pStyle w:val="Compact"/>
              <w:jc w:val="left"/>
            </w:pPr>
            <w:r>
              <w:t xml:space="preserve">Logfire AI Gateway (separate product) offers DLP scanning of prompts/completions for secrets and PII, and spend caps</w:t>
            </w:r>
          </w:p>
        </w:tc>
        <w:tc>
          <w:tcPr/>
          <w:p>
            <w:pPr>
              <w:pStyle w:val="Compact"/>
              <w:jc w:val="left"/>
            </w:pPr>
            <w:r>
              <w:t xml:space="preserve">Verified fact</w:t>
            </w:r>
          </w:p>
        </w:tc>
        <w:tc>
          <w:tcPr/>
          <w:p>
            <w:pPr>
              <w:pStyle w:val="Compact"/>
              <w:jc w:val="left"/>
            </w:pPr>
            <w:r>
              <w:t xml:space="preserve">A4-S046</w:t>
            </w:r>
          </w:p>
        </w:tc>
      </w:tr>
      <w:tr>
        <w:tc>
          <w:tcPr/>
          <w:p>
            <w:pPr>
              <w:pStyle w:val="Compact"/>
              <w:jc w:val="left"/>
            </w:pPr>
            <w:r>
              <w:t xml:space="preserve">Access controls</w:t>
            </w:r>
          </w:p>
        </w:tc>
        <w:tc>
          <w:tcPr/>
          <w:p>
            <w:pPr>
              <w:pStyle w:val="Compact"/>
              <w:jc w:val="left"/>
            </w:pPr>
            <w:r>
              <w:t xml:space="preserve">Not applicable (library)</w:t>
            </w:r>
          </w:p>
        </w:tc>
        <w:tc>
          <w:tcPr/>
          <w:p>
            <w:pPr>
              <w:pStyle w:val="Compact"/>
              <w:jc w:val="left"/>
            </w:pPr>
            <w:r>
              <w:t xml:space="preserve">Architectural judgement</w:t>
            </w:r>
          </w:p>
        </w:tc>
        <w:tc>
          <w:tcPr/>
          <w:p>
            <w:pPr>
              <w:pStyle w:val="Compact"/>
            </w:pPr>
          </w:p>
        </w:tc>
      </w:tr>
      <w:tr>
        <w:tc>
          <w:tcPr/>
          <w:p>
            <w:pPr>
              <w:pStyle w:val="Compact"/>
              <w:jc w:val="left"/>
            </w:pPr>
            <w:r>
              <w:t xml:space="preserve">Enterprise support</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Pricing</w:t>
            </w:r>
          </w:p>
        </w:tc>
        <w:tc>
          <w:tcPr/>
          <w:p>
            <w:pPr>
              <w:pStyle w:val="Compact"/>
              <w:jc w:val="left"/>
            </w:pPr>
            <w:r>
              <w:t xml:space="preserve">Free (MIT)</w:t>
            </w:r>
          </w:p>
        </w:tc>
        <w:tc>
          <w:tcPr/>
          <w:p>
            <w:pPr>
              <w:pStyle w:val="Compact"/>
              <w:jc w:val="left"/>
            </w:pPr>
            <w:r>
              <w:t xml:space="preserve">Verified fact</w:t>
            </w:r>
          </w:p>
        </w:tc>
        <w:tc>
          <w:tcPr/>
          <w:p>
            <w:pPr>
              <w:pStyle w:val="Compact"/>
              <w:jc w:val="left"/>
            </w:pPr>
            <w:r>
              <w:t xml:space="preserve">A4-S003</w:t>
            </w:r>
          </w:p>
        </w:tc>
      </w:tr>
      <w:tr>
        <w:tc>
          <w:tcPr/>
          <w:p>
            <w:pPr>
              <w:pStyle w:val="Compact"/>
              <w:jc w:val="left"/>
            </w:pPr>
            <w:r>
              <w:t xml:space="preserve">Infrastructure cost</w:t>
            </w:r>
          </w:p>
        </w:tc>
        <w:tc>
          <w:tcPr/>
          <w:p>
            <w:pPr>
              <w:pStyle w:val="Compact"/>
              <w:jc w:val="left"/>
            </w:pPr>
            <w:r>
              <w:t xml:space="preserve">Costs are model tokens plus any durable-execution backend (Temporal cluster, database for DBOS)</w:t>
            </w:r>
          </w:p>
        </w:tc>
        <w:tc>
          <w:tcPr/>
          <w:p>
            <w:pPr>
              <w:pStyle w:val="Compact"/>
              <w:jc w:val="left"/>
            </w:pPr>
            <w:r>
              <w:t xml:space="preserve">Architectural judgement</w:t>
            </w:r>
          </w:p>
        </w:tc>
        <w:tc>
          <w:tcPr/>
          <w:p>
            <w:pPr>
              <w:pStyle w:val="Compact"/>
            </w:pPr>
          </w:p>
        </w:tc>
      </w:tr>
      <w:tr>
        <w:tc>
          <w:tcPr/>
          <w:p>
            <w:pPr>
              <w:pStyle w:val="Compact"/>
              <w:jc w:val="left"/>
            </w:pPr>
            <w:r>
              <w:t xml:space="preserve">Ecosystem</w:t>
            </w:r>
          </w:p>
        </w:tc>
        <w:tc>
          <w:tcPr/>
          <w:p>
            <w:pPr>
              <w:pStyle w:val="Compact"/>
              <w:jc w:val="left"/>
            </w:pPr>
            <w:r>
              <w:t xml:space="preserve">Temporal, DBOS and Prefect integrations co-maintained with those vendors; Logfire; GitHub Agentic Workflows harness</w:t>
            </w:r>
          </w:p>
        </w:tc>
        <w:tc>
          <w:tcPr/>
          <w:p>
            <w:pPr>
              <w:pStyle w:val="Compact"/>
              <w:jc w:val="left"/>
            </w:pPr>
            <w:r>
              <w:t xml:space="preserve">Verified fact</w:t>
            </w:r>
          </w:p>
        </w:tc>
        <w:tc>
          <w:tcPr/>
          <w:p>
            <w:pPr>
              <w:pStyle w:val="Compact"/>
              <w:jc w:val="left"/>
            </w:pPr>
            <w:r>
              <w:t xml:space="preserve">A4-S045, A4-S119</w:t>
            </w:r>
          </w:p>
        </w:tc>
      </w:tr>
      <w:tr>
        <w:tc>
          <w:tcPr/>
          <w:p>
            <w:pPr>
              <w:pStyle w:val="Compact"/>
              <w:jc w:val="left"/>
            </w:pPr>
            <w:r>
              <w:t xml:space="preserve">Adoption signals</w:t>
            </w:r>
          </w:p>
        </w:tc>
        <w:tc>
          <w:tcPr/>
          <w:p>
            <w:pPr>
              <w:pStyle w:val="Compact"/>
              <w:jc w:val="left"/>
            </w:pPr>
            <w:r>
              <w:t xml:space="preserve">Pydantic raised a US$12.5M Series A led by Sequoia (announced with Logfire GA, c. late 2024); no later round found</w:t>
            </w:r>
          </w:p>
        </w:tc>
        <w:tc>
          <w:tcPr/>
          <w:p>
            <w:pPr>
              <w:pStyle w:val="Compact"/>
              <w:jc w:val="left"/>
            </w:pPr>
            <w:r>
              <w:t xml:space="preserve">Verified fact</w:t>
            </w:r>
          </w:p>
        </w:tc>
        <w:tc>
          <w:tcPr/>
          <w:p>
            <w:pPr>
              <w:pStyle w:val="Compact"/>
              <w:jc w:val="left"/>
            </w:pPr>
            <w:r>
              <w:t xml:space="preserve">A4-S046</w:t>
            </w:r>
          </w:p>
        </w:tc>
      </w:tr>
      <w:tr>
        <w:tc>
          <w:tcPr/>
          <w:p>
            <w:pPr>
              <w:pStyle w:val="Compact"/>
              <w:jc w:val="left"/>
            </w:pPr>
            <w:r>
              <w:t xml:space="preserve">Maturity</w:t>
            </w:r>
          </w:p>
        </w:tc>
        <w:tc>
          <w:tcPr/>
          <w:p>
            <w:pPr>
              <w:pStyle w:val="Compact"/>
              <w:jc w:val="left"/>
            </w:pPr>
            <w:r>
              <w:t xml:space="preserve">First release May 2024; 1.0 September 2025; 2.0 June 2026; Development Status: Production/Stable; 344 releases on PyPI</w:t>
            </w:r>
          </w:p>
        </w:tc>
        <w:tc>
          <w:tcPr/>
          <w:p>
            <w:pPr>
              <w:pStyle w:val="Compact"/>
              <w:jc w:val="left"/>
            </w:pPr>
            <w:r>
              <w:t xml:space="preserve">Verified fact</w:t>
            </w:r>
          </w:p>
        </w:tc>
        <w:tc>
          <w:tcPr/>
          <w:p>
            <w:pPr>
              <w:pStyle w:val="Compact"/>
              <w:jc w:val="left"/>
            </w:pPr>
            <w:r>
              <w:t xml:space="preserve">A4-S003</w:t>
            </w:r>
          </w:p>
        </w:tc>
      </w:tr>
      <w:tr>
        <w:tc>
          <w:tcPr/>
          <w:p>
            <w:pPr>
              <w:pStyle w:val="Compact"/>
              <w:jc w:val="left"/>
            </w:pPr>
            <w:r>
              <w:t xml:space="preserve">Deployment</w:t>
            </w:r>
          </w:p>
        </w:tc>
        <w:tc>
          <w:tcPr/>
          <w:p>
            <w:pPr>
              <w:pStyle w:val="Compact"/>
              <w:jc w:val="left"/>
            </w:pPr>
            <w:r>
              <w:t xml:space="preserve">saas: No; managed_cloud: No; vpc_byoc: Yes (library runs inside the customer’s own environment); private_cloud: Yes (library runs inside the customer’s own environment); self_hosted: Yes (library); on_prem: Yes (library)</w:t>
            </w:r>
          </w:p>
        </w:tc>
        <w:tc>
          <w:tcPr/>
          <w:p>
            <w:pPr>
              <w:pStyle w:val="Compact"/>
            </w:pPr>
          </w:p>
        </w:tc>
        <w:tc>
          <w:tcPr/>
          <w:p>
            <w:pPr>
              <w:pStyle w:val="Compact"/>
            </w:pPr>
          </w:p>
        </w:tc>
      </w:tr>
    </w:tbl>
    <w:bookmarkEnd w:id="1107"/>
    <w:bookmarkStart w:id="1121" w:name="agent-development-kit-adk-l3-google-adk"/>
    <w:p>
      <w:pPr>
        <w:pStyle w:val="Heading2"/>
      </w:pPr>
      <w:r>
        <w:t xml:space="preserve">Agent Development Kit (ADK) (</w:t>
      </w:r>
      <w:r>
        <w:rPr>
          <w:rStyle w:val="VerbatimChar"/>
        </w:rPr>
        <w:t xml:space="preserve">L3-google-adk</w:t>
      </w:r>
      <w:r>
        <w:t xml:space="preserve">)</w:t>
      </w:r>
    </w:p>
    <w:p>
      <w:pPr>
        <w:pStyle w:val="FirstParagraph"/>
      </w:pPr>
      <w:r>
        <w:rPr>
          <w:bCs/>
          <w:b/>
        </w:rPr>
        <w:t xml:space="preserve">Tier:</w:t>
      </w:r>
      <w:r>
        <w:t xml:space="preserve"> </w:t>
      </w:r>
      <w:r>
        <w:t xml:space="preserve">Strategic ·</w:t>
      </w:r>
      <w:r>
        <w:t xml:space="preserve"> </w:t>
      </w:r>
      <w:r>
        <w:rPr>
          <w:bCs/>
          <w:b/>
        </w:rPr>
        <w:t xml:space="preserve">Flags:</w:t>
      </w:r>
      <w:r>
        <w:t xml:space="preserve"> </w:t>
      </w:r>
      <w:r>
        <w:t xml:space="preserve">none ·</w:t>
      </w:r>
      <w:r>
        <w:t xml:space="preserve"> </w:t>
      </w:r>
      <w:r>
        <w:rPr>
          <w:bCs/>
          <w:b/>
        </w:rPr>
        <w:t xml:space="preserve">Original graphic label:</w:t>
      </w:r>
      <w:r>
        <w:t xml:space="preserve"> </w:t>
      </w:r>
      <w:r>
        <w:t xml:space="preserve">not in graphic</w:t>
      </w:r>
    </w:p>
    <w:p>
      <w:pPr>
        <w:pStyle w:val="BodyText"/>
      </w:pPr>
      <w:r>
        <w:rPr>
          <w:iCs/>
          <w:i/>
        </w:rPr>
        <w:t xml:space="preserve">Rationale:</w:t>
      </w:r>
      <w:r>
        <w:t xml:space="preserve"> </w:t>
      </w:r>
      <w:r>
        <w:t xml:space="preserve">Strategic, conditional: where Google Cloud is your primary cloud (rule 10: ADK on Agent Engine is Google’s lead agent framework and runtime, matching Strands/AgentCore on AWS and Microsoft Agent Framework on Azure); no criterion at 1; scored as a library under rule 2, so enterprise readiness and security stay at 3. Tier changed from Tactical by CP4 reviewer C for rule-10 parity. Confirmed by the reader at Checkpoint 4 (CP4-4).</w:t>
      </w:r>
    </w:p>
    <w:tbl>
      <w:tblPr>
        <w:tblStyle w:val="Table"/>
        <w:tblW w:type="pct" w:w="5000"/>
        <w:tblLook w:firstRow="1" w:lastRow="0" w:firstColumn="0" w:lastColumn="0" w:noHBand="0" w:noVBand="0" w:val="0020"/>
        <w:jc w:val="start"/>
      </w:tblPr>
      <w:tblGrid>
        <w:gridCol w:w="1545"/>
        <w:gridCol w:w="579"/>
        <w:gridCol w:w="5795"/>
      </w:tblGrid>
      <w:tr>
        <w:trPr>
          <w:tblHeader w:val="true"/>
        </w:trPr>
        <w:tc>
          <w:tcPr/>
          <w:p>
            <w:pPr>
              <w:pStyle w:val="Compact"/>
              <w:jc w:val="left"/>
            </w:pPr>
            <w:r>
              <w:t xml:space="preserve">Criterion</w:t>
            </w:r>
          </w:p>
        </w:tc>
        <w:tc>
          <w:tcPr/>
          <w:p>
            <w:pPr>
              <w:pStyle w:val="Compact"/>
              <w:jc w:val="right"/>
            </w:pPr>
            <w:r>
              <w:t xml:space="preserve">Score</w:t>
            </w:r>
          </w:p>
        </w:tc>
        <w:tc>
          <w:tcPr/>
          <w:p>
            <w:pPr>
              <w:pStyle w:val="Compact"/>
              <w:jc w:val="left"/>
            </w:pPr>
            <w:r>
              <w:t xml:space="preserve">Rationale</w:t>
            </w:r>
          </w:p>
        </w:tc>
      </w:tr>
      <w:tr>
        <w:tc>
          <w:tcPr/>
          <w:p>
            <w:pPr>
              <w:pStyle w:val="Compact"/>
              <w:jc w:val="left"/>
            </w:pPr>
            <w:r>
              <w:t xml:space="preserve">Technical</w:t>
            </w:r>
          </w:p>
        </w:tc>
        <w:tc>
          <w:tcPr/>
          <w:p>
            <w:pPr>
              <w:pStyle w:val="Compact"/>
              <w:jc w:val="right"/>
            </w:pPr>
            <w:r>
              <w:t xml:space="preserve">4</w:t>
            </w:r>
          </w:p>
        </w:tc>
        <w:tc>
          <w:tcPr/>
          <w:p>
            <w:pPr>
              <w:pStyle w:val="Compact"/>
              <w:jc w:val="left"/>
            </w:pPr>
            <w:r>
              <w:t xml:space="preserve">Workflow Runtime, multi-agent, A2A Task API, HITL, evaluation</w:t>
            </w:r>
            <w:r>
              <w:t xml:space="preserve"> </w:t>
            </w:r>
            <w:r>
              <w:rPr>
                <w:rStyle w:val="ClaimLabel"/>
              </w:rPr>
              <w:t xml:space="preserve">VF</w:t>
            </w:r>
            <w:r>
              <w:rPr>
                <w:rStyle w:val="FootnoteReference"/>
              </w:rPr>
              <w:footnoteReference w:id="1108"/>
            </w:r>
          </w:p>
        </w:tc>
      </w:tr>
      <w:tr>
        <w:tc>
          <w:tcPr/>
          <w:p>
            <w:pPr>
              <w:pStyle w:val="Compact"/>
              <w:jc w:val="left"/>
            </w:pPr>
            <w:r>
              <w:t xml:space="preserve">Enterprise readiness</w:t>
            </w:r>
          </w:p>
        </w:tc>
        <w:tc>
          <w:tcPr/>
          <w:p>
            <w:pPr>
              <w:pStyle w:val="Compact"/>
              <w:jc w:val="right"/>
            </w:pPr>
            <w:r>
              <w:t xml:space="preserve">3</w:t>
            </w:r>
          </w:p>
        </w:tc>
        <w:tc>
          <w:tcPr/>
          <w:p>
            <w:pPr>
              <w:pStyle w:val="Compact"/>
              <w:jc w:val="left"/>
            </w:pPr>
            <w:r>
              <w:t xml:space="preserve">Library (rule 2); no support commitment recorded</w:t>
            </w:r>
            <w:r>
              <w:t xml:space="preserve"> </w:t>
            </w:r>
            <w:r>
              <w:rPr>
                <w:rStyle w:val="ClaimLabel"/>
              </w:rPr>
              <w:t xml:space="preserve">NPV</w:t>
            </w:r>
          </w:p>
        </w:tc>
      </w:tr>
      <w:tr>
        <w:tc>
          <w:tcPr/>
          <w:p>
            <w:pPr>
              <w:pStyle w:val="Compact"/>
              <w:jc w:val="left"/>
            </w:pPr>
            <w:r>
              <w:t xml:space="preserve">Security and compliance</w:t>
            </w:r>
          </w:p>
        </w:tc>
        <w:tc>
          <w:tcPr/>
          <w:p>
            <w:pPr>
              <w:pStyle w:val="Compact"/>
              <w:jc w:val="right"/>
            </w:pPr>
            <w:r>
              <w:t xml:space="preserve">3</w:t>
            </w:r>
          </w:p>
        </w:tc>
        <w:tc>
          <w:tcPr/>
          <w:p>
            <w:pPr>
              <w:pStyle w:val="Compact"/>
              <w:jc w:val="left"/>
            </w:pPr>
            <w:r>
              <w:t xml:space="preserve">Library (rule 2); managed route on Agent Platform in ISO 42001 and SOC 2 scope</w:t>
            </w:r>
            <w:r>
              <w:t xml:space="preserve"> </w:t>
            </w:r>
            <w:r>
              <w:rPr>
                <w:rStyle w:val="ClaimLabel"/>
              </w:rPr>
              <w:t xml:space="preserve">VF</w:t>
            </w:r>
            <w:r>
              <w:t xml:space="preserve">^[Verified fact — A5-S028: ISO/IEC 42001 - Compliance</w:t>
            </w:r>
          </w:p>
        </w:tc>
      </w:tr>
      <w:tr>
        <w:tc>
          <w:tcPr/>
          <w:p>
            <w:pPr>
              <w:pStyle w:val="Compact"/>
              <w:jc w:val="left"/>
            </w:pPr>
            <w:r>
              <w:t xml:space="preserve">Deployment flexibility</w:t>
            </w:r>
          </w:p>
        </w:tc>
        <w:tc>
          <w:tcPr/>
          <w:p>
            <w:pPr>
              <w:pStyle w:val="Compact"/>
              <w:jc w:val="right"/>
            </w:pPr>
            <w:r>
              <w:t xml:space="preserve">4</w:t>
            </w:r>
          </w:p>
        </w:tc>
        <w:tc>
          <w:tcPr/>
          <w:p>
            <w:pPr>
              <w:pStyle w:val="Compact"/>
              <w:jc w:val="left"/>
            </w:pPr>
            <w:r>
              <w:t xml:space="preserve">Library anywhere; Cloud Run and Agent Engine</w:t>
            </w:r>
            <w:r>
              <w:t xml:space="preserve"> </w:t>
            </w:r>
            <w:r>
              <w:rPr>
                <w:rStyle w:val="ClaimLabel"/>
              </w:rPr>
              <w:t xml:space="preserve">VF</w:t>
            </w:r>
            <w:r>
              <w:rPr>
                <w:rStyle w:val="FootnoteReference"/>
              </w:rPr>
              <w:footnoteReference w:id="1110"/>
            </w:r>
          </w:p>
        </w:tc>
      </w:tr>
      <w:tr>
        <w:tc>
          <w:tcPr/>
          <w:p>
            <w:pPr>
              <w:pStyle w:val="Compact"/>
              <w:jc w:val="left"/>
            </w:pPr>
            <w:r>
              <w:t xml:space="preserve">Ecosystem</w:t>
            </w:r>
          </w:p>
        </w:tc>
        <w:tc>
          <w:tcPr/>
          <w:p>
            <w:pPr>
              <w:pStyle w:val="Compact"/>
              <w:jc w:val="right"/>
            </w:pPr>
            <w:r>
              <w:t xml:space="preserve">3</w:t>
            </w:r>
          </w:p>
        </w:tc>
        <w:tc>
          <w:tcPr/>
          <w:p>
            <w:pPr>
              <w:pStyle w:val="Compact"/>
              <w:jc w:val="left"/>
            </w:pPr>
            <w:r>
              <w:t xml:space="preserve">MCP, OpenAPI, A2A; broader ecosystem not verified</w:t>
            </w:r>
            <w:r>
              <w:t xml:space="preserve"> </w:t>
            </w:r>
            <w:r>
              <w:rPr>
                <w:rStyle w:val="ClaimLabel"/>
              </w:rPr>
              <w:t xml:space="preserve">VF</w:t>
            </w:r>
            <w:r>
              <w:rPr>
                <w:rStyle w:val="FootnoteReference"/>
              </w:rPr>
              <w:footnoteReference w:id="1111"/>
            </w:r>
            <w:r>
              <w:t xml:space="preserve"> </w:t>
            </w:r>
            <w:r>
              <w:rPr>
                <w:rStyle w:val="ClaimLabel"/>
              </w:rPr>
              <w:t xml:space="preserve">NPV</w:t>
            </w:r>
          </w:p>
        </w:tc>
      </w:tr>
      <w:tr>
        <w:tc>
          <w:tcPr/>
          <w:p>
            <w:pPr>
              <w:pStyle w:val="Compact"/>
              <w:jc w:val="left"/>
            </w:pPr>
            <w:r>
              <w:t xml:space="preserve">Reliability and maturity</w:t>
            </w:r>
          </w:p>
        </w:tc>
        <w:tc>
          <w:tcPr/>
          <w:p>
            <w:pPr>
              <w:pStyle w:val="Compact"/>
              <w:jc w:val="right"/>
            </w:pPr>
            <w:r>
              <w:t xml:space="preserve">3</w:t>
            </w:r>
          </w:p>
        </w:tc>
        <w:tc>
          <w:tcPr/>
          <w:p>
            <w:pPr>
              <w:pStyle w:val="Compact"/>
              <w:jc w:val="left"/>
            </w:pPr>
            <w:r>
              <w:t xml:space="preserve">1.0 May 2025, 2.0 May 2026</w:t>
            </w:r>
            <w:r>
              <w:t xml:space="preserve"> </w:t>
            </w:r>
            <w:r>
              <w:rPr>
                <w:rStyle w:val="ClaimLabel"/>
              </w:rPr>
              <w:t xml:space="preserve">VF</w:t>
            </w:r>
            <w:r>
              <w:rPr>
                <w:rStyle w:val="FootnoteReference"/>
              </w:rPr>
              <w:footnoteReference w:id="1112"/>
            </w:r>
          </w:p>
        </w:tc>
      </w:tr>
      <w:tr>
        <w:tc>
          <w:tcPr/>
          <w:p>
            <w:pPr>
              <w:pStyle w:val="Compact"/>
              <w:jc w:val="left"/>
            </w:pPr>
            <w:r>
              <w:t xml:space="preserve">Cost / TCO</w:t>
            </w:r>
          </w:p>
        </w:tc>
        <w:tc>
          <w:tcPr/>
          <w:p>
            <w:pPr>
              <w:pStyle w:val="Compact"/>
              <w:jc w:val="right"/>
            </w:pPr>
            <w:r>
              <w:t xml:space="preserve">4</w:t>
            </w:r>
          </w:p>
        </w:tc>
        <w:tc>
          <w:tcPr/>
          <w:p>
            <w:pPr>
              <w:pStyle w:val="Compact"/>
              <w:jc w:val="left"/>
            </w:pPr>
            <w:r>
              <w:t xml:space="preserve">Free Apache-2.0</w:t>
            </w:r>
            <w:r>
              <w:t xml:space="preserve"> </w:t>
            </w:r>
            <w:r>
              <w:rPr>
                <w:rStyle w:val="ClaimLabel"/>
              </w:rPr>
              <w:t xml:space="preserve">VF</w:t>
            </w:r>
            <w:r>
              <w:rPr>
                <w:rStyle w:val="FootnoteReference"/>
              </w:rPr>
              <w:footnoteReference w:id="1114"/>
            </w:r>
          </w:p>
        </w:tc>
      </w:tr>
      <w:tr>
        <w:tc>
          <w:tcPr/>
          <w:p>
            <w:pPr>
              <w:pStyle w:val="Compact"/>
              <w:jc w:val="left"/>
            </w:pPr>
            <w:r>
              <w:t xml:space="preserve">Lock-in / portability</w:t>
            </w:r>
          </w:p>
        </w:tc>
        <w:tc>
          <w:tcPr/>
          <w:p>
            <w:pPr>
              <w:pStyle w:val="Compact"/>
              <w:jc w:val="right"/>
            </w:pPr>
            <w:r>
              <w:t xml:space="preserve">3</w:t>
            </w:r>
          </w:p>
        </w:tc>
        <w:tc>
          <w:tcPr/>
          <w:p>
            <w:pPr>
              <w:pStyle w:val="Compact"/>
              <w:jc w:val="left"/>
            </w:pPr>
            <w:r>
              <w:t xml:space="preserve">Apache-2.0 but Gemini-optimised and GCP-targeted</w:t>
            </w:r>
            <w:r>
              <w:t xml:space="preserve"> </w:t>
            </w:r>
            <w:r>
              <w:rPr>
                <w:rStyle w:val="ClaimLabel"/>
              </w:rPr>
              <w:t xml:space="preserve">VF</w:t>
            </w:r>
            <w:r>
              <w:rPr>
                <w:rStyle w:val="FootnoteReference"/>
              </w:rPr>
              <w:footnoteReference w:id="1115"/>
            </w:r>
          </w:p>
        </w:tc>
      </w:tr>
      <w:tr>
        <w:tc>
          <w:tcPr/>
          <w:p>
            <w:pPr>
              <w:pStyle w:val="Compact"/>
              <w:jc w:val="left"/>
            </w:pPr>
            <w:r>
              <w:rPr>
                <w:bCs/>
                <w:b/>
              </w:rPr>
              <w:t xml:space="preserve">Total (generic / FS)</w:t>
            </w:r>
          </w:p>
        </w:tc>
        <w:tc>
          <w:tcPr/>
          <w:p>
            <w:pPr>
              <w:pStyle w:val="Compact"/>
              <w:jc w:val="right"/>
            </w:pPr>
            <w:r>
              <w:rPr>
                <w:bCs/>
                <w:b/>
              </w:rPr>
              <w:t xml:space="preserve">3.45 / 3.35</w:t>
            </w:r>
          </w:p>
        </w:tc>
        <w:tc>
          <w:tcPr/>
          <w:p>
            <w:pPr>
              <w:pStyle w:val="Compact"/>
            </w:pPr>
          </w:p>
        </w:tc>
      </w:tr>
    </w:tbl>
    <w:p>
      <w:pPr>
        <w:pStyle w:val="BodyText"/>
      </w:pPr>
      <w:r>
        <w:rPr>
          <w:bCs/>
          <w:b/>
        </w:rPr>
        <w:t xml:space="preserve">Capabilities.</w:t>
      </w:r>
      <w:r>
        <w:t xml:space="preserve"> </w:t>
      </w:r>
      <w:r>
        <w:t xml:space="preserve">Apache-2.0 code-first agent framework (Python, Java, Kotlin, Go, TS); ADK 2.0 adds a graph-based Workflow Runtime (routing, fan-out/fan-in, loops, retry, state, HITL, nested workflows) and a Task API for agent-to-agent delegation; deploys to Cloud Run or Vertex AI Agent Engine</w:t>
      </w:r>
      <w:r>
        <w:t xml:space="preserve"> </w:t>
      </w:r>
      <w:r>
        <w:rPr>
          <w:rStyle w:val="ClaimLabel"/>
        </w:rPr>
        <w:t xml:space="preserve">VF</w:t>
      </w:r>
      <w:r>
        <w:rPr>
          <w:rStyle w:val="FootnoteReference"/>
        </w:rPr>
        <w:footnoteReference w:id="1116"/>
      </w:r>
      <w:r>
        <w:t xml:space="preserve">.</w:t>
      </w:r>
    </w:p>
    <w:p>
      <w:pPr>
        <w:pStyle w:val="BodyText"/>
      </w:pPr>
      <w:r>
        <w:rPr>
          <w:bCs/>
          <w:b/>
        </w:rPr>
        <w:t xml:space="preserve">Strengths</w:t>
      </w:r>
    </w:p>
    <w:p>
      <w:pPr>
        <w:numPr>
          <w:ilvl w:val="0"/>
          <w:numId w:val="1245"/>
        </w:numPr>
        <w:pStyle w:val="Compact"/>
      </w:pPr>
      <w:r>
        <w:t xml:space="preserve">Explicit deterministic Workflow Runtime alongside agents</w:t>
      </w:r>
      <w:r>
        <w:t xml:space="preserve"> </w:t>
      </w:r>
      <w:r>
        <w:rPr>
          <w:rStyle w:val="ClaimLabel"/>
        </w:rPr>
        <w:t xml:space="preserve">VF</w:t>
      </w:r>
      <w:r>
        <w:rPr>
          <w:rStyle w:val="FootnoteReference"/>
        </w:rPr>
        <w:footnoteReference w:id="1117"/>
      </w:r>
      <w:r>
        <w:t xml:space="preserve"> </w:t>
      </w:r>
      <w:r>
        <w:rPr>
          <w:rStyle w:val="ClaimLabel"/>
        </w:rPr>
        <w:t xml:space="preserve">AJ</w:t>
      </w:r>
    </w:p>
    <w:p>
      <w:pPr>
        <w:numPr>
          <w:ilvl w:val="0"/>
          <w:numId w:val="1245"/>
        </w:numPr>
        <w:pStyle w:val="Compact"/>
      </w:pPr>
      <w:r>
        <w:t xml:space="preserve">Tool-confirmation HITL and evaluation built in</w:t>
      </w:r>
      <w:r>
        <w:t xml:space="preserve"> </w:t>
      </w:r>
      <w:r>
        <w:rPr>
          <w:rStyle w:val="ClaimLabel"/>
        </w:rPr>
        <w:t xml:space="preserve">VF</w:t>
      </w:r>
      <w:r>
        <w:rPr>
          <w:rStyle w:val="FootnoteReference"/>
        </w:rPr>
        <w:footnoteReference w:id="1118"/>
      </w:r>
    </w:p>
    <w:p>
      <w:pPr>
        <w:pStyle w:val="FirstParagraph"/>
      </w:pPr>
      <w:r>
        <w:rPr>
          <w:bCs/>
          <w:b/>
        </w:rPr>
        <w:t xml:space="preserve">Limitations and risks</w:t>
      </w:r>
    </w:p>
    <w:p>
      <w:pPr>
        <w:numPr>
          <w:ilvl w:val="0"/>
          <w:numId w:val="1246"/>
        </w:numPr>
        <w:pStyle w:val="Compact"/>
      </w:pPr>
      <w:r>
        <w:t xml:space="preserve">Two major versions in twelve months</w:t>
      </w:r>
      <w:r>
        <w:t xml:space="preserve"> </w:t>
      </w:r>
      <w:r>
        <w:rPr>
          <w:rStyle w:val="ClaimLabel"/>
        </w:rPr>
        <w:t xml:space="preserve">VF</w:t>
      </w:r>
      <w:r>
        <w:rPr>
          <w:rStyle w:val="FootnoteReference"/>
        </w:rPr>
        <w:footnoteReference w:id="1119"/>
      </w:r>
    </w:p>
    <w:p>
      <w:pPr>
        <w:numPr>
          <w:ilvl w:val="0"/>
          <w:numId w:val="1246"/>
        </w:numPr>
        <w:pStyle w:val="Compact"/>
      </w:pPr>
      <w:r>
        <w:t xml:space="preserve">Gemini-optimised; Google Cloud deployment targets</w:t>
      </w:r>
      <w:r>
        <w:t xml:space="preserve"> </w:t>
      </w:r>
      <w:r>
        <w:rPr>
          <w:rStyle w:val="ClaimLabel"/>
        </w:rPr>
        <w:t xml:space="preserve">VF</w:t>
      </w:r>
      <w:r>
        <w:rPr>
          <w:rStyle w:val="FootnoteReference"/>
        </w:rPr>
        <w:footnoteReference w:id="1120"/>
      </w:r>
    </w:p>
    <w:p>
      <w:pPr>
        <w:numPr>
          <w:ilvl w:val="0"/>
          <w:numId w:val="1246"/>
        </w:numPr>
        <w:pStyle w:val="Compact"/>
      </w:pPr>
      <w:r>
        <w:t xml:space="preserve">Security features and access controls not verified for the library</w:t>
      </w:r>
      <w:r>
        <w:t xml:space="preserve"> </w:t>
      </w:r>
      <w:r>
        <w:rPr>
          <w:rStyle w:val="ClaimLabel"/>
        </w:rPr>
        <w:t xml:space="preserve">NPV</w:t>
      </w:r>
    </w:p>
    <w:p>
      <w:pPr>
        <w:pStyle w:val="FirstParagraph"/>
      </w:pPr>
      <w:r>
        <w:rPr>
          <w:bCs/>
          <w:b/>
        </w:rPr>
        <w:t xml:space="preserve">Choose when</w:t>
      </w:r>
    </w:p>
    <w:p>
      <w:pPr>
        <w:numPr>
          <w:ilvl w:val="0"/>
          <w:numId w:val="1247"/>
        </w:numPr>
        <w:pStyle w:val="Compact"/>
      </w:pPr>
      <w:r>
        <w:t xml:space="preserve">Google Cloud estates, especially with Agent Engine</w:t>
      </w:r>
      <w:r>
        <w:t xml:space="preserve"> </w:t>
      </w:r>
      <w:r>
        <w:rPr>
          <w:rStyle w:val="ClaimLabel"/>
        </w:rPr>
        <w:t xml:space="preserve">AJ</w:t>
      </w:r>
    </w:p>
    <w:p>
      <w:pPr>
        <w:pStyle w:val="FirstParagraph"/>
      </w:pPr>
      <w:r>
        <w:rPr>
          <w:bCs/>
          <w:b/>
        </w:rPr>
        <w:t xml:space="preserve">Avoid when</w:t>
      </w:r>
    </w:p>
    <w:p>
      <w:pPr>
        <w:numPr>
          <w:ilvl w:val="0"/>
          <w:numId w:val="1248"/>
        </w:numPr>
        <w:pStyle w:val="Compact"/>
      </w:pPr>
      <w:r>
        <w:t xml:space="preserve">You need cross-cloud hosting parity</w:t>
      </w:r>
      <w:r>
        <w:t xml:space="preserve"> </w:t>
      </w:r>
      <w:r>
        <w:rPr>
          <w:rStyle w:val="ClaimLabel"/>
        </w:rPr>
        <w:t xml:space="preserve">AJ</w:t>
      </w:r>
    </w:p>
    <w:p>
      <w:pPr>
        <w:pStyle w:val="FirstParagraph"/>
      </w:pPr>
      <w:r>
        <w:rPr>
          <w:bCs/>
          <w:b/>
        </w:rPr>
        <w:t xml:space="preserve">Nearest competitors:</w:t>
      </w:r>
      <w:r>
        <w:t xml:space="preserve"> </w:t>
      </w:r>
      <w:r>
        <w:t xml:space="preserve">L3-microsoft-agent-framework, L3-langgraph, L3-aws-strands-agentcore</w:t>
      </w:r>
    </w:p>
    <w:p>
      <w:pPr>
        <w:pStyle w:val="BodyText"/>
      </w:pPr>
      <w:r>
        <w:rPr>
          <w:bCs/>
          <w:b/>
        </w:rPr>
        <w:t xml:space="preserve">Regulated-FS note.</w:t>
      </w:r>
      <w:r>
        <w:t xml:space="preserve"> </w:t>
      </w:r>
      <w:r>
        <w:t xml:space="preserve">Treat Agent Engine as a hyperscaler service under CP2 Q1 and confirm its controls per service</w:t>
      </w:r>
      <w:r>
        <w:t xml:space="preserve"> </w:t>
      </w:r>
      <w:r>
        <w:rPr>
          <w:rStyle w:val="ClaimLabel"/>
        </w:rPr>
        <w:t xml:space="preserve">Rec</w:t>
      </w:r>
      <w:r>
        <w:t xml:space="preserve">.</w:t>
      </w:r>
    </w:p>
    <w:p>
      <w:pPr>
        <w:pStyle w:val="BodyText"/>
      </w:pPr>
      <w:r>
        <w:rPr>
          <w:bCs/>
          <w:b/>
        </w:rPr>
        <w:t xml:space="preserve">Facts (as of 2026-10-07)</w:t>
      </w:r>
    </w:p>
    <w:tbl>
      <w:tblPr>
        <w:tblStyle w:val="Table"/>
        <w:tblW w:type="pct" w:w="5000"/>
        <w:tblLook w:firstRow="1" w:lastRow="0" w:firstColumn="0" w:lastColumn="0" w:noHBand="0" w:noVBand="0" w:val="0020"/>
        <w:jc w:val="start"/>
      </w:tblPr>
      <w:tblGrid>
        <w:gridCol w:w="1485"/>
        <w:gridCol w:w="4290"/>
        <w:gridCol w:w="1320"/>
        <w:gridCol w:w="825"/>
      </w:tblGrid>
      <w:tr>
        <w:trPr>
          <w:tblHeader w:val="true"/>
        </w:trPr>
        <w:tc>
          <w:tcPr/>
          <w:p>
            <w:pPr>
              <w:pStyle w:val="Compact"/>
              <w:jc w:val="left"/>
            </w:pPr>
            <w:r>
              <w:t xml:space="preserve">Field</w:t>
            </w:r>
          </w:p>
        </w:tc>
        <w:tc>
          <w:tcPr/>
          <w:p>
            <w:pPr>
              <w:pStyle w:val="Compact"/>
              <w:jc w:val="left"/>
            </w:pPr>
            <w:r>
              <w:t xml:space="preserve">Value</w:t>
            </w:r>
          </w:p>
        </w:tc>
        <w:tc>
          <w:tcPr/>
          <w:p>
            <w:pPr>
              <w:pStyle w:val="Compact"/>
              <w:jc w:val="left"/>
            </w:pPr>
            <w:r>
              <w:t xml:space="preserve">Label</w:t>
            </w:r>
          </w:p>
        </w:tc>
        <w:tc>
          <w:tcPr/>
          <w:p>
            <w:pPr>
              <w:pStyle w:val="Compact"/>
              <w:jc w:val="left"/>
            </w:pPr>
            <w:r>
              <w:t xml:space="preserve">Sources</w:t>
            </w:r>
          </w:p>
        </w:tc>
      </w:tr>
      <w:tr>
        <w:tc>
          <w:tcPr/>
          <w:p>
            <w:pPr>
              <w:pStyle w:val="Compact"/>
              <w:jc w:val="left"/>
            </w:pPr>
            <w:r>
              <w:t xml:space="preserve">Company</w:t>
            </w:r>
          </w:p>
        </w:tc>
        <w:tc>
          <w:tcPr/>
          <w:p>
            <w:pPr>
              <w:pStyle w:val="Compact"/>
              <w:jc w:val="left"/>
            </w:pPr>
            <w:r>
              <w:t xml:space="preserve">Google</w:t>
            </w:r>
          </w:p>
        </w:tc>
        <w:tc>
          <w:tcPr/>
          <w:p>
            <w:pPr>
              <w:pStyle w:val="Compact"/>
              <w:jc w:val="left"/>
            </w:pPr>
            <w:r>
              <w:t xml:space="preserve">Verified fact</w:t>
            </w:r>
          </w:p>
        </w:tc>
        <w:tc>
          <w:tcPr/>
          <w:p>
            <w:pPr>
              <w:pStyle w:val="Compact"/>
              <w:jc w:val="left"/>
            </w:pPr>
            <w:r>
              <w:t xml:space="preserve">A4-S114</w:t>
            </w:r>
          </w:p>
        </w:tc>
      </w:tr>
      <w:tr>
        <w:tc>
          <w:tcPr/>
          <w:p>
            <w:pPr>
              <w:pStyle w:val="Compact"/>
              <w:jc w:val="left"/>
            </w:pPr>
            <w:r>
              <w:t xml:space="preserve">Category</w:t>
            </w:r>
          </w:p>
        </w:tc>
        <w:tc>
          <w:tcPr/>
          <w:p>
            <w:pPr>
              <w:pStyle w:val="Compact"/>
              <w:jc w:val="left"/>
            </w:pPr>
            <w:r>
              <w:t xml:space="preserve">Open-source, code-first agent framework with a graph-based deterministic Workflow Runtime</w:t>
            </w:r>
          </w:p>
        </w:tc>
        <w:tc>
          <w:tcPr/>
          <w:p>
            <w:pPr>
              <w:pStyle w:val="Compact"/>
              <w:jc w:val="left"/>
            </w:pPr>
            <w:r>
              <w:t xml:space="preserve">Verified fact</w:t>
            </w:r>
          </w:p>
        </w:tc>
        <w:tc>
          <w:tcPr/>
          <w:p>
            <w:pPr>
              <w:pStyle w:val="Compact"/>
              <w:jc w:val="left"/>
            </w:pPr>
            <w:r>
              <w:t xml:space="preserve">A4-S114</w:t>
            </w:r>
          </w:p>
        </w:tc>
      </w:tr>
      <w:tr>
        <w:tc>
          <w:tcPr/>
          <w:p>
            <w:pPr>
              <w:pStyle w:val="Compact"/>
              <w:jc w:val="left"/>
            </w:pPr>
            <w:r>
              <w:t xml:space="preserve">Version / lineup</w:t>
            </w:r>
          </w:p>
        </w:tc>
        <w:tc>
          <w:tcPr/>
          <w:p>
            <w:pPr>
              <w:pStyle w:val="Compact"/>
              <w:jc w:val="left"/>
            </w:pPr>
            <w:r>
              <w:t xml:space="preserve">google-adk 2.11.0 (2 October 2026); 2.0.0 on 19 May 2026; 1.0.0 on 20 May 2025; also Java, Kotlin, Go and TypeScript ports</w:t>
            </w:r>
          </w:p>
        </w:tc>
        <w:tc>
          <w:tcPr/>
          <w:p>
            <w:pPr>
              <w:pStyle w:val="Compact"/>
              <w:jc w:val="left"/>
            </w:pPr>
            <w:r>
              <w:t xml:space="preserve">Verified fact</w:t>
            </w:r>
          </w:p>
        </w:tc>
        <w:tc>
          <w:tcPr/>
          <w:p>
            <w:pPr>
              <w:pStyle w:val="Compact"/>
              <w:jc w:val="left"/>
            </w:pPr>
            <w:r>
              <w:t xml:space="preserve">A4-S017, A4-S114</w:t>
            </w:r>
          </w:p>
        </w:tc>
      </w:tr>
      <w:tr>
        <w:tc>
          <w:tcPr/>
          <w:p>
            <w:pPr>
              <w:pStyle w:val="Compact"/>
              <w:jc w:val="left"/>
            </w:pPr>
            <w:r>
              <w:t xml:space="preserve">Licence</w:t>
            </w:r>
          </w:p>
        </w:tc>
        <w:tc>
          <w:tcPr/>
          <w:p>
            <w:pPr>
              <w:pStyle w:val="Compact"/>
              <w:jc w:val="left"/>
            </w:pPr>
            <w:r>
              <w:t xml:space="preserve">Open source, Apache-2.0</w:t>
            </w:r>
          </w:p>
        </w:tc>
        <w:tc>
          <w:tcPr/>
          <w:p>
            <w:pPr>
              <w:pStyle w:val="Compact"/>
              <w:jc w:val="left"/>
            </w:pPr>
            <w:r>
              <w:t xml:space="preserve">Verified fact</w:t>
            </w:r>
          </w:p>
        </w:tc>
        <w:tc>
          <w:tcPr/>
          <w:p>
            <w:pPr>
              <w:pStyle w:val="Compact"/>
              <w:jc w:val="left"/>
            </w:pPr>
            <w:r>
              <w:t xml:space="preserve">A4-S114</w:t>
            </w:r>
          </w:p>
        </w:tc>
      </w:tr>
      <w:tr>
        <w:tc>
          <w:tcPr/>
          <w:p>
            <w:pPr>
              <w:pStyle w:val="Compact"/>
              <w:jc w:val="left"/>
            </w:pPr>
            <w:r>
              <w:t xml:space="preserve">Status events</w:t>
            </w:r>
          </w:p>
        </w:tc>
        <w:tc>
          <w:tcPr/>
          <w:p>
            <w:pPr>
              <w:pStyle w:val="Compact"/>
              <w:jc w:val="left"/>
            </w:pPr>
            <w:r>
              <w:t xml:space="preserve">19 May 2026: ADK 2.0.0</w:t>
            </w:r>
          </w:p>
        </w:tc>
        <w:tc>
          <w:tcPr/>
          <w:p>
            <w:pPr>
              <w:pStyle w:val="Compact"/>
              <w:jc w:val="left"/>
            </w:pPr>
            <w:r>
              <w:t xml:space="preserve">Verified fact</w:t>
            </w:r>
          </w:p>
        </w:tc>
        <w:tc>
          <w:tcPr/>
          <w:p>
            <w:pPr>
              <w:pStyle w:val="Compact"/>
              <w:jc w:val="left"/>
            </w:pPr>
            <w:r>
              <w:t xml:space="preserve">A4-S017</w:t>
            </w:r>
          </w:p>
        </w:tc>
      </w:tr>
      <w:tr>
        <w:tc>
          <w:tcPr/>
          <w:p>
            <w:pPr>
              <w:pStyle w:val="Compact"/>
              <w:jc w:val="left"/>
            </w:pPr>
            <w:r>
              <w:t xml:space="preserve">Strategic direction</w:t>
            </w:r>
          </w:p>
        </w:tc>
        <w:tc>
          <w:tcPr/>
          <w:p>
            <w:pPr>
              <w:pStyle w:val="Compact"/>
              <w:jc w:val="left"/>
            </w:pPr>
            <w:r>
              <w:t xml:space="preserve">ADK 2.0 adds a Workflow Runtime (routing, fan-out/fan-in, loops, retry, state, human-in-the-loop, nested workflows) and a Task API for agent-to-agent delegation; optimised for Gemini but model-agnostic</w:t>
            </w:r>
          </w:p>
        </w:tc>
        <w:tc>
          <w:tcPr/>
          <w:p>
            <w:pPr>
              <w:pStyle w:val="Compact"/>
              <w:jc w:val="left"/>
            </w:pPr>
            <w:r>
              <w:t xml:space="preserve">Verified fact</w:t>
            </w:r>
          </w:p>
        </w:tc>
        <w:tc>
          <w:tcPr/>
          <w:p>
            <w:pPr>
              <w:pStyle w:val="Compact"/>
              <w:jc w:val="left"/>
            </w:pPr>
            <w:r>
              <w:t xml:space="preserve">A4-S114</w:t>
            </w:r>
          </w:p>
        </w:tc>
      </w:tr>
      <w:tr>
        <w:tc>
          <w:tcPr/>
          <w:p>
            <w:pPr>
              <w:pStyle w:val="Compact"/>
              <w:jc w:val="left"/>
            </w:pPr>
            <w:r>
              <w:t xml:space="preserve">What it does</w:t>
            </w:r>
          </w:p>
        </w:tc>
        <w:tc>
          <w:tcPr/>
          <w:p>
            <w:pPr>
              <w:pStyle w:val="Compact"/>
              <w:jc w:val="left"/>
            </w:pPr>
            <w:r>
              <w:t xml:space="preserve">Builds, evaluates and deploys agents and multi-agent hierarchies with tools (OpenAPI, MCP), tool-confirmation HITL, and deterministic graph workflows; deploys to Cloud Run or Vertex AI Agent Engine.</w:t>
            </w:r>
          </w:p>
        </w:tc>
        <w:tc>
          <w:tcPr/>
          <w:p>
            <w:pPr>
              <w:pStyle w:val="Compact"/>
              <w:jc w:val="left"/>
            </w:pPr>
            <w:r>
              <w:t xml:space="preserve">Verified fact</w:t>
            </w:r>
          </w:p>
        </w:tc>
        <w:tc>
          <w:tcPr/>
          <w:p>
            <w:pPr>
              <w:pStyle w:val="Compact"/>
              <w:jc w:val="left"/>
            </w:pPr>
            <w:r>
              <w:t xml:space="preserve">A4-S114</w:t>
            </w:r>
          </w:p>
        </w:tc>
      </w:tr>
      <w:tr>
        <w:tc>
          <w:tcPr/>
          <w:p>
            <w:pPr>
              <w:pStyle w:val="Compact"/>
              <w:jc w:val="left"/>
            </w:pPr>
            <w:r>
              <w:t xml:space="preserve">Stack position</w:t>
            </w:r>
          </w:p>
        </w:tc>
        <w:tc>
          <w:tcPr/>
          <w:p>
            <w:pPr>
              <w:pStyle w:val="Compact"/>
              <w:jc w:val="left"/>
            </w:pPr>
            <w:r>
              <w:t xml:space="preserve">L3 framework; Vertex AI Agent Engine is the managed runtime</w:t>
            </w:r>
          </w:p>
        </w:tc>
        <w:tc>
          <w:tcPr/>
          <w:p>
            <w:pPr>
              <w:pStyle w:val="Compact"/>
              <w:jc w:val="left"/>
            </w:pPr>
            <w:r>
              <w:t xml:space="preserve">Verified fact</w:t>
            </w:r>
          </w:p>
        </w:tc>
        <w:tc>
          <w:tcPr/>
          <w:p>
            <w:pPr>
              <w:pStyle w:val="Compact"/>
              <w:jc w:val="left"/>
            </w:pPr>
            <w:r>
              <w:t xml:space="preserve">A4-S114</w:t>
            </w:r>
          </w:p>
        </w:tc>
      </w:tr>
      <w:tr>
        <w:tc>
          <w:tcPr/>
          <w:p>
            <w:pPr>
              <w:pStyle w:val="Compact"/>
              <w:jc w:val="left"/>
            </w:pPr>
            <w:r>
              <w:t xml:space="preserve">Integration</w:t>
            </w:r>
          </w:p>
        </w:tc>
        <w:tc>
          <w:tcPr/>
          <w:p>
            <w:pPr>
              <w:pStyle w:val="Compact"/>
              <w:jc w:val="left"/>
            </w:pPr>
            <w:r>
              <w:t xml:space="preserve">Libraries; MCP and OpenAPI tools; A2A delegation via Task API</w:t>
            </w:r>
          </w:p>
        </w:tc>
        <w:tc>
          <w:tcPr/>
          <w:p>
            <w:pPr>
              <w:pStyle w:val="Compact"/>
              <w:jc w:val="left"/>
            </w:pPr>
            <w:r>
              <w:t xml:space="preserve">Verified fact</w:t>
            </w:r>
          </w:p>
        </w:tc>
        <w:tc>
          <w:tcPr/>
          <w:p>
            <w:pPr>
              <w:pStyle w:val="Compact"/>
              <w:jc w:val="left"/>
            </w:pPr>
            <w:r>
              <w:t xml:space="preserve">A4-S114</w:t>
            </w:r>
          </w:p>
        </w:tc>
      </w:tr>
      <w:tr>
        <w:tc>
          <w:tcPr/>
          <w:p>
            <w:pPr>
              <w:pStyle w:val="Compact"/>
              <w:jc w:val="left"/>
            </w:pPr>
            <w:r>
              <w:t xml:space="preserve">Dependencies</w:t>
            </w:r>
          </w:p>
        </w:tc>
        <w:tc>
          <w:tcPr/>
          <w:p>
            <w:pPr>
              <w:pStyle w:val="Compact"/>
              <w:jc w:val="left"/>
            </w:pPr>
            <w:r>
              <w:t xml:space="preserve">Python (or Java/Kotlin/Go/TS); Gemini or other models</w:t>
            </w:r>
          </w:p>
        </w:tc>
        <w:tc>
          <w:tcPr/>
          <w:p>
            <w:pPr>
              <w:pStyle w:val="Compact"/>
              <w:jc w:val="left"/>
            </w:pPr>
            <w:r>
              <w:t xml:space="preserve">Verified fact</w:t>
            </w:r>
          </w:p>
        </w:tc>
        <w:tc>
          <w:tcPr/>
          <w:p>
            <w:pPr>
              <w:pStyle w:val="Compact"/>
              <w:jc w:val="left"/>
            </w:pPr>
            <w:r>
              <w:t xml:space="preserve">A4-S114</w:t>
            </w:r>
          </w:p>
        </w:tc>
      </w:tr>
      <w:tr>
        <w:tc>
          <w:tcPr/>
          <w:p>
            <w:pPr>
              <w:pStyle w:val="Compact"/>
              <w:jc w:val="left"/>
            </w:pPr>
            <w:r>
              <w:t xml:space="preserve">Certifications</w:t>
            </w:r>
          </w:p>
        </w:tc>
        <w:tc>
          <w:tcPr/>
          <w:p>
            <w:pPr>
              <w:pStyle w:val="Compact"/>
              <w:jc w:val="left"/>
            </w:pPr>
            <w:r>
              <w:t xml:space="preserve">Not applicable to the library</w:t>
            </w:r>
          </w:p>
        </w:tc>
        <w:tc>
          <w:tcPr/>
          <w:p>
            <w:pPr>
              <w:pStyle w:val="Compact"/>
              <w:jc w:val="left"/>
            </w:pPr>
            <w:r>
              <w:t xml:space="preserve">Architectural judgement</w:t>
            </w:r>
          </w:p>
        </w:tc>
        <w:tc>
          <w:tcPr/>
          <w:p>
            <w:pPr>
              <w:pStyle w:val="Compact"/>
            </w:pPr>
          </w:p>
        </w:tc>
      </w:tr>
      <w:tr>
        <w:tc>
          <w:tcPr/>
          <w:p>
            <w:pPr>
              <w:pStyle w:val="Compact"/>
              <w:jc w:val="left"/>
            </w:pPr>
            <w:r>
              <w:t xml:space="preserve">GDPR / residency</w:t>
            </w:r>
          </w:p>
        </w:tc>
        <w:tc>
          <w:tcPr/>
          <w:p>
            <w:pPr>
              <w:pStyle w:val="Compact"/>
              <w:jc w:val="left"/>
            </w:pPr>
            <w:r>
              <w:t xml:space="preserve">Inherits hosting/model choice</w:t>
            </w:r>
          </w:p>
        </w:tc>
        <w:tc>
          <w:tcPr/>
          <w:p>
            <w:pPr>
              <w:pStyle w:val="Compact"/>
              <w:jc w:val="left"/>
            </w:pPr>
            <w:r>
              <w:t xml:space="preserve">Architectural judgement</w:t>
            </w:r>
          </w:p>
        </w:tc>
        <w:tc>
          <w:tcPr/>
          <w:p>
            <w:pPr>
              <w:pStyle w:val="Compact"/>
            </w:pPr>
          </w:p>
        </w:tc>
      </w:tr>
      <w:tr>
        <w:tc>
          <w:tcPr/>
          <w:p>
            <w:pPr>
              <w:pStyle w:val="Compact"/>
              <w:jc w:val="left"/>
            </w:pPr>
            <w:r>
              <w:t xml:space="preserve">Security features</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Access controls</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Enterprise support</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Pricing</w:t>
            </w:r>
          </w:p>
        </w:tc>
        <w:tc>
          <w:tcPr/>
          <w:p>
            <w:pPr>
              <w:pStyle w:val="Compact"/>
              <w:jc w:val="left"/>
            </w:pPr>
            <w:r>
              <w:t xml:space="preserve">Free (Apache-2.0)</w:t>
            </w:r>
          </w:p>
        </w:tc>
        <w:tc>
          <w:tcPr/>
          <w:p>
            <w:pPr>
              <w:pStyle w:val="Compact"/>
              <w:jc w:val="left"/>
            </w:pPr>
            <w:r>
              <w:t xml:space="preserve">Verified fact</w:t>
            </w:r>
          </w:p>
        </w:tc>
        <w:tc>
          <w:tcPr/>
          <w:p>
            <w:pPr>
              <w:pStyle w:val="Compact"/>
              <w:jc w:val="left"/>
            </w:pPr>
            <w:r>
              <w:t xml:space="preserve">A4-S114</w:t>
            </w:r>
          </w:p>
        </w:tc>
      </w:tr>
      <w:tr>
        <w:tc>
          <w:tcPr/>
          <w:p>
            <w:pPr>
              <w:pStyle w:val="Compact"/>
              <w:jc w:val="left"/>
            </w:pPr>
            <w:r>
              <w:t xml:space="preserve">Infrastructure cost</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Ecosystem</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Adoption signals</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Maturity</w:t>
            </w:r>
          </w:p>
        </w:tc>
        <w:tc>
          <w:tcPr/>
          <w:p>
            <w:pPr>
              <w:pStyle w:val="Compact"/>
              <w:jc w:val="left"/>
            </w:pPr>
            <w:r>
              <w:t xml:space="preserve">1.0 May 2025; 2.0 May 2026</w:t>
            </w:r>
          </w:p>
        </w:tc>
        <w:tc>
          <w:tcPr/>
          <w:p>
            <w:pPr>
              <w:pStyle w:val="Compact"/>
              <w:jc w:val="left"/>
            </w:pPr>
            <w:r>
              <w:t xml:space="preserve">Verified fact</w:t>
            </w:r>
          </w:p>
        </w:tc>
        <w:tc>
          <w:tcPr/>
          <w:p>
            <w:pPr>
              <w:pStyle w:val="Compact"/>
              <w:jc w:val="left"/>
            </w:pPr>
            <w:r>
              <w:t xml:space="preserve">A4-S017</w:t>
            </w:r>
          </w:p>
        </w:tc>
      </w:tr>
      <w:tr>
        <w:tc>
          <w:tcPr/>
          <w:p>
            <w:pPr>
              <w:pStyle w:val="Compact"/>
              <w:jc w:val="left"/>
            </w:pPr>
            <w:r>
              <w:t xml:space="preserve">Deployment</w:t>
            </w:r>
          </w:p>
        </w:tc>
        <w:tc>
          <w:tcPr/>
          <w:p>
            <w:pPr>
              <w:pStyle w:val="Compact"/>
              <w:jc w:val="left"/>
            </w:pPr>
            <w:r>
              <w:t xml:space="preserve">saas: No; managed_cloud: Yes (Vertex AI Agent Engine, Cloud Run); vpc_byoc: Yes (library runs inside the customer’s own environment); private_cloud: Yes (library runs inside the customer’s own environment); self_hosted: Yes; on_prem: Yes (library)</w:t>
            </w:r>
          </w:p>
        </w:tc>
        <w:tc>
          <w:tcPr/>
          <w:p>
            <w:pPr>
              <w:pStyle w:val="Compact"/>
            </w:pPr>
          </w:p>
        </w:tc>
        <w:tc>
          <w:tcPr/>
          <w:p>
            <w:pPr>
              <w:pStyle w:val="Compact"/>
            </w:pPr>
          </w:p>
        </w:tc>
      </w:tr>
    </w:tbl>
    <w:bookmarkEnd w:id="1121"/>
    <w:bookmarkStart w:id="1142" w:name="X4f8df85fd2ab30d0bc02f950eaa801570035032"/>
    <w:p>
      <w:pPr>
        <w:pStyle w:val="Heading2"/>
      </w:pPr>
      <w:r>
        <w:t xml:space="preserve">OpenAI Agents SDK (Python: openai-agents; JS/TS:</w:t>
      </w:r>
      <w:r>
        <w:t xml:space="preserve"> </w:t>
      </w:r>
      <w:r>
        <w:t xml:space="preserve">@openai/agents</w:t>
      </w:r>
      <w:r>
        <w:t xml:space="preserve">) (</w:t>
      </w:r>
      <w:r>
        <w:rPr>
          <w:rStyle w:val="VerbatimChar"/>
        </w:rPr>
        <w:t xml:space="preserve">L3-openai-agents-sdk</w:t>
      </w:r>
      <w:r>
        <w:t xml:space="preserve">)</w:t>
      </w:r>
    </w:p>
    <w:p>
      <w:pPr>
        <w:pStyle w:val="FirstParagraph"/>
      </w:pPr>
      <w:r>
        <w:rPr>
          <w:bCs/>
          <w:b/>
        </w:rPr>
        <w:t xml:space="preserve">Tier:</w:t>
      </w:r>
      <w:r>
        <w:t xml:space="preserve"> </w:t>
      </w:r>
      <w:r>
        <w:t xml:space="preserve">Tactical ·</w:t>
      </w:r>
      <w:r>
        <w:t xml:space="preserve"> </w:t>
      </w:r>
      <w:r>
        <w:rPr>
          <w:bCs/>
          <w:b/>
        </w:rPr>
        <w:t xml:space="preserve">Flags:</w:t>
      </w:r>
      <w:r>
        <w:t xml:space="preserve"> </w:t>
      </w:r>
      <w:r>
        <w:t xml:space="preserve">none ·</w:t>
      </w:r>
      <w:r>
        <w:t xml:space="preserve"> </w:t>
      </w:r>
      <w:r>
        <w:rPr>
          <w:bCs/>
          <w:b/>
        </w:rPr>
        <w:t xml:space="preserve">Original graphic label:</w:t>
      </w:r>
      <w:r>
        <w:t xml:space="preserve"> </w:t>
      </w:r>
      <w:r>
        <w:t xml:space="preserve">Agent SDK (OpenAI logo)</w:t>
      </w:r>
    </w:p>
    <w:p>
      <w:pPr>
        <w:pStyle w:val="BodyText"/>
      </w:pPr>
      <w:r>
        <w:rPr>
          <w:iCs/>
          <w:i/>
        </w:rPr>
        <w:t xml:space="preserve">Rationale:</w:t>
      </w:r>
      <w:r>
        <w:t xml:space="preserve"> </w:t>
      </w:r>
      <w:r>
        <w:t xml:space="preserve">Good agent-step SDK, but pre-1.0 and surrounded by product churn.</w:t>
      </w:r>
    </w:p>
    <w:tbl>
      <w:tblPr>
        <w:tblStyle w:val="Table"/>
        <w:tblW w:type="pct" w:w="5000"/>
        <w:tblLook w:firstRow="1" w:lastRow="0" w:firstColumn="0" w:lastColumn="0" w:noHBand="0" w:noVBand="0" w:val="0020"/>
        <w:jc w:val="start"/>
      </w:tblPr>
      <w:tblGrid>
        <w:gridCol w:w="1545"/>
        <w:gridCol w:w="579"/>
        <w:gridCol w:w="5795"/>
      </w:tblGrid>
      <w:tr>
        <w:trPr>
          <w:tblHeader w:val="true"/>
        </w:trPr>
        <w:tc>
          <w:tcPr/>
          <w:p>
            <w:pPr>
              <w:pStyle w:val="Compact"/>
              <w:jc w:val="left"/>
            </w:pPr>
            <w:r>
              <w:t xml:space="preserve">Criterion</w:t>
            </w:r>
          </w:p>
        </w:tc>
        <w:tc>
          <w:tcPr/>
          <w:p>
            <w:pPr>
              <w:pStyle w:val="Compact"/>
              <w:jc w:val="right"/>
            </w:pPr>
            <w:r>
              <w:t xml:space="preserve">Score</w:t>
            </w:r>
          </w:p>
        </w:tc>
        <w:tc>
          <w:tcPr/>
          <w:p>
            <w:pPr>
              <w:pStyle w:val="Compact"/>
              <w:jc w:val="left"/>
            </w:pPr>
            <w:r>
              <w:t xml:space="preserve">Rationale</w:t>
            </w:r>
          </w:p>
        </w:tc>
      </w:tr>
      <w:tr>
        <w:tc>
          <w:tcPr/>
          <w:p>
            <w:pPr>
              <w:pStyle w:val="Compact"/>
              <w:jc w:val="left"/>
            </w:pPr>
            <w:r>
              <w:t xml:space="preserve">Technical</w:t>
            </w:r>
          </w:p>
        </w:tc>
        <w:tc>
          <w:tcPr/>
          <w:p>
            <w:pPr>
              <w:pStyle w:val="Compact"/>
              <w:jc w:val="right"/>
            </w:pPr>
            <w:r>
              <w:t xml:space="preserve">4</w:t>
            </w:r>
          </w:p>
        </w:tc>
        <w:tc>
          <w:tcPr/>
          <w:p>
            <w:pPr>
              <w:pStyle w:val="Compact"/>
              <w:jc w:val="left"/>
            </w:pPr>
            <w:r>
              <w:t xml:space="preserve">Agent loop, handoffs, guardrails, sessions, approvals, tracing, sandboxes, Temporal/DBOS durability</w:t>
            </w:r>
            <w:r>
              <w:t xml:space="preserve"> </w:t>
            </w:r>
            <w:r>
              <w:rPr>
                <w:rStyle w:val="ClaimLabel"/>
              </w:rPr>
              <w:t xml:space="preserve">VF</w:t>
            </w:r>
            <w:r>
              <w:rPr>
                <w:rStyle w:val="FootnoteReference"/>
              </w:rPr>
              <w:footnoteReference w:id="1122"/>
            </w:r>
          </w:p>
        </w:tc>
      </w:tr>
      <w:tr>
        <w:tc>
          <w:tcPr/>
          <w:p>
            <w:pPr>
              <w:pStyle w:val="Compact"/>
              <w:jc w:val="left"/>
            </w:pPr>
            <w:r>
              <w:t xml:space="preserve">Enterprise readiness</w:t>
            </w:r>
          </w:p>
        </w:tc>
        <w:tc>
          <w:tcPr/>
          <w:p>
            <w:pPr>
              <w:pStyle w:val="Compact"/>
              <w:jc w:val="right"/>
            </w:pPr>
            <w:r>
              <w:t xml:space="preserve">3</w:t>
            </w:r>
          </w:p>
        </w:tc>
        <w:tc>
          <w:tcPr/>
          <w:p>
            <w:pPr>
              <w:pStyle w:val="Compact"/>
              <w:jc w:val="left"/>
            </w:pPr>
            <w:r>
              <w:t xml:space="preserve">Library (rule 2); enterprise support not verified</w:t>
            </w:r>
            <w:r>
              <w:t xml:space="preserve"> </w:t>
            </w:r>
            <w:r>
              <w:rPr>
                <w:rStyle w:val="ClaimLabel"/>
              </w:rPr>
              <w:t xml:space="preserve">NPV</w:t>
            </w:r>
          </w:p>
        </w:tc>
      </w:tr>
      <w:tr>
        <w:tc>
          <w:tcPr/>
          <w:p>
            <w:pPr>
              <w:pStyle w:val="Compact"/>
              <w:jc w:val="left"/>
            </w:pPr>
            <w:r>
              <w:t xml:space="preserve">Security and compliance</w:t>
            </w:r>
          </w:p>
        </w:tc>
        <w:tc>
          <w:tcPr/>
          <w:p>
            <w:pPr>
              <w:pStyle w:val="Compact"/>
              <w:jc w:val="right"/>
            </w:pPr>
            <w:r>
              <w:t xml:space="preserve">3</w:t>
            </w:r>
          </w:p>
        </w:tc>
        <w:tc>
          <w:tcPr/>
          <w:p>
            <w:pPr>
              <w:pStyle w:val="Compact"/>
              <w:jc w:val="left"/>
            </w:pPr>
            <w:r>
              <w:t xml:space="preserve">Library (rule 2); harness keeps credentials away from model-generated code</w:t>
            </w:r>
            <w:r>
              <w:t xml:space="preserve"> </w:t>
            </w:r>
            <w:r>
              <w:rPr>
                <w:rStyle w:val="ClaimLabel"/>
              </w:rPr>
              <w:t xml:space="preserve">VF</w:t>
            </w:r>
            <w:r>
              <w:rPr>
                <w:rStyle w:val="FootnoteReference"/>
              </w:rPr>
              <w:footnoteReference w:id="1125"/>
            </w:r>
            <w:r>
              <w:t xml:space="preserve">; hygiene not assessed</w:t>
            </w:r>
          </w:p>
        </w:tc>
      </w:tr>
      <w:tr>
        <w:tc>
          <w:tcPr/>
          <w:p>
            <w:pPr>
              <w:pStyle w:val="Compact"/>
              <w:jc w:val="left"/>
            </w:pPr>
            <w:r>
              <w:t xml:space="preserve">Deployment flexibility</w:t>
            </w:r>
          </w:p>
        </w:tc>
        <w:tc>
          <w:tcPr/>
          <w:p>
            <w:pPr>
              <w:pStyle w:val="Compact"/>
              <w:jc w:val="right"/>
            </w:pPr>
            <w:r>
              <w:t xml:space="preserve">4</w:t>
            </w:r>
          </w:p>
        </w:tc>
        <w:tc>
          <w:tcPr/>
          <w:p>
            <w:pPr>
              <w:pStyle w:val="Compact"/>
              <w:jc w:val="left"/>
            </w:pPr>
            <w:r>
              <w:t xml:space="preserve">Library anywhere; model calls to chosen provider</w:t>
            </w:r>
            <w:r>
              <w:t xml:space="preserve"> </w:t>
            </w:r>
            <w:r>
              <w:rPr>
                <w:rStyle w:val="ClaimLabel"/>
              </w:rPr>
              <w:t xml:space="preserve">VF</w:t>
            </w:r>
            <w:r>
              <w:rPr>
                <w:rStyle w:val="FootnoteReference"/>
              </w:rPr>
              <w:footnoteReference w:id="1126"/>
            </w:r>
          </w:p>
        </w:tc>
      </w:tr>
      <w:tr>
        <w:tc>
          <w:tcPr/>
          <w:p>
            <w:pPr>
              <w:pStyle w:val="Compact"/>
              <w:jc w:val="left"/>
            </w:pPr>
            <w:r>
              <w:t xml:space="preserve">Ecosystem</w:t>
            </w:r>
          </w:p>
        </w:tc>
        <w:tc>
          <w:tcPr/>
          <w:p>
            <w:pPr>
              <w:pStyle w:val="Compact"/>
              <w:jc w:val="right"/>
            </w:pPr>
            <w:r>
              <w:t xml:space="preserve">4</w:t>
            </w:r>
          </w:p>
        </w:tc>
        <w:tc>
          <w:tcPr/>
          <w:p>
            <w:pPr>
              <w:pStyle w:val="Compact"/>
              <w:jc w:val="left"/>
            </w:pPr>
            <w:r>
              <w:t xml:space="preserve">MCP, sandbox partners, Temporal, DBOS, Bedrock Managed Agents</w:t>
            </w:r>
            <w:r>
              <w:t xml:space="preserve"> </w:t>
            </w:r>
            <w:r>
              <w:rPr>
                <w:rStyle w:val="ClaimLabel"/>
              </w:rPr>
              <w:t xml:space="preserve">VF</w:t>
            </w:r>
            <w:r>
              <w:rPr>
                <w:rStyle w:val="FootnoteReference"/>
              </w:rPr>
              <w:footnoteReference w:id="1128"/>
            </w:r>
          </w:p>
        </w:tc>
      </w:tr>
      <w:tr>
        <w:tc>
          <w:tcPr/>
          <w:p>
            <w:pPr>
              <w:pStyle w:val="Compact"/>
              <w:jc w:val="left"/>
            </w:pPr>
            <w:r>
              <w:t xml:space="preserve">Reliability and maturity</w:t>
            </w:r>
          </w:p>
        </w:tc>
        <w:tc>
          <w:tcPr/>
          <w:p>
            <w:pPr>
              <w:pStyle w:val="Compact"/>
              <w:jc w:val="right"/>
            </w:pPr>
            <w:r>
              <w:t xml:space="preserve">2</w:t>
            </w:r>
          </w:p>
        </w:tc>
        <w:tc>
          <w:tcPr/>
          <w:p>
            <w:pPr>
              <w:pStyle w:val="Compact"/>
              <w:jc w:val="left"/>
            </w:pPr>
            <w:r>
              <w:t xml:space="preserve">Pre-1.0 versioning; neighbouring products sunset in 2026</w:t>
            </w:r>
            <w:r>
              <w:t xml:space="preserve"> </w:t>
            </w:r>
            <w:r>
              <w:rPr>
                <w:rStyle w:val="ClaimLabel"/>
              </w:rPr>
              <w:t xml:space="preserve">VF</w:t>
            </w:r>
            <w:r>
              <w:rPr>
                <w:rStyle w:val="FootnoteReference"/>
              </w:rPr>
              <w:footnoteReference w:id="1130"/>
            </w:r>
          </w:p>
        </w:tc>
      </w:tr>
      <w:tr>
        <w:tc>
          <w:tcPr/>
          <w:p>
            <w:pPr>
              <w:pStyle w:val="Compact"/>
              <w:jc w:val="left"/>
            </w:pPr>
            <w:r>
              <w:t xml:space="preserve">Cost / TCO</w:t>
            </w:r>
          </w:p>
        </w:tc>
        <w:tc>
          <w:tcPr/>
          <w:p>
            <w:pPr>
              <w:pStyle w:val="Compact"/>
              <w:jc w:val="right"/>
            </w:pPr>
            <w:r>
              <w:t xml:space="preserve">4</w:t>
            </w:r>
          </w:p>
        </w:tc>
        <w:tc>
          <w:tcPr/>
          <w:p>
            <w:pPr>
              <w:pStyle w:val="Compact"/>
              <w:jc w:val="left"/>
            </w:pPr>
            <w:r>
              <w:t xml:space="preserve">Free MIT</w:t>
            </w:r>
            <w:r>
              <w:t xml:space="preserve"> </w:t>
            </w:r>
            <w:r>
              <w:rPr>
                <w:rStyle w:val="ClaimLabel"/>
              </w:rPr>
              <w:t xml:space="preserve">VF</w:t>
            </w:r>
            <w:r>
              <w:rPr>
                <w:rStyle w:val="FootnoteReference"/>
              </w:rPr>
              <w:footnoteReference w:id="1133"/>
            </w:r>
          </w:p>
        </w:tc>
      </w:tr>
      <w:tr>
        <w:tc>
          <w:tcPr/>
          <w:p>
            <w:pPr>
              <w:pStyle w:val="Compact"/>
              <w:jc w:val="left"/>
            </w:pPr>
            <w:r>
              <w:t xml:space="preserve">Lock-in / portability</w:t>
            </w:r>
          </w:p>
        </w:tc>
        <w:tc>
          <w:tcPr/>
          <w:p>
            <w:pPr>
              <w:pStyle w:val="Compact"/>
              <w:jc w:val="right"/>
            </w:pPr>
            <w:r>
              <w:t xml:space="preserve">3</w:t>
            </w:r>
          </w:p>
        </w:tc>
        <w:tc>
          <w:tcPr/>
          <w:p>
            <w:pPr>
              <w:pStyle w:val="Compact"/>
              <w:jc w:val="left"/>
            </w:pPr>
            <w:r>
              <w:t xml:space="preserve">MIT and provider-agnostic, but defaults favour OpenAI services</w:t>
            </w:r>
            <w:r>
              <w:t xml:space="preserve"> </w:t>
            </w:r>
            <w:r>
              <w:rPr>
                <w:rStyle w:val="ClaimLabel"/>
              </w:rPr>
              <w:t xml:space="preserve">VF</w:t>
            </w:r>
            <w:r>
              <w:rPr>
                <w:rStyle w:val="FootnoteReference"/>
              </w:rPr>
              <w:footnoteReference w:id="1134"/>
            </w:r>
          </w:p>
        </w:tc>
      </w:tr>
      <w:tr>
        <w:tc>
          <w:tcPr/>
          <w:p>
            <w:pPr>
              <w:pStyle w:val="Compact"/>
              <w:jc w:val="left"/>
            </w:pPr>
            <w:r>
              <w:rPr>
                <w:bCs/>
                <w:b/>
              </w:rPr>
              <w:t xml:space="preserve">Total (generic / FS)</w:t>
            </w:r>
          </w:p>
        </w:tc>
        <w:tc>
          <w:tcPr/>
          <w:p>
            <w:pPr>
              <w:pStyle w:val="Compact"/>
              <w:jc w:val="right"/>
            </w:pPr>
            <w:r>
              <w:rPr>
                <w:bCs/>
                <w:b/>
              </w:rPr>
              <w:t xml:space="preserve">3.45 / 3.30</w:t>
            </w:r>
          </w:p>
        </w:tc>
        <w:tc>
          <w:tcPr/>
          <w:p>
            <w:pPr>
              <w:pStyle w:val="Compact"/>
            </w:pPr>
          </w:p>
        </w:tc>
      </w:tr>
    </w:tbl>
    <w:p>
      <w:pPr>
        <w:pStyle w:val="BodyText"/>
      </w:pPr>
      <w:r>
        <w:rPr>
          <w:bCs/>
          <w:b/>
        </w:rPr>
        <w:t xml:space="preserve">Capabilities.</w:t>
      </w:r>
      <w:r>
        <w:t xml:space="preserve"> </w:t>
      </w:r>
      <w:r>
        <w:t xml:space="preserve">MIT, provider-agnostic multi-agent SDK: agents with tools, handoffs or agents-as-tools, input/output guardrails, sessions with resumable approvals, tracing, sandboxed agents; Temporal and DBOS integrations for durable runs. Distinct from the hosted Agents API (beta) and Agent Builder (shutting down 30 November 2026)</w:t>
      </w:r>
      <w:r>
        <w:t xml:space="preserve"> </w:t>
      </w:r>
      <w:r>
        <w:rPr>
          <w:rStyle w:val="ClaimLabel"/>
        </w:rPr>
        <w:t xml:space="preserve">VF</w:t>
      </w:r>
      <w:r>
        <w:rPr>
          <w:rStyle w:val="FootnoteReference"/>
        </w:rPr>
        <w:footnoteReference w:id="1135"/>
      </w:r>
      <w:r>
        <w:t xml:space="preserve">.</w:t>
      </w:r>
    </w:p>
    <w:p>
      <w:pPr>
        <w:pStyle w:val="BodyText"/>
      </w:pPr>
      <w:r>
        <w:rPr>
          <w:bCs/>
          <w:b/>
        </w:rPr>
        <w:t xml:space="preserve">Strengths</w:t>
      </w:r>
    </w:p>
    <w:p>
      <w:pPr>
        <w:numPr>
          <w:ilvl w:val="0"/>
          <w:numId w:val="1249"/>
        </w:numPr>
        <w:pStyle w:val="Compact"/>
      </w:pPr>
      <w:r>
        <w:t xml:space="preserve">Compact primitives with guardrails and approvals built in</w:t>
      </w:r>
      <w:r>
        <w:t xml:space="preserve"> </w:t>
      </w:r>
      <w:r>
        <w:rPr>
          <w:rStyle w:val="ClaimLabel"/>
        </w:rPr>
        <w:t xml:space="preserve">VF</w:t>
      </w:r>
      <w:r>
        <w:rPr>
          <w:rStyle w:val="FootnoteReference"/>
        </w:rPr>
        <w:footnoteReference w:id="1136"/>
      </w:r>
      <w:r>
        <w:t xml:space="preserve"> </w:t>
      </w:r>
      <w:r>
        <w:rPr>
          <w:rStyle w:val="ClaimLabel"/>
        </w:rPr>
        <w:t xml:space="preserve">AJ</w:t>
      </w:r>
    </w:p>
    <w:p>
      <w:pPr>
        <w:numPr>
          <w:ilvl w:val="0"/>
          <w:numId w:val="1249"/>
        </w:numPr>
        <w:pStyle w:val="Compact"/>
      </w:pPr>
      <w:r>
        <w:t xml:space="preserve">Works with 100+ non-OpenAI models</w:t>
      </w:r>
      <w:r>
        <w:t xml:space="preserve"> </w:t>
      </w:r>
      <w:r>
        <w:rPr>
          <w:rStyle w:val="ClaimLabel"/>
        </w:rPr>
        <w:t xml:space="preserve">VF</w:t>
      </w:r>
      <w:r>
        <w:rPr>
          <w:rStyle w:val="FootnoteReference"/>
        </w:rPr>
        <w:footnoteReference w:id="1137"/>
      </w:r>
    </w:p>
    <w:p>
      <w:pPr>
        <w:pStyle w:val="FirstParagraph"/>
      </w:pPr>
      <w:r>
        <w:rPr>
          <w:bCs/>
          <w:b/>
        </w:rPr>
        <w:t xml:space="preserve">Limitations and risks</w:t>
      </w:r>
    </w:p>
    <w:p>
      <w:pPr>
        <w:numPr>
          <w:ilvl w:val="0"/>
          <w:numId w:val="1250"/>
        </w:numPr>
        <w:pStyle w:val="Compact"/>
      </w:pPr>
      <w:r>
        <w:t xml:space="preserve">Pre-1.0 (0.23.1)</w:t>
      </w:r>
      <w:r>
        <w:t xml:space="preserve"> </w:t>
      </w:r>
      <w:r>
        <w:rPr>
          <w:rStyle w:val="ClaimLabel"/>
        </w:rPr>
        <w:t xml:space="preserve">VF</w:t>
      </w:r>
      <w:r>
        <w:rPr>
          <w:rStyle w:val="FootnoteReference"/>
        </w:rPr>
        <w:footnoteReference w:id="1138"/>
      </w:r>
    </w:p>
    <w:p>
      <w:pPr>
        <w:numPr>
          <w:ilvl w:val="0"/>
          <w:numId w:val="1250"/>
        </w:numPr>
        <w:pStyle w:val="Compact"/>
      </w:pPr>
      <w:r>
        <w:t xml:space="preserve">Tracing defaults to OpenAI’s dashboard</w:t>
      </w:r>
      <w:r>
        <w:t xml:space="preserve"> </w:t>
      </w:r>
      <w:r>
        <w:rPr>
          <w:rStyle w:val="ClaimLabel"/>
        </w:rPr>
        <w:t xml:space="preserve">VF</w:t>
      </w:r>
      <w:r>
        <w:rPr>
          <w:rStyle w:val="FootnoteReference"/>
        </w:rPr>
        <w:footnoteReference w:id="1139"/>
      </w:r>
    </w:p>
    <w:p>
      <w:pPr>
        <w:numPr>
          <w:ilvl w:val="0"/>
          <w:numId w:val="1250"/>
        </w:numPr>
        <w:pStyle w:val="Compact"/>
      </w:pPr>
      <w:r>
        <w:t xml:space="preserve">Adjacent OpenAI products are retired frequently</w:t>
      </w:r>
      <w:r>
        <w:t xml:space="preserve"> </w:t>
      </w:r>
      <w:r>
        <w:rPr>
          <w:rStyle w:val="ClaimLabel"/>
        </w:rPr>
        <w:t xml:space="preserve">VF</w:t>
      </w:r>
      <w:r>
        <w:rPr>
          <w:rStyle w:val="FootnoteReference"/>
        </w:rPr>
        <w:footnoteReference w:id="1140"/>
      </w:r>
    </w:p>
    <w:p>
      <w:pPr>
        <w:numPr>
          <w:ilvl w:val="0"/>
          <w:numId w:val="1250"/>
        </w:numPr>
        <w:pStyle w:val="Compact"/>
      </w:pPr>
      <w:r>
        <w:t xml:space="preserve">Hosted Agents API is US-only with no ZDR at launch</w:t>
      </w:r>
      <w:r>
        <w:t xml:space="preserve"> </w:t>
      </w:r>
      <w:r>
        <w:rPr>
          <w:rStyle w:val="ClaimLabel"/>
        </w:rPr>
        <w:t xml:space="preserve">VF</w:t>
      </w:r>
      <w:r>
        <w:rPr>
          <w:rStyle w:val="FootnoteReference"/>
        </w:rPr>
        <w:footnoteReference w:id="1141"/>
      </w:r>
    </w:p>
    <w:p>
      <w:pPr>
        <w:pStyle w:val="FirstParagraph"/>
      </w:pPr>
      <w:r>
        <w:rPr>
          <w:bCs/>
          <w:b/>
        </w:rPr>
        <w:t xml:space="preserve">Choose when</w:t>
      </w:r>
    </w:p>
    <w:p>
      <w:pPr>
        <w:numPr>
          <w:ilvl w:val="0"/>
          <w:numId w:val="1251"/>
        </w:numPr>
        <w:pStyle w:val="Compact"/>
      </w:pPr>
      <w:r>
        <w:t xml:space="preserve">An agent step inside a durable workflow, with a custom trace processor</w:t>
      </w:r>
      <w:r>
        <w:t xml:space="preserve"> </w:t>
      </w:r>
      <w:r>
        <w:rPr>
          <w:rStyle w:val="ClaimLabel"/>
        </w:rPr>
        <w:t xml:space="preserve">AJ</w:t>
      </w:r>
    </w:p>
    <w:p>
      <w:pPr>
        <w:pStyle w:val="FirstParagraph"/>
      </w:pPr>
      <w:r>
        <w:rPr>
          <w:bCs/>
          <w:b/>
        </w:rPr>
        <w:t xml:space="preserve">Avoid when</w:t>
      </w:r>
    </w:p>
    <w:p>
      <w:pPr>
        <w:numPr>
          <w:ilvl w:val="0"/>
          <w:numId w:val="1252"/>
        </w:numPr>
        <w:pStyle w:val="Compact"/>
      </w:pPr>
      <w:r>
        <w:t xml:space="preserve">You would use the hosted Agents API for UK/EU client data</w:t>
      </w:r>
      <w:r>
        <w:t xml:space="preserve"> </w:t>
      </w:r>
      <w:r>
        <w:rPr>
          <w:rStyle w:val="ClaimLabel"/>
        </w:rPr>
        <w:t xml:space="preserve">AJ</w:t>
      </w:r>
    </w:p>
    <w:p>
      <w:pPr>
        <w:pStyle w:val="FirstParagraph"/>
      </w:pPr>
      <w:r>
        <w:rPr>
          <w:bCs/>
          <w:b/>
        </w:rPr>
        <w:t xml:space="preserve">Nearest competitors:</w:t>
      </w:r>
      <w:r>
        <w:t xml:space="preserve"> </w:t>
      </w:r>
      <w:r>
        <w:t xml:space="preserve">L3-pydantic-ai, L3-langgraph, L3-claude-agent-sdk</w:t>
      </w:r>
    </w:p>
    <w:p>
      <w:pPr>
        <w:pStyle w:val="BodyText"/>
      </w:pPr>
      <w:r>
        <w:rPr>
          <w:bCs/>
          <w:b/>
        </w:rPr>
        <w:t xml:space="preserve">Regulated-FS note.</w:t>
      </w:r>
      <w:r>
        <w:t xml:space="preserve"> </w:t>
      </w:r>
      <w:r>
        <w:t xml:space="preserve">Replace the default trace exporter with a firm-owned OTel processor before any client data flows</w:t>
      </w:r>
      <w:r>
        <w:t xml:space="preserve"> </w:t>
      </w:r>
      <w:r>
        <w:rPr>
          <w:rStyle w:val="ClaimLabel"/>
        </w:rPr>
        <w:t xml:space="preserve">Rec</w:t>
      </w:r>
      <w:r>
        <w:t xml:space="preserve">.</w:t>
      </w:r>
    </w:p>
    <w:p>
      <w:pPr>
        <w:pStyle w:val="BodyText"/>
      </w:pPr>
      <w:r>
        <w:rPr>
          <w:bCs/>
          <w:b/>
        </w:rPr>
        <w:t xml:space="preserve">Facts (as of 2026-10-08)</w:t>
      </w:r>
    </w:p>
    <w:tbl>
      <w:tblPr>
        <w:tblStyle w:val="Table"/>
        <w:tblW w:type="pct" w:w="5000"/>
        <w:tblLook w:firstRow="1" w:lastRow="0" w:firstColumn="0" w:lastColumn="0" w:noHBand="0" w:noVBand="0" w:val="0020"/>
        <w:jc w:val="start"/>
      </w:tblPr>
      <w:tblGrid>
        <w:gridCol w:w="1485"/>
        <w:gridCol w:w="4290"/>
        <w:gridCol w:w="1320"/>
        <w:gridCol w:w="825"/>
      </w:tblGrid>
      <w:tr>
        <w:trPr>
          <w:tblHeader w:val="true"/>
        </w:trPr>
        <w:tc>
          <w:tcPr/>
          <w:p>
            <w:pPr>
              <w:pStyle w:val="Compact"/>
              <w:jc w:val="left"/>
            </w:pPr>
            <w:r>
              <w:t xml:space="preserve">Field</w:t>
            </w:r>
          </w:p>
        </w:tc>
        <w:tc>
          <w:tcPr/>
          <w:p>
            <w:pPr>
              <w:pStyle w:val="Compact"/>
              <w:jc w:val="left"/>
            </w:pPr>
            <w:r>
              <w:t xml:space="preserve">Value</w:t>
            </w:r>
          </w:p>
        </w:tc>
        <w:tc>
          <w:tcPr/>
          <w:p>
            <w:pPr>
              <w:pStyle w:val="Compact"/>
              <w:jc w:val="left"/>
            </w:pPr>
            <w:r>
              <w:t xml:space="preserve">Label</w:t>
            </w:r>
          </w:p>
        </w:tc>
        <w:tc>
          <w:tcPr/>
          <w:p>
            <w:pPr>
              <w:pStyle w:val="Compact"/>
              <w:jc w:val="left"/>
            </w:pPr>
            <w:r>
              <w:t xml:space="preserve">Sources</w:t>
            </w:r>
          </w:p>
        </w:tc>
      </w:tr>
      <w:tr>
        <w:tc>
          <w:tcPr/>
          <w:p>
            <w:pPr>
              <w:pStyle w:val="Compact"/>
              <w:jc w:val="left"/>
            </w:pPr>
            <w:r>
              <w:t xml:space="preserve">Company</w:t>
            </w:r>
          </w:p>
        </w:tc>
        <w:tc>
          <w:tcPr/>
          <w:p>
            <w:pPr>
              <w:pStyle w:val="Compact"/>
              <w:jc w:val="left"/>
            </w:pPr>
            <w:r>
              <w:t xml:space="preserve">OpenAI</w:t>
            </w:r>
          </w:p>
        </w:tc>
        <w:tc>
          <w:tcPr/>
          <w:p>
            <w:pPr>
              <w:pStyle w:val="Compact"/>
              <w:jc w:val="left"/>
            </w:pPr>
            <w:r>
              <w:t xml:space="preserve">Verified fact</w:t>
            </w:r>
          </w:p>
        </w:tc>
        <w:tc>
          <w:tcPr/>
          <w:p>
            <w:pPr>
              <w:pStyle w:val="Compact"/>
              <w:jc w:val="left"/>
            </w:pPr>
            <w:r>
              <w:t xml:space="preserve">A4-S005</w:t>
            </w:r>
          </w:p>
        </w:tc>
      </w:tr>
      <w:tr>
        <w:tc>
          <w:tcPr/>
          <w:p>
            <w:pPr>
              <w:pStyle w:val="Compact"/>
              <w:jc w:val="left"/>
            </w:pPr>
            <w:r>
              <w:t xml:space="preserve">Category</w:t>
            </w:r>
          </w:p>
        </w:tc>
        <w:tc>
          <w:tcPr/>
          <w:p>
            <w:pPr>
              <w:pStyle w:val="Compact"/>
              <w:jc w:val="left"/>
            </w:pPr>
            <w:r>
              <w:t xml:space="preserve">Open-source, provider-agnostic multi-agent SDK (agent loop, handoffs, guardrails, sessions, tracing, sandbox harness)</w:t>
            </w:r>
          </w:p>
        </w:tc>
        <w:tc>
          <w:tcPr/>
          <w:p>
            <w:pPr>
              <w:pStyle w:val="Compact"/>
              <w:jc w:val="left"/>
            </w:pPr>
            <w:r>
              <w:t xml:space="preserve">Verified fact</w:t>
            </w:r>
          </w:p>
        </w:tc>
        <w:tc>
          <w:tcPr/>
          <w:p>
            <w:pPr>
              <w:pStyle w:val="Compact"/>
              <w:jc w:val="left"/>
            </w:pPr>
            <w:r>
              <w:t xml:space="preserve">A4-S120, A4-S052</w:t>
            </w:r>
          </w:p>
        </w:tc>
      </w:tr>
      <w:tr>
        <w:tc>
          <w:tcPr/>
          <w:p>
            <w:pPr>
              <w:pStyle w:val="Compact"/>
              <w:jc w:val="left"/>
            </w:pPr>
            <w:r>
              <w:t xml:space="preserve">Version / lineup</w:t>
            </w:r>
          </w:p>
        </w:tc>
        <w:tc>
          <w:tcPr/>
          <w:p>
            <w:pPr>
              <w:pStyle w:val="Compact"/>
              <w:jc w:val="left"/>
            </w:pPr>
            <w:r>
              <w:t xml:space="preserve">openai-agents 0.23.1 (2 October 2026);</w:t>
            </w:r>
            <w:r>
              <w:t xml:space="preserve"> </w:t>
            </w:r>
            <w:r>
              <w:t xml:space="preserve">@openai/agents</w:t>
            </w:r>
            <w:r>
              <w:t xml:space="preserve"> </w:t>
            </w:r>
            <w:r>
              <w:t xml:space="preserve">0.19.0 (5 October 2026)</w:t>
            </w:r>
          </w:p>
        </w:tc>
        <w:tc>
          <w:tcPr/>
          <w:p>
            <w:pPr>
              <w:pStyle w:val="Compact"/>
              <w:jc w:val="left"/>
            </w:pPr>
            <w:r>
              <w:t xml:space="preserve">Verified fact</w:t>
            </w:r>
          </w:p>
        </w:tc>
        <w:tc>
          <w:tcPr/>
          <w:p>
            <w:pPr>
              <w:pStyle w:val="Compact"/>
              <w:jc w:val="left"/>
            </w:pPr>
            <w:r>
              <w:t xml:space="preserve">A4-S005, A4-S024</w:t>
            </w:r>
          </w:p>
        </w:tc>
      </w:tr>
      <w:tr>
        <w:tc>
          <w:tcPr/>
          <w:p>
            <w:pPr>
              <w:pStyle w:val="Compact"/>
              <w:jc w:val="left"/>
            </w:pPr>
            <w:r>
              <w:t xml:space="preserve">Licence</w:t>
            </w:r>
          </w:p>
        </w:tc>
        <w:tc>
          <w:tcPr/>
          <w:p>
            <w:pPr>
              <w:pStyle w:val="Compact"/>
              <w:jc w:val="left"/>
            </w:pPr>
            <w:r>
              <w:t xml:space="preserve">Open source, MIT</w:t>
            </w:r>
          </w:p>
        </w:tc>
        <w:tc>
          <w:tcPr/>
          <w:p>
            <w:pPr>
              <w:pStyle w:val="Compact"/>
              <w:jc w:val="left"/>
            </w:pPr>
            <w:r>
              <w:t xml:space="preserve">Verified fact</w:t>
            </w:r>
          </w:p>
        </w:tc>
        <w:tc>
          <w:tcPr/>
          <w:p>
            <w:pPr>
              <w:pStyle w:val="Compact"/>
              <w:jc w:val="left"/>
            </w:pPr>
            <w:r>
              <w:t xml:space="preserve">A4-S005, A4-S024</w:t>
            </w:r>
          </w:p>
        </w:tc>
      </w:tr>
      <w:tr>
        <w:tc>
          <w:tcPr/>
          <w:p>
            <w:pPr>
              <w:pStyle w:val="Compact"/>
              <w:jc w:val="left"/>
            </w:pPr>
            <w:r>
              <w:t xml:space="preserve">Status events</w:t>
            </w:r>
          </w:p>
        </w:tc>
        <w:tc>
          <w:tcPr/>
          <w:p>
            <w:pPr>
              <w:pStyle w:val="Compact"/>
              <w:jc w:val="left"/>
            </w:pPr>
            <w:r>
              <w:t xml:space="preserve">4 March 2025: first PyPI release; 3 June 2026: Agent Builder (AgentKit) deprecation announced; shutdown 30 November 2026; Agents SDK is the code-based migration path; 26 August 2026: Assistants API sunset (Responses API is the replacement); 10 September 2026: separate hosted Agents API in public beta</w:t>
            </w:r>
          </w:p>
        </w:tc>
        <w:tc>
          <w:tcPr/>
          <w:p>
            <w:pPr>
              <w:pStyle w:val="Compact"/>
              <w:jc w:val="left"/>
            </w:pPr>
            <w:r>
              <w:t xml:space="preserve">Verified fact</w:t>
            </w:r>
          </w:p>
        </w:tc>
        <w:tc>
          <w:tcPr/>
          <w:p>
            <w:pPr>
              <w:pStyle w:val="Compact"/>
              <w:jc w:val="left"/>
            </w:pPr>
            <w:r>
              <w:t xml:space="preserve">A4-S005, A4-S054, A4-S056, A4-S055, V1-S051, V1-S083</w:t>
            </w:r>
          </w:p>
        </w:tc>
      </w:tr>
      <w:tr>
        <w:tc>
          <w:tcPr/>
          <w:p>
            <w:pPr>
              <w:pStyle w:val="Compact"/>
              <w:jc w:val="left"/>
            </w:pPr>
            <w:r>
              <w:t xml:space="preserve">Strategic direction</w:t>
            </w:r>
          </w:p>
        </w:tc>
        <w:tc>
          <w:tcPr/>
          <w:p>
            <w:pPr>
              <w:pStyle w:val="Compact"/>
              <w:jc w:val="left"/>
            </w:pPr>
            <w:r>
              <w:t xml:space="preserve">15 April 2026</w:t>
            </w:r>
            <w:r>
              <w:t xml:space="preserve"> </w:t>
            </w:r>
            <w:r>
              <w:t xml:space="preserve">‘</w:t>
            </w:r>
            <w:r>
              <w:t xml:space="preserve">next evolution</w:t>
            </w:r>
            <w:r>
              <w:t xml:space="preserve">’</w:t>
            </w:r>
            <w:r>
              <w:t xml:space="preserve">: model-native harness (configurable memory, sandbox-aware orchestration, Codex-like filesystem tools, MCP/skills/AGENTS.md), native sandbox execution with Blaxel, Cloudflare, Daytona, E2B, Modal, Runloop, Vercel, snapshot/rehydration; TypeScript parity May 2026. OpenAI also launched a hosted Agents API (public beta 10 September 2026) running a managed Codex harness, and is retiring Agent Builder in favour of the Agents SDK</w:t>
            </w:r>
          </w:p>
        </w:tc>
        <w:tc>
          <w:tcPr/>
          <w:p>
            <w:pPr>
              <w:pStyle w:val="Compact"/>
              <w:jc w:val="left"/>
            </w:pPr>
            <w:r>
              <w:t xml:space="preserve">Verified fact</w:t>
            </w:r>
          </w:p>
        </w:tc>
        <w:tc>
          <w:tcPr/>
          <w:p>
            <w:pPr>
              <w:pStyle w:val="Compact"/>
              <w:jc w:val="left"/>
            </w:pPr>
            <w:r>
              <w:t xml:space="preserve">A4-S053, A4-S055, A4-S054</w:t>
            </w:r>
          </w:p>
        </w:tc>
      </w:tr>
      <w:tr>
        <w:tc>
          <w:tcPr/>
          <w:p>
            <w:pPr>
              <w:pStyle w:val="Compact"/>
              <w:jc w:val="left"/>
            </w:pPr>
            <w:r>
              <w:t xml:space="preserve">What it does</w:t>
            </w:r>
          </w:p>
        </w:tc>
        <w:tc>
          <w:tcPr/>
          <w:p>
            <w:pPr>
              <w:pStyle w:val="Compact"/>
              <w:jc w:val="left"/>
            </w:pPr>
            <w:r>
              <w:t xml:space="preserve">Lightweight framework for multi-agent workflows: agents with tools, handoffs (delegated agent takes over the conversation) or agents-as-tools, input/output guardrails, sessions (persistent memory, resumable approvals), built-in tracing, voice/realtime agents and sandboxed agents. Supports OpenAI Responses and Chat Completions APIs and 100+ other LLMs.</w:t>
            </w:r>
          </w:p>
        </w:tc>
        <w:tc>
          <w:tcPr/>
          <w:p>
            <w:pPr>
              <w:pStyle w:val="Compact"/>
              <w:jc w:val="left"/>
            </w:pPr>
            <w:r>
              <w:t xml:space="preserve">Verified fact</w:t>
            </w:r>
          </w:p>
        </w:tc>
        <w:tc>
          <w:tcPr/>
          <w:p>
            <w:pPr>
              <w:pStyle w:val="Compact"/>
              <w:jc w:val="left"/>
            </w:pPr>
            <w:r>
              <w:t xml:space="preserve">A4-S120, A4-S052</w:t>
            </w:r>
          </w:p>
        </w:tc>
      </w:tr>
      <w:tr>
        <w:tc>
          <w:tcPr/>
          <w:p>
            <w:pPr>
              <w:pStyle w:val="Compact"/>
              <w:jc w:val="left"/>
            </w:pPr>
            <w:r>
              <w:t xml:space="preserve">Stack position</w:t>
            </w:r>
          </w:p>
        </w:tc>
        <w:tc>
          <w:tcPr/>
          <w:p>
            <w:pPr>
              <w:pStyle w:val="Compact"/>
              <w:jc w:val="left"/>
            </w:pPr>
            <w:r>
              <w:t xml:space="preserve">L3 agent framework. The hosted Agents API is a managed agent runtime (distinct product); tracing defaults to OpenAI’s dashboard (L9 overlap)</w:t>
            </w:r>
          </w:p>
        </w:tc>
        <w:tc>
          <w:tcPr/>
          <w:p>
            <w:pPr>
              <w:pStyle w:val="Compact"/>
              <w:jc w:val="left"/>
            </w:pPr>
            <w:r>
              <w:t xml:space="preserve">Verified fact</w:t>
            </w:r>
          </w:p>
        </w:tc>
        <w:tc>
          <w:tcPr/>
          <w:p>
            <w:pPr>
              <w:pStyle w:val="Compact"/>
              <w:jc w:val="left"/>
            </w:pPr>
            <w:r>
              <w:t xml:space="preserve">A4-S055, A4-S052</w:t>
            </w:r>
          </w:p>
        </w:tc>
      </w:tr>
      <w:tr>
        <w:tc>
          <w:tcPr/>
          <w:p>
            <w:pPr>
              <w:pStyle w:val="Compact"/>
              <w:jc w:val="left"/>
            </w:pPr>
            <w:r>
              <w:t xml:space="preserve">Integration</w:t>
            </w:r>
          </w:p>
        </w:tc>
        <w:tc>
          <w:tcPr/>
          <w:p>
            <w:pPr>
              <w:pStyle w:val="Compact"/>
              <w:jc w:val="left"/>
            </w:pPr>
            <w:r>
              <w:t xml:space="preserve">Python/TS libraries; MCP; custom trace processors; Temporal and DBOS integrations for durable long-running workflows incl. human-in-the-loop</w:t>
            </w:r>
          </w:p>
        </w:tc>
        <w:tc>
          <w:tcPr/>
          <w:p>
            <w:pPr>
              <w:pStyle w:val="Compact"/>
              <w:jc w:val="left"/>
            </w:pPr>
            <w:r>
              <w:t xml:space="preserve">Verified fact</w:t>
            </w:r>
          </w:p>
        </w:tc>
        <w:tc>
          <w:tcPr/>
          <w:p>
            <w:pPr>
              <w:pStyle w:val="Compact"/>
              <w:jc w:val="left"/>
            </w:pPr>
            <w:r>
              <w:t xml:space="preserve">A4-S052, A4-S053</w:t>
            </w:r>
          </w:p>
        </w:tc>
      </w:tr>
      <w:tr>
        <w:tc>
          <w:tcPr/>
          <w:p>
            <w:pPr>
              <w:pStyle w:val="Compact"/>
              <w:jc w:val="left"/>
            </w:pPr>
            <w:r>
              <w:t xml:space="preserve">Dependencies</w:t>
            </w:r>
          </w:p>
        </w:tc>
        <w:tc>
          <w:tcPr/>
          <w:p>
            <w:pPr>
              <w:pStyle w:val="Compact"/>
              <w:jc w:val="left"/>
            </w:pPr>
            <w:r>
              <w:t xml:space="preserve">Python &gt;=3.10 or Node; an LLM provider (OpenAI by default); optional sandbox provider; optional Temporal/DBOS for durability</w:t>
            </w:r>
          </w:p>
        </w:tc>
        <w:tc>
          <w:tcPr/>
          <w:p>
            <w:pPr>
              <w:pStyle w:val="Compact"/>
              <w:jc w:val="left"/>
            </w:pPr>
            <w:r>
              <w:t xml:space="preserve">Verified fact</w:t>
            </w:r>
          </w:p>
        </w:tc>
        <w:tc>
          <w:tcPr/>
          <w:p>
            <w:pPr>
              <w:pStyle w:val="Compact"/>
              <w:jc w:val="left"/>
            </w:pPr>
            <w:r>
              <w:t xml:space="preserve">A4-S005, A4-S053, A4-S052</w:t>
            </w:r>
          </w:p>
        </w:tc>
      </w:tr>
      <w:tr>
        <w:tc>
          <w:tcPr/>
          <w:p>
            <w:pPr>
              <w:pStyle w:val="Compact"/>
              <w:jc w:val="left"/>
            </w:pPr>
            <w:r>
              <w:t xml:space="preserve">Certifications</w:t>
            </w:r>
          </w:p>
        </w:tc>
        <w:tc>
          <w:tcPr/>
          <w:p>
            <w:pPr>
              <w:pStyle w:val="Compact"/>
              <w:jc w:val="left"/>
            </w:pPr>
            <w:r>
              <w:t xml:space="preserve">Not applicable to the MIT library; OpenAI platform certifications covered by the L1 stream</w:t>
            </w:r>
          </w:p>
        </w:tc>
        <w:tc>
          <w:tcPr/>
          <w:p>
            <w:pPr>
              <w:pStyle w:val="Compact"/>
              <w:jc w:val="left"/>
            </w:pPr>
            <w:r>
              <w:t xml:space="preserve">Architectural judgement</w:t>
            </w:r>
          </w:p>
        </w:tc>
        <w:tc>
          <w:tcPr/>
          <w:p>
            <w:pPr>
              <w:pStyle w:val="Compact"/>
            </w:pPr>
          </w:p>
        </w:tc>
      </w:tr>
      <w:tr>
        <w:tc>
          <w:tcPr/>
          <w:p>
            <w:pPr>
              <w:pStyle w:val="Compact"/>
              <w:jc w:val="left"/>
            </w:pPr>
            <w:r>
              <w:t xml:space="preserve">GDPR / residency</w:t>
            </w:r>
          </w:p>
        </w:tc>
        <w:tc>
          <w:tcPr/>
          <w:p>
            <w:pPr>
              <w:pStyle w:val="Compact"/>
              <w:jc w:val="left"/>
            </w:pPr>
            <w:r>
              <w:t xml:space="preserve">SDK: inherits the configured model provider. Hosted Agents API (separate product): US data residency only and no Zero Data Retention support at launch</w:t>
            </w:r>
          </w:p>
        </w:tc>
        <w:tc>
          <w:tcPr/>
          <w:p>
            <w:pPr>
              <w:pStyle w:val="Compact"/>
              <w:jc w:val="left"/>
            </w:pPr>
            <w:r>
              <w:t xml:space="preserve">Verified fact</w:t>
            </w:r>
          </w:p>
        </w:tc>
        <w:tc>
          <w:tcPr/>
          <w:p>
            <w:pPr>
              <w:pStyle w:val="Compact"/>
              <w:jc w:val="left"/>
            </w:pPr>
            <w:r>
              <w:t xml:space="preserve">A4-S055</w:t>
            </w:r>
          </w:p>
        </w:tc>
      </w:tr>
      <w:tr>
        <w:tc>
          <w:tcPr/>
          <w:p>
            <w:pPr>
              <w:pStyle w:val="Compact"/>
              <w:jc w:val="left"/>
            </w:pPr>
            <w:r>
              <w:t xml:space="preserve">Security features</w:t>
            </w:r>
          </w:p>
        </w:tc>
        <w:tc>
          <w:tcPr/>
          <w:p>
            <w:pPr>
              <w:pStyle w:val="Compact"/>
              <w:jc w:val="left"/>
            </w:pPr>
            <w:r>
              <w:t xml:space="preserve">Harness separated from compute so credentials stay away from model-generated code; sandbox snapshot and rehydration</w:t>
            </w:r>
          </w:p>
        </w:tc>
        <w:tc>
          <w:tcPr/>
          <w:p>
            <w:pPr>
              <w:pStyle w:val="Compact"/>
              <w:jc w:val="left"/>
            </w:pPr>
            <w:r>
              <w:t xml:space="preserve">Verified fact</w:t>
            </w:r>
          </w:p>
        </w:tc>
        <w:tc>
          <w:tcPr/>
          <w:p>
            <w:pPr>
              <w:pStyle w:val="Compact"/>
              <w:jc w:val="left"/>
            </w:pPr>
            <w:r>
              <w:t xml:space="preserve">A4-S053</w:t>
            </w:r>
          </w:p>
        </w:tc>
      </w:tr>
      <w:tr>
        <w:tc>
          <w:tcPr/>
          <w:p>
            <w:pPr>
              <w:pStyle w:val="Compact"/>
              <w:jc w:val="left"/>
            </w:pPr>
            <w:r>
              <w:t xml:space="preserve">Access controls</w:t>
            </w:r>
          </w:p>
        </w:tc>
        <w:tc>
          <w:tcPr/>
          <w:p>
            <w:pPr>
              <w:pStyle w:val="Compact"/>
              <w:jc w:val="left"/>
            </w:pPr>
            <w:r>
              <w:t xml:space="preserve">Not applicable (library)</w:t>
            </w:r>
          </w:p>
        </w:tc>
        <w:tc>
          <w:tcPr/>
          <w:p>
            <w:pPr>
              <w:pStyle w:val="Compact"/>
              <w:jc w:val="left"/>
            </w:pPr>
            <w:r>
              <w:t xml:space="preserve">Architectural judgement</w:t>
            </w:r>
          </w:p>
        </w:tc>
        <w:tc>
          <w:tcPr/>
          <w:p>
            <w:pPr>
              <w:pStyle w:val="Compact"/>
            </w:pPr>
          </w:p>
        </w:tc>
      </w:tr>
      <w:tr>
        <w:tc>
          <w:tcPr/>
          <w:p>
            <w:pPr>
              <w:pStyle w:val="Compact"/>
              <w:jc w:val="left"/>
            </w:pPr>
            <w:r>
              <w:t xml:space="preserve">Enterprise support</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Pricing</w:t>
            </w:r>
          </w:p>
        </w:tc>
        <w:tc>
          <w:tcPr/>
          <w:p>
            <w:pPr>
              <w:pStyle w:val="Compact"/>
              <w:jc w:val="left"/>
            </w:pPr>
            <w:r>
              <w:t xml:space="preserve">SDK free (MIT); model usage billed by provider. Hosted Agents API: sandboxes at standard container rates plus model usage</w:t>
            </w:r>
          </w:p>
        </w:tc>
        <w:tc>
          <w:tcPr/>
          <w:p>
            <w:pPr>
              <w:pStyle w:val="Compact"/>
              <w:jc w:val="left"/>
            </w:pPr>
            <w:r>
              <w:t xml:space="preserve">Verified fact</w:t>
            </w:r>
          </w:p>
        </w:tc>
        <w:tc>
          <w:tcPr/>
          <w:p>
            <w:pPr>
              <w:pStyle w:val="Compact"/>
              <w:jc w:val="left"/>
            </w:pPr>
            <w:r>
              <w:t xml:space="preserve">A4-S005, A4-S055</w:t>
            </w:r>
          </w:p>
        </w:tc>
      </w:tr>
      <w:tr>
        <w:tc>
          <w:tcPr/>
          <w:p>
            <w:pPr>
              <w:pStyle w:val="Compact"/>
              <w:jc w:val="left"/>
            </w:pPr>
            <w:r>
              <w:t xml:space="preserve">Infrastructure cost</w:t>
            </w:r>
          </w:p>
        </w:tc>
        <w:tc>
          <w:tcPr/>
          <w:p>
            <w:pPr>
              <w:pStyle w:val="Compact"/>
              <w:jc w:val="left"/>
            </w:pPr>
            <w:r>
              <w:t xml:space="preserve">Sandboxed agents add container/sandbox-provider cost on top of tokens</w:t>
            </w:r>
          </w:p>
        </w:tc>
        <w:tc>
          <w:tcPr/>
          <w:p>
            <w:pPr>
              <w:pStyle w:val="Compact"/>
              <w:jc w:val="left"/>
            </w:pPr>
            <w:r>
              <w:t xml:space="preserve">Architectural judgement</w:t>
            </w:r>
          </w:p>
        </w:tc>
        <w:tc>
          <w:tcPr/>
          <w:p>
            <w:pPr>
              <w:pStyle w:val="Compact"/>
            </w:pPr>
          </w:p>
        </w:tc>
      </w:tr>
      <w:tr>
        <w:tc>
          <w:tcPr/>
          <w:p>
            <w:pPr>
              <w:pStyle w:val="Compact"/>
              <w:jc w:val="left"/>
            </w:pPr>
            <w:r>
              <w:t xml:space="preserve">Ecosystem</w:t>
            </w:r>
          </w:p>
        </w:tc>
        <w:tc>
          <w:tcPr/>
          <w:p>
            <w:pPr>
              <w:pStyle w:val="Compact"/>
              <w:jc w:val="left"/>
            </w:pPr>
            <w:r>
              <w:t xml:space="preserve">Sandbox partners (Blaxel, Cloudflare, Daytona, E2B, Modal, Runloop, Vercel); Temporal, DBOS; Amazon Bedrock Managed Agents built with OpenAI on the Agents API</w:t>
            </w:r>
          </w:p>
        </w:tc>
        <w:tc>
          <w:tcPr/>
          <w:p>
            <w:pPr>
              <w:pStyle w:val="Compact"/>
              <w:jc w:val="left"/>
            </w:pPr>
            <w:r>
              <w:t xml:space="preserve">Verified fact</w:t>
            </w:r>
          </w:p>
        </w:tc>
        <w:tc>
          <w:tcPr/>
          <w:p>
            <w:pPr>
              <w:pStyle w:val="Compact"/>
              <w:jc w:val="left"/>
            </w:pPr>
            <w:r>
              <w:t xml:space="preserve">A4-S053, A4-S052, A4-S055</w:t>
            </w:r>
          </w:p>
        </w:tc>
      </w:tr>
      <w:tr>
        <w:tc>
          <w:tcPr/>
          <w:p>
            <w:pPr>
              <w:pStyle w:val="Compact"/>
              <w:jc w:val="left"/>
            </w:pPr>
            <w:r>
              <w:t xml:space="preserve">Adoption signals</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Maturity</w:t>
            </w:r>
          </w:p>
        </w:tc>
        <w:tc>
          <w:tcPr/>
          <w:p>
            <w:pPr>
              <w:pStyle w:val="Compact"/>
              <w:jc w:val="left"/>
            </w:pPr>
            <w:r>
              <w:t xml:space="preserve">First release March 2025; still 0.x versioning (0.23.1); frequent releases (123 on PyPI)</w:t>
            </w:r>
          </w:p>
        </w:tc>
        <w:tc>
          <w:tcPr/>
          <w:p>
            <w:pPr>
              <w:pStyle w:val="Compact"/>
              <w:jc w:val="left"/>
            </w:pPr>
            <w:r>
              <w:t xml:space="preserve">Verified fact</w:t>
            </w:r>
          </w:p>
        </w:tc>
        <w:tc>
          <w:tcPr/>
          <w:p>
            <w:pPr>
              <w:pStyle w:val="Compact"/>
              <w:jc w:val="left"/>
            </w:pPr>
            <w:r>
              <w:t xml:space="preserve">A4-S005</w:t>
            </w:r>
          </w:p>
        </w:tc>
      </w:tr>
      <w:tr>
        <w:tc>
          <w:tcPr/>
          <w:p>
            <w:pPr>
              <w:pStyle w:val="Compact"/>
              <w:jc w:val="left"/>
            </w:pPr>
            <w:r>
              <w:t xml:space="preserve">Deployment</w:t>
            </w:r>
          </w:p>
        </w:tc>
        <w:tc>
          <w:tcPr/>
          <w:p>
            <w:pPr>
              <w:pStyle w:val="Compact"/>
              <w:jc w:val="left"/>
            </w:pPr>
            <w:r>
              <w:t xml:space="preserve">saas: No for the SDK (library); hosted alternative is the separate Agents API (beta); managed_cloud: No for the SDK; Agents API runs in OpenAI-hosted or customer-connected sandboxes; vpc_byoc: Yes (library runs inside the customer’s own environment); private_cloud: Yes (library runs inside the customer’s own environment); self_hosted: Yes (library); on_prem: Yes (library; model calls still go to the chosen provider)</w:t>
            </w:r>
          </w:p>
        </w:tc>
        <w:tc>
          <w:tcPr/>
          <w:p>
            <w:pPr>
              <w:pStyle w:val="Compact"/>
            </w:pPr>
          </w:p>
        </w:tc>
        <w:tc>
          <w:tcPr/>
          <w:p>
            <w:pPr>
              <w:pStyle w:val="Compact"/>
            </w:pPr>
          </w:p>
        </w:tc>
      </w:tr>
    </w:tbl>
    <w:bookmarkEnd w:id="1142"/>
    <w:bookmarkStart w:id="1160" w:name="X2eb1f9cebafab27515e2696f7dfbb37fe80b47c"/>
    <w:p>
      <w:pPr>
        <w:pStyle w:val="Heading2"/>
      </w:pPr>
      <w:r>
        <w:t xml:space="preserve">Strands Agents (open-source SDK) and Amazon Bedrock AgentCore (managed agent runtime and services) (</w:t>
      </w:r>
      <w:r>
        <w:rPr>
          <w:rStyle w:val="VerbatimChar"/>
        </w:rPr>
        <w:t xml:space="preserve">L3-aws-strands-agentcore</w:t>
      </w:r>
      <w:r>
        <w:t xml:space="preserve">)</w:t>
      </w:r>
    </w:p>
    <w:p>
      <w:pPr>
        <w:pStyle w:val="FirstParagraph"/>
      </w:pPr>
      <w:r>
        <w:rPr>
          <w:bCs/>
          <w:b/>
        </w:rPr>
        <w:t xml:space="preserve">Tier:</w:t>
      </w:r>
      <w:r>
        <w:t xml:space="preserve"> </w:t>
      </w:r>
      <w:r>
        <w:t xml:space="preserve">Strategic ·</w:t>
      </w:r>
      <w:r>
        <w:t xml:space="preserve"> </w:t>
      </w:r>
      <w:r>
        <w:rPr>
          <w:bCs/>
          <w:b/>
        </w:rPr>
        <w:t xml:space="preserve">Flags:</w:t>
      </w:r>
      <w:r>
        <w:t xml:space="preserve"> </w:t>
      </w:r>
      <w:r>
        <w:t xml:space="preserve">none ·</w:t>
      </w:r>
      <w:r>
        <w:t xml:space="preserve"> </w:t>
      </w:r>
      <w:r>
        <w:rPr>
          <w:bCs/>
          <w:b/>
        </w:rPr>
        <w:t xml:space="preserve">Original graphic label:</w:t>
      </w:r>
      <w:r>
        <w:t xml:space="preserve"> </w:t>
      </w:r>
      <w:r>
        <w:t xml:space="preserve">not in graphic</w:t>
      </w:r>
    </w:p>
    <w:p>
      <w:pPr>
        <w:pStyle w:val="BodyText"/>
      </w:pPr>
      <w:r>
        <w:rPr>
          <w:iCs/>
          <w:i/>
        </w:rPr>
        <w:t xml:space="preserve">Rationale:</w:t>
      </w:r>
      <w:r>
        <w:t xml:space="preserve"> </w:t>
      </w:r>
      <w:r>
        <w:t xml:space="preserve">Strategic, conditional: where AWS is your primary cloud (rule 10, lead AWS agent runtime); deployment and lock-in at 2 accepted under rule 11 as an existing platform commitment.</w:t>
      </w:r>
    </w:p>
    <w:tbl>
      <w:tblPr>
        <w:tblStyle w:val="Table"/>
        <w:tblW w:type="pct" w:w="5000"/>
        <w:tblLook w:firstRow="1" w:lastRow="0" w:firstColumn="0" w:lastColumn="0" w:noHBand="0" w:noVBand="0" w:val="0020"/>
        <w:jc w:val="start"/>
      </w:tblPr>
      <w:tblGrid>
        <w:gridCol w:w="1545"/>
        <w:gridCol w:w="579"/>
        <w:gridCol w:w="5795"/>
      </w:tblGrid>
      <w:tr>
        <w:trPr>
          <w:tblHeader w:val="true"/>
        </w:trPr>
        <w:tc>
          <w:tcPr/>
          <w:p>
            <w:pPr>
              <w:pStyle w:val="Compact"/>
              <w:jc w:val="left"/>
            </w:pPr>
            <w:r>
              <w:t xml:space="preserve">Criterion</w:t>
            </w:r>
          </w:p>
        </w:tc>
        <w:tc>
          <w:tcPr/>
          <w:p>
            <w:pPr>
              <w:pStyle w:val="Compact"/>
              <w:jc w:val="right"/>
            </w:pPr>
            <w:r>
              <w:t xml:space="preserve">Score</w:t>
            </w:r>
          </w:p>
        </w:tc>
        <w:tc>
          <w:tcPr/>
          <w:p>
            <w:pPr>
              <w:pStyle w:val="Compact"/>
              <w:jc w:val="left"/>
            </w:pPr>
            <w:r>
              <w:t xml:space="preserve">Rationale</w:t>
            </w:r>
          </w:p>
        </w:tc>
      </w:tr>
      <w:tr>
        <w:tc>
          <w:tcPr/>
          <w:p>
            <w:pPr>
              <w:pStyle w:val="Compact"/>
              <w:jc w:val="left"/>
            </w:pPr>
            <w:r>
              <w:t xml:space="preserve">Technical</w:t>
            </w:r>
          </w:p>
        </w:tc>
        <w:tc>
          <w:tcPr/>
          <w:p>
            <w:pPr>
              <w:pStyle w:val="Compact"/>
              <w:jc w:val="right"/>
            </w:pPr>
            <w:r>
              <w:t xml:space="preserve">4</w:t>
            </w:r>
          </w:p>
        </w:tc>
        <w:tc>
          <w:tcPr/>
          <w:p>
            <w:pPr>
              <w:pStyle w:val="Compact"/>
              <w:jc w:val="left"/>
            </w:pPr>
            <w:r>
              <w:t xml:space="preserve">Isolated runtime, memory, gateway, identity, any framework; no deterministic durable workflow engine</w:t>
            </w:r>
            <w:r>
              <w:t xml:space="preserve"> </w:t>
            </w:r>
            <w:r>
              <w:rPr>
                <w:rStyle w:val="ClaimLabel"/>
              </w:rPr>
              <w:t xml:space="preserve">VF</w:t>
            </w:r>
            <w:r>
              <w:rPr>
                <w:rStyle w:val="FootnoteReference"/>
              </w:rPr>
              <w:footnoteReference w:id="1143"/>
            </w:r>
          </w:p>
        </w:tc>
      </w:tr>
      <w:tr>
        <w:tc>
          <w:tcPr/>
          <w:p>
            <w:pPr>
              <w:pStyle w:val="Compact"/>
              <w:jc w:val="left"/>
            </w:pPr>
            <w:r>
              <w:t xml:space="preserve">Enterprise readiness</w:t>
            </w:r>
          </w:p>
        </w:tc>
        <w:tc>
          <w:tcPr/>
          <w:p>
            <w:pPr>
              <w:pStyle w:val="Compact"/>
              <w:jc w:val="right"/>
            </w:pPr>
            <w:r>
              <w:t xml:space="preserve">4</w:t>
            </w:r>
          </w:p>
        </w:tc>
        <w:tc>
          <w:tcPr/>
          <w:p>
            <w:pPr>
              <w:pStyle w:val="Compact"/>
              <w:jc w:val="left"/>
            </w:pPr>
            <w:r>
              <w:t xml:space="preserve">Hyperscaler presumption (rule 6); platform controls presumed (CP2 Q1); confirm per service</w:t>
            </w:r>
          </w:p>
        </w:tc>
      </w:tr>
      <w:tr>
        <w:tc>
          <w:tcPr/>
          <w:p>
            <w:pPr>
              <w:pStyle w:val="Compact"/>
              <w:jc w:val="left"/>
            </w:pPr>
            <w:r>
              <w:t xml:space="preserve">Security and compliance</w:t>
            </w:r>
          </w:p>
        </w:tc>
        <w:tc>
          <w:tcPr/>
          <w:p>
            <w:pPr>
              <w:pStyle w:val="Compact"/>
              <w:jc w:val="right"/>
            </w:pPr>
            <w:r>
              <w:t xml:space="preserve">4</w:t>
            </w:r>
          </w:p>
        </w:tc>
        <w:tc>
          <w:tcPr/>
          <w:p>
            <w:pPr>
              <w:pStyle w:val="Compact"/>
              <w:jc w:val="left"/>
            </w:pPr>
            <w:r>
              <w:t xml:space="preserve">AgentCore in AWS SOC 1/2/3 and ISO 27001 scope, HIPAA eligible; SOC 2 type not stated, so 4 (rule 8)</w:t>
            </w:r>
            <w:r>
              <w:t xml:space="preserve"> </w:t>
            </w:r>
            <w:r>
              <w:rPr>
                <w:rStyle w:val="ClaimLabel"/>
              </w:rPr>
              <w:t xml:space="preserve">VF</w:t>
            </w:r>
            <w:r>
              <w:rPr>
                <w:rStyle w:val="FootnoteReference"/>
              </w:rPr>
              <w:footnoteReference w:id="1145"/>
            </w:r>
          </w:p>
        </w:tc>
      </w:tr>
      <w:tr>
        <w:tc>
          <w:tcPr/>
          <w:p>
            <w:pPr>
              <w:pStyle w:val="Compact"/>
              <w:jc w:val="left"/>
            </w:pPr>
            <w:r>
              <w:t xml:space="preserve">Deployment flexibility</w:t>
            </w:r>
          </w:p>
        </w:tc>
        <w:tc>
          <w:tcPr/>
          <w:p>
            <w:pPr>
              <w:pStyle w:val="Compact"/>
              <w:jc w:val="right"/>
            </w:pPr>
            <w:r>
              <w:t xml:space="preserve">2</w:t>
            </w:r>
          </w:p>
        </w:tc>
        <w:tc>
          <w:tcPr/>
          <w:p>
            <w:pPr>
              <w:pStyle w:val="Compact"/>
              <w:jc w:val="left"/>
            </w:pPr>
            <w:r>
              <w:t xml:space="preserve">AgentCore AWS-only; Strands portable</w:t>
            </w:r>
            <w:r>
              <w:t xml:space="preserve"> </w:t>
            </w:r>
            <w:r>
              <w:rPr>
                <w:rStyle w:val="ClaimLabel"/>
              </w:rPr>
              <w:t xml:space="preserve">VF</w:t>
            </w:r>
            <w:r>
              <w:rPr>
                <w:rStyle w:val="FootnoteReference"/>
              </w:rPr>
              <w:footnoteReference w:id="1146"/>
            </w:r>
          </w:p>
        </w:tc>
      </w:tr>
      <w:tr>
        <w:tc>
          <w:tcPr/>
          <w:p>
            <w:pPr>
              <w:pStyle w:val="Compact"/>
              <w:jc w:val="left"/>
            </w:pPr>
            <w:r>
              <w:t xml:space="preserve">Ecosystem</w:t>
            </w:r>
          </w:p>
        </w:tc>
        <w:tc>
          <w:tcPr/>
          <w:p>
            <w:pPr>
              <w:pStyle w:val="Compact"/>
              <w:jc w:val="right"/>
            </w:pPr>
            <w:r>
              <w:t xml:space="preserve">4</w:t>
            </w:r>
          </w:p>
        </w:tc>
        <w:tc>
          <w:tcPr/>
          <w:p>
            <w:pPr>
              <w:pStyle w:val="Compact"/>
              <w:jc w:val="left"/>
            </w:pPr>
            <w:r>
              <w:t xml:space="preserve">Any framework, MCP gateway, AG-UI</w:t>
            </w:r>
            <w:r>
              <w:t xml:space="preserve"> </w:t>
            </w:r>
            <w:r>
              <w:rPr>
                <w:rStyle w:val="ClaimLabel"/>
              </w:rPr>
              <w:t xml:space="preserve">VF</w:t>
            </w:r>
            <w:r>
              <w:rPr>
                <w:rStyle w:val="FootnoteReference"/>
              </w:rPr>
              <w:footnoteReference w:id="1148"/>
            </w:r>
          </w:p>
        </w:tc>
      </w:tr>
      <w:tr>
        <w:tc>
          <w:tcPr/>
          <w:p>
            <w:pPr>
              <w:pStyle w:val="Compact"/>
              <w:jc w:val="left"/>
            </w:pPr>
            <w:r>
              <w:t xml:space="preserve">Reliability and maturity</w:t>
            </w:r>
          </w:p>
        </w:tc>
        <w:tc>
          <w:tcPr/>
          <w:p>
            <w:pPr>
              <w:pStyle w:val="Compact"/>
              <w:jc w:val="right"/>
            </w:pPr>
            <w:r>
              <w:t xml:space="preserve">3</w:t>
            </w:r>
          </w:p>
        </w:tc>
        <w:tc>
          <w:tcPr/>
          <w:p>
            <w:pPr>
              <w:pStyle w:val="Compact"/>
              <w:jc w:val="left"/>
            </w:pPr>
            <w:r>
              <w:t xml:space="preserve">AgentCore GA 13 October 2025; Strands 1.0 July 2025; SDK Alpha</w:t>
            </w:r>
            <w:r>
              <w:t xml:space="preserve"> </w:t>
            </w:r>
            <w:r>
              <w:rPr>
                <w:rStyle w:val="ClaimLabel"/>
              </w:rPr>
              <w:t xml:space="preserve">VF</w:t>
            </w:r>
            <w:r>
              <w:rPr>
                <w:rStyle w:val="FootnoteReference"/>
              </w:rPr>
              <w:footnoteReference w:id="1149"/>
            </w:r>
          </w:p>
        </w:tc>
      </w:tr>
      <w:tr>
        <w:tc>
          <w:tcPr/>
          <w:p>
            <w:pPr>
              <w:pStyle w:val="Compact"/>
              <w:jc w:val="left"/>
            </w:pPr>
            <w:r>
              <w:t xml:space="preserve">Cost / TCO</w:t>
            </w:r>
          </w:p>
        </w:tc>
        <w:tc>
          <w:tcPr/>
          <w:p>
            <w:pPr>
              <w:pStyle w:val="Compact"/>
              <w:jc w:val="right"/>
            </w:pPr>
            <w:r>
              <w:t xml:space="preserve">3</w:t>
            </w:r>
          </w:p>
        </w:tc>
        <w:tc>
          <w:tcPr/>
          <w:p>
            <w:pPr>
              <w:pStyle w:val="Compact"/>
              <w:jc w:val="left"/>
            </w:pPr>
            <w:r>
              <w:t xml:space="preserve">Runtime pricing not retrieved</w:t>
            </w:r>
            <w:r>
              <w:t xml:space="preserve"> </w:t>
            </w:r>
            <w:r>
              <w:rPr>
                <w:rStyle w:val="ClaimLabel"/>
              </w:rPr>
              <w:t xml:space="preserve">NPV</w:t>
            </w:r>
            <w:r>
              <w:t xml:space="preserve">; consumption model assumed</w:t>
            </w:r>
            <w:r>
              <w:t xml:space="preserve"> </w:t>
            </w:r>
            <w:r>
              <w:rPr>
                <w:rStyle w:val="ClaimLabel"/>
              </w:rPr>
              <w:t xml:space="preserve">AJ</w:t>
            </w:r>
          </w:p>
        </w:tc>
      </w:tr>
      <w:tr>
        <w:tc>
          <w:tcPr/>
          <w:p>
            <w:pPr>
              <w:pStyle w:val="Compact"/>
              <w:jc w:val="left"/>
            </w:pPr>
            <w:r>
              <w:t xml:space="preserve">Lock-in / portability</w:t>
            </w:r>
          </w:p>
        </w:tc>
        <w:tc>
          <w:tcPr/>
          <w:p>
            <w:pPr>
              <w:pStyle w:val="Compact"/>
              <w:jc w:val="right"/>
            </w:pPr>
            <w:r>
              <w:t xml:space="preserve">2</w:t>
            </w:r>
          </w:p>
        </w:tc>
        <w:tc>
          <w:tcPr/>
          <w:p>
            <w:pPr>
              <w:pStyle w:val="Compact"/>
              <w:jc w:val="left"/>
            </w:pPr>
            <w:r>
              <w:t xml:space="preserve">Proprietary AWS-only service APIs</w:t>
            </w:r>
            <w:r>
              <w:t xml:space="preserve"> </w:t>
            </w:r>
            <w:r>
              <w:rPr>
                <w:rStyle w:val="ClaimLabel"/>
              </w:rPr>
              <w:t xml:space="preserve">VF</w:t>
            </w:r>
            <w:r>
              <w:rPr>
                <w:rStyle w:val="FootnoteReference"/>
              </w:rPr>
              <w:footnoteReference w:id="1151"/>
            </w:r>
          </w:p>
        </w:tc>
      </w:tr>
      <w:tr>
        <w:tc>
          <w:tcPr/>
          <w:p>
            <w:pPr>
              <w:pStyle w:val="Compact"/>
              <w:jc w:val="left"/>
            </w:pPr>
            <w:r>
              <w:rPr>
                <w:bCs/>
                <w:b/>
              </w:rPr>
              <w:t xml:space="preserve">Total (generic / FS)</w:t>
            </w:r>
          </w:p>
        </w:tc>
        <w:tc>
          <w:tcPr/>
          <w:p>
            <w:pPr>
              <w:pStyle w:val="Compact"/>
              <w:jc w:val="right"/>
            </w:pPr>
            <w:r>
              <w:rPr>
                <w:bCs/>
                <w:b/>
              </w:rPr>
              <w:t xml:space="preserve">3.40 / 3.25</w:t>
            </w:r>
          </w:p>
        </w:tc>
        <w:tc>
          <w:tcPr/>
          <w:p>
            <w:pPr>
              <w:pStyle w:val="Compact"/>
            </w:pPr>
          </w:p>
        </w:tc>
      </w:tr>
    </w:tbl>
    <w:p>
      <w:pPr>
        <w:pStyle w:val="BodyText"/>
      </w:pPr>
      <w:r>
        <w:rPr>
          <w:bCs/>
          <w:b/>
        </w:rPr>
        <w:t xml:space="preserve">Capabilities.</w:t>
      </w:r>
      <w:r>
        <w:t xml:space="preserve"> </w:t>
      </w:r>
      <w:r>
        <w:t xml:space="preserve">Strands Agents (Apache-2.0 model-driven agent SDK) plus Amazon Bedrock AgentCore, a framework-agnostic managed agent platform: Runtime with per-session microVM isolation (up to 8 hours per lifecycle), Memory, Gateway, Identity, Observability; hosts Strands, LangGraph, CrewAI, AutoGen or custom agents</w:t>
      </w:r>
      <w:r>
        <w:t xml:space="preserve"> </w:t>
      </w:r>
      <w:r>
        <w:rPr>
          <w:rStyle w:val="ClaimLabel"/>
        </w:rPr>
        <w:t xml:space="preserve">VF</w:t>
      </w:r>
      <w:r>
        <w:rPr>
          <w:rStyle w:val="FootnoteReference"/>
        </w:rPr>
        <w:footnoteReference w:id="1152"/>
      </w:r>
      <w:r>
        <w:t xml:space="preserve">.</w:t>
      </w:r>
    </w:p>
    <w:p>
      <w:pPr>
        <w:pStyle w:val="BodyText"/>
      </w:pPr>
      <w:r>
        <w:rPr>
          <w:bCs/>
          <w:b/>
        </w:rPr>
        <w:t xml:space="preserve">Strengths</w:t>
      </w:r>
    </w:p>
    <w:p>
      <w:pPr>
        <w:numPr>
          <w:ilvl w:val="0"/>
          <w:numId w:val="1253"/>
        </w:numPr>
        <w:pStyle w:val="Compact"/>
      </w:pPr>
      <w:r>
        <w:t xml:space="preserve">Per-session microVM isolation and VPC/PrivateLink</w:t>
      </w:r>
      <w:r>
        <w:t xml:space="preserve"> </w:t>
      </w:r>
      <w:r>
        <w:rPr>
          <w:rStyle w:val="ClaimLabel"/>
        </w:rPr>
        <w:t xml:space="preserve">VF</w:t>
      </w:r>
      <w:r>
        <w:rPr>
          <w:rStyle w:val="FootnoteReference"/>
        </w:rPr>
        <w:footnoteReference w:id="1154"/>
      </w:r>
    </w:p>
    <w:p>
      <w:pPr>
        <w:numPr>
          <w:ilvl w:val="0"/>
          <w:numId w:val="1253"/>
        </w:numPr>
        <w:pStyle w:val="Compact"/>
      </w:pPr>
      <w:r>
        <w:t xml:space="preserve">Runs any framework, so it separates runtime choice from framework choice</w:t>
      </w:r>
      <w:r>
        <w:t xml:space="preserve"> </w:t>
      </w:r>
      <w:r>
        <w:rPr>
          <w:rStyle w:val="ClaimLabel"/>
        </w:rPr>
        <w:t xml:space="preserve">VF</w:t>
      </w:r>
      <w:r>
        <w:rPr>
          <w:rStyle w:val="FootnoteReference"/>
        </w:rPr>
        <w:footnoteReference w:id="1155"/>
      </w:r>
      <w:r>
        <w:t xml:space="preserve"> </w:t>
      </w:r>
      <w:r>
        <w:rPr>
          <w:rStyle w:val="ClaimLabel"/>
        </w:rPr>
        <w:t xml:space="preserve">AJ</w:t>
      </w:r>
    </w:p>
    <w:p>
      <w:pPr>
        <w:pStyle w:val="FirstParagraph"/>
      </w:pPr>
      <w:r>
        <w:rPr>
          <w:bCs/>
          <w:b/>
        </w:rPr>
        <w:t xml:space="preserve">Limitations and risks</w:t>
      </w:r>
    </w:p>
    <w:p>
      <w:pPr>
        <w:numPr>
          <w:ilvl w:val="0"/>
          <w:numId w:val="1254"/>
        </w:numPr>
        <w:pStyle w:val="Compact"/>
      </w:pPr>
      <w:r>
        <w:t xml:space="preserve">AWS-only, proprietary APIs</w:t>
      </w:r>
      <w:r>
        <w:t xml:space="preserve"> </w:t>
      </w:r>
      <w:r>
        <w:rPr>
          <w:rStyle w:val="ClaimLabel"/>
        </w:rPr>
        <w:t xml:space="preserve">VF</w:t>
      </w:r>
      <w:r>
        <w:rPr>
          <w:rStyle w:val="FootnoteReference"/>
        </w:rPr>
        <w:footnoteReference w:id="1156"/>
      </w:r>
    </w:p>
    <w:p>
      <w:pPr>
        <w:numPr>
          <w:ilvl w:val="0"/>
          <w:numId w:val="1254"/>
        </w:numPr>
        <w:pStyle w:val="Compact"/>
      </w:pPr>
      <w:r>
        <w:t xml:space="preserve">Session state ephemeral by default; Runtime is not a durable workflow engine</w:t>
      </w:r>
      <w:r>
        <w:t xml:space="preserve"> </w:t>
      </w:r>
      <w:r>
        <w:rPr>
          <w:rStyle w:val="ClaimLabel"/>
        </w:rPr>
        <w:t xml:space="preserve">VF</w:t>
      </w:r>
      <w:r>
        <w:rPr>
          <w:rStyle w:val="FootnoteReference"/>
        </w:rPr>
        <w:footnoteReference w:id="1157"/>
      </w:r>
    </w:p>
    <w:p>
      <w:pPr>
        <w:numPr>
          <w:ilvl w:val="0"/>
          <w:numId w:val="1254"/>
        </w:numPr>
        <w:pStyle w:val="Compact"/>
      </w:pPr>
      <w:r>
        <w:t xml:space="preserve">AgentCore SDK classified Alpha</w:t>
      </w:r>
      <w:r>
        <w:t xml:space="preserve"> </w:t>
      </w:r>
      <w:r>
        <w:rPr>
          <w:rStyle w:val="ClaimLabel"/>
        </w:rPr>
        <w:t xml:space="preserve">VF</w:t>
      </w:r>
      <w:r>
        <w:rPr>
          <w:rStyle w:val="FootnoteReference"/>
        </w:rPr>
        <w:footnoteReference w:id="1158"/>
      </w:r>
    </w:p>
    <w:p>
      <w:pPr>
        <w:numPr>
          <w:ilvl w:val="0"/>
          <w:numId w:val="1254"/>
        </w:numPr>
        <w:pStyle w:val="Compact"/>
      </w:pPr>
      <w:r>
        <w:t xml:space="preserve">Execution-role credentials reachable from code in the microVM</w:t>
      </w:r>
      <w:r>
        <w:t xml:space="preserve"> </w:t>
      </w:r>
      <w:r>
        <w:rPr>
          <w:rStyle w:val="ClaimLabel"/>
        </w:rPr>
        <w:t xml:space="preserve">VF</w:t>
      </w:r>
      <w:r>
        <w:rPr>
          <w:rStyle w:val="FootnoteReference"/>
        </w:rPr>
        <w:footnoteReference w:id="1159"/>
      </w:r>
    </w:p>
    <w:p>
      <w:pPr>
        <w:numPr>
          <w:ilvl w:val="0"/>
          <w:numId w:val="1254"/>
        </w:numPr>
        <w:pStyle w:val="Compact"/>
      </w:pPr>
      <w:r>
        <w:t xml:space="preserve">Runtime pricing not verified</w:t>
      </w:r>
      <w:r>
        <w:t xml:space="preserve"> </w:t>
      </w:r>
      <w:r>
        <w:rPr>
          <w:rStyle w:val="ClaimLabel"/>
        </w:rPr>
        <w:t xml:space="preserve">NPV</w:t>
      </w:r>
    </w:p>
    <w:p>
      <w:pPr>
        <w:pStyle w:val="FirstParagraph"/>
      </w:pPr>
      <w:r>
        <w:rPr>
          <w:bCs/>
          <w:b/>
        </w:rPr>
        <w:t xml:space="preserve">Choose when</w:t>
      </w:r>
    </w:p>
    <w:p>
      <w:pPr>
        <w:numPr>
          <w:ilvl w:val="0"/>
          <w:numId w:val="1255"/>
        </w:numPr>
        <w:pStyle w:val="Compact"/>
      </w:pPr>
      <w:r>
        <w:t xml:space="preserve">AWS is the primary cloud and you need a managed, isolated runtime for framework-built agents</w:t>
      </w:r>
      <w:r>
        <w:t xml:space="preserve"> </w:t>
      </w:r>
      <w:r>
        <w:rPr>
          <w:rStyle w:val="ClaimLabel"/>
        </w:rPr>
        <w:t xml:space="preserve">AJ</w:t>
      </w:r>
    </w:p>
    <w:p>
      <w:pPr>
        <w:pStyle w:val="FirstParagraph"/>
      </w:pPr>
      <w:r>
        <w:rPr>
          <w:bCs/>
          <w:b/>
        </w:rPr>
        <w:t xml:space="preserve">Avoid when</w:t>
      </w:r>
    </w:p>
    <w:p>
      <w:pPr>
        <w:numPr>
          <w:ilvl w:val="0"/>
          <w:numId w:val="1256"/>
        </w:numPr>
        <w:pStyle w:val="Compact"/>
      </w:pPr>
      <w:r>
        <w:t xml:space="preserve">Multi-cloud portability of the runtime is a requirement</w:t>
      </w:r>
      <w:r>
        <w:t xml:space="preserve"> </w:t>
      </w:r>
      <w:r>
        <w:rPr>
          <w:rStyle w:val="ClaimLabel"/>
        </w:rPr>
        <w:t xml:space="preserve">AJ</w:t>
      </w:r>
    </w:p>
    <w:p>
      <w:pPr>
        <w:pStyle w:val="FirstParagraph"/>
      </w:pPr>
      <w:r>
        <w:rPr>
          <w:bCs/>
          <w:b/>
        </w:rPr>
        <w:t xml:space="preserve">Nearest competitors:</w:t>
      </w:r>
      <w:r>
        <w:t xml:space="preserve"> </w:t>
      </w:r>
      <w:r>
        <w:t xml:space="preserve">L3-microsoft-agent-framework, L3-google-adk, L3-langgraph</w:t>
      </w:r>
    </w:p>
    <w:p>
      <w:pPr>
        <w:pStyle w:val="BodyText"/>
      </w:pPr>
      <w:r>
        <w:rPr>
          <w:bCs/>
          <w:b/>
        </w:rPr>
        <w:t xml:space="preserve">Regulated-FS note.</w:t>
      </w:r>
      <w:r>
        <w:t xml:space="preserve"> </w:t>
      </w:r>
      <w:r>
        <w:t xml:space="preserve">Keep the workflow definition in a portable framework; scope execution roles tightly; platform controls presumed (CP2 Q1); confirm per service</w:t>
      </w:r>
      <w:r>
        <w:t xml:space="preserve"> </w:t>
      </w:r>
      <w:r>
        <w:rPr>
          <w:rStyle w:val="ClaimLabel"/>
        </w:rPr>
        <w:t xml:space="preserve">Rec</w:t>
      </w:r>
      <w:r>
        <w:t xml:space="preserve">.</w:t>
      </w:r>
    </w:p>
    <w:p>
      <w:pPr>
        <w:pStyle w:val="BodyText"/>
      </w:pPr>
      <w:r>
        <w:rPr>
          <w:bCs/>
          <w:b/>
        </w:rPr>
        <w:t xml:space="preserve">Facts (as of 2026-10-07)</w:t>
      </w:r>
    </w:p>
    <w:tbl>
      <w:tblPr>
        <w:tblStyle w:val="Table"/>
        <w:tblW w:type="pct" w:w="5000"/>
        <w:tblLook w:firstRow="1" w:lastRow="0" w:firstColumn="0" w:lastColumn="0" w:noHBand="0" w:noVBand="0" w:val="0020"/>
        <w:jc w:val="start"/>
      </w:tblPr>
      <w:tblGrid>
        <w:gridCol w:w="1485"/>
        <w:gridCol w:w="4290"/>
        <w:gridCol w:w="1320"/>
        <w:gridCol w:w="825"/>
      </w:tblGrid>
      <w:tr>
        <w:trPr>
          <w:tblHeader w:val="true"/>
        </w:trPr>
        <w:tc>
          <w:tcPr/>
          <w:p>
            <w:pPr>
              <w:pStyle w:val="Compact"/>
              <w:jc w:val="left"/>
            </w:pPr>
            <w:r>
              <w:t xml:space="preserve">Field</w:t>
            </w:r>
          </w:p>
        </w:tc>
        <w:tc>
          <w:tcPr/>
          <w:p>
            <w:pPr>
              <w:pStyle w:val="Compact"/>
              <w:jc w:val="left"/>
            </w:pPr>
            <w:r>
              <w:t xml:space="preserve">Value</w:t>
            </w:r>
          </w:p>
        </w:tc>
        <w:tc>
          <w:tcPr/>
          <w:p>
            <w:pPr>
              <w:pStyle w:val="Compact"/>
              <w:jc w:val="left"/>
            </w:pPr>
            <w:r>
              <w:t xml:space="preserve">Label</w:t>
            </w:r>
          </w:p>
        </w:tc>
        <w:tc>
          <w:tcPr/>
          <w:p>
            <w:pPr>
              <w:pStyle w:val="Compact"/>
              <w:jc w:val="left"/>
            </w:pPr>
            <w:r>
              <w:t xml:space="preserve">Sources</w:t>
            </w:r>
          </w:p>
        </w:tc>
      </w:tr>
      <w:tr>
        <w:tc>
          <w:tcPr/>
          <w:p>
            <w:pPr>
              <w:pStyle w:val="Compact"/>
              <w:jc w:val="left"/>
            </w:pPr>
            <w:r>
              <w:t xml:space="preserve">Company</w:t>
            </w:r>
          </w:p>
        </w:tc>
        <w:tc>
          <w:tcPr/>
          <w:p>
            <w:pPr>
              <w:pStyle w:val="Compact"/>
              <w:jc w:val="left"/>
            </w:pPr>
            <w:r>
              <w:t xml:space="preserve">Amazon Web Services</w:t>
            </w:r>
          </w:p>
        </w:tc>
        <w:tc>
          <w:tcPr/>
          <w:p>
            <w:pPr>
              <w:pStyle w:val="Compact"/>
              <w:jc w:val="left"/>
            </w:pPr>
            <w:r>
              <w:t xml:space="preserve">Verified fact</w:t>
            </w:r>
          </w:p>
        </w:tc>
        <w:tc>
          <w:tcPr/>
          <w:p>
            <w:pPr>
              <w:pStyle w:val="Compact"/>
              <w:jc w:val="left"/>
            </w:pPr>
            <w:r>
              <w:t xml:space="preserve">A4-S116</w:t>
            </w:r>
          </w:p>
        </w:tc>
      </w:tr>
      <w:tr>
        <w:tc>
          <w:tcPr/>
          <w:p>
            <w:pPr>
              <w:pStyle w:val="Compact"/>
              <w:jc w:val="left"/>
            </w:pPr>
            <w:r>
              <w:t xml:space="preserve">Category</w:t>
            </w:r>
          </w:p>
        </w:tc>
        <w:tc>
          <w:tcPr/>
          <w:p>
            <w:pPr>
              <w:pStyle w:val="Compact"/>
              <w:jc w:val="left"/>
            </w:pPr>
            <w:r>
              <w:t xml:space="preserve">Model-driven agent SDK plus framework-agnostic managed agent platform (Runtime, Memory, Gateway, Identity)</w:t>
            </w:r>
          </w:p>
        </w:tc>
        <w:tc>
          <w:tcPr/>
          <w:p>
            <w:pPr>
              <w:pStyle w:val="Compact"/>
              <w:jc w:val="left"/>
            </w:pPr>
            <w:r>
              <w:t xml:space="preserve">Verified fact</w:t>
            </w:r>
          </w:p>
        </w:tc>
        <w:tc>
          <w:tcPr/>
          <w:p>
            <w:pPr>
              <w:pStyle w:val="Compact"/>
              <w:jc w:val="left"/>
            </w:pPr>
            <w:r>
              <w:t xml:space="preserve">A4-S115, A4-S116</w:t>
            </w:r>
          </w:p>
        </w:tc>
      </w:tr>
      <w:tr>
        <w:tc>
          <w:tcPr/>
          <w:p>
            <w:pPr>
              <w:pStyle w:val="Compact"/>
              <w:jc w:val="left"/>
            </w:pPr>
            <w:r>
              <w:t xml:space="preserve">Version / lineup</w:t>
            </w:r>
          </w:p>
        </w:tc>
        <w:tc>
          <w:tcPr/>
          <w:p>
            <w:pPr>
              <w:pStyle w:val="Compact"/>
              <w:jc w:val="left"/>
            </w:pPr>
            <w:r>
              <w:t xml:space="preserve">strands-agents 1.58.1 (6 October 2026; 1.0.0 15 July 2025); bedrock-agentcore SDK 1.24.1 (7 October 2026; classifier Alpha)</w:t>
            </w:r>
          </w:p>
        </w:tc>
        <w:tc>
          <w:tcPr/>
          <w:p>
            <w:pPr>
              <w:pStyle w:val="Compact"/>
              <w:jc w:val="left"/>
            </w:pPr>
            <w:r>
              <w:t xml:space="preserve">Verified fact</w:t>
            </w:r>
          </w:p>
        </w:tc>
        <w:tc>
          <w:tcPr/>
          <w:p>
            <w:pPr>
              <w:pStyle w:val="Compact"/>
              <w:jc w:val="left"/>
            </w:pPr>
            <w:r>
              <w:t xml:space="preserve">A4-S018, A4-S121</w:t>
            </w:r>
          </w:p>
        </w:tc>
      </w:tr>
      <w:tr>
        <w:tc>
          <w:tcPr/>
          <w:p>
            <w:pPr>
              <w:pStyle w:val="Compact"/>
              <w:jc w:val="left"/>
            </w:pPr>
            <w:r>
              <w:t xml:space="preserve">Licence</w:t>
            </w:r>
          </w:p>
        </w:tc>
        <w:tc>
          <w:tcPr/>
          <w:p>
            <w:pPr>
              <w:pStyle w:val="Compact"/>
              <w:jc w:val="left"/>
            </w:pPr>
            <w:r>
              <w:t xml:space="preserve">SDKs Apache-2.0; AgentCore is a proprietary AWS managed service</w:t>
            </w:r>
          </w:p>
        </w:tc>
        <w:tc>
          <w:tcPr/>
          <w:p>
            <w:pPr>
              <w:pStyle w:val="Compact"/>
              <w:jc w:val="left"/>
            </w:pPr>
            <w:r>
              <w:t xml:space="preserve">Verified fact</w:t>
            </w:r>
          </w:p>
        </w:tc>
        <w:tc>
          <w:tcPr/>
          <w:p>
            <w:pPr>
              <w:pStyle w:val="Compact"/>
              <w:jc w:val="left"/>
            </w:pPr>
            <w:r>
              <w:t xml:space="preserve">A4-S018, A4-S121, A4-S116</w:t>
            </w:r>
          </w:p>
        </w:tc>
      </w:tr>
      <w:tr>
        <w:tc>
          <w:tcPr/>
          <w:p>
            <w:pPr>
              <w:pStyle w:val="Compact"/>
              <w:jc w:val="left"/>
            </w:pPr>
            <w:r>
              <w:t xml:space="preserve">Status events</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Strategic direction</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What it does</w:t>
            </w:r>
          </w:p>
        </w:tc>
        <w:tc>
          <w:tcPr/>
          <w:p>
            <w:pPr>
              <w:pStyle w:val="Compact"/>
              <w:jc w:val="left"/>
            </w:pPr>
            <w:r>
              <w:t xml:space="preserve">AgentCore deploys and operates agents</w:t>
            </w:r>
            <w:r>
              <w:t xml:space="preserve"> </w:t>
            </w:r>
            <w:r>
              <w:t xml:space="preserve">‘</w:t>
            </w:r>
            <w:r>
              <w:t xml:space="preserve">using any framework and model</w:t>
            </w:r>
            <w:r>
              <w:t xml:space="preserve">’</w:t>
            </w:r>
            <w:r>
              <w:t xml:space="preserve"> </w:t>
            </w:r>
            <w:r>
              <w:t xml:space="preserve">(Strands, LangGraph, CrewAI, AutoGen or custom) with session-isolated Runtime, Memory, Gateway (APIs to MCP tools) and Identity; supports AG-UI protocol.</w:t>
            </w:r>
          </w:p>
        </w:tc>
        <w:tc>
          <w:tcPr/>
          <w:p>
            <w:pPr>
              <w:pStyle w:val="Compact"/>
              <w:jc w:val="left"/>
            </w:pPr>
            <w:r>
              <w:t xml:space="preserve">Verified fact</w:t>
            </w:r>
          </w:p>
        </w:tc>
        <w:tc>
          <w:tcPr/>
          <w:p>
            <w:pPr>
              <w:pStyle w:val="Compact"/>
              <w:jc w:val="left"/>
            </w:pPr>
            <w:r>
              <w:t xml:space="preserve">A4-S116</w:t>
            </w:r>
          </w:p>
        </w:tc>
      </w:tr>
      <w:tr>
        <w:tc>
          <w:tcPr/>
          <w:p>
            <w:pPr>
              <w:pStyle w:val="Compact"/>
              <w:jc w:val="left"/>
            </w:pPr>
            <w:r>
              <w:t xml:space="preserve">Stack position</w:t>
            </w:r>
          </w:p>
        </w:tc>
        <w:tc>
          <w:tcPr/>
          <w:p>
            <w:pPr>
              <w:pStyle w:val="Compact"/>
              <w:jc w:val="left"/>
            </w:pPr>
            <w:r>
              <w:t xml:space="preserve">L3 framework (Strands) and managed agent runtime (AgentCore); AgentCore Gateway/Identity overlap L4/C4</w:t>
            </w:r>
          </w:p>
        </w:tc>
        <w:tc>
          <w:tcPr/>
          <w:p>
            <w:pPr>
              <w:pStyle w:val="Compact"/>
              <w:jc w:val="left"/>
            </w:pPr>
            <w:r>
              <w:t xml:space="preserve">Verified fact</w:t>
            </w:r>
          </w:p>
        </w:tc>
        <w:tc>
          <w:tcPr/>
          <w:p>
            <w:pPr>
              <w:pStyle w:val="Compact"/>
              <w:jc w:val="left"/>
            </w:pPr>
            <w:r>
              <w:t xml:space="preserve">A4-S116</w:t>
            </w:r>
          </w:p>
        </w:tc>
      </w:tr>
      <w:tr>
        <w:tc>
          <w:tcPr/>
          <w:p>
            <w:pPr>
              <w:pStyle w:val="Compact"/>
              <w:jc w:val="left"/>
            </w:pPr>
            <w:r>
              <w:t xml:space="preserve">Integration</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Dependencies</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Certifications</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GDPR / residency</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Security features</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Access controls</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Enterprise support</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Pricing</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Infrastructure cost</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Ecosystem</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Adoption signals</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Maturity</w:t>
            </w:r>
          </w:p>
        </w:tc>
        <w:tc>
          <w:tcPr/>
          <w:p>
            <w:pPr>
              <w:pStyle w:val="Compact"/>
              <w:jc w:val="left"/>
            </w:pPr>
            <w:r>
              <w:t xml:space="preserve">Strands 1.0 July 2025; AgentCore SDK still Alpha-classified</w:t>
            </w:r>
          </w:p>
        </w:tc>
        <w:tc>
          <w:tcPr/>
          <w:p>
            <w:pPr>
              <w:pStyle w:val="Compact"/>
              <w:jc w:val="left"/>
            </w:pPr>
            <w:r>
              <w:t xml:space="preserve">Verified fact</w:t>
            </w:r>
          </w:p>
        </w:tc>
        <w:tc>
          <w:tcPr/>
          <w:p>
            <w:pPr>
              <w:pStyle w:val="Compact"/>
              <w:jc w:val="left"/>
            </w:pPr>
            <w:r>
              <w:t xml:space="preserve">A4-S018, A4-S121</w:t>
            </w:r>
          </w:p>
        </w:tc>
      </w:tr>
      <w:tr>
        <w:tc>
          <w:tcPr/>
          <w:p>
            <w:pPr>
              <w:pStyle w:val="Compact"/>
              <w:jc w:val="left"/>
            </w:pPr>
            <w:r>
              <w:t xml:space="preserve">Deployment</w:t>
            </w:r>
          </w:p>
        </w:tc>
        <w:tc>
          <w:tcPr/>
          <w:p>
            <w:pPr>
              <w:pStyle w:val="Compact"/>
              <w:jc w:val="left"/>
            </w:pPr>
            <w:r>
              <w:t xml:space="preserve">saas: No; managed_cloud: Yes (AgentCore); vpc_byoc: Not publicly verified; private_cloud: Not publicly verified; self_hosted: Yes (Strands SDK); on_prem: Not publicly verified</w:t>
            </w:r>
          </w:p>
        </w:tc>
        <w:tc>
          <w:tcPr/>
          <w:p>
            <w:pPr>
              <w:pStyle w:val="Compact"/>
            </w:pPr>
          </w:p>
        </w:tc>
        <w:tc>
          <w:tcPr/>
          <w:p>
            <w:pPr>
              <w:pStyle w:val="Compact"/>
            </w:pPr>
          </w:p>
        </w:tc>
      </w:tr>
    </w:tbl>
    <w:bookmarkEnd w:id="1160"/>
    <w:bookmarkStart w:id="1181" w:name="X9763b6eb84caacf13702833f94c2d4d3c0dc8c7"/>
    <w:p>
      <w:pPr>
        <w:pStyle w:val="Heading2"/>
      </w:pPr>
      <w:r>
        <w:t xml:space="preserve">CrewAI (open-source framework: Crews and Flows); commercial platform CrewAI AMP (Agent Management Platform; earlier materials say CrewAI Enterprise; explicit rename notice not found) (</w:t>
      </w:r>
      <w:r>
        <w:rPr>
          <w:rStyle w:val="VerbatimChar"/>
        </w:rPr>
        <w:t xml:space="preserve">L3-crewai</w:t>
      </w:r>
      <w:r>
        <w:t xml:space="preserve">)</w:t>
      </w:r>
    </w:p>
    <w:p>
      <w:pPr>
        <w:pStyle w:val="FirstParagraph"/>
      </w:pPr>
      <w:r>
        <w:rPr>
          <w:bCs/>
          <w:b/>
        </w:rPr>
        <w:t xml:space="preserve">Tier:</w:t>
      </w:r>
      <w:r>
        <w:t xml:space="preserve"> </w:t>
      </w:r>
      <w:r>
        <w:t xml:space="preserve">Tactical ·</w:t>
      </w:r>
      <w:r>
        <w:t xml:space="preserve"> </w:t>
      </w:r>
      <w:r>
        <w:rPr>
          <w:bCs/>
          <w:b/>
        </w:rPr>
        <w:t xml:space="preserve">Flags:</w:t>
      </w:r>
      <w:r>
        <w:t xml:space="preserve"> </w:t>
      </w:r>
      <w:r>
        <w:t xml:space="preserve">none ·</w:t>
      </w:r>
      <w:r>
        <w:t xml:space="preserve"> </w:t>
      </w:r>
      <w:r>
        <w:rPr>
          <w:bCs/>
          <w:b/>
        </w:rPr>
        <w:t xml:space="preserve">Original graphic label:</w:t>
      </w:r>
      <w:r>
        <w:t xml:space="preserve"> </w:t>
      </w:r>
      <w:r>
        <w:t xml:space="preserve">CrewAI – multi-agent</w:t>
      </w:r>
    </w:p>
    <w:p>
      <w:pPr>
        <w:pStyle w:val="BodyText"/>
      </w:pPr>
      <w:r>
        <w:rPr>
          <w:iCs/>
          <w:i/>
        </w:rPr>
        <w:t xml:space="preserve">Rationale:</w:t>
      </w:r>
      <w:r>
        <w:t xml:space="preserve"> </w:t>
      </w:r>
      <w:r>
        <w:t xml:space="preserve">Both modes available, but abstractions are proprietary and durability is unproven.</w:t>
      </w:r>
    </w:p>
    <w:tbl>
      <w:tblPr>
        <w:tblStyle w:val="Table"/>
        <w:tblW w:type="pct" w:w="5000"/>
        <w:tblLook w:firstRow="1" w:lastRow="0" w:firstColumn="0" w:lastColumn="0" w:noHBand="0" w:noVBand="0" w:val="0020"/>
        <w:jc w:val="start"/>
      </w:tblPr>
      <w:tblGrid>
        <w:gridCol w:w="1545"/>
        <w:gridCol w:w="579"/>
        <w:gridCol w:w="5795"/>
      </w:tblGrid>
      <w:tr>
        <w:trPr>
          <w:tblHeader w:val="true"/>
        </w:trPr>
        <w:tc>
          <w:tcPr/>
          <w:p>
            <w:pPr>
              <w:pStyle w:val="Compact"/>
              <w:jc w:val="left"/>
            </w:pPr>
            <w:r>
              <w:t xml:space="preserve">Criterion</w:t>
            </w:r>
          </w:p>
        </w:tc>
        <w:tc>
          <w:tcPr/>
          <w:p>
            <w:pPr>
              <w:pStyle w:val="Compact"/>
              <w:jc w:val="right"/>
            </w:pPr>
            <w:r>
              <w:t xml:space="preserve">Score</w:t>
            </w:r>
          </w:p>
        </w:tc>
        <w:tc>
          <w:tcPr/>
          <w:p>
            <w:pPr>
              <w:pStyle w:val="Compact"/>
              <w:jc w:val="left"/>
            </w:pPr>
            <w:r>
              <w:t xml:space="preserve">Rationale</w:t>
            </w:r>
          </w:p>
        </w:tc>
      </w:tr>
      <w:tr>
        <w:tc>
          <w:tcPr/>
          <w:p>
            <w:pPr>
              <w:pStyle w:val="Compact"/>
              <w:jc w:val="left"/>
            </w:pPr>
            <w:r>
              <w:t xml:space="preserve">Technical</w:t>
            </w:r>
          </w:p>
        </w:tc>
        <w:tc>
          <w:tcPr/>
          <w:p>
            <w:pPr>
              <w:pStyle w:val="Compact"/>
              <w:jc w:val="right"/>
            </w:pPr>
            <w:r>
              <w:t xml:space="preserve">3</w:t>
            </w:r>
          </w:p>
        </w:tc>
        <w:tc>
          <w:tcPr/>
          <w:p>
            <w:pPr>
              <w:pStyle w:val="Compact"/>
              <w:jc w:val="left"/>
            </w:pPr>
            <w:r>
              <w:t xml:space="preserve">Crews plus Flows cover multi-agent and workflow modes; HITL/durability not evidenced</w:t>
            </w:r>
            <w:r>
              <w:t xml:space="preserve"> </w:t>
            </w:r>
            <w:r>
              <w:rPr>
                <w:rStyle w:val="ClaimLabel"/>
              </w:rPr>
              <w:t xml:space="preserve">VF</w:t>
            </w:r>
            <w:r>
              <w:rPr>
                <w:rStyle w:val="FootnoteReference"/>
              </w:rPr>
              <w:footnoteReference w:id="1161"/>
            </w:r>
            <w:r>
              <w:t xml:space="preserve"> </w:t>
            </w:r>
            <w:r>
              <w:rPr>
                <w:rStyle w:val="ClaimLabel"/>
              </w:rPr>
              <w:t xml:space="preserve">NPV</w:t>
            </w:r>
          </w:p>
        </w:tc>
      </w:tr>
      <w:tr>
        <w:tc>
          <w:tcPr/>
          <w:p>
            <w:pPr>
              <w:pStyle w:val="Compact"/>
              <w:jc w:val="left"/>
            </w:pPr>
            <w:r>
              <w:t xml:space="preserve">Enterprise readiness</w:t>
            </w:r>
          </w:p>
        </w:tc>
        <w:tc>
          <w:tcPr/>
          <w:p>
            <w:pPr>
              <w:pStyle w:val="Compact"/>
              <w:jc w:val="right"/>
            </w:pPr>
            <w:r>
              <w:t xml:space="preserve">3</w:t>
            </w:r>
          </w:p>
        </w:tc>
        <w:tc>
          <w:tcPr/>
          <w:p>
            <w:pPr>
              <w:pStyle w:val="Compact"/>
              <w:jc w:val="left"/>
            </w:pPr>
            <w:r>
              <w:t xml:space="preserve">AMP Enterprise SSO and RBAC verified; no SCIM, SLA or audit evidence, so 3 (rule 7)</w:t>
            </w:r>
            <w:r>
              <w:t xml:space="preserve"> </w:t>
            </w:r>
            <w:r>
              <w:rPr>
                <w:rStyle w:val="ClaimLabel"/>
              </w:rPr>
              <w:t xml:space="preserve">VF</w:t>
            </w:r>
            <w:r>
              <w:rPr>
                <w:rStyle w:val="FootnoteReference"/>
              </w:rPr>
              <w:footnoteReference w:id="1163"/>
            </w:r>
          </w:p>
        </w:tc>
      </w:tr>
      <w:tr>
        <w:tc>
          <w:tcPr/>
          <w:p>
            <w:pPr>
              <w:pStyle w:val="Compact"/>
              <w:jc w:val="left"/>
            </w:pPr>
            <w:r>
              <w:t xml:space="preserve">Security and compliance</w:t>
            </w:r>
          </w:p>
        </w:tc>
        <w:tc>
          <w:tcPr/>
          <w:p>
            <w:pPr>
              <w:pStyle w:val="Compact"/>
              <w:jc w:val="right"/>
            </w:pPr>
            <w:r>
              <w:t xml:space="preserve">3</w:t>
            </w:r>
          </w:p>
        </w:tc>
        <w:tc>
          <w:tcPr/>
          <w:p>
            <w:pPr>
              <w:pStyle w:val="Compact"/>
              <w:jc w:val="left"/>
            </w:pPr>
            <w:r>
              <w:t xml:space="preserve">SOC 2 Type 2 report (June 2026) listed; HIPAA Type 1 only</w:t>
            </w:r>
            <w:r>
              <w:t xml:space="preserve"> </w:t>
            </w:r>
            <w:r>
              <w:rPr>
                <w:rStyle w:val="ClaimLabel"/>
              </w:rPr>
              <w:t xml:space="preserve">VF</w:t>
            </w:r>
            <w:r>
              <w:rPr>
                <w:rStyle w:val="FootnoteReference"/>
              </w:rPr>
              <w:footnoteReference w:id="1165"/>
            </w:r>
          </w:p>
        </w:tc>
      </w:tr>
      <w:tr>
        <w:tc>
          <w:tcPr/>
          <w:p>
            <w:pPr>
              <w:pStyle w:val="Compact"/>
              <w:jc w:val="left"/>
            </w:pPr>
            <w:r>
              <w:t xml:space="preserve">Deployment flexibility</w:t>
            </w:r>
          </w:p>
        </w:tc>
        <w:tc>
          <w:tcPr/>
          <w:p>
            <w:pPr>
              <w:pStyle w:val="Compact"/>
              <w:jc w:val="right"/>
            </w:pPr>
            <w:r>
              <w:t xml:space="preserve">4</w:t>
            </w:r>
          </w:p>
        </w:tc>
        <w:tc>
          <w:tcPr/>
          <w:p>
            <w:pPr>
              <w:pStyle w:val="Compact"/>
              <w:jc w:val="left"/>
            </w:pPr>
            <w:r>
              <w:t xml:space="preserve">SaaS, VPC on AWS/Azure/GCP, on-prem, OSS self-host; air-gap not verified</w:t>
            </w:r>
            <w:r>
              <w:t xml:space="preserve"> </w:t>
            </w:r>
            <w:r>
              <w:rPr>
                <w:rStyle w:val="ClaimLabel"/>
              </w:rPr>
              <w:t xml:space="preserve">VF</w:t>
            </w:r>
            <w:r>
              <w:rPr>
                <w:rStyle w:val="FootnoteReference"/>
              </w:rPr>
              <w:footnoteReference w:id="1167"/>
            </w:r>
          </w:p>
        </w:tc>
      </w:tr>
      <w:tr>
        <w:tc>
          <w:tcPr/>
          <w:p>
            <w:pPr>
              <w:pStyle w:val="Compact"/>
              <w:jc w:val="left"/>
            </w:pPr>
            <w:r>
              <w:t xml:space="preserve">Ecosystem</w:t>
            </w:r>
          </w:p>
        </w:tc>
        <w:tc>
          <w:tcPr/>
          <w:p>
            <w:pPr>
              <w:pStyle w:val="Compact"/>
              <w:jc w:val="right"/>
            </w:pPr>
            <w:r>
              <w:t xml:space="preserve">4</w:t>
            </w:r>
          </w:p>
        </w:tc>
        <w:tc>
          <w:tcPr/>
          <w:p>
            <w:pPr>
              <w:pStyle w:val="Compact"/>
              <w:jc w:val="left"/>
            </w:pPr>
            <w:r>
              <w:t xml:space="preserve">crewai-tools, AMP, HPE partnership; hosted by AgentCore</w:t>
            </w:r>
            <w:r>
              <w:t xml:space="preserve"> </w:t>
            </w:r>
            <w:r>
              <w:rPr>
                <w:rStyle w:val="ClaimLabel"/>
              </w:rPr>
              <w:t xml:space="preserve">VF</w:t>
            </w:r>
            <w:r>
              <w:rPr>
                <w:rStyle w:val="FootnoteReference"/>
              </w:rPr>
              <w:footnoteReference w:id="1169"/>
            </w:r>
          </w:p>
        </w:tc>
      </w:tr>
      <w:tr>
        <w:tc>
          <w:tcPr/>
          <w:p>
            <w:pPr>
              <w:pStyle w:val="Compact"/>
              <w:jc w:val="left"/>
            </w:pPr>
            <w:r>
              <w:t xml:space="preserve">Reliability and maturity</w:t>
            </w:r>
          </w:p>
        </w:tc>
        <w:tc>
          <w:tcPr/>
          <w:p>
            <w:pPr>
              <w:pStyle w:val="Compact"/>
              <w:jc w:val="right"/>
            </w:pPr>
            <w:r>
              <w:t xml:space="preserve">3</w:t>
            </w:r>
          </w:p>
        </w:tc>
        <w:tc>
          <w:tcPr/>
          <w:p>
            <w:pPr>
              <w:pStyle w:val="Compact"/>
              <w:jc w:val="left"/>
            </w:pPr>
            <w:r>
              <w:t xml:space="preserve">1.x since October 2025; very high release frequency</w:t>
            </w:r>
            <w:r>
              <w:t xml:space="preserve"> </w:t>
            </w:r>
            <w:r>
              <w:rPr>
                <w:rStyle w:val="ClaimLabel"/>
              </w:rPr>
              <w:t xml:space="preserve">VF</w:t>
            </w:r>
            <w:r>
              <w:rPr>
                <w:rStyle w:val="FootnoteReference"/>
              </w:rPr>
              <w:footnoteReference w:id="1171"/>
            </w:r>
          </w:p>
        </w:tc>
      </w:tr>
      <w:tr>
        <w:tc>
          <w:tcPr/>
          <w:p>
            <w:pPr>
              <w:pStyle w:val="Compact"/>
              <w:jc w:val="left"/>
            </w:pPr>
            <w:r>
              <w:t xml:space="preserve">Cost / TCO</w:t>
            </w:r>
          </w:p>
        </w:tc>
        <w:tc>
          <w:tcPr/>
          <w:p>
            <w:pPr>
              <w:pStyle w:val="Compact"/>
              <w:jc w:val="right"/>
            </w:pPr>
            <w:r>
              <w:t xml:space="preserve">3</w:t>
            </w:r>
          </w:p>
        </w:tc>
        <w:tc>
          <w:tcPr/>
          <w:p>
            <w:pPr>
              <w:pStyle w:val="Compact"/>
              <w:jc w:val="left"/>
            </w:pPr>
            <w:r>
              <w:t xml:space="preserve">Free tier 50 executions/month; Enterprise custom-priced</w:t>
            </w:r>
            <w:r>
              <w:t xml:space="preserve"> </w:t>
            </w:r>
            <w:r>
              <w:rPr>
                <w:rStyle w:val="ClaimLabel"/>
              </w:rPr>
              <w:t xml:space="preserve">VF</w:t>
            </w:r>
            <w:r>
              <w:rPr>
                <w:rStyle w:val="FootnoteReference"/>
              </w:rPr>
              <w:footnoteReference w:id="1172"/>
            </w:r>
          </w:p>
        </w:tc>
      </w:tr>
      <w:tr>
        <w:tc>
          <w:tcPr/>
          <w:p>
            <w:pPr>
              <w:pStyle w:val="Compact"/>
              <w:jc w:val="left"/>
            </w:pPr>
            <w:r>
              <w:t xml:space="preserve">Lock-in / portability</w:t>
            </w:r>
          </w:p>
        </w:tc>
        <w:tc>
          <w:tcPr/>
          <w:p>
            <w:pPr>
              <w:pStyle w:val="Compact"/>
              <w:jc w:val="right"/>
            </w:pPr>
            <w:r>
              <w:t xml:space="preserve">3</w:t>
            </w:r>
          </w:p>
        </w:tc>
        <w:tc>
          <w:tcPr/>
          <w:p>
            <w:pPr>
              <w:pStyle w:val="Compact"/>
              <w:jc w:val="left"/>
            </w:pPr>
            <w:r>
              <w:t xml:space="preserve">MIT framework, proprietary abstractions and AMP</w:t>
            </w:r>
            <w:r>
              <w:t xml:space="preserve"> </w:t>
            </w:r>
            <w:r>
              <w:rPr>
                <w:rStyle w:val="ClaimLabel"/>
              </w:rPr>
              <w:t xml:space="preserve">VF</w:t>
            </w:r>
            <w:r>
              <w:rPr>
                <w:rStyle w:val="FootnoteReference"/>
              </w:rPr>
              <w:footnoteReference w:id="1173"/>
            </w:r>
          </w:p>
        </w:tc>
      </w:tr>
      <w:tr>
        <w:tc>
          <w:tcPr/>
          <w:p>
            <w:pPr>
              <w:pStyle w:val="Compact"/>
              <w:jc w:val="left"/>
            </w:pPr>
            <w:r>
              <w:rPr>
                <w:bCs/>
                <w:b/>
              </w:rPr>
              <w:t xml:space="preserve">Total (generic / FS)</w:t>
            </w:r>
          </w:p>
        </w:tc>
        <w:tc>
          <w:tcPr/>
          <w:p>
            <w:pPr>
              <w:pStyle w:val="Compact"/>
              <w:jc w:val="right"/>
            </w:pPr>
            <w:r>
              <w:rPr>
                <w:bCs/>
                <w:b/>
              </w:rPr>
              <w:t xml:space="preserve">3.25 / 3.20</w:t>
            </w:r>
          </w:p>
        </w:tc>
        <w:tc>
          <w:tcPr/>
          <w:p>
            <w:pPr>
              <w:pStyle w:val="Compact"/>
            </w:pPr>
          </w:p>
        </w:tc>
      </w:tr>
    </w:tbl>
    <w:p>
      <w:pPr>
        <w:pStyle w:val="BodyText"/>
      </w:pPr>
      <w:r>
        <w:rPr>
          <w:bCs/>
          <w:b/>
        </w:rPr>
        <w:t xml:space="preserve">Capabilities.</w:t>
      </w:r>
      <w:r>
        <w:t xml:space="preserve"> </w:t>
      </w:r>
      <w:r>
        <w:t xml:space="preserve">MIT multi-agent framework with two modes: Crews (autonomous role-based agents) and Flows (event-driven, stateful process definitions); commercial platform CrewAI AMP (earlier materials call it CrewAI Enterprise)</w:t>
      </w:r>
      <w:r>
        <w:t xml:space="preserve"> </w:t>
      </w:r>
      <w:r>
        <w:rPr>
          <w:rStyle w:val="ClaimLabel"/>
        </w:rPr>
        <w:t xml:space="preserve">VF</w:t>
      </w:r>
      <w:r>
        <w:rPr>
          <w:rStyle w:val="FootnoteReference"/>
        </w:rPr>
        <w:footnoteReference w:id="1175"/>
      </w:r>
      <w:r>
        <w:t xml:space="preserve">.</w:t>
      </w:r>
    </w:p>
    <w:p>
      <w:pPr>
        <w:pStyle w:val="BodyText"/>
      </w:pPr>
      <w:r>
        <w:rPr>
          <w:bCs/>
          <w:b/>
        </w:rPr>
        <w:t xml:space="preserve">Strengths</w:t>
      </w:r>
    </w:p>
    <w:p>
      <w:pPr>
        <w:numPr>
          <w:ilvl w:val="0"/>
          <w:numId w:val="1257"/>
        </w:numPr>
        <w:pStyle w:val="Compact"/>
      </w:pPr>
      <w:r>
        <w:t xml:space="preserve">Vendor itself recommends Flows as the outer process with Crews inside, which matches the H2 split</w:t>
      </w:r>
      <w:r>
        <w:t xml:space="preserve"> </w:t>
      </w:r>
      <w:r>
        <w:rPr>
          <w:rStyle w:val="ClaimLabel"/>
        </w:rPr>
        <w:t xml:space="preserve">VF</w:t>
      </w:r>
      <w:r>
        <w:rPr>
          <w:rStyle w:val="FootnoteReference"/>
        </w:rPr>
        <w:footnoteReference w:id="1177"/>
      </w:r>
      <w:r>
        <w:t xml:space="preserve"> </w:t>
      </w:r>
      <w:r>
        <w:rPr>
          <w:rStyle w:val="ClaimLabel"/>
        </w:rPr>
        <w:t xml:space="preserve">AJ</w:t>
      </w:r>
    </w:p>
    <w:p>
      <w:pPr>
        <w:numPr>
          <w:ilvl w:val="0"/>
          <w:numId w:val="1257"/>
        </w:numPr>
        <w:pStyle w:val="Compact"/>
      </w:pPr>
      <w:r>
        <w:t xml:space="preserve">AMP deploys to cloud, customer VPC or on-premises</w:t>
      </w:r>
      <w:r>
        <w:t xml:space="preserve"> </w:t>
      </w:r>
      <w:r>
        <w:rPr>
          <w:rStyle w:val="ClaimLabel"/>
        </w:rPr>
        <w:t xml:space="preserve">VF</w:t>
      </w:r>
      <w:r>
        <w:rPr>
          <w:rStyle w:val="FootnoteReference"/>
        </w:rPr>
        <w:footnoteReference w:id="1178"/>
      </w:r>
    </w:p>
    <w:p>
      <w:pPr>
        <w:pStyle w:val="FirstParagraph"/>
      </w:pPr>
      <w:r>
        <w:rPr>
          <w:bCs/>
          <w:b/>
        </w:rPr>
        <w:t xml:space="preserve">Limitations and risks</w:t>
      </w:r>
    </w:p>
    <w:p>
      <w:pPr>
        <w:numPr>
          <w:ilvl w:val="0"/>
          <w:numId w:val="1258"/>
        </w:numPr>
        <w:pStyle w:val="Compact"/>
      </w:pPr>
      <w:r>
        <w:t xml:space="preserve">Crew and Flow abstractions are CrewAI-specific</w:t>
      </w:r>
      <w:r>
        <w:t xml:space="preserve"> </w:t>
      </w:r>
      <w:r>
        <w:rPr>
          <w:rStyle w:val="ClaimLabel"/>
        </w:rPr>
        <w:t xml:space="preserve">AJ</w:t>
      </w:r>
    </w:p>
    <w:p>
      <w:pPr>
        <w:numPr>
          <w:ilvl w:val="0"/>
          <w:numId w:val="1258"/>
        </w:numPr>
        <w:pStyle w:val="Compact"/>
      </w:pPr>
      <w:r>
        <w:t xml:space="preserve">Durable execution and HITL not evidenced</w:t>
      </w:r>
      <w:r>
        <w:t xml:space="preserve"> </w:t>
      </w:r>
      <w:r>
        <w:rPr>
          <w:rStyle w:val="ClaimLabel"/>
        </w:rPr>
        <w:t xml:space="preserve">NPV</w:t>
      </w:r>
    </w:p>
    <w:p>
      <w:pPr>
        <w:numPr>
          <w:ilvl w:val="0"/>
          <w:numId w:val="1258"/>
        </w:numPr>
        <w:pStyle w:val="Compact"/>
      </w:pPr>
      <w:r>
        <w:t xml:space="preserve">Funding confirmed only to about US$20M</w:t>
      </w:r>
      <w:r>
        <w:t xml:space="preserve"> </w:t>
      </w:r>
      <w:r>
        <w:rPr>
          <w:rStyle w:val="ClaimLabel"/>
        </w:rPr>
        <w:t xml:space="preserve">VF</w:t>
      </w:r>
      <w:r>
        <w:rPr>
          <w:rStyle w:val="FootnoteReference"/>
        </w:rPr>
        <w:footnoteReference w:id="1179"/>
      </w:r>
    </w:p>
    <w:p>
      <w:pPr>
        <w:numPr>
          <w:ilvl w:val="0"/>
          <w:numId w:val="1258"/>
        </w:numPr>
        <w:pStyle w:val="Compact"/>
      </w:pPr>
      <w:r>
        <w:t xml:space="preserve">Multi-agent Crews multiply LLM calls per task</w:t>
      </w:r>
      <w:r>
        <w:t xml:space="preserve"> </w:t>
      </w:r>
      <w:r>
        <w:rPr>
          <w:rStyle w:val="ClaimLabel"/>
        </w:rPr>
        <w:t xml:space="preserve">AJ</w:t>
      </w:r>
    </w:p>
    <w:p>
      <w:pPr>
        <w:pStyle w:val="FirstParagraph"/>
      </w:pPr>
      <w:r>
        <w:rPr>
          <w:bCs/>
          <w:b/>
        </w:rPr>
        <w:t xml:space="preserve">Choose when</w:t>
      </w:r>
    </w:p>
    <w:p>
      <w:pPr>
        <w:numPr>
          <w:ilvl w:val="0"/>
          <w:numId w:val="1259"/>
        </w:numPr>
        <w:pStyle w:val="Compact"/>
      </w:pPr>
      <w:r>
        <w:t xml:space="preserve">Teams that want a packaged multi-agent platform with on-prem option</w:t>
      </w:r>
      <w:r>
        <w:t xml:space="preserve"> </w:t>
      </w:r>
      <w:r>
        <w:rPr>
          <w:rStyle w:val="ClaimLabel"/>
        </w:rPr>
        <w:t xml:space="preserve">AJ</w:t>
      </w:r>
    </w:p>
    <w:p>
      <w:pPr>
        <w:pStyle w:val="FirstParagraph"/>
      </w:pPr>
      <w:r>
        <w:rPr>
          <w:bCs/>
          <w:b/>
        </w:rPr>
        <w:t xml:space="preserve">Avoid when</w:t>
      </w:r>
    </w:p>
    <w:p>
      <w:pPr>
        <w:numPr>
          <w:ilvl w:val="0"/>
          <w:numId w:val="1260"/>
        </w:numPr>
        <w:pStyle w:val="Compact"/>
      </w:pPr>
      <w:r>
        <w:t xml:space="preserve">The task is deterministic and does not need multiple autonomous agents</w:t>
      </w:r>
      <w:r>
        <w:t xml:space="preserve"> </w:t>
      </w:r>
      <w:r>
        <w:rPr>
          <w:rStyle w:val="ClaimLabel"/>
        </w:rPr>
        <w:t xml:space="preserve">AJ</w:t>
      </w:r>
    </w:p>
    <w:p>
      <w:pPr>
        <w:pStyle w:val="FirstParagraph"/>
      </w:pPr>
      <w:r>
        <w:rPr>
          <w:bCs/>
          <w:b/>
        </w:rPr>
        <w:t xml:space="preserve">Nearest competitors:</w:t>
      </w:r>
      <w:r>
        <w:t xml:space="preserve"> </w:t>
      </w:r>
      <w:r>
        <w:t xml:space="preserve">L3-langgraph, L3-microsoft-agent-framework, L3-google-adk</w:t>
      </w:r>
    </w:p>
    <w:p>
      <w:pPr>
        <w:pStyle w:val="BodyText"/>
      </w:pPr>
      <w:r>
        <w:rPr>
          <w:bCs/>
          <w:b/>
        </w:rPr>
        <w:t xml:space="preserve">Regulated-FS note.</w:t>
      </w:r>
      <w:r>
        <w:t xml:space="preserve"> </w:t>
      </w:r>
      <w:r>
        <w:t xml:space="preserve">Use Flows for any regulated process and confine Crews to drafting or research sub-steps behind an approval gate</w:t>
      </w:r>
      <w:r>
        <w:t xml:space="preserve"> </w:t>
      </w:r>
      <w:r>
        <w:rPr>
          <w:rStyle w:val="ClaimLabel"/>
        </w:rPr>
        <w:t xml:space="preserve">Rec</w:t>
      </w:r>
      <w:r>
        <w:t xml:space="preserve">.</w:t>
      </w:r>
    </w:p>
    <w:p>
      <w:pPr>
        <w:pStyle w:val="BodyText"/>
      </w:pPr>
      <w:r>
        <w:rPr>
          <w:bCs/>
          <w:b/>
        </w:rPr>
        <w:t xml:space="preserve">Facts (as of 2026-10-08)</w:t>
      </w:r>
    </w:p>
    <w:tbl>
      <w:tblPr>
        <w:tblStyle w:val="Table"/>
        <w:tblW w:type="pct" w:w="5000"/>
        <w:tblLook w:firstRow="1" w:lastRow="0" w:firstColumn="0" w:lastColumn="0" w:noHBand="0" w:noVBand="0" w:val="0020"/>
        <w:jc w:val="start"/>
      </w:tblPr>
      <w:tblGrid>
        <w:gridCol w:w="1485"/>
        <w:gridCol w:w="4290"/>
        <w:gridCol w:w="1320"/>
        <w:gridCol w:w="825"/>
      </w:tblGrid>
      <w:tr>
        <w:trPr>
          <w:tblHeader w:val="true"/>
        </w:trPr>
        <w:tc>
          <w:tcPr/>
          <w:p>
            <w:pPr>
              <w:pStyle w:val="Compact"/>
              <w:jc w:val="left"/>
            </w:pPr>
            <w:r>
              <w:t xml:space="preserve">Field</w:t>
            </w:r>
          </w:p>
        </w:tc>
        <w:tc>
          <w:tcPr/>
          <w:p>
            <w:pPr>
              <w:pStyle w:val="Compact"/>
              <w:jc w:val="left"/>
            </w:pPr>
            <w:r>
              <w:t xml:space="preserve">Value</w:t>
            </w:r>
          </w:p>
        </w:tc>
        <w:tc>
          <w:tcPr/>
          <w:p>
            <w:pPr>
              <w:pStyle w:val="Compact"/>
              <w:jc w:val="left"/>
            </w:pPr>
            <w:r>
              <w:t xml:space="preserve">Label</w:t>
            </w:r>
          </w:p>
        </w:tc>
        <w:tc>
          <w:tcPr/>
          <w:p>
            <w:pPr>
              <w:pStyle w:val="Compact"/>
              <w:jc w:val="left"/>
            </w:pPr>
            <w:r>
              <w:t xml:space="preserve">Sources</w:t>
            </w:r>
          </w:p>
        </w:tc>
      </w:tr>
      <w:tr>
        <w:tc>
          <w:tcPr/>
          <w:p>
            <w:pPr>
              <w:pStyle w:val="Compact"/>
              <w:jc w:val="left"/>
            </w:pPr>
            <w:r>
              <w:t xml:space="preserve">Company</w:t>
            </w:r>
          </w:p>
        </w:tc>
        <w:tc>
          <w:tcPr/>
          <w:p>
            <w:pPr>
              <w:pStyle w:val="Compact"/>
              <w:jc w:val="left"/>
            </w:pPr>
            <w:r>
              <w:t xml:space="preserve">crewAI, Inc.</w:t>
            </w:r>
          </w:p>
        </w:tc>
        <w:tc>
          <w:tcPr/>
          <w:p>
            <w:pPr>
              <w:pStyle w:val="Compact"/>
              <w:jc w:val="left"/>
            </w:pPr>
            <w:r>
              <w:t xml:space="preserve">Verified fact</w:t>
            </w:r>
          </w:p>
        </w:tc>
        <w:tc>
          <w:tcPr/>
          <w:p>
            <w:pPr>
              <w:pStyle w:val="Compact"/>
              <w:jc w:val="left"/>
            </w:pPr>
            <w:r>
              <w:t xml:space="preserve">A4-S126</w:t>
            </w:r>
          </w:p>
        </w:tc>
      </w:tr>
      <w:tr>
        <w:tc>
          <w:tcPr/>
          <w:p>
            <w:pPr>
              <w:pStyle w:val="Compact"/>
              <w:jc w:val="left"/>
            </w:pPr>
            <w:r>
              <w:t xml:space="preserve">Category</w:t>
            </w:r>
          </w:p>
        </w:tc>
        <w:tc>
          <w:tcPr/>
          <w:p>
            <w:pPr>
              <w:pStyle w:val="Compact"/>
              <w:jc w:val="left"/>
            </w:pPr>
            <w:r>
              <w:t xml:space="preserve">Multi-agent orchestration framework (role-based Crews) with event-driven Flows, plus a commercial agent management platform</w:t>
            </w:r>
          </w:p>
        </w:tc>
        <w:tc>
          <w:tcPr/>
          <w:p>
            <w:pPr>
              <w:pStyle w:val="Compact"/>
              <w:jc w:val="left"/>
            </w:pPr>
            <w:r>
              <w:t xml:space="preserve">Verified fact</w:t>
            </w:r>
          </w:p>
        </w:tc>
        <w:tc>
          <w:tcPr/>
          <w:p>
            <w:pPr>
              <w:pStyle w:val="Compact"/>
              <w:jc w:val="left"/>
            </w:pPr>
            <w:r>
              <w:t xml:space="preserve">A4-S004, A4-S050</w:t>
            </w:r>
          </w:p>
        </w:tc>
      </w:tr>
      <w:tr>
        <w:tc>
          <w:tcPr/>
          <w:p>
            <w:pPr>
              <w:pStyle w:val="Compact"/>
              <w:jc w:val="left"/>
            </w:pPr>
            <w:r>
              <w:t xml:space="preserve">Version / lineup</w:t>
            </w:r>
          </w:p>
        </w:tc>
        <w:tc>
          <w:tcPr/>
          <w:p>
            <w:pPr>
              <w:pStyle w:val="Compact"/>
              <w:jc w:val="left"/>
            </w:pPr>
            <w:r>
              <w:t xml:space="preserve">crewai 1.15.24 (7 October 2026); 1.0.0 released 20 October 2025</w:t>
            </w:r>
          </w:p>
        </w:tc>
        <w:tc>
          <w:tcPr/>
          <w:p>
            <w:pPr>
              <w:pStyle w:val="Compact"/>
              <w:jc w:val="left"/>
            </w:pPr>
            <w:r>
              <w:t xml:space="preserve">Verified fact</w:t>
            </w:r>
          </w:p>
        </w:tc>
        <w:tc>
          <w:tcPr/>
          <w:p>
            <w:pPr>
              <w:pStyle w:val="Compact"/>
              <w:jc w:val="left"/>
            </w:pPr>
            <w:r>
              <w:t xml:space="preserve">A4-S004</w:t>
            </w:r>
          </w:p>
        </w:tc>
      </w:tr>
      <w:tr>
        <w:tc>
          <w:tcPr/>
          <w:p>
            <w:pPr>
              <w:pStyle w:val="Compact"/>
              <w:jc w:val="left"/>
            </w:pPr>
            <w:r>
              <w:t xml:space="preserve">Licence</w:t>
            </w:r>
          </w:p>
        </w:tc>
        <w:tc>
          <w:tcPr/>
          <w:p>
            <w:pPr>
              <w:pStyle w:val="Compact"/>
              <w:jc w:val="left"/>
            </w:pPr>
            <w:r>
              <w:t xml:space="preserve">Open source, MIT (framework); CrewAI AMP proprietary</w:t>
            </w:r>
          </w:p>
        </w:tc>
        <w:tc>
          <w:tcPr/>
          <w:p>
            <w:pPr>
              <w:pStyle w:val="Compact"/>
              <w:jc w:val="left"/>
            </w:pPr>
            <w:r>
              <w:t xml:space="preserve">Verified fact</w:t>
            </w:r>
          </w:p>
        </w:tc>
        <w:tc>
          <w:tcPr/>
          <w:p>
            <w:pPr>
              <w:pStyle w:val="Compact"/>
              <w:jc w:val="left"/>
            </w:pPr>
            <w:r>
              <w:t xml:space="preserve">A4-S004, A4-S126, A4-S047</w:t>
            </w:r>
          </w:p>
        </w:tc>
      </w:tr>
      <w:tr>
        <w:tc>
          <w:tcPr/>
          <w:p>
            <w:pPr>
              <w:pStyle w:val="Compact"/>
              <w:jc w:val="left"/>
            </w:pPr>
            <w:r>
              <w:t xml:space="preserve">Status events</w:t>
            </w:r>
          </w:p>
        </w:tc>
        <w:tc>
          <w:tcPr/>
          <w:p>
            <w:pPr>
              <w:pStyle w:val="Compact"/>
              <w:jc w:val="left"/>
            </w:pPr>
            <w:r>
              <w:t xml:space="preserve">20 October 2025: CrewAI 1.0.0; CrewAI AMP is the commercial platform; earlier materials call it CrewAI Enterprise (rename inferred from /enterprise/ doc paths and older naming; no explicit rename notice found; one blog used</w:t>
            </w:r>
            <w:r>
              <w:t xml:space="preserve"> </w:t>
            </w:r>
            <w:r>
              <w:t xml:space="preserve">‘</w:t>
            </w:r>
            <w:r>
              <w:t xml:space="preserve">AOP</w:t>
            </w:r>
            <w:r>
              <w:t xml:space="preserve">’</w:t>
            </w:r>
            <w:r>
              <w:t xml:space="preserve">)</w:t>
            </w:r>
          </w:p>
        </w:tc>
        <w:tc>
          <w:tcPr/>
          <w:p>
            <w:pPr>
              <w:pStyle w:val="Compact"/>
              <w:jc w:val="left"/>
            </w:pPr>
            <w:r>
              <w:t xml:space="preserve">Verified fact</w:t>
            </w:r>
          </w:p>
        </w:tc>
        <w:tc>
          <w:tcPr/>
          <w:p>
            <w:pPr>
              <w:pStyle w:val="Compact"/>
              <w:jc w:val="left"/>
            </w:pPr>
            <w:r>
              <w:t xml:space="preserve">A4-S004, A4-S049, V1-S075</w:t>
            </w:r>
          </w:p>
        </w:tc>
      </w:tr>
      <w:tr>
        <w:tc>
          <w:tcPr/>
          <w:p>
            <w:pPr>
              <w:pStyle w:val="Compact"/>
              <w:jc w:val="left"/>
            </w:pPr>
            <w:r>
              <w:t xml:space="preserve">Strategic direction</w:t>
            </w:r>
          </w:p>
        </w:tc>
        <w:tc>
          <w:tcPr/>
          <w:p>
            <w:pPr>
              <w:pStyle w:val="Compact"/>
              <w:jc w:val="left"/>
            </w:pPr>
            <w:r>
              <w:t xml:space="preserve">Vendor recommends Flows as the outer</w:t>
            </w:r>
            <w:r>
              <w:t xml:space="preserve"> </w:t>
            </w:r>
            <w:r>
              <w:t xml:space="preserve">‘</w:t>
            </w:r>
            <w:r>
              <w:t xml:space="preserve">process definition</w:t>
            </w:r>
            <w:r>
              <w:t xml:space="preserve">’</w:t>
            </w:r>
            <w:r>
              <w:t xml:space="preserve"> </w:t>
            </w:r>
            <w:r>
              <w:t xml:space="preserve">with Crews invoked inside for autonomous collaborative steps; AMP adds deployment, SSO/RBAC, PII redaction and policies</w:t>
            </w:r>
          </w:p>
        </w:tc>
        <w:tc>
          <w:tcPr/>
          <w:p>
            <w:pPr>
              <w:pStyle w:val="Compact"/>
              <w:jc w:val="left"/>
            </w:pPr>
            <w:r>
              <w:t xml:space="preserve">Verified fact</w:t>
            </w:r>
          </w:p>
        </w:tc>
        <w:tc>
          <w:tcPr/>
          <w:p>
            <w:pPr>
              <w:pStyle w:val="Compact"/>
              <w:jc w:val="left"/>
            </w:pPr>
            <w:r>
              <w:t xml:space="preserve">A4-S050, A4-S047</w:t>
            </w:r>
          </w:p>
        </w:tc>
      </w:tr>
      <w:tr>
        <w:tc>
          <w:tcPr/>
          <w:p>
            <w:pPr>
              <w:pStyle w:val="Compact"/>
              <w:jc w:val="left"/>
            </w:pPr>
            <w:r>
              <w:t xml:space="preserve">What it does</w:t>
            </w:r>
          </w:p>
        </w:tc>
        <w:tc>
          <w:tcPr/>
          <w:p>
            <w:pPr>
              <w:pStyle w:val="Compact"/>
              <w:jc w:val="left"/>
            </w:pPr>
            <w:r>
              <w:t xml:space="preserve">Crews: teams of role-playing agents that collaborate autonomously. Flows: event-driven, stateful process definitions (</w:t>
            </w:r>
            <w:r>
              <w:t xml:space="preserve">@start</w:t>
            </w:r>
            <w:r>
              <w:t xml:space="preserve">,</w:t>
            </w:r>
            <w:r>
              <w:t xml:space="preserve"> </w:t>
            </w:r>
            <w:r>
              <w:t xml:space="preserve">@listen</w:t>
            </w:r>
            <w:r>
              <w:t xml:space="preserve">,</w:t>
            </w:r>
            <w:r>
              <w:t xml:space="preserve"> </w:t>
            </w:r>
            <w:r>
              <w:t xml:space="preserve">@router</w:t>
            </w:r>
            <w:r>
              <w:t xml:space="preserve">, and_/or_) giving granular control; Flows can trigger Crews. AMP deploys and manages these in CrewAI cloud, customer VPC or on-premises.</w:t>
            </w:r>
          </w:p>
        </w:tc>
        <w:tc>
          <w:tcPr/>
          <w:p>
            <w:pPr>
              <w:pStyle w:val="Compact"/>
              <w:jc w:val="left"/>
            </w:pPr>
            <w:r>
              <w:t xml:space="preserve">Verified fact</w:t>
            </w:r>
          </w:p>
        </w:tc>
        <w:tc>
          <w:tcPr/>
          <w:p>
            <w:pPr>
              <w:pStyle w:val="Compact"/>
              <w:jc w:val="left"/>
            </w:pPr>
            <w:r>
              <w:t xml:space="preserve">A4-S004, A4-S050, A4-S049</w:t>
            </w:r>
          </w:p>
        </w:tc>
      </w:tr>
      <w:tr>
        <w:tc>
          <w:tcPr/>
          <w:p>
            <w:pPr>
              <w:pStyle w:val="Compact"/>
              <w:jc w:val="left"/>
            </w:pPr>
            <w:r>
              <w:t xml:space="preserve">Stack position</w:t>
            </w:r>
          </w:p>
        </w:tc>
        <w:tc>
          <w:tcPr/>
          <w:p>
            <w:pPr>
              <w:pStyle w:val="Compact"/>
              <w:jc w:val="left"/>
            </w:pPr>
            <w:r>
              <w:t xml:space="preserve">L3 multi-agent framework; AMP also acts as an agent runtime/management platform</w:t>
            </w:r>
          </w:p>
        </w:tc>
        <w:tc>
          <w:tcPr/>
          <w:p>
            <w:pPr>
              <w:pStyle w:val="Compact"/>
              <w:jc w:val="left"/>
            </w:pPr>
            <w:r>
              <w:t xml:space="preserve">Verified fact</w:t>
            </w:r>
          </w:p>
        </w:tc>
        <w:tc>
          <w:tcPr/>
          <w:p>
            <w:pPr>
              <w:pStyle w:val="Compact"/>
              <w:jc w:val="left"/>
            </w:pPr>
            <w:r>
              <w:t xml:space="preserve">A4-S049</w:t>
            </w:r>
          </w:p>
        </w:tc>
      </w:tr>
      <w:tr>
        <w:tc>
          <w:tcPr/>
          <w:p>
            <w:pPr>
              <w:pStyle w:val="Compact"/>
              <w:jc w:val="left"/>
            </w:pPr>
            <w:r>
              <w:t xml:space="preserve">Integration</w:t>
            </w:r>
          </w:p>
        </w:tc>
        <w:tc>
          <w:tcPr/>
          <w:p>
            <w:pPr>
              <w:pStyle w:val="Compact"/>
              <w:jc w:val="left"/>
            </w:pPr>
            <w:r>
              <w:t xml:space="preserve">Python library and CLI; crewai-tools package; AMP deployment</w:t>
            </w:r>
          </w:p>
        </w:tc>
        <w:tc>
          <w:tcPr/>
          <w:p>
            <w:pPr>
              <w:pStyle w:val="Compact"/>
              <w:jc w:val="left"/>
            </w:pPr>
            <w:r>
              <w:t xml:space="preserve">Verified fact</w:t>
            </w:r>
          </w:p>
        </w:tc>
        <w:tc>
          <w:tcPr/>
          <w:p>
            <w:pPr>
              <w:pStyle w:val="Compact"/>
              <w:jc w:val="left"/>
            </w:pPr>
            <w:r>
              <w:t xml:space="preserve">A4-S004, A4-S049</w:t>
            </w:r>
          </w:p>
        </w:tc>
      </w:tr>
      <w:tr>
        <w:tc>
          <w:tcPr/>
          <w:p>
            <w:pPr>
              <w:pStyle w:val="Compact"/>
              <w:jc w:val="left"/>
            </w:pPr>
            <w:r>
              <w:t xml:space="preserve">Dependencies</w:t>
            </w:r>
          </w:p>
        </w:tc>
        <w:tc>
          <w:tcPr/>
          <w:p>
            <w:pPr>
              <w:pStyle w:val="Compact"/>
              <w:jc w:val="left"/>
            </w:pPr>
            <w:r>
              <w:t xml:space="preserve">Python &gt;=3.10,&lt;3.14; standalone (not built on LangChain); LLM providers via integrations</w:t>
            </w:r>
          </w:p>
        </w:tc>
        <w:tc>
          <w:tcPr/>
          <w:p>
            <w:pPr>
              <w:pStyle w:val="Compact"/>
              <w:jc w:val="left"/>
            </w:pPr>
            <w:r>
              <w:t xml:space="preserve">Verified fact</w:t>
            </w:r>
          </w:p>
        </w:tc>
        <w:tc>
          <w:tcPr/>
          <w:p>
            <w:pPr>
              <w:pStyle w:val="Compact"/>
              <w:jc w:val="left"/>
            </w:pPr>
            <w:r>
              <w:t xml:space="preserve">A4-S004</w:t>
            </w:r>
          </w:p>
        </w:tc>
      </w:tr>
      <w:tr>
        <w:tc>
          <w:tcPr/>
          <w:p>
            <w:pPr>
              <w:pStyle w:val="Compact"/>
              <w:jc w:val="left"/>
            </w:pPr>
            <w:r>
              <w:t xml:space="preserve">Certifications</w:t>
            </w:r>
          </w:p>
        </w:tc>
        <w:tc>
          <w:tcPr/>
          <w:p>
            <w:pPr>
              <w:pStyle w:val="Compact"/>
              <w:jc w:val="left"/>
            </w:pPr>
            <w:r>
              <w:t xml:space="preserve">SOC 2 Type 2 (report dated June 2026 listed in trust centre); HIPAA audit report dated February 2026 listed (described as</w:t>
            </w:r>
            <w:r>
              <w:t xml:space="preserve"> </w:t>
            </w:r>
            <w:r>
              <w:t xml:space="preserve">‘</w:t>
            </w:r>
            <w:r>
              <w:t xml:space="preserve">Type 1</w:t>
            </w:r>
            <w:r>
              <w:t xml:space="preserve">’</w:t>
            </w:r>
            <w:r>
              <w:t xml:space="preserve">; scope/BAA not shown)</w:t>
            </w:r>
          </w:p>
        </w:tc>
        <w:tc>
          <w:tcPr/>
          <w:p>
            <w:pPr>
              <w:pStyle w:val="Compact"/>
              <w:jc w:val="left"/>
            </w:pPr>
            <w:r>
              <w:t xml:space="preserve">Verified fact</w:t>
            </w:r>
          </w:p>
        </w:tc>
        <w:tc>
          <w:tcPr/>
          <w:p>
            <w:pPr>
              <w:pStyle w:val="Compact"/>
              <w:jc w:val="left"/>
            </w:pPr>
            <w:r>
              <w:t xml:space="preserve">A4-S048</w:t>
            </w:r>
          </w:p>
        </w:tc>
      </w:tr>
      <w:tr>
        <w:tc>
          <w:tcPr/>
          <w:p>
            <w:pPr>
              <w:pStyle w:val="Compact"/>
              <w:jc w:val="left"/>
            </w:pPr>
            <w:r>
              <w:t xml:space="preserve">GDPR / residency</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Security features</w:t>
            </w:r>
          </w:p>
        </w:tc>
        <w:tc>
          <w:tcPr/>
          <w:p>
            <w:pPr>
              <w:pStyle w:val="Compact"/>
              <w:jc w:val="left"/>
            </w:pPr>
            <w:r>
              <w:t xml:space="preserve">Enterprise plan: PII redaction, policies, workload identity</w:t>
            </w:r>
          </w:p>
        </w:tc>
        <w:tc>
          <w:tcPr/>
          <w:p>
            <w:pPr>
              <w:pStyle w:val="Compact"/>
              <w:jc w:val="left"/>
            </w:pPr>
            <w:r>
              <w:t xml:space="preserve">Verified fact</w:t>
            </w:r>
          </w:p>
        </w:tc>
        <w:tc>
          <w:tcPr/>
          <w:p>
            <w:pPr>
              <w:pStyle w:val="Compact"/>
              <w:jc w:val="left"/>
            </w:pPr>
            <w:r>
              <w:t xml:space="preserve">A4-S047</w:t>
            </w:r>
          </w:p>
        </w:tc>
      </w:tr>
      <w:tr>
        <w:tc>
          <w:tcPr/>
          <w:p>
            <w:pPr>
              <w:pStyle w:val="Compact"/>
              <w:jc w:val="left"/>
            </w:pPr>
            <w:r>
              <w:t xml:space="preserve">Access controls</w:t>
            </w:r>
          </w:p>
        </w:tc>
        <w:tc>
          <w:tcPr/>
          <w:p>
            <w:pPr>
              <w:pStyle w:val="Compact"/>
              <w:jc w:val="left"/>
            </w:pPr>
            <w:r>
              <w:t xml:space="preserve">Enterprise plan: SSO, RBAC</w:t>
            </w:r>
          </w:p>
        </w:tc>
        <w:tc>
          <w:tcPr/>
          <w:p>
            <w:pPr>
              <w:pStyle w:val="Compact"/>
              <w:jc w:val="left"/>
            </w:pPr>
            <w:r>
              <w:t xml:space="preserve">Verified fact</w:t>
            </w:r>
          </w:p>
        </w:tc>
        <w:tc>
          <w:tcPr/>
          <w:p>
            <w:pPr>
              <w:pStyle w:val="Compact"/>
              <w:jc w:val="left"/>
            </w:pPr>
            <w:r>
              <w:t xml:space="preserve">A4-S047</w:t>
            </w:r>
          </w:p>
        </w:tc>
      </w:tr>
      <w:tr>
        <w:tc>
          <w:tcPr/>
          <w:p>
            <w:pPr>
              <w:pStyle w:val="Compact"/>
              <w:jc w:val="left"/>
            </w:pPr>
            <w:r>
              <w:t xml:space="preserve">Enterprise support</w:t>
            </w:r>
          </w:p>
        </w:tc>
        <w:tc>
          <w:tcPr/>
          <w:p>
            <w:pPr>
              <w:pStyle w:val="Compact"/>
              <w:jc w:val="left"/>
            </w:pPr>
            <w:r>
              <w:t xml:space="preserve">Enterprise plan with 45-day onboarding; forward-deployed engineering and training sold separately</w:t>
            </w:r>
          </w:p>
        </w:tc>
        <w:tc>
          <w:tcPr/>
          <w:p>
            <w:pPr>
              <w:pStyle w:val="Compact"/>
              <w:jc w:val="left"/>
            </w:pPr>
            <w:r>
              <w:t xml:space="preserve">Verified fact</w:t>
            </w:r>
          </w:p>
        </w:tc>
        <w:tc>
          <w:tcPr/>
          <w:p>
            <w:pPr>
              <w:pStyle w:val="Compact"/>
              <w:jc w:val="left"/>
            </w:pPr>
            <w:r>
              <w:t xml:space="preserve">A4-S047</w:t>
            </w:r>
          </w:p>
        </w:tc>
      </w:tr>
      <w:tr>
        <w:tc>
          <w:tcPr/>
          <w:p>
            <w:pPr>
              <w:pStyle w:val="Compact"/>
              <w:jc w:val="left"/>
            </w:pPr>
            <w:r>
              <w:t xml:space="preserve">Pricing</w:t>
            </w:r>
          </w:p>
        </w:tc>
        <w:tc>
          <w:tcPr/>
          <w:p>
            <w:pPr>
              <w:pStyle w:val="Compact"/>
              <w:jc w:val="left"/>
            </w:pPr>
            <w:r>
              <w:t xml:space="preserve">Free tier: 50 workflow executions/month; Enterprise custom-priced (pricing page metadata about a year old)</w:t>
            </w:r>
          </w:p>
        </w:tc>
        <w:tc>
          <w:tcPr/>
          <w:p>
            <w:pPr>
              <w:pStyle w:val="Compact"/>
              <w:jc w:val="left"/>
            </w:pPr>
            <w:r>
              <w:t xml:space="preserve">Verified fact</w:t>
            </w:r>
          </w:p>
        </w:tc>
        <w:tc>
          <w:tcPr/>
          <w:p>
            <w:pPr>
              <w:pStyle w:val="Compact"/>
              <w:jc w:val="left"/>
            </w:pPr>
            <w:r>
              <w:t xml:space="preserve">A4-S047</w:t>
            </w:r>
          </w:p>
        </w:tc>
      </w:tr>
      <w:tr>
        <w:tc>
          <w:tcPr/>
          <w:p>
            <w:pPr>
              <w:pStyle w:val="Compact"/>
              <w:jc w:val="left"/>
            </w:pPr>
            <w:r>
              <w:t xml:space="preserve">Infrastructure cost</w:t>
            </w:r>
          </w:p>
        </w:tc>
        <w:tc>
          <w:tcPr/>
          <w:p>
            <w:pPr>
              <w:pStyle w:val="Compact"/>
              <w:jc w:val="left"/>
            </w:pPr>
            <w:r>
              <w:t xml:space="preserve">Multi-agent Crews multiply LLM calls per task; token cost dominates</w:t>
            </w:r>
          </w:p>
        </w:tc>
        <w:tc>
          <w:tcPr/>
          <w:p>
            <w:pPr>
              <w:pStyle w:val="Compact"/>
              <w:jc w:val="left"/>
            </w:pPr>
            <w:r>
              <w:t xml:space="preserve">Architectural judgement</w:t>
            </w:r>
          </w:p>
        </w:tc>
        <w:tc>
          <w:tcPr/>
          <w:p>
            <w:pPr>
              <w:pStyle w:val="Compact"/>
            </w:pPr>
          </w:p>
        </w:tc>
      </w:tr>
      <w:tr>
        <w:tc>
          <w:tcPr/>
          <w:p>
            <w:pPr>
              <w:pStyle w:val="Compact"/>
              <w:jc w:val="left"/>
            </w:pPr>
            <w:r>
              <w:t xml:space="preserve">Ecosystem</w:t>
            </w:r>
          </w:p>
        </w:tc>
        <w:tc>
          <w:tcPr/>
          <w:p>
            <w:pPr>
              <w:pStyle w:val="Compact"/>
              <w:jc w:val="left"/>
            </w:pPr>
            <w:r>
              <w:t xml:space="preserve">crewai-tools; AMP; HPE on-prem partnership</w:t>
            </w:r>
          </w:p>
        </w:tc>
        <w:tc>
          <w:tcPr/>
          <w:p>
            <w:pPr>
              <w:pStyle w:val="Compact"/>
              <w:jc w:val="left"/>
            </w:pPr>
            <w:r>
              <w:t xml:space="preserve">Verified fact</w:t>
            </w:r>
          </w:p>
        </w:tc>
        <w:tc>
          <w:tcPr/>
          <w:p>
            <w:pPr>
              <w:pStyle w:val="Compact"/>
              <w:jc w:val="left"/>
            </w:pPr>
            <w:r>
              <w:t xml:space="preserve">A4-S004, A4-S049</w:t>
            </w:r>
          </w:p>
        </w:tc>
      </w:tr>
      <w:tr>
        <w:tc>
          <w:tcPr/>
          <w:p>
            <w:pPr>
              <w:pStyle w:val="Compact"/>
              <w:jc w:val="left"/>
            </w:pPr>
            <w:r>
              <w:t xml:space="preserve">Adoption signals</w:t>
            </w:r>
          </w:p>
        </w:tc>
        <w:tc>
          <w:tcPr/>
          <w:p>
            <w:pPr>
              <w:pStyle w:val="Compact"/>
              <w:jc w:val="left"/>
            </w:pPr>
            <w:r>
              <w:t xml:space="preserve">Vendor and TechCrunch (Oct 2024): US$18M seed+Series A (Boldstart, Craft, Earl Grey, Insight Partners); CrewAI 2025 blog: ~US$20M raised. A ~US$20M Series B (15 April 2026) appears only in PitchBook/Forge; no vendor or major-outlet announcement found</w:t>
            </w:r>
          </w:p>
        </w:tc>
        <w:tc>
          <w:tcPr/>
          <w:p>
            <w:pPr>
              <w:pStyle w:val="Compact"/>
              <w:jc w:val="left"/>
            </w:pPr>
            <w:r>
              <w:t xml:space="preserve">Verified fact</w:t>
            </w:r>
          </w:p>
        </w:tc>
        <w:tc>
          <w:tcPr/>
          <w:p>
            <w:pPr>
              <w:pStyle w:val="Compact"/>
              <w:jc w:val="left"/>
            </w:pPr>
            <w:r>
              <w:t xml:space="preserve">A4-S148, A4-S051</w:t>
            </w:r>
          </w:p>
        </w:tc>
      </w:tr>
      <w:tr>
        <w:tc>
          <w:tcPr/>
          <w:p>
            <w:pPr>
              <w:pStyle w:val="Compact"/>
              <w:jc w:val="left"/>
            </w:pPr>
            <w:r>
              <w:t xml:space="preserve">Maturity</w:t>
            </w:r>
          </w:p>
        </w:tc>
        <w:tc>
          <w:tcPr/>
          <w:p>
            <w:pPr>
              <w:pStyle w:val="Compact"/>
              <w:jc w:val="left"/>
            </w:pPr>
            <w:r>
              <w:t xml:space="preserve">First release November 2023; 1.0 in October 2025; very high release frequency (461 PyPI releases incl. nightly dev builds)</w:t>
            </w:r>
          </w:p>
        </w:tc>
        <w:tc>
          <w:tcPr/>
          <w:p>
            <w:pPr>
              <w:pStyle w:val="Compact"/>
              <w:jc w:val="left"/>
            </w:pPr>
            <w:r>
              <w:t xml:space="preserve">Verified fact</w:t>
            </w:r>
          </w:p>
        </w:tc>
        <w:tc>
          <w:tcPr/>
          <w:p>
            <w:pPr>
              <w:pStyle w:val="Compact"/>
              <w:jc w:val="left"/>
            </w:pPr>
            <w:r>
              <w:t xml:space="preserve">A4-S004</w:t>
            </w:r>
          </w:p>
        </w:tc>
      </w:tr>
      <w:tr>
        <w:tc>
          <w:tcPr/>
          <w:p>
            <w:pPr>
              <w:pStyle w:val="Compact"/>
              <w:jc w:val="left"/>
            </w:pPr>
            <w:r>
              <w:t xml:space="preserve">Deployment</w:t>
            </w:r>
          </w:p>
        </w:tc>
        <w:tc>
          <w:tcPr/>
          <w:p>
            <w:pPr>
              <w:pStyle w:val="Compact"/>
              <w:jc w:val="left"/>
            </w:pPr>
            <w:r>
              <w:t xml:space="preserve">saas: Yes (CrewAI cloud); managed_cloud: Yes; vpc_byoc: Yes (customer VPC on AWS, Azure or GCP); private_cloud: Yes (private VPC); self_hosted: Yes (OSS framework); on_prem: Yes (AMP on customer infrastructure; HPE pre-installed hardware offer)</w:t>
            </w:r>
          </w:p>
        </w:tc>
        <w:tc>
          <w:tcPr/>
          <w:p>
            <w:pPr>
              <w:pStyle w:val="Compact"/>
            </w:pPr>
          </w:p>
        </w:tc>
        <w:tc>
          <w:tcPr/>
          <w:p>
            <w:pPr>
              <w:pStyle w:val="Compact"/>
            </w:pPr>
          </w:p>
        </w:tc>
      </w:tr>
    </w:tbl>
    <w:bookmarkEnd w:id="1181"/>
    <w:bookmarkStart w:id="1198" w:name="X3ed7ba43cd320d2db75f42cd6402f98530de8b4"/>
    <w:p>
      <w:pPr>
        <w:pStyle w:val="Heading2"/>
      </w:pPr>
      <w:r>
        <w:t xml:space="preserve">LlamaIndex (open-source framework, incl. Workflows); commercial platform now named LlamaParse (formerly LlamaCloud), which includes LlamaAgents (</w:t>
      </w:r>
      <w:r>
        <w:rPr>
          <w:rStyle w:val="VerbatimChar"/>
        </w:rPr>
        <w:t xml:space="preserve">L3-llamaindex</w:t>
      </w:r>
      <w:r>
        <w:t xml:space="preserve">)</w:t>
      </w:r>
    </w:p>
    <w:p>
      <w:pPr>
        <w:pStyle w:val="FirstParagraph"/>
      </w:pPr>
      <w:r>
        <w:rPr>
          <w:bCs/>
          <w:b/>
        </w:rPr>
        <w:t xml:space="preserve">Tier:</w:t>
      </w:r>
      <w:r>
        <w:t xml:space="preserve"> </w:t>
      </w:r>
      <w:r>
        <w:t xml:space="preserve">Tactical ·</w:t>
      </w:r>
      <w:r>
        <w:t xml:space="preserve"> </w:t>
      </w:r>
      <w:r>
        <w:rPr>
          <w:bCs/>
          <w:b/>
        </w:rPr>
        <w:t xml:space="preserve">Flags:</w:t>
      </w:r>
      <w:r>
        <w:t xml:space="preserve"> </w:t>
      </w:r>
      <w:r>
        <w:t xml:space="preserve">Renamed ·</w:t>
      </w:r>
      <w:r>
        <w:t xml:space="preserve"> </w:t>
      </w:r>
      <w:r>
        <w:rPr>
          <w:bCs/>
          <w:b/>
        </w:rPr>
        <w:t xml:space="preserve">Original graphic label:</w:t>
      </w:r>
      <w:r>
        <w:t xml:space="preserve"> </w:t>
      </w:r>
      <w:r>
        <w:t xml:space="preserve">LlamaIndex – document agents</w:t>
      </w:r>
    </w:p>
    <w:p>
      <w:pPr>
        <w:pStyle w:val="BodyText"/>
      </w:pPr>
      <w:r>
        <w:rPr>
          <w:iCs/>
          <w:i/>
        </w:rPr>
        <w:t xml:space="preserve">Rationale:</w:t>
      </w:r>
      <w:r>
        <w:t xml:space="preserve"> </w:t>
      </w:r>
      <w:r>
        <w:t xml:space="preserve">Capable but 0.x and no longer the vendor’s focus; Renamed refers to LlamaCloud -&gt; LlamaParse.</w:t>
      </w:r>
    </w:p>
    <w:tbl>
      <w:tblPr>
        <w:tblStyle w:val="Table"/>
        <w:tblW w:type="pct" w:w="5000"/>
        <w:tblLook w:firstRow="1" w:lastRow="0" w:firstColumn="0" w:lastColumn="0" w:noHBand="0" w:noVBand="0" w:val="0020"/>
        <w:jc w:val="start"/>
      </w:tblPr>
      <w:tblGrid>
        <w:gridCol w:w="1545"/>
        <w:gridCol w:w="579"/>
        <w:gridCol w:w="5795"/>
      </w:tblGrid>
      <w:tr>
        <w:trPr>
          <w:tblHeader w:val="true"/>
        </w:trPr>
        <w:tc>
          <w:tcPr/>
          <w:p>
            <w:pPr>
              <w:pStyle w:val="Compact"/>
              <w:jc w:val="left"/>
            </w:pPr>
            <w:r>
              <w:t xml:space="preserve">Criterion</w:t>
            </w:r>
          </w:p>
        </w:tc>
        <w:tc>
          <w:tcPr/>
          <w:p>
            <w:pPr>
              <w:pStyle w:val="Compact"/>
              <w:jc w:val="right"/>
            </w:pPr>
            <w:r>
              <w:t xml:space="preserve">Score</w:t>
            </w:r>
          </w:p>
        </w:tc>
        <w:tc>
          <w:tcPr/>
          <w:p>
            <w:pPr>
              <w:pStyle w:val="Compact"/>
              <w:jc w:val="left"/>
            </w:pPr>
            <w:r>
              <w:t xml:space="preserve">Rationale</w:t>
            </w:r>
          </w:p>
        </w:tc>
      </w:tr>
      <w:tr>
        <w:tc>
          <w:tcPr/>
          <w:p>
            <w:pPr>
              <w:pStyle w:val="Compact"/>
              <w:jc w:val="left"/>
            </w:pPr>
            <w:r>
              <w:t xml:space="preserve">Technical</w:t>
            </w:r>
          </w:p>
        </w:tc>
        <w:tc>
          <w:tcPr/>
          <w:p>
            <w:pPr>
              <w:pStyle w:val="Compact"/>
              <w:jc w:val="right"/>
            </w:pPr>
            <w:r>
              <w:t xml:space="preserve">3</w:t>
            </w:r>
          </w:p>
        </w:tc>
        <w:tc>
          <w:tcPr/>
          <w:p>
            <w:pPr>
              <w:pStyle w:val="Compact"/>
              <w:jc w:val="left"/>
            </w:pPr>
            <w:r>
              <w:t xml:space="preserve">Workflows plus agents and RAG; HITL and durability not evidenced</w:t>
            </w:r>
            <w:r>
              <w:t xml:space="preserve"> </w:t>
            </w:r>
            <w:r>
              <w:rPr>
                <w:rStyle w:val="ClaimLabel"/>
              </w:rPr>
              <w:t xml:space="preserve">VF</w:t>
            </w:r>
            <w:r>
              <w:rPr>
                <w:rStyle w:val="FootnoteReference"/>
              </w:rPr>
              <w:footnoteReference w:id="1182"/>
            </w:r>
            <w:r>
              <w:t xml:space="preserve"> </w:t>
            </w:r>
            <w:r>
              <w:rPr>
                <w:rStyle w:val="ClaimLabel"/>
              </w:rPr>
              <w:t xml:space="preserve">NPV</w:t>
            </w:r>
          </w:p>
        </w:tc>
      </w:tr>
      <w:tr>
        <w:tc>
          <w:tcPr/>
          <w:p>
            <w:pPr>
              <w:pStyle w:val="Compact"/>
              <w:jc w:val="left"/>
            </w:pPr>
            <w:r>
              <w:t xml:space="preserve">Enterprise readiness</w:t>
            </w:r>
          </w:p>
        </w:tc>
        <w:tc>
          <w:tcPr/>
          <w:p>
            <w:pPr>
              <w:pStyle w:val="Compact"/>
              <w:jc w:val="right"/>
            </w:pPr>
            <w:r>
              <w:t xml:space="preserve">3</w:t>
            </w:r>
          </w:p>
        </w:tc>
        <w:tc>
          <w:tcPr/>
          <w:p>
            <w:pPr>
              <w:pStyle w:val="Compact"/>
              <w:jc w:val="left"/>
            </w:pPr>
            <w:r>
              <w:t xml:space="preserve">Library (rule 2); LlamaParse Enterprise SSO is one verified control</w:t>
            </w:r>
            <w:r>
              <w:t xml:space="preserve"> </w:t>
            </w:r>
            <w:r>
              <w:rPr>
                <w:rStyle w:val="ClaimLabel"/>
              </w:rPr>
              <w:t xml:space="preserve">VF</w:t>
            </w:r>
            <w:r>
              <w:rPr>
                <w:rStyle w:val="FootnoteReference"/>
              </w:rPr>
              <w:footnoteReference w:id="1184"/>
            </w:r>
          </w:p>
        </w:tc>
      </w:tr>
      <w:tr>
        <w:tc>
          <w:tcPr/>
          <w:p>
            <w:pPr>
              <w:pStyle w:val="Compact"/>
              <w:jc w:val="left"/>
            </w:pPr>
            <w:r>
              <w:t xml:space="preserve">Security and compliance</w:t>
            </w:r>
          </w:p>
        </w:tc>
        <w:tc>
          <w:tcPr/>
          <w:p>
            <w:pPr>
              <w:pStyle w:val="Compact"/>
              <w:jc w:val="right"/>
            </w:pPr>
            <w:r>
              <w:t xml:space="preserve">3</w:t>
            </w:r>
          </w:p>
        </w:tc>
        <w:tc>
          <w:tcPr/>
          <w:p>
            <w:pPr>
              <w:pStyle w:val="Compact"/>
              <w:jc w:val="left"/>
            </w:pPr>
            <w:r>
              <w:t xml:space="preserve">Library hygiene not assessed; LlamaParse SOC 2 Type II and HIPAA BAA</w:t>
            </w:r>
            <w:r>
              <w:t xml:space="preserve"> </w:t>
            </w:r>
            <w:r>
              <w:rPr>
                <w:rStyle w:val="ClaimLabel"/>
              </w:rPr>
              <w:t xml:space="preserve">VF</w:t>
            </w:r>
            <w:r>
              <w:rPr>
                <w:rStyle w:val="FootnoteReference"/>
              </w:rPr>
              <w:footnoteReference w:id="1185"/>
            </w:r>
          </w:p>
        </w:tc>
      </w:tr>
      <w:tr>
        <w:tc>
          <w:tcPr/>
          <w:p>
            <w:pPr>
              <w:pStyle w:val="Compact"/>
              <w:jc w:val="left"/>
            </w:pPr>
            <w:r>
              <w:t xml:space="preserve">Deployment flexibility</w:t>
            </w:r>
          </w:p>
        </w:tc>
        <w:tc>
          <w:tcPr/>
          <w:p>
            <w:pPr>
              <w:pStyle w:val="Compact"/>
              <w:jc w:val="right"/>
            </w:pPr>
            <w:r>
              <w:t xml:space="preserve">4</w:t>
            </w:r>
          </w:p>
        </w:tc>
        <w:tc>
          <w:tcPr/>
          <w:p>
            <w:pPr>
              <w:pStyle w:val="Compact"/>
              <w:jc w:val="left"/>
            </w:pPr>
            <w:r>
              <w:t xml:space="preserve">Library anywhere; LlamaAgents managed or bring-your-own infrastructure</w:t>
            </w:r>
            <w:r>
              <w:t xml:space="preserve"> </w:t>
            </w:r>
            <w:r>
              <w:rPr>
                <w:rStyle w:val="ClaimLabel"/>
              </w:rPr>
              <w:t xml:space="preserve">VF</w:t>
            </w:r>
            <w:r>
              <w:rPr>
                <w:rStyle w:val="FootnoteReference"/>
              </w:rPr>
              <w:footnoteReference w:id="1186"/>
            </w:r>
          </w:p>
        </w:tc>
      </w:tr>
      <w:tr>
        <w:tc>
          <w:tcPr/>
          <w:p>
            <w:pPr>
              <w:pStyle w:val="Compact"/>
              <w:jc w:val="left"/>
            </w:pPr>
            <w:r>
              <w:t xml:space="preserve">Ecosystem</w:t>
            </w:r>
          </w:p>
        </w:tc>
        <w:tc>
          <w:tcPr/>
          <w:p>
            <w:pPr>
              <w:pStyle w:val="Compact"/>
              <w:jc w:val="right"/>
            </w:pPr>
            <w:r>
              <w:t xml:space="preserve">4</w:t>
            </w:r>
          </w:p>
        </w:tc>
        <w:tc>
          <w:tcPr/>
          <w:p>
            <w:pPr>
              <w:pStyle w:val="Compact"/>
              <w:jc w:val="left"/>
            </w:pPr>
            <w:r>
              <w:t xml:space="preserve">Broad LLM and vector-store integrations</w:t>
            </w:r>
            <w:r>
              <w:t xml:space="preserve"> </w:t>
            </w:r>
            <w:r>
              <w:rPr>
                <w:rStyle w:val="ClaimLabel"/>
              </w:rPr>
              <w:t xml:space="preserve">VF</w:t>
            </w:r>
            <w:r>
              <w:rPr>
                <w:rStyle w:val="FootnoteReference"/>
              </w:rPr>
              <w:footnoteReference w:id="1188"/>
            </w:r>
          </w:p>
        </w:tc>
      </w:tr>
      <w:tr>
        <w:tc>
          <w:tcPr/>
          <w:p>
            <w:pPr>
              <w:pStyle w:val="Compact"/>
              <w:jc w:val="left"/>
            </w:pPr>
            <w:r>
              <w:t xml:space="preserve">Reliability and maturity</w:t>
            </w:r>
          </w:p>
        </w:tc>
        <w:tc>
          <w:tcPr/>
          <w:p>
            <w:pPr>
              <w:pStyle w:val="Compact"/>
              <w:jc w:val="right"/>
            </w:pPr>
            <w:r>
              <w:t xml:space="preserve">2</w:t>
            </w:r>
          </w:p>
        </w:tc>
        <w:tc>
          <w:tcPr/>
          <w:p>
            <w:pPr>
              <w:pStyle w:val="Compact"/>
              <w:jc w:val="left"/>
            </w:pPr>
            <w:r>
              <w:t xml:space="preserve">0.x versioning after three years; vendor focus moved to LlamaParse</w:t>
            </w:r>
            <w:r>
              <w:t xml:space="preserve"> </w:t>
            </w:r>
            <w:r>
              <w:rPr>
                <w:rStyle w:val="ClaimLabel"/>
              </w:rPr>
              <w:t xml:space="preserve">VF</w:t>
            </w:r>
            <w:r>
              <w:rPr>
                <w:rStyle w:val="FootnoteReference"/>
              </w:rPr>
              <w:footnoteReference w:id="1189"/>
            </w:r>
          </w:p>
        </w:tc>
      </w:tr>
      <w:tr>
        <w:tc>
          <w:tcPr/>
          <w:p>
            <w:pPr>
              <w:pStyle w:val="Compact"/>
              <w:jc w:val="left"/>
            </w:pPr>
            <w:r>
              <w:t xml:space="preserve">Cost / TCO</w:t>
            </w:r>
          </w:p>
        </w:tc>
        <w:tc>
          <w:tcPr/>
          <w:p>
            <w:pPr>
              <w:pStyle w:val="Compact"/>
              <w:jc w:val="right"/>
            </w:pPr>
            <w:r>
              <w:t xml:space="preserve">4</w:t>
            </w:r>
          </w:p>
        </w:tc>
        <w:tc>
          <w:tcPr/>
          <w:p>
            <w:pPr>
              <w:pStyle w:val="Compact"/>
              <w:jc w:val="left"/>
            </w:pPr>
            <w:r>
              <w:t xml:space="preserve">Framework free (MIT)</w:t>
            </w:r>
            <w:r>
              <w:t xml:space="preserve"> </w:t>
            </w:r>
            <w:r>
              <w:rPr>
                <w:rStyle w:val="ClaimLabel"/>
              </w:rPr>
              <w:t xml:space="preserve">VF</w:t>
            </w:r>
            <w:r>
              <w:rPr>
                <w:rStyle w:val="FootnoteReference"/>
              </w:rPr>
              <w:footnoteReference w:id="1191"/>
            </w:r>
          </w:p>
        </w:tc>
      </w:tr>
      <w:tr>
        <w:tc>
          <w:tcPr/>
          <w:p>
            <w:pPr>
              <w:pStyle w:val="Compact"/>
              <w:jc w:val="left"/>
            </w:pPr>
            <w:r>
              <w:t xml:space="preserve">Lock-in / portability</w:t>
            </w:r>
          </w:p>
        </w:tc>
        <w:tc>
          <w:tcPr/>
          <w:p>
            <w:pPr>
              <w:pStyle w:val="Compact"/>
              <w:jc w:val="right"/>
            </w:pPr>
            <w:r>
              <w:t xml:space="preserve">3</w:t>
            </w:r>
          </w:p>
        </w:tc>
        <w:tc>
          <w:tcPr/>
          <w:p>
            <w:pPr>
              <w:pStyle w:val="Compact"/>
              <w:jc w:val="left"/>
            </w:pPr>
            <w:r>
              <w:t xml:space="preserve">MIT but Workflows API is LlamaIndex-specific</w:t>
            </w:r>
            <w:r>
              <w:t xml:space="preserve"> </w:t>
            </w:r>
            <w:r>
              <w:rPr>
                <w:rStyle w:val="ClaimLabel"/>
              </w:rPr>
              <w:t xml:space="preserve">VF</w:t>
            </w:r>
            <w:r>
              <w:rPr>
                <w:rStyle w:val="FootnoteReference"/>
              </w:rPr>
              <w:footnoteReference w:id="1192"/>
            </w:r>
          </w:p>
        </w:tc>
      </w:tr>
      <w:tr>
        <w:tc>
          <w:tcPr/>
          <w:p>
            <w:pPr>
              <w:pStyle w:val="Compact"/>
              <w:jc w:val="left"/>
            </w:pPr>
            <w:r>
              <w:rPr>
                <w:bCs/>
                <w:b/>
              </w:rPr>
              <w:t xml:space="preserve">Total (generic / FS)</w:t>
            </w:r>
          </w:p>
        </w:tc>
        <w:tc>
          <w:tcPr/>
          <w:p>
            <w:pPr>
              <w:pStyle w:val="Compact"/>
              <w:jc w:val="right"/>
            </w:pPr>
            <w:r>
              <w:rPr>
                <w:bCs/>
                <w:b/>
              </w:rPr>
              <w:t xml:space="preserve">3.25 / 3.15</w:t>
            </w:r>
          </w:p>
        </w:tc>
        <w:tc>
          <w:tcPr/>
          <w:p>
            <w:pPr>
              <w:pStyle w:val="Compact"/>
            </w:pPr>
          </w:p>
        </w:tc>
      </w:tr>
    </w:tbl>
    <w:p>
      <w:pPr>
        <w:pStyle w:val="BodyText"/>
      </w:pPr>
      <w:r>
        <w:rPr>
          <w:bCs/>
          <w:b/>
        </w:rPr>
        <w:t xml:space="preserve">Capabilities.</w:t>
      </w:r>
      <w:r>
        <w:t xml:space="preserve"> </w:t>
      </w:r>
      <w:r>
        <w:t xml:space="preserve">MIT framework for RAG and agentic applications with Workflows, an event-driven, step-based engine with typed state and OpenTelemetry instrumentation; LlamaAgents deploys document agents on the proprietary LlamaParse platform (formerly LlamaCloud)</w:t>
      </w:r>
      <w:r>
        <w:t xml:space="preserve"> </w:t>
      </w:r>
      <w:r>
        <w:rPr>
          <w:rStyle w:val="ClaimLabel"/>
        </w:rPr>
        <w:t xml:space="preserve">VF</w:t>
      </w:r>
      <w:r>
        <w:rPr>
          <w:rStyle w:val="FootnoteReference"/>
        </w:rPr>
        <w:footnoteReference w:id="1193"/>
      </w:r>
      <w:r>
        <w:t xml:space="preserve">.</w:t>
      </w:r>
    </w:p>
    <w:p>
      <w:pPr>
        <w:pStyle w:val="BodyText"/>
      </w:pPr>
      <w:r>
        <w:rPr>
          <w:bCs/>
          <w:b/>
        </w:rPr>
        <w:t xml:space="preserve">Strengths</w:t>
      </w:r>
    </w:p>
    <w:p>
      <w:pPr>
        <w:numPr>
          <w:ilvl w:val="0"/>
          <w:numId w:val="1261"/>
        </w:numPr>
        <w:pStyle w:val="Compact"/>
      </w:pPr>
      <w:r>
        <w:t xml:space="preserve">Workflows is a clean deterministic step engine usable outside the LlamaIndex ecosystem</w:t>
      </w:r>
      <w:r>
        <w:t xml:space="preserve"> </w:t>
      </w:r>
      <w:r>
        <w:rPr>
          <w:rStyle w:val="ClaimLabel"/>
        </w:rPr>
        <w:t xml:space="preserve">VF</w:t>
      </w:r>
      <w:r>
        <w:rPr>
          <w:rStyle w:val="FootnoteReference"/>
        </w:rPr>
        <w:footnoteReference w:id="1194"/>
      </w:r>
      <w:r>
        <w:t xml:space="preserve"> </w:t>
      </w:r>
      <w:r>
        <w:rPr>
          <w:rStyle w:val="ClaimLabel"/>
        </w:rPr>
        <w:t xml:space="preserve">AJ</w:t>
      </w:r>
    </w:p>
    <w:p>
      <w:pPr>
        <w:numPr>
          <w:ilvl w:val="0"/>
          <w:numId w:val="1261"/>
        </w:numPr>
        <w:pStyle w:val="Compact"/>
      </w:pPr>
      <w:r>
        <w:t xml:space="preserve">Large integration catalogue for retrieval</w:t>
      </w:r>
      <w:r>
        <w:t xml:space="preserve"> </w:t>
      </w:r>
      <w:r>
        <w:rPr>
          <w:rStyle w:val="ClaimLabel"/>
        </w:rPr>
        <w:t xml:space="preserve">VF</w:t>
      </w:r>
      <w:r>
        <w:rPr>
          <w:rStyle w:val="FootnoteReference"/>
        </w:rPr>
        <w:footnoteReference w:id="1195"/>
      </w:r>
    </w:p>
    <w:p>
      <w:pPr>
        <w:pStyle w:val="FirstParagraph"/>
      </w:pPr>
      <w:r>
        <w:rPr>
          <w:bCs/>
          <w:b/>
        </w:rPr>
        <w:t xml:space="preserve">Limitations and risks</w:t>
      </w:r>
    </w:p>
    <w:p>
      <w:pPr>
        <w:numPr>
          <w:ilvl w:val="0"/>
          <w:numId w:val="1262"/>
        </w:numPr>
        <w:pStyle w:val="Compact"/>
      </w:pPr>
      <w:r>
        <w:t xml:space="preserve">Vendor says its primary focus has shifted to LlamaParse</w:t>
      </w:r>
      <w:r>
        <w:t xml:space="preserve"> </w:t>
      </w:r>
      <w:r>
        <w:rPr>
          <w:rStyle w:val="ClaimLabel"/>
        </w:rPr>
        <w:t xml:space="preserve">VF</w:t>
      </w:r>
      <w:r>
        <w:rPr>
          <w:rStyle w:val="FootnoteReference"/>
        </w:rPr>
        <w:footnoteReference w:id="1196"/>
      </w:r>
    </w:p>
    <w:p>
      <w:pPr>
        <w:numPr>
          <w:ilvl w:val="0"/>
          <w:numId w:val="1262"/>
        </w:numPr>
        <w:pStyle w:val="Compact"/>
      </w:pPr>
      <w:r>
        <w:t xml:space="preserve">Framework still 0.x after three years</w:t>
      </w:r>
      <w:r>
        <w:t xml:space="preserve"> </w:t>
      </w:r>
      <w:r>
        <w:rPr>
          <w:rStyle w:val="ClaimLabel"/>
        </w:rPr>
        <w:t xml:space="preserve">VF</w:t>
      </w:r>
      <w:r>
        <w:rPr>
          <w:rStyle w:val="FootnoteReference"/>
        </w:rPr>
        <w:footnoteReference w:id="1197"/>
      </w:r>
    </w:p>
    <w:p>
      <w:pPr>
        <w:numPr>
          <w:ilvl w:val="0"/>
          <w:numId w:val="1262"/>
        </w:numPr>
        <w:pStyle w:val="Compact"/>
      </w:pPr>
      <w:r>
        <w:t xml:space="preserve">Human-in-the-loop and durable execution not evidenced in the fact base</w:t>
      </w:r>
      <w:r>
        <w:t xml:space="preserve"> </w:t>
      </w:r>
      <w:r>
        <w:rPr>
          <w:rStyle w:val="ClaimLabel"/>
        </w:rPr>
        <w:t xml:space="preserve">NPV</w:t>
      </w:r>
    </w:p>
    <w:p>
      <w:pPr>
        <w:pStyle w:val="FirstParagraph"/>
      </w:pPr>
      <w:r>
        <w:rPr>
          <w:bCs/>
          <w:b/>
        </w:rPr>
        <w:t xml:space="preserve">Choose when</w:t>
      </w:r>
    </w:p>
    <w:p>
      <w:pPr>
        <w:numPr>
          <w:ilvl w:val="0"/>
          <w:numId w:val="1263"/>
        </w:numPr>
        <w:pStyle w:val="Compact"/>
      </w:pPr>
      <w:r>
        <w:t xml:space="preserve">Retrieval-heavy agents already built on LlamaIndex</w:t>
      </w:r>
      <w:r>
        <w:t xml:space="preserve"> </w:t>
      </w:r>
      <w:r>
        <w:rPr>
          <w:rStyle w:val="ClaimLabel"/>
        </w:rPr>
        <w:t xml:space="preserve">AJ</w:t>
      </w:r>
    </w:p>
    <w:p>
      <w:pPr>
        <w:numPr>
          <w:ilvl w:val="0"/>
          <w:numId w:val="1263"/>
        </w:numPr>
        <w:pStyle w:val="Compact"/>
      </w:pPr>
      <w:r>
        <w:t xml:space="preserve">Document agents where LlamaParse is the chosen L8 parser</w:t>
      </w:r>
      <w:r>
        <w:t xml:space="preserve"> </w:t>
      </w:r>
      <w:r>
        <w:rPr>
          <w:rStyle w:val="ClaimLabel"/>
        </w:rPr>
        <w:t xml:space="preserve">AJ</w:t>
      </w:r>
    </w:p>
    <w:p>
      <w:pPr>
        <w:pStyle w:val="FirstParagraph"/>
      </w:pPr>
      <w:r>
        <w:rPr>
          <w:bCs/>
          <w:b/>
        </w:rPr>
        <w:t xml:space="preserve">Avoid when</w:t>
      </w:r>
    </w:p>
    <w:p>
      <w:pPr>
        <w:numPr>
          <w:ilvl w:val="0"/>
          <w:numId w:val="1264"/>
        </w:numPr>
        <w:pStyle w:val="Compact"/>
      </w:pPr>
      <w:r>
        <w:t xml:space="preserve">You need a long-term orchestration standard with roadmap commitment</w:t>
      </w:r>
      <w:r>
        <w:t xml:space="preserve"> </w:t>
      </w:r>
      <w:r>
        <w:rPr>
          <w:rStyle w:val="ClaimLabel"/>
        </w:rPr>
        <w:t xml:space="preserve">AJ</w:t>
      </w:r>
    </w:p>
    <w:p>
      <w:pPr>
        <w:pStyle w:val="FirstParagraph"/>
      </w:pPr>
      <w:r>
        <w:rPr>
          <w:bCs/>
          <w:b/>
        </w:rPr>
        <w:t xml:space="preserve">Nearest competitors:</w:t>
      </w:r>
      <w:r>
        <w:t xml:space="preserve"> </w:t>
      </w:r>
      <w:r>
        <w:t xml:space="preserve">L3-langgraph, L3-pydantic-ai, L8-llamaparse</w:t>
      </w:r>
    </w:p>
    <w:p>
      <w:pPr>
        <w:pStyle w:val="BodyText"/>
      </w:pPr>
      <w:r>
        <w:rPr>
          <w:bCs/>
          <w:b/>
        </w:rPr>
        <w:t xml:space="preserve">Regulated-FS note.</w:t>
      </w:r>
      <w:r>
        <w:t xml:space="preserve"> </w:t>
      </w:r>
      <w:r>
        <w:t xml:space="preserve">Treat as a retrieval toolkit inside a governed workflow rather than as the orchestration standard</w:t>
      </w:r>
      <w:r>
        <w:t xml:space="preserve"> </w:t>
      </w:r>
      <w:r>
        <w:rPr>
          <w:rStyle w:val="ClaimLabel"/>
        </w:rPr>
        <w:t xml:space="preserve">Rec</w:t>
      </w:r>
      <w:r>
        <w:t xml:space="preserve">.</w:t>
      </w:r>
    </w:p>
    <w:p>
      <w:pPr>
        <w:pStyle w:val="BodyText"/>
      </w:pPr>
      <w:r>
        <w:rPr>
          <w:bCs/>
          <w:b/>
        </w:rPr>
        <w:t xml:space="preserve">Facts (as of 2026-10-07)</w:t>
      </w:r>
    </w:p>
    <w:tbl>
      <w:tblPr>
        <w:tblStyle w:val="Table"/>
        <w:tblW w:type="pct" w:w="5000"/>
        <w:tblLook w:firstRow="1" w:lastRow="0" w:firstColumn="0" w:lastColumn="0" w:noHBand="0" w:noVBand="0" w:val="0020"/>
        <w:jc w:val="start"/>
      </w:tblPr>
      <w:tblGrid>
        <w:gridCol w:w="1485"/>
        <w:gridCol w:w="4290"/>
        <w:gridCol w:w="1320"/>
        <w:gridCol w:w="825"/>
      </w:tblGrid>
      <w:tr>
        <w:trPr>
          <w:tblHeader w:val="true"/>
        </w:trPr>
        <w:tc>
          <w:tcPr/>
          <w:p>
            <w:pPr>
              <w:pStyle w:val="Compact"/>
              <w:jc w:val="left"/>
            </w:pPr>
            <w:r>
              <w:t xml:space="preserve">Field</w:t>
            </w:r>
          </w:p>
        </w:tc>
        <w:tc>
          <w:tcPr/>
          <w:p>
            <w:pPr>
              <w:pStyle w:val="Compact"/>
              <w:jc w:val="left"/>
            </w:pPr>
            <w:r>
              <w:t xml:space="preserve">Value</w:t>
            </w:r>
          </w:p>
        </w:tc>
        <w:tc>
          <w:tcPr/>
          <w:p>
            <w:pPr>
              <w:pStyle w:val="Compact"/>
              <w:jc w:val="left"/>
            </w:pPr>
            <w:r>
              <w:t xml:space="preserve">Label</w:t>
            </w:r>
          </w:p>
        </w:tc>
        <w:tc>
          <w:tcPr/>
          <w:p>
            <w:pPr>
              <w:pStyle w:val="Compact"/>
              <w:jc w:val="left"/>
            </w:pPr>
            <w:r>
              <w:t xml:space="preserve">Sources</w:t>
            </w:r>
          </w:p>
        </w:tc>
      </w:tr>
      <w:tr>
        <w:tc>
          <w:tcPr/>
          <w:p>
            <w:pPr>
              <w:pStyle w:val="Compact"/>
              <w:jc w:val="left"/>
            </w:pPr>
            <w:r>
              <w:t xml:space="preserve">Company</w:t>
            </w:r>
          </w:p>
        </w:tc>
        <w:tc>
          <w:tcPr/>
          <w:p>
            <w:pPr>
              <w:pStyle w:val="Compact"/>
              <w:jc w:val="left"/>
            </w:pPr>
            <w:r>
              <w:t xml:space="preserve">LlamaIndex, Inc. (run-llama)</w:t>
            </w:r>
          </w:p>
        </w:tc>
        <w:tc>
          <w:tcPr/>
          <w:p>
            <w:pPr>
              <w:pStyle w:val="Compact"/>
              <w:jc w:val="left"/>
            </w:pPr>
            <w:r>
              <w:t xml:space="preserve">Verified fact</w:t>
            </w:r>
          </w:p>
        </w:tc>
        <w:tc>
          <w:tcPr/>
          <w:p>
            <w:pPr>
              <w:pStyle w:val="Compact"/>
              <w:jc w:val="left"/>
            </w:pPr>
            <w:r>
              <w:t xml:space="preserve">A4-S117</w:t>
            </w:r>
          </w:p>
        </w:tc>
      </w:tr>
      <w:tr>
        <w:tc>
          <w:tcPr/>
          <w:p>
            <w:pPr>
              <w:pStyle w:val="Compact"/>
              <w:jc w:val="left"/>
            </w:pPr>
            <w:r>
              <w:t xml:space="preserve">Category</w:t>
            </w:r>
          </w:p>
        </w:tc>
        <w:tc>
          <w:tcPr/>
          <w:p>
            <w:pPr>
              <w:pStyle w:val="Compact"/>
              <w:jc w:val="left"/>
            </w:pPr>
            <w:r>
              <w:t xml:space="preserve">RAG / agentic application framework with an event-driven workflow engine; vendor’s commercial focus is document parsing and document agents</w:t>
            </w:r>
          </w:p>
        </w:tc>
        <w:tc>
          <w:tcPr/>
          <w:p>
            <w:pPr>
              <w:pStyle w:val="Compact"/>
              <w:jc w:val="left"/>
            </w:pPr>
            <w:r>
              <w:t xml:space="preserve">Verified fact</w:t>
            </w:r>
          </w:p>
        </w:tc>
        <w:tc>
          <w:tcPr/>
          <w:p>
            <w:pPr>
              <w:pStyle w:val="Compact"/>
              <w:jc w:val="left"/>
            </w:pPr>
            <w:r>
              <w:t xml:space="preserve">A4-S117, A4-S041</w:t>
            </w:r>
          </w:p>
        </w:tc>
      </w:tr>
      <w:tr>
        <w:tc>
          <w:tcPr/>
          <w:p>
            <w:pPr>
              <w:pStyle w:val="Compact"/>
              <w:jc w:val="left"/>
            </w:pPr>
            <w:r>
              <w:t xml:space="preserve">Version / lineup</w:t>
            </w:r>
          </w:p>
        </w:tc>
        <w:tc>
          <w:tcPr/>
          <w:p>
            <w:pPr>
              <w:pStyle w:val="Compact"/>
              <w:jc w:val="left"/>
            </w:pPr>
            <w:r>
              <w:t xml:space="preserve">llama-index / llama-index-core 0.14.25 (21 September 2026); llama-index-workflows 2.25.0 (25 September 2026)</w:t>
            </w:r>
          </w:p>
        </w:tc>
        <w:tc>
          <w:tcPr/>
          <w:p>
            <w:pPr>
              <w:pStyle w:val="Compact"/>
              <w:jc w:val="left"/>
            </w:pPr>
            <w:r>
              <w:t xml:space="preserve">Verified fact</w:t>
            </w:r>
          </w:p>
        </w:tc>
        <w:tc>
          <w:tcPr/>
          <w:p>
            <w:pPr>
              <w:pStyle w:val="Compact"/>
              <w:jc w:val="left"/>
            </w:pPr>
            <w:r>
              <w:t xml:space="preserve">A4-S002, A4-S013</w:t>
            </w:r>
          </w:p>
        </w:tc>
      </w:tr>
      <w:tr>
        <w:tc>
          <w:tcPr/>
          <w:p>
            <w:pPr>
              <w:pStyle w:val="Compact"/>
              <w:jc w:val="left"/>
            </w:pPr>
            <w:r>
              <w:t xml:space="preserve">Licence</w:t>
            </w:r>
          </w:p>
        </w:tc>
        <w:tc>
          <w:tcPr/>
          <w:p>
            <w:pPr>
              <w:pStyle w:val="Compact"/>
              <w:jc w:val="left"/>
            </w:pPr>
            <w:r>
              <w:t xml:space="preserve">Open source, MIT (framework and workflows); LlamaParse platform is proprietary SaaS</w:t>
            </w:r>
          </w:p>
        </w:tc>
        <w:tc>
          <w:tcPr/>
          <w:p>
            <w:pPr>
              <w:pStyle w:val="Compact"/>
              <w:jc w:val="left"/>
            </w:pPr>
            <w:r>
              <w:t xml:space="preserve">Verified fact</w:t>
            </w:r>
          </w:p>
        </w:tc>
        <w:tc>
          <w:tcPr/>
          <w:p>
            <w:pPr>
              <w:pStyle w:val="Compact"/>
              <w:jc w:val="left"/>
            </w:pPr>
            <w:r>
              <w:t xml:space="preserve">A4-S002, A4-S013, A4-S127, A4-S117</w:t>
            </w:r>
          </w:p>
        </w:tc>
      </w:tr>
      <w:tr>
        <w:tc>
          <w:tcPr/>
          <w:p>
            <w:pPr>
              <w:pStyle w:val="Compact"/>
              <w:jc w:val="left"/>
            </w:pPr>
            <w:r>
              <w:t xml:space="preserve">Status events</w:t>
            </w:r>
          </w:p>
        </w:tc>
        <w:tc>
          <w:tcPr/>
          <w:p>
            <w:pPr>
              <w:pStyle w:val="Compact"/>
              <w:jc w:val="left"/>
            </w:pPr>
            <w:r>
              <w:t xml:space="preserve">30 June 2025: Workflows 1.0 released as a standalone package (llama-index-workflows); November 2025: LlamaAgents open preview; 2026: LlamaCloud renamed LlamaParse; 2026: vendor states primary focus shifted from OSS framework to LlamaParse</w:t>
            </w:r>
          </w:p>
        </w:tc>
        <w:tc>
          <w:tcPr/>
          <w:p>
            <w:pPr>
              <w:pStyle w:val="Compact"/>
              <w:jc w:val="left"/>
            </w:pPr>
            <w:r>
              <w:t xml:space="preserve">Verified fact</w:t>
            </w:r>
          </w:p>
        </w:tc>
        <w:tc>
          <w:tcPr/>
          <w:p>
            <w:pPr>
              <w:pStyle w:val="Compact"/>
              <w:jc w:val="left"/>
            </w:pPr>
            <w:r>
              <w:t xml:space="preserve">A4-S041, A4-S042, A4-S117</w:t>
            </w:r>
          </w:p>
        </w:tc>
      </w:tr>
      <w:tr>
        <w:tc>
          <w:tcPr/>
          <w:p>
            <w:pPr>
              <w:pStyle w:val="Compact"/>
              <w:jc w:val="left"/>
            </w:pPr>
            <w:r>
              <w:t xml:space="preserve">Strategic direction</w:t>
            </w:r>
          </w:p>
        </w:tc>
        <w:tc>
          <w:tcPr/>
          <w:p>
            <w:pPr>
              <w:pStyle w:val="Compact"/>
              <w:jc w:val="left"/>
            </w:pPr>
            <w:r>
              <w:t xml:space="preserve">README (2026):</w:t>
            </w:r>
            <w:r>
              <w:t xml:space="preserve"> </w:t>
            </w:r>
            <w:r>
              <w:t xml:space="preserve">‘</w:t>
            </w:r>
            <w:r>
              <w:t xml:space="preserve">our primary focus has shifted towards LlamaParse, along with liteparse and our benchmarking efforts</w:t>
            </w:r>
            <w:r>
              <w:t xml:space="preserve">’</w:t>
            </w:r>
            <w:r>
              <w:t xml:space="preserve">; the OSS framework remains available as an open toolkit. LlamaAgents (document agents built on Workflows) in open preview from November 2025; LlamaAgents Builder (natural-language to Workflow code) February 2026</w:t>
            </w:r>
          </w:p>
        </w:tc>
        <w:tc>
          <w:tcPr/>
          <w:p>
            <w:pPr>
              <w:pStyle w:val="Compact"/>
              <w:jc w:val="left"/>
            </w:pPr>
            <w:r>
              <w:t xml:space="preserve">Verified fact</w:t>
            </w:r>
          </w:p>
        </w:tc>
        <w:tc>
          <w:tcPr/>
          <w:p>
            <w:pPr>
              <w:pStyle w:val="Compact"/>
              <w:jc w:val="left"/>
            </w:pPr>
            <w:r>
              <w:t xml:space="preserve">A4-S117, A4-S042</w:t>
            </w:r>
          </w:p>
        </w:tc>
      </w:tr>
      <w:tr>
        <w:tc>
          <w:tcPr/>
          <w:p>
            <w:pPr>
              <w:pStyle w:val="Compact"/>
              <w:jc w:val="left"/>
            </w:pPr>
            <w:r>
              <w:t xml:space="preserve">What it does</w:t>
            </w:r>
          </w:p>
        </w:tc>
        <w:tc>
          <w:tcPr/>
          <w:p>
            <w:pPr>
              <w:pStyle w:val="Compact"/>
              <w:jc w:val="left"/>
            </w:pPr>
            <w:r>
              <w:t xml:space="preserve">Open-source framework for building agentic and RAG applications over data, with Workflows: a lightweight, event-driven, step-based engine for multi-step agentic applications in Python and TypeScript (typed state, resource injection, OpenTelemetry instrumentation). LlamaParse adds Parse, Extract, Index and LlamaAgents (deployed document agents).</w:t>
            </w:r>
          </w:p>
        </w:tc>
        <w:tc>
          <w:tcPr/>
          <w:p>
            <w:pPr>
              <w:pStyle w:val="Compact"/>
              <w:jc w:val="left"/>
            </w:pPr>
            <w:r>
              <w:t xml:space="preserve">Verified fact</w:t>
            </w:r>
          </w:p>
        </w:tc>
        <w:tc>
          <w:tcPr/>
          <w:p>
            <w:pPr>
              <w:pStyle w:val="Compact"/>
              <w:jc w:val="left"/>
            </w:pPr>
            <w:r>
              <w:t xml:space="preserve">A4-S117, A4-S041, A4-S013</w:t>
            </w:r>
          </w:p>
        </w:tc>
      </w:tr>
      <w:tr>
        <w:tc>
          <w:tcPr/>
          <w:p>
            <w:pPr>
              <w:pStyle w:val="Compact"/>
              <w:jc w:val="left"/>
            </w:pPr>
            <w:r>
              <w:t xml:space="preserve">Stack position</w:t>
            </w:r>
          </w:p>
        </w:tc>
        <w:tc>
          <w:tcPr/>
          <w:p>
            <w:pPr>
              <w:pStyle w:val="Compact"/>
              <w:jc w:val="left"/>
            </w:pPr>
            <w:r>
              <w:t xml:space="preserve">L3 for the framework/Workflows; the commercial product is mainly L8 (document extraction, LlamaParse) and the graphic’s</w:t>
            </w:r>
            <w:r>
              <w:t xml:space="preserve"> </w:t>
            </w:r>
            <w:r>
              <w:t xml:space="preserve">‘</w:t>
            </w:r>
            <w:r>
              <w:t xml:space="preserve">document agents</w:t>
            </w:r>
            <w:r>
              <w:t xml:space="preserve">’</w:t>
            </w:r>
            <w:r>
              <w:t xml:space="preserve"> </w:t>
            </w:r>
            <w:r>
              <w:t xml:space="preserve">descriptor reflects that. The framework is no longer the vendor’s primary focus.</w:t>
            </w:r>
          </w:p>
        </w:tc>
        <w:tc>
          <w:tcPr/>
          <w:p>
            <w:pPr>
              <w:pStyle w:val="Compact"/>
              <w:jc w:val="left"/>
            </w:pPr>
            <w:r>
              <w:t xml:space="preserve">Verified fact</w:t>
            </w:r>
          </w:p>
        </w:tc>
        <w:tc>
          <w:tcPr/>
          <w:p>
            <w:pPr>
              <w:pStyle w:val="Compact"/>
              <w:jc w:val="left"/>
            </w:pPr>
            <w:r>
              <w:t xml:space="preserve">A4-S117</w:t>
            </w:r>
          </w:p>
        </w:tc>
      </w:tr>
      <w:tr>
        <w:tc>
          <w:tcPr/>
          <w:p>
            <w:pPr>
              <w:pStyle w:val="Compact"/>
              <w:jc w:val="left"/>
            </w:pPr>
            <w:r>
              <w:t xml:space="preserve">Integration</w:t>
            </w:r>
          </w:p>
        </w:tc>
        <w:tc>
          <w:tcPr/>
          <w:p>
            <w:pPr>
              <w:pStyle w:val="Compact"/>
              <w:jc w:val="left"/>
            </w:pPr>
            <w:r>
              <w:t xml:space="preserve">Python/TS libraries; llamactl CLI to deploy Agent Workflows to LlamaCloud/LlamaParse or as a headless API; OpenTelemetry instrumentation</w:t>
            </w:r>
          </w:p>
        </w:tc>
        <w:tc>
          <w:tcPr/>
          <w:p>
            <w:pPr>
              <w:pStyle w:val="Compact"/>
              <w:jc w:val="left"/>
            </w:pPr>
            <w:r>
              <w:t xml:space="preserve">Verified fact</w:t>
            </w:r>
          </w:p>
        </w:tc>
        <w:tc>
          <w:tcPr/>
          <w:p>
            <w:pPr>
              <w:pStyle w:val="Compact"/>
              <w:jc w:val="left"/>
            </w:pPr>
            <w:r>
              <w:t xml:space="preserve">A4-S042, A4-S041</w:t>
            </w:r>
          </w:p>
        </w:tc>
      </w:tr>
      <w:tr>
        <w:tc>
          <w:tcPr/>
          <w:p>
            <w:pPr>
              <w:pStyle w:val="Compact"/>
              <w:jc w:val="left"/>
            </w:pPr>
            <w:r>
              <w:t xml:space="preserve">Dependencies</w:t>
            </w:r>
          </w:p>
        </w:tc>
        <w:tc>
          <w:tcPr/>
          <w:p>
            <w:pPr>
              <w:pStyle w:val="Compact"/>
              <w:jc w:val="left"/>
            </w:pPr>
            <w:r>
              <w:t xml:space="preserve">Python &gt;=3.9/3.10 or TypeScript; LLM and embedding providers; vector stores via integrations; LlamaParse API for managed parsing (optional)</w:t>
            </w:r>
          </w:p>
        </w:tc>
        <w:tc>
          <w:tcPr/>
          <w:p>
            <w:pPr>
              <w:pStyle w:val="Compact"/>
              <w:jc w:val="left"/>
            </w:pPr>
            <w:r>
              <w:t xml:space="preserve">Verified fact</w:t>
            </w:r>
          </w:p>
        </w:tc>
        <w:tc>
          <w:tcPr/>
          <w:p>
            <w:pPr>
              <w:pStyle w:val="Compact"/>
              <w:jc w:val="left"/>
            </w:pPr>
            <w:r>
              <w:t xml:space="preserve">A4-S002</w:t>
            </w:r>
          </w:p>
        </w:tc>
      </w:tr>
      <w:tr>
        <w:tc>
          <w:tcPr/>
          <w:p>
            <w:pPr>
              <w:pStyle w:val="Compact"/>
              <w:jc w:val="left"/>
            </w:pPr>
            <w:r>
              <w:t xml:space="preserve">Certifications</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GDPR / residency</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Security features</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Access controls</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Enterprise support</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Pricing</w:t>
            </w:r>
          </w:p>
        </w:tc>
        <w:tc>
          <w:tcPr/>
          <w:p>
            <w:pPr>
              <w:pStyle w:val="Compact"/>
              <w:jc w:val="left"/>
            </w:pPr>
            <w:r>
              <w:t xml:space="preserve">Framework free (MIT). LlamaParse metered in credits; third-party pages report ~US$1.25 per 1,000 credits in 2026 and ~10,000 free credits per month; vendor pricing page not retrieved</w:t>
            </w:r>
          </w:p>
        </w:tc>
        <w:tc>
          <w:tcPr/>
          <w:p>
            <w:pPr>
              <w:pStyle w:val="Compact"/>
              <w:jc w:val="left"/>
            </w:pPr>
            <w:r>
              <w:t xml:space="preserve">Reported</w:t>
            </w:r>
          </w:p>
        </w:tc>
        <w:tc>
          <w:tcPr/>
          <w:p>
            <w:pPr>
              <w:pStyle w:val="Compact"/>
              <w:jc w:val="left"/>
            </w:pPr>
            <w:r>
              <w:t xml:space="preserve">A4-S043</w:t>
            </w:r>
          </w:p>
        </w:tc>
      </w:tr>
      <w:tr>
        <w:tc>
          <w:tcPr/>
          <w:p>
            <w:pPr>
              <w:pStyle w:val="Compact"/>
              <w:jc w:val="left"/>
            </w:pPr>
            <w:r>
              <w:t xml:space="preserve">Infrastructure cost</w:t>
            </w:r>
          </w:p>
        </w:tc>
        <w:tc>
          <w:tcPr/>
          <w:p>
            <w:pPr>
              <w:pStyle w:val="Compact"/>
              <w:jc w:val="left"/>
            </w:pPr>
            <w:r>
              <w:t xml:space="preserve">Self-hosted framework cost is driven by LLM/embedding tokens and the chosen vector store, not the library</w:t>
            </w:r>
          </w:p>
        </w:tc>
        <w:tc>
          <w:tcPr/>
          <w:p>
            <w:pPr>
              <w:pStyle w:val="Compact"/>
              <w:jc w:val="left"/>
            </w:pPr>
            <w:r>
              <w:t xml:space="preserve">Architectural judgement</w:t>
            </w:r>
          </w:p>
        </w:tc>
        <w:tc>
          <w:tcPr/>
          <w:p>
            <w:pPr>
              <w:pStyle w:val="Compact"/>
            </w:pPr>
          </w:p>
        </w:tc>
      </w:tr>
      <w:tr>
        <w:tc>
          <w:tcPr/>
          <w:p>
            <w:pPr>
              <w:pStyle w:val="Compact"/>
              <w:jc w:val="left"/>
            </w:pPr>
            <w:r>
              <w:t xml:space="preserve">Ecosystem</w:t>
            </w:r>
          </w:p>
        </w:tc>
        <w:tc>
          <w:tcPr/>
          <w:p>
            <w:pPr>
              <w:pStyle w:val="Compact"/>
              <w:jc w:val="left"/>
            </w:pPr>
            <w:r>
              <w:t xml:space="preserve">Large integration catalogue (LLMs, vector stores); Workflows usable outside the LlamaIndex ecosystem; LlamaParse usable with or without the framework</w:t>
            </w:r>
          </w:p>
        </w:tc>
        <w:tc>
          <w:tcPr/>
          <w:p>
            <w:pPr>
              <w:pStyle w:val="Compact"/>
              <w:jc w:val="left"/>
            </w:pPr>
            <w:r>
              <w:t xml:space="preserve">Verified fact</w:t>
            </w:r>
          </w:p>
        </w:tc>
        <w:tc>
          <w:tcPr/>
          <w:p>
            <w:pPr>
              <w:pStyle w:val="Compact"/>
              <w:jc w:val="left"/>
            </w:pPr>
            <w:r>
              <w:t xml:space="preserve">A4-S117, A4-S041</w:t>
            </w:r>
          </w:p>
        </w:tc>
      </w:tr>
      <w:tr>
        <w:tc>
          <w:tcPr/>
          <w:p>
            <w:pPr>
              <w:pStyle w:val="Compact"/>
              <w:jc w:val="left"/>
            </w:pPr>
            <w:r>
              <w:t xml:space="preserve">Adoption signals</w:t>
            </w:r>
          </w:p>
        </w:tc>
        <w:tc>
          <w:tcPr/>
          <w:p>
            <w:pPr>
              <w:pStyle w:val="Compact"/>
              <w:jc w:val="left"/>
            </w:pPr>
            <w:r>
              <w:t xml:space="preserve">Funding reported as US$27.5M (Greylock, Norwest; Series A May 2025) by Tracxn; another source reports US$19M (conflict)</w:t>
            </w:r>
          </w:p>
        </w:tc>
        <w:tc>
          <w:tcPr/>
          <w:p>
            <w:pPr>
              <w:pStyle w:val="Compact"/>
              <w:jc w:val="left"/>
            </w:pPr>
            <w:r>
              <w:t xml:space="preserve">Reported</w:t>
            </w:r>
          </w:p>
        </w:tc>
        <w:tc>
          <w:tcPr/>
          <w:p>
            <w:pPr>
              <w:pStyle w:val="Compact"/>
              <w:jc w:val="left"/>
            </w:pPr>
            <w:r>
              <w:t xml:space="preserve">A4-S043</w:t>
            </w:r>
          </w:p>
        </w:tc>
      </w:tr>
      <w:tr>
        <w:tc>
          <w:tcPr/>
          <w:p>
            <w:pPr>
              <w:pStyle w:val="Compact"/>
              <w:jc w:val="left"/>
            </w:pPr>
            <w:r>
              <w:t xml:space="preserve">Maturity</w:t>
            </w:r>
          </w:p>
        </w:tc>
        <w:tc>
          <w:tcPr/>
          <w:p>
            <w:pPr>
              <w:pStyle w:val="Compact"/>
              <w:jc w:val="left"/>
            </w:pPr>
            <w:r>
              <w:t xml:space="preserve">Framework first released February 2023; still 0.x versioning (0.14.25); Workflows 1.0 since June 2025 and now 2.x</w:t>
            </w:r>
          </w:p>
        </w:tc>
        <w:tc>
          <w:tcPr/>
          <w:p>
            <w:pPr>
              <w:pStyle w:val="Compact"/>
              <w:jc w:val="left"/>
            </w:pPr>
            <w:r>
              <w:t xml:space="preserve">Verified fact</w:t>
            </w:r>
          </w:p>
        </w:tc>
        <w:tc>
          <w:tcPr/>
          <w:p>
            <w:pPr>
              <w:pStyle w:val="Compact"/>
              <w:jc w:val="left"/>
            </w:pPr>
            <w:r>
              <w:t xml:space="preserve">A4-S002, A4-S013, A4-S041</w:t>
            </w:r>
          </w:p>
        </w:tc>
      </w:tr>
      <w:tr>
        <w:tc>
          <w:tcPr/>
          <w:p>
            <w:pPr>
              <w:pStyle w:val="Compact"/>
              <w:jc w:val="left"/>
            </w:pPr>
            <w:r>
              <w:t xml:space="preserve">Deployment</w:t>
            </w:r>
          </w:p>
        </w:tc>
        <w:tc>
          <w:tcPr/>
          <w:p>
            <w:pPr>
              <w:pStyle w:val="Compact"/>
              <w:jc w:val="left"/>
            </w:pPr>
            <w:r>
              <w:t xml:space="preserve">saas: Yes (LlamaParse / LlamaAgents managed cloud); managed_cloud: Yes (LlamaAgents managed cloud); vpc_byoc: Yes (LlamaAgents:</w:t>
            </w:r>
            <w:r>
              <w:t xml:space="preserve"> </w:t>
            </w:r>
            <w:r>
              <w:t xml:space="preserve">‘</w:t>
            </w:r>
            <w:r>
              <w:t xml:space="preserve">bring-your-own infrastructure</w:t>
            </w:r>
            <w:r>
              <w:t xml:space="preserve">’</w:t>
            </w:r>
            <w:r>
              <w:t xml:space="preserve"> </w:t>
            </w:r>
            <w:r>
              <w:t xml:space="preserve">option); private_cloud: Not publicly verified; self_hosted: Yes (OSS framework); on_prem: Not publicly verified</w:t>
            </w:r>
          </w:p>
        </w:tc>
        <w:tc>
          <w:tcPr/>
          <w:p>
            <w:pPr>
              <w:pStyle w:val="Compact"/>
            </w:pPr>
          </w:p>
        </w:tc>
        <w:tc>
          <w:tcPr/>
          <w:p>
            <w:pPr>
              <w:pStyle w:val="Compact"/>
            </w:pPr>
          </w:p>
        </w:tc>
      </w:tr>
    </w:tbl>
    <w:bookmarkEnd w:id="1198"/>
    <w:bookmarkStart w:id="1215" w:name="X788431c476ee219d67d6f7d44a1d460d1b8708a"/>
    <w:p>
      <w:pPr>
        <w:pStyle w:val="Heading2"/>
      </w:pPr>
      <w:r>
        <w:t xml:space="preserve">AI SDK (by Vercel); npm package</w:t>
      </w:r>
      <w:r>
        <w:t xml:space="preserve"> </w:t>
      </w:r>
      <w:r>
        <w:t xml:space="preserve">‘</w:t>
      </w:r>
      <w:r>
        <w:t xml:space="preserve">ai</w:t>
      </w:r>
      <w:r>
        <w:t xml:space="preserve">’</w:t>
      </w:r>
      <w:r>
        <w:t xml:space="preserve"> </w:t>
      </w:r>
      <w:r>
        <w:t xml:space="preserve">(</w:t>
      </w:r>
      <w:r>
        <w:rPr>
          <w:rStyle w:val="VerbatimChar"/>
        </w:rPr>
        <w:t xml:space="preserve">L3-vercel-ai-sdk</w:t>
      </w:r>
      <w:r>
        <w:t xml:space="preserve">)</w:t>
      </w:r>
    </w:p>
    <w:p>
      <w:pPr>
        <w:pStyle w:val="FirstParagraph"/>
      </w:pPr>
      <w:r>
        <w:rPr>
          <w:bCs/>
          <w:b/>
        </w:rPr>
        <w:t xml:space="preserve">Tier:</w:t>
      </w:r>
      <w:r>
        <w:t xml:space="preserve"> </w:t>
      </w:r>
      <w:r>
        <w:t xml:space="preserve">Tactical ·</w:t>
      </w:r>
      <w:r>
        <w:t xml:space="preserve"> </w:t>
      </w:r>
      <w:r>
        <w:rPr>
          <w:bCs/>
          <w:b/>
        </w:rPr>
        <w:t xml:space="preserve">Flags:</w:t>
      </w:r>
      <w:r>
        <w:t xml:space="preserve"> </w:t>
      </w:r>
      <w:r>
        <w:t xml:space="preserve">none ·</w:t>
      </w:r>
      <w:r>
        <w:t xml:space="preserve"> </w:t>
      </w:r>
      <w:r>
        <w:rPr>
          <w:bCs/>
          <w:b/>
        </w:rPr>
        <w:t xml:space="preserve">Original graphic label:</w:t>
      </w:r>
      <w:r>
        <w:t xml:space="preserve"> </w:t>
      </w:r>
      <w:r>
        <w:t xml:space="preserve">AI SDK – AI SDK (triangle logo)</w:t>
      </w:r>
    </w:p>
    <w:p>
      <w:pPr>
        <w:pStyle w:val="BodyText"/>
      </w:pPr>
      <w:r>
        <w:rPr>
          <w:iCs/>
          <w:i/>
        </w:rPr>
        <w:t xml:space="preserve">Rationale:</w:t>
      </w:r>
      <w:r>
        <w:t xml:space="preserve"> </w:t>
      </w:r>
      <w:r>
        <w:t xml:space="preserve">Good TS application toolkit; fast-moving majors; not an orchestration standard.</w:t>
      </w:r>
    </w:p>
    <w:tbl>
      <w:tblPr>
        <w:tblStyle w:val="Table"/>
        <w:tblW w:type="pct" w:w="5000"/>
        <w:tblLook w:firstRow="1" w:lastRow="0" w:firstColumn="0" w:lastColumn="0" w:noHBand="0" w:noVBand="0" w:val="0020"/>
        <w:jc w:val="start"/>
      </w:tblPr>
      <w:tblGrid>
        <w:gridCol w:w="1545"/>
        <w:gridCol w:w="579"/>
        <w:gridCol w:w="5795"/>
      </w:tblGrid>
      <w:tr>
        <w:trPr>
          <w:tblHeader w:val="true"/>
        </w:trPr>
        <w:tc>
          <w:tcPr/>
          <w:p>
            <w:pPr>
              <w:pStyle w:val="Compact"/>
              <w:jc w:val="left"/>
            </w:pPr>
            <w:r>
              <w:t xml:space="preserve">Criterion</w:t>
            </w:r>
          </w:p>
        </w:tc>
        <w:tc>
          <w:tcPr/>
          <w:p>
            <w:pPr>
              <w:pStyle w:val="Compact"/>
              <w:jc w:val="right"/>
            </w:pPr>
            <w:r>
              <w:t xml:space="preserve">Score</w:t>
            </w:r>
          </w:p>
        </w:tc>
        <w:tc>
          <w:tcPr/>
          <w:p>
            <w:pPr>
              <w:pStyle w:val="Compact"/>
              <w:jc w:val="left"/>
            </w:pPr>
            <w:r>
              <w:t xml:space="preserve">Rationale</w:t>
            </w:r>
          </w:p>
        </w:tc>
      </w:tr>
      <w:tr>
        <w:tc>
          <w:tcPr/>
          <w:p>
            <w:pPr>
              <w:pStyle w:val="Compact"/>
              <w:jc w:val="left"/>
            </w:pPr>
            <w:r>
              <w:t xml:space="preserve">Technical</w:t>
            </w:r>
          </w:p>
        </w:tc>
        <w:tc>
          <w:tcPr/>
          <w:p>
            <w:pPr>
              <w:pStyle w:val="Compact"/>
              <w:jc w:val="right"/>
            </w:pPr>
            <w:r>
              <w:t xml:space="preserve">3</w:t>
            </w:r>
          </w:p>
        </w:tc>
        <w:tc>
          <w:tcPr/>
          <w:p>
            <w:pPr>
              <w:pStyle w:val="Compact"/>
              <w:jc w:val="left"/>
            </w:pPr>
            <w:r>
              <w:t xml:space="preserve">Unified model API, tools, ToolLoopAgent, UI streaming; durability via separate Workflow SDK</w:t>
            </w:r>
            <w:r>
              <w:t xml:space="preserve"> </w:t>
            </w:r>
            <w:r>
              <w:rPr>
                <w:rStyle w:val="ClaimLabel"/>
              </w:rPr>
              <w:t xml:space="preserve">VF</w:t>
            </w:r>
            <w:r>
              <w:rPr>
                <w:rStyle w:val="FootnoteReference"/>
              </w:rPr>
              <w:footnoteReference w:id="1199"/>
            </w:r>
          </w:p>
        </w:tc>
      </w:tr>
      <w:tr>
        <w:tc>
          <w:tcPr/>
          <w:p>
            <w:pPr>
              <w:pStyle w:val="Compact"/>
              <w:jc w:val="left"/>
            </w:pPr>
            <w:r>
              <w:t xml:space="preserve">Enterprise readiness</w:t>
            </w:r>
          </w:p>
        </w:tc>
        <w:tc>
          <w:tcPr/>
          <w:p>
            <w:pPr>
              <w:pStyle w:val="Compact"/>
              <w:jc w:val="right"/>
            </w:pPr>
            <w:r>
              <w:t xml:space="preserve">3</w:t>
            </w:r>
          </w:p>
        </w:tc>
        <w:tc>
          <w:tcPr/>
          <w:p>
            <w:pPr>
              <w:pStyle w:val="Compact"/>
              <w:jc w:val="left"/>
            </w:pPr>
            <w:r>
              <w:t xml:space="preserve">Library (rule 2); enterprise support not verified</w:t>
            </w:r>
            <w:r>
              <w:t xml:space="preserve"> </w:t>
            </w:r>
            <w:r>
              <w:rPr>
                <w:rStyle w:val="ClaimLabel"/>
              </w:rPr>
              <w:t xml:space="preserve">NPV</w:t>
            </w:r>
          </w:p>
        </w:tc>
      </w:tr>
      <w:tr>
        <w:tc>
          <w:tcPr/>
          <w:p>
            <w:pPr>
              <w:pStyle w:val="Compact"/>
              <w:jc w:val="left"/>
            </w:pPr>
            <w:r>
              <w:t xml:space="preserve">Security and compliance</w:t>
            </w:r>
          </w:p>
        </w:tc>
        <w:tc>
          <w:tcPr/>
          <w:p>
            <w:pPr>
              <w:pStyle w:val="Compact"/>
              <w:jc w:val="right"/>
            </w:pPr>
            <w:r>
              <w:t xml:space="preserve">3</w:t>
            </w:r>
          </w:p>
        </w:tc>
        <w:tc>
          <w:tcPr/>
          <w:p>
            <w:pPr>
              <w:pStyle w:val="Compact"/>
              <w:jc w:val="left"/>
            </w:pPr>
            <w:r>
              <w:t xml:space="preserve">Library (rule 2); Apache-2.0 licence clear</w:t>
            </w:r>
            <w:r>
              <w:t xml:space="preserve"> </w:t>
            </w:r>
            <w:r>
              <w:rPr>
                <w:rStyle w:val="ClaimLabel"/>
              </w:rPr>
              <w:t xml:space="preserve">VF</w:t>
            </w:r>
            <w:r>
              <w:rPr>
                <w:rStyle w:val="FootnoteReference"/>
              </w:rPr>
              <w:footnoteReference w:id="1202"/>
            </w:r>
            <w:r>
              <w:t xml:space="preserve">; hygiene not assessed</w:t>
            </w:r>
          </w:p>
        </w:tc>
      </w:tr>
      <w:tr>
        <w:tc>
          <w:tcPr/>
          <w:p>
            <w:pPr>
              <w:pStyle w:val="Compact"/>
              <w:jc w:val="left"/>
            </w:pPr>
            <w:r>
              <w:t xml:space="preserve">Deployment flexibility</w:t>
            </w:r>
          </w:p>
        </w:tc>
        <w:tc>
          <w:tcPr/>
          <w:p>
            <w:pPr>
              <w:pStyle w:val="Compact"/>
              <w:jc w:val="right"/>
            </w:pPr>
            <w:r>
              <w:t xml:space="preserve">4</w:t>
            </w:r>
          </w:p>
        </w:tc>
        <w:tc>
          <w:tcPr/>
          <w:p>
            <w:pPr>
              <w:pStyle w:val="Compact"/>
              <w:jc w:val="left"/>
            </w:pPr>
            <w:r>
              <w:t xml:space="preserve">Any Node runtime</w:t>
            </w:r>
            <w:r>
              <w:t xml:space="preserve"> </w:t>
            </w:r>
            <w:r>
              <w:rPr>
                <w:rStyle w:val="ClaimLabel"/>
              </w:rPr>
              <w:t xml:space="preserve">VF</w:t>
            </w:r>
            <w:r>
              <w:rPr>
                <w:rStyle w:val="FootnoteReference"/>
              </w:rPr>
              <w:footnoteReference w:id="1204"/>
            </w:r>
          </w:p>
        </w:tc>
      </w:tr>
      <w:tr>
        <w:tc>
          <w:tcPr/>
          <w:p>
            <w:pPr>
              <w:pStyle w:val="Compact"/>
              <w:jc w:val="left"/>
            </w:pPr>
            <w:r>
              <w:t xml:space="preserve">Ecosystem</w:t>
            </w:r>
          </w:p>
        </w:tc>
        <w:tc>
          <w:tcPr/>
          <w:p>
            <w:pPr>
              <w:pStyle w:val="Compact"/>
              <w:jc w:val="right"/>
            </w:pPr>
            <w:r>
              <w:t xml:space="preserve">4</w:t>
            </w:r>
          </w:p>
        </w:tc>
        <w:tc>
          <w:tcPr/>
          <w:p>
            <w:pPr>
              <w:pStyle w:val="Compact"/>
              <w:jc w:val="left"/>
            </w:pPr>
            <w:r>
              <w:t xml:space="preserve">Major UI frameworks and model providers</w:t>
            </w:r>
            <w:r>
              <w:t xml:space="preserve"> </w:t>
            </w:r>
            <w:r>
              <w:rPr>
                <w:rStyle w:val="ClaimLabel"/>
              </w:rPr>
              <w:t xml:space="preserve">VF</w:t>
            </w:r>
            <w:r>
              <w:rPr>
                <w:rStyle w:val="FootnoteReference"/>
              </w:rPr>
              <w:footnoteReference w:id="1205"/>
            </w:r>
          </w:p>
        </w:tc>
      </w:tr>
      <w:tr>
        <w:tc>
          <w:tcPr/>
          <w:p>
            <w:pPr>
              <w:pStyle w:val="Compact"/>
              <w:jc w:val="left"/>
            </w:pPr>
            <w:r>
              <w:t xml:space="preserve">Reliability and maturity</w:t>
            </w:r>
          </w:p>
        </w:tc>
        <w:tc>
          <w:tcPr/>
          <w:p>
            <w:pPr>
              <w:pStyle w:val="Compact"/>
              <w:jc w:val="right"/>
            </w:pPr>
            <w:r>
              <w:t xml:space="preserve">2</w:t>
            </w:r>
          </w:p>
        </w:tc>
        <w:tc>
          <w:tcPr/>
          <w:p>
            <w:pPr>
              <w:pStyle w:val="Compact"/>
              <w:jc w:val="left"/>
            </w:pPr>
            <w:r>
              <w:t xml:space="preserve">Major version roughly every six months</w:t>
            </w:r>
            <w:r>
              <w:t xml:space="preserve"> </w:t>
            </w:r>
            <w:r>
              <w:rPr>
                <w:rStyle w:val="ClaimLabel"/>
              </w:rPr>
              <w:t xml:space="preserve">VF</w:t>
            </w:r>
            <w:r>
              <w:rPr>
                <w:rStyle w:val="FootnoteReference"/>
              </w:rPr>
              <w:footnoteReference w:id="1206"/>
            </w:r>
          </w:p>
        </w:tc>
      </w:tr>
      <w:tr>
        <w:tc>
          <w:tcPr/>
          <w:p>
            <w:pPr>
              <w:pStyle w:val="Compact"/>
              <w:jc w:val="left"/>
            </w:pPr>
            <w:r>
              <w:t xml:space="preserve">Cost / TCO</w:t>
            </w:r>
          </w:p>
        </w:tc>
        <w:tc>
          <w:tcPr/>
          <w:p>
            <w:pPr>
              <w:pStyle w:val="Compact"/>
              <w:jc w:val="right"/>
            </w:pPr>
            <w:r>
              <w:t xml:space="preserve">4</w:t>
            </w:r>
          </w:p>
        </w:tc>
        <w:tc>
          <w:tcPr/>
          <w:p>
            <w:pPr>
              <w:pStyle w:val="Compact"/>
              <w:jc w:val="left"/>
            </w:pPr>
            <w:r>
              <w:t xml:space="preserve">Free; gateway priced separately</w:t>
            </w:r>
            <w:r>
              <w:t xml:space="preserve"> </w:t>
            </w:r>
            <w:r>
              <w:rPr>
                <w:rStyle w:val="ClaimLabel"/>
              </w:rPr>
              <w:t xml:space="preserve">VF</w:t>
            </w:r>
            <w:r>
              <w:rPr>
                <w:rStyle w:val="FootnoteReference"/>
              </w:rPr>
              <w:footnoteReference w:id="1208"/>
            </w:r>
          </w:p>
        </w:tc>
      </w:tr>
      <w:tr>
        <w:tc>
          <w:tcPr/>
          <w:p>
            <w:pPr>
              <w:pStyle w:val="Compact"/>
              <w:jc w:val="left"/>
            </w:pPr>
            <w:r>
              <w:t xml:space="preserve">Lock-in / portability</w:t>
            </w:r>
          </w:p>
        </w:tc>
        <w:tc>
          <w:tcPr/>
          <w:p>
            <w:pPr>
              <w:pStyle w:val="Compact"/>
              <w:jc w:val="right"/>
            </w:pPr>
            <w:r>
              <w:t xml:space="preserve">3</w:t>
            </w:r>
          </w:p>
        </w:tc>
        <w:tc>
          <w:tcPr/>
          <w:p>
            <w:pPr>
              <w:pStyle w:val="Compact"/>
              <w:jc w:val="left"/>
            </w:pPr>
            <w:r>
              <w:t xml:space="preserve">Apache-2.0; optional gateway default</w:t>
            </w:r>
            <w:r>
              <w:t xml:space="preserve"> </w:t>
            </w:r>
            <w:r>
              <w:rPr>
                <w:rStyle w:val="ClaimLabel"/>
              </w:rPr>
              <w:t xml:space="preserve">VF</w:t>
            </w:r>
            <w:r>
              <w:rPr>
                <w:rStyle w:val="FootnoteReference"/>
              </w:rPr>
              <w:footnoteReference w:id="1209"/>
            </w:r>
          </w:p>
        </w:tc>
      </w:tr>
      <w:tr>
        <w:tc>
          <w:tcPr/>
          <w:p>
            <w:pPr>
              <w:pStyle w:val="Compact"/>
              <w:jc w:val="left"/>
            </w:pPr>
            <w:r>
              <w:rPr>
                <w:bCs/>
                <w:b/>
              </w:rPr>
              <w:t xml:space="preserve">Total (generic / FS)</w:t>
            </w:r>
          </w:p>
        </w:tc>
        <w:tc>
          <w:tcPr/>
          <w:p>
            <w:pPr>
              <w:pStyle w:val="Compact"/>
              <w:jc w:val="right"/>
            </w:pPr>
            <w:r>
              <w:rPr>
                <w:bCs/>
                <w:b/>
              </w:rPr>
              <w:t xml:space="preserve">3.25 / 3.15</w:t>
            </w:r>
          </w:p>
        </w:tc>
        <w:tc>
          <w:tcPr/>
          <w:p>
            <w:pPr>
              <w:pStyle w:val="Compact"/>
            </w:pPr>
          </w:p>
        </w:tc>
      </w:tr>
    </w:tbl>
    <w:p>
      <w:pPr>
        <w:pStyle w:val="BodyText"/>
      </w:pPr>
      <w:r>
        <w:rPr>
          <w:bCs/>
          <w:b/>
        </w:rPr>
        <w:t xml:space="preserve">Capabilities.</w:t>
      </w:r>
      <w:r>
        <w:t xml:space="preserve"> </w:t>
      </w:r>
      <w:r>
        <w:t xml:space="preserve">Apache-2.0 TypeScript toolkit (npm</w:t>
      </w:r>
      <w:r>
        <w:t xml:space="preserve"> </w:t>
      </w:r>
      <w:r>
        <w:t xml:space="preserve">‘</w:t>
      </w:r>
      <w:r>
        <w:t xml:space="preserve">ai</w:t>
      </w:r>
      <w:r>
        <w:t xml:space="preserve">’</w:t>
      </w:r>
      <w:r>
        <w:t xml:space="preserve">) for provider-agnostic generation, structured output, tool calling and ToolLoopAgent agents, with UI hooks for React, Svelte, Vue and Angular; companion Workflow SDK makes TS/JS functions durable</w:t>
      </w:r>
      <w:r>
        <w:t xml:space="preserve"> </w:t>
      </w:r>
      <w:r>
        <w:rPr>
          <w:rStyle w:val="ClaimLabel"/>
        </w:rPr>
        <w:t xml:space="preserve">VF</w:t>
      </w:r>
      <w:r>
        <w:rPr>
          <w:rStyle w:val="FootnoteReference"/>
        </w:rPr>
        <w:footnoteReference w:id="1210"/>
      </w:r>
      <w:r>
        <w:t xml:space="preserve">.</w:t>
      </w:r>
    </w:p>
    <w:p>
      <w:pPr>
        <w:pStyle w:val="BodyText"/>
      </w:pPr>
      <w:r>
        <w:rPr>
          <w:bCs/>
          <w:b/>
        </w:rPr>
        <w:t xml:space="preserve">Strengths</w:t>
      </w:r>
    </w:p>
    <w:p>
      <w:pPr>
        <w:numPr>
          <w:ilvl w:val="0"/>
          <w:numId w:val="1265"/>
        </w:numPr>
        <w:pStyle w:val="Compact"/>
      </w:pPr>
      <w:r>
        <w:t xml:space="preserve">Best fit for TypeScript front ends that stream agent output to the browser</w:t>
      </w:r>
      <w:r>
        <w:t xml:space="preserve"> </w:t>
      </w:r>
      <w:r>
        <w:rPr>
          <w:rStyle w:val="ClaimLabel"/>
        </w:rPr>
        <w:t xml:space="preserve">AJ</w:t>
      </w:r>
    </w:p>
    <w:p>
      <w:pPr>
        <w:numPr>
          <w:ilvl w:val="0"/>
          <w:numId w:val="1265"/>
        </w:numPr>
        <w:pStyle w:val="Compact"/>
      </w:pPr>
      <w:r>
        <w:t xml:space="preserve">Workflow SDK can be self-hosted with Postgres</w:t>
      </w:r>
      <w:r>
        <w:t xml:space="preserve"> </w:t>
      </w:r>
      <w:r>
        <w:rPr>
          <w:rStyle w:val="ClaimLabel"/>
        </w:rPr>
        <w:t xml:space="preserve">VF</w:t>
      </w:r>
      <w:r>
        <w:rPr>
          <w:rStyle w:val="FootnoteReference"/>
        </w:rPr>
        <w:footnoteReference w:id="1212"/>
      </w:r>
    </w:p>
    <w:p>
      <w:pPr>
        <w:pStyle w:val="FirstParagraph"/>
      </w:pPr>
      <w:r>
        <w:rPr>
          <w:bCs/>
          <w:b/>
        </w:rPr>
        <w:t xml:space="preserve">Limitations and risks</w:t>
      </w:r>
    </w:p>
    <w:p>
      <w:pPr>
        <w:numPr>
          <w:ilvl w:val="0"/>
          <w:numId w:val="1266"/>
        </w:numPr>
        <w:pStyle w:val="Compact"/>
      </w:pPr>
      <w:r>
        <w:t xml:space="preserve">Three major versions in about eleven months</w:t>
      </w:r>
      <w:r>
        <w:t xml:space="preserve"> </w:t>
      </w:r>
      <w:r>
        <w:rPr>
          <w:rStyle w:val="ClaimLabel"/>
        </w:rPr>
        <w:t xml:space="preserve">VF</w:t>
      </w:r>
      <w:r>
        <w:rPr>
          <w:rStyle w:val="FootnoteReference"/>
        </w:rPr>
        <w:footnoteReference w:id="1213"/>
      </w:r>
    </w:p>
    <w:p>
      <w:pPr>
        <w:numPr>
          <w:ilvl w:val="0"/>
          <w:numId w:val="1266"/>
        </w:numPr>
        <w:pStyle w:val="Compact"/>
      </w:pPr>
      <w:r>
        <w:t xml:space="preserve">Defaults to Vercel AI Gateway for model access</w:t>
      </w:r>
      <w:r>
        <w:t xml:space="preserve"> </w:t>
      </w:r>
      <w:r>
        <w:rPr>
          <w:rStyle w:val="ClaimLabel"/>
        </w:rPr>
        <w:t xml:space="preserve">VF</w:t>
      </w:r>
      <w:r>
        <w:rPr>
          <w:rStyle w:val="FootnoteReference"/>
        </w:rPr>
        <w:footnoteReference w:id="1214"/>
      </w:r>
    </w:p>
    <w:p>
      <w:pPr>
        <w:numPr>
          <w:ilvl w:val="0"/>
          <w:numId w:val="1266"/>
        </w:numPr>
        <w:pStyle w:val="Compact"/>
      </w:pPr>
      <w:r>
        <w:t xml:space="preserve">Vercel certifications not verified</w:t>
      </w:r>
      <w:r>
        <w:t xml:space="preserve"> </w:t>
      </w:r>
      <w:r>
        <w:rPr>
          <w:rStyle w:val="ClaimLabel"/>
        </w:rPr>
        <w:t xml:space="preserve">NPV</w:t>
      </w:r>
    </w:p>
    <w:p>
      <w:pPr>
        <w:pStyle w:val="FirstParagraph"/>
      </w:pPr>
      <w:r>
        <w:rPr>
          <w:bCs/>
          <w:b/>
        </w:rPr>
        <w:t xml:space="preserve">Choose when</w:t>
      </w:r>
    </w:p>
    <w:p>
      <w:pPr>
        <w:numPr>
          <w:ilvl w:val="0"/>
          <w:numId w:val="1267"/>
        </w:numPr>
        <w:pStyle w:val="Compact"/>
      </w:pPr>
      <w:r>
        <w:t xml:space="preserve">The agent is part of a Next.js or TypeScript application tier</w:t>
      </w:r>
      <w:r>
        <w:t xml:space="preserve"> </w:t>
      </w:r>
      <w:r>
        <w:rPr>
          <w:rStyle w:val="ClaimLabel"/>
        </w:rPr>
        <w:t xml:space="preserve">AJ</w:t>
      </w:r>
    </w:p>
    <w:p>
      <w:pPr>
        <w:pStyle w:val="FirstParagraph"/>
      </w:pPr>
      <w:r>
        <w:rPr>
          <w:bCs/>
          <w:b/>
        </w:rPr>
        <w:t xml:space="preserve">Avoid when</w:t>
      </w:r>
    </w:p>
    <w:p>
      <w:pPr>
        <w:numPr>
          <w:ilvl w:val="0"/>
          <w:numId w:val="1268"/>
        </w:numPr>
        <w:pStyle w:val="Compact"/>
      </w:pPr>
      <w:r>
        <w:t xml:space="preserve">Back-office regulated workflows owned by a Python data team</w:t>
      </w:r>
      <w:r>
        <w:t xml:space="preserve"> </w:t>
      </w:r>
      <w:r>
        <w:rPr>
          <w:rStyle w:val="ClaimLabel"/>
        </w:rPr>
        <w:t xml:space="preserve">AJ</w:t>
      </w:r>
    </w:p>
    <w:p>
      <w:pPr>
        <w:pStyle w:val="FirstParagraph"/>
      </w:pPr>
      <w:r>
        <w:rPr>
          <w:bCs/>
          <w:b/>
        </w:rPr>
        <w:t xml:space="preserve">Nearest competitors:</w:t>
      </w:r>
      <w:r>
        <w:t xml:space="preserve"> </w:t>
      </w:r>
      <w:r>
        <w:t xml:space="preserve">L3-openai-agents-sdk, L3-langgraph, L3-microsoft-agent-framework</w:t>
      </w:r>
    </w:p>
    <w:p>
      <w:pPr>
        <w:pStyle w:val="BodyText"/>
      </w:pPr>
      <w:r>
        <w:rPr>
          <w:bCs/>
          <w:b/>
        </w:rPr>
        <w:t xml:space="preserve">Regulated-FS note.</w:t>
      </w:r>
      <w:r>
        <w:t xml:space="preserve"> </w:t>
      </w:r>
      <w:r>
        <w:t xml:space="preserve">Use direct provider packages or the firm’s gateway, not the Vercel AI Gateway default, for client data</w:t>
      </w:r>
      <w:r>
        <w:t xml:space="preserve"> </w:t>
      </w:r>
      <w:r>
        <w:rPr>
          <w:rStyle w:val="ClaimLabel"/>
        </w:rPr>
        <w:t xml:space="preserve">Rec</w:t>
      </w:r>
      <w:r>
        <w:t xml:space="preserve">.</w:t>
      </w:r>
    </w:p>
    <w:p>
      <w:pPr>
        <w:pStyle w:val="BodyText"/>
      </w:pPr>
      <w:r>
        <w:rPr>
          <w:bCs/>
          <w:b/>
        </w:rPr>
        <w:t xml:space="preserve">Facts (as of 2026-10-08)</w:t>
      </w:r>
    </w:p>
    <w:tbl>
      <w:tblPr>
        <w:tblStyle w:val="Table"/>
        <w:tblW w:type="pct" w:w="5000"/>
        <w:tblLook w:firstRow="1" w:lastRow="0" w:firstColumn="0" w:lastColumn="0" w:noHBand="0" w:noVBand="0" w:val="0020"/>
        <w:jc w:val="start"/>
      </w:tblPr>
      <w:tblGrid>
        <w:gridCol w:w="1485"/>
        <w:gridCol w:w="4290"/>
        <w:gridCol w:w="1320"/>
        <w:gridCol w:w="825"/>
      </w:tblGrid>
      <w:tr>
        <w:trPr>
          <w:tblHeader w:val="true"/>
        </w:trPr>
        <w:tc>
          <w:tcPr/>
          <w:p>
            <w:pPr>
              <w:pStyle w:val="Compact"/>
              <w:jc w:val="left"/>
            </w:pPr>
            <w:r>
              <w:t xml:space="preserve">Field</w:t>
            </w:r>
          </w:p>
        </w:tc>
        <w:tc>
          <w:tcPr/>
          <w:p>
            <w:pPr>
              <w:pStyle w:val="Compact"/>
              <w:jc w:val="left"/>
            </w:pPr>
            <w:r>
              <w:t xml:space="preserve">Value</w:t>
            </w:r>
          </w:p>
        </w:tc>
        <w:tc>
          <w:tcPr/>
          <w:p>
            <w:pPr>
              <w:pStyle w:val="Compact"/>
              <w:jc w:val="left"/>
            </w:pPr>
            <w:r>
              <w:t xml:space="preserve">Label</w:t>
            </w:r>
          </w:p>
        </w:tc>
        <w:tc>
          <w:tcPr/>
          <w:p>
            <w:pPr>
              <w:pStyle w:val="Compact"/>
              <w:jc w:val="left"/>
            </w:pPr>
            <w:r>
              <w:t xml:space="preserve">Sources</w:t>
            </w:r>
          </w:p>
        </w:tc>
      </w:tr>
      <w:tr>
        <w:tc>
          <w:tcPr/>
          <w:p>
            <w:pPr>
              <w:pStyle w:val="Compact"/>
              <w:jc w:val="left"/>
            </w:pPr>
            <w:r>
              <w:t xml:space="preserve">Company</w:t>
            </w:r>
          </w:p>
        </w:tc>
        <w:tc>
          <w:tcPr/>
          <w:p>
            <w:pPr>
              <w:pStyle w:val="Compact"/>
              <w:jc w:val="left"/>
            </w:pPr>
            <w:r>
              <w:t xml:space="preserve">Vercel, Inc.</w:t>
            </w:r>
          </w:p>
        </w:tc>
        <w:tc>
          <w:tcPr/>
          <w:p>
            <w:pPr>
              <w:pStyle w:val="Compact"/>
              <w:jc w:val="left"/>
            </w:pPr>
            <w:r>
              <w:t xml:space="preserve">Verified fact</w:t>
            </w:r>
          </w:p>
        </w:tc>
        <w:tc>
          <w:tcPr/>
          <w:p>
            <w:pPr>
              <w:pStyle w:val="Compact"/>
              <w:jc w:val="left"/>
            </w:pPr>
            <w:r>
              <w:t xml:space="preserve">A4-S070, A4-S069</w:t>
            </w:r>
          </w:p>
        </w:tc>
      </w:tr>
      <w:tr>
        <w:tc>
          <w:tcPr/>
          <w:p>
            <w:pPr>
              <w:pStyle w:val="Compact"/>
              <w:jc w:val="left"/>
            </w:pPr>
            <w:r>
              <w:t xml:space="preserve">Category</w:t>
            </w:r>
          </w:p>
        </w:tc>
        <w:tc>
          <w:tcPr/>
          <w:p>
            <w:pPr>
              <w:pStyle w:val="Compact"/>
              <w:jc w:val="left"/>
            </w:pPr>
            <w:r>
              <w:t xml:space="preserve">Provider-agnostic TypeScript toolkit for AI applications and agents (generation, structured output, tool-loop agents, UI hooks)</w:t>
            </w:r>
          </w:p>
        </w:tc>
        <w:tc>
          <w:tcPr/>
          <w:p>
            <w:pPr>
              <w:pStyle w:val="Compact"/>
              <w:jc w:val="left"/>
            </w:pPr>
            <w:r>
              <w:t xml:space="preserve">Verified fact</w:t>
            </w:r>
          </w:p>
        </w:tc>
        <w:tc>
          <w:tcPr/>
          <w:p>
            <w:pPr>
              <w:pStyle w:val="Compact"/>
              <w:jc w:val="left"/>
            </w:pPr>
            <w:r>
              <w:t xml:space="preserve">A4-S069</w:t>
            </w:r>
          </w:p>
        </w:tc>
      </w:tr>
      <w:tr>
        <w:tc>
          <w:tcPr/>
          <w:p>
            <w:pPr>
              <w:pStyle w:val="Compact"/>
              <w:jc w:val="left"/>
            </w:pPr>
            <w:r>
              <w:t xml:space="preserve">Version / lineup</w:t>
            </w:r>
          </w:p>
        </w:tc>
        <w:tc>
          <w:tcPr/>
          <w:p>
            <w:pPr>
              <w:pStyle w:val="Compact"/>
              <w:jc w:val="left"/>
            </w:pPr>
            <w:r>
              <w:t xml:space="preserve">ai 7.0.131 (7 October 2026); 7.0.0 released 25 June 2026 (6.0.0 22 December 2025; 5.0.0 31 July 2025)</w:t>
            </w:r>
          </w:p>
        </w:tc>
        <w:tc>
          <w:tcPr/>
          <w:p>
            <w:pPr>
              <w:pStyle w:val="Compact"/>
              <w:jc w:val="left"/>
            </w:pPr>
            <w:r>
              <w:t xml:space="preserve">Verified fact</w:t>
            </w:r>
          </w:p>
        </w:tc>
        <w:tc>
          <w:tcPr/>
          <w:p>
            <w:pPr>
              <w:pStyle w:val="Compact"/>
              <w:jc w:val="left"/>
            </w:pPr>
            <w:r>
              <w:t xml:space="preserve">A4-S022, V1-S082</w:t>
            </w:r>
          </w:p>
        </w:tc>
      </w:tr>
      <w:tr>
        <w:tc>
          <w:tcPr/>
          <w:p>
            <w:pPr>
              <w:pStyle w:val="Compact"/>
              <w:jc w:val="left"/>
            </w:pPr>
            <w:r>
              <w:t xml:space="preserve">Licence</w:t>
            </w:r>
          </w:p>
        </w:tc>
        <w:tc>
          <w:tcPr/>
          <w:p>
            <w:pPr>
              <w:pStyle w:val="Compact"/>
              <w:jc w:val="left"/>
            </w:pPr>
            <w:r>
              <w:t xml:space="preserve">Open source, Apache-2.0</w:t>
            </w:r>
          </w:p>
        </w:tc>
        <w:tc>
          <w:tcPr/>
          <w:p>
            <w:pPr>
              <w:pStyle w:val="Compact"/>
              <w:jc w:val="left"/>
            </w:pPr>
            <w:r>
              <w:t xml:space="preserve">Verified fact</w:t>
            </w:r>
          </w:p>
        </w:tc>
        <w:tc>
          <w:tcPr/>
          <w:p>
            <w:pPr>
              <w:pStyle w:val="Compact"/>
              <w:jc w:val="left"/>
            </w:pPr>
            <w:r>
              <w:t xml:space="preserve">A4-S022, A4-S070</w:t>
            </w:r>
          </w:p>
        </w:tc>
      </w:tr>
      <w:tr>
        <w:tc>
          <w:tcPr/>
          <w:p>
            <w:pPr>
              <w:pStyle w:val="Compact"/>
              <w:jc w:val="left"/>
            </w:pPr>
            <w:r>
              <w:t xml:space="preserve">Status events</w:t>
            </w:r>
          </w:p>
        </w:tc>
        <w:tc>
          <w:tcPr/>
          <w:p>
            <w:pPr>
              <w:pStyle w:val="Compact"/>
              <w:jc w:val="left"/>
            </w:pPr>
            <w:r>
              <w:t xml:space="preserve">25 June 2026: AI SDK 7.0.0; 30 September 2026: Workflow SDK 5.0.0</w:t>
            </w:r>
          </w:p>
        </w:tc>
        <w:tc>
          <w:tcPr/>
          <w:p>
            <w:pPr>
              <w:pStyle w:val="Compact"/>
              <w:jc w:val="left"/>
            </w:pPr>
            <w:r>
              <w:t xml:space="preserve">Verified fact</w:t>
            </w:r>
          </w:p>
        </w:tc>
        <w:tc>
          <w:tcPr/>
          <w:p>
            <w:pPr>
              <w:pStyle w:val="Compact"/>
              <w:jc w:val="left"/>
            </w:pPr>
            <w:r>
              <w:t xml:space="preserve">A4-S022, A4-S106</w:t>
            </w:r>
          </w:p>
        </w:tc>
      </w:tr>
      <w:tr>
        <w:tc>
          <w:tcPr/>
          <w:p>
            <w:pPr>
              <w:pStyle w:val="Compact"/>
              <w:jc w:val="left"/>
            </w:pPr>
            <w:r>
              <w:t xml:space="preserve">Strategic direction</w:t>
            </w:r>
          </w:p>
        </w:tc>
        <w:tc>
          <w:tcPr/>
          <w:p>
            <w:pPr>
              <w:pStyle w:val="Compact"/>
              <w:jc w:val="left"/>
            </w:pPr>
            <w:r>
              <w:t xml:space="preserve">Defaults to the Vercel AI Gateway for model access (direct provider packages also supported); ToolLoopAgent abstraction; companion Workflow SDK (npm</w:t>
            </w:r>
            <w:r>
              <w:t xml:space="preserve"> </w:t>
            </w:r>
            <w:r>
              <w:t xml:space="preserve">‘</w:t>
            </w:r>
            <w:r>
              <w:t xml:space="preserve">workflow</w:t>
            </w:r>
            <w:r>
              <w:t xml:space="preserve">’</w:t>
            </w:r>
            <w:r>
              <w:t xml:space="preserve"> </w:t>
            </w:r>
            <w:r>
              <w:t xml:space="preserve">5.1.0) makes TS/JS functions durable</w:t>
            </w:r>
          </w:p>
        </w:tc>
        <w:tc>
          <w:tcPr/>
          <w:p>
            <w:pPr>
              <w:pStyle w:val="Compact"/>
              <w:jc w:val="left"/>
            </w:pPr>
            <w:r>
              <w:t xml:space="preserve">Verified fact</w:t>
            </w:r>
          </w:p>
        </w:tc>
        <w:tc>
          <w:tcPr/>
          <w:p>
            <w:pPr>
              <w:pStyle w:val="Compact"/>
              <w:jc w:val="left"/>
            </w:pPr>
            <w:r>
              <w:t xml:space="preserve">A4-S069, A4-S071, A4-S106</w:t>
            </w:r>
          </w:p>
        </w:tc>
      </w:tr>
      <w:tr>
        <w:tc>
          <w:tcPr/>
          <w:p>
            <w:pPr>
              <w:pStyle w:val="Compact"/>
              <w:jc w:val="left"/>
            </w:pPr>
            <w:r>
              <w:t xml:space="preserve">What it does</w:t>
            </w:r>
          </w:p>
        </w:tc>
        <w:tc>
          <w:tcPr/>
          <w:p>
            <w:pPr>
              <w:pStyle w:val="Compact"/>
              <w:jc w:val="left"/>
            </w:pPr>
            <w:r>
              <w:t xml:space="preserve">Unified API across model providers for text and structured generation, tool calling and agents (ToolLoopAgent), plus AI SDK UI hooks for React, Svelte, Vue and Angular and streaming agent responses to the browser.</w:t>
            </w:r>
          </w:p>
        </w:tc>
        <w:tc>
          <w:tcPr/>
          <w:p>
            <w:pPr>
              <w:pStyle w:val="Compact"/>
              <w:jc w:val="left"/>
            </w:pPr>
            <w:r>
              <w:t xml:space="preserve">Verified fact</w:t>
            </w:r>
          </w:p>
        </w:tc>
        <w:tc>
          <w:tcPr/>
          <w:p>
            <w:pPr>
              <w:pStyle w:val="Compact"/>
              <w:jc w:val="left"/>
            </w:pPr>
            <w:r>
              <w:t xml:space="preserve">A4-S069</w:t>
            </w:r>
          </w:p>
        </w:tc>
      </w:tr>
      <w:tr>
        <w:tc>
          <w:tcPr/>
          <w:p>
            <w:pPr>
              <w:pStyle w:val="Compact"/>
              <w:jc w:val="left"/>
            </w:pPr>
            <w:r>
              <w:t xml:space="preserve">Stack position</w:t>
            </w:r>
          </w:p>
        </w:tc>
        <w:tc>
          <w:tcPr/>
          <w:p>
            <w:pPr>
              <w:pStyle w:val="Compact"/>
              <w:jc w:val="left"/>
            </w:pPr>
            <w:r>
              <w:t xml:space="preserve">L3 (TypeScript agent/app framework) with an application/UI layer component; model routing via Vercel AI Gateway overlaps L2/C1</w:t>
            </w:r>
          </w:p>
        </w:tc>
        <w:tc>
          <w:tcPr/>
          <w:p>
            <w:pPr>
              <w:pStyle w:val="Compact"/>
              <w:jc w:val="left"/>
            </w:pPr>
            <w:r>
              <w:t xml:space="preserve">Verified fact</w:t>
            </w:r>
          </w:p>
        </w:tc>
        <w:tc>
          <w:tcPr/>
          <w:p>
            <w:pPr>
              <w:pStyle w:val="Compact"/>
              <w:jc w:val="left"/>
            </w:pPr>
            <w:r>
              <w:t xml:space="preserve">A4-S069</w:t>
            </w:r>
          </w:p>
        </w:tc>
      </w:tr>
      <w:tr>
        <w:tc>
          <w:tcPr/>
          <w:p>
            <w:pPr>
              <w:pStyle w:val="Compact"/>
              <w:jc w:val="left"/>
            </w:pPr>
            <w:r>
              <w:t xml:space="preserve">Integration</w:t>
            </w:r>
          </w:p>
        </w:tc>
        <w:tc>
          <w:tcPr/>
          <w:p>
            <w:pPr>
              <w:pStyle w:val="Compact"/>
              <w:jc w:val="left"/>
            </w:pPr>
            <w:r>
              <w:t xml:space="preserve">TypeScript library; provider adapters; AI Gateway model strings; UI framework hooks</w:t>
            </w:r>
          </w:p>
        </w:tc>
        <w:tc>
          <w:tcPr/>
          <w:p>
            <w:pPr>
              <w:pStyle w:val="Compact"/>
              <w:jc w:val="left"/>
            </w:pPr>
            <w:r>
              <w:t xml:space="preserve">Verified fact</w:t>
            </w:r>
          </w:p>
        </w:tc>
        <w:tc>
          <w:tcPr/>
          <w:p>
            <w:pPr>
              <w:pStyle w:val="Compact"/>
              <w:jc w:val="left"/>
            </w:pPr>
            <w:r>
              <w:t xml:space="preserve">A4-S069</w:t>
            </w:r>
          </w:p>
        </w:tc>
      </w:tr>
      <w:tr>
        <w:tc>
          <w:tcPr/>
          <w:p>
            <w:pPr>
              <w:pStyle w:val="Compact"/>
              <w:jc w:val="left"/>
            </w:pPr>
            <w:r>
              <w:t xml:space="preserve">Dependencies</w:t>
            </w:r>
          </w:p>
        </w:tc>
        <w:tc>
          <w:tcPr/>
          <w:p>
            <w:pPr>
              <w:pStyle w:val="Compact"/>
              <w:jc w:val="left"/>
            </w:pPr>
            <w:r>
              <w:t xml:space="preserve">Node.js 22+; provider packages (</w:t>
            </w:r>
            <w:r>
              <w:t xml:space="preserve">@ai-sdk/openai</w:t>
            </w:r>
            <w:r>
              <w:t xml:space="preserve">,</w:t>
            </w:r>
            <w:r>
              <w:t xml:space="preserve"> </w:t>
            </w:r>
            <w:r>
              <w:t xml:space="preserve">@ai-sdk/anthropic</w:t>
            </w:r>
            <w:r>
              <w:t xml:space="preserve">,</w:t>
            </w:r>
            <w:r>
              <w:t xml:space="preserve"> </w:t>
            </w:r>
            <w:r>
              <w:t xml:space="preserve">@ai-sdk/google</w:t>
            </w:r>
            <w:r>
              <w:t xml:space="preserve">, …) or Vercel AI Gateway</w:t>
            </w:r>
          </w:p>
        </w:tc>
        <w:tc>
          <w:tcPr/>
          <w:p>
            <w:pPr>
              <w:pStyle w:val="Compact"/>
              <w:jc w:val="left"/>
            </w:pPr>
            <w:r>
              <w:t xml:space="preserve">Verified fact</w:t>
            </w:r>
          </w:p>
        </w:tc>
        <w:tc>
          <w:tcPr/>
          <w:p>
            <w:pPr>
              <w:pStyle w:val="Compact"/>
              <w:jc w:val="left"/>
            </w:pPr>
            <w:r>
              <w:t xml:space="preserve">A4-S069</w:t>
            </w:r>
          </w:p>
        </w:tc>
      </w:tr>
      <w:tr>
        <w:tc>
          <w:tcPr/>
          <w:p>
            <w:pPr>
              <w:pStyle w:val="Compact"/>
              <w:jc w:val="left"/>
            </w:pPr>
            <w:r>
              <w:t xml:space="preserve">Certifications</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GDPR / residency</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Security features</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Access controls</w:t>
            </w:r>
          </w:p>
        </w:tc>
        <w:tc>
          <w:tcPr/>
          <w:p>
            <w:pPr>
              <w:pStyle w:val="Compact"/>
              <w:jc w:val="left"/>
            </w:pPr>
            <w:r>
              <w:t xml:space="preserve">Not applicable (library)</w:t>
            </w:r>
          </w:p>
        </w:tc>
        <w:tc>
          <w:tcPr/>
          <w:p>
            <w:pPr>
              <w:pStyle w:val="Compact"/>
              <w:jc w:val="left"/>
            </w:pPr>
            <w:r>
              <w:t xml:space="preserve">Architectural judgement</w:t>
            </w:r>
          </w:p>
        </w:tc>
        <w:tc>
          <w:tcPr/>
          <w:p>
            <w:pPr>
              <w:pStyle w:val="Compact"/>
            </w:pPr>
          </w:p>
        </w:tc>
      </w:tr>
      <w:tr>
        <w:tc>
          <w:tcPr/>
          <w:p>
            <w:pPr>
              <w:pStyle w:val="Compact"/>
              <w:jc w:val="left"/>
            </w:pPr>
            <w:r>
              <w:t xml:space="preserve">Enterprise support</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Pricing</w:t>
            </w:r>
          </w:p>
        </w:tc>
        <w:tc>
          <w:tcPr/>
          <w:p>
            <w:pPr>
              <w:pStyle w:val="Compact"/>
              <w:jc w:val="left"/>
            </w:pPr>
            <w:r>
              <w:t xml:space="preserve">Free (Apache-2.0); AI Gateway usage priced separately (not retrieved)</w:t>
            </w:r>
          </w:p>
        </w:tc>
        <w:tc>
          <w:tcPr/>
          <w:p>
            <w:pPr>
              <w:pStyle w:val="Compact"/>
              <w:jc w:val="left"/>
            </w:pPr>
            <w:r>
              <w:t xml:space="preserve">Verified fact</w:t>
            </w:r>
          </w:p>
        </w:tc>
        <w:tc>
          <w:tcPr/>
          <w:p>
            <w:pPr>
              <w:pStyle w:val="Compact"/>
              <w:jc w:val="left"/>
            </w:pPr>
            <w:r>
              <w:t xml:space="preserve">A4-S070</w:t>
            </w:r>
          </w:p>
        </w:tc>
      </w:tr>
      <w:tr>
        <w:tc>
          <w:tcPr/>
          <w:p>
            <w:pPr>
              <w:pStyle w:val="Compact"/>
              <w:jc w:val="left"/>
            </w:pPr>
            <w:r>
              <w:t xml:space="preserve">Infrastructure cost</w:t>
            </w:r>
          </w:p>
        </w:tc>
        <w:tc>
          <w:tcPr/>
          <w:p>
            <w:pPr>
              <w:pStyle w:val="Compact"/>
              <w:jc w:val="left"/>
            </w:pPr>
            <w:r>
              <w:t xml:space="preserve">Not material for the library</w:t>
            </w:r>
          </w:p>
        </w:tc>
        <w:tc>
          <w:tcPr/>
          <w:p>
            <w:pPr>
              <w:pStyle w:val="Compact"/>
              <w:jc w:val="left"/>
            </w:pPr>
            <w:r>
              <w:t xml:space="preserve">Architectural judgement</w:t>
            </w:r>
          </w:p>
        </w:tc>
        <w:tc>
          <w:tcPr/>
          <w:p>
            <w:pPr>
              <w:pStyle w:val="Compact"/>
            </w:pPr>
          </w:p>
        </w:tc>
      </w:tr>
      <w:tr>
        <w:tc>
          <w:tcPr/>
          <w:p>
            <w:pPr>
              <w:pStyle w:val="Compact"/>
              <w:jc w:val="left"/>
            </w:pPr>
            <w:r>
              <w:t xml:space="preserve">Ecosystem</w:t>
            </w:r>
          </w:p>
        </w:tc>
        <w:tc>
          <w:tcPr/>
          <w:p>
            <w:pPr>
              <w:pStyle w:val="Compact"/>
              <w:jc w:val="left"/>
            </w:pPr>
            <w:r>
              <w:t xml:space="preserve">Next.js, React, Svelte, Vue, Angular; providers OpenAI, Anthropic, Google and others; Vercel Sandbox; Workflow SDK</w:t>
            </w:r>
          </w:p>
        </w:tc>
        <w:tc>
          <w:tcPr/>
          <w:p>
            <w:pPr>
              <w:pStyle w:val="Compact"/>
              <w:jc w:val="left"/>
            </w:pPr>
            <w:r>
              <w:t xml:space="preserve">Verified fact</w:t>
            </w:r>
          </w:p>
        </w:tc>
        <w:tc>
          <w:tcPr/>
          <w:p>
            <w:pPr>
              <w:pStyle w:val="Compact"/>
              <w:jc w:val="left"/>
            </w:pPr>
            <w:r>
              <w:t xml:space="preserve">A4-S069, A4-S071</w:t>
            </w:r>
          </w:p>
        </w:tc>
      </w:tr>
      <w:tr>
        <w:tc>
          <w:tcPr/>
          <w:p>
            <w:pPr>
              <w:pStyle w:val="Compact"/>
              <w:jc w:val="left"/>
            </w:pPr>
            <w:r>
              <w:t xml:space="preserve">Adoption signals</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Maturity</w:t>
            </w:r>
          </w:p>
        </w:tc>
        <w:tc>
          <w:tcPr/>
          <w:p>
            <w:pPr>
              <w:pStyle w:val="Compact"/>
              <w:jc w:val="left"/>
            </w:pPr>
            <w:r>
              <w:t xml:space="preserve">Package name</w:t>
            </w:r>
            <w:r>
              <w:t xml:space="preserve"> </w:t>
            </w:r>
            <w:r>
              <w:t xml:space="preserve">‘</w:t>
            </w:r>
            <w:r>
              <w:t xml:space="preserve">ai</w:t>
            </w:r>
            <w:r>
              <w:t xml:space="preserve">’</w:t>
            </w:r>
            <w:r>
              <w:t xml:space="preserve"> </w:t>
            </w:r>
            <w:r>
              <w:t xml:space="preserve">reused; AI SDK 3.0 February 2024; major version roughly every 6 months (5.0 July 2025, 6.0 December 2025, 7.0 June 2026)</w:t>
            </w:r>
          </w:p>
        </w:tc>
        <w:tc>
          <w:tcPr/>
          <w:p>
            <w:pPr>
              <w:pStyle w:val="Compact"/>
              <w:jc w:val="left"/>
            </w:pPr>
            <w:r>
              <w:t xml:space="preserve">Verified fact</w:t>
            </w:r>
          </w:p>
        </w:tc>
        <w:tc>
          <w:tcPr/>
          <w:p>
            <w:pPr>
              <w:pStyle w:val="Compact"/>
              <w:jc w:val="left"/>
            </w:pPr>
            <w:r>
              <w:t xml:space="preserve">A4-S022</w:t>
            </w:r>
          </w:p>
        </w:tc>
      </w:tr>
      <w:tr>
        <w:tc>
          <w:tcPr/>
          <w:p>
            <w:pPr>
              <w:pStyle w:val="Compact"/>
              <w:jc w:val="left"/>
            </w:pPr>
            <w:r>
              <w:t xml:space="preserve">Deployment</w:t>
            </w:r>
          </w:p>
        </w:tc>
        <w:tc>
          <w:tcPr/>
          <w:p>
            <w:pPr>
              <w:pStyle w:val="Compact"/>
              <w:jc w:val="left"/>
            </w:pPr>
            <w:r>
              <w:t xml:space="preserve">saas: No; managed_cloud: No; vpc_byoc: Yes (library runs inside the customer’s own environment); private_cloud: Yes (library runs inside the customer’s own environment); self_hosted: Yes (library runs in any Node runtime); on_prem: Yes (library)</w:t>
            </w:r>
          </w:p>
        </w:tc>
        <w:tc>
          <w:tcPr/>
          <w:p>
            <w:pPr>
              <w:pStyle w:val="Compact"/>
            </w:pPr>
          </w:p>
        </w:tc>
        <w:tc>
          <w:tcPr/>
          <w:p>
            <w:pPr>
              <w:pStyle w:val="Compact"/>
            </w:pPr>
          </w:p>
        </w:tc>
      </w:tr>
    </w:tbl>
    <w:bookmarkEnd w:id="1215"/>
    <w:bookmarkStart w:id="1240" w:name="Xe991b11a9021e8f2bfde662aa1ce77f53c8a57e"/>
    <w:p>
      <w:pPr>
        <w:pStyle w:val="Heading2"/>
      </w:pPr>
      <w:r>
        <w:t xml:space="preserve">Claude Agent SDK (Python: claude-agent-sdk; TypeScript:</w:t>
      </w:r>
      <w:r>
        <w:t xml:space="preserve"> </w:t>
      </w:r>
      <w:r>
        <w:t xml:space="preserve">@anthropic-ai/claude-agent-sdk</w:t>
      </w:r>
      <w:r>
        <w:t xml:space="preserve">); formerly Claude Code SDK (</w:t>
      </w:r>
      <w:r>
        <w:rPr>
          <w:rStyle w:val="VerbatimChar"/>
        </w:rPr>
        <w:t xml:space="preserve">L3-claude-agent-sdk</w:t>
      </w:r>
      <w:r>
        <w:t xml:space="preserve">)</w:t>
      </w:r>
    </w:p>
    <w:p>
      <w:pPr>
        <w:pStyle w:val="FirstParagraph"/>
      </w:pPr>
      <w:r>
        <w:rPr>
          <w:bCs/>
          <w:b/>
        </w:rPr>
        <w:t xml:space="preserve">Tier:</w:t>
      </w:r>
      <w:r>
        <w:t xml:space="preserve"> </w:t>
      </w:r>
      <w:r>
        <w:t xml:space="preserve">Experimental ·</w:t>
      </w:r>
      <w:r>
        <w:t xml:space="preserve"> </w:t>
      </w:r>
      <w:r>
        <w:rPr>
          <w:bCs/>
          <w:b/>
        </w:rPr>
        <w:t xml:space="preserve">Flags:</w:t>
      </w:r>
      <w:r>
        <w:t xml:space="preserve"> </w:t>
      </w:r>
      <w:r>
        <w:t xml:space="preserve">Renamed ·</w:t>
      </w:r>
      <w:r>
        <w:t xml:space="preserve"> </w:t>
      </w:r>
      <w:r>
        <w:rPr>
          <w:bCs/>
          <w:b/>
        </w:rPr>
        <w:t xml:space="preserve">Original graphic label:</w:t>
      </w:r>
      <w:r>
        <w:t xml:space="preserve"> </w:t>
      </w:r>
      <w:r>
        <w:t xml:space="preserve">Agent SDK (Anthropic logo)</w:t>
      </w:r>
    </w:p>
    <w:p>
      <w:pPr>
        <w:pStyle w:val="BodyText"/>
      </w:pPr>
      <w:r>
        <w:rPr>
          <w:iCs/>
          <w:i/>
        </w:rPr>
        <w:t xml:space="preserve">Rationale:</w:t>
      </w:r>
      <w:r>
        <w:t xml:space="preserve"> </w:t>
      </w:r>
      <w:r>
        <w:t xml:space="preserve">Alpha (the vendor’s own PyPI classifier), single-model and subprocess-bound; stays Experimental. Maturity set to 2 by the reader at Checkpoint 4 (CP4-9), in line with the OpenAI Agents SDK; technical 3 and deployment 3 are the peer-consistent values (CP4 review C). Conflict of interest disclosed.</w:t>
      </w:r>
    </w:p>
    <w:tbl>
      <w:tblPr>
        <w:tblStyle w:val="Table"/>
        <w:tblW w:type="pct" w:w="5000"/>
        <w:tblLook w:firstRow="1" w:lastRow="0" w:firstColumn="0" w:lastColumn="0" w:noHBand="0" w:noVBand="0" w:val="0020"/>
        <w:jc w:val="start"/>
      </w:tblPr>
      <w:tblGrid>
        <w:gridCol w:w="1545"/>
        <w:gridCol w:w="579"/>
        <w:gridCol w:w="5795"/>
      </w:tblGrid>
      <w:tr>
        <w:trPr>
          <w:tblHeader w:val="true"/>
        </w:trPr>
        <w:tc>
          <w:tcPr/>
          <w:p>
            <w:pPr>
              <w:pStyle w:val="Compact"/>
              <w:jc w:val="left"/>
            </w:pPr>
            <w:r>
              <w:t xml:space="preserve">Criterion</w:t>
            </w:r>
          </w:p>
        </w:tc>
        <w:tc>
          <w:tcPr/>
          <w:p>
            <w:pPr>
              <w:pStyle w:val="Compact"/>
              <w:jc w:val="right"/>
            </w:pPr>
            <w:r>
              <w:t xml:space="preserve">Score</w:t>
            </w:r>
          </w:p>
        </w:tc>
        <w:tc>
          <w:tcPr/>
          <w:p>
            <w:pPr>
              <w:pStyle w:val="Compact"/>
              <w:jc w:val="left"/>
            </w:pPr>
            <w:r>
              <w:t xml:space="preserve">Rationale</w:t>
            </w:r>
          </w:p>
        </w:tc>
      </w:tr>
      <w:tr>
        <w:tc>
          <w:tcPr/>
          <w:p>
            <w:pPr>
              <w:pStyle w:val="Compact"/>
              <w:jc w:val="left"/>
            </w:pPr>
            <w:r>
              <w:t xml:space="preserve">Technical</w:t>
            </w:r>
          </w:p>
        </w:tc>
        <w:tc>
          <w:tcPr/>
          <w:p>
            <w:pPr>
              <w:pStyle w:val="Compact"/>
              <w:jc w:val="right"/>
            </w:pPr>
            <w:r>
              <w:t xml:space="preserve">3</w:t>
            </w:r>
          </w:p>
        </w:tc>
        <w:tc>
          <w:tcPr/>
          <w:p>
            <w:pPr>
              <w:pStyle w:val="Compact"/>
              <w:jc w:val="left"/>
            </w:pPr>
            <w:r>
              <w:t xml:space="preserve">Rich autonomous harness, but no workflow engine or built-in durable execution</w:t>
            </w:r>
            <w:r>
              <w:t xml:space="preserve"> </w:t>
            </w:r>
            <w:r>
              <w:rPr>
                <w:rStyle w:val="ClaimLabel"/>
              </w:rPr>
              <w:t xml:space="preserve">VF</w:t>
            </w:r>
            <w:r>
              <w:rPr>
                <w:rStyle w:val="FootnoteReference"/>
              </w:rPr>
              <w:footnoteReference w:id="1216"/>
            </w:r>
            <w:r>
              <w:t xml:space="preserve">; borderline 3/4 resolved down</w:t>
            </w:r>
          </w:p>
        </w:tc>
      </w:tr>
      <w:tr>
        <w:tc>
          <w:tcPr/>
          <w:p>
            <w:pPr>
              <w:pStyle w:val="Compact"/>
              <w:jc w:val="left"/>
            </w:pPr>
            <w:r>
              <w:t xml:space="preserve">Enterprise readiness</w:t>
            </w:r>
          </w:p>
        </w:tc>
        <w:tc>
          <w:tcPr/>
          <w:p>
            <w:pPr>
              <w:pStyle w:val="Compact"/>
              <w:jc w:val="right"/>
            </w:pPr>
            <w:r>
              <w:t xml:space="preserve">3</w:t>
            </w:r>
          </w:p>
        </w:tc>
        <w:tc>
          <w:tcPr/>
          <w:p>
            <w:pPr>
              <w:pStyle w:val="Compact"/>
              <w:jc w:val="left"/>
            </w:pPr>
            <w:r>
              <w:t xml:space="preserve">Library (rule 2): permission modes and hooks; API-key auth; enterprise support not verified</w:t>
            </w:r>
            <w:r>
              <w:t xml:space="preserve"> </w:t>
            </w:r>
            <w:r>
              <w:rPr>
                <w:rStyle w:val="ClaimLabel"/>
              </w:rPr>
              <w:t xml:space="preserve">VF</w:t>
            </w:r>
            <w:r>
              <w:rPr>
                <w:rStyle w:val="FootnoteReference"/>
              </w:rPr>
              <w:footnoteReference w:id="1219"/>
            </w:r>
            <w:r>
              <w:t xml:space="preserve"> </w:t>
            </w:r>
            <w:r>
              <w:rPr>
                <w:rStyle w:val="ClaimLabel"/>
              </w:rPr>
              <w:t xml:space="preserve">NPV</w:t>
            </w:r>
          </w:p>
        </w:tc>
      </w:tr>
      <w:tr>
        <w:tc>
          <w:tcPr/>
          <w:p>
            <w:pPr>
              <w:pStyle w:val="Compact"/>
              <w:jc w:val="left"/>
            </w:pPr>
            <w:r>
              <w:t xml:space="preserve">Security and compliance</w:t>
            </w:r>
          </w:p>
        </w:tc>
        <w:tc>
          <w:tcPr/>
          <w:p>
            <w:pPr>
              <w:pStyle w:val="Compact"/>
              <w:jc w:val="right"/>
            </w:pPr>
            <w:r>
              <w:t xml:space="preserve">3</w:t>
            </w:r>
          </w:p>
        </w:tc>
        <w:tc>
          <w:tcPr/>
          <w:p>
            <w:pPr>
              <w:pStyle w:val="Compact"/>
              <w:jc w:val="left"/>
            </w:pPr>
            <w:r>
              <w:t xml:space="preserve">Library (rule 2); inherits Claude API terms where ZDR is available, but Managed Agents excluded from ZDR</w:t>
            </w:r>
            <w:r>
              <w:t xml:space="preserve"> </w:t>
            </w:r>
            <w:r>
              <w:rPr>
                <w:rStyle w:val="ClaimLabel"/>
              </w:rPr>
              <w:t xml:space="preserve">VF</w:t>
            </w:r>
            <w:r>
              <w:rPr>
                <w:rStyle w:val="FootnoteReference"/>
              </w:rPr>
              <w:footnoteReference w:id="1220"/>
            </w:r>
          </w:p>
        </w:tc>
      </w:tr>
      <w:tr>
        <w:tc>
          <w:tcPr/>
          <w:p>
            <w:pPr>
              <w:pStyle w:val="Compact"/>
              <w:jc w:val="left"/>
            </w:pPr>
            <w:r>
              <w:t xml:space="preserve">Deployment flexibility</w:t>
            </w:r>
          </w:p>
        </w:tc>
        <w:tc>
          <w:tcPr/>
          <w:p>
            <w:pPr>
              <w:pStyle w:val="Compact"/>
              <w:jc w:val="right"/>
            </w:pPr>
            <w:r>
              <w:t xml:space="preserve">3</w:t>
            </w:r>
          </w:p>
        </w:tc>
        <w:tc>
          <w:tcPr/>
          <w:p>
            <w:pPr>
              <w:pStyle w:val="Compact"/>
              <w:jc w:val="left"/>
            </w:pPr>
            <w:r>
              <w:t xml:space="preserve">Self-hosted in containers/Kubernetes; model inference remains a cloud API; subprocess-per-session hosting</w:t>
            </w:r>
            <w:r>
              <w:t xml:space="preserve"> </w:t>
            </w:r>
            <w:r>
              <w:rPr>
                <w:rStyle w:val="ClaimLabel"/>
              </w:rPr>
              <w:t xml:space="preserve">VF</w:t>
            </w:r>
            <w:r>
              <w:rPr>
                <w:rStyle w:val="FootnoteReference"/>
              </w:rPr>
              <w:footnoteReference w:id="1222"/>
            </w:r>
            <w:r>
              <w:t xml:space="preserve">; borderline 3/4 resolved down</w:t>
            </w:r>
          </w:p>
        </w:tc>
      </w:tr>
      <w:tr>
        <w:tc>
          <w:tcPr/>
          <w:p>
            <w:pPr>
              <w:pStyle w:val="Compact"/>
              <w:jc w:val="left"/>
            </w:pPr>
            <w:r>
              <w:t xml:space="preserve">Ecosystem</w:t>
            </w:r>
          </w:p>
        </w:tc>
        <w:tc>
          <w:tcPr/>
          <w:p>
            <w:pPr>
              <w:pStyle w:val="Compact"/>
              <w:jc w:val="right"/>
            </w:pPr>
            <w:r>
              <w:t xml:space="preserve">3</w:t>
            </w:r>
          </w:p>
        </w:tc>
        <w:tc>
          <w:tcPr/>
          <w:p>
            <w:pPr>
              <w:pStyle w:val="Compact"/>
              <w:jc w:val="left"/>
            </w:pPr>
            <w:r>
              <w:t xml:space="preserve">MCP, plugins and skills; Claude models only</w:t>
            </w:r>
            <w:r>
              <w:t xml:space="preserve"> </w:t>
            </w:r>
            <w:r>
              <w:rPr>
                <w:rStyle w:val="ClaimLabel"/>
              </w:rPr>
              <w:t xml:space="preserve">VF</w:t>
            </w:r>
            <w:r>
              <w:rPr>
                <w:rStyle w:val="FootnoteReference"/>
              </w:rPr>
              <w:footnoteReference w:id="1223"/>
            </w:r>
          </w:p>
        </w:tc>
      </w:tr>
      <w:tr>
        <w:tc>
          <w:tcPr/>
          <w:p>
            <w:pPr>
              <w:pStyle w:val="Compact"/>
              <w:jc w:val="left"/>
            </w:pPr>
            <w:r>
              <w:t xml:space="preserve">Reliability and maturity</w:t>
            </w:r>
          </w:p>
        </w:tc>
        <w:tc>
          <w:tcPr/>
          <w:p>
            <w:pPr>
              <w:pStyle w:val="Compact"/>
              <w:jc w:val="right"/>
            </w:pPr>
            <w:r>
              <w:t xml:space="preserve">2</w:t>
            </w:r>
          </w:p>
        </w:tc>
        <w:tc>
          <w:tcPr/>
          <w:p>
            <w:pPr>
              <w:pStyle w:val="Compact"/>
              <w:jc w:val="left"/>
            </w:pPr>
            <w:r>
              <w:t xml:space="preserve">Alpha development status (PyPI</w:t>
            </w:r>
            <w:r>
              <w:t xml:space="preserve"> </w:t>
            </w:r>
            <w:r>
              <w:t xml:space="preserve">‘</w:t>
            </w:r>
            <w:r>
              <w:t xml:space="preserve">Development Status: 3 - Alpha</w:t>
            </w:r>
            <w:r>
              <w:t xml:space="preserve">’</w:t>
            </w:r>
            <w:r>
              <w:t xml:space="preserve">), pre-1.0, renamed September 2025</w:t>
            </w:r>
            <w:r>
              <w:t xml:space="preserve"> </w:t>
            </w:r>
            <w:r>
              <w:rPr>
                <w:rStyle w:val="ClaimLabel"/>
              </w:rPr>
              <w:t xml:space="preserve">VF</w:t>
            </w:r>
            <w:r>
              <w:rPr>
                <w:rStyle w:val="FootnoteReference"/>
              </w:rPr>
              <w:footnoteReference w:id="1224"/>
            </w:r>
            <w:r>
              <w:t xml:space="preserve">. Scored 2, the same as the pre-1.0 OpenAI Agents SDK, by the reader at Checkpoint 4 (CP4-9; previously 1 under a strict reading of the anchor). The Alpha label is recorded as a limitation and reflected in the Experimental tier.</w:t>
            </w:r>
          </w:p>
        </w:tc>
      </w:tr>
      <w:tr>
        <w:tc>
          <w:tcPr/>
          <w:p>
            <w:pPr>
              <w:pStyle w:val="Compact"/>
              <w:jc w:val="left"/>
            </w:pPr>
            <w:r>
              <w:t xml:space="preserve">Cost / TCO</w:t>
            </w:r>
          </w:p>
        </w:tc>
        <w:tc>
          <w:tcPr/>
          <w:p>
            <w:pPr>
              <w:pStyle w:val="Compact"/>
              <w:jc w:val="right"/>
            </w:pPr>
            <w:r>
              <w:t xml:space="preserve">3</w:t>
            </w:r>
          </w:p>
        </w:tc>
        <w:tc>
          <w:tcPr/>
          <w:p>
            <w:pPr>
              <w:pStyle w:val="Compact"/>
              <w:jc w:val="left"/>
            </w:pPr>
            <w:r>
              <w:t xml:space="preserve">No SDK charge; compute scales with concurrent sessions</w:t>
            </w:r>
            <w:r>
              <w:t xml:space="preserve"> </w:t>
            </w:r>
            <w:r>
              <w:rPr>
                <w:rStyle w:val="ClaimLabel"/>
              </w:rPr>
              <w:t xml:space="preserve">VF</w:t>
            </w:r>
            <w:r>
              <w:rPr>
                <w:rStyle w:val="FootnoteReference"/>
              </w:rPr>
              <w:footnoteReference w:id="1227"/>
            </w:r>
            <w:r>
              <w:t xml:space="preserve"> </w:t>
            </w:r>
            <w:r>
              <w:rPr>
                <w:rStyle w:val="ClaimLabel"/>
              </w:rPr>
              <w:t xml:space="preserve">AJ</w:t>
            </w:r>
          </w:p>
        </w:tc>
      </w:tr>
      <w:tr>
        <w:tc>
          <w:tcPr/>
          <w:p>
            <w:pPr>
              <w:pStyle w:val="Compact"/>
              <w:jc w:val="left"/>
            </w:pPr>
            <w:r>
              <w:t xml:space="preserve">Lock-in / portability</w:t>
            </w:r>
          </w:p>
        </w:tc>
        <w:tc>
          <w:tcPr/>
          <w:p>
            <w:pPr>
              <w:pStyle w:val="Compact"/>
              <w:jc w:val="right"/>
            </w:pPr>
            <w:r>
              <w:t xml:space="preserve">2</w:t>
            </w:r>
          </w:p>
        </w:tc>
        <w:tc>
          <w:tcPr/>
          <w:p>
            <w:pPr>
              <w:pStyle w:val="Compact"/>
              <w:jc w:val="left"/>
            </w:pPr>
            <w:r>
              <w:t xml:space="preserve">Claude-only, bundled CLI binary, Commercial Terms</w:t>
            </w:r>
            <w:r>
              <w:t xml:space="preserve"> </w:t>
            </w:r>
            <w:r>
              <w:rPr>
                <w:rStyle w:val="ClaimLabel"/>
              </w:rPr>
              <w:t xml:space="preserve">VF</w:t>
            </w:r>
            <w:r>
              <w:rPr>
                <w:rStyle w:val="FootnoteReference"/>
              </w:rPr>
              <w:footnoteReference w:id="1228"/>
            </w:r>
          </w:p>
        </w:tc>
      </w:tr>
      <w:tr>
        <w:tc>
          <w:tcPr/>
          <w:p>
            <w:pPr>
              <w:pStyle w:val="Compact"/>
              <w:jc w:val="left"/>
            </w:pPr>
            <w:r>
              <w:rPr>
                <w:bCs/>
                <w:b/>
              </w:rPr>
              <w:t xml:space="preserve">Total (generic / FS)</w:t>
            </w:r>
          </w:p>
        </w:tc>
        <w:tc>
          <w:tcPr/>
          <w:p>
            <w:pPr>
              <w:pStyle w:val="Compact"/>
              <w:jc w:val="right"/>
            </w:pPr>
            <w:r>
              <w:rPr>
                <w:bCs/>
                <w:b/>
              </w:rPr>
              <w:t xml:space="preserve">2.85 / 2.75</w:t>
            </w:r>
          </w:p>
        </w:tc>
        <w:tc>
          <w:tcPr/>
          <w:p>
            <w:pPr>
              <w:pStyle w:val="Compact"/>
            </w:pPr>
          </w:p>
        </w:tc>
      </w:tr>
    </w:tbl>
    <w:p>
      <w:pPr>
        <w:pStyle w:val="BodyText"/>
      </w:pPr>
      <w:r>
        <w:rPr>
          <w:bCs/>
          <w:b/>
        </w:rPr>
        <w:t xml:space="preserve">Capabilities.</w:t>
      </w:r>
      <w:r>
        <w:t xml:space="preserve"> </w:t>
      </w:r>
      <w:r>
        <w:t xml:space="preserve">Anthropic’s agent harness SDK (formerly Claude Code SDK): embeds Claude Code’s agent loop, built-in file/shell/web tools, hooks, subagents, MCP, permission modes and resumable/forkable sessions as a Python or TypeScript library; spawns one Claude Code CLI subprocess per session</w:t>
      </w:r>
      <w:r>
        <w:t xml:space="preserve"> </w:t>
      </w:r>
      <w:r>
        <w:rPr>
          <w:rStyle w:val="ClaimLabel"/>
        </w:rPr>
        <w:t xml:space="preserve">VF</w:t>
      </w:r>
      <w:r>
        <w:rPr>
          <w:rStyle w:val="FootnoteReference"/>
        </w:rPr>
        <w:footnoteReference w:id="1230"/>
      </w:r>
      <w:r>
        <w:t xml:space="preserve">. Conflict of interest: Anthropic product scored by an Anthropic model.</w:t>
      </w:r>
    </w:p>
    <w:p>
      <w:pPr>
        <w:pStyle w:val="BodyText"/>
      </w:pPr>
      <w:r>
        <w:rPr>
          <w:bCs/>
          <w:b/>
        </w:rPr>
        <w:t xml:space="preserve">Strengths</w:t>
      </w:r>
    </w:p>
    <w:p>
      <w:pPr>
        <w:numPr>
          <w:ilvl w:val="0"/>
          <w:numId w:val="1269"/>
        </w:numPr>
        <w:pStyle w:val="Compact"/>
      </w:pPr>
      <w:r>
        <w:t xml:space="preserve">Permission modes and hooks give fine-grained tool approval</w:t>
      </w:r>
      <w:r>
        <w:t xml:space="preserve"> </w:t>
      </w:r>
      <w:r>
        <w:rPr>
          <w:rStyle w:val="ClaimLabel"/>
        </w:rPr>
        <w:t xml:space="preserve">VF</w:t>
      </w:r>
      <w:r>
        <w:rPr>
          <w:rStyle w:val="FootnoteReference"/>
        </w:rPr>
        <w:footnoteReference w:id="1232"/>
      </w:r>
    </w:p>
    <w:p>
      <w:pPr>
        <w:numPr>
          <w:ilvl w:val="0"/>
          <w:numId w:val="1269"/>
        </w:numPr>
        <w:pStyle w:val="Compact"/>
      </w:pPr>
      <w:r>
        <w:t xml:space="preserve">Strong fit for code- and file-centric autonomous tasks</w:t>
      </w:r>
      <w:r>
        <w:t xml:space="preserve"> </w:t>
      </w:r>
      <w:r>
        <w:rPr>
          <w:rStyle w:val="ClaimLabel"/>
        </w:rPr>
        <w:t xml:space="preserve">AJ</w:t>
      </w:r>
    </w:p>
    <w:p>
      <w:pPr>
        <w:pStyle w:val="FirstParagraph"/>
      </w:pPr>
      <w:r>
        <w:rPr>
          <w:bCs/>
          <w:b/>
        </w:rPr>
        <w:t xml:space="preserve">Limitations and risks</w:t>
      </w:r>
    </w:p>
    <w:p>
      <w:pPr>
        <w:numPr>
          <w:ilvl w:val="0"/>
          <w:numId w:val="1270"/>
        </w:numPr>
        <w:pStyle w:val="Compact"/>
      </w:pPr>
      <w:r>
        <w:t xml:space="preserve">Python package classified Alpha; 0.x versioning</w:t>
      </w:r>
      <w:r>
        <w:t xml:space="preserve"> </w:t>
      </w:r>
      <w:r>
        <w:rPr>
          <w:rStyle w:val="ClaimLabel"/>
        </w:rPr>
        <w:t xml:space="preserve">VF</w:t>
      </w:r>
      <w:r>
        <w:rPr>
          <w:rStyle w:val="FootnoteReference"/>
        </w:rPr>
        <w:footnoteReference w:id="1233"/>
      </w:r>
    </w:p>
    <w:p>
      <w:pPr>
        <w:numPr>
          <w:ilvl w:val="0"/>
          <w:numId w:val="1270"/>
        </w:numPr>
        <w:pStyle w:val="Compact"/>
      </w:pPr>
      <w:r>
        <w:t xml:space="preserve">Claude models only, via Claude API, Bedrock or Google Cloud</w:t>
      </w:r>
      <w:r>
        <w:t xml:space="preserve"> </w:t>
      </w:r>
      <w:r>
        <w:rPr>
          <w:rStyle w:val="ClaimLabel"/>
        </w:rPr>
        <w:t xml:space="preserve">VF</w:t>
      </w:r>
      <w:r>
        <w:rPr>
          <w:rStyle w:val="FootnoteReference"/>
        </w:rPr>
        <w:footnoteReference w:id="1234"/>
      </w:r>
    </w:p>
    <w:p>
      <w:pPr>
        <w:numPr>
          <w:ilvl w:val="0"/>
          <w:numId w:val="1270"/>
        </w:numPr>
        <w:pStyle w:val="Compact"/>
      </w:pPr>
      <w:r>
        <w:t xml:space="preserve">Use governed by Anthropic Commercial Terms despite the MIT repository licence</w:t>
      </w:r>
      <w:r>
        <w:t xml:space="preserve"> </w:t>
      </w:r>
      <w:r>
        <w:rPr>
          <w:rStyle w:val="ClaimLabel"/>
        </w:rPr>
        <w:t xml:space="preserve">VF</w:t>
      </w:r>
      <w:r>
        <w:rPr>
          <w:rStyle w:val="FootnoteReference"/>
        </w:rPr>
        <w:footnoteReference w:id="1235"/>
      </w:r>
    </w:p>
    <w:p>
      <w:pPr>
        <w:numPr>
          <w:ilvl w:val="0"/>
          <w:numId w:val="1270"/>
        </w:numPr>
        <w:pStyle w:val="Compact"/>
      </w:pPr>
      <w:r>
        <w:t xml:space="preserve">One long-lived subprocess per session; transcripts on local disk unless a SessionStore is configured</w:t>
      </w:r>
      <w:r>
        <w:t xml:space="preserve"> </w:t>
      </w:r>
      <w:r>
        <w:rPr>
          <w:rStyle w:val="ClaimLabel"/>
        </w:rPr>
        <w:t xml:space="preserve">VF</w:t>
      </w:r>
      <w:r>
        <w:rPr>
          <w:rStyle w:val="FootnoteReference"/>
        </w:rPr>
        <w:footnoteReference w:id="1237"/>
      </w:r>
    </w:p>
    <w:p>
      <w:pPr>
        <w:numPr>
          <w:ilvl w:val="0"/>
          <w:numId w:val="1270"/>
        </w:numPr>
        <w:pStyle w:val="Compact"/>
      </w:pPr>
      <w:r>
        <w:t xml:space="preserve">Claude Managed Agents is excluded from ZDR</w:t>
      </w:r>
      <w:r>
        <w:t xml:space="preserve"> </w:t>
      </w:r>
      <w:r>
        <w:rPr>
          <w:rStyle w:val="ClaimLabel"/>
        </w:rPr>
        <w:t xml:space="preserve">VF</w:t>
      </w:r>
      <w:r>
        <w:rPr>
          <w:rStyle w:val="FootnoteReference"/>
        </w:rPr>
        <w:footnoteReference w:id="1238"/>
      </w:r>
    </w:p>
    <w:p>
      <w:pPr>
        <w:numPr>
          <w:ilvl w:val="0"/>
          <w:numId w:val="1270"/>
        </w:numPr>
        <w:pStyle w:val="Compact"/>
      </w:pPr>
      <w:r>
        <w:t xml:space="preserve">No deterministic workflow engine</w:t>
      </w:r>
      <w:r>
        <w:t xml:space="preserve"> </w:t>
      </w:r>
      <w:r>
        <w:rPr>
          <w:rStyle w:val="ClaimLabel"/>
        </w:rPr>
        <w:t xml:space="preserve">VF</w:t>
      </w:r>
      <w:r>
        <w:rPr>
          <w:rStyle w:val="FootnoteReference"/>
        </w:rPr>
        <w:footnoteReference w:id="1239"/>
      </w:r>
    </w:p>
    <w:p>
      <w:pPr>
        <w:pStyle w:val="FirstParagraph"/>
      </w:pPr>
      <w:r>
        <w:rPr>
          <w:bCs/>
          <w:b/>
        </w:rPr>
        <w:t xml:space="preserve">Choose when</w:t>
      </w:r>
    </w:p>
    <w:p>
      <w:pPr>
        <w:numPr>
          <w:ilvl w:val="0"/>
          <w:numId w:val="1271"/>
        </w:numPr>
        <w:pStyle w:val="Compact"/>
      </w:pPr>
      <w:r>
        <w:t xml:space="preserve">A sandboxed autonomous sub-task (e.g. code or document manipulation) inside a firm-owned workflow, where Claude is already an approved model</w:t>
      </w:r>
      <w:r>
        <w:t xml:space="preserve"> </w:t>
      </w:r>
      <w:r>
        <w:rPr>
          <w:rStyle w:val="ClaimLabel"/>
        </w:rPr>
        <w:t xml:space="preserve">AJ</w:t>
      </w:r>
    </w:p>
    <w:p>
      <w:pPr>
        <w:pStyle w:val="FirstParagraph"/>
      </w:pPr>
      <w:r>
        <w:rPr>
          <w:bCs/>
          <w:b/>
        </w:rPr>
        <w:t xml:space="preserve">Avoid when</w:t>
      </w:r>
    </w:p>
    <w:p>
      <w:pPr>
        <w:numPr>
          <w:ilvl w:val="0"/>
          <w:numId w:val="1272"/>
        </w:numPr>
        <w:pStyle w:val="Compact"/>
      </w:pPr>
      <w:r>
        <w:t xml:space="preserve">You need model portability or a deterministic workflow engine</w:t>
      </w:r>
      <w:r>
        <w:t xml:space="preserve"> </w:t>
      </w:r>
      <w:r>
        <w:rPr>
          <w:rStyle w:val="ClaimLabel"/>
        </w:rPr>
        <w:t xml:space="preserve">AJ</w:t>
      </w:r>
    </w:p>
    <w:p>
      <w:pPr>
        <w:numPr>
          <w:ilvl w:val="0"/>
          <w:numId w:val="1272"/>
        </w:numPr>
        <w:pStyle w:val="Compact"/>
      </w:pPr>
      <w:r>
        <w:t xml:space="preserve">A regulated process would run on an Alpha-classified dependency</w:t>
      </w:r>
      <w:r>
        <w:t xml:space="preserve"> </w:t>
      </w:r>
      <w:r>
        <w:rPr>
          <w:rStyle w:val="ClaimLabel"/>
        </w:rPr>
        <w:t xml:space="preserve">AJ</w:t>
      </w:r>
    </w:p>
    <w:p>
      <w:pPr>
        <w:pStyle w:val="FirstParagraph"/>
      </w:pPr>
      <w:r>
        <w:rPr>
          <w:bCs/>
          <w:b/>
        </w:rPr>
        <w:t xml:space="preserve">Nearest competitors:</w:t>
      </w:r>
      <w:r>
        <w:t xml:space="preserve"> </w:t>
      </w:r>
      <w:r>
        <w:t xml:space="preserve">L3-openai-agents-sdk, L3-langgraph, L3-pydantic-ai</w:t>
      </w:r>
    </w:p>
    <w:p>
      <w:pPr>
        <w:pStyle w:val="BodyText"/>
      </w:pPr>
      <w:r>
        <w:rPr>
          <w:bCs/>
          <w:b/>
        </w:rPr>
        <w:t xml:space="preserve">Regulated-FS note.</w:t>
      </w:r>
      <w:r>
        <w:t xml:space="preserve"> </w:t>
      </w:r>
      <w:r>
        <w:t xml:space="preserve">Run only in sandboxed containers with network controls, under a workflow engine that owns state and approvals; independent alternatives are LangGraph and Pydantic AI</w:t>
      </w:r>
      <w:r>
        <w:t xml:space="preserve"> </w:t>
      </w:r>
      <w:r>
        <w:rPr>
          <w:rStyle w:val="ClaimLabel"/>
        </w:rPr>
        <w:t xml:space="preserve">Rec</w:t>
      </w:r>
      <w:r>
        <w:t xml:space="preserve">.</w:t>
      </w:r>
    </w:p>
    <w:p>
      <w:pPr>
        <w:pStyle w:val="BodyText"/>
      </w:pPr>
      <w:r>
        <w:rPr>
          <w:bCs/>
          <w:b/>
        </w:rPr>
        <w:t xml:space="preserve">Facts (as of 2026-10-08)</w:t>
      </w:r>
    </w:p>
    <w:tbl>
      <w:tblPr>
        <w:tblStyle w:val="Table"/>
        <w:tblW w:type="pct" w:w="5000"/>
        <w:tblLook w:firstRow="1" w:lastRow="0" w:firstColumn="0" w:lastColumn="0" w:noHBand="0" w:noVBand="0" w:val="0020"/>
        <w:jc w:val="start"/>
      </w:tblPr>
      <w:tblGrid>
        <w:gridCol w:w="1485"/>
        <w:gridCol w:w="4290"/>
        <w:gridCol w:w="1320"/>
        <w:gridCol w:w="825"/>
      </w:tblGrid>
      <w:tr>
        <w:trPr>
          <w:tblHeader w:val="true"/>
        </w:trPr>
        <w:tc>
          <w:tcPr/>
          <w:p>
            <w:pPr>
              <w:pStyle w:val="Compact"/>
              <w:jc w:val="left"/>
            </w:pPr>
            <w:r>
              <w:t xml:space="preserve">Field</w:t>
            </w:r>
          </w:p>
        </w:tc>
        <w:tc>
          <w:tcPr/>
          <w:p>
            <w:pPr>
              <w:pStyle w:val="Compact"/>
              <w:jc w:val="left"/>
            </w:pPr>
            <w:r>
              <w:t xml:space="preserve">Value</w:t>
            </w:r>
          </w:p>
        </w:tc>
        <w:tc>
          <w:tcPr/>
          <w:p>
            <w:pPr>
              <w:pStyle w:val="Compact"/>
              <w:jc w:val="left"/>
            </w:pPr>
            <w:r>
              <w:t xml:space="preserve">Label</w:t>
            </w:r>
          </w:p>
        </w:tc>
        <w:tc>
          <w:tcPr/>
          <w:p>
            <w:pPr>
              <w:pStyle w:val="Compact"/>
              <w:jc w:val="left"/>
            </w:pPr>
            <w:r>
              <w:t xml:space="preserve">Sources</w:t>
            </w:r>
          </w:p>
        </w:tc>
      </w:tr>
      <w:tr>
        <w:tc>
          <w:tcPr/>
          <w:p>
            <w:pPr>
              <w:pStyle w:val="Compact"/>
              <w:jc w:val="left"/>
            </w:pPr>
            <w:r>
              <w:t xml:space="preserve">Company</w:t>
            </w:r>
          </w:p>
        </w:tc>
        <w:tc>
          <w:tcPr/>
          <w:p>
            <w:pPr>
              <w:pStyle w:val="Compact"/>
              <w:jc w:val="left"/>
            </w:pPr>
            <w:r>
              <w:t xml:space="preserve">Anthropic, PBC</w:t>
            </w:r>
          </w:p>
        </w:tc>
        <w:tc>
          <w:tcPr/>
          <w:p>
            <w:pPr>
              <w:pStyle w:val="Compact"/>
              <w:jc w:val="left"/>
            </w:pPr>
            <w:r>
              <w:t xml:space="preserve">Verified fact</w:t>
            </w:r>
          </w:p>
        </w:tc>
        <w:tc>
          <w:tcPr/>
          <w:p>
            <w:pPr>
              <w:pStyle w:val="Compact"/>
              <w:jc w:val="left"/>
            </w:pPr>
            <w:r>
              <w:t xml:space="preserve">A4-S092, A4-S027</w:t>
            </w:r>
          </w:p>
        </w:tc>
      </w:tr>
      <w:tr>
        <w:tc>
          <w:tcPr/>
          <w:p>
            <w:pPr>
              <w:pStyle w:val="Compact"/>
              <w:jc w:val="left"/>
            </w:pPr>
            <w:r>
              <w:t xml:space="preserve">Category</w:t>
            </w:r>
          </w:p>
        </w:tc>
        <w:tc>
          <w:tcPr/>
          <w:p>
            <w:pPr>
              <w:pStyle w:val="Compact"/>
              <w:jc w:val="left"/>
            </w:pPr>
            <w:r>
              <w:t xml:space="preserve">Agent harness SDK that embeds Claude Code’s agent loop, built-in tools and context management as a library</w:t>
            </w:r>
          </w:p>
        </w:tc>
        <w:tc>
          <w:tcPr/>
          <w:p>
            <w:pPr>
              <w:pStyle w:val="Compact"/>
              <w:jc w:val="left"/>
            </w:pPr>
            <w:r>
              <w:t xml:space="preserve">Verified fact</w:t>
            </w:r>
          </w:p>
        </w:tc>
        <w:tc>
          <w:tcPr/>
          <w:p>
            <w:pPr>
              <w:pStyle w:val="Compact"/>
              <w:jc w:val="left"/>
            </w:pPr>
            <w:r>
              <w:t xml:space="preserve">A4-S027</w:t>
            </w:r>
          </w:p>
        </w:tc>
      </w:tr>
      <w:tr>
        <w:tc>
          <w:tcPr/>
          <w:p>
            <w:pPr>
              <w:pStyle w:val="Compact"/>
              <w:jc w:val="left"/>
            </w:pPr>
            <w:r>
              <w:t xml:space="preserve">Version / lineup</w:t>
            </w:r>
          </w:p>
        </w:tc>
        <w:tc>
          <w:tcPr/>
          <w:p>
            <w:pPr>
              <w:pStyle w:val="Compact"/>
              <w:jc w:val="left"/>
            </w:pPr>
            <w:r>
              <w:t xml:space="preserve">claude-agent-sdk 0.2.164 (6 October 2026; PyPI classifier</w:t>
            </w:r>
            <w:r>
              <w:t xml:space="preserve"> </w:t>
            </w:r>
            <w:r>
              <w:t xml:space="preserve">‘</w:t>
            </w:r>
            <w:r>
              <w:t xml:space="preserve">Development Status: 3 - Alpha</w:t>
            </w:r>
            <w:r>
              <w:t xml:space="preserve">’</w:t>
            </w:r>
            <w:r>
              <w:t xml:space="preserve">);</w:t>
            </w:r>
            <w:r>
              <w:t xml:space="preserve"> </w:t>
            </w:r>
            <w:r>
              <w:t xml:space="preserve">@anthropic-ai/claude-agent-sdk</w:t>
            </w:r>
            <w:r>
              <w:t xml:space="preserve"> </w:t>
            </w:r>
            <w:r>
              <w:t xml:space="preserve">0.3.293 (7 October 2026)</w:t>
            </w:r>
          </w:p>
        </w:tc>
        <w:tc>
          <w:tcPr/>
          <w:p>
            <w:pPr>
              <w:pStyle w:val="Compact"/>
              <w:jc w:val="left"/>
            </w:pPr>
            <w:r>
              <w:t xml:space="preserve">Verified fact</w:t>
            </w:r>
          </w:p>
        </w:tc>
        <w:tc>
          <w:tcPr/>
          <w:p>
            <w:pPr>
              <w:pStyle w:val="Compact"/>
              <w:jc w:val="left"/>
            </w:pPr>
            <w:r>
              <w:t xml:space="preserve">A4-S006, A4-S023</w:t>
            </w:r>
          </w:p>
        </w:tc>
      </w:tr>
      <w:tr>
        <w:tc>
          <w:tcPr/>
          <w:p>
            <w:pPr>
              <w:pStyle w:val="Compact"/>
              <w:jc w:val="left"/>
            </w:pPr>
            <w:r>
              <w:t xml:space="preserve">Licence</w:t>
            </w:r>
          </w:p>
        </w:tc>
        <w:tc>
          <w:tcPr/>
          <w:p>
            <w:pPr>
              <w:pStyle w:val="Compact"/>
              <w:jc w:val="left"/>
            </w:pPr>
            <w:r>
              <w:t xml:space="preserve">Python repository LICENSE is MIT; npm package licence field reads</w:t>
            </w:r>
            <w:r>
              <w:t xml:space="preserve"> </w:t>
            </w:r>
            <w:r>
              <w:t xml:space="preserve">‘</w:t>
            </w:r>
            <w:r>
              <w:t xml:space="preserve">SEE LICENSE IN README.md</w:t>
            </w:r>
            <w:r>
              <w:t xml:space="preserve">’</w:t>
            </w:r>
            <w:r>
              <w:t xml:space="preserve">; Anthropic docs state use of the SDK is governed by Anthropic’s Commercial Terms of Service (except components under their own licence)</w:t>
            </w:r>
          </w:p>
        </w:tc>
        <w:tc>
          <w:tcPr/>
          <w:p>
            <w:pPr>
              <w:pStyle w:val="Compact"/>
              <w:jc w:val="left"/>
            </w:pPr>
            <w:r>
              <w:t xml:space="preserve">Verified fact</w:t>
            </w:r>
          </w:p>
        </w:tc>
        <w:tc>
          <w:tcPr/>
          <w:p>
            <w:pPr>
              <w:pStyle w:val="Compact"/>
              <w:jc w:val="left"/>
            </w:pPr>
            <w:r>
              <w:t xml:space="preserve">A4-S092, A4-S006, A4-S023, A4-S027, V1-S048</w:t>
            </w:r>
          </w:p>
        </w:tc>
      </w:tr>
      <w:tr>
        <w:tc>
          <w:tcPr/>
          <w:p>
            <w:pPr>
              <w:pStyle w:val="Compact"/>
              <w:jc w:val="left"/>
            </w:pPr>
            <w:r>
              <w:t xml:space="preserve">Status events</w:t>
            </w:r>
          </w:p>
        </w:tc>
        <w:tc>
          <w:tcPr/>
          <w:p>
            <w:pPr>
              <w:pStyle w:val="Compact"/>
              <w:jc w:val="left"/>
            </w:pPr>
            <w:r>
              <w:t xml:space="preserve">29 September 2025: Claude Code SDK renamed Claude Agent SDK (claude-agent-sdk 0.1.0 first published to PyPI 28 September 2025 UTC) (packages claude-code-sdk -&gt; claude-agent-sdk,</w:t>
            </w:r>
            <w:r>
              <w:t xml:space="preserve"> </w:t>
            </w:r>
            <w:r>
              <w:t xml:space="preserve">@anthropic-ai/claude-code</w:t>
            </w:r>
            <w:r>
              <w:t xml:space="preserve"> </w:t>
            </w:r>
            <w:r>
              <w:t xml:space="preserve">-&gt;</w:t>
            </w:r>
            <w:r>
              <w:t xml:space="preserve"> </w:t>
            </w:r>
            <w:r>
              <w:t xml:space="preserve">@anthropic-ai/claude-agent-sdk</w:t>
            </w:r>
            <w:r>
              <w:t xml:space="preserve">); claude-code-sdk marked deprecated and no longer maintained (last release 0.0.25, 29 September 2025)</w:t>
            </w:r>
          </w:p>
        </w:tc>
        <w:tc>
          <w:tcPr/>
          <w:p>
            <w:pPr>
              <w:pStyle w:val="Compact"/>
              <w:jc w:val="left"/>
            </w:pPr>
            <w:r>
              <w:t xml:space="preserve">Verified fact</w:t>
            </w:r>
          </w:p>
        </w:tc>
        <w:tc>
          <w:tcPr/>
          <w:p>
            <w:pPr>
              <w:pStyle w:val="Compact"/>
              <w:jc w:val="left"/>
            </w:pPr>
            <w:r>
              <w:t xml:space="preserve">A4-S029, A4-S028, A4-S011, V1-S049</w:t>
            </w:r>
          </w:p>
        </w:tc>
      </w:tr>
      <w:tr>
        <w:tc>
          <w:tcPr/>
          <w:p>
            <w:pPr>
              <w:pStyle w:val="Compact"/>
              <w:jc w:val="left"/>
            </w:pPr>
            <w:r>
              <w:t xml:space="preserve">Strategic direction</w:t>
            </w:r>
          </w:p>
        </w:tc>
        <w:tc>
          <w:tcPr/>
          <w:p>
            <w:pPr>
              <w:pStyle w:val="Compact"/>
              <w:jc w:val="left"/>
            </w:pPr>
            <w:r>
              <w:t xml:space="preserve">Positioned for agents beyond coding; Anthropic also offers Claude Managed Agents (beta), a hosted agent harness with Anthropic-managed or self-hosted sandboxes, as the hosted alternative</w:t>
            </w:r>
          </w:p>
        </w:tc>
        <w:tc>
          <w:tcPr/>
          <w:p>
            <w:pPr>
              <w:pStyle w:val="Compact"/>
              <w:jc w:val="left"/>
            </w:pPr>
            <w:r>
              <w:t xml:space="preserve">Verified fact</w:t>
            </w:r>
          </w:p>
        </w:tc>
        <w:tc>
          <w:tcPr/>
          <w:p>
            <w:pPr>
              <w:pStyle w:val="Compact"/>
              <w:jc w:val="left"/>
            </w:pPr>
            <w:r>
              <w:t xml:space="preserve">A4-S028, A4-S027, A4-S124</w:t>
            </w:r>
          </w:p>
        </w:tc>
      </w:tr>
      <w:tr>
        <w:tc>
          <w:tcPr/>
          <w:p>
            <w:pPr>
              <w:pStyle w:val="Compact"/>
              <w:jc w:val="left"/>
            </w:pPr>
            <w:r>
              <w:t xml:space="preserve">What it does</w:t>
            </w:r>
          </w:p>
        </w:tc>
        <w:tc>
          <w:tcPr/>
          <w:p>
            <w:pPr>
              <w:pStyle w:val="Compact"/>
              <w:jc w:val="left"/>
            </w:pPr>
            <w:r>
              <w:t xml:space="preserve">Gives developers the same tools, agent loop and context management that power Claude Code, programmable in Python and TypeScript: built-in file/shell/web tools, hooks, subagents, MCP, permissions, sessions (resume/fork), skills, commands, memory and plugins.</w:t>
            </w:r>
          </w:p>
        </w:tc>
        <w:tc>
          <w:tcPr/>
          <w:p>
            <w:pPr>
              <w:pStyle w:val="Compact"/>
              <w:jc w:val="left"/>
            </w:pPr>
            <w:r>
              <w:t xml:space="preserve">Verified fact</w:t>
            </w:r>
          </w:p>
        </w:tc>
        <w:tc>
          <w:tcPr/>
          <w:p>
            <w:pPr>
              <w:pStyle w:val="Compact"/>
              <w:jc w:val="left"/>
            </w:pPr>
            <w:r>
              <w:t xml:space="preserve">A4-S027</w:t>
            </w:r>
          </w:p>
        </w:tc>
      </w:tr>
      <w:tr>
        <w:tc>
          <w:tcPr/>
          <w:p>
            <w:pPr>
              <w:pStyle w:val="Compact"/>
              <w:jc w:val="left"/>
            </w:pPr>
            <w:r>
              <w:t xml:space="preserve">Stack position</w:t>
            </w:r>
          </w:p>
        </w:tc>
        <w:tc>
          <w:tcPr/>
          <w:p>
            <w:pPr>
              <w:pStyle w:val="Compact"/>
              <w:jc w:val="left"/>
            </w:pPr>
            <w:r>
              <w:t xml:space="preserve">L3 agent harness (autonomous agent loop). It is not a deterministic workflow engine; it runs as a supervised CLI subprocess per session</w:t>
            </w:r>
          </w:p>
        </w:tc>
        <w:tc>
          <w:tcPr/>
          <w:p>
            <w:pPr>
              <w:pStyle w:val="Compact"/>
              <w:jc w:val="left"/>
            </w:pPr>
            <w:r>
              <w:t xml:space="preserve">Verified fact</w:t>
            </w:r>
          </w:p>
        </w:tc>
        <w:tc>
          <w:tcPr/>
          <w:p>
            <w:pPr>
              <w:pStyle w:val="Compact"/>
              <w:jc w:val="left"/>
            </w:pPr>
            <w:r>
              <w:t xml:space="preserve">A4-S027, A4-S122</w:t>
            </w:r>
          </w:p>
        </w:tc>
      </w:tr>
      <w:tr>
        <w:tc>
          <w:tcPr/>
          <w:p>
            <w:pPr>
              <w:pStyle w:val="Compact"/>
              <w:jc w:val="left"/>
            </w:pPr>
            <w:r>
              <w:t xml:space="preserve">Integration</w:t>
            </w:r>
          </w:p>
        </w:tc>
        <w:tc>
          <w:tcPr/>
          <w:p>
            <w:pPr>
              <w:pStyle w:val="Compact"/>
              <w:jc w:val="left"/>
            </w:pPr>
            <w:r>
              <w:t xml:space="preserve">Python/TS libraries; MCP for tools/data; hooks; CLI subprocess with JSON output for other languages</w:t>
            </w:r>
          </w:p>
        </w:tc>
        <w:tc>
          <w:tcPr/>
          <w:p>
            <w:pPr>
              <w:pStyle w:val="Compact"/>
              <w:jc w:val="left"/>
            </w:pPr>
            <w:r>
              <w:t xml:space="preserve">Verified fact</w:t>
            </w:r>
          </w:p>
        </w:tc>
        <w:tc>
          <w:tcPr/>
          <w:p>
            <w:pPr>
              <w:pStyle w:val="Compact"/>
              <w:jc w:val="left"/>
            </w:pPr>
            <w:r>
              <w:t xml:space="preserve">A4-S027</w:t>
            </w:r>
          </w:p>
        </w:tc>
      </w:tr>
      <w:tr>
        <w:tc>
          <w:tcPr/>
          <w:p>
            <w:pPr>
              <w:pStyle w:val="Compact"/>
              <w:jc w:val="left"/>
            </w:pPr>
            <w:r>
              <w:t xml:space="preserve">Dependencies</w:t>
            </w:r>
          </w:p>
        </w:tc>
        <w:tc>
          <w:tcPr/>
          <w:p>
            <w:pPr>
              <w:pStyle w:val="Compact"/>
              <w:jc w:val="left"/>
            </w:pPr>
            <w:r>
              <w:t xml:space="preserve">Bundled Claude Code CLI binary (spawned as a subprocess per session over stdio); Python &gt;=3.10 or Node; Claude models via the Claude API, or provider endpoints on Amazon Bedrock or Google Cloud’s Agent Platform; durable store needed to persist session transcripts beyond local disk</w:t>
            </w:r>
          </w:p>
        </w:tc>
        <w:tc>
          <w:tcPr/>
          <w:p>
            <w:pPr>
              <w:pStyle w:val="Compact"/>
              <w:jc w:val="left"/>
            </w:pPr>
            <w:r>
              <w:t xml:space="preserve">Verified fact</w:t>
            </w:r>
          </w:p>
        </w:tc>
        <w:tc>
          <w:tcPr/>
          <w:p>
            <w:pPr>
              <w:pStyle w:val="Compact"/>
              <w:jc w:val="left"/>
            </w:pPr>
            <w:r>
              <w:t xml:space="preserve">A4-S006, A4-S122</w:t>
            </w:r>
          </w:p>
        </w:tc>
      </w:tr>
      <w:tr>
        <w:tc>
          <w:tcPr/>
          <w:p>
            <w:pPr>
              <w:pStyle w:val="Compact"/>
              <w:jc w:val="left"/>
            </w:pPr>
            <w:r>
              <w:t xml:space="preserve">Certifications</w:t>
            </w:r>
          </w:p>
        </w:tc>
        <w:tc>
          <w:tcPr/>
          <w:p>
            <w:pPr>
              <w:pStyle w:val="Compact"/>
              <w:jc w:val="left"/>
            </w:pPr>
            <w:r>
              <w:t xml:space="preserve">Not applicable to the SDK; Anthropic platform certifications are covered in the L1 Anthropic record (stream A5)</w:t>
            </w:r>
          </w:p>
        </w:tc>
        <w:tc>
          <w:tcPr/>
          <w:p>
            <w:pPr>
              <w:pStyle w:val="Compact"/>
              <w:jc w:val="left"/>
            </w:pPr>
            <w:r>
              <w:t xml:space="preserve">Architectural judgement</w:t>
            </w:r>
          </w:p>
        </w:tc>
        <w:tc>
          <w:tcPr/>
          <w:p>
            <w:pPr>
              <w:pStyle w:val="Compact"/>
            </w:pPr>
          </w:p>
        </w:tc>
      </w:tr>
      <w:tr>
        <w:tc>
          <w:tcPr/>
          <w:p>
            <w:pPr>
              <w:pStyle w:val="Compact"/>
              <w:jc w:val="left"/>
            </w:pPr>
            <w:r>
              <w:t xml:space="preserve">GDPR / residency</w:t>
            </w:r>
          </w:p>
        </w:tc>
        <w:tc>
          <w:tcPr/>
          <w:p>
            <w:pPr>
              <w:pStyle w:val="Compact"/>
              <w:jc w:val="left"/>
            </w:pPr>
            <w:r>
              <w:t xml:space="preserve">SDK inherits the API arrangement: ZDR is available per organisation for eligible Claude API features and for Claude Code used with Commercial-org API keys; Claude Managed Agents is excluded from ZDR (session transcripts persist until deleted); on Bedrock / Google Cloud the cloud provider is the data processor</w:t>
            </w:r>
          </w:p>
        </w:tc>
        <w:tc>
          <w:tcPr/>
          <w:p>
            <w:pPr>
              <w:pStyle w:val="Compact"/>
              <w:jc w:val="left"/>
            </w:pPr>
            <w:r>
              <w:t xml:space="preserve">Verified fact</w:t>
            </w:r>
          </w:p>
        </w:tc>
        <w:tc>
          <w:tcPr/>
          <w:p>
            <w:pPr>
              <w:pStyle w:val="Compact"/>
              <w:jc w:val="left"/>
            </w:pPr>
            <w:r>
              <w:t xml:space="preserve">A4-S123</w:t>
            </w:r>
          </w:p>
        </w:tc>
      </w:tr>
      <w:tr>
        <w:tc>
          <w:tcPr/>
          <w:p>
            <w:pPr>
              <w:pStyle w:val="Compact"/>
              <w:jc w:val="left"/>
            </w:pPr>
            <w:r>
              <w:t xml:space="preserve">Security features</w:t>
            </w:r>
          </w:p>
        </w:tc>
        <w:tc>
          <w:tcPr/>
          <w:p>
            <w:pPr>
              <w:pStyle w:val="Compact"/>
              <w:jc w:val="left"/>
            </w:pPr>
            <w:r>
              <w:t xml:space="preserve">Permission modes controlling which tools run automatically or need approval; hooks; recommended sandboxed containers for process isolation and network control</w:t>
            </w:r>
          </w:p>
        </w:tc>
        <w:tc>
          <w:tcPr/>
          <w:p>
            <w:pPr>
              <w:pStyle w:val="Compact"/>
              <w:jc w:val="left"/>
            </w:pPr>
            <w:r>
              <w:t xml:space="preserve">Verified fact</w:t>
            </w:r>
          </w:p>
        </w:tc>
        <w:tc>
          <w:tcPr/>
          <w:p>
            <w:pPr>
              <w:pStyle w:val="Compact"/>
              <w:jc w:val="left"/>
            </w:pPr>
            <w:r>
              <w:t xml:space="preserve">A4-S027, A4-S122</w:t>
            </w:r>
          </w:p>
        </w:tc>
      </w:tr>
      <w:tr>
        <w:tc>
          <w:tcPr/>
          <w:p>
            <w:pPr>
              <w:pStyle w:val="Compact"/>
              <w:jc w:val="left"/>
            </w:pPr>
            <w:r>
              <w:t xml:space="preserve">Access controls</w:t>
            </w:r>
          </w:p>
        </w:tc>
        <w:tc>
          <w:tcPr/>
          <w:p>
            <w:pPr>
              <w:pStyle w:val="Compact"/>
              <w:jc w:val="left"/>
            </w:pPr>
            <w:r>
              <w:t xml:space="preserve">Third-party products may not offer claude.ai login or rate limits unless previously approved; API-key authentication required</w:t>
            </w:r>
          </w:p>
        </w:tc>
        <w:tc>
          <w:tcPr/>
          <w:p>
            <w:pPr>
              <w:pStyle w:val="Compact"/>
              <w:jc w:val="left"/>
            </w:pPr>
            <w:r>
              <w:t xml:space="preserve">Verified fact</w:t>
            </w:r>
          </w:p>
        </w:tc>
        <w:tc>
          <w:tcPr/>
          <w:p>
            <w:pPr>
              <w:pStyle w:val="Compact"/>
              <w:jc w:val="left"/>
            </w:pPr>
            <w:r>
              <w:t xml:space="preserve">A4-S027</w:t>
            </w:r>
          </w:p>
        </w:tc>
      </w:tr>
      <w:tr>
        <w:tc>
          <w:tcPr/>
          <w:p>
            <w:pPr>
              <w:pStyle w:val="Compact"/>
              <w:jc w:val="left"/>
            </w:pPr>
            <w:r>
              <w:t xml:space="preserve">Enterprise support</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Pricing</w:t>
            </w:r>
          </w:p>
        </w:tc>
        <w:tc>
          <w:tcPr/>
          <w:p>
            <w:pPr>
              <w:pStyle w:val="Compact"/>
              <w:jc w:val="left"/>
            </w:pPr>
            <w:r>
              <w:t xml:space="preserve">SDK has no separate charge identified; usage billed as Claude API tokens (pricing covered by L1 stream)</w:t>
            </w:r>
          </w:p>
        </w:tc>
        <w:tc>
          <w:tcPr/>
          <w:p>
            <w:pPr>
              <w:pStyle w:val="Compact"/>
              <w:jc w:val="left"/>
            </w:pPr>
            <w:r>
              <w:t xml:space="preserve">Architectural judgement</w:t>
            </w:r>
          </w:p>
        </w:tc>
        <w:tc>
          <w:tcPr/>
          <w:p>
            <w:pPr>
              <w:pStyle w:val="Compact"/>
            </w:pPr>
          </w:p>
        </w:tc>
      </w:tr>
      <w:tr>
        <w:tc>
          <w:tcPr/>
          <w:p>
            <w:pPr>
              <w:pStyle w:val="Compact"/>
              <w:jc w:val="left"/>
            </w:pPr>
            <w:r>
              <w:t xml:space="preserve">Infrastructure cost</w:t>
            </w:r>
          </w:p>
        </w:tc>
        <w:tc>
          <w:tcPr/>
          <w:p>
            <w:pPr>
              <w:pStyle w:val="Compact"/>
              <w:jc w:val="left"/>
            </w:pPr>
            <w:r>
              <w:t xml:space="preserve">One long-lived subprocess per concurrent session (own shell, working directory and transcript), so compute scales with concurrent sessions rather than requests</w:t>
            </w:r>
          </w:p>
        </w:tc>
        <w:tc>
          <w:tcPr/>
          <w:p>
            <w:pPr>
              <w:pStyle w:val="Compact"/>
              <w:jc w:val="left"/>
            </w:pPr>
            <w:r>
              <w:t xml:space="preserve">Verified fact</w:t>
            </w:r>
          </w:p>
        </w:tc>
        <w:tc>
          <w:tcPr/>
          <w:p>
            <w:pPr>
              <w:pStyle w:val="Compact"/>
              <w:jc w:val="left"/>
            </w:pPr>
            <w:r>
              <w:t xml:space="preserve">A4-S122</w:t>
            </w:r>
          </w:p>
        </w:tc>
      </w:tr>
      <w:tr>
        <w:tc>
          <w:tcPr/>
          <w:p>
            <w:pPr>
              <w:pStyle w:val="Compact"/>
              <w:jc w:val="left"/>
            </w:pPr>
            <w:r>
              <w:t xml:space="preserve">Ecosystem</w:t>
            </w:r>
          </w:p>
        </w:tc>
        <w:tc>
          <w:tcPr/>
          <w:p>
            <w:pPr>
              <w:pStyle w:val="Compact"/>
              <w:jc w:val="left"/>
            </w:pPr>
            <w:r>
              <w:t xml:space="preserve">MCP, Claude Code plugins/skills; runs on Claude API, Amazon Bedrock or Google Cloud; OpenAI publishes a migration cookbook from the Claude Agent SDK to its Agents SDK and Anthropic publishes the reverse</w:t>
            </w:r>
          </w:p>
        </w:tc>
        <w:tc>
          <w:tcPr/>
          <w:p>
            <w:pPr>
              <w:pStyle w:val="Compact"/>
              <w:jc w:val="left"/>
            </w:pPr>
            <w:r>
              <w:t xml:space="preserve">Verified fact</w:t>
            </w:r>
          </w:p>
        </w:tc>
        <w:tc>
          <w:tcPr/>
          <w:p>
            <w:pPr>
              <w:pStyle w:val="Compact"/>
              <w:jc w:val="left"/>
            </w:pPr>
            <w:r>
              <w:t xml:space="preserve">A4-S027, A4-S122, A4-S028</w:t>
            </w:r>
          </w:p>
        </w:tc>
      </w:tr>
      <w:tr>
        <w:tc>
          <w:tcPr/>
          <w:p>
            <w:pPr>
              <w:pStyle w:val="Compact"/>
              <w:jc w:val="left"/>
            </w:pPr>
            <w:r>
              <w:t xml:space="preserve">Adoption signals</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Maturity</w:t>
            </w:r>
          </w:p>
        </w:tc>
        <w:tc>
          <w:tcPr/>
          <w:p>
            <w:pPr>
              <w:pStyle w:val="Compact"/>
              <w:jc w:val="left"/>
            </w:pPr>
            <w:r>
              <w:t xml:space="preserve">Renamed and relaunched September 2025; 0.x versioning; Python package classified Alpha; very frequent releases (149 on PyPI)</w:t>
            </w:r>
          </w:p>
        </w:tc>
        <w:tc>
          <w:tcPr/>
          <w:p>
            <w:pPr>
              <w:pStyle w:val="Compact"/>
              <w:jc w:val="left"/>
            </w:pPr>
            <w:r>
              <w:t xml:space="preserve">Verified fact</w:t>
            </w:r>
          </w:p>
        </w:tc>
        <w:tc>
          <w:tcPr/>
          <w:p>
            <w:pPr>
              <w:pStyle w:val="Compact"/>
              <w:jc w:val="left"/>
            </w:pPr>
            <w:r>
              <w:t xml:space="preserve">A4-S006, A4-S029</w:t>
            </w:r>
          </w:p>
        </w:tc>
      </w:tr>
      <w:tr>
        <w:tc>
          <w:tcPr/>
          <w:p>
            <w:pPr>
              <w:pStyle w:val="Compact"/>
              <w:jc w:val="left"/>
            </w:pPr>
            <w:r>
              <w:t xml:space="preserve">Deployment</w:t>
            </w:r>
          </w:p>
        </w:tc>
        <w:tc>
          <w:tcPr/>
          <w:p>
            <w:pPr>
              <w:pStyle w:val="Compact"/>
              <w:jc w:val="left"/>
            </w:pPr>
            <w:r>
              <w:t xml:space="preserve">saas: No for the SDK; hosted alternative is Claude Managed Agents (beta); managed_cloud: No for the SDK; Managed Agents runs in Anthropic-managed cloud sandboxes or self-hosted sandboxes; vpc_byoc: Yes (self-hosted in customer containers/Kubernetes); private_cloud: Yes (self-hosted); self_hosted: Yes; on_prem: Yes (process runs on customer infrastructure; model inference remains a cloud API call)</w:t>
            </w:r>
          </w:p>
        </w:tc>
        <w:tc>
          <w:tcPr/>
          <w:p>
            <w:pPr>
              <w:pStyle w:val="Compact"/>
            </w:pPr>
          </w:p>
        </w:tc>
        <w:tc>
          <w:tcPr/>
          <w:p>
            <w:pPr>
              <w:pStyle w:val="Compact"/>
            </w:pPr>
          </w:p>
        </w:tc>
      </w:tr>
    </w:tbl>
    <w:bookmarkEnd w:id="1240"/>
    <w:bookmarkStart w:id="1256" w:name="X379240f37ad328045757dc0a15902d7f4818ede"/>
    <w:p>
      <w:pPr>
        <w:pStyle w:val="Heading2"/>
      </w:pPr>
      <w:r>
        <w:t xml:space="preserve">Mistral Agents API (exposed through the mistralai Python and TypeScript client SDKs, with an</w:t>
      </w:r>
      <w:r>
        <w:t xml:space="preserve"> </w:t>
      </w:r>
      <w:r>
        <w:t xml:space="preserve">‘</w:t>
      </w:r>
      <w:r>
        <w:t xml:space="preserve">agents</w:t>
      </w:r>
      <w:r>
        <w:t xml:space="preserve">’</w:t>
      </w:r>
      <w:r>
        <w:t xml:space="preserve"> </w:t>
      </w:r>
      <w:r>
        <w:t xml:space="preserve">extra) and Mistral Workflows (mistralai-workflows SDK); no separately branded</w:t>
      </w:r>
      <w:r>
        <w:t xml:space="preserve"> </w:t>
      </w:r>
      <w:r>
        <w:t xml:space="preserve">‘</w:t>
      </w:r>
      <w:r>
        <w:t xml:space="preserve">Mistral Agents SDK</w:t>
      </w:r>
      <w:r>
        <w:t xml:space="preserve">’</w:t>
      </w:r>
      <w:r>
        <w:t xml:space="preserve"> </w:t>
      </w:r>
      <w:r>
        <w:t xml:space="preserve">product found (</w:t>
      </w:r>
      <w:r>
        <w:rPr>
          <w:rStyle w:val="VerbatimChar"/>
        </w:rPr>
        <w:t xml:space="preserve">L3-mistral-agents</w:t>
      </w:r>
      <w:r>
        <w:t xml:space="preserve">)</w:t>
      </w:r>
    </w:p>
    <w:p>
      <w:pPr>
        <w:pStyle w:val="FirstParagraph"/>
      </w:pPr>
      <w:r>
        <w:rPr>
          <w:bCs/>
          <w:b/>
        </w:rPr>
        <w:t xml:space="preserve">Tier:</w:t>
      </w:r>
      <w:r>
        <w:t xml:space="preserve"> </w:t>
      </w:r>
      <w:r>
        <w:t xml:space="preserve">Experimental ·</w:t>
      </w:r>
      <w:r>
        <w:t xml:space="preserve"> </w:t>
      </w:r>
      <w:r>
        <w:rPr>
          <w:bCs/>
          <w:b/>
        </w:rPr>
        <w:t xml:space="preserve">Flags:</w:t>
      </w:r>
      <w:r>
        <w:t xml:space="preserve"> </w:t>
      </w:r>
      <w:r>
        <w:t xml:space="preserve">none ·</w:t>
      </w:r>
      <w:r>
        <w:t xml:space="preserve"> </w:t>
      </w:r>
      <w:r>
        <w:rPr>
          <w:bCs/>
          <w:b/>
        </w:rPr>
        <w:t xml:space="preserve">Original graphic label:</w:t>
      </w:r>
      <w:r>
        <w:t xml:space="preserve"> </w:t>
      </w:r>
      <w:r>
        <w:t xml:space="preserve">Mistral – Agents SDK</w:t>
      </w:r>
    </w:p>
    <w:p>
      <w:pPr>
        <w:pStyle w:val="BodyText"/>
      </w:pPr>
      <w:r>
        <w:rPr>
          <w:iCs/>
          <w:i/>
        </w:rPr>
        <w:t xml:space="preserve">Rationale:</w:t>
      </w:r>
      <w:r>
        <w:t xml:space="preserve"> </w:t>
      </w:r>
      <w:r>
        <w:t xml:space="preserve">Real products under a different name; beta status and proprietary hosted state. Tile relabelled</w:t>
      </w:r>
      <w:r>
        <w:t xml:space="preserve"> </w:t>
      </w:r>
      <w:r>
        <w:t xml:space="preserve">‘</w:t>
      </w:r>
      <w:r>
        <w:t xml:space="preserve">Mistral Agents API (+ Workflows)</w:t>
      </w:r>
      <w:r>
        <w:t xml:space="preserve">’</w:t>
      </w:r>
      <w:r>
        <w:t xml:space="preserve">.</w:t>
      </w:r>
    </w:p>
    <w:tbl>
      <w:tblPr>
        <w:tblStyle w:val="Table"/>
        <w:tblW w:type="pct" w:w="5000"/>
        <w:tblLook w:firstRow="1" w:lastRow="0" w:firstColumn="0" w:lastColumn="0" w:noHBand="0" w:noVBand="0" w:val="0020"/>
        <w:jc w:val="start"/>
      </w:tblPr>
      <w:tblGrid>
        <w:gridCol w:w="1545"/>
        <w:gridCol w:w="579"/>
        <w:gridCol w:w="5795"/>
      </w:tblGrid>
      <w:tr>
        <w:trPr>
          <w:tblHeader w:val="true"/>
        </w:trPr>
        <w:tc>
          <w:tcPr/>
          <w:p>
            <w:pPr>
              <w:pStyle w:val="Compact"/>
              <w:jc w:val="left"/>
            </w:pPr>
            <w:r>
              <w:t xml:space="preserve">Criterion</w:t>
            </w:r>
          </w:p>
        </w:tc>
        <w:tc>
          <w:tcPr/>
          <w:p>
            <w:pPr>
              <w:pStyle w:val="Compact"/>
              <w:jc w:val="right"/>
            </w:pPr>
            <w:r>
              <w:t xml:space="preserve">Score</w:t>
            </w:r>
          </w:p>
        </w:tc>
        <w:tc>
          <w:tcPr/>
          <w:p>
            <w:pPr>
              <w:pStyle w:val="Compact"/>
              <w:jc w:val="left"/>
            </w:pPr>
            <w:r>
              <w:t xml:space="preserve">Rationale</w:t>
            </w:r>
          </w:p>
        </w:tc>
      </w:tr>
      <w:tr>
        <w:tc>
          <w:tcPr/>
          <w:p>
            <w:pPr>
              <w:pStyle w:val="Compact"/>
              <w:jc w:val="left"/>
            </w:pPr>
            <w:r>
              <w:t xml:space="preserve">Technical</w:t>
            </w:r>
          </w:p>
        </w:tc>
        <w:tc>
          <w:tcPr/>
          <w:p>
            <w:pPr>
              <w:pStyle w:val="Compact"/>
              <w:jc w:val="right"/>
            </w:pPr>
            <w:r>
              <w:t xml:space="preserve">3</w:t>
            </w:r>
          </w:p>
        </w:tc>
        <w:tc>
          <w:tcPr/>
          <w:p>
            <w:pPr>
              <w:pStyle w:val="Compact"/>
              <w:jc w:val="left"/>
            </w:pPr>
            <w:r>
              <w:t xml:space="preserve">Hosted agents plus durable Workflows, but beta</w:t>
            </w:r>
            <w:r>
              <w:t xml:space="preserve"> </w:t>
            </w:r>
            <w:r>
              <w:rPr>
                <w:rStyle w:val="ClaimLabel"/>
              </w:rPr>
              <w:t xml:space="preserve">VF</w:t>
            </w:r>
            <w:r>
              <w:rPr>
                <w:rStyle w:val="FootnoteReference"/>
              </w:rPr>
              <w:footnoteReference w:id="1241"/>
            </w:r>
          </w:p>
        </w:tc>
      </w:tr>
      <w:tr>
        <w:tc>
          <w:tcPr/>
          <w:p>
            <w:pPr>
              <w:pStyle w:val="Compact"/>
              <w:jc w:val="left"/>
            </w:pPr>
            <w:r>
              <w:t xml:space="preserve">Enterprise readiness</w:t>
            </w:r>
          </w:p>
        </w:tc>
        <w:tc>
          <w:tcPr/>
          <w:p>
            <w:pPr>
              <w:pStyle w:val="Compact"/>
              <w:jc w:val="right"/>
            </w:pPr>
            <w:r>
              <w:t xml:space="preserve">2</w:t>
            </w:r>
          </w:p>
        </w:tc>
        <w:tc>
          <w:tcPr/>
          <w:p>
            <w:pPr>
              <w:pStyle w:val="Compact"/>
              <w:jc w:val="left"/>
            </w:pPr>
            <w:r>
              <w:t xml:space="preserve">SSO/RBAC/audit not publicly verified; capped at 2</w:t>
            </w:r>
            <w:r>
              <w:t xml:space="preserve"> </w:t>
            </w:r>
            <w:r>
              <w:rPr>
                <w:rStyle w:val="ClaimLabel"/>
              </w:rPr>
              <w:t xml:space="preserve">NPV</w:t>
            </w:r>
          </w:p>
        </w:tc>
      </w:tr>
      <w:tr>
        <w:tc>
          <w:tcPr/>
          <w:p>
            <w:pPr>
              <w:pStyle w:val="Compact"/>
              <w:jc w:val="left"/>
            </w:pPr>
            <w:r>
              <w:t xml:space="preserve">Security and compliance</w:t>
            </w:r>
          </w:p>
        </w:tc>
        <w:tc>
          <w:tcPr/>
          <w:p>
            <w:pPr>
              <w:pStyle w:val="Compact"/>
              <w:jc w:val="right"/>
            </w:pPr>
            <w:r>
              <w:t xml:space="preserve">3</w:t>
            </w:r>
          </w:p>
        </w:tc>
        <w:tc>
          <w:tcPr/>
          <w:p>
            <w:pPr>
              <w:pStyle w:val="Compact"/>
              <w:jc w:val="left"/>
            </w:pPr>
            <w:r>
              <w:t xml:space="preserve">Company-level SOC 2 Type II, ISO 27001, ISO 27701; product scope not stated, so one below (rule 8)</w:t>
            </w:r>
            <w:r>
              <w:t xml:space="preserve"> </w:t>
            </w:r>
            <w:r>
              <w:rPr>
                <w:rStyle w:val="ClaimLabel"/>
              </w:rPr>
              <w:t xml:space="preserve">VF</w:t>
            </w:r>
            <w:r>
              <w:rPr>
                <w:rStyle w:val="FootnoteReference"/>
              </w:rPr>
              <w:footnoteReference w:id="1243"/>
            </w:r>
          </w:p>
        </w:tc>
      </w:tr>
      <w:tr>
        <w:tc>
          <w:tcPr/>
          <w:p>
            <w:pPr>
              <w:pStyle w:val="Compact"/>
              <w:jc w:val="left"/>
            </w:pPr>
            <w:r>
              <w:t xml:space="preserve">Deployment flexibility</w:t>
            </w:r>
          </w:p>
        </w:tc>
        <w:tc>
          <w:tcPr/>
          <w:p>
            <w:pPr>
              <w:pStyle w:val="Compact"/>
              <w:jc w:val="right"/>
            </w:pPr>
            <w:r>
              <w:t xml:space="preserve">3</w:t>
            </w:r>
          </w:p>
        </w:tc>
        <w:tc>
          <w:tcPr/>
          <w:p>
            <w:pPr>
              <w:pStyle w:val="Compact"/>
              <w:jc w:val="left"/>
            </w:pPr>
            <w:r>
              <w:t xml:space="preserve">SaaS; Workflows workers in customer Kubernetes, control plane Mistral-hosted</w:t>
            </w:r>
            <w:r>
              <w:t xml:space="preserve"> </w:t>
            </w:r>
            <w:r>
              <w:rPr>
                <w:rStyle w:val="ClaimLabel"/>
              </w:rPr>
              <w:t xml:space="preserve">VF</w:t>
            </w:r>
            <w:r>
              <w:rPr>
                <w:rStyle w:val="FootnoteReference"/>
              </w:rPr>
              <w:footnoteReference w:id="1244"/>
            </w:r>
          </w:p>
        </w:tc>
      </w:tr>
      <w:tr>
        <w:tc>
          <w:tcPr/>
          <w:p>
            <w:pPr>
              <w:pStyle w:val="Compact"/>
              <w:jc w:val="left"/>
            </w:pPr>
            <w:r>
              <w:t xml:space="preserve">Ecosystem</w:t>
            </w:r>
          </w:p>
        </w:tc>
        <w:tc>
          <w:tcPr/>
          <w:p>
            <w:pPr>
              <w:pStyle w:val="Compact"/>
              <w:jc w:val="right"/>
            </w:pPr>
            <w:r>
              <w:t xml:space="preserve">3</w:t>
            </w:r>
          </w:p>
        </w:tc>
        <w:tc>
          <w:tcPr/>
          <w:p>
            <w:pPr>
              <w:pStyle w:val="Compact"/>
              <w:jc w:val="left"/>
            </w:pPr>
            <w:r>
              <w:t xml:space="preserve">MCP connectors; Temporal underneath</w:t>
            </w:r>
            <w:r>
              <w:t xml:space="preserve"> </w:t>
            </w:r>
            <w:r>
              <w:rPr>
                <w:rStyle w:val="ClaimLabel"/>
              </w:rPr>
              <w:t xml:space="preserve">VF</w:t>
            </w:r>
            <w:r>
              <w:rPr>
                <w:rStyle w:val="FootnoteReference"/>
              </w:rPr>
              <w:footnoteReference w:id="1245"/>
            </w:r>
          </w:p>
        </w:tc>
      </w:tr>
      <w:tr>
        <w:tc>
          <w:tcPr/>
          <w:p>
            <w:pPr>
              <w:pStyle w:val="Compact"/>
              <w:jc w:val="left"/>
            </w:pPr>
            <w:r>
              <w:t xml:space="preserve">Reliability and maturity</w:t>
            </w:r>
          </w:p>
        </w:tc>
        <w:tc>
          <w:tcPr/>
          <w:p>
            <w:pPr>
              <w:pStyle w:val="Compact"/>
              <w:jc w:val="right"/>
            </w:pPr>
            <w:r>
              <w:t xml:space="preserve">2</w:t>
            </w:r>
          </w:p>
        </w:tc>
        <w:tc>
          <w:tcPr/>
          <w:p>
            <w:pPr>
              <w:pStyle w:val="Compact"/>
              <w:jc w:val="left"/>
            </w:pPr>
            <w:r>
              <w:t xml:space="preserve">Beta / Public Preview components; breaking SDK majors</w:t>
            </w:r>
            <w:r>
              <w:t xml:space="preserve"> </w:t>
            </w:r>
            <w:r>
              <w:rPr>
                <w:rStyle w:val="ClaimLabel"/>
              </w:rPr>
              <w:t xml:space="preserve">VF</w:t>
            </w:r>
            <w:r>
              <w:rPr>
                <w:rStyle w:val="FootnoteReference"/>
              </w:rPr>
              <w:footnoteReference w:id="1246"/>
            </w:r>
          </w:p>
        </w:tc>
      </w:tr>
      <w:tr>
        <w:tc>
          <w:tcPr/>
          <w:p>
            <w:pPr>
              <w:pStyle w:val="Compact"/>
              <w:jc w:val="left"/>
            </w:pPr>
            <w:r>
              <w:t xml:space="preserve">Cost / TCO</w:t>
            </w:r>
          </w:p>
        </w:tc>
        <w:tc>
          <w:tcPr/>
          <w:p>
            <w:pPr>
              <w:pStyle w:val="Compact"/>
              <w:jc w:val="right"/>
            </w:pPr>
            <w:r>
              <w:t xml:space="preserve">2</w:t>
            </w:r>
          </w:p>
        </w:tc>
        <w:tc>
          <w:tcPr/>
          <w:p>
            <w:pPr>
              <w:pStyle w:val="Compact"/>
              <w:jc w:val="left"/>
            </w:pPr>
            <w:r>
              <w:t xml:space="preserve">Pricing not publicly verified; customer-run worker infrastructure</w:t>
            </w:r>
            <w:r>
              <w:t xml:space="preserve"> </w:t>
            </w:r>
            <w:r>
              <w:rPr>
                <w:rStyle w:val="ClaimLabel"/>
              </w:rPr>
              <w:t xml:space="preserve">NPV</w:t>
            </w:r>
            <w:r>
              <w:t xml:space="preserve"> </w:t>
            </w:r>
            <w:r>
              <w:rPr>
                <w:rStyle w:val="ClaimLabel"/>
              </w:rPr>
              <w:t xml:space="preserve">VF</w:t>
            </w:r>
            <w:r>
              <w:rPr>
                <w:rStyle w:val="FootnoteReference"/>
              </w:rPr>
              <w:footnoteReference w:id="1249"/>
            </w:r>
          </w:p>
        </w:tc>
      </w:tr>
      <w:tr>
        <w:tc>
          <w:tcPr/>
          <w:p>
            <w:pPr>
              <w:pStyle w:val="Compact"/>
              <w:jc w:val="left"/>
            </w:pPr>
            <w:r>
              <w:t xml:space="preserve">Lock-in / portability</w:t>
            </w:r>
          </w:p>
        </w:tc>
        <w:tc>
          <w:tcPr/>
          <w:p>
            <w:pPr>
              <w:pStyle w:val="Compact"/>
              <w:jc w:val="right"/>
            </w:pPr>
            <w:r>
              <w:t xml:space="preserve">2</w:t>
            </w:r>
          </w:p>
        </w:tc>
        <w:tc>
          <w:tcPr/>
          <w:p>
            <w:pPr>
              <w:pStyle w:val="Compact"/>
              <w:jc w:val="left"/>
            </w:pPr>
            <w:r>
              <w:t xml:space="preserve">Proprietary hosted API, Mistral-model-centric</w:t>
            </w:r>
            <w:r>
              <w:t xml:space="preserve"> </w:t>
            </w:r>
            <w:r>
              <w:rPr>
                <w:rStyle w:val="ClaimLabel"/>
              </w:rPr>
              <w:t xml:space="preserve">VF</w:t>
            </w:r>
            <w:r>
              <w:rPr>
                <w:rStyle w:val="FootnoteReference"/>
              </w:rPr>
              <w:footnoteReference w:id="1250"/>
            </w:r>
          </w:p>
        </w:tc>
      </w:tr>
      <w:tr>
        <w:tc>
          <w:tcPr/>
          <w:p>
            <w:pPr>
              <w:pStyle w:val="Compact"/>
              <w:jc w:val="left"/>
            </w:pPr>
            <w:r>
              <w:rPr>
                <w:bCs/>
                <w:b/>
              </w:rPr>
              <w:t xml:space="preserve">Total (generic / FS)</w:t>
            </w:r>
          </w:p>
        </w:tc>
        <w:tc>
          <w:tcPr/>
          <w:p>
            <w:pPr>
              <w:pStyle w:val="Compact"/>
              <w:jc w:val="right"/>
            </w:pPr>
            <w:r>
              <w:rPr>
                <w:bCs/>
                <w:b/>
              </w:rPr>
              <w:t xml:space="preserve">2.60 / 2.55</w:t>
            </w:r>
          </w:p>
        </w:tc>
        <w:tc>
          <w:tcPr/>
          <w:p>
            <w:pPr>
              <w:pStyle w:val="Compact"/>
            </w:pPr>
          </w:p>
        </w:tc>
      </w:tr>
    </w:tbl>
    <w:p>
      <w:pPr>
        <w:pStyle w:val="BodyText"/>
      </w:pPr>
      <w:r>
        <w:rPr>
          <w:iCs/>
          <w:i/>
        </w:rPr>
        <w:t xml:space="preserve">Evidence rules applied:</w:t>
      </w:r>
      <w:r>
        <w:t xml:space="preserve"> </w:t>
      </w:r>
      <w:r>
        <w:t xml:space="preserve">enterprise_readiness capped at 2: access controls NPV</w:t>
      </w:r>
    </w:p>
    <w:p>
      <w:pPr>
        <w:pStyle w:val="BodyText"/>
      </w:pPr>
      <w:r>
        <w:rPr>
          <w:bCs/>
          <w:b/>
        </w:rPr>
        <w:t xml:space="preserve">Capabilities.</w:t>
      </w:r>
      <w:r>
        <w:t xml:space="preserve"> </w:t>
      </w:r>
      <w:r>
        <w:t xml:space="preserve">No distinct</w:t>
      </w:r>
      <w:r>
        <w:t xml:space="preserve"> </w:t>
      </w:r>
      <w:r>
        <w:t xml:space="preserve">‘</w:t>
      </w:r>
      <w:r>
        <w:t xml:space="preserve">Mistral Agents SDK</w:t>
      </w:r>
      <w:r>
        <w:t xml:space="preserve">’</w:t>
      </w:r>
      <w:r>
        <w:t xml:space="preserve"> </w:t>
      </w:r>
      <w:r>
        <w:t xml:space="preserve">exists. Mistral offers the Agents API (persistent agents, connectors incl. MCP, branchable stateful conversations, handoffs) through the general mistralai SDKs, and Mistral Workflows, a Temporal-based durable workflow SDK with Mistral-hosted control plane and customer-run workers</w:t>
      </w:r>
      <w:r>
        <w:t xml:space="preserve"> </w:t>
      </w:r>
      <w:r>
        <w:rPr>
          <w:rStyle w:val="ClaimLabel"/>
        </w:rPr>
        <w:t xml:space="preserve">VF</w:t>
      </w:r>
      <w:r>
        <w:rPr>
          <w:rStyle w:val="FootnoteReference"/>
        </w:rPr>
        <w:footnoteReference w:id="1251"/>
      </w:r>
      <w:r>
        <w:t xml:space="preserve">.</w:t>
      </w:r>
    </w:p>
    <w:p>
      <w:pPr>
        <w:pStyle w:val="BodyText"/>
      </w:pPr>
      <w:r>
        <w:rPr>
          <w:bCs/>
          <w:b/>
        </w:rPr>
        <w:t xml:space="preserve">Strengths</w:t>
      </w:r>
    </w:p>
    <w:p>
      <w:pPr>
        <w:numPr>
          <w:ilvl w:val="0"/>
          <w:numId w:val="1273"/>
        </w:numPr>
        <w:pStyle w:val="Compact"/>
      </w:pPr>
      <w:r>
        <w:t xml:space="preserve">EU hosting by default for the company’s services</w:t>
      </w:r>
      <w:r>
        <w:t xml:space="preserve"> </w:t>
      </w:r>
      <w:r>
        <w:rPr>
          <w:rStyle w:val="ClaimLabel"/>
        </w:rPr>
        <w:t xml:space="preserve">VF</w:t>
      </w:r>
      <w:r>
        <w:rPr>
          <w:rStyle w:val="FootnoteReference"/>
        </w:rPr>
        <w:footnoteReference w:id="1252"/>
      </w:r>
    </w:p>
    <w:p>
      <w:pPr>
        <w:numPr>
          <w:ilvl w:val="0"/>
          <w:numId w:val="1273"/>
        </w:numPr>
        <w:pStyle w:val="Compact"/>
      </w:pPr>
      <w:r>
        <w:t xml:space="preserve">Workflows brings Temporal-grade durability with HITL decorators</w:t>
      </w:r>
      <w:r>
        <w:t xml:space="preserve"> </w:t>
      </w:r>
      <w:r>
        <w:rPr>
          <w:rStyle w:val="ClaimLabel"/>
        </w:rPr>
        <w:t xml:space="preserve">VF</w:t>
      </w:r>
      <w:r>
        <w:rPr>
          <w:rStyle w:val="FootnoteReference"/>
        </w:rPr>
        <w:footnoteReference w:id="1253"/>
      </w:r>
    </w:p>
    <w:p>
      <w:pPr>
        <w:pStyle w:val="FirstParagraph"/>
      </w:pPr>
      <w:r>
        <w:rPr>
          <w:bCs/>
          <w:b/>
        </w:rPr>
        <w:t xml:space="preserve">Limitations and risks</w:t>
      </w:r>
    </w:p>
    <w:p>
      <w:pPr>
        <w:numPr>
          <w:ilvl w:val="0"/>
          <w:numId w:val="1274"/>
        </w:numPr>
        <w:pStyle w:val="Compact"/>
      </w:pPr>
      <w:r>
        <w:t xml:space="preserve">Agents API in beta namespace; Workflows Beta/Public Preview; breaking SDK majors March and September 2026</w:t>
      </w:r>
      <w:r>
        <w:t xml:space="preserve"> </w:t>
      </w:r>
      <w:r>
        <w:rPr>
          <w:rStyle w:val="ClaimLabel"/>
        </w:rPr>
        <w:t xml:space="preserve">VF</w:t>
      </w:r>
      <w:r>
        <w:rPr>
          <w:rStyle w:val="FootnoteReference"/>
        </w:rPr>
        <w:footnoteReference w:id="1254"/>
      </w:r>
    </w:p>
    <w:p>
      <w:pPr>
        <w:numPr>
          <w:ilvl w:val="0"/>
          <w:numId w:val="1274"/>
        </w:numPr>
        <w:pStyle w:val="Compact"/>
      </w:pPr>
      <w:r>
        <w:t xml:space="preserve">State lives in Mistral cloud unless store=False</w:t>
      </w:r>
      <w:r>
        <w:t xml:space="preserve"> </w:t>
      </w:r>
      <w:r>
        <w:rPr>
          <w:rStyle w:val="ClaimLabel"/>
        </w:rPr>
        <w:t xml:space="preserve">VF</w:t>
      </w:r>
      <w:r>
        <w:rPr>
          <w:rStyle w:val="FootnoteReference"/>
        </w:rPr>
        <w:footnoteReference w:id="1255"/>
      </w:r>
    </w:p>
    <w:p>
      <w:pPr>
        <w:numPr>
          <w:ilvl w:val="0"/>
          <w:numId w:val="1274"/>
        </w:numPr>
        <w:pStyle w:val="Compact"/>
      </w:pPr>
      <w:r>
        <w:t xml:space="preserve">Access controls not publicly verified</w:t>
      </w:r>
      <w:r>
        <w:t xml:space="preserve"> </w:t>
      </w:r>
      <w:r>
        <w:rPr>
          <w:rStyle w:val="ClaimLabel"/>
        </w:rPr>
        <w:t xml:space="preserve">NPV</w:t>
      </w:r>
    </w:p>
    <w:p>
      <w:pPr>
        <w:numPr>
          <w:ilvl w:val="0"/>
          <w:numId w:val="1274"/>
        </w:numPr>
        <w:pStyle w:val="Compact"/>
      </w:pPr>
      <w:r>
        <w:t xml:space="preserve">Pricing not publicly verified</w:t>
      </w:r>
      <w:r>
        <w:t xml:space="preserve"> </w:t>
      </w:r>
      <w:r>
        <w:rPr>
          <w:rStyle w:val="ClaimLabel"/>
        </w:rPr>
        <w:t xml:space="preserve">NPV</w:t>
      </w:r>
    </w:p>
    <w:p>
      <w:pPr>
        <w:pStyle w:val="FirstParagraph"/>
      </w:pPr>
      <w:r>
        <w:rPr>
          <w:bCs/>
          <w:b/>
        </w:rPr>
        <w:t xml:space="preserve">Choose when</w:t>
      </w:r>
    </w:p>
    <w:p>
      <w:pPr>
        <w:numPr>
          <w:ilvl w:val="0"/>
          <w:numId w:val="1275"/>
        </w:numPr>
        <w:pStyle w:val="Compact"/>
      </w:pPr>
      <w:r>
        <w:t xml:space="preserve">An EU-hosted, Mistral-model estate wanting managed agents</w:t>
      </w:r>
      <w:r>
        <w:t xml:space="preserve"> </w:t>
      </w:r>
      <w:r>
        <w:rPr>
          <w:rStyle w:val="ClaimLabel"/>
        </w:rPr>
        <w:t xml:space="preserve">AJ</w:t>
      </w:r>
    </w:p>
    <w:p>
      <w:pPr>
        <w:pStyle w:val="FirstParagraph"/>
      </w:pPr>
      <w:r>
        <w:rPr>
          <w:bCs/>
          <w:b/>
        </w:rPr>
        <w:t xml:space="preserve">Avoid when</w:t>
      </w:r>
    </w:p>
    <w:p>
      <w:pPr>
        <w:numPr>
          <w:ilvl w:val="0"/>
          <w:numId w:val="1276"/>
        </w:numPr>
        <w:pStyle w:val="Compact"/>
      </w:pPr>
      <w:r>
        <w:t xml:space="preserve">You need a portable framework or GA components</w:t>
      </w:r>
      <w:r>
        <w:t xml:space="preserve"> </w:t>
      </w:r>
      <w:r>
        <w:rPr>
          <w:rStyle w:val="ClaimLabel"/>
        </w:rPr>
        <w:t xml:space="preserve">AJ</w:t>
      </w:r>
    </w:p>
    <w:p>
      <w:pPr>
        <w:pStyle w:val="FirstParagraph"/>
      </w:pPr>
      <w:r>
        <w:rPr>
          <w:bCs/>
          <w:b/>
        </w:rPr>
        <w:t xml:space="preserve">Nearest competitors:</w:t>
      </w:r>
      <w:r>
        <w:t xml:space="preserve"> </w:t>
      </w:r>
      <w:r>
        <w:t xml:space="preserve">L3-openai-agents-sdk, L3-temporal, L3-langgraph</w:t>
      </w:r>
    </w:p>
    <w:p>
      <w:pPr>
        <w:pStyle w:val="BodyText"/>
      </w:pPr>
      <w:r>
        <w:rPr>
          <w:bCs/>
          <w:b/>
        </w:rPr>
        <w:t xml:space="preserve">Regulated-FS note.</w:t>
      </w:r>
      <w:r>
        <w:t xml:space="preserve"> </w:t>
      </w:r>
      <w:r>
        <w:t xml:space="preserve">Run conversations with store=False and keep the workflow definition in the firm’s own Temporal or framework code</w:t>
      </w:r>
      <w:r>
        <w:t xml:space="preserve"> </w:t>
      </w:r>
      <w:r>
        <w:rPr>
          <w:rStyle w:val="ClaimLabel"/>
        </w:rPr>
        <w:t xml:space="preserve">Rec</w:t>
      </w:r>
      <w:r>
        <w:t xml:space="preserve">.</w:t>
      </w:r>
    </w:p>
    <w:p>
      <w:pPr>
        <w:pStyle w:val="BodyText"/>
      </w:pPr>
      <w:r>
        <w:rPr>
          <w:bCs/>
          <w:b/>
        </w:rPr>
        <w:t xml:space="preserve">Facts (as of 2026-10-08)</w:t>
      </w:r>
    </w:p>
    <w:tbl>
      <w:tblPr>
        <w:tblStyle w:val="Table"/>
        <w:tblW w:type="pct" w:w="5000"/>
        <w:tblLook w:firstRow="1" w:lastRow="0" w:firstColumn="0" w:lastColumn="0" w:noHBand="0" w:noVBand="0" w:val="0020"/>
        <w:jc w:val="start"/>
      </w:tblPr>
      <w:tblGrid>
        <w:gridCol w:w="1485"/>
        <w:gridCol w:w="4290"/>
        <w:gridCol w:w="1320"/>
        <w:gridCol w:w="825"/>
      </w:tblGrid>
      <w:tr>
        <w:trPr>
          <w:tblHeader w:val="true"/>
        </w:trPr>
        <w:tc>
          <w:tcPr/>
          <w:p>
            <w:pPr>
              <w:pStyle w:val="Compact"/>
              <w:jc w:val="left"/>
            </w:pPr>
            <w:r>
              <w:t xml:space="preserve">Field</w:t>
            </w:r>
          </w:p>
        </w:tc>
        <w:tc>
          <w:tcPr/>
          <w:p>
            <w:pPr>
              <w:pStyle w:val="Compact"/>
              <w:jc w:val="left"/>
            </w:pPr>
            <w:r>
              <w:t xml:space="preserve">Value</w:t>
            </w:r>
          </w:p>
        </w:tc>
        <w:tc>
          <w:tcPr/>
          <w:p>
            <w:pPr>
              <w:pStyle w:val="Compact"/>
              <w:jc w:val="left"/>
            </w:pPr>
            <w:r>
              <w:t xml:space="preserve">Label</w:t>
            </w:r>
          </w:p>
        </w:tc>
        <w:tc>
          <w:tcPr/>
          <w:p>
            <w:pPr>
              <w:pStyle w:val="Compact"/>
              <w:jc w:val="left"/>
            </w:pPr>
            <w:r>
              <w:t xml:space="preserve">Sources</w:t>
            </w:r>
          </w:p>
        </w:tc>
      </w:tr>
      <w:tr>
        <w:tc>
          <w:tcPr/>
          <w:p>
            <w:pPr>
              <w:pStyle w:val="Compact"/>
              <w:jc w:val="left"/>
            </w:pPr>
            <w:r>
              <w:t xml:space="preserve">Company</w:t>
            </w:r>
          </w:p>
        </w:tc>
        <w:tc>
          <w:tcPr/>
          <w:p>
            <w:pPr>
              <w:pStyle w:val="Compact"/>
              <w:jc w:val="left"/>
            </w:pPr>
            <w:r>
              <w:t xml:space="preserve">Mistral AI</w:t>
            </w:r>
          </w:p>
        </w:tc>
        <w:tc>
          <w:tcPr/>
          <w:p>
            <w:pPr>
              <w:pStyle w:val="Compact"/>
              <w:jc w:val="left"/>
            </w:pPr>
            <w:r>
              <w:t xml:space="preserve">Verified fact</w:t>
            </w:r>
          </w:p>
        </w:tc>
        <w:tc>
          <w:tcPr/>
          <w:p>
            <w:pPr>
              <w:pStyle w:val="Compact"/>
              <w:jc w:val="left"/>
            </w:pPr>
            <w:r>
              <w:t xml:space="preserve">A4-S057, A4-S125</w:t>
            </w:r>
          </w:p>
        </w:tc>
      </w:tr>
      <w:tr>
        <w:tc>
          <w:tcPr/>
          <w:p>
            <w:pPr>
              <w:pStyle w:val="Compact"/>
              <w:jc w:val="left"/>
            </w:pPr>
            <w:r>
              <w:t xml:space="preserve">Category</w:t>
            </w:r>
          </w:p>
        </w:tc>
        <w:tc>
          <w:tcPr/>
          <w:p>
            <w:pPr>
              <w:pStyle w:val="Compact"/>
              <w:jc w:val="left"/>
            </w:pPr>
            <w:r>
              <w:t xml:space="preserve">Hosted agent API (stateful conversations, connectors, handoffs) plus a Temporal-based durable workflow platform</w:t>
            </w:r>
          </w:p>
        </w:tc>
        <w:tc>
          <w:tcPr/>
          <w:p>
            <w:pPr>
              <w:pStyle w:val="Compact"/>
              <w:jc w:val="left"/>
            </w:pPr>
            <w:r>
              <w:t xml:space="preserve">Verified fact</w:t>
            </w:r>
          </w:p>
        </w:tc>
        <w:tc>
          <w:tcPr/>
          <w:p>
            <w:pPr>
              <w:pStyle w:val="Compact"/>
              <w:jc w:val="left"/>
            </w:pPr>
            <w:r>
              <w:t xml:space="preserve">A4-S057, A4-S058</w:t>
            </w:r>
          </w:p>
        </w:tc>
      </w:tr>
      <w:tr>
        <w:tc>
          <w:tcPr/>
          <w:p>
            <w:pPr>
              <w:pStyle w:val="Compact"/>
              <w:jc w:val="left"/>
            </w:pPr>
            <w:r>
              <w:t xml:space="preserve">Version / lineup</w:t>
            </w:r>
          </w:p>
        </w:tc>
        <w:tc>
          <w:tcPr/>
          <w:p>
            <w:pPr>
              <w:pStyle w:val="Compact"/>
              <w:jc w:val="left"/>
            </w:pPr>
            <w:r>
              <w:t xml:space="preserve">mistralai (Python) 3.1.0 (6 October 2026; 3.0.0 on 28 September 2026);</w:t>
            </w:r>
            <w:r>
              <w:t xml:space="preserve"> </w:t>
            </w:r>
            <w:r>
              <w:t xml:space="preserve">@mistralai/mistralai</w:t>
            </w:r>
            <w:r>
              <w:t xml:space="preserve"> </w:t>
            </w:r>
            <w:r>
              <w:t xml:space="preserve">2.7.0 (9 September 2026); mistralai-workflows 3.15.0 (14 September 2026, Beta)</w:t>
            </w:r>
          </w:p>
        </w:tc>
        <w:tc>
          <w:tcPr/>
          <w:p>
            <w:pPr>
              <w:pStyle w:val="Compact"/>
              <w:jc w:val="left"/>
            </w:pPr>
            <w:r>
              <w:t xml:space="preserve">Verified fact</w:t>
            </w:r>
          </w:p>
        </w:tc>
        <w:tc>
          <w:tcPr/>
          <w:p>
            <w:pPr>
              <w:pStyle w:val="Compact"/>
              <w:jc w:val="left"/>
            </w:pPr>
            <w:r>
              <w:t xml:space="preserve">A4-S007, A4-S025, A4-S061</w:t>
            </w:r>
          </w:p>
        </w:tc>
      </w:tr>
      <w:tr>
        <w:tc>
          <w:tcPr/>
          <w:p>
            <w:pPr>
              <w:pStyle w:val="Compact"/>
              <w:jc w:val="left"/>
            </w:pPr>
            <w:r>
              <w:t xml:space="preserve">Licence</w:t>
            </w:r>
          </w:p>
        </w:tc>
        <w:tc>
          <w:tcPr/>
          <w:p>
            <w:pPr>
              <w:pStyle w:val="Compact"/>
              <w:jc w:val="left"/>
            </w:pPr>
            <w:r>
              <w:t xml:space="preserve">Client SDKs Apache-2.0; mistralai-workflows Apache-2.0; Agents API and Workflows control plane are proprietary hosted services</w:t>
            </w:r>
          </w:p>
        </w:tc>
        <w:tc>
          <w:tcPr/>
          <w:p>
            <w:pPr>
              <w:pStyle w:val="Compact"/>
              <w:jc w:val="left"/>
            </w:pPr>
            <w:r>
              <w:t xml:space="preserve">Verified fact</w:t>
            </w:r>
          </w:p>
        </w:tc>
        <w:tc>
          <w:tcPr/>
          <w:p>
            <w:pPr>
              <w:pStyle w:val="Compact"/>
              <w:jc w:val="left"/>
            </w:pPr>
            <w:r>
              <w:t xml:space="preserve">A4-S125, A4-S025, A4-S061</w:t>
            </w:r>
          </w:p>
        </w:tc>
      </w:tr>
      <w:tr>
        <w:tc>
          <w:tcPr/>
          <w:p>
            <w:pPr>
              <w:pStyle w:val="Compact"/>
              <w:jc w:val="left"/>
            </w:pPr>
            <w:r>
              <w:t xml:space="preserve">Status events</w:t>
            </w:r>
          </w:p>
        </w:tc>
        <w:tc>
          <w:tcPr/>
          <w:p>
            <w:pPr>
              <w:pStyle w:val="Compact"/>
              <w:jc w:val="left"/>
            </w:pPr>
            <w:r>
              <w:t xml:space="preserve">SDK 3.0.0 (28 September 2026): HTTPX2, code_interpreter/web_search tools removed from chat/agents completions (use Conversations API or an agent); Le Chat rebranded (Work/Vibe naming in docs); Le Chat agents cannot be used programmatically</w:t>
            </w:r>
          </w:p>
        </w:tc>
        <w:tc>
          <w:tcPr/>
          <w:p>
            <w:pPr>
              <w:pStyle w:val="Compact"/>
              <w:jc w:val="left"/>
            </w:pPr>
            <w:r>
              <w:t xml:space="preserve">Verified fact</w:t>
            </w:r>
          </w:p>
        </w:tc>
        <w:tc>
          <w:tcPr/>
          <w:p>
            <w:pPr>
              <w:pStyle w:val="Compact"/>
              <w:jc w:val="left"/>
            </w:pPr>
            <w:r>
              <w:t xml:space="preserve">A4-S059, A4-S007, A4-S057</w:t>
            </w:r>
          </w:p>
        </w:tc>
      </w:tr>
      <w:tr>
        <w:tc>
          <w:tcPr/>
          <w:p>
            <w:pPr>
              <w:pStyle w:val="Compact"/>
              <w:jc w:val="left"/>
            </w:pPr>
            <w:r>
              <w:t xml:space="preserve">Strategic direction</w:t>
            </w:r>
          </w:p>
        </w:tc>
        <w:tc>
          <w:tcPr/>
          <w:p>
            <w:pPr>
              <w:pStyle w:val="Compact"/>
              <w:jc w:val="left"/>
            </w:pPr>
            <w:r>
              <w:t xml:space="preserve">Agents API launched as a dedicated agentic API alongside chat completions; Studio adds built-in and custom MCP connectors with human-in-the-loop approvals; Mistral Workflows (v3.0 public, c. September 2026) built on Temporal with Mistral-hosted control plane and customer-run workers</w:t>
            </w:r>
          </w:p>
        </w:tc>
        <w:tc>
          <w:tcPr/>
          <w:p>
            <w:pPr>
              <w:pStyle w:val="Compact"/>
              <w:jc w:val="left"/>
            </w:pPr>
            <w:r>
              <w:t xml:space="preserve">Verified fact</w:t>
            </w:r>
          </w:p>
        </w:tc>
        <w:tc>
          <w:tcPr/>
          <w:p>
            <w:pPr>
              <w:pStyle w:val="Compact"/>
              <w:jc w:val="left"/>
            </w:pPr>
            <w:r>
              <w:t xml:space="preserve">A4-S057, A4-S058</w:t>
            </w:r>
          </w:p>
        </w:tc>
      </w:tr>
      <w:tr>
        <w:tc>
          <w:tcPr/>
          <w:p>
            <w:pPr>
              <w:pStyle w:val="Compact"/>
              <w:jc w:val="left"/>
            </w:pPr>
            <w:r>
              <w:t xml:space="preserve">What it does</w:t>
            </w:r>
          </w:p>
        </w:tc>
        <w:tc>
          <w:tcPr/>
          <w:p>
            <w:pPr>
              <w:pStyle w:val="Compact"/>
              <w:jc w:val="left"/>
            </w:pPr>
            <w:r>
              <w:t xml:space="preserve">Agents API: create persistent agents with built-in connectors (code execution, web search, image generation, document library/RAG, MCP), stateful conversations that can be branched, and handoffs between agents executed server-side or client-side. Workflows: Python SDK with decorators for retries, timeouts, tracing, rate limiting and human-in-the-loop, with event-history durability.</w:t>
            </w:r>
          </w:p>
        </w:tc>
        <w:tc>
          <w:tcPr/>
          <w:p>
            <w:pPr>
              <w:pStyle w:val="Compact"/>
              <w:jc w:val="left"/>
            </w:pPr>
            <w:r>
              <w:t xml:space="preserve">Verified fact</w:t>
            </w:r>
          </w:p>
        </w:tc>
        <w:tc>
          <w:tcPr/>
          <w:p>
            <w:pPr>
              <w:pStyle w:val="Compact"/>
              <w:jc w:val="left"/>
            </w:pPr>
            <w:r>
              <w:t xml:space="preserve">A4-S057, A4-S058, A4-S061</w:t>
            </w:r>
          </w:p>
        </w:tc>
      </w:tr>
      <w:tr>
        <w:tc>
          <w:tcPr/>
          <w:p>
            <w:pPr>
              <w:pStyle w:val="Compact"/>
              <w:jc w:val="left"/>
            </w:pPr>
            <w:r>
              <w:t xml:space="preserve">Stack position</w:t>
            </w:r>
          </w:p>
        </w:tc>
        <w:tc>
          <w:tcPr/>
          <w:p>
            <w:pPr>
              <w:pStyle w:val="Compact"/>
              <w:jc w:val="left"/>
            </w:pPr>
            <w:r>
              <w:t xml:space="preserve">L3, but as a vendor-hosted agent runtime rather than a portable framework; Workflows is a durable workflow engine (H2)</w:t>
            </w:r>
          </w:p>
        </w:tc>
        <w:tc>
          <w:tcPr/>
          <w:p>
            <w:pPr>
              <w:pStyle w:val="Compact"/>
              <w:jc w:val="left"/>
            </w:pPr>
            <w:r>
              <w:t xml:space="preserve">Verified fact</w:t>
            </w:r>
          </w:p>
        </w:tc>
        <w:tc>
          <w:tcPr/>
          <w:p>
            <w:pPr>
              <w:pStyle w:val="Compact"/>
              <w:jc w:val="left"/>
            </w:pPr>
            <w:r>
              <w:t xml:space="preserve">A4-S057, A4-S058</w:t>
            </w:r>
          </w:p>
        </w:tc>
      </w:tr>
      <w:tr>
        <w:tc>
          <w:tcPr/>
          <w:p>
            <w:pPr>
              <w:pStyle w:val="Compact"/>
              <w:jc w:val="left"/>
            </w:pPr>
            <w:r>
              <w:t xml:space="preserve">Integration</w:t>
            </w:r>
          </w:p>
        </w:tc>
        <w:tc>
          <w:tcPr/>
          <w:p>
            <w:pPr>
              <w:pStyle w:val="Compact"/>
              <w:jc w:val="left"/>
            </w:pPr>
            <w:r>
              <w:t xml:space="preserve">REST API and client SDKs (Python/TS); MCP connectors; Workflows Python SDK</w:t>
            </w:r>
          </w:p>
        </w:tc>
        <w:tc>
          <w:tcPr/>
          <w:p>
            <w:pPr>
              <w:pStyle w:val="Compact"/>
              <w:jc w:val="left"/>
            </w:pPr>
            <w:r>
              <w:t xml:space="preserve">Verified fact</w:t>
            </w:r>
          </w:p>
        </w:tc>
        <w:tc>
          <w:tcPr/>
          <w:p>
            <w:pPr>
              <w:pStyle w:val="Compact"/>
              <w:jc w:val="left"/>
            </w:pPr>
            <w:r>
              <w:t xml:space="preserve">A4-S057, A4-S061</w:t>
            </w:r>
          </w:p>
        </w:tc>
      </w:tr>
      <w:tr>
        <w:tc>
          <w:tcPr/>
          <w:p>
            <w:pPr>
              <w:pStyle w:val="Compact"/>
              <w:jc w:val="left"/>
            </w:pPr>
            <w:r>
              <w:t xml:space="preserve">Dependencies</w:t>
            </w:r>
          </w:p>
        </w:tc>
        <w:tc>
          <w:tcPr/>
          <w:p>
            <w:pPr>
              <w:pStyle w:val="Compact"/>
              <w:jc w:val="left"/>
            </w:pPr>
            <w:r>
              <w:t xml:space="preserve">Mistral cloud (La Plateforme/Studio); Mistral models; Workflows workers on customer Kubernetes via Helm connecting to Mistral-hosted Temporal cluster</w:t>
            </w:r>
          </w:p>
        </w:tc>
        <w:tc>
          <w:tcPr/>
          <w:p>
            <w:pPr>
              <w:pStyle w:val="Compact"/>
              <w:jc w:val="left"/>
            </w:pPr>
            <w:r>
              <w:t xml:space="preserve">Verified fact</w:t>
            </w:r>
          </w:p>
        </w:tc>
        <w:tc>
          <w:tcPr/>
          <w:p>
            <w:pPr>
              <w:pStyle w:val="Compact"/>
              <w:jc w:val="left"/>
            </w:pPr>
            <w:r>
              <w:t xml:space="preserve">A4-S058</w:t>
            </w:r>
          </w:p>
        </w:tc>
      </w:tr>
      <w:tr>
        <w:tc>
          <w:tcPr/>
          <w:p>
            <w:pPr>
              <w:pStyle w:val="Compact"/>
              <w:jc w:val="left"/>
            </w:pPr>
            <w:r>
              <w:t xml:space="preserve">Certifications</w:t>
            </w:r>
          </w:p>
        </w:tc>
        <w:tc>
          <w:tcPr/>
          <w:p>
            <w:pPr>
              <w:pStyle w:val="Compact"/>
              <w:jc w:val="left"/>
            </w:pPr>
            <w:r>
              <w:t xml:space="preserve">Mistral AI: SOC 2 Type II, ISO/IEC 27001:2022, ISO/IEC 27701:2019 (company-level; scope/dates not seen)</w:t>
            </w:r>
          </w:p>
        </w:tc>
        <w:tc>
          <w:tcPr/>
          <w:p>
            <w:pPr>
              <w:pStyle w:val="Compact"/>
              <w:jc w:val="left"/>
            </w:pPr>
            <w:r>
              <w:t xml:space="preserve">Verified fact</w:t>
            </w:r>
          </w:p>
        </w:tc>
        <w:tc>
          <w:tcPr/>
          <w:p>
            <w:pPr>
              <w:pStyle w:val="Compact"/>
              <w:jc w:val="left"/>
            </w:pPr>
            <w:r>
              <w:t xml:space="preserve">A4-S060</w:t>
            </w:r>
          </w:p>
        </w:tc>
      </w:tr>
      <w:tr>
        <w:tc>
          <w:tcPr/>
          <w:p>
            <w:pPr>
              <w:pStyle w:val="Compact"/>
              <w:jc w:val="left"/>
            </w:pPr>
            <w:r>
              <w:t xml:space="preserve">GDPR / residency</w:t>
            </w:r>
          </w:p>
        </w:tc>
        <w:tc>
          <w:tcPr/>
          <w:p>
            <w:pPr>
              <w:pStyle w:val="Compact"/>
              <w:jc w:val="left"/>
            </w:pPr>
            <w:r>
              <w:t xml:space="preserve">Third-party summaries say EU hosting by default with optional US endpoint and ZDR negotiable via enterprise sales; Agents API conversations can be run with store=False (history not stored on Mistral cloud)</w:t>
            </w:r>
          </w:p>
        </w:tc>
        <w:tc>
          <w:tcPr/>
          <w:p>
            <w:pPr>
              <w:pStyle w:val="Compact"/>
              <w:jc w:val="left"/>
            </w:pPr>
            <w:r>
              <w:t xml:space="preserve">Reported</w:t>
            </w:r>
          </w:p>
        </w:tc>
        <w:tc>
          <w:tcPr/>
          <w:p>
            <w:pPr>
              <w:pStyle w:val="Compact"/>
              <w:jc w:val="left"/>
            </w:pPr>
            <w:r>
              <w:t xml:space="preserve">A4-S060, A4-S057</w:t>
            </w:r>
          </w:p>
        </w:tc>
      </w:tr>
      <w:tr>
        <w:tc>
          <w:tcPr/>
          <w:p>
            <w:pPr>
              <w:pStyle w:val="Compact"/>
              <w:jc w:val="left"/>
            </w:pPr>
            <w:r>
              <w:t xml:space="preserve">Security features</w:t>
            </w:r>
          </w:p>
        </w:tc>
        <w:tc>
          <w:tcPr/>
          <w:p>
            <w:pPr>
              <w:pStyle w:val="Compact"/>
              <w:jc w:val="left"/>
            </w:pPr>
            <w:r>
              <w:t xml:space="preserve">Connector tool allow/deny lists; human-in-the-loop approval for sensitive actions</w:t>
            </w:r>
          </w:p>
        </w:tc>
        <w:tc>
          <w:tcPr/>
          <w:p>
            <w:pPr>
              <w:pStyle w:val="Compact"/>
              <w:jc w:val="left"/>
            </w:pPr>
            <w:r>
              <w:t xml:space="preserve">Verified fact</w:t>
            </w:r>
          </w:p>
        </w:tc>
        <w:tc>
          <w:tcPr/>
          <w:p>
            <w:pPr>
              <w:pStyle w:val="Compact"/>
              <w:jc w:val="left"/>
            </w:pPr>
            <w:r>
              <w:t xml:space="preserve">A4-S057</w:t>
            </w:r>
          </w:p>
        </w:tc>
      </w:tr>
      <w:tr>
        <w:tc>
          <w:tcPr/>
          <w:p>
            <w:pPr>
              <w:pStyle w:val="Compact"/>
              <w:jc w:val="left"/>
            </w:pPr>
            <w:r>
              <w:t xml:space="preserve">Access controls</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Enterprise support</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Pricing</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Infrastructure cost</w:t>
            </w:r>
          </w:p>
        </w:tc>
        <w:tc>
          <w:tcPr/>
          <w:p>
            <w:pPr>
              <w:pStyle w:val="Compact"/>
              <w:jc w:val="left"/>
            </w:pPr>
            <w:r>
              <w:t xml:space="preserve">Workflows requires customer-operated worker infrastructure (Kubernetes)</w:t>
            </w:r>
          </w:p>
        </w:tc>
        <w:tc>
          <w:tcPr/>
          <w:p>
            <w:pPr>
              <w:pStyle w:val="Compact"/>
              <w:jc w:val="left"/>
            </w:pPr>
            <w:r>
              <w:t xml:space="preserve">Verified fact</w:t>
            </w:r>
          </w:p>
        </w:tc>
        <w:tc>
          <w:tcPr/>
          <w:p>
            <w:pPr>
              <w:pStyle w:val="Compact"/>
              <w:jc w:val="left"/>
            </w:pPr>
            <w:r>
              <w:t xml:space="preserve">A4-S058</w:t>
            </w:r>
          </w:p>
        </w:tc>
      </w:tr>
      <w:tr>
        <w:tc>
          <w:tcPr/>
          <w:p>
            <w:pPr>
              <w:pStyle w:val="Compact"/>
              <w:jc w:val="left"/>
            </w:pPr>
            <w:r>
              <w:t xml:space="preserve">Ecosystem</w:t>
            </w:r>
          </w:p>
        </w:tc>
        <w:tc>
          <w:tcPr/>
          <w:p>
            <w:pPr>
              <w:pStyle w:val="Compact"/>
              <w:jc w:val="left"/>
            </w:pPr>
            <w:r>
              <w:t xml:space="preserve">MCP connectors (built-in and custom); Temporal (Workflows engine)</w:t>
            </w:r>
          </w:p>
        </w:tc>
        <w:tc>
          <w:tcPr/>
          <w:p>
            <w:pPr>
              <w:pStyle w:val="Compact"/>
              <w:jc w:val="left"/>
            </w:pPr>
            <w:r>
              <w:t xml:space="preserve">Verified fact</w:t>
            </w:r>
          </w:p>
        </w:tc>
        <w:tc>
          <w:tcPr/>
          <w:p>
            <w:pPr>
              <w:pStyle w:val="Compact"/>
              <w:jc w:val="left"/>
            </w:pPr>
            <w:r>
              <w:t xml:space="preserve">A4-S057, A4-S058</w:t>
            </w:r>
          </w:p>
        </w:tc>
      </w:tr>
      <w:tr>
        <w:tc>
          <w:tcPr/>
          <w:p>
            <w:pPr>
              <w:pStyle w:val="Compact"/>
              <w:jc w:val="left"/>
            </w:pPr>
            <w:r>
              <w:t xml:space="preserve">Adoption signals</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Maturity</w:t>
            </w:r>
          </w:p>
        </w:tc>
        <w:tc>
          <w:tcPr/>
          <w:p>
            <w:pPr>
              <w:pStyle w:val="Compact"/>
              <w:jc w:val="left"/>
            </w:pPr>
            <w:r>
              <w:t xml:space="preserve">Agents API under client.beta namespace in SDK examples; Workflows SDK classified Beta; durable agents in Public Preview</w:t>
            </w:r>
          </w:p>
        </w:tc>
        <w:tc>
          <w:tcPr/>
          <w:p>
            <w:pPr>
              <w:pStyle w:val="Compact"/>
              <w:jc w:val="left"/>
            </w:pPr>
            <w:r>
              <w:t xml:space="preserve">Verified fact</w:t>
            </w:r>
          </w:p>
        </w:tc>
        <w:tc>
          <w:tcPr/>
          <w:p>
            <w:pPr>
              <w:pStyle w:val="Compact"/>
              <w:jc w:val="left"/>
            </w:pPr>
            <w:r>
              <w:t xml:space="preserve">A4-S057, A4-S061, V1-S065</w:t>
            </w:r>
          </w:p>
        </w:tc>
      </w:tr>
      <w:tr>
        <w:tc>
          <w:tcPr/>
          <w:p>
            <w:pPr>
              <w:pStyle w:val="Compact"/>
              <w:jc w:val="left"/>
            </w:pPr>
            <w:r>
              <w:t xml:space="preserve">Deployment</w:t>
            </w:r>
          </w:p>
        </w:tc>
        <w:tc>
          <w:tcPr/>
          <w:p>
            <w:pPr>
              <w:pStyle w:val="Compact"/>
              <w:jc w:val="left"/>
            </w:pPr>
            <w:r>
              <w:t xml:space="preserve">saas: Yes; managed_cloud: Yes; vpc_byoc: Yes (partial: Workflows workers run in customer Kubernetes; control plane Mistral-hosted); private_cloud: Not publicly verified; self_hosted: Yes (partial: Workflows LocalSession for experimental or on-premises use); on_prem: Not publicly verified</w:t>
            </w:r>
          </w:p>
        </w:tc>
        <w:tc>
          <w:tcPr/>
          <w:p>
            <w:pPr>
              <w:pStyle w:val="Compact"/>
            </w:pPr>
          </w:p>
        </w:tc>
        <w:tc>
          <w:tcPr/>
          <w:p>
            <w:pPr>
              <w:pStyle w:val="Compact"/>
            </w:pPr>
          </w:p>
        </w:tc>
      </w:tr>
    </w:tbl>
    <w:bookmarkEnd w:id="1256"/>
    <w:bookmarkEnd w:id="1257"/>
    <w:bookmarkStart w:id="1498" w:name="l2-inference-serving-and-model-access"/>
    <w:p>
      <w:pPr>
        <w:pStyle w:val="Heading1"/>
      </w:pPr>
      <w:r>
        <w:t xml:space="preserve">L2: Inference, serving and model access</w:t>
      </w:r>
    </w:p>
    <w:bookmarkStart w:id="1281" w:name="vllm-l2-vllm"/>
    <w:p>
      <w:pPr>
        <w:pStyle w:val="Heading2"/>
      </w:pPr>
      <w:r>
        <w:t xml:space="preserve">vLLM (</w:t>
      </w:r>
      <w:r>
        <w:rPr>
          <w:rStyle w:val="VerbatimChar"/>
        </w:rPr>
        <w:t xml:space="preserve">L2-vllm</w:t>
      </w:r>
      <w:r>
        <w:t xml:space="preserve">)</w:t>
      </w:r>
    </w:p>
    <w:p>
      <w:pPr>
        <w:pStyle w:val="FirstParagraph"/>
      </w:pPr>
      <w:r>
        <w:rPr>
          <w:bCs/>
          <w:b/>
        </w:rPr>
        <w:t xml:space="preserve">Tier:</w:t>
      </w:r>
      <w:r>
        <w:t xml:space="preserve"> </w:t>
      </w:r>
      <w:r>
        <w:t xml:space="preserve">Strategic ·</w:t>
      </w:r>
      <w:r>
        <w:t xml:space="preserve"> </w:t>
      </w:r>
      <w:r>
        <w:rPr>
          <w:bCs/>
          <w:b/>
        </w:rPr>
        <w:t xml:space="preserve">Flags:</w:t>
      </w:r>
      <w:r>
        <w:t xml:space="preserve"> </w:t>
      </w:r>
      <w:r>
        <w:t xml:space="preserve">none ·</w:t>
      </w:r>
      <w:r>
        <w:t xml:space="preserve"> </w:t>
      </w:r>
      <w:r>
        <w:rPr>
          <w:bCs/>
          <w:b/>
        </w:rPr>
        <w:t xml:space="preserve">Original graphic label:</w:t>
      </w:r>
      <w:r>
        <w:t xml:space="preserve"> </w:t>
      </w:r>
      <w:r>
        <w:t xml:space="preserve">vLLM – high-throughput</w:t>
      </w:r>
    </w:p>
    <w:p>
      <w:pPr>
        <w:pStyle w:val="BodyText"/>
      </w:pPr>
      <w:r>
        <w:rPr>
          <w:iCs/>
          <w:i/>
        </w:rPr>
        <w:t xml:space="preserve">Rationale:</w:t>
      </w:r>
      <w:r>
        <w:t xml:space="preserve"> </w:t>
      </w:r>
      <w:r>
        <w:t xml:space="preserve">Default serving engine for any self-hosted route; neutral governance; conditional on patch and model-provenance discipline</w:t>
      </w:r>
    </w:p>
    <w:tbl>
      <w:tblPr>
        <w:tblStyle w:val="Table"/>
        <w:tblW w:type="pct" w:w="5000"/>
        <w:tblLook w:firstRow="1" w:lastRow="0" w:firstColumn="0" w:lastColumn="0" w:noHBand="0" w:noVBand="0" w:val="0020"/>
        <w:jc w:val="start"/>
      </w:tblPr>
      <w:tblGrid>
        <w:gridCol w:w="1545"/>
        <w:gridCol w:w="579"/>
        <w:gridCol w:w="5795"/>
      </w:tblGrid>
      <w:tr>
        <w:trPr>
          <w:tblHeader w:val="true"/>
        </w:trPr>
        <w:tc>
          <w:tcPr/>
          <w:p>
            <w:pPr>
              <w:pStyle w:val="Compact"/>
              <w:jc w:val="left"/>
            </w:pPr>
            <w:r>
              <w:t xml:space="preserve">Criterion</w:t>
            </w:r>
          </w:p>
        </w:tc>
        <w:tc>
          <w:tcPr/>
          <w:p>
            <w:pPr>
              <w:pStyle w:val="Compact"/>
              <w:jc w:val="right"/>
            </w:pPr>
            <w:r>
              <w:t xml:space="preserve">Score</w:t>
            </w:r>
          </w:p>
        </w:tc>
        <w:tc>
          <w:tcPr/>
          <w:p>
            <w:pPr>
              <w:pStyle w:val="Compact"/>
              <w:jc w:val="left"/>
            </w:pPr>
            <w:r>
              <w:t xml:space="preserve">Rationale</w:t>
            </w:r>
          </w:p>
        </w:tc>
      </w:tr>
      <w:tr>
        <w:tc>
          <w:tcPr/>
          <w:p>
            <w:pPr>
              <w:pStyle w:val="Compact"/>
              <w:jc w:val="left"/>
            </w:pPr>
            <w:r>
              <w:t xml:space="preserve">Technical</w:t>
            </w:r>
          </w:p>
        </w:tc>
        <w:tc>
          <w:tcPr/>
          <w:p>
            <w:pPr>
              <w:pStyle w:val="Compact"/>
              <w:jc w:val="right"/>
            </w:pPr>
            <w:r>
              <w:t xml:space="preserve">5</w:t>
            </w:r>
          </w:p>
        </w:tc>
        <w:tc>
          <w:tcPr/>
          <w:p>
            <w:pPr>
              <w:pStyle w:val="Compact"/>
              <w:jc w:val="left"/>
            </w:pPr>
            <w:r>
              <w:t xml:space="preserve">Leading depth: quantisation, speculative decoding, prefix caching, disaggregation, multi-hardware</w:t>
            </w:r>
            <w:r>
              <w:t xml:space="preserve"> </w:t>
            </w:r>
            <w:r>
              <w:rPr>
                <w:rStyle w:val="ClaimLabel"/>
              </w:rPr>
              <w:t xml:space="preserve">VF</w:t>
            </w:r>
            <w:r>
              <w:rPr>
                <w:rStyle w:val="FootnoteReference"/>
              </w:rPr>
              <w:footnoteReference w:id="1258"/>
            </w:r>
          </w:p>
        </w:tc>
      </w:tr>
      <w:tr>
        <w:tc>
          <w:tcPr/>
          <w:p>
            <w:pPr>
              <w:pStyle w:val="Compact"/>
              <w:jc w:val="left"/>
            </w:pPr>
            <w:r>
              <w:t xml:space="preserve">Enterprise readiness</w:t>
            </w:r>
          </w:p>
        </w:tc>
        <w:tc>
          <w:tcPr/>
          <w:p>
            <w:pPr>
              <w:pStyle w:val="Compact"/>
              <w:jc w:val="right"/>
            </w:pPr>
            <w:r>
              <w:t xml:space="preserve">4</w:t>
            </w:r>
          </w:p>
        </w:tc>
        <w:tc>
          <w:tcPr/>
          <w:p>
            <w:pPr>
              <w:pStyle w:val="Compact"/>
              <w:jc w:val="left"/>
            </w:pPr>
            <w:r>
              <w:t xml:space="preserve">Rule 2: enables in-estate serving; inherits host controls; commercial support via Red Hat AI Inference lifts the 4 cap</w:t>
            </w:r>
            <w:r>
              <w:t xml:space="preserve"> </w:t>
            </w:r>
            <w:r>
              <w:rPr>
                <w:rStyle w:val="ClaimLabel"/>
              </w:rPr>
              <w:t xml:space="preserve">VF</w:t>
            </w:r>
            <w:r>
              <w:rPr>
                <w:rStyle w:val="FootnoteReference"/>
              </w:rPr>
              <w:footnoteReference w:id="1260"/>
            </w:r>
          </w:p>
        </w:tc>
      </w:tr>
      <w:tr>
        <w:tc>
          <w:tcPr/>
          <w:p>
            <w:pPr>
              <w:pStyle w:val="Compact"/>
              <w:jc w:val="left"/>
            </w:pPr>
            <w:r>
              <w:t xml:space="preserve">Security and compliance</w:t>
            </w:r>
          </w:p>
        </w:tc>
        <w:tc>
          <w:tcPr/>
          <w:p>
            <w:pPr>
              <w:pStyle w:val="Compact"/>
              <w:jc w:val="right"/>
            </w:pPr>
            <w:r>
              <w:t xml:space="preserve">3</w:t>
            </w:r>
          </w:p>
        </w:tc>
        <w:tc>
          <w:tcPr/>
          <w:p>
            <w:pPr>
              <w:pStyle w:val="Compact"/>
              <w:jc w:val="left"/>
            </w:pPr>
            <w:r>
              <w:t xml:space="preserve">Rule 2 hygiene: published advisory process with fixed versions</w:t>
            </w:r>
            <w:r>
              <w:t xml:space="preserve"> </w:t>
            </w:r>
            <w:r>
              <w:rPr>
                <w:rStyle w:val="ClaimLabel"/>
              </w:rPr>
              <w:t xml:space="preserve">VF</w:t>
            </w:r>
            <w:r>
              <w:rPr>
                <w:rStyle w:val="FootnoteReference"/>
              </w:rPr>
              <w:footnoteReference w:id="1262"/>
            </w:r>
            <w:r>
              <w:t xml:space="preserve">, but several 2026 RCE advisories, one critical</w:t>
            </w:r>
          </w:p>
        </w:tc>
      </w:tr>
      <w:tr>
        <w:tc>
          <w:tcPr/>
          <w:p>
            <w:pPr>
              <w:pStyle w:val="Compact"/>
              <w:jc w:val="left"/>
            </w:pPr>
            <w:r>
              <w:t xml:space="preserve">Deployment flexibility</w:t>
            </w:r>
          </w:p>
        </w:tc>
        <w:tc>
          <w:tcPr/>
          <w:p>
            <w:pPr>
              <w:pStyle w:val="Compact"/>
              <w:jc w:val="right"/>
            </w:pPr>
            <w:r>
              <w:t xml:space="preserve">5</w:t>
            </w:r>
          </w:p>
        </w:tc>
        <w:tc>
          <w:tcPr/>
          <w:p>
            <w:pPr>
              <w:pStyle w:val="Compact"/>
              <w:jc w:val="left"/>
            </w:pPr>
            <w:r>
              <w:t xml:space="preserve">Self-host, private cloud, on-prem, and managed via third parties</w:t>
            </w:r>
            <w:r>
              <w:t xml:space="preserve"> </w:t>
            </w:r>
            <w:r>
              <w:rPr>
                <w:rStyle w:val="ClaimLabel"/>
              </w:rPr>
              <w:t xml:space="preserve">VF</w:t>
            </w:r>
            <w:r>
              <w:rPr>
                <w:rStyle w:val="FootnoteReference"/>
              </w:rPr>
              <w:footnoteReference w:id="1264"/>
            </w:r>
          </w:p>
        </w:tc>
      </w:tr>
      <w:tr>
        <w:tc>
          <w:tcPr/>
          <w:p>
            <w:pPr>
              <w:pStyle w:val="Compact"/>
              <w:jc w:val="left"/>
            </w:pPr>
            <w:r>
              <w:t xml:space="preserve">Ecosystem</w:t>
            </w:r>
          </w:p>
        </w:tc>
        <w:tc>
          <w:tcPr/>
          <w:p>
            <w:pPr>
              <w:pStyle w:val="Compact"/>
              <w:jc w:val="right"/>
            </w:pPr>
            <w:r>
              <w:t xml:space="preserve">5</w:t>
            </w:r>
          </w:p>
        </w:tc>
        <w:tc>
          <w:tcPr/>
          <w:p>
            <w:pPr>
              <w:pStyle w:val="Compact"/>
              <w:jc w:val="left"/>
            </w:pPr>
            <w:r>
              <w:t xml:space="preserve">De-facto standard with OpenAI-compatible API; 2,000+ contributors</w:t>
            </w:r>
            <w:r>
              <w:t xml:space="preserve"> </w:t>
            </w:r>
            <w:r>
              <w:rPr>
                <w:rStyle w:val="ClaimLabel"/>
              </w:rPr>
              <w:t xml:space="preserve">VF</w:t>
            </w:r>
            <w:r>
              <w:rPr>
                <w:rStyle w:val="FootnoteReference"/>
              </w:rPr>
              <w:footnoteReference w:id="1266"/>
            </w:r>
          </w:p>
        </w:tc>
      </w:tr>
      <w:tr>
        <w:tc>
          <w:tcPr/>
          <w:p>
            <w:pPr>
              <w:pStyle w:val="Compact"/>
              <w:jc w:val="left"/>
            </w:pPr>
            <w:r>
              <w:t xml:space="preserve">Reliability and maturity</w:t>
            </w:r>
          </w:p>
        </w:tc>
        <w:tc>
          <w:tcPr/>
          <w:p>
            <w:pPr>
              <w:pStyle w:val="Compact"/>
              <w:jc w:val="right"/>
            </w:pPr>
            <w:r>
              <w:t xml:space="preserve">4</w:t>
            </w:r>
          </w:p>
        </w:tc>
        <w:tc>
          <w:tcPr/>
          <w:p>
            <w:pPr>
              <w:pStyle w:val="Compact"/>
              <w:jc w:val="left"/>
            </w:pPr>
            <w:r>
              <w:t xml:space="preserve">Foundation-hosted since May 2025</w:t>
            </w:r>
            <w:r>
              <w:t xml:space="preserve"> </w:t>
            </w:r>
            <w:r>
              <w:rPr>
                <w:rStyle w:val="ClaimLabel"/>
              </w:rPr>
              <w:t xml:space="preserve">VF</w:t>
            </w:r>
            <w:r>
              <w:rPr>
                <w:rStyle w:val="FootnoteReference"/>
              </w:rPr>
              <w:footnoteReference w:id="1267"/>
            </w:r>
            <w:r>
              <w:t xml:space="preserve">; held at 4 for pre-1.0 versioning and fast cadence</w:t>
            </w:r>
            <w:r>
              <w:t xml:space="preserve"> </w:t>
            </w:r>
            <w:r>
              <w:rPr>
                <w:rStyle w:val="ClaimLabel"/>
              </w:rPr>
              <w:t xml:space="preserve">VF</w:t>
            </w:r>
            <w:r>
              <w:rPr>
                <w:rStyle w:val="FootnoteReference"/>
              </w:rPr>
              <w:footnoteReference w:id="1269"/>
            </w:r>
          </w:p>
        </w:tc>
      </w:tr>
      <w:tr>
        <w:tc>
          <w:tcPr/>
          <w:p>
            <w:pPr>
              <w:pStyle w:val="Compact"/>
              <w:jc w:val="left"/>
            </w:pPr>
            <w:r>
              <w:t xml:space="preserve">Cost / TCO</w:t>
            </w:r>
          </w:p>
        </w:tc>
        <w:tc>
          <w:tcPr/>
          <w:p>
            <w:pPr>
              <w:pStyle w:val="Compact"/>
              <w:jc w:val="right"/>
            </w:pPr>
            <w:r>
              <w:t xml:space="preserve">4</w:t>
            </w:r>
          </w:p>
        </w:tc>
        <w:tc>
          <w:tcPr/>
          <w:p>
            <w:pPr>
              <w:pStyle w:val="Compact"/>
              <w:jc w:val="left"/>
            </w:pPr>
            <w:r>
              <w:t xml:space="preserve">Free; cost is GPU hours and operations</w:t>
            </w:r>
            <w:r>
              <w:t xml:space="preserve"> </w:t>
            </w:r>
            <w:r>
              <w:rPr>
                <w:rStyle w:val="ClaimLabel"/>
              </w:rPr>
              <w:t xml:space="preserve">AJ</w:t>
            </w:r>
          </w:p>
        </w:tc>
      </w:tr>
      <w:tr>
        <w:tc>
          <w:tcPr/>
          <w:p>
            <w:pPr>
              <w:pStyle w:val="Compact"/>
              <w:jc w:val="left"/>
            </w:pPr>
            <w:r>
              <w:t xml:space="preserve">Lock-in / portability</w:t>
            </w:r>
          </w:p>
        </w:tc>
        <w:tc>
          <w:tcPr/>
          <w:p>
            <w:pPr>
              <w:pStyle w:val="Compact"/>
              <w:jc w:val="right"/>
            </w:pPr>
            <w:r>
              <w:t xml:space="preserve">5</w:t>
            </w:r>
          </w:p>
        </w:tc>
        <w:tc>
          <w:tcPr/>
          <w:p>
            <w:pPr>
              <w:pStyle w:val="Compact"/>
              <w:jc w:val="left"/>
            </w:pPr>
            <w:r>
              <w:t xml:space="preserve">Apache-2.0, open APIs, neutral governance</w:t>
            </w:r>
            <w:r>
              <w:t xml:space="preserve"> </w:t>
            </w:r>
            <w:r>
              <w:rPr>
                <w:rStyle w:val="ClaimLabel"/>
              </w:rPr>
              <w:t xml:space="preserve">VF</w:t>
            </w:r>
            <w:r>
              <w:rPr>
                <w:rStyle w:val="FootnoteReference"/>
              </w:rPr>
              <w:footnoteReference w:id="1271"/>
            </w:r>
          </w:p>
        </w:tc>
      </w:tr>
      <w:tr>
        <w:tc>
          <w:tcPr/>
          <w:p>
            <w:pPr>
              <w:pStyle w:val="Compact"/>
              <w:jc w:val="left"/>
            </w:pPr>
            <w:r>
              <w:rPr>
                <w:bCs/>
                <w:b/>
              </w:rPr>
              <w:t xml:space="preserve">Total (generic / FS)</w:t>
            </w:r>
          </w:p>
        </w:tc>
        <w:tc>
          <w:tcPr/>
          <w:p>
            <w:pPr>
              <w:pStyle w:val="Compact"/>
              <w:jc w:val="right"/>
            </w:pPr>
            <w:r>
              <w:rPr>
                <w:bCs/>
                <w:b/>
              </w:rPr>
              <w:t xml:space="preserve">4.35 / 4.30</w:t>
            </w:r>
          </w:p>
        </w:tc>
        <w:tc>
          <w:tcPr/>
          <w:p>
            <w:pPr>
              <w:pStyle w:val="Compact"/>
            </w:pPr>
          </w:p>
        </w:tc>
      </w:tr>
    </w:tbl>
    <w:p>
      <w:pPr>
        <w:pStyle w:val="BodyText"/>
      </w:pPr>
      <w:r>
        <w:rPr>
          <w:bCs/>
          <w:b/>
        </w:rPr>
        <w:t xml:space="preserve">Capabilities.</w:t>
      </w:r>
      <w:r>
        <w:t xml:space="preserve"> </w:t>
      </w:r>
      <w:r>
        <w:t xml:space="preserve">Apache-2.0 LLM inference and serving engine (0.31.0, 5 October 2026), PyTorch Foundation-hosted since 7 May 2025, with PagedAttention, continuous batching, prefix caching, quantisation (FP8, MXFP4, NVFP4, INT4/8, GPTQ/AWQ, GGUF), speculative decoding (n-gram, suffix, EAGLE, DFlash), disaggregated prefill/decode/encode, OpenAI-compatible and Anthropic Messages APIs, 200+ architectures and multi-vendor hardware</w:t>
      </w:r>
      <w:r>
        <w:t xml:space="preserve"> </w:t>
      </w:r>
      <w:r>
        <w:rPr>
          <w:rStyle w:val="ClaimLabel"/>
        </w:rPr>
        <w:t xml:space="preserve">VF</w:t>
      </w:r>
      <w:r>
        <w:rPr>
          <w:rStyle w:val="FootnoteReference"/>
        </w:rPr>
        <w:footnoteReference w:id="1272"/>
      </w:r>
      <w:r>
        <w:t xml:space="preserve">. A commercially supported distribution exists (Red Hat AI Inference)</w:t>
      </w:r>
      <w:r>
        <w:t xml:space="preserve"> </w:t>
      </w:r>
      <w:r>
        <w:rPr>
          <w:rStyle w:val="ClaimLabel"/>
        </w:rPr>
        <w:t xml:space="preserve">VF</w:t>
      </w:r>
      <w:r>
        <w:rPr>
          <w:rStyle w:val="FootnoteReference"/>
        </w:rPr>
        <w:footnoteReference w:id="1273"/>
      </w:r>
      <w:r>
        <w:t xml:space="preserve">.</w:t>
      </w:r>
    </w:p>
    <w:p>
      <w:pPr>
        <w:pStyle w:val="BodyText"/>
      </w:pPr>
      <w:r>
        <w:rPr>
          <w:bCs/>
          <w:b/>
        </w:rPr>
        <w:t xml:space="preserve">Strengths</w:t>
      </w:r>
    </w:p>
    <w:p>
      <w:pPr>
        <w:numPr>
          <w:ilvl w:val="0"/>
          <w:numId w:val="1277"/>
        </w:numPr>
        <w:pStyle w:val="Compact"/>
      </w:pPr>
      <w:r>
        <w:t xml:space="preserve">Broadest optimisation feature set inside one engine</w:t>
      </w:r>
      <w:r>
        <w:t xml:space="preserve"> </w:t>
      </w:r>
      <w:r>
        <w:rPr>
          <w:rStyle w:val="ClaimLabel"/>
        </w:rPr>
        <w:t xml:space="preserve">VF</w:t>
      </w:r>
      <w:r>
        <w:rPr>
          <w:rStyle w:val="FootnoteReference"/>
        </w:rPr>
        <w:footnoteReference w:id="1274"/>
      </w:r>
      <w:r>
        <w:t xml:space="preserve"> </w:t>
      </w:r>
      <w:r>
        <w:rPr>
          <w:rStyle w:val="ClaimLabel"/>
        </w:rPr>
        <w:t xml:space="preserve">AJ</w:t>
      </w:r>
    </w:p>
    <w:p>
      <w:pPr>
        <w:numPr>
          <w:ilvl w:val="0"/>
          <w:numId w:val="1277"/>
        </w:numPr>
        <w:pStyle w:val="Compact"/>
      </w:pPr>
      <w:r>
        <w:t xml:space="preserve">Neutral foundation governance and Apache-2.0</w:t>
      </w:r>
      <w:r>
        <w:t xml:space="preserve"> </w:t>
      </w:r>
      <w:r>
        <w:rPr>
          <w:rStyle w:val="ClaimLabel"/>
        </w:rPr>
        <w:t xml:space="preserve">VF</w:t>
      </w:r>
      <w:r>
        <w:rPr>
          <w:rStyle w:val="FootnoteReference"/>
        </w:rPr>
        <w:footnoteReference w:id="1275"/>
      </w:r>
    </w:p>
    <w:p>
      <w:pPr>
        <w:numPr>
          <w:ilvl w:val="0"/>
          <w:numId w:val="1277"/>
        </w:numPr>
        <w:pStyle w:val="Compact"/>
      </w:pPr>
      <w:r>
        <w:t xml:space="preserve">De-facto substrate: under Hugging Face Endpoints, llm-d and Dynamo</w:t>
      </w:r>
      <w:r>
        <w:t xml:space="preserve"> </w:t>
      </w:r>
      <w:r>
        <w:rPr>
          <w:rStyle w:val="ClaimLabel"/>
        </w:rPr>
        <w:t xml:space="preserve">VF</w:t>
      </w:r>
      <w:r>
        <w:rPr>
          <w:rStyle w:val="FootnoteReference"/>
        </w:rPr>
        <w:footnoteReference w:id="1276"/>
      </w:r>
    </w:p>
    <w:p>
      <w:pPr>
        <w:pStyle w:val="FirstParagraph"/>
      </w:pPr>
      <w:r>
        <w:rPr>
          <w:bCs/>
          <w:b/>
        </w:rPr>
        <w:t xml:space="preserve">Limitations and risks</w:t>
      </w:r>
    </w:p>
    <w:p>
      <w:pPr>
        <w:numPr>
          <w:ilvl w:val="0"/>
          <w:numId w:val="1278"/>
        </w:numPr>
        <w:pStyle w:val="Compact"/>
      </w:pPr>
      <w:r>
        <w:t xml:space="preserve">Pre-1.0 with roughly fortnightly releases (28 in 2026)</w:t>
      </w:r>
      <w:r>
        <w:t xml:space="preserve"> </w:t>
      </w:r>
      <w:r>
        <w:rPr>
          <w:rStyle w:val="ClaimLabel"/>
        </w:rPr>
        <w:t xml:space="preserve">VF</w:t>
      </w:r>
      <w:r>
        <w:rPr>
          <w:rStyle w:val="FootnoteReference"/>
        </w:rPr>
        <w:footnoteReference w:id="1279"/>
      </w:r>
    </w:p>
    <w:p>
      <w:pPr>
        <w:numPr>
          <w:ilvl w:val="0"/>
          <w:numId w:val="1278"/>
        </w:numPr>
        <w:pStyle w:val="Compact"/>
      </w:pPr>
      <w:r>
        <w:t xml:space="preserve">A run of 2026 code-execution advisories, including critical CVE-2026-22778, mostly via untrusted model files or media inputs</w:t>
      </w:r>
      <w:r>
        <w:t xml:space="preserve"> </w:t>
      </w:r>
      <w:r>
        <w:rPr>
          <w:rStyle w:val="ClaimLabel"/>
        </w:rPr>
        <w:t xml:space="preserve">VF</w:t>
      </w:r>
      <w:r>
        <w:rPr>
          <w:rStyle w:val="FootnoteReference"/>
        </w:rPr>
        <w:footnoteReference w:id="1280"/>
      </w:r>
    </w:p>
    <w:p>
      <w:pPr>
        <w:numPr>
          <w:ilvl w:val="0"/>
          <w:numId w:val="1278"/>
        </w:numPr>
        <w:pStyle w:val="Compact"/>
      </w:pPr>
      <w:r>
        <w:t xml:space="preserve">No identity, audit or tenancy of its own; inherits host and gateway controls</w:t>
      </w:r>
      <w:r>
        <w:t xml:space="preserve"> </w:t>
      </w:r>
      <w:r>
        <w:rPr>
          <w:rStyle w:val="ClaimLabel"/>
        </w:rPr>
        <w:t xml:space="preserve">AJ</w:t>
      </w:r>
    </w:p>
    <w:p>
      <w:pPr>
        <w:pStyle w:val="FirstParagraph"/>
      </w:pPr>
      <w:r>
        <w:rPr>
          <w:bCs/>
          <w:b/>
        </w:rPr>
        <w:t xml:space="preserve">Choose when</w:t>
      </w:r>
    </w:p>
    <w:p>
      <w:pPr>
        <w:numPr>
          <w:ilvl w:val="0"/>
          <w:numId w:val="1279"/>
        </w:numPr>
        <w:pStyle w:val="Compact"/>
      </w:pPr>
      <w:r>
        <w:t xml:space="preserve">You self-host open-weight models on your own or private-cloud GPUs</w:t>
      </w:r>
      <w:r>
        <w:t xml:space="preserve"> </w:t>
      </w:r>
      <w:r>
        <w:rPr>
          <w:rStyle w:val="ClaimLabel"/>
        </w:rPr>
        <w:t xml:space="preserve">AJ</w:t>
      </w:r>
    </w:p>
    <w:p>
      <w:pPr>
        <w:numPr>
          <w:ilvl w:val="0"/>
          <w:numId w:val="1279"/>
        </w:numPr>
        <w:pStyle w:val="Compact"/>
      </w:pPr>
      <w:r>
        <w:t xml:space="preserve">You want the default engine with the widest model and hardware coverage</w:t>
      </w:r>
      <w:r>
        <w:t xml:space="preserve"> </w:t>
      </w:r>
      <w:r>
        <w:rPr>
          <w:rStyle w:val="ClaimLabel"/>
        </w:rPr>
        <w:t xml:space="preserve">AJ</w:t>
      </w:r>
    </w:p>
    <w:p>
      <w:pPr>
        <w:pStyle w:val="FirstParagraph"/>
      </w:pPr>
      <w:r>
        <w:rPr>
          <w:bCs/>
          <w:b/>
        </w:rPr>
        <w:t xml:space="preserve">Avoid when</w:t>
      </w:r>
    </w:p>
    <w:p>
      <w:pPr>
        <w:numPr>
          <w:ilvl w:val="0"/>
          <w:numId w:val="1280"/>
        </w:numPr>
        <w:pStyle w:val="Compact"/>
      </w:pPr>
      <w:r>
        <w:t xml:space="preserve">You cannot run a monthly patch cadence and model-provenance controls</w:t>
      </w:r>
      <w:r>
        <w:t xml:space="preserve"> </w:t>
      </w:r>
      <w:r>
        <w:rPr>
          <w:rStyle w:val="ClaimLabel"/>
        </w:rPr>
        <w:t xml:space="preserve">AJ</w:t>
      </w:r>
    </w:p>
    <w:p>
      <w:pPr>
        <w:numPr>
          <w:ilvl w:val="0"/>
          <w:numId w:val="1280"/>
        </w:numPr>
        <w:pStyle w:val="Compact"/>
      </w:pPr>
      <w:r>
        <w:t xml:space="preserve">You have no GPU capacity or SRE capability; use managed access instead</w:t>
      </w:r>
      <w:r>
        <w:t xml:space="preserve"> </w:t>
      </w:r>
      <w:r>
        <w:rPr>
          <w:rStyle w:val="ClaimLabel"/>
        </w:rPr>
        <w:t xml:space="preserve">AJ</w:t>
      </w:r>
    </w:p>
    <w:p>
      <w:pPr>
        <w:pStyle w:val="FirstParagraph"/>
      </w:pPr>
      <w:r>
        <w:rPr>
          <w:bCs/>
          <w:b/>
        </w:rPr>
        <w:t xml:space="preserve">Nearest competitors:</w:t>
      </w:r>
      <w:r>
        <w:t xml:space="preserve"> </w:t>
      </w:r>
      <w:r>
        <w:t xml:space="preserve">L2-sglang, TensorRT-LLM, L2-hugging-face</w:t>
      </w:r>
    </w:p>
    <w:p>
      <w:pPr>
        <w:pStyle w:val="BodyText"/>
      </w:pPr>
      <w:r>
        <w:rPr>
          <w:bCs/>
          <w:b/>
        </w:rPr>
        <w:t xml:space="preserve">Regulated-FS note.</w:t>
      </w:r>
      <w:r>
        <w:t xml:space="preserve"> </w:t>
      </w:r>
      <w:r>
        <w:t xml:space="preserve">Run behind the gateway (C1), load only allow-listed, scanned weights with trust_remote_code off, pin versions and track advisories</w:t>
      </w:r>
      <w:r>
        <w:t xml:space="preserve"> </w:t>
      </w:r>
      <w:r>
        <w:rPr>
          <w:rStyle w:val="ClaimLabel"/>
        </w:rPr>
        <w:t xml:space="preserve">Rec</w:t>
      </w:r>
      <w:r>
        <w:t xml:space="preserve">.</w:t>
      </w:r>
    </w:p>
    <w:p>
      <w:pPr>
        <w:pStyle w:val="BodyText"/>
      </w:pPr>
      <w:r>
        <w:rPr>
          <w:bCs/>
          <w:b/>
        </w:rPr>
        <w:t xml:space="preserve">Facts (as of 2026-10-08)</w:t>
      </w:r>
    </w:p>
    <w:tbl>
      <w:tblPr>
        <w:tblStyle w:val="Table"/>
        <w:tblW w:type="pct" w:w="5000"/>
        <w:tblLook w:firstRow="1" w:lastRow="0" w:firstColumn="0" w:lastColumn="0" w:noHBand="0" w:noVBand="0" w:val="0020"/>
        <w:jc w:val="start"/>
      </w:tblPr>
      <w:tblGrid>
        <w:gridCol w:w="1485"/>
        <w:gridCol w:w="4290"/>
        <w:gridCol w:w="1320"/>
        <w:gridCol w:w="825"/>
      </w:tblGrid>
      <w:tr>
        <w:trPr>
          <w:tblHeader w:val="true"/>
        </w:trPr>
        <w:tc>
          <w:tcPr/>
          <w:p>
            <w:pPr>
              <w:pStyle w:val="Compact"/>
              <w:jc w:val="left"/>
            </w:pPr>
            <w:r>
              <w:t xml:space="preserve">Field</w:t>
            </w:r>
          </w:p>
        </w:tc>
        <w:tc>
          <w:tcPr/>
          <w:p>
            <w:pPr>
              <w:pStyle w:val="Compact"/>
              <w:jc w:val="left"/>
            </w:pPr>
            <w:r>
              <w:t xml:space="preserve">Value</w:t>
            </w:r>
          </w:p>
        </w:tc>
        <w:tc>
          <w:tcPr/>
          <w:p>
            <w:pPr>
              <w:pStyle w:val="Compact"/>
              <w:jc w:val="left"/>
            </w:pPr>
            <w:r>
              <w:t xml:space="preserve">Label</w:t>
            </w:r>
          </w:p>
        </w:tc>
        <w:tc>
          <w:tcPr/>
          <w:p>
            <w:pPr>
              <w:pStyle w:val="Compact"/>
              <w:jc w:val="left"/>
            </w:pPr>
            <w:r>
              <w:t xml:space="preserve">Sources</w:t>
            </w:r>
          </w:p>
        </w:tc>
      </w:tr>
      <w:tr>
        <w:tc>
          <w:tcPr/>
          <w:p>
            <w:pPr>
              <w:pStyle w:val="Compact"/>
              <w:jc w:val="left"/>
            </w:pPr>
            <w:r>
              <w:t xml:space="preserve">Company</w:t>
            </w:r>
          </w:p>
        </w:tc>
        <w:tc>
          <w:tcPr/>
          <w:p>
            <w:pPr>
              <w:pStyle w:val="Compact"/>
              <w:jc w:val="left"/>
            </w:pPr>
            <w:r>
              <w:t xml:space="preserve">vLLM project, a PyTorch Foundation-hosted project (Linux Foundation) since May 2025; originated at UC Berkeley Sky Computing Lab; lead maintainers include Woosuk Kwon, Zhuohan Li, Simon Mo, Kaichao You and Robert Shaw</w:t>
            </w:r>
          </w:p>
        </w:tc>
        <w:tc>
          <w:tcPr/>
          <w:p>
            <w:pPr>
              <w:pStyle w:val="Compact"/>
              <w:jc w:val="left"/>
            </w:pPr>
            <w:r>
              <w:t xml:space="preserve">Verified fact</w:t>
            </w:r>
          </w:p>
        </w:tc>
        <w:tc>
          <w:tcPr/>
          <w:p>
            <w:pPr>
              <w:pStyle w:val="Compact"/>
              <w:jc w:val="left"/>
            </w:pPr>
            <w:r>
              <w:t xml:space="preserve">A4-S146, A4-S063, A4-S064</w:t>
            </w:r>
          </w:p>
        </w:tc>
      </w:tr>
      <w:tr>
        <w:tc>
          <w:tcPr/>
          <w:p>
            <w:pPr>
              <w:pStyle w:val="Compact"/>
              <w:jc w:val="left"/>
            </w:pPr>
            <w:r>
              <w:t xml:space="preserve">Category</w:t>
            </w:r>
          </w:p>
        </w:tc>
        <w:tc>
          <w:tcPr/>
          <w:p>
            <w:pPr>
              <w:pStyle w:val="Compact"/>
              <w:jc w:val="left"/>
            </w:pPr>
            <w:r>
              <w:t xml:space="preserve">Open-source LLM inference and serving engine</w:t>
            </w:r>
          </w:p>
        </w:tc>
        <w:tc>
          <w:tcPr/>
          <w:p>
            <w:pPr>
              <w:pStyle w:val="Compact"/>
              <w:jc w:val="left"/>
            </w:pPr>
            <w:r>
              <w:t xml:space="preserve">Verified fact</w:t>
            </w:r>
          </w:p>
        </w:tc>
        <w:tc>
          <w:tcPr/>
          <w:p>
            <w:pPr>
              <w:pStyle w:val="Compact"/>
              <w:jc w:val="left"/>
            </w:pPr>
            <w:r>
              <w:t xml:space="preserve">A4-S063</w:t>
            </w:r>
          </w:p>
        </w:tc>
      </w:tr>
      <w:tr>
        <w:tc>
          <w:tcPr/>
          <w:p>
            <w:pPr>
              <w:pStyle w:val="Compact"/>
              <w:jc w:val="left"/>
            </w:pPr>
            <w:r>
              <w:t xml:space="preserve">Version / lineup</w:t>
            </w:r>
          </w:p>
        </w:tc>
        <w:tc>
          <w:tcPr/>
          <w:p>
            <w:pPr>
              <w:pStyle w:val="Compact"/>
              <w:jc w:val="left"/>
            </w:pPr>
            <w:r>
              <w:t xml:space="preserve">vllm 0.31.0 (5 October 2026); 28 releases in 2026 (0.14.0 in January to 0.31.0)</w:t>
            </w:r>
          </w:p>
        </w:tc>
        <w:tc>
          <w:tcPr/>
          <w:p>
            <w:pPr>
              <w:pStyle w:val="Compact"/>
              <w:jc w:val="left"/>
            </w:pPr>
            <w:r>
              <w:t xml:space="preserve">Verified fact</w:t>
            </w:r>
          </w:p>
        </w:tc>
        <w:tc>
          <w:tcPr/>
          <w:p>
            <w:pPr>
              <w:pStyle w:val="Compact"/>
              <w:jc w:val="left"/>
            </w:pPr>
            <w:r>
              <w:t xml:space="preserve">A4-S009</w:t>
            </w:r>
          </w:p>
        </w:tc>
      </w:tr>
      <w:tr>
        <w:tc>
          <w:tcPr/>
          <w:p>
            <w:pPr>
              <w:pStyle w:val="Compact"/>
              <w:jc w:val="left"/>
            </w:pPr>
            <w:r>
              <w:t xml:space="preserve">Licence</w:t>
            </w:r>
          </w:p>
        </w:tc>
        <w:tc>
          <w:tcPr/>
          <w:p>
            <w:pPr>
              <w:pStyle w:val="Compact"/>
              <w:jc w:val="left"/>
            </w:pPr>
            <w:r>
              <w:t xml:space="preserve">Open source, Apache-2.0</w:t>
            </w:r>
          </w:p>
        </w:tc>
        <w:tc>
          <w:tcPr/>
          <w:p>
            <w:pPr>
              <w:pStyle w:val="Compact"/>
              <w:jc w:val="left"/>
            </w:pPr>
            <w:r>
              <w:t xml:space="preserve">Verified fact</w:t>
            </w:r>
          </w:p>
        </w:tc>
        <w:tc>
          <w:tcPr/>
          <w:p>
            <w:pPr>
              <w:pStyle w:val="Compact"/>
              <w:jc w:val="left"/>
            </w:pPr>
            <w:r>
              <w:t xml:space="preserve">A4-S009</w:t>
            </w:r>
          </w:p>
        </w:tc>
      </w:tr>
      <w:tr>
        <w:tc>
          <w:tcPr/>
          <w:p>
            <w:pPr>
              <w:pStyle w:val="Compact"/>
              <w:jc w:val="left"/>
            </w:pPr>
            <w:r>
              <w:t xml:space="preserve">Status events</w:t>
            </w:r>
          </w:p>
        </w:tc>
        <w:tc>
          <w:tcPr/>
          <w:p>
            <w:pPr>
              <w:pStyle w:val="Compact"/>
              <w:jc w:val="left"/>
            </w:pPr>
            <w:r>
              <w:t xml:space="preserve">7 May 2025: accepted as a PyTorch Foundation-hosted project when the foundation became an umbrella foundation</w:t>
            </w:r>
          </w:p>
        </w:tc>
        <w:tc>
          <w:tcPr/>
          <w:p>
            <w:pPr>
              <w:pStyle w:val="Compact"/>
              <w:jc w:val="left"/>
            </w:pPr>
            <w:r>
              <w:t xml:space="preserve">Verified fact</w:t>
            </w:r>
          </w:p>
        </w:tc>
        <w:tc>
          <w:tcPr/>
          <w:p>
            <w:pPr>
              <w:pStyle w:val="Compact"/>
              <w:jc w:val="left"/>
            </w:pPr>
            <w:r>
              <w:t xml:space="preserve">A4-S146, V1-S064</w:t>
            </w:r>
          </w:p>
        </w:tc>
      </w:tr>
      <w:tr>
        <w:tc>
          <w:tcPr/>
          <w:p>
            <w:pPr>
              <w:pStyle w:val="Compact"/>
              <w:jc w:val="left"/>
            </w:pPr>
            <w:r>
              <w:t xml:space="preserve">Strategic direction</w:t>
            </w:r>
          </w:p>
        </w:tc>
        <w:tc>
          <w:tcPr/>
          <w:p>
            <w:pPr>
              <w:pStyle w:val="Compact"/>
              <w:jc w:val="left"/>
            </w:pPr>
            <w:r>
              <w:t xml:space="preserve">PagedAttention, continuous batching, prefix caching, quantisation (FP8, MXFP4, NVFP4, INT4/8, GPTQ/AWQ, GGUF), speculative decoding (n-gram, suffix, EAGLE, DFlash), disaggregated prefill/decode/encode; OpenAI-compatible server plus Anthropic Messages API and gRPC; 200+ architectures; NVIDIA, AMD, Intel GPUs, CPUs and plugins (TPU, Gaudi, Ascend, Apple Silicon)</w:t>
            </w:r>
          </w:p>
        </w:tc>
        <w:tc>
          <w:tcPr/>
          <w:p>
            <w:pPr>
              <w:pStyle w:val="Compact"/>
              <w:jc w:val="left"/>
            </w:pPr>
            <w:r>
              <w:t xml:space="preserve">Verified fact</w:t>
            </w:r>
          </w:p>
        </w:tc>
        <w:tc>
          <w:tcPr/>
          <w:p>
            <w:pPr>
              <w:pStyle w:val="Compact"/>
              <w:jc w:val="left"/>
            </w:pPr>
            <w:r>
              <w:t xml:space="preserve">A4-S063</w:t>
            </w:r>
          </w:p>
        </w:tc>
      </w:tr>
      <w:tr>
        <w:tc>
          <w:tcPr/>
          <w:p>
            <w:pPr>
              <w:pStyle w:val="Compact"/>
              <w:jc w:val="left"/>
            </w:pPr>
            <w:r>
              <w:t xml:space="preserve">What it does</w:t>
            </w:r>
          </w:p>
        </w:tc>
        <w:tc>
          <w:tcPr/>
          <w:p>
            <w:pPr>
              <w:pStyle w:val="Compact"/>
              <w:jc w:val="left"/>
            </w:pPr>
            <w:r>
              <w:t xml:space="preserve">High-throughput, memory-efficient inference and serving library and server for LLMs, multimodal, embedding and reward models.</w:t>
            </w:r>
          </w:p>
        </w:tc>
        <w:tc>
          <w:tcPr/>
          <w:p>
            <w:pPr>
              <w:pStyle w:val="Compact"/>
              <w:jc w:val="left"/>
            </w:pPr>
            <w:r>
              <w:t xml:space="preserve">Verified fact</w:t>
            </w:r>
          </w:p>
        </w:tc>
        <w:tc>
          <w:tcPr/>
          <w:p>
            <w:pPr>
              <w:pStyle w:val="Compact"/>
              <w:jc w:val="left"/>
            </w:pPr>
            <w:r>
              <w:t xml:space="preserve">A4-S063</w:t>
            </w:r>
          </w:p>
        </w:tc>
      </w:tr>
      <w:tr>
        <w:tc>
          <w:tcPr/>
          <w:p>
            <w:pPr>
              <w:pStyle w:val="Compact"/>
              <w:jc w:val="left"/>
            </w:pPr>
            <w:r>
              <w:t xml:space="preserve">Stack position</w:t>
            </w:r>
          </w:p>
        </w:tc>
        <w:tc>
          <w:tcPr/>
          <w:p>
            <w:pPr>
              <w:pStyle w:val="Compact"/>
              <w:jc w:val="left"/>
            </w:pPr>
            <w:r>
              <w:t xml:space="preserve">Serving engine (L2) underneath managed services (e.g. Hugging Face Endpoints) and distributed orchestration layers (llm-d, NVIDIA Dynamo)</w:t>
            </w:r>
          </w:p>
        </w:tc>
        <w:tc>
          <w:tcPr/>
          <w:p>
            <w:pPr>
              <w:pStyle w:val="Compact"/>
              <w:jc w:val="left"/>
            </w:pPr>
            <w:r>
              <w:t xml:space="preserve">Verified fact</w:t>
            </w:r>
          </w:p>
        </w:tc>
        <w:tc>
          <w:tcPr/>
          <w:p>
            <w:pPr>
              <w:pStyle w:val="Compact"/>
              <w:jc w:val="left"/>
            </w:pPr>
            <w:r>
              <w:t xml:space="preserve">A4-S081, A4-S089, A4-S090</w:t>
            </w:r>
          </w:p>
        </w:tc>
      </w:tr>
      <w:tr>
        <w:tc>
          <w:tcPr/>
          <w:p>
            <w:pPr>
              <w:pStyle w:val="Compact"/>
              <w:jc w:val="left"/>
            </w:pPr>
            <w:r>
              <w:t xml:space="preserve">Integration</w:t>
            </w:r>
          </w:p>
        </w:tc>
        <w:tc>
          <w:tcPr/>
          <w:p>
            <w:pPr>
              <w:pStyle w:val="Compact"/>
              <w:jc w:val="left"/>
            </w:pPr>
            <w:r>
              <w:t xml:space="preserve">OpenAI-compatible API, Anthropic Messages API, gRPC; Python library</w:t>
            </w:r>
          </w:p>
        </w:tc>
        <w:tc>
          <w:tcPr/>
          <w:p>
            <w:pPr>
              <w:pStyle w:val="Compact"/>
              <w:jc w:val="left"/>
            </w:pPr>
            <w:r>
              <w:t xml:space="preserve">Verified fact</w:t>
            </w:r>
          </w:p>
        </w:tc>
        <w:tc>
          <w:tcPr/>
          <w:p>
            <w:pPr>
              <w:pStyle w:val="Compact"/>
              <w:jc w:val="left"/>
            </w:pPr>
            <w:r>
              <w:t xml:space="preserve">A4-S063</w:t>
            </w:r>
          </w:p>
        </w:tc>
      </w:tr>
      <w:tr>
        <w:tc>
          <w:tcPr/>
          <w:p>
            <w:pPr>
              <w:pStyle w:val="Compact"/>
              <w:jc w:val="left"/>
            </w:pPr>
            <w:r>
              <w:t xml:space="preserve">Dependencies</w:t>
            </w:r>
          </w:p>
        </w:tc>
        <w:tc>
          <w:tcPr/>
          <w:p>
            <w:pPr>
              <w:pStyle w:val="Compact"/>
              <w:jc w:val="left"/>
            </w:pPr>
            <w:r>
              <w:t xml:space="preserve">Python &lt;3.15,&gt;=3.10; PyTorch; accelerators (NVIDIA/AMD/Intel GPUs, CPUs, hardware plugins)</w:t>
            </w:r>
          </w:p>
        </w:tc>
        <w:tc>
          <w:tcPr/>
          <w:p>
            <w:pPr>
              <w:pStyle w:val="Compact"/>
              <w:jc w:val="left"/>
            </w:pPr>
            <w:r>
              <w:t xml:space="preserve">Verified fact</w:t>
            </w:r>
          </w:p>
        </w:tc>
        <w:tc>
          <w:tcPr/>
          <w:p>
            <w:pPr>
              <w:pStyle w:val="Compact"/>
              <w:jc w:val="left"/>
            </w:pPr>
            <w:r>
              <w:t xml:space="preserve">A4-S009, A4-S063</w:t>
            </w:r>
          </w:p>
        </w:tc>
      </w:tr>
      <w:tr>
        <w:tc>
          <w:tcPr/>
          <w:p>
            <w:pPr>
              <w:pStyle w:val="Compact"/>
              <w:jc w:val="left"/>
            </w:pPr>
            <w:r>
              <w:t xml:space="preserve">Certifications</w:t>
            </w:r>
          </w:p>
        </w:tc>
        <w:tc>
          <w:tcPr/>
          <w:p>
            <w:pPr>
              <w:pStyle w:val="Compact"/>
              <w:jc w:val="left"/>
            </w:pPr>
            <w:r>
              <w:t xml:space="preserve">Not applicable (open-source software)</w:t>
            </w:r>
          </w:p>
        </w:tc>
        <w:tc>
          <w:tcPr/>
          <w:p>
            <w:pPr>
              <w:pStyle w:val="Compact"/>
              <w:jc w:val="left"/>
            </w:pPr>
            <w:r>
              <w:t xml:space="preserve">Architectural judgement</w:t>
            </w:r>
          </w:p>
        </w:tc>
        <w:tc>
          <w:tcPr/>
          <w:p>
            <w:pPr>
              <w:pStyle w:val="Compact"/>
            </w:pPr>
          </w:p>
        </w:tc>
      </w:tr>
      <w:tr>
        <w:tc>
          <w:tcPr/>
          <w:p>
            <w:pPr>
              <w:pStyle w:val="Compact"/>
              <w:jc w:val="left"/>
            </w:pPr>
            <w:r>
              <w:t xml:space="preserve">GDPR / residency</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Security features</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Access controls</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Enterprise support</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Pricing</w:t>
            </w:r>
          </w:p>
        </w:tc>
        <w:tc>
          <w:tcPr/>
          <w:p>
            <w:pPr>
              <w:pStyle w:val="Compact"/>
              <w:jc w:val="left"/>
            </w:pPr>
            <w:r>
              <w:t xml:space="preserve">Free (Apache-2.0)</w:t>
            </w:r>
          </w:p>
        </w:tc>
        <w:tc>
          <w:tcPr/>
          <w:p>
            <w:pPr>
              <w:pStyle w:val="Compact"/>
              <w:jc w:val="left"/>
            </w:pPr>
            <w:r>
              <w:t xml:space="preserve">Verified fact</w:t>
            </w:r>
          </w:p>
        </w:tc>
        <w:tc>
          <w:tcPr/>
          <w:p>
            <w:pPr>
              <w:pStyle w:val="Compact"/>
              <w:jc w:val="left"/>
            </w:pPr>
            <w:r>
              <w:t xml:space="preserve">A4-S009</w:t>
            </w:r>
          </w:p>
        </w:tc>
      </w:tr>
      <w:tr>
        <w:tc>
          <w:tcPr/>
          <w:p>
            <w:pPr>
              <w:pStyle w:val="Compact"/>
              <w:jc w:val="left"/>
            </w:pPr>
            <w:r>
              <w:t xml:space="preserve">Infrastructure cost</w:t>
            </w:r>
          </w:p>
        </w:tc>
        <w:tc>
          <w:tcPr/>
          <w:p>
            <w:pPr>
              <w:pStyle w:val="Compact"/>
              <w:jc w:val="left"/>
            </w:pPr>
            <w:r>
              <w:t xml:space="preserve">Dominated by accelerator hours and memory; throughput features (batching, quantisation, prefix caching) drive cost per token</w:t>
            </w:r>
          </w:p>
        </w:tc>
        <w:tc>
          <w:tcPr/>
          <w:p>
            <w:pPr>
              <w:pStyle w:val="Compact"/>
              <w:jc w:val="left"/>
            </w:pPr>
            <w:r>
              <w:t xml:space="preserve">Architectural judgement</w:t>
            </w:r>
          </w:p>
        </w:tc>
        <w:tc>
          <w:tcPr/>
          <w:p>
            <w:pPr>
              <w:pStyle w:val="Compact"/>
            </w:pPr>
          </w:p>
        </w:tc>
      </w:tr>
      <w:tr>
        <w:tc>
          <w:tcPr/>
          <w:p>
            <w:pPr>
              <w:pStyle w:val="Compact"/>
              <w:jc w:val="left"/>
            </w:pPr>
            <w:r>
              <w:t xml:space="preserve">Ecosystem</w:t>
            </w:r>
          </w:p>
        </w:tc>
        <w:tc>
          <w:tcPr/>
          <w:p>
            <w:pPr>
              <w:pStyle w:val="Compact"/>
              <w:jc w:val="left"/>
            </w:pPr>
            <w:r>
              <w:t xml:space="preserve">Hugging Face models; llm-d builds on vLLM; Dynamo supports vLLM backend; sponsors listed on vllm.ai</w:t>
            </w:r>
          </w:p>
        </w:tc>
        <w:tc>
          <w:tcPr/>
          <w:p>
            <w:pPr>
              <w:pStyle w:val="Compact"/>
              <w:jc w:val="left"/>
            </w:pPr>
            <w:r>
              <w:t xml:space="preserve">Verified fact</w:t>
            </w:r>
          </w:p>
        </w:tc>
        <w:tc>
          <w:tcPr/>
          <w:p>
            <w:pPr>
              <w:pStyle w:val="Compact"/>
              <w:jc w:val="left"/>
            </w:pPr>
            <w:r>
              <w:t xml:space="preserve">A4-S063, A4-S089, A4-S090</w:t>
            </w:r>
          </w:p>
        </w:tc>
      </w:tr>
      <w:tr>
        <w:tc>
          <w:tcPr/>
          <w:p>
            <w:pPr>
              <w:pStyle w:val="Compact"/>
              <w:jc w:val="left"/>
            </w:pPr>
            <w:r>
              <w:t xml:space="preserve">Adoption signals</w:t>
            </w:r>
          </w:p>
        </w:tc>
        <w:tc>
          <w:tcPr/>
          <w:p>
            <w:pPr>
              <w:pStyle w:val="Compact"/>
              <w:jc w:val="left"/>
            </w:pPr>
            <w:r>
              <w:t xml:space="preserve">README:</w:t>
            </w:r>
            <w:r>
              <w:t xml:space="preserve"> </w:t>
            </w:r>
            <w:r>
              <w:t xml:space="preserve">‘</w:t>
            </w:r>
            <w:r>
              <w:t xml:space="preserve">over 2000 contributors</w:t>
            </w:r>
            <w:r>
              <w:t xml:space="preserve">’</w:t>
            </w:r>
            <w:r>
              <w:t xml:space="preserve"> </w:t>
            </w:r>
            <w:r>
              <w:t xml:space="preserve">from</w:t>
            </w:r>
            <w:r>
              <w:t xml:space="preserve"> </w:t>
            </w:r>
            <w:r>
              <w:t xml:space="preserve">‘</w:t>
            </w:r>
            <w:r>
              <w:t xml:space="preserve">many dozens of academic institutions and companies</w:t>
            </w:r>
            <w:r>
              <w:t xml:space="preserve">’</w:t>
            </w:r>
          </w:p>
        </w:tc>
        <w:tc>
          <w:tcPr/>
          <w:p>
            <w:pPr>
              <w:pStyle w:val="Compact"/>
              <w:jc w:val="left"/>
            </w:pPr>
            <w:r>
              <w:t xml:space="preserve">Verified fact</w:t>
            </w:r>
          </w:p>
        </w:tc>
        <w:tc>
          <w:tcPr/>
          <w:p>
            <w:pPr>
              <w:pStyle w:val="Compact"/>
              <w:jc w:val="left"/>
            </w:pPr>
            <w:r>
              <w:t xml:space="preserve">A4-S063</w:t>
            </w:r>
          </w:p>
        </w:tc>
      </w:tr>
      <w:tr>
        <w:tc>
          <w:tcPr/>
          <w:p>
            <w:pPr>
              <w:pStyle w:val="Compact"/>
              <w:jc w:val="left"/>
            </w:pPr>
            <w:r>
              <w:t xml:space="preserve">Maturity</w:t>
            </w:r>
          </w:p>
        </w:tc>
        <w:tc>
          <w:tcPr/>
          <w:p>
            <w:pPr>
              <w:pStyle w:val="Compact"/>
              <w:jc w:val="left"/>
            </w:pPr>
            <w:r>
              <w:t xml:space="preserve">First PyPI release June 2023; still 0.x; roughly fortnightly releases</w:t>
            </w:r>
          </w:p>
        </w:tc>
        <w:tc>
          <w:tcPr/>
          <w:p>
            <w:pPr>
              <w:pStyle w:val="Compact"/>
              <w:jc w:val="left"/>
            </w:pPr>
            <w:r>
              <w:t xml:space="preserve">Verified fact</w:t>
            </w:r>
          </w:p>
        </w:tc>
        <w:tc>
          <w:tcPr/>
          <w:p>
            <w:pPr>
              <w:pStyle w:val="Compact"/>
              <w:jc w:val="left"/>
            </w:pPr>
            <w:r>
              <w:t xml:space="preserve">A4-S009</w:t>
            </w:r>
          </w:p>
        </w:tc>
      </w:tr>
      <w:tr>
        <w:tc>
          <w:tcPr/>
          <w:p>
            <w:pPr>
              <w:pStyle w:val="Compact"/>
              <w:jc w:val="left"/>
            </w:pPr>
            <w:r>
              <w:t xml:space="preserve">Deployment</w:t>
            </w:r>
          </w:p>
        </w:tc>
        <w:tc>
          <w:tcPr/>
          <w:p>
            <w:pPr>
              <w:pStyle w:val="Compact"/>
              <w:jc w:val="left"/>
            </w:pPr>
            <w:r>
              <w:t xml:space="preserve">saas: No; managed_cloud: Yes (via third parties, e.g. Hugging Face Inference Endpoints); vpc_byoc: Yes (self-deployed); private_cloud: Yes; self_hosted: Yes; on_prem: Yes</w:t>
            </w:r>
          </w:p>
        </w:tc>
        <w:tc>
          <w:tcPr/>
          <w:p>
            <w:pPr>
              <w:pStyle w:val="Compact"/>
            </w:pPr>
          </w:p>
        </w:tc>
        <w:tc>
          <w:tcPr/>
          <w:p>
            <w:pPr>
              <w:pStyle w:val="Compact"/>
            </w:pPr>
          </w:p>
        </w:tc>
      </w:tr>
    </w:tbl>
    <w:bookmarkEnd w:id="1281"/>
    <w:bookmarkStart w:id="1306" w:name="fireworks-ai-l2-fireworks-ai"/>
    <w:p>
      <w:pPr>
        <w:pStyle w:val="Heading2"/>
      </w:pPr>
      <w:r>
        <w:t xml:space="preserve">Fireworks AI (</w:t>
      </w:r>
      <w:r>
        <w:rPr>
          <w:rStyle w:val="VerbatimChar"/>
        </w:rPr>
        <w:t xml:space="preserve">L2-fireworks-ai</w:t>
      </w:r>
      <w:r>
        <w:t xml:space="preserve">)</w:t>
      </w:r>
    </w:p>
    <w:p>
      <w:pPr>
        <w:pStyle w:val="FirstParagraph"/>
      </w:pPr>
      <w:r>
        <w:rPr>
          <w:bCs/>
          <w:b/>
        </w:rPr>
        <w:t xml:space="preserve">Tier:</w:t>
      </w:r>
      <w:r>
        <w:t xml:space="preserve"> </w:t>
      </w:r>
      <w:r>
        <w:t xml:space="preserve">Strategic ·</w:t>
      </w:r>
      <w:r>
        <w:t xml:space="preserve"> </w:t>
      </w:r>
      <w:r>
        <w:rPr>
          <w:bCs/>
          <w:b/>
        </w:rPr>
        <w:t xml:space="preserve">Flags:</w:t>
      </w:r>
      <w:r>
        <w:t xml:space="preserve"> </w:t>
      </w:r>
      <w:r>
        <w:t xml:space="preserve">none ·</w:t>
      </w:r>
      <w:r>
        <w:t xml:space="preserve"> </w:t>
      </w:r>
      <w:r>
        <w:rPr>
          <w:bCs/>
          <w:b/>
        </w:rPr>
        <w:t xml:space="preserve">Original graphic label:</w:t>
      </w:r>
      <w:r>
        <w:t xml:space="preserve"> </w:t>
      </w:r>
      <w:r>
        <w:t xml:space="preserve">Fireworks AI – fast inference</w:t>
      </w:r>
    </w:p>
    <w:p>
      <w:pPr>
        <w:pStyle w:val="BodyText"/>
      </w:pPr>
      <w:r>
        <w:rPr>
          <w:iCs/>
          <w:i/>
        </w:rPr>
        <w:t xml:space="preserve">Rationale:</w:t>
      </w:r>
      <w:r>
        <w:t xml:space="preserve"> </w:t>
      </w:r>
      <w:r>
        <w:t xml:space="preserve">Strategic, conditional: for managed open-model inference, once its ISO 27001, 27701 and 42001 certificates are confirmed (trust-centre and docs pages conflict); the strongest controls among the independent inference clouds. For client data use EU dedicated or BYOC deployments, because the self-serve residency setting is US-only. Upgraded from Tactical (</w:t>
      </w:r>
      <w:r>
        <w:t xml:space="preserve">‘</w:t>
      </w:r>
      <w:r>
        <w:t xml:space="preserve">candidate for Strategic after due diligence</w:t>
      </w:r>
      <w:r>
        <w:t xml:space="preserve">’</w:t>
      </w:r>
      <w:r>
        <w:t xml:space="preserve">) by the reader at Checkpoint 4 (CP4-4); scores unchanged (FS 3.65)</w:t>
      </w:r>
      <w:r>
        <w:t xml:space="preserve"> </w:t>
      </w:r>
      <w:r>
        <w:rPr>
          <w:rStyle w:val="ClaimLabel"/>
        </w:rPr>
        <w:t xml:space="preserve">AJ</w:t>
      </w:r>
      <w:r>
        <w:t xml:space="preserve">.</w:t>
      </w:r>
    </w:p>
    <w:tbl>
      <w:tblPr>
        <w:tblStyle w:val="Table"/>
        <w:tblW w:type="pct" w:w="5000"/>
        <w:tblLook w:firstRow="1" w:lastRow="0" w:firstColumn="0" w:lastColumn="0" w:noHBand="0" w:noVBand="0" w:val="0020"/>
        <w:jc w:val="start"/>
      </w:tblPr>
      <w:tblGrid>
        <w:gridCol w:w="1545"/>
        <w:gridCol w:w="579"/>
        <w:gridCol w:w="5795"/>
      </w:tblGrid>
      <w:tr>
        <w:trPr>
          <w:tblHeader w:val="true"/>
        </w:trPr>
        <w:tc>
          <w:tcPr/>
          <w:p>
            <w:pPr>
              <w:pStyle w:val="Compact"/>
              <w:jc w:val="left"/>
            </w:pPr>
            <w:r>
              <w:t xml:space="preserve">Criterion</w:t>
            </w:r>
          </w:p>
        </w:tc>
        <w:tc>
          <w:tcPr/>
          <w:p>
            <w:pPr>
              <w:pStyle w:val="Compact"/>
              <w:jc w:val="right"/>
            </w:pPr>
            <w:r>
              <w:t xml:space="preserve">Score</w:t>
            </w:r>
          </w:p>
        </w:tc>
        <w:tc>
          <w:tcPr/>
          <w:p>
            <w:pPr>
              <w:pStyle w:val="Compact"/>
              <w:jc w:val="left"/>
            </w:pPr>
            <w:r>
              <w:t xml:space="preserve">Rationale</w:t>
            </w:r>
          </w:p>
        </w:tc>
      </w:tr>
      <w:tr>
        <w:tc>
          <w:tcPr/>
          <w:p>
            <w:pPr>
              <w:pStyle w:val="Compact"/>
              <w:jc w:val="left"/>
            </w:pPr>
            <w:r>
              <w:t xml:space="preserve">Technical</w:t>
            </w:r>
          </w:p>
        </w:tc>
        <w:tc>
          <w:tcPr/>
          <w:p>
            <w:pPr>
              <w:pStyle w:val="Compact"/>
              <w:jc w:val="right"/>
            </w:pPr>
            <w:r>
              <w:t xml:space="preserve">4</w:t>
            </w:r>
          </w:p>
        </w:tc>
        <w:tc>
          <w:tcPr/>
          <w:p>
            <w:pPr>
              <w:pStyle w:val="Compact"/>
              <w:jc w:val="left"/>
            </w:pPr>
            <w:r>
              <w:t xml:space="preserve">Serverless, dedicated, batch, fine-tuning/RFT, BYOC, FireRouter</w:t>
            </w:r>
            <w:r>
              <w:t xml:space="preserve"> </w:t>
            </w:r>
            <w:r>
              <w:rPr>
                <w:rStyle w:val="ClaimLabel"/>
              </w:rPr>
              <w:t xml:space="preserve">VF</w:t>
            </w:r>
            <w:r>
              <w:rPr>
                <w:rStyle w:val="FootnoteReference"/>
              </w:rPr>
              <w:footnoteReference w:id="1282"/>
            </w:r>
          </w:p>
        </w:tc>
      </w:tr>
      <w:tr>
        <w:tc>
          <w:tcPr/>
          <w:p>
            <w:pPr>
              <w:pStyle w:val="Compact"/>
              <w:jc w:val="left"/>
            </w:pPr>
            <w:r>
              <w:t xml:space="preserve">Enterprise readiness</w:t>
            </w:r>
          </w:p>
        </w:tc>
        <w:tc>
          <w:tcPr/>
          <w:p>
            <w:pPr>
              <w:pStyle w:val="Compact"/>
              <w:jc w:val="right"/>
            </w:pPr>
            <w:r>
              <w:t xml:space="preserve">4</w:t>
            </w:r>
          </w:p>
        </w:tc>
        <w:tc>
          <w:tcPr/>
          <w:p>
            <w:pPr>
              <w:pStyle w:val="Compact"/>
              <w:jc w:val="left"/>
            </w:pPr>
            <w:r>
              <w:t xml:space="preserve">SSO, RBAC and audit logs with CLI (rule 7 to 4); audit logs are recent</w:t>
            </w:r>
            <w:r>
              <w:t xml:space="preserve"> </w:t>
            </w:r>
            <w:r>
              <w:rPr>
                <w:rStyle w:val="ClaimLabel"/>
              </w:rPr>
              <w:t xml:space="preserve">VF</w:t>
            </w:r>
            <w:r>
              <w:rPr>
                <w:rStyle w:val="FootnoteReference"/>
              </w:rPr>
              <w:footnoteReference w:id="1285"/>
            </w:r>
          </w:p>
        </w:tc>
      </w:tr>
      <w:tr>
        <w:tc>
          <w:tcPr/>
          <w:p>
            <w:pPr>
              <w:pStyle w:val="Compact"/>
              <w:jc w:val="left"/>
            </w:pPr>
            <w:r>
              <w:t xml:space="preserve">Security and compliance</w:t>
            </w:r>
          </w:p>
        </w:tc>
        <w:tc>
          <w:tcPr/>
          <w:p>
            <w:pPr>
              <w:pStyle w:val="Compact"/>
              <w:jc w:val="right"/>
            </w:pPr>
            <w:r>
              <w:t xml:space="preserve">3</w:t>
            </w:r>
          </w:p>
        </w:tc>
        <w:tc>
          <w:tcPr/>
          <w:p>
            <w:pPr>
              <w:pStyle w:val="Compact"/>
              <w:jc w:val="left"/>
            </w:pPr>
            <w:r>
              <w:t xml:space="preserve">SOC 2 Type II, CMK, ZDR default; ISO claims not relied on (V1 section 4), so 3</w:t>
            </w:r>
            <w:r>
              <w:t xml:space="preserve"> </w:t>
            </w:r>
            <w:r>
              <w:rPr>
                <w:rStyle w:val="ClaimLabel"/>
              </w:rPr>
              <w:t xml:space="preserve">VF</w:t>
            </w:r>
            <w:r>
              <w:rPr>
                <w:rStyle w:val="FootnoteReference"/>
              </w:rPr>
              <w:footnoteReference w:id="1286"/>
            </w:r>
          </w:p>
        </w:tc>
      </w:tr>
      <w:tr>
        <w:tc>
          <w:tcPr/>
          <w:p>
            <w:pPr>
              <w:pStyle w:val="Compact"/>
              <w:jc w:val="left"/>
            </w:pPr>
            <w:r>
              <w:t xml:space="preserve">Deployment flexibility</w:t>
            </w:r>
          </w:p>
        </w:tc>
        <w:tc>
          <w:tcPr/>
          <w:p>
            <w:pPr>
              <w:pStyle w:val="Compact"/>
              <w:jc w:val="right"/>
            </w:pPr>
            <w:r>
              <w:t xml:space="preserve">4</w:t>
            </w:r>
          </w:p>
        </w:tc>
        <w:tc>
          <w:tcPr/>
          <w:p>
            <w:pPr>
              <w:pStyle w:val="Compact"/>
              <w:jc w:val="left"/>
            </w:pPr>
            <w:r>
              <w:t xml:space="preserve">SaaS, dedicated, reserved, BYOC; no on-prem</w:t>
            </w:r>
            <w:r>
              <w:t xml:space="preserve"> </w:t>
            </w:r>
            <w:r>
              <w:rPr>
                <w:rStyle w:val="ClaimLabel"/>
              </w:rPr>
              <w:t xml:space="preserve">VF</w:t>
            </w:r>
            <w:r>
              <w:rPr>
                <w:rStyle w:val="FootnoteReference"/>
              </w:rPr>
              <w:footnoteReference w:id="1289"/>
            </w:r>
          </w:p>
        </w:tc>
      </w:tr>
      <w:tr>
        <w:tc>
          <w:tcPr/>
          <w:p>
            <w:pPr>
              <w:pStyle w:val="Compact"/>
              <w:jc w:val="left"/>
            </w:pPr>
            <w:r>
              <w:t xml:space="preserve">Ecosystem</w:t>
            </w:r>
          </w:p>
        </w:tc>
        <w:tc>
          <w:tcPr/>
          <w:p>
            <w:pPr>
              <w:pStyle w:val="Compact"/>
              <w:jc w:val="right"/>
            </w:pPr>
            <w:r>
              <w:t xml:space="preserve">4</w:t>
            </w:r>
          </w:p>
        </w:tc>
        <w:tc>
          <w:tcPr/>
          <w:p>
            <w:pPr>
              <w:pStyle w:val="Compact"/>
              <w:jc w:val="left"/>
            </w:pPr>
            <w:r>
              <w:t xml:space="preserve">OpenAI-compatible; Microsoft Foundry; Hugging Face partner</w:t>
            </w:r>
            <w:r>
              <w:t xml:space="preserve"> </w:t>
            </w:r>
            <w:r>
              <w:rPr>
                <w:rStyle w:val="ClaimLabel"/>
              </w:rPr>
              <w:t xml:space="preserve">VF</w:t>
            </w:r>
            <w:r>
              <w:rPr>
                <w:rStyle w:val="FootnoteReference"/>
              </w:rPr>
              <w:footnoteReference w:id="1290"/>
            </w:r>
          </w:p>
        </w:tc>
      </w:tr>
      <w:tr>
        <w:tc>
          <w:tcPr/>
          <w:p>
            <w:pPr>
              <w:pStyle w:val="Compact"/>
              <w:jc w:val="left"/>
            </w:pPr>
            <w:r>
              <w:t xml:space="preserve">Reliability and maturity</w:t>
            </w:r>
          </w:p>
        </w:tc>
        <w:tc>
          <w:tcPr/>
          <w:p>
            <w:pPr>
              <w:pStyle w:val="Compact"/>
              <w:jc w:val="right"/>
            </w:pPr>
            <w:r>
              <w:t xml:space="preserve">3</w:t>
            </w:r>
          </w:p>
        </w:tc>
        <w:tc>
          <w:tcPr/>
          <w:p>
            <w:pPr>
              <w:pStyle w:val="Compact"/>
              <w:jc w:val="left"/>
            </w:pPr>
            <w:r>
              <w:t xml:space="preserve">GA, well funded; revenue concentration reported</w:t>
            </w:r>
            <w:r>
              <w:t xml:space="preserve"> </w:t>
            </w:r>
            <w:r>
              <w:rPr>
                <w:rStyle w:val="ClaimLabel"/>
              </w:rPr>
              <w:t xml:space="preserve">VF</w:t>
            </w:r>
            <w:r>
              <w:rPr>
                <w:rStyle w:val="FootnoteReference"/>
              </w:rPr>
              <w:footnoteReference w:id="1293"/>
            </w:r>
          </w:p>
        </w:tc>
      </w:tr>
      <w:tr>
        <w:tc>
          <w:tcPr/>
          <w:p>
            <w:pPr>
              <w:pStyle w:val="Compact"/>
              <w:jc w:val="left"/>
            </w:pPr>
            <w:r>
              <w:t xml:space="preserve">Cost / TCO</w:t>
            </w:r>
          </w:p>
        </w:tc>
        <w:tc>
          <w:tcPr/>
          <w:p>
            <w:pPr>
              <w:pStyle w:val="Compact"/>
              <w:jc w:val="right"/>
            </w:pPr>
            <w:r>
              <w:t xml:space="preserve">3</w:t>
            </w:r>
          </w:p>
        </w:tc>
        <w:tc>
          <w:tcPr/>
          <w:p>
            <w:pPr>
              <w:pStyle w:val="Compact"/>
              <w:jc w:val="left"/>
            </w:pPr>
            <w:r>
              <w:t xml:space="preserve">Transparent but GPU rates higher than peers; batch at 50%</w:t>
            </w:r>
            <w:r>
              <w:t xml:space="preserve"> </w:t>
            </w:r>
            <w:r>
              <w:rPr>
                <w:rStyle w:val="ClaimLabel"/>
              </w:rPr>
              <w:t xml:space="preserve">VF</w:t>
            </w:r>
            <w:r>
              <w:rPr>
                <w:rStyle w:val="FootnoteReference"/>
              </w:rPr>
              <w:footnoteReference w:id="1295"/>
            </w:r>
          </w:p>
        </w:tc>
      </w:tr>
      <w:tr>
        <w:tc>
          <w:tcPr/>
          <w:p>
            <w:pPr>
              <w:pStyle w:val="Compact"/>
              <w:jc w:val="left"/>
            </w:pPr>
            <w:r>
              <w:t xml:space="preserve">Lock-in / portability</w:t>
            </w:r>
          </w:p>
        </w:tc>
        <w:tc>
          <w:tcPr/>
          <w:p>
            <w:pPr>
              <w:pStyle w:val="Compact"/>
              <w:jc w:val="right"/>
            </w:pPr>
            <w:r>
              <w:t xml:space="preserve">4</w:t>
            </w:r>
          </w:p>
        </w:tc>
        <w:tc>
          <w:tcPr/>
          <w:p>
            <w:pPr>
              <w:pStyle w:val="Compact"/>
              <w:jc w:val="left"/>
            </w:pPr>
            <w:r>
              <w:t xml:space="preserve">Open models portable; BYOC reduces data-plane lock-in</w:t>
            </w:r>
            <w:r>
              <w:t xml:space="preserve"> </w:t>
            </w:r>
            <w:r>
              <w:rPr>
                <w:rStyle w:val="ClaimLabel"/>
              </w:rPr>
              <w:t xml:space="preserve">VF</w:t>
            </w:r>
            <w:r>
              <w:rPr>
                <w:rStyle w:val="FootnoteReference"/>
              </w:rPr>
              <w:footnoteReference w:id="1296"/>
            </w:r>
          </w:p>
        </w:tc>
      </w:tr>
      <w:tr>
        <w:tc>
          <w:tcPr/>
          <w:p>
            <w:pPr>
              <w:pStyle w:val="Compact"/>
              <w:jc w:val="left"/>
            </w:pPr>
            <w:r>
              <w:rPr>
                <w:bCs/>
                <w:b/>
              </w:rPr>
              <w:t xml:space="preserve">Total (generic / FS)</w:t>
            </w:r>
          </w:p>
        </w:tc>
        <w:tc>
          <w:tcPr/>
          <w:p>
            <w:pPr>
              <w:pStyle w:val="Compact"/>
              <w:jc w:val="right"/>
            </w:pPr>
            <w:r>
              <w:rPr>
                <w:bCs/>
                <w:b/>
              </w:rPr>
              <w:t xml:space="preserve">3.65 / 3.65</w:t>
            </w:r>
          </w:p>
        </w:tc>
        <w:tc>
          <w:tcPr/>
          <w:p>
            <w:pPr>
              <w:pStyle w:val="Compact"/>
            </w:pPr>
          </w:p>
        </w:tc>
      </w:tr>
    </w:tbl>
    <w:p>
      <w:pPr>
        <w:pStyle w:val="BodyText"/>
      </w:pPr>
      <w:r>
        <w:rPr>
          <w:bCs/>
          <w:b/>
        </w:rPr>
        <w:t xml:space="preserve">Capabilities.</w:t>
      </w:r>
      <w:r>
        <w:t xml:space="preserve"> </w:t>
      </w:r>
      <w:r>
        <w:t xml:space="preserve">Managed inference and fine-tuning for open models (serverless, on-demand and reserved dedicated, batch, RFT), hybrid BYOC in the customer VPC, customer-managed keys, SSO (OIDC/SAML), RBAC and audit logs; ZDR by default for open models except the Response API (30-day storage by default); SOC 2 Type II, while ISO 27001/27701/42001 claims conflict across its own pages</w:t>
      </w:r>
      <w:r>
        <w:t xml:space="preserve"> </w:t>
      </w:r>
      <w:r>
        <w:rPr>
          <w:rStyle w:val="ClaimLabel"/>
        </w:rPr>
        <w:t xml:space="preserve">VF</w:t>
      </w:r>
      <w:r>
        <w:rPr>
          <w:rStyle w:val="FootnoteReference"/>
        </w:rPr>
        <w:footnoteReference w:id="1297"/>
      </w:r>
      <w:r>
        <w:t xml:space="preserve">.</w:t>
      </w:r>
    </w:p>
    <w:p>
      <w:pPr>
        <w:pStyle w:val="BodyText"/>
      </w:pPr>
      <w:r>
        <w:rPr>
          <w:bCs/>
          <w:b/>
        </w:rPr>
        <w:t xml:space="preserve">Strengths</w:t>
      </w:r>
    </w:p>
    <w:p>
      <w:pPr>
        <w:numPr>
          <w:ilvl w:val="0"/>
          <w:numId w:val="1281"/>
        </w:numPr>
        <w:pStyle w:val="Compact"/>
      </w:pPr>
      <w:r>
        <w:t xml:space="preserve">ZDR by default and BYOC data plane</w:t>
      </w:r>
      <w:r>
        <w:t xml:space="preserve"> </w:t>
      </w:r>
      <w:r>
        <w:rPr>
          <w:rStyle w:val="ClaimLabel"/>
        </w:rPr>
        <w:t xml:space="preserve">VF</w:t>
      </w:r>
      <w:r>
        <w:rPr>
          <w:rStyle w:val="FootnoteReference"/>
        </w:rPr>
        <w:footnoteReference w:id="1298"/>
      </w:r>
    </w:p>
    <w:p>
      <w:pPr>
        <w:numPr>
          <w:ilvl w:val="0"/>
          <w:numId w:val="1281"/>
        </w:numPr>
        <w:pStyle w:val="Compact"/>
      </w:pPr>
      <w:r>
        <w:t xml:space="preserve">Customer-managed keys logged in the customer’s cloud audit log</w:t>
      </w:r>
      <w:r>
        <w:t xml:space="preserve"> </w:t>
      </w:r>
      <w:r>
        <w:rPr>
          <w:rStyle w:val="ClaimLabel"/>
        </w:rPr>
        <w:t xml:space="preserve">VF</w:t>
      </w:r>
      <w:r>
        <w:rPr>
          <w:rStyle w:val="FootnoteReference"/>
        </w:rPr>
        <w:footnoteReference w:id="1299"/>
      </w:r>
    </w:p>
    <w:p>
      <w:pPr>
        <w:numPr>
          <w:ilvl w:val="0"/>
          <w:numId w:val="1281"/>
        </w:numPr>
        <w:pStyle w:val="Compact"/>
      </w:pPr>
      <w:r>
        <w:t xml:space="preserve">Microsoft Foundry partnership</w:t>
      </w:r>
      <w:r>
        <w:t xml:space="preserve"> </w:t>
      </w:r>
      <w:r>
        <w:rPr>
          <w:rStyle w:val="ClaimLabel"/>
        </w:rPr>
        <w:t xml:space="preserve">VF</w:t>
      </w:r>
      <w:r>
        <w:rPr>
          <w:rStyle w:val="FootnoteReference"/>
        </w:rPr>
        <w:footnoteReference w:id="1300"/>
      </w:r>
    </w:p>
    <w:p>
      <w:pPr>
        <w:pStyle w:val="FirstParagraph"/>
      </w:pPr>
      <w:r>
        <w:rPr>
          <w:bCs/>
          <w:b/>
        </w:rPr>
        <w:t xml:space="preserve">Limitations and risks</w:t>
      </w:r>
    </w:p>
    <w:p>
      <w:pPr>
        <w:numPr>
          <w:ilvl w:val="0"/>
          <w:numId w:val="1282"/>
        </w:numPr>
        <w:pStyle w:val="Compact"/>
      </w:pPr>
      <w:r>
        <w:t xml:space="preserve">ISO claims conflict (</w:t>
      </w:r>
      <w:r>
        <w:t xml:space="preserve">‘</w:t>
      </w:r>
      <w:r>
        <w:t xml:space="preserve">achieved</w:t>
      </w:r>
      <w:r>
        <w:t xml:space="preserve">’</w:t>
      </w:r>
      <w:r>
        <w:t xml:space="preserve"> </w:t>
      </w:r>
      <w:r>
        <w:t xml:space="preserve">vs</w:t>
      </w:r>
      <w:r>
        <w:t xml:space="preserve"> </w:t>
      </w:r>
      <w:r>
        <w:t xml:space="preserve">‘</w:t>
      </w:r>
      <w:r>
        <w:t xml:space="preserve">in progress</w:t>
      </w:r>
      <w:r>
        <w:t xml:space="preserve">’</w:t>
      </w:r>
      <w:r>
        <w:t xml:space="preserve">)</w:t>
      </w:r>
      <w:r>
        <w:t xml:space="preserve"> </w:t>
      </w:r>
      <w:r>
        <w:rPr>
          <w:rStyle w:val="ClaimLabel"/>
        </w:rPr>
        <w:t xml:space="preserve">VF</w:t>
      </w:r>
      <w:r>
        <w:rPr>
          <w:rStyle w:val="FootnoteReference"/>
        </w:rPr>
        <w:footnoteReference w:id="1301"/>
      </w:r>
    </w:p>
    <w:p>
      <w:pPr>
        <w:numPr>
          <w:ilvl w:val="0"/>
          <w:numId w:val="1282"/>
        </w:numPr>
        <w:pStyle w:val="Compact"/>
      </w:pPr>
      <w:r>
        <w:t xml:space="preserve">Self-serve data-residency setting lists US only; EU via sales</w:t>
      </w:r>
      <w:r>
        <w:t xml:space="preserve"> </w:t>
      </w:r>
      <w:r>
        <w:rPr>
          <w:rStyle w:val="ClaimLabel"/>
        </w:rPr>
        <w:t xml:space="preserve">VF</w:t>
      </w:r>
      <w:r>
        <w:rPr>
          <w:rStyle w:val="FootnoteReference"/>
        </w:rPr>
        <w:footnoteReference w:id="1302"/>
      </w:r>
    </w:p>
    <w:p>
      <w:pPr>
        <w:numPr>
          <w:ilvl w:val="0"/>
          <w:numId w:val="1282"/>
        </w:numPr>
        <w:pStyle w:val="Compact"/>
      </w:pPr>
      <w:r>
        <w:t xml:space="preserve">Revenue concentration reported</w:t>
      </w:r>
      <w:r>
        <w:t xml:space="preserve"> </w:t>
      </w:r>
      <w:r>
        <w:rPr>
          <w:rStyle w:val="ClaimLabel"/>
        </w:rPr>
        <w:t xml:space="preserve">VF</w:t>
      </w:r>
      <w:r>
        <w:rPr>
          <w:rStyle w:val="FootnoteReference"/>
        </w:rPr>
        <w:footnoteReference w:id="1303"/>
      </w:r>
    </w:p>
    <w:p>
      <w:pPr>
        <w:numPr>
          <w:ilvl w:val="0"/>
          <w:numId w:val="1282"/>
        </w:numPr>
        <w:pStyle w:val="Compact"/>
      </w:pPr>
      <w:r>
        <w:t xml:space="preserve">Response API exception to ZDR</w:t>
      </w:r>
      <w:r>
        <w:t xml:space="preserve"> </w:t>
      </w:r>
      <w:r>
        <w:rPr>
          <w:rStyle w:val="ClaimLabel"/>
        </w:rPr>
        <w:t xml:space="preserve">VF</w:t>
      </w:r>
      <w:r>
        <w:rPr>
          <w:rStyle w:val="FootnoteReference"/>
        </w:rPr>
        <w:footnoteReference w:id="1304"/>
      </w:r>
    </w:p>
    <w:p>
      <w:pPr>
        <w:pStyle w:val="FirstParagraph"/>
      </w:pPr>
      <w:r>
        <w:rPr>
          <w:bCs/>
          <w:b/>
        </w:rPr>
        <w:t xml:space="preserve">Choose when</w:t>
      </w:r>
    </w:p>
    <w:p>
      <w:pPr>
        <w:numPr>
          <w:ilvl w:val="0"/>
          <w:numId w:val="1283"/>
        </w:numPr>
        <w:pStyle w:val="Compact"/>
      </w:pPr>
      <w:r>
        <w:t xml:space="preserve">Dedicated or BYOC open-model serving where you want a managed engine without running GPUs</w:t>
      </w:r>
      <w:r>
        <w:t xml:space="preserve"> </w:t>
      </w:r>
      <w:r>
        <w:rPr>
          <w:rStyle w:val="ClaimLabel"/>
        </w:rPr>
        <w:t xml:space="preserve">AJ</w:t>
      </w:r>
    </w:p>
    <w:p>
      <w:pPr>
        <w:pStyle w:val="FirstParagraph"/>
      </w:pPr>
      <w:r>
        <w:rPr>
          <w:bCs/>
          <w:b/>
        </w:rPr>
        <w:t xml:space="preserve">Avoid when</w:t>
      </w:r>
    </w:p>
    <w:p>
      <w:pPr>
        <w:numPr>
          <w:ilvl w:val="0"/>
          <w:numId w:val="1284"/>
        </w:numPr>
        <w:pStyle w:val="Compact"/>
      </w:pPr>
      <w:r>
        <w:t xml:space="preserve">The Response API for client data without store=False</w:t>
      </w:r>
      <w:r>
        <w:t xml:space="preserve"> </w:t>
      </w:r>
      <w:r>
        <w:rPr>
          <w:rStyle w:val="ClaimLabel"/>
        </w:rPr>
        <w:t xml:space="preserve">VF</w:t>
      </w:r>
      <w:r>
        <w:rPr>
          <w:rStyle w:val="FootnoteReference"/>
        </w:rPr>
        <w:footnoteReference w:id="1305"/>
      </w:r>
      <w:r>
        <w:t xml:space="preserve"> </w:t>
      </w:r>
      <w:r>
        <w:rPr>
          <w:rStyle w:val="ClaimLabel"/>
        </w:rPr>
        <w:t xml:space="preserve">AJ</w:t>
      </w:r>
    </w:p>
    <w:p>
      <w:pPr>
        <w:numPr>
          <w:ilvl w:val="0"/>
          <w:numId w:val="1284"/>
        </w:numPr>
        <w:pStyle w:val="Compact"/>
      </w:pPr>
      <w:r>
        <w:t xml:space="preserve">ISO certificates are a hard gate before you have seen them</w:t>
      </w:r>
      <w:r>
        <w:t xml:space="preserve"> </w:t>
      </w:r>
      <w:r>
        <w:rPr>
          <w:rStyle w:val="ClaimLabel"/>
        </w:rPr>
        <w:t xml:space="preserve">AJ</w:t>
      </w:r>
    </w:p>
    <w:p>
      <w:pPr>
        <w:pStyle w:val="FirstParagraph"/>
      </w:pPr>
      <w:r>
        <w:rPr>
          <w:bCs/>
          <w:b/>
        </w:rPr>
        <w:t xml:space="preserve">Nearest competitors:</w:t>
      </w:r>
      <w:r>
        <w:t xml:space="preserve"> </w:t>
      </w:r>
      <w:r>
        <w:t xml:space="preserve">L2-together-ai, L2-hugging-face, Hyperscaler model catalogues</w:t>
      </w:r>
    </w:p>
    <w:p>
      <w:pPr>
        <w:pStyle w:val="BodyText"/>
      </w:pPr>
      <w:r>
        <w:rPr>
          <w:bCs/>
          <w:b/>
        </w:rPr>
        <w:t xml:space="preserve">Regulated-FS note.</w:t>
      </w:r>
      <w:r>
        <w:t xml:space="preserve"> </w:t>
      </w:r>
      <w:r>
        <w:t xml:space="preserve">Request ISO certificates and BAA terms from the trust centre; prefer BYOC or EU dedicated deployments; disable Response API storage</w:t>
      </w:r>
      <w:r>
        <w:t xml:space="preserve"> </w:t>
      </w:r>
      <w:r>
        <w:rPr>
          <w:rStyle w:val="ClaimLabel"/>
        </w:rPr>
        <w:t xml:space="preserve">Rec</w:t>
      </w:r>
      <w:r>
        <w:t xml:space="preserve">.</w:t>
      </w:r>
    </w:p>
    <w:p>
      <w:pPr>
        <w:pStyle w:val="BodyText"/>
      </w:pPr>
      <w:r>
        <w:rPr>
          <w:bCs/>
          <w:b/>
        </w:rPr>
        <w:t xml:space="preserve">Facts (as of 2026-10-08)</w:t>
      </w:r>
    </w:p>
    <w:tbl>
      <w:tblPr>
        <w:tblStyle w:val="Table"/>
        <w:tblW w:type="pct" w:w="5000"/>
        <w:tblLook w:firstRow="1" w:lastRow="0" w:firstColumn="0" w:lastColumn="0" w:noHBand="0" w:noVBand="0" w:val="0020"/>
        <w:jc w:val="start"/>
      </w:tblPr>
      <w:tblGrid>
        <w:gridCol w:w="1485"/>
        <w:gridCol w:w="4290"/>
        <w:gridCol w:w="1320"/>
        <w:gridCol w:w="825"/>
      </w:tblGrid>
      <w:tr>
        <w:trPr>
          <w:tblHeader w:val="true"/>
        </w:trPr>
        <w:tc>
          <w:tcPr/>
          <w:p>
            <w:pPr>
              <w:pStyle w:val="Compact"/>
              <w:jc w:val="left"/>
            </w:pPr>
            <w:r>
              <w:t xml:space="preserve">Field</w:t>
            </w:r>
          </w:p>
        </w:tc>
        <w:tc>
          <w:tcPr/>
          <w:p>
            <w:pPr>
              <w:pStyle w:val="Compact"/>
              <w:jc w:val="left"/>
            </w:pPr>
            <w:r>
              <w:t xml:space="preserve">Value</w:t>
            </w:r>
          </w:p>
        </w:tc>
        <w:tc>
          <w:tcPr/>
          <w:p>
            <w:pPr>
              <w:pStyle w:val="Compact"/>
              <w:jc w:val="left"/>
            </w:pPr>
            <w:r>
              <w:t xml:space="preserve">Label</w:t>
            </w:r>
          </w:p>
        </w:tc>
        <w:tc>
          <w:tcPr/>
          <w:p>
            <w:pPr>
              <w:pStyle w:val="Compact"/>
              <w:jc w:val="left"/>
            </w:pPr>
            <w:r>
              <w:t xml:space="preserve">Sources</w:t>
            </w:r>
          </w:p>
        </w:tc>
      </w:tr>
      <w:tr>
        <w:tc>
          <w:tcPr/>
          <w:p>
            <w:pPr>
              <w:pStyle w:val="Compact"/>
              <w:jc w:val="left"/>
            </w:pPr>
            <w:r>
              <w:t xml:space="preserve">Company</w:t>
            </w:r>
          </w:p>
        </w:tc>
        <w:tc>
          <w:tcPr/>
          <w:p>
            <w:pPr>
              <w:pStyle w:val="Compact"/>
              <w:jc w:val="left"/>
            </w:pPr>
            <w:r>
              <w:t xml:space="preserve">Fireworks AI, Inc.; privately held</w:t>
            </w:r>
          </w:p>
        </w:tc>
        <w:tc>
          <w:tcPr/>
          <w:p>
            <w:pPr>
              <w:pStyle w:val="Compact"/>
              <w:jc w:val="left"/>
            </w:pPr>
            <w:r>
              <w:t xml:space="preserve">Verified fact</w:t>
            </w:r>
          </w:p>
        </w:tc>
        <w:tc>
          <w:tcPr/>
          <w:p>
            <w:pPr>
              <w:pStyle w:val="Compact"/>
              <w:jc w:val="left"/>
            </w:pPr>
            <w:r>
              <w:t xml:space="preserve">A4-S136, A4-S141</w:t>
            </w:r>
          </w:p>
        </w:tc>
      </w:tr>
      <w:tr>
        <w:tc>
          <w:tcPr/>
          <w:p>
            <w:pPr>
              <w:pStyle w:val="Compact"/>
              <w:jc w:val="left"/>
            </w:pPr>
            <w:r>
              <w:t xml:space="preserve">Category</w:t>
            </w:r>
          </w:p>
        </w:tc>
        <w:tc>
          <w:tcPr/>
          <w:p>
            <w:pPr>
              <w:pStyle w:val="Compact"/>
              <w:jc w:val="left"/>
            </w:pPr>
            <w:r>
              <w:t xml:space="preserve">Managed inference and fine-tuning platform for open models (serverless, on-demand dedicated, reserved, BYOC)</w:t>
            </w:r>
          </w:p>
        </w:tc>
        <w:tc>
          <w:tcPr/>
          <w:p>
            <w:pPr>
              <w:pStyle w:val="Compact"/>
              <w:jc w:val="left"/>
            </w:pPr>
            <w:r>
              <w:t xml:space="preserve">Verified fact</w:t>
            </w:r>
          </w:p>
        </w:tc>
        <w:tc>
          <w:tcPr/>
          <w:p>
            <w:pPr>
              <w:pStyle w:val="Compact"/>
              <w:jc w:val="left"/>
            </w:pPr>
            <w:r>
              <w:t xml:space="preserve">A4-S135, A4-S152</w:t>
            </w:r>
          </w:p>
        </w:tc>
      </w:tr>
      <w:tr>
        <w:tc>
          <w:tcPr/>
          <w:p>
            <w:pPr>
              <w:pStyle w:val="Compact"/>
              <w:jc w:val="left"/>
            </w:pPr>
            <w:r>
              <w:t xml:space="preserve">Version / lineup</w:t>
            </w:r>
          </w:p>
        </w:tc>
        <w:tc>
          <w:tcPr/>
          <w:p>
            <w:pPr>
              <w:pStyle w:val="Compact"/>
              <w:jc w:val="left"/>
            </w:pPr>
            <w:r>
              <w:t xml:space="preserve">Official SDK fireworks-ai 1.2.20 (6 October 2026); serverless, on-demand deployments, batch inference, fine-tuning/RFT, Virtual Cloud (GA), FireRouter</w:t>
            </w:r>
          </w:p>
        </w:tc>
        <w:tc>
          <w:tcPr/>
          <w:p>
            <w:pPr>
              <w:pStyle w:val="Compact"/>
              <w:jc w:val="left"/>
            </w:pPr>
            <w:r>
              <w:t xml:space="preserve">Verified fact</w:t>
            </w:r>
          </w:p>
        </w:tc>
        <w:tc>
          <w:tcPr/>
          <w:p>
            <w:pPr>
              <w:pStyle w:val="Compact"/>
              <w:jc w:val="left"/>
            </w:pPr>
            <w:r>
              <w:t xml:space="preserve">A4-S094, A4-S134, A4-S152</w:t>
            </w:r>
          </w:p>
        </w:tc>
      </w:tr>
      <w:tr>
        <w:tc>
          <w:tcPr/>
          <w:p>
            <w:pPr>
              <w:pStyle w:val="Compact"/>
              <w:jc w:val="left"/>
            </w:pPr>
            <w:r>
              <w:t xml:space="preserve">Licence</w:t>
            </w:r>
          </w:p>
        </w:tc>
        <w:tc>
          <w:tcPr/>
          <w:p>
            <w:pPr>
              <w:pStyle w:val="Compact"/>
              <w:jc w:val="left"/>
            </w:pPr>
            <w:r>
              <w:t xml:space="preserve">Proprietary cloud service; official Python SDK Apache-2.0</w:t>
            </w:r>
          </w:p>
        </w:tc>
        <w:tc>
          <w:tcPr/>
          <w:p>
            <w:pPr>
              <w:pStyle w:val="Compact"/>
              <w:jc w:val="left"/>
            </w:pPr>
            <w:r>
              <w:t xml:space="preserve">Verified fact</w:t>
            </w:r>
          </w:p>
        </w:tc>
        <w:tc>
          <w:tcPr/>
          <w:p>
            <w:pPr>
              <w:pStyle w:val="Compact"/>
              <w:jc w:val="left"/>
            </w:pPr>
            <w:r>
              <w:t xml:space="preserve">A4-S094</w:t>
            </w:r>
          </w:p>
        </w:tc>
      </w:tr>
      <w:tr>
        <w:tc>
          <w:tcPr/>
          <w:p>
            <w:pPr>
              <w:pStyle w:val="Compact"/>
              <w:jc w:val="left"/>
            </w:pPr>
            <w:r>
              <w:t xml:space="preserve">Status events</w:t>
            </w:r>
          </w:p>
        </w:tc>
        <w:tc>
          <w:tcPr/>
          <w:p>
            <w:pPr>
              <w:pStyle w:val="Compact"/>
              <w:jc w:val="left"/>
            </w:pPr>
            <w:r>
              <w:t xml:space="preserve">28 October 2025: Series C US$250M at US$4B; 15-16 July 2026: Series D US$1.505B at US$17.5B (Atreides, Index, TCV)</w:t>
            </w:r>
          </w:p>
        </w:tc>
        <w:tc>
          <w:tcPr/>
          <w:p>
            <w:pPr>
              <w:pStyle w:val="Compact"/>
              <w:jc w:val="left"/>
            </w:pPr>
            <w:r>
              <w:t xml:space="preserve">Verified fact</w:t>
            </w:r>
          </w:p>
        </w:tc>
        <w:tc>
          <w:tcPr/>
          <w:p>
            <w:pPr>
              <w:pStyle w:val="Compact"/>
              <w:jc w:val="left"/>
            </w:pPr>
            <w:r>
              <w:t xml:space="preserve">A4-S136, A4-S141, V1-S058</w:t>
            </w:r>
          </w:p>
        </w:tc>
      </w:tr>
      <w:tr>
        <w:tc>
          <w:tcPr/>
          <w:p>
            <w:pPr>
              <w:pStyle w:val="Compact"/>
              <w:jc w:val="left"/>
            </w:pPr>
            <w:r>
              <w:t xml:space="preserve">Strategic direction</w:t>
            </w:r>
          </w:p>
        </w:tc>
        <w:tc>
          <w:tcPr/>
          <w:p>
            <w:pPr>
              <w:pStyle w:val="Compact"/>
              <w:jc w:val="left"/>
            </w:pPr>
            <w:r>
              <w:t xml:space="preserve">Series D (July 2026) to expand compute and engineering; positioning on</w:t>
            </w:r>
            <w:r>
              <w:t xml:space="preserve"> </w:t>
            </w:r>
            <w:r>
              <w:t xml:space="preserve">‘</w:t>
            </w:r>
            <w:r>
              <w:t xml:space="preserve">specialised intelligence</w:t>
            </w:r>
            <w:r>
              <w:t xml:space="preserve">’</w:t>
            </w:r>
            <w:r>
              <w:t xml:space="preserve"> </w:t>
            </w:r>
            <w:r>
              <w:t xml:space="preserve">(customers fine-tuning open models on proprietary data); reports &gt;US$1B annualised revenue and &gt;40 trillion tokens/day</w:t>
            </w:r>
          </w:p>
        </w:tc>
        <w:tc>
          <w:tcPr/>
          <w:p>
            <w:pPr>
              <w:pStyle w:val="Compact"/>
              <w:jc w:val="left"/>
            </w:pPr>
            <w:r>
              <w:t xml:space="preserve">Verified fact</w:t>
            </w:r>
          </w:p>
        </w:tc>
        <w:tc>
          <w:tcPr/>
          <w:p>
            <w:pPr>
              <w:pStyle w:val="Compact"/>
              <w:jc w:val="left"/>
            </w:pPr>
            <w:r>
              <w:t xml:space="preserve">A4-S141</w:t>
            </w:r>
          </w:p>
        </w:tc>
      </w:tr>
      <w:tr>
        <w:tc>
          <w:tcPr/>
          <w:p>
            <w:pPr>
              <w:pStyle w:val="Compact"/>
              <w:jc w:val="left"/>
            </w:pPr>
            <w:r>
              <w:t xml:space="preserve">What it does</w:t>
            </w:r>
          </w:p>
        </w:tc>
        <w:tc>
          <w:tcPr/>
          <w:p>
            <w:pPr>
              <w:pStyle w:val="Compact"/>
              <w:jc w:val="left"/>
            </w:pPr>
            <w:r>
              <w:t xml:space="preserve">Serves open models via serverless per-token APIs and per-GPU-second dedicated deployments, batch inference at 50% of serverless price, fine-tuning and reinforcement fine-tuning, with enterprise reserved capacity and hybrid BYOC.</w:t>
            </w:r>
          </w:p>
        </w:tc>
        <w:tc>
          <w:tcPr/>
          <w:p>
            <w:pPr>
              <w:pStyle w:val="Compact"/>
              <w:jc w:val="left"/>
            </w:pPr>
            <w:r>
              <w:t xml:space="preserve">Verified fact</w:t>
            </w:r>
          </w:p>
        </w:tc>
        <w:tc>
          <w:tcPr/>
          <w:p>
            <w:pPr>
              <w:pStyle w:val="Compact"/>
              <w:jc w:val="left"/>
            </w:pPr>
            <w:r>
              <w:t xml:space="preserve">A4-S135, A4-S152</w:t>
            </w:r>
          </w:p>
        </w:tc>
      </w:tr>
      <w:tr>
        <w:tc>
          <w:tcPr/>
          <w:p>
            <w:pPr>
              <w:pStyle w:val="Compact"/>
              <w:jc w:val="left"/>
            </w:pPr>
            <w:r>
              <w:t xml:space="preserve">Stack position</w:t>
            </w:r>
          </w:p>
        </w:tc>
        <w:tc>
          <w:tcPr/>
          <w:p>
            <w:pPr>
              <w:pStyle w:val="Compact"/>
              <w:jc w:val="left"/>
            </w:pPr>
            <w:r>
              <w:t xml:space="preserve">Managed inference cloud (L2); FireRouter adds routing</w:t>
            </w:r>
          </w:p>
        </w:tc>
        <w:tc>
          <w:tcPr/>
          <w:p>
            <w:pPr>
              <w:pStyle w:val="Compact"/>
              <w:jc w:val="left"/>
            </w:pPr>
            <w:r>
              <w:t xml:space="preserve">Architectural judgement</w:t>
            </w:r>
          </w:p>
        </w:tc>
        <w:tc>
          <w:tcPr/>
          <w:p>
            <w:pPr>
              <w:pStyle w:val="Compact"/>
            </w:pPr>
          </w:p>
        </w:tc>
      </w:tr>
      <w:tr>
        <w:tc>
          <w:tcPr/>
          <w:p>
            <w:pPr>
              <w:pStyle w:val="Compact"/>
              <w:jc w:val="left"/>
            </w:pPr>
            <w:r>
              <w:t xml:space="preserve">Integration</w:t>
            </w:r>
          </w:p>
        </w:tc>
        <w:tc>
          <w:tcPr/>
          <w:p>
            <w:pPr>
              <w:pStyle w:val="Compact"/>
              <w:jc w:val="left"/>
            </w:pPr>
            <w:r>
              <w:t xml:space="preserve">Official Python SDK; OpenAI-compatible APIs; Microsoft Foundry partnership; Hugging Face Inference Providers partner</w:t>
            </w:r>
          </w:p>
        </w:tc>
        <w:tc>
          <w:tcPr/>
          <w:p>
            <w:pPr>
              <w:pStyle w:val="Compact"/>
              <w:jc w:val="left"/>
            </w:pPr>
            <w:r>
              <w:t xml:space="preserve">Verified fact</w:t>
            </w:r>
          </w:p>
        </w:tc>
        <w:tc>
          <w:tcPr/>
          <w:p>
            <w:pPr>
              <w:pStyle w:val="Compact"/>
              <w:jc w:val="left"/>
            </w:pPr>
            <w:r>
              <w:t xml:space="preserve">A4-S094, A4-S134, A4-S075</w:t>
            </w:r>
          </w:p>
        </w:tc>
      </w:tr>
      <w:tr>
        <w:tc>
          <w:tcPr/>
          <w:p>
            <w:pPr>
              <w:pStyle w:val="Compact"/>
              <w:jc w:val="left"/>
            </w:pPr>
            <w:r>
              <w:t xml:space="preserve">Dependencies</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Certifications</w:t>
            </w:r>
          </w:p>
        </w:tc>
        <w:tc>
          <w:tcPr/>
          <w:p>
            <w:pPr>
              <w:pStyle w:val="Compact"/>
              <w:jc w:val="left"/>
            </w:pPr>
            <w:r>
              <w:t xml:space="preserve">SOC 2 Type II; HIPAA (report of compliance listed;</w:t>
            </w:r>
            <w:r>
              <w:t xml:space="preserve"> </w:t>
            </w:r>
            <w:r>
              <w:t xml:space="preserve">‘</w:t>
            </w:r>
            <w:r>
              <w:t xml:space="preserve">HIPAA-ready</w:t>
            </w:r>
            <w:r>
              <w:t xml:space="preserve">’</w:t>
            </w:r>
            <w:r>
              <w:t xml:space="preserve"> </w:t>
            </w:r>
            <w:r>
              <w:t xml:space="preserve">on inference page); ISO 27001:2022, ISO 27701, ISO/IEC 42001:2023; GDPR (trust centre). BAA availability not seen; one Fireworks docs page still lists the three ISO certifications as</w:t>
            </w:r>
            <w:r>
              <w:t xml:space="preserve"> </w:t>
            </w:r>
            <w:r>
              <w:t xml:space="preserve">“</w:t>
            </w:r>
            <w:r>
              <w:t xml:space="preserve">(in progress)</w:t>
            </w:r>
            <w:r>
              <w:t xml:space="preserve">”</w:t>
            </w:r>
            <w:r>
              <w:t xml:space="preserve"> </w:t>
            </w:r>
            <w:r>
              <w:t xml:space="preserve">- request certificates from trust.fireworks.ai</w:t>
            </w:r>
          </w:p>
        </w:tc>
        <w:tc>
          <w:tcPr/>
          <w:p>
            <w:pPr>
              <w:pStyle w:val="Compact"/>
              <w:jc w:val="left"/>
            </w:pPr>
            <w:r>
              <w:t xml:space="preserve">Verified fact</w:t>
            </w:r>
          </w:p>
        </w:tc>
        <w:tc>
          <w:tcPr/>
          <w:p>
            <w:pPr>
              <w:pStyle w:val="Compact"/>
              <w:jc w:val="left"/>
            </w:pPr>
            <w:r>
              <w:t xml:space="preserve">A4-S133, V1-S067</w:t>
            </w:r>
          </w:p>
        </w:tc>
      </w:tr>
      <w:tr>
        <w:tc>
          <w:tcPr/>
          <w:p>
            <w:pPr>
              <w:pStyle w:val="Compact"/>
              <w:jc w:val="left"/>
            </w:pPr>
            <w:r>
              <w:t xml:space="preserve">GDPR / residency</w:t>
            </w:r>
          </w:p>
        </w:tc>
        <w:tc>
          <w:tcPr/>
          <w:p>
            <w:pPr>
              <w:pStyle w:val="Compact"/>
              <w:jc w:val="left"/>
            </w:pPr>
            <w:r>
              <w:t xml:space="preserve">ZDR by default for open models (prompts/outputs only in volatile memory); exceptions: Response API stores conversations by default for 30 days (store=False avoids), training/fine-tuning/agent features. Enterprise data-residency setting rejects out-of-region requests, but documented options are None and US only (others via sales); EU regions (Frankfurt, Iceland) exist for deployments</w:t>
            </w:r>
          </w:p>
        </w:tc>
        <w:tc>
          <w:tcPr/>
          <w:p>
            <w:pPr>
              <w:pStyle w:val="Compact"/>
              <w:jc w:val="left"/>
            </w:pPr>
            <w:r>
              <w:t xml:space="preserve">Verified fact</w:t>
            </w:r>
          </w:p>
        </w:tc>
        <w:tc>
          <w:tcPr/>
          <w:p>
            <w:pPr>
              <w:pStyle w:val="Compact"/>
              <w:jc w:val="left"/>
            </w:pPr>
            <w:r>
              <w:t xml:space="preserve">A4-S134</w:t>
            </w:r>
          </w:p>
        </w:tc>
      </w:tr>
      <w:tr>
        <w:tc>
          <w:tcPr/>
          <w:p>
            <w:pPr>
              <w:pStyle w:val="Compact"/>
              <w:jc w:val="left"/>
            </w:pPr>
            <w:r>
              <w:t xml:space="preserve">Security features</w:t>
            </w:r>
          </w:p>
        </w:tc>
        <w:tc>
          <w:tcPr/>
          <w:p>
            <w:pPr>
              <w:pStyle w:val="Compact"/>
              <w:jc w:val="left"/>
            </w:pPr>
            <w:r>
              <w:t xml:space="preserve">Customer-managed encryption keys (usage logged in customer cloud audit log); enterprise-enforceable ZDR policy; service accounts</w:t>
            </w:r>
          </w:p>
        </w:tc>
        <w:tc>
          <w:tcPr/>
          <w:p>
            <w:pPr>
              <w:pStyle w:val="Compact"/>
              <w:jc w:val="left"/>
            </w:pPr>
            <w:r>
              <w:t xml:space="preserve">Verified fact</w:t>
            </w:r>
          </w:p>
        </w:tc>
        <w:tc>
          <w:tcPr/>
          <w:p>
            <w:pPr>
              <w:pStyle w:val="Compact"/>
              <w:jc w:val="left"/>
            </w:pPr>
            <w:r>
              <w:t xml:space="preserve">A4-S152, A4-S134</w:t>
            </w:r>
          </w:p>
        </w:tc>
      </w:tr>
      <w:tr>
        <w:tc>
          <w:tcPr/>
          <w:p>
            <w:pPr>
              <w:pStyle w:val="Compact"/>
              <w:jc w:val="left"/>
            </w:pPr>
            <w:r>
              <w:t xml:space="preserve">Access controls</w:t>
            </w:r>
          </w:p>
        </w:tc>
        <w:tc>
          <w:tcPr/>
          <w:p>
            <w:pPr>
              <w:pStyle w:val="Compact"/>
              <w:jc w:val="left"/>
            </w:pPr>
            <w:r>
              <w:t xml:space="preserve">Custom SSO via OIDC or SAML 2.0 (enterprise); RBAC; Audit Logs page and CLI</w:t>
            </w:r>
          </w:p>
        </w:tc>
        <w:tc>
          <w:tcPr/>
          <w:p>
            <w:pPr>
              <w:pStyle w:val="Compact"/>
              <w:jc w:val="left"/>
            </w:pPr>
            <w:r>
              <w:t xml:space="preserve">Verified fact</w:t>
            </w:r>
          </w:p>
        </w:tc>
        <w:tc>
          <w:tcPr/>
          <w:p>
            <w:pPr>
              <w:pStyle w:val="Compact"/>
              <w:jc w:val="left"/>
            </w:pPr>
            <w:r>
              <w:t xml:space="preserve">A4-S152</w:t>
            </w:r>
          </w:p>
        </w:tc>
      </w:tr>
      <w:tr>
        <w:tc>
          <w:tcPr/>
          <w:p>
            <w:pPr>
              <w:pStyle w:val="Compact"/>
              <w:jc w:val="left"/>
            </w:pPr>
            <w:r>
              <w:t xml:space="preserve">Enterprise support</w:t>
            </w:r>
          </w:p>
        </w:tc>
        <w:tc>
          <w:tcPr/>
          <w:p>
            <w:pPr>
              <w:pStyle w:val="Compact"/>
              <w:jc w:val="left"/>
            </w:pPr>
            <w:r>
              <w:t xml:space="preserve">Enterprise reserved tier (multi-region deployments, custom optimisations, BYOC)</w:t>
            </w:r>
          </w:p>
        </w:tc>
        <w:tc>
          <w:tcPr/>
          <w:p>
            <w:pPr>
              <w:pStyle w:val="Compact"/>
              <w:jc w:val="left"/>
            </w:pPr>
            <w:r>
              <w:t xml:space="preserve">Verified fact</w:t>
            </w:r>
          </w:p>
        </w:tc>
        <w:tc>
          <w:tcPr/>
          <w:p>
            <w:pPr>
              <w:pStyle w:val="Compact"/>
              <w:jc w:val="left"/>
            </w:pPr>
            <w:r>
              <w:t xml:space="preserve">A4-S152</w:t>
            </w:r>
          </w:p>
        </w:tc>
      </w:tr>
      <w:tr>
        <w:tc>
          <w:tcPr/>
          <w:p>
            <w:pPr>
              <w:pStyle w:val="Compact"/>
              <w:jc w:val="left"/>
            </w:pPr>
            <w:r>
              <w:t xml:space="preserve">Pricing</w:t>
            </w:r>
          </w:p>
        </w:tc>
        <w:tc>
          <w:tcPr/>
          <w:p>
            <w:pPr>
              <w:pStyle w:val="Compact"/>
              <w:jc w:val="left"/>
            </w:pPr>
            <w:r>
              <w:t xml:space="preserve">On-demand GPUs: H100/H200 US$8.00/h, B200 US$13.00/h, B300 US$15.00/h, billed per GPU-second (page ~167 days old; a secondary review cites US$7.00/h). Serverless per 1M tokens: &lt;4B US$0.10, 4-16B US$0.20, &gt;16B US$0.90; Kimi K3 US$3 in/US$15 out; batch 50% of serverless</w:t>
            </w:r>
          </w:p>
        </w:tc>
        <w:tc>
          <w:tcPr/>
          <w:p>
            <w:pPr>
              <w:pStyle w:val="Compact"/>
              <w:jc w:val="left"/>
            </w:pPr>
            <w:r>
              <w:t xml:space="preserve">Verified fact</w:t>
            </w:r>
          </w:p>
        </w:tc>
        <w:tc>
          <w:tcPr/>
          <w:p>
            <w:pPr>
              <w:pStyle w:val="Compact"/>
              <w:jc w:val="left"/>
            </w:pPr>
            <w:r>
              <w:t xml:space="preserve">A4-S135</w:t>
            </w:r>
          </w:p>
        </w:tc>
      </w:tr>
      <w:tr>
        <w:tc>
          <w:tcPr/>
          <w:p>
            <w:pPr>
              <w:pStyle w:val="Compact"/>
              <w:jc w:val="left"/>
            </w:pPr>
            <w:r>
              <w:t xml:space="preserve">Infrastructure cost</w:t>
            </w:r>
          </w:p>
        </w:tc>
        <w:tc>
          <w:tcPr/>
          <w:p>
            <w:pPr>
              <w:pStyle w:val="Compact"/>
              <w:jc w:val="left"/>
            </w:pPr>
            <w:r>
              <w:t xml:space="preserve">Dedicated deployments scale to zero; billed per GPU-second</w:t>
            </w:r>
          </w:p>
        </w:tc>
        <w:tc>
          <w:tcPr/>
          <w:p>
            <w:pPr>
              <w:pStyle w:val="Compact"/>
              <w:jc w:val="left"/>
            </w:pPr>
            <w:r>
              <w:t xml:space="preserve">Verified fact</w:t>
            </w:r>
          </w:p>
        </w:tc>
        <w:tc>
          <w:tcPr/>
          <w:p>
            <w:pPr>
              <w:pStyle w:val="Compact"/>
              <w:jc w:val="left"/>
            </w:pPr>
            <w:r>
              <w:t xml:space="preserve">A4-S135</w:t>
            </w:r>
          </w:p>
        </w:tc>
      </w:tr>
      <w:tr>
        <w:tc>
          <w:tcPr/>
          <w:p>
            <w:pPr>
              <w:pStyle w:val="Compact"/>
              <w:jc w:val="left"/>
            </w:pPr>
            <w:r>
              <w:t xml:space="preserve">Ecosystem</w:t>
            </w:r>
          </w:p>
        </w:tc>
        <w:tc>
          <w:tcPr/>
          <w:p>
            <w:pPr>
              <w:pStyle w:val="Compact"/>
              <w:jc w:val="left"/>
            </w:pPr>
            <w:r>
              <w:t xml:space="preserve">Microsoft Foundry; Hugging Face Inference Providers; Anthropic as a ZDR sub-processor for select services</w:t>
            </w:r>
          </w:p>
        </w:tc>
        <w:tc>
          <w:tcPr/>
          <w:p>
            <w:pPr>
              <w:pStyle w:val="Compact"/>
              <w:jc w:val="left"/>
            </w:pPr>
            <w:r>
              <w:t xml:space="preserve">Verified fact</w:t>
            </w:r>
          </w:p>
        </w:tc>
        <w:tc>
          <w:tcPr/>
          <w:p>
            <w:pPr>
              <w:pStyle w:val="Compact"/>
              <w:jc w:val="left"/>
            </w:pPr>
            <w:r>
              <w:t xml:space="preserve">A4-S134, A4-S075</w:t>
            </w:r>
          </w:p>
        </w:tc>
      </w:tr>
      <w:tr>
        <w:tc>
          <w:tcPr/>
          <w:p>
            <w:pPr>
              <w:pStyle w:val="Compact"/>
              <w:jc w:val="left"/>
            </w:pPr>
            <w:r>
              <w:t xml:space="preserve">Adoption signals</w:t>
            </w:r>
          </w:p>
        </w:tc>
        <w:tc>
          <w:tcPr/>
          <w:p>
            <w:pPr>
              <w:pStyle w:val="Compact"/>
              <w:jc w:val="left"/>
            </w:pPr>
            <w:r>
              <w:t xml:space="preserve">Series D US$1.505B at US$17.5B (July 2026); &gt;US$1B annualised revenue; CNBC: about half of revenue from Cursor as of 2025</w:t>
            </w:r>
          </w:p>
        </w:tc>
        <w:tc>
          <w:tcPr/>
          <w:p>
            <w:pPr>
              <w:pStyle w:val="Compact"/>
              <w:jc w:val="left"/>
            </w:pPr>
            <w:r>
              <w:t xml:space="preserve">Verified fact</w:t>
            </w:r>
          </w:p>
        </w:tc>
        <w:tc>
          <w:tcPr/>
          <w:p>
            <w:pPr>
              <w:pStyle w:val="Compact"/>
              <w:jc w:val="left"/>
            </w:pPr>
            <w:r>
              <w:t xml:space="preserve">A4-S141</w:t>
            </w:r>
          </w:p>
        </w:tc>
      </w:tr>
      <w:tr>
        <w:tc>
          <w:tcPr/>
          <w:p>
            <w:pPr>
              <w:pStyle w:val="Compact"/>
              <w:jc w:val="left"/>
            </w:pPr>
            <w:r>
              <w:t xml:space="preserve">Maturity</w:t>
            </w:r>
          </w:p>
        </w:tc>
        <w:tc>
          <w:tcPr/>
          <w:p>
            <w:pPr>
              <w:pStyle w:val="Compact"/>
              <w:jc w:val="left"/>
            </w:pPr>
            <w:r>
              <w:t xml:space="preserve">SDK since October 2022; Series D-stage company</w:t>
            </w:r>
          </w:p>
        </w:tc>
        <w:tc>
          <w:tcPr/>
          <w:p>
            <w:pPr>
              <w:pStyle w:val="Compact"/>
              <w:jc w:val="left"/>
            </w:pPr>
            <w:r>
              <w:t xml:space="preserve">Verified fact</w:t>
            </w:r>
          </w:p>
        </w:tc>
        <w:tc>
          <w:tcPr/>
          <w:p>
            <w:pPr>
              <w:pStyle w:val="Compact"/>
              <w:jc w:val="left"/>
            </w:pPr>
            <w:r>
              <w:t xml:space="preserve">A4-S094, A4-S141</w:t>
            </w:r>
          </w:p>
        </w:tc>
      </w:tr>
      <w:tr>
        <w:tc>
          <w:tcPr/>
          <w:p>
            <w:pPr>
              <w:pStyle w:val="Compact"/>
              <w:jc w:val="left"/>
            </w:pPr>
            <w:r>
              <w:t xml:space="preserve">Deployment</w:t>
            </w:r>
          </w:p>
        </w:tc>
        <w:tc>
          <w:tcPr/>
          <w:p>
            <w:pPr>
              <w:pStyle w:val="Compact"/>
              <w:jc w:val="left"/>
            </w:pPr>
            <w:r>
              <w:t xml:space="preserve">saas: Yes (serverless); managed_cloud: Yes (on-demand and reserved dedicated deployments); vpc_byoc: Yes (hybrid BYOC: Fireworks inference engine in customer VPC; enterprise reserved tier); private_cloud: Yes (reserved capacity); self_hosted: Yes (partial: BYOC in customer cloud account); on_prem: Not publicly verified</w:t>
            </w:r>
          </w:p>
        </w:tc>
        <w:tc>
          <w:tcPr/>
          <w:p>
            <w:pPr>
              <w:pStyle w:val="Compact"/>
            </w:pPr>
          </w:p>
        </w:tc>
        <w:tc>
          <w:tcPr/>
          <w:p>
            <w:pPr>
              <w:pStyle w:val="Compact"/>
            </w:pPr>
          </w:p>
        </w:tc>
      </w:tr>
    </w:tbl>
    <w:bookmarkEnd w:id="1306"/>
    <w:bookmarkStart w:id="1326" w:name="sglang-l2-sglang"/>
    <w:p>
      <w:pPr>
        <w:pStyle w:val="Heading2"/>
      </w:pPr>
      <w:r>
        <w:t xml:space="preserve">SGLang (</w:t>
      </w:r>
      <w:r>
        <w:rPr>
          <w:rStyle w:val="VerbatimChar"/>
        </w:rPr>
        <w:t xml:space="preserve">L2-sglang</w:t>
      </w:r>
      <w:r>
        <w:t xml:space="preserve">)</w:t>
      </w:r>
    </w:p>
    <w:p>
      <w:pPr>
        <w:pStyle w:val="FirstParagraph"/>
      </w:pPr>
      <w:r>
        <w:rPr>
          <w:bCs/>
          <w:b/>
        </w:rPr>
        <w:t xml:space="preserve">Tier:</w:t>
      </w:r>
      <w:r>
        <w:t xml:space="preserve"> </w:t>
      </w:r>
      <w:r>
        <w:t xml:space="preserve">Strategic ·</w:t>
      </w:r>
      <w:r>
        <w:t xml:space="preserve"> </w:t>
      </w:r>
      <w:r>
        <w:rPr>
          <w:bCs/>
          <w:b/>
        </w:rPr>
        <w:t xml:space="preserve">Flags:</w:t>
      </w:r>
      <w:r>
        <w:t xml:space="preserve"> </w:t>
      </w:r>
      <w:r>
        <w:t xml:space="preserve">none ·</w:t>
      </w:r>
      <w:r>
        <w:t xml:space="preserve"> </w:t>
      </w:r>
      <w:r>
        <w:rPr>
          <w:bCs/>
          <w:b/>
        </w:rPr>
        <w:t xml:space="preserve">Original graphic label:</w:t>
      </w:r>
      <w:r>
        <w:t xml:space="preserve"> </w:t>
      </w:r>
      <w:r>
        <w:t xml:space="preserve">SGLang – efficient engine</w:t>
      </w:r>
    </w:p>
    <w:p>
      <w:pPr>
        <w:pStyle w:val="BodyText"/>
      </w:pPr>
      <w:r>
        <w:rPr>
          <w:iCs/>
          <w:i/>
        </w:rPr>
        <w:t xml:space="preserve">Rationale:</w:t>
      </w:r>
      <w:r>
        <w:t xml:space="preserve"> </w:t>
      </w:r>
      <w:r>
        <w:t xml:space="preserve">Strategic, conditional: as the qualified backup engine to vLLM, once CVE-2026-3059 is confirmed fixed in the deployed version (NVD and OSV reference a fix in 0.5.10; the GitHub advisory lists none), with internal ports isolated; not the default engine. Upgraded from Tactical by the reader at Checkpoint 4 (CP4-4); scores unchanged (FS 3.65), with security 2 carried as the tier condition</w:t>
      </w:r>
      <w:r>
        <w:t xml:space="preserve"> </w:t>
      </w:r>
      <w:r>
        <w:rPr>
          <w:rStyle w:val="ClaimLabel"/>
        </w:rPr>
        <w:t xml:space="preserve">AJ</w:t>
      </w:r>
      <w:r>
        <w:t xml:space="preserve">.</w:t>
      </w:r>
    </w:p>
    <w:tbl>
      <w:tblPr>
        <w:tblStyle w:val="Table"/>
        <w:tblW w:type="pct" w:w="5000"/>
        <w:tblLook w:firstRow="1" w:lastRow="0" w:firstColumn="0" w:lastColumn="0" w:noHBand="0" w:noVBand="0" w:val="0020"/>
        <w:jc w:val="start"/>
      </w:tblPr>
      <w:tblGrid>
        <w:gridCol w:w="1545"/>
        <w:gridCol w:w="579"/>
        <w:gridCol w:w="5795"/>
      </w:tblGrid>
      <w:tr>
        <w:trPr>
          <w:tblHeader w:val="true"/>
        </w:trPr>
        <w:tc>
          <w:tcPr/>
          <w:p>
            <w:pPr>
              <w:pStyle w:val="Compact"/>
              <w:jc w:val="left"/>
            </w:pPr>
            <w:r>
              <w:t xml:space="preserve">Criterion</w:t>
            </w:r>
          </w:p>
        </w:tc>
        <w:tc>
          <w:tcPr/>
          <w:p>
            <w:pPr>
              <w:pStyle w:val="Compact"/>
              <w:jc w:val="right"/>
            </w:pPr>
            <w:r>
              <w:t xml:space="preserve">Score</w:t>
            </w:r>
          </w:p>
        </w:tc>
        <w:tc>
          <w:tcPr/>
          <w:p>
            <w:pPr>
              <w:pStyle w:val="Compact"/>
              <w:jc w:val="left"/>
            </w:pPr>
            <w:r>
              <w:t xml:space="preserve">Rationale</w:t>
            </w:r>
          </w:p>
        </w:tc>
      </w:tr>
      <w:tr>
        <w:tc>
          <w:tcPr/>
          <w:p>
            <w:pPr>
              <w:pStyle w:val="Compact"/>
              <w:jc w:val="left"/>
            </w:pPr>
            <w:r>
              <w:t xml:space="preserve">Technical</w:t>
            </w:r>
          </w:p>
        </w:tc>
        <w:tc>
          <w:tcPr/>
          <w:p>
            <w:pPr>
              <w:pStyle w:val="Compact"/>
              <w:jc w:val="right"/>
            </w:pPr>
            <w:r>
              <w:t xml:space="preserve">5</w:t>
            </w:r>
          </w:p>
        </w:tc>
        <w:tc>
          <w:tcPr/>
          <w:p>
            <w:pPr>
              <w:pStyle w:val="Compact"/>
              <w:jc w:val="left"/>
            </w:pPr>
            <w:r>
              <w:t xml:space="preserve">Leading depth: RadixAttention, PD disaggregation, speculative decoding, quantisation</w:t>
            </w:r>
            <w:r>
              <w:t xml:space="preserve"> </w:t>
            </w:r>
            <w:r>
              <w:rPr>
                <w:rStyle w:val="ClaimLabel"/>
              </w:rPr>
              <w:t xml:space="preserve">VF</w:t>
            </w:r>
            <w:r>
              <w:rPr>
                <w:rStyle w:val="FootnoteReference"/>
              </w:rPr>
              <w:footnoteReference w:id="1307"/>
            </w:r>
          </w:p>
        </w:tc>
      </w:tr>
      <w:tr>
        <w:tc>
          <w:tcPr/>
          <w:p>
            <w:pPr>
              <w:pStyle w:val="Compact"/>
              <w:jc w:val="left"/>
            </w:pPr>
            <w:r>
              <w:t xml:space="preserve">Enterprise readiness</w:t>
            </w:r>
          </w:p>
        </w:tc>
        <w:tc>
          <w:tcPr/>
          <w:p>
            <w:pPr>
              <w:pStyle w:val="Compact"/>
              <w:jc w:val="right"/>
            </w:pPr>
            <w:r>
              <w:t xml:space="preserve">3</w:t>
            </w:r>
          </w:p>
        </w:tc>
        <w:tc>
          <w:tcPr/>
          <w:p>
            <w:pPr>
              <w:pStyle w:val="Compact"/>
              <w:jc w:val="left"/>
            </w:pPr>
            <w:r>
              <w:t xml:space="preserve">Rule 2: inherits host controls; no verified commercial support, so the 4 cap applies; scored 3</w:t>
            </w:r>
            <w:r>
              <w:t xml:space="preserve"> </w:t>
            </w:r>
            <w:r>
              <w:rPr>
                <w:rStyle w:val="ClaimLabel"/>
              </w:rPr>
              <w:t xml:space="preserve">AJ</w:t>
            </w:r>
          </w:p>
        </w:tc>
      </w:tr>
      <w:tr>
        <w:tc>
          <w:tcPr/>
          <w:p>
            <w:pPr>
              <w:pStyle w:val="Compact"/>
              <w:jc w:val="left"/>
            </w:pPr>
            <w:r>
              <w:t xml:space="preserve">Security and compliance</w:t>
            </w:r>
          </w:p>
        </w:tc>
        <w:tc>
          <w:tcPr/>
          <w:p>
            <w:pPr>
              <w:pStyle w:val="Compact"/>
              <w:jc w:val="right"/>
            </w:pPr>
            <w:r>
              <w:t xml:space="preserve">2</w:t>
            </w:r>
          </w:p>
        </w:tc>
        <w:tc>
          <w:tcPr/>
          <w:p>
            <w:pPr>
              <w:pStyle w:val="Compact"/>
              <w:jc w:val="left"/>
            </w:pPr>
            <w:r>
              <w:t xml:space="preserve">Rule 2 hygiene: critical unauthenticated RCE (fix evidenced only by NVD/OSV references to v0.5.10; GitHub advisory lists none), disclosure-response concerns and a reported bypass of an earlier fix</w:t>
            </w:r>
            <w:r>
              <w:t xml:space="preserve"> </w:t>
            </w:r>
            <w:r>
              <w:rPr>
                <w:rStyle w:val="ClaimLabel"/>
              </w:rPr>
              <w:t xml:space="preserve">VF</w:t>
            </w:r>
            <w:r>
              <w:rPr>
                <w:rStyle w:val="FootnoteReference"/>
              </w:rPr>
              <w:footnoteReference w:id="1309"/>
            </w:r>
            <w:r>
              <w:t xml:space="preserve">; kept at 2 at Checkpoint 4 (CP4-4 changed the tier only; a confirmed fix is the tier condition)</w:t>
            </w:r>
          </w:p>
        </w:tc>
      </w:tr>
      <w:tr>
        <w:tc>
          <w:tcPr/>
          <w:p>
            <w:pPr>
              <w:pStyle w:val="Compact"/>
              <w:jc w:val="left"/>
            </w:pPr>
            <w:r>
              <w:t xml:space="preserve">Deployment flexibility</w:t>
            </w:r>
          </w:p>
        </w:tc>
        <w:tc>
          <w:tcPr/>
          <w:p>
            <w:pPr>
              <w:pStyle w:val="Compact"/>
              <w:jc w:val="right"/>
            </w:pPr>
            <w:r>
              <w:t xml:space="preserve">5</w:t>
            </w:r>
          </w:p>
        </w:tc>
        <w:tc>
          <w:tcPr/>
          <w:p>
            <w:pPr>
              <w:pStyle w:val="Compact"/>
              <w:jc w:val="left"/>
            </w:pPr>
            <w:r>
              <w:t xml:space="preserve">Self-host, VPC, on-prem; managed via Hugging Face Endpoints</w:t>
            </w:r>
            <w:r>
              <w:t xml:space="preserve"> </w:t>
            </w:r>
            <w:r>
              <w:rPr>
                <w:rStyle w:val="ClaimLabel"/>
              </w:rPr>
              <w:t xml:space="preserve">VF</w:t>
            </w:r>
            <w:r>
              <w:rPr>
                <w:rStyle w:val="FootnoteReference"/>
              </w:rPr>
              <w:footnoteReference w:id="1312"/>
            </w:r>
          </w:p>
        </w:tc>
      </w:tr>
      <w:tr>
        <w:tc>
          <w:tcPr/>
          <w:p>
            <w:pPr>
              <w:pStyle w:val="Compact"/>
              <w:jc w:val="left"/>
            </w:pPr>
            <w:r>
              <w:t xml:space="preserve">Ecosystem</w:t>
            </w:r>
          </w:p>
        </w:tc>
        <w:tc>
          <w:tcPr/>
          <w:p>
            <w:pPr>
              <w:pStyle w:val="Compact"/>
              <w:jc w:val="right"/>
            </w:pPr>
            <w:r>
              <w:t xml:space="preserve">4</w:t>
            </w:r>
          </w:p>
        </w:tc>
        <w:tc>
          <w:tcPr/>
          <w:p>
            <w:pPr>
              <w:pStyle w:val="Compact"/>
              <w:jc w:val="left"/>
            </w:pPr>
            <w:r>
              <w:t xml:space="preserve">OpenAI-compatible; Dynamo backend; RL frameworks</w:t>
            </w:r>
            <w:r>
              <w:t xml:space="preserve"> </w:t>
            </w:r>
            <w:r>
              <w:rPr>
                <w:rStyle w:val="ClaimLabel"/>
              </w:rPr>
              <w:t xml:space="preserve">VF</w:t>
            </w:r>
            <w:r>
              <w:rPr>
                <w:rStyle w:val="FootnoteReference"/>
              </w:rPr>
              <w:footnoteReference w:id="1314"/>
            </w:r>
          </w:p>
        </w:tc>
      </w:tr>
      <w:tr>
        <w:tc>
          <w:tcPr/>
          <w:p>
            <w:pPr>
              <w:pStyle w:val="Compact"/>
              <w:jc w:val="left"/>
            </w:pPr>
            <w:r>
              <w:t xml:space="preserve">Reliability and maturity</w:t>
            </w:r>
          </w:p>
        </w:tc>
        <w:tc>
          <w:tcPr/>
          <w:p>
            <w:pPr>
              <w:pStyle w:val="Compact"/>
              <w:jc w:val="right"/>
            </w:pPr>
            <w:r>
              <w:t xml:space="preserve">3</w:t>
            </w:r>
          </w:p>
        </w:tc>
        <w:tc>
          <w:tcPr/>
          <w:p>
            <w:pPr>
              <w:pStyle w:val="Compact"/>
              <w:jc w:val="left"/>
            </w:pPr>
            <w:r>
              <w:t xml:space="preserve">0.x since January 2024; new commercial steward in May 2026</w:t>
            </w:r>
            <w:r>
              <w:t xml:space="preserve"> </w:t>
            </w:r>
            <w:r>
              <w:rPr>
                <w:rStyle w:val="ClaimLabel"/>
              </w:rPr>
              <w:t xml:space="preserve">VF</w:t>
            </w:r>
            <w:r>
              <w:rPr>
                <w:rStyle w:val="FootnoteReference"/>
              </w:rPr>
              <w:footnoteReference w:id="1315"/>
            </w:r>
          </w:p>
        </w:tc>
      </w:tr>
      <w:tr>
        <w:tc>
          <w:tcPr/>
          <w:p>
            <w:pPr>
              <w:pStyle w:val="Compact"/>
              <w:jc w:val="left"/>
            </w:pPr>
            <w:r>
              <w:t xml:space="preserve">Cost / TCO</w:t>
            </w:r>
          </w:p>
        </w:tc>
        <w:tc>
          <w:tcPr/>
          <w:p>
            <w:pPr>
              <w:pStyle w:val="Compact"/>
              <w:jc w:val="right"/>
            </w:pPr>
            <w:r>
              <w:t xml:space="preserve">4</w:t>
            </w:r>
          </w:p>
        </w:tc>
        <w:tc>
          <w:tcPr/>
          <w:p>
            <w:pPr>
              <w:pStyle w:val="Compact"/>
              <w:jc w:val="left"/>
            </w:pPr>
            <w:r>
              <w:t xml:space="preserve">Free; GPU and operations cost</w:t>
            </w:r>
            <w:r>
              <w:t xml:space="preserve"> </w:t>
            </w:r>
            <w:r>
              <w:rPr>
                <w:rStyle w:val="ClaimLabel"/>
              </w:rPr>
              <w:t xml:space="preserve">AJ</w:t>
            </w:r>
          </w:p>
        </w:tc>
      </w:tr>
      <w:tr>
        <w:tc>
          <w:tcPr/>
          <w:p>
            <w:pPr>
              <w:pStyle w:val="Compact"/>
              <w:jc w:val="left"/>
            </w:pPr>
            <w:r>
              <w:t xml:space="preserve">Lock-in / portability</w:t>
            </w:r>
          </w:p>
        </w:tc>
        <w:tc>
          <w:tcPr/>
          <w:p>
            <w:pPr>
              <w:pStyle w:val="Compact"/>
              <w:jc w:val="right"/>
            </w:pPr>
            <w:r>
              <w:t xml:space="preserve">4</w:t>
            </w:r>
          </w:p>
        </w:tc>
        <w:tc>
          <w:tcPr/>
          <w:p>
            <w:pPr>
              <w:pStyle w:val="Compact"/>
              <w:jc w:val="left"/>
            </w:pPr>
            <w:r>
              <w:t xml:space="preserve">Apache-2.0, but governance is a non-profit plus VC-backed steward rather than a neutral foundation</w:t>
            </w:r>
            <w:r>
              <w:t xml:space="preserve"> </w:t>
            </w:r>
            <w:r>
              <w:rPr>
                <w:rStyle w:val="ClaimLabel"/>
              </w:rPr>
              <w:t xml:space="preserve">VF</w:t>
            </w:r>
            <w:r>
              <w:rPr>
                <w:rStyle w:val="FootnoteReference"/>
              </w:rPr>
              <w:footnoteReference w:id="1317"/>
            </w:r>
          </w:p>
        </w:tc>
      </w:tr>
      <w:tr>
        <w:tc>
          <w:tcPr/>
          <w:p>
            <w:pPr>
              <w:pStyle w:val="Compact"/>
              <w:jc w:val="left"/>
            </w:pPr>
            <w:r>
              <w:rPr>
                <w:bCs/>
                <w:b/>
              </w:rPr>
              <w:t xml:space="preserve">Total (generic / FS)</w:t>
            </w:r>
          </w:p>
        </w:tc>
        <w:tc>
          <w:tcPr/>
          <w:p>
            <w:pPr>
              <w:pStyle w:val="Compact"/>
              <w:jc w:val="right"/>
            </w:pPr>
            <w:r>
              <w:rPr>
                <w:bCs/>
                <w:b/>
              </w:rPr>
              <w:t xml:space="preserve">3.80 / 3.65</w:t>
            </w:r>
          </w:p>
        </w:tc>
        <w:tc>
          <w:tcPr/>
          <w:p>
            <w:pPr>
              <w:pStyle w:val="Compact"/>
            </w:pPr>
          </w:p>
        </w:tc>
      </w:tr>
    </w:tbl>
    <w:p>
      <w:pPr>
        <w:pStyle w:val="BodyText"/>
      </w:pPr>
      <w:r>
        <w:rPr>
          <w:iCs/>
          <w:i/>
        </w:rPr>
        <w:t xml:space="preserve">Evidence rules applied:</w:t>
      </w:r>
      <w:r>
        <w:t xml:space="preserve"> </w:t>
      </w:r>
      <w:r>
        <w:t xml:space="preserve">enterprise_readiness capped at 4 (rule 2, no verified commercial support); not binding at 3</w:t>
      </w:r>
    </w:p>
    <w:p>
      <w:pPr>
        <w:pStyle w:val="BodyText"/>
      </w:pPr>
      <w:r>
        <w:rPr>
          <w:bCs/>
          <w:b/>
        </w:rPr>
        <w:t xml:space="preserve">Capabilities.</w:t>
      </w:r>
      <w:r>
        <w:t xml:space="preserve"> </w:t>
      </w:r>
      <w:r>
        <w:t xml:space="preserve">Apache-2.0 serving framework (0.5.21, 1 October 2026) hosted by the LMSYS non-profit, with RadixAttention prefix caching, PD disaggregation, speculative decoding, FP4/FP8 quantisation, TPU and multi-vendor hardware support and day-0 support for new open models; RadixArk (US$100M seed, May 2026) is its commercial steward</w:t>
      </w:r>
      <w:r>
        <w:t xml:space="preserve"> </w:t>
      </w:r>
      <w:r>
        <w:rPr>
          <w:rStyle w:val="ClaimLabel"/>
        </w:rPr>
        <w:t xml:space="preserve">VF</w:t>
      </w:r>
      <w:r>
        <w:rPr>
          <w:rStyle w:val="FootnoteReference"/>
        </w:rPr>
        <w:footnoteReference w:id="1319"/>
      </w:r>
      <w:r>
        <w:t xml:space="preserve">.</w:t>
      </w:r>
    </w:p>
    <w:p>
      <w:pPr>
        <w:pStyle w:val="BodyText"/>
      </w:pPr>
      <w:r>
        <w:rPr>
          <w:bCs/>
          <w:b/>
        </w:rPr>
        <w:t xml:space="preserve">Strengths</w:t>
      </w:r>
    </w:p>
    <w:p>
      <w:pPr>
        <w:numPr>
          <w:ilvl w:val="0"/>
          <w:numId w:val="1285"/>
        </w:numPr>
        <w:pStyle w:val="Compact"/>
      </w:pPr>
      <w:r>
        <w:t xml:space="preserve">Prefix-cache-heavy and agentic workloads (RadixAttention)</w:t>
      </w:r>
      <w:r>
        <w:t xml:space="preserve"> </w:t>
      </w:r>
      <w:r>
        <w:rPr>
          <w:rStyle w:val="ClaimLabel"/>
        </w:rPr>
        <w:t xml:space="preserve">VF</w:t>
      </w:r>
      <w:r>
        <w:rPr>
          <w:rStyle w:val="FootnoteReference"/>
        </w:rPr>
        <w:footnoteReference w:id="1320"/>
      </w:r>
      <w:r>
        <w:t xml:space="preserve"> </w:t>
      </w:r>
      <w:r>
        <w:rPr>
          <w:rStyle w:val="ClaimLabel"/>
        </w:rPr>
        <w:t xml:space="preserve">AJ</w:t>
      </w:r>
    </w:p>
    <w:p>
      <w:pPr>
        <w:numPr>
          <w:ilvl w:val="0"/>
          <w:numId w:val="1285"/>
        </w:numPr>
        <w:pStyle w:val="Compact"/>
      </w:pPr>
      <w:r>
        <w:t xml:space="preserve">Fast day-0 model support</w:t>
      </w:r>
      <w:r>
        <w:t xml:space="preserve"> </w:t>
      </w:r>
      <w:r>
        <w:rPr>
          <w:rStyle w:val="ClaimLabel"/>
        </w:rPr>
        <w:t xml:space="preserve">VF</w:t>
      </w:r>
      <w:r>
        <w:rPr>
          <w:rStyle w:val="FootnoteReference"/>
        </w:rPr>
        <w:footnoteReference w:id="1321"/>
      </w:r>
    </w:p>
    <w:p>
      <w:pPr>
        <w:numPr>
          <w:ilvl w:val="0"/>
          <w:numId w:val="1285"/>
        </w:numPr>
        <w:pStyle w:val="Compact"/>
      </w:pPr>
      <w:r>
        <w:t xml:space="preserve">Apache-2.0, OpenAI-compatible</w:t>
      </w:r>
      <w:r>
        <w:t xml:space="preserve"> </w:t>
      </w:r>
      <w:r>
        <w:rPr>
          <w:rStyle w:val="ClaimLabel"/>
        </w:rPr>
        <w:t xml:space="preserve">VF</w:t>
      </w:r>
      <w:r>
        <w:rPr>
          <w:rStyle w:val="FootnoteReference"/>
        </w:rPr>
        <w:footnoteReference w:id="1322"/>
      </w:r>
    </w:p>
    <w:p>
      <w:pPr>
        <w:pStyle w:val="FirstParagraph"/>
      </w:pPr>
      <w:r>
        <w:rPr>
          <w:bCs/>
          <w:b/>
        </w:rPr>
        <w:t xml:space="preserve">Limitations and risks</w:t>
      </w:r>
    </w:p>
    <w:p>
      <w:pPr>
        <w:numPr>
          <w:ilvl w:val="0"/>
          <w:numId w:val="1286"/>
        </w:numPr>
        <w:pStyle w:val="Compact"/>
      </w:pPr>
      <w:r>
        <w:t xml:space="preserve">CVE-2026-3059 (critical, unauthenticated RCE via ZMQ broker, &lt;=0.5.9): the GitHub advisory lists no patched version, while NVD references a fix in v0.5.10 and OSV a fixed commit; an earlier fix (CVE-2025-10164) has an unanswered bypass report</w:t>
      </w:r>
      <w:r>
        <w:t xml:space="preserve"> </w:t>
      </w:r>
      <w:r>
        <w:rPr>
          <w:rStyle w:val="ClaimLabel"/>
        </w:rPr>
        <w:t xml:space="preserve">VF</w:t>
      </w:r>
      <w:r>
        <w:rPr>
          <w:rStyle w:val="FootnoteReference"/>
        </w:rPr>
        <w:footnoteReference w:id="1323"/>
      </w:r>
    </w:p>
    <w:p>
      <w:pPr>
        <w:numPr>
          <w:ilvl w:val="0"/>
          <w:numId w:val="1286"/>
        </w:numPr>
        <w:pStyle w:val="Compact"/>
      </w:pPr>
      <w:r>
        <w:t xml:space="preserve">Pre-1.0; governance with a non-profit plus a VC-backed steward, no formal transfer found</w:t>
      </w:r>
      <w:r>
        <w:t xml:space="preserve"> </w:t>
      </w:r>
      <w:r>
        <w:rPr>
          <w:rStyle w:val="ClaimLabel"/>
        </w:rPr>
        <w:t xml:space="preserve">VF</w:t>
      </w:r>
      <w:r>
        <w:rPr>
          <w:rStyle w:val="FootnoteReference"/>
        </w:rPr>
        <w:footnoteReference w:id="1324"/>
      </w:r>
    </w:p>
    <w:p>
      <w:pPr>
        <w:numPr>
          <w:ilvl w:val="0"/>
          <w:numId w:val="1286"/>
        </w:numPr>
        <w:pStyle w:val="Compact"/>
      </w:pPr>
      <w:r>
        <w:t xml:space="preserve">No verified commercial support offer</w:t>
      </w:r>
      <w:r>
        <w:t xml:space="preserve"> </w:t>
      </w:r>
      <w:r>
        <w:rPr>
          <w:rStyle w:val="ClaimLabel"/>
        </w:rPr>
        <w:t xml:space="preserve">NPV</w:t>
      </w:r>
    </w:p>
    <w:p>
      <w:pPr>
        <w:pStyle w:val="FirstParagraph"/>
      </w:pPr>
      <w:r>
        <w:rPr>
          <w:bCs/>
          <w:b/>
        </w:rPr>
        <w:t xml:space="preserve">Choose when</w:t>
      </w:r>
    </w:p>
    <w:p>
      <w:pPr>
        <w:numPr>
          <w:ilvl w:val="0"/>
          <w:numId w:val="1287"/>
        </w:numPr>
        <w:pStyle w:val="Compact"/>
      </w:pPr>
      <w:r>
        <w:t xml:space="preserve">Second engine where prefix reuse or a model’s day-0 support matters</w:t>
      </w:r>
      <w:r>
        <w:t xml:space="preserve"> </w:t>
      </w:r>
      <w:r>
        <w:rPr>
          <w:rStyle w:val="ClaimLabel"/>
        </w:rPr>
        <w:t xml:space="preserve">AJ</w:t>
      </w:r>
    </w:p>
    <w:p>
      <w:pPr>
        <w:numPr>
          <w:ilvl w:val="0"/>
          <w:numId w:val="1287"/>
        </w:numPr>
        <w:pStyle w:val="Compact"/>
      </w:pPr>
      <w:r>
        <w:t xml:space="preserve">TPU serving</w:t>
      </w:r>
      <w:r>
        <w:t xml:space="preserve"> </w:t>
      </w:r>
      <w:r>
        <w:rPr>
          <w:rStyle w:val="ClaimLabel"/>
        </w:rPr>
        <w:t xml:space="preserve">VF</w:t>
      </w:r>
      <w:r>
        <w:rPr>
          <w:rStyle w:val="FootnoteReference"/>
        </w:rPr>
        <w:footnoteReference w:id="1325"/>
      </w:r>
    </w:p>
    <w:p>
      <w:pPr>
        <w:pStyle w:val="FirstParagraph"/>
      </w:pPr>
      <w:r>
        <w:rPr>
          <w:bCs/>
          <w:b/>
        </w:rPr>
        <w:t xml:space="preserve">Avoid when</w:t>
      </w:r>
    </w:p>
    <w:p>
      <w:pPr>
        <w:numPr>
          <w:ilvl w:val="0"/>
          <w:numId w:val="1288"/>
        </w:numPr>
        <w:pStyle w:val="Compact"/>
      </w:pPr>
      <w:r>
        <w:t xml:space="preserve">The engine port could be reachable beyond a locked-down serving namespace</w:t>
      </w:r>
      <w:r>
        <w:t xml:space="preserve"> </w:t>
      </w:r>
      <w:r>
        <w:rPr>
          <w:rStyle w:val="ClaimLabel"/>
        </w:rPr>
        <w:t xml:space="preserve">AJ</w:t>
      </w:r>
    </w:p>
    <w:p>
      <w:pPr>
        <w:numPr>
          <w:ilvl w:val="0"/>
          <w:numId w:val="1288"/>
        </w:numPr>
        <w:pStyle w:val="Compact"/>
      </w:pPr>
      <w:r>
        <w:t xml:space="preserve">You need a vendor-supported distribution today</w:t>
      </w:r>
      <w:r>
        <w:t xml:space="preserve"> </w:t>
      </w:r>
      <w:r>
        <w:rPr>
          <w:rStyle w:val="ClaimLabel"/>
        </w:rPr>
        <w:t xml:space="preserve">AJ</w:t>
      </w:r>
    </w:p>
    <w:p>
      <w:pPr>
        <w:pStyle w:val="FirstParagraph"/>
      </w:pPr>
      <w:r>
        <w:rPr>
          <w:bCs/>
          <w:b/>
        </w:rPr>
        <w:t xml:space="preserve">Nearest competitors:</w:t>
      </w:r>
      <w:r>
        <w:t xml:space="preserve"> </w:t>
      </w:r>
      <w:r>
        <w:t xml:space="preserve">L2-vllm, TensorRT-LLM, L2-nvidia-dynamo</w:t>
      </w:r>
    </w:p>
    <w:p>
      <w:pPr>
        <w:pStyle w:val="BodyText"/>
      </w:pPr>
      <w:r>
        <w:rPr>
          <w:bCs/>
          <w:b/>
        </w:rPr>
        <w:t xml:space="preserve">Regulated-FS note.</w:t>
      </w:r>
      <w:r>
        <w:t xml:space="preserve"> </w:t>
      </w:r>
      <w:r>
        <w:t xml:space="preserve">Qualify as the alternative engine in the exit plan; isolate internal ports and confirm CVE-2026-3059 status for the deployed version before use</w:t>
      </w:r>
      <w:r>
        <w:t xml:space="preserve"> </w:t>
      </w:r>
      <w:r>
        <w:rPr>
          <w:rStyle w:val="ClaimLabel"/>
        </w:rPr>
        <w:t xml:space="preserve">Rec</w:t>
      </w:r>
      <w:r>
        <w:t xml:space="preserve">.</w:t>
      </w:r>
    </w:p>
    <w:p>
      <w:pPr>
        <w:pStyle w:val="BodyText"/>
      </w:pPr>
      <w:r>
        <w:rPr>
          <w:bCs/>
          <w:b/>
        </w:rPr>
        <w:t xml:space="preserve">Facts (as of 2026-10-08)</w:t>
      </w:r>
    </w:p>
    <w:tbl>
      <w:tblPr>
        <w:tblStyle w:val="Table"/>
        <w:tblW w:type="pct" w:w="5000"/>
        <w:tblLook w:firstRow="1" w:lastRow="0" w:firstColumn="0" w:lastColumn="0" w:noHBand="0" w:noVBand="0" w:val="0020"/>
        <w:jc w:val="start"/>
      </w:tblPr>
      <w:tblGrid>
        <w:gridCol w:w="1485"/>
        <w:gridCol w:w="4290"/>
        <w:gridCol w:w="1320"/>
        <w:gridCol w:w="825"/>
      </w:tblGrid>
      <w:tr>
        <w:trPr>
          <w:tblHeader w:val="true"/>
        </w:trPr>
        <w:tc>
          <w:tcPr/>
          <w:p>
            <w:pPr>
              <w:pStyle w:val="Compact"/>
              <w:jc w:val="left"/>
            </w:pPr>
            <w:r>
              <w:t xml:space="preserve">Field</w:t>
            </w:r>
          </w:p>
        </w:tc>
        <w:tc>
          <w:tcPr/>
          <w:p>
            <w:pPr>
              <w:pStyle w:val="Compact"/>
              <w:jc w:val="left"/>
            </w:pPr>
            <w:r>
              <w:t xml:space="preserve">Value</w:t>
            </w:r>
          </w:p>
        </w:tc>
        <w:tc>
          <w:tcPr/>
          <w:p>
            <w:pPr>
              <w:pStyle w:val="Compact"/>
              <w:jc w:val="left"/>
            </w:pPr>
            <w:r>
              <w:t xml:space="preserve">Label</w:t>
            </w:r>
          </w:p>
        </w:tc>
        <w:tc>
          <w:tcPr/>
          <w:p>
            <w:pPr>
              <w:pStyle w:val="Compact"/>
              <w:jc w:val="left"/>
            </w:pPr>
            <w:r>
              <w:t xml:space="preserve">Sources</w:t>
            </w:r>
          </w:p>
        </w:tc>
      </w:tr>
      <w:tr>
        <w:tc>
          <w:tcPr/>
          <w:p>
            <w:pPr>
              <w:pStyle w:val="Compact"/>
              <w:jc w:val="left"/>
            </w:pPr>
            <w:r>
              <w:t xml:space="preserve">Company</w:t>
            </w:r>
          </w:p>
        </w:tc>
        <w:tc>
          <w:tcPr/>
          <w:p>
            <w:pPr>
              <w:pStyle w:val="Compact"/>
              <w:jc w:val="left"/>
            </w:pPr>
            <w:r>
              <w:t xml:space="preserve">SGLang open-source project hosted by LMSYS (non-profit); commercial steward RadixArk (founded by SGLang creators Ying Sheng and Banghua Zhu; US$100M seed, May 2026)</w:t>
            </w:r>
          </w:p>
        </w:tc>
        <w:tc>
          <w:tcPr/>
          <w:p>
            <w:pPr>
              <w:pStyle w:val="Compact"/>
              <w:jc w:val="left"/>
            </w:pPr>
            <w:r>
              <w:t xml:space="preserve">Verified fact</w:t>
            </w:r>
          </w:p>
        </w:tc>
        <w:tc>
          <w:tcPr/>
          <w:p>
            <w:pPr>
              <w:pStyle w:val="Compact"/>
              <w:jc w:val="left"/>
            </w:pPr>
            <w:r>
              <w:t xml:space="preserve">A4-S065, A4-S147</w:t>
            </w:r>
          </w:p>
        </w:tc>
      </w:tr>
      <w:tr>
        <w:tc>
          <w:tcPr/>
          <w:p>
            <w:pPr>
              <w:pStyle w:val="Compact"/>
              <w:jc w:val="left"/>
            </w:pPr>
            <w:r>
              <w:t xml:space="preserve">Category</w:t>
            </w:r>
          </w:p>
        </w:tc>
        <w:tc>
          <w:tcPr/>
          <w:p>
            <w:pPr>
              <w:pStyle w:val="Compact"/>
              <w:jc w:val="left"/>
            </w:pPr>
            <w:r>
              <w:t xml:space="preserve">Open-source inference/serving framework for LLMs, VLMs and diffusion models; RL rollout backend</w:t>
            </w:r>
          </w:p>
        </w:tc>
        <w:tc>
          <w:tcPr/>
          <w:p>
            <w:pPr>
              <w:pStyle w:val="Compact"/>
              <w:jc w:val="left"/>
            </w:pPr>
            <w:r>
              <w:t xml:space="preserve">Verified fact</w:t>
            </w:r>
          </w:p>
        </w:tc>
        <w:tc>
          <w:tcPr/>
          <w:p>
            <w:pPr>
              <w:pStyle w:val="Compact"/>
              <w:jc w:val="left"/>
            </w:pPr>
            <w:r>
              <w:t xml:space="preserve">A4-S065</w:t>
            </w:r>
          </w:p>
        </w:tc>
      </w:tr>
      <w:tr>
        <w:tc>
          <w:tcPr/>
          <w:p>
            <w:pPr>
              <w:pStyle w:val="Compact"/>
              <w:jc w:val="left"/>
            </w:pPr>
            <w:r>
              <w:t xml:space="preserve">Version / lineup</w:t>
            </w:r>
          </w:p>
        </w:tc>
        <w:tc>
          <w:tcPr/>
          <w:p>
            <w:pPr>
              <w:pStyle w:val="Compact"/>
              <w:jc w:val="left"/>
            </w:pPr>
            <w:r>
              <w:t xml:space="preserve">sglang 0.5.21 (1 October 2026); 21 releases in 2026</w:t>
            </w:r>
          </w:p>
        </w:tc>
        <w:tc>
          <w:tcPr/>
          <w:p>
            <w:pPr>
              <w:pStyle w:val="Compact"/>
              <w:jc w:val="left"/>
            </w:pPr>
            <w:r>
              <w:t xml:space="preserve">Verified fact</w:t>
            </w:r>
          </w:p>
        </w:tc>
        <w:tc>
          <w:tcPr/>
          <w:p>
            <w:pPr>
              <w:pStyle w:val="Compact"/>
              <w:jc w:val="left"/>
            </w:pPr>
            <w:r>
              <w:t xml:space="preserve">A4-S010</w:t>
            </w:r>
          </w:p>
        </w:tc>
      </w:tr>
      <w:tr>
        <w:tc>
          <w:tcPr/>
          <w:p>
            <w:pPr>
              <w:pStyle w:val="Compact"/>
              <w:jc w:val="left"/>
            </w:pPr>
            <w:r>
              <w:t xml:space="preserve">Licence</w:t>
            </w:r>
          </w:p>
        </w:tc>
        <w:tc>
          <w:tcPr/>
          <w:p>
            <w:pPr>
              <w:pStyle w:val="Compact"/>
              <w:jc w:val="left"/>
            </w:pPr>
            <w:r>
              <w:t xml:space="preserve">Open source, Apache-2.0</w:t>
            </w:r>
          </w:p>
        </w:tc>
        <w:tc>
          <w:tcPr/>
          <w:p>
            <w:pPr>
              <w:pStyle w:val="Compact"/>
              <w:jc w:val="left"/>
            </w:pPr>
            <w:r>
              <w:t xml:space="preserve">Verified fact</w:t>
            </w:r>
          </w:p>
        </w:tc>
        <w:tc>
          <w:tcPr/>
          <w:p>
            <w:pPr>
              <w:pStyle w:val="Compact"/>
              <w:jc w:val="left"/>
            </w:pPr>
            <w:r>
              <w:t xml:space="preserve">A4-S010, A4-S128</w:t>
            </w:r>
          </w:p>
        </w:tc>
      </w:tr>
      <w:tr>
        <w:tc>
          <w:tcPr/>
          <w:p>
            <w:pPr>
              <w:pStyle w:val="Compact"/>
              <w:jc w:val="left"/>
            </w:pPr>
            <w:r>
              <w:t xml:space="preserve">Status events</w:t>
            </w:r>
          </w:p>
        </w:tc>
        <w:tc>
          <w:tcPr/>
          <w:p>
            <w:pPr>
              <w:pStyle w:val="Compact"/>
              <w:jc w:val="left"/>
            </w:pPr>
            <w:r>
              <w:t xml:space="preserve">5 May 2026: RadixArk launches with US$100M seed (Accel lead, Spark co-lead; NVIDIA, AMD participate) at US$400M post-money to steward SGLang and build a commercial platform</w:t>
            </w:r>
          </w:p>
        </w:tc>
        <w:tc>
          <w:tcPr/>
          <w:p>
            <w:pPr>
              <w:pStyle w:val="Compact"/>
              <w:jc w:val="left"/>
            </w:pPr>
            <w:r>
              <w:t xml:space="preserve">Verified fact</w:t>
            </w:r>
          </w:p>
        </w:tc>
        <w:tc>
          <w:tcPr/>
          <w:p>
            <w:pPr>
              <w:pStyle w:val="Compact"/>
              <w:jc w:val="left"/>
            </w:pPr>
            <w:r>
              <w:t xml:space="preserve">A4-S147, V1-S063</w:t>
            </w:r>
          </w:p>
        </w:tc>
      </w:tr>
      <w:tr>
        <w:tc>
          <w:tcPr/>
          <w:p>
            <w:pPr>
              <w:pStyle w:val="Compact"/>
              <w:jc w:val="left"/>
            </w:pPr>
            <w:r>
              <w:t xml:space="preserve">Strategic direction</w:t>
            </w:r>
          </w:p>
        </w:tc>
        <w:tc>
          <w:tcPr/>
          <w:p>
            <w:pPr>
              <w:pStyle w:val="Compact"/>
              <w:jc w:val="left"/>
            </w:pPr>
            <w:r>
              <w:t xml:space="preserve">Optimised for agentic workloads, RL rollouts and large-scale serving: RadixAttention prefix caching, PD disaggregation, speculative decoding (DFlash, Spec V2, June 2026), FP4/FP8 quantisation; TPU support with Google and RadixArk (July 2026); day-0 support for new open models (e.g. DeepSeek-V4, Kimi K3)</w:t>
            </w:r>
          </w:p>
        </w:tc>
        <w:tc>
          <w:tcPr/>
          <w:p>
            <w:pPr>
              <w:pStyle w:val="Compact"/>
              <w:jc w:val="left"/>
            </w:pPr>
            <w:r>
              <w:t xml:space="preserve">Verified fact</w:t>
            </w:r>
          </w:p>
        </w:tc>
        <w:tc>
          <w:tcPr/>
          <w:p>
            <w:pPr>
              <w:pStyle w:val="Compact"/>
              <w:jc w:val="left"/>
            </w:pPr>
            <w:r>
              <w:t xml:space="preserve">A4-S010, A4-S065</w:t>
            </w:r>
          </w:p>
        </w:tc>
      </w:tr>
      <w:tr>
        <w:tc>
          <w:tcPr/>
          <w:p>
            <w:pPr>
              <w:pStyle w:val="Compact"/>
              <w:jc w:val="left"/>
            </w:pPr>
            <w:r>
              <w:t xml:space="preserve">What it does</w:t>
            </w:r>
          </w:p>
        </w:tc>
        <w:tc>
          <w:tcPr/>
          <w:p>
            <w:pPr>
              <w:pStyle w:val="Compact"/>
              <w:jc w:val="left"/>
            </w:pPr>
            <w:r>
              <w:t xml:space="preserve">High-performance serving framework delivering low-latency, high-throughput inference from a single GPU to large clusters, OpenAI-API compatible, with broad model and hardware support (NVIDIA, AMD, Intel Xeon, Google TPU, Ascend).</w:t>
            </w:r>
          </w:p>
        </w:tc>
        <w:tc>
          <w:tcPr/>
          <w:p>
            <w:pPr>
              <w:pStyle w:val="Compact"/>
              <w:jc w:val="left"/>
            </w:pPr>
            <w:r>
              <w:t xml:space="preserve">Verified fact</w:t>
            </w:r>
          </w:p>
        </w:tc>
        <w:tc>
          <w:tcPr/>
          <w:p>
            <w:pPr>
              <w:pStyle w:val="Compact"/>
              <w:jc w:val="left"/>
            </w:pPr>
            <w:r>
              <w:t xml:space="preserve">A4-S010</w:t>
            </w:r>
          </w:p>
        </w:tc>
      </w:tr>
      <w:tr>
        <w:tc>
          <w:tcPr/>
          <w:p>
            <w:pPr>
              <w:pStyle w:val="Compact"/>
              <w:jc w:val="left"/>
            </w:pPr>
            <w:r>
              <w:t xml:space="preserve">Stack position</w:t>
            </w:r>
          </w:p>
        </w:tc>
        <w:tc>
          <w:tcPr/>
          <w:p>
            <w:pPr>
              <w:pStyle w:val="Compact"/>
              <w:jc w:val="left"/>
            </w:pPr>
            <w:r>
              <w:t xml:space="preserve">Serving engine (L2); natively supported by Hugging Face Inference Endpoints and as a Dynamo backend</w:t>
            </w:r>
          </w:p>
        </w:tc>
        <w:tc>
          <w:tcPr/>
          <w:p>
            <w:pPr>
              <w:pStyle w:val="Compact"/>
              <w:jc w:val="left"/>
            </w:pPr>
            <w:r>
              <w:t xml:space="preserve">Verified fact</w:t>
            </w:r>
          </w:p>
        </w:tc>
        <w:tc>
          <w:tcPr/>
          <w:p>
            <w:pPr>
              <w:pStyle w:val="Compact"/>
              <w:jc w:val="left"/>
            </w:pPr>
            <w:r>
              <w:t xml:space="preserve">A4-S081, A4-S090</w:t>
            </w:r>
          </w:p>
        </w:tc>
      </w:tr>
      <w:tr>
        <w:tc>
          <w:tcPr/>
          <w:p>
            <w:pPr>
              <w:pStyle w:val="Compact"/>
              <w:jc w:val="left"/>
            </w:pPr>
            <w:r>
              <w:t xml:space="preserve">Integration</w:t>
            </w:r>
          </w:p>
        </w:tc>
        <w:tc>
          <w:tcPr/>
          <w:p>
            <w:pPr>
              <w:pStyle w:val="Compact"/>
              <w:jc w:val="left"/>
            </w:pPr>
            <w:r>
              <w:t xml:space="preserve">OpenAI-compatible API; Python runtime; Docker</w:t>
            </w:r>
          </w:p>
        </w:tc>
        <w:tc>
          <w:tcPr/>
          <w:p>
            <w:pPr>
              <w:pStyle w:val="Compact"/>
              <w:jc w:val="left"/>
            </w:pPr>
            <w:r>
              <w:t xml:space="preserve">Verified fact</w:t>
            </w:r>
          </w:p>
        </w:tc>
        <w:tc>
          <w:tcPr/>
          <w:p>
            <w:pPr>
              <w:pStyle w:val="Compact"/>
              <w:jc w:val="left"/>
            </w:pPr>
            <w:r>
              <w:t xml:space="preserve">A4-S010, A4-S065</w:t>
            </w:r>
          </w:p>
        </w:tc>
      </w:tr>
      <w:tr>
        <w:tc>
          <w:tcPr/>
          <w:p>
            <w:pPr>
              <w:pStyle w:val="Compact"/>
              <w:jc w:val="left"/>
            </w:pPr>
            <w:r>
              <w:t xml:space="preserve">Dependencies</w:t>
            </w:r>
          </w:p>
        </w:tc>
        <w:tc>
          <w:tcPr/>
          <w:p>
            <w:pPr>
              <w:pStyle w:val="Compact"/>
              <w:jc w:val="left"/>
            </w:pPr>
            <w:r>
              <w:t xml:space="preserve">Python &gt;=3.10; accelerators; Docker image lmsysorg/sglang</w:t>
            </w:r>
          </w:p>
        </w:tc>
        <w:tc>
          <w:tcPr/>
          <w:p>
            <w:pPr>
              <w:pStyle w:val="Compact"/>
              <w:jc w:val="left"/>
            </w:pPr>
            <w:r>
              <w:t xml:space="preserve">Verified fact</w:t>
            </w:r>
          </w:p>
        </w:tc>
        <w:tc>
          <w:tcPr/>
          <w:p>
            <w:pPr>
              <w:pStyle w:val="Compact"/>
              <w:jc w:val="left"/>
            </w:pPr>
            <w:r>
              <w:t xml:space="preserve">A4-S010, A4-S065</w:t>
            </w:r>
          </w:p>
        </w:tc>
      </w:tr>
      <w:tr>
        <w:tc>
          <w:tcPr/>
          <w:p>
            <w:pPr>
              <w:pStyle w:val="Compact"/>
              <w:jc w:val="left"/>
            </w:pPr>
            <w:r>
              <w:t xml:space="preserve">Certifications</w:t>
            </w:r>
          </w:p>
        </w:tc>
        <w:tc>
          <w:tcPr/>
          <w:p>
            <w:pPr>
              <w:pStyle w:val="Compact"/>
              <w:jc w:val="left"/>
            </w:pPr>
            <w:r>
              <w:t xml:space="preserve">Not applicable (open-source software)</w:t>
            </w:r>
          </w:p>
        </w:tc>
        <w:tc>
          <w:tcPr/>
          <w:p>
            <w:pPr>
              <w:pStyle w:val="Compact"/>
              <w:jc w:val="left"/>
            </w:pPr>
            <w:r>
              <w:t xml:space="preserve">Architectural judgement</w:t>
            </w:r>
          </w:p>
        </w:tc>
        <w:tc>
          <w:tcPr/>
          <w:p>
            <w:pPr>
              <w:pStyle w:val="Compact"/>
            </w:pPr>
          </w:p>
        </w:tc>
      </w:tr>
      <w:tr>
        <w:tc>
          <w:tcPr/>
          <w:p>
            <w:pPr>
              <w:pStyle w:val="Compact"/>
              <w:jc w:val="left"/>
            </w:pPr>
            <w:r>
              <w:t xml:space="preserve">GDPR / residency</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Security features</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Access controls</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Enterprise support</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Pricing</w:t>
            </w:r>
          </w:p>
        </w:tc>
        <w:tc>
          <w:tcPr/>
          <w:p>
            <w:pPr>
              <w:pStyle w:val="Compact"/>
              <w:jc w:val="left"/>
            </w:pPr>
            <w:r>
              <w:t xml:space="preserve">Free (Apache-2.0)</w:t>
            </w:r>
          </w:p>
        </w:tc>
        <w:tc>
          <w:tcPr/>
          <w:p>
            <w:pPr>
              <w:pStyle w:val="Compact"/>
              <w:jc w:val="left"/>
            </w:pPr>
            <w:r>
              <w:t xml:space="preserve">Verified fact</w:t>
            </w:r>
          </w:p>
        </w:tc>
        <w:tc>
          <w:tcPr/>
          <w:p>
            <w:pPr>
              <w:pStyle w:val="Compact"/>
              <w:jc w:val="left"/>
            </w:pPr>
            <w:r>
              <w:t xml:space="preserve">A4-S010</w:t>
            </w:r>
          </w:p>
        </w:tc>
      </w:tr>
      <w:tr>
        <w:tc>
          <w:tcPr/>
          <w:p>
            <w:pPr>
              <w:pStyle w:val="Compact"/>
              <w:jc w:val="left"/>
            </w:pPr>
            <w:r>
              <w:t xml:space="preserve">Infrastructure cost</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Ecosystem</w:t>
            </w:r>
          </w:p>
        </w:tc>
        <w:tc>
          <w:tcPr/>
          <w:p>
            <w:pPr>
              <w:pStyle w:val="Compact"/>
              <w:jc w:val="left"/>
            </w:pPr>
            <w:r>
              <w:t xml:space="preserve">RL frameworks Miles (RadixArk), slime, AReaL, Tunix, verl; Dynamo; Hugging Face Endpoints</w:t>
            </w:r>
          </w:p>
        </w:tc>
        <w:tc>
          <w:tcPr/>
          <w:p>
            <w:pPr>
              <w:pStyle w:val="Compact"/>
              <w:jc w:val="left"/>
            </w:pPr>
            <w:r>
              <w:t xml:space="preserve">Verified fact</w:t>
            </w:r>
          </w:p>
        </w:tc>
        <w:tc>
          <w:tcPr/>
          <w:p>
            <w:pPr>
              <w:pStyle w:val="Compact"/>
              <w:jc w:val="left"/>
            </w:pPr>
            <w:r>
              <w:t xml:space="preserve">A4-S065, A4-S090, A4-S081</w:t>
            </w:r>
          </w:p>
        </w:tc>
      </w:tr>
      <w:tr>
        <w:tc>
          <w:tcPr/>
          <w:p>
            <w:pPr>
              <w:pStyle w:val="Compact"/>
              <w:jc w:val="left"/>
            </w:pPr>
            <w:r>
              <w:t xml:space="preserve">Adoption signals</w:t>
            </w:r>
          </w:p>
        </w:tc>
        <w:tc>
          <w:tcPr/>
          <w:p>
            <w:pPr>
              <w:pStyle w:val="Compact"/>
              <w:jc w:val="left"/>
            </w:pPr>
            <w:r>
              <w:t xml:space="preserve">Project states it powers over 400,000 GPUs worldwide</w:t>
            </w:r>
          </w:p>
        </w:tc>
        <w:tc>
          <w:tcPr/>
          <w:p>
            <w:pPr>
              <w:pStyle w:val="Compact"/>
              <w:jc w:val="left"/>
            </w:pPr>
            <w:r>
              <w:t xml:space="preserve">Verified fact</w:t>
            </w:r>
          </w:p>
        </w:tc>
        <w:tc>
          <w:tcPr/>
          <w:p>
            <w:pPr>
              <w:pStyle w:val="Compact"/>
              <w:jc w:val="left"/>
            </w:pPr>
            <w:r>
              <w:t xml:space="preserve">A4-S010</w:t>
            </w:r>
          </w:p>
        </w:tc>
      </w:tr>
      <w:tr>
        <w:tc>
          <w:tcPr/>
          <w:p>
            <w:pPr>
              <w:pStyle w:val="Compact"/>
              <w:jc w:val="left"/>
            </w:pPr>
            <w:r>
              <w:t xml:space="preserve">Maturity</w:t>
            </w:r>
          </w:p>
        </w:tc>
        <w:tc>
          <w:tcPr/>
          <w:p>
            <w:pPr>
              <w:pStyle w:val="Compact"/>
              <w:jc w:val="left"/>
            </w:pPr>
            <w:r>
              <w:t xml:space="preserve">First release January 2024; still 0.x; frequent releases</w:t>
            </w:r>
          </w:p>
        </w:tc>
        <w:tc>
          <w:tcPr/>
          <w:p>
            <w:pPr>
              <w:pStyle w:val="Compact"/>
              <w:jc w:val="left"/>
            </w:pPr>
            <w:r>
              <w:t xml:space="preserve">Verified fact</w:t>
            </w:r>
          </w:p>
        </w:tc>
        <w:tc>
          <w:tcPr/>
          <w:p>
            <w:pPr>
              <w:pStyle w:val="Compact"/>
              <w:jc w:val="left"/>
            </w:pPr>
            <w:r>
              <w:t xml:space="preserve">A4-S010</w:t>
            </w:r>
          </w:p>
        </w:tc>
      </w:tr>
      <w:tr>
        <w:tc>
          <w:tcPr/>
          <w:p>
            <w:pPr>
              <w:pStyle w:val="Compact"/>
              <w:jc w:val="left"/>
            </w:pPr>
            <w:r>
              <w:t xml:space="preserve">Deployment</w:t>
            </w:r>
          </w:p>
        </w:tc>
        <w:tc>
          <w:tcPr/>
          <w:p>
            <w:pPr>
              <w:pStyle w:val="Compact"/>
              <w:jc w:val="left"/>
            </w:pPr>
            <w:r>
              <w:t xml:space="preserve">saas: No; managed_cloud: Yes (via third parties, e.g. Hugging Face Inference Endpoints); vpc_byoc: Yes; private_cloud: Yes; self_hosted: Yes; on_prem: Yes</w:t>
            </w:r>
          </w:p>
        </w:tc>
        <w:tc>
          <w:tcPr/>
          <w:p>
            <w:pPr>
              <w:pStyle w:val="Compact"/>
            </w:pPr>
          </w:p>
        </w:tc>
        <w:tc>
          <w:tcPr/>
          <w:p>
            <w:pPr>
              <w:pStyle w:val="Compact"/>
            </w:pPr>
          </w:p>
        </w:tc>
      </w:tr>
    </w:tbl>
    <w:bookmarkEnd w:id="1326"/>
    <w:bookmarkStart w:id="1352" w:name="X82139c5e3dea52278f2492fad2394adb3ed7e54"/>
    <w:p>
      <w:pPr>
        <w:pStyle w:val="Heading2"/>
      </w:pPr>
      <w:r>
        <w:t xml:space="preserve">Hugging Face: Hub (models/datasets/Spaces/buckets/Jobs), Inference Providers (routed serverless inference), Inference Endpoints (managed dedicated deployments); Text Generation Inference (TGI) in maintenance mode (</w:t>
      </w:r>
      <w:r>
        <w:rPr>
          <w:rStyle w:val="VerbatimChar"/>
        </w:rPr>
        <w:t xml:space="preserve">L2-hugging-face</w:t>
      </w:r>
      <w:r>
        <w:t xml:space="preserve">)</w:t>
      </w:r>
    </w:p>
    <w:p>
      <w:pPr>
        <w:pStyle w:val="FirstParagraph"/>
      </w:pPr>
      <w:r>
        <w:rPr>
          <w:bCs/>
          <w:b/>
        </w:rPr>
        <w:t xml:space="preserve">Tier:</w:t>
      </w:r>
      <w:r>
        <w:t xml:space="preserve"> </w:t>
      </w:r>
      <w:r>
        <w:t xml:space="preserve">Strategic ·</w:t>
      </w:r>
      <w:r>
        <w:t xml:space="preserve"> </w:t>
      </w:r>
      <w:r>
        <w:rPr>
          <w:bCs/>
          <w:b/>
        </w:rPr>
        <w:t xml:space="preserve">Flags:</w:t>
      </w:r>
      <w:r>
        <w:t xml:space="preserve"> </w:t>
      </w:r>
      <w:r>
        <w:t xml:space="preserve">Duplicated, Deprecated ·</w:t>
      </w:r>
      <w:r>
        <w:t xml:space="preserve"> </w:t>
      </w:r>
      <w:r>
        <w:rPr>
          <w:bCs/>
          <w:b/>
        </w:rPr>
        <w:t xml:space="preserve">Original graphic label:</w:t>
      </w:r>
      <w:r>
        <w:t xml:space="preserve"> </w:t>
      </w:r>
      <w:r>
        <w:t xml:space="preserve">Hugging Face – models &amp; APIs</w:t>
      </w:r>
    </w:p>
    <w:p>
      <w:pPr>
        <w:pStyle w:val="BodyText"/>
      </w:pPr>
      <w:r>
        <w:rPr>
          <w:iCs/>
          <w:i/>
        </w:rPr>
        <w:t xml:space="preserve">Rationale:</w:t>
      </w:r>
      <w:r>
        <w:t xml:space="preserve"> </w:t>
      </w:r>
      <w:r>
        <w:t xml:space="preserve">Strategic, conditional: as the governed open-weight supply source (Enterprise plan); Endpoints Tactical; Inference Providers not for client data</w:t>
      </w:r>
    </w:p>
    <w:tbl>
      <w:tblPr>
        <w:tblStyle w:val="Table"/>
        <w:tblW w:type="pct" w:w="5000"/>
        <w:tblLook w:firstRow="1" w:lastRow="0" w:firstColumn="0" w:lastColumn="0" w:noHBand="0" w:noVBand="0" w:val="0020"/>
        <w:jc w:val="start"/>
      </w:tblPr>
      <w:tblGrid>
        <w:gridCol w:w="1545"/>
        <w:gridCol w:w="579"/>
        <w:gridCol w:w="5795"/>
      </w:tblGrid>
      <w:tr>
        <w:trPr>
          <w:tblHeader w:val="true"/>
        </w:trPr>
        <w:tc>
          <w:tcPr/>
          <w:p>
            <w:pPr>
              <w:pStyle w:val="Compact"/>
              <w:jc w:val="left"/>
            </w:pPr>
            <w:r>
              <w:t xml:space="preserve">Criterion</w:t>
            </w:r>
          </w:p>
        </w:tc>
        <w:tc>
          <w:tcPr/>
          <w:p>
            <w:pPr>
              <w:pStyle w:val="Compact"/>
              <w:jc w:val="right"/>
            </w:pPr>
            <w:r>
              <w:t xml:space="preserve">Score</w:t>
            </w:r>
          </w:p>
        </w:tc>
        <w:tc>
          <w:tcPr/>
          <w:p>
            <w:pPr>
              <w:pStyle w:val="Compact"/>
              <w:jc w:val="left"/>
            </w:pPr>
            <w:r>
              <w:t xml:space="preserve">Rationale</w:t>
            </w:r>
          </w:p>
        </w:tc>
      </w:tr>
      <w:tr>
        <w:tc>
          <w:tcPr/>
          <w:p>
            <w:pPr>
              <w:pStyle w:val="Compact"/>
              <w:jc w:val="left"/>
            </w:pPr>
            <w:r>
              <w:t xml:space="preserve">Technical</w:t>
            </w:r>
          </w:p>
        </w:tc>
        <w:tc>
          <w:tcPr/>
          <w:p>
            <w:pPr>
              <w:pStyle w:val="Compact"/>
              <w:jc w:val="right"/>
            </w:pPr>
            <w:r>
              <w:t xml:space="preserve">4</w:t>
            </w:r>
          </w:p>
        </w:tc>
        <w:tc>
          <w:tcPr/>
          <w:p>
            <w:pPr>
              <w:pStyle w:val="Compact"/>
              <w:jc w:val="left"/>
            </w:pPr>
            <w:r>
              <w:t xml:space="preserve">Hub, router and dedicated serving with engine choice</w:t>
            </w:r>
            <w:r>
              <w:t xml:space="preserve"> </w:t>
            </w:r>
            <w:r>
              <w:rPr>
                <w:rStyle w:val="ClaimLabel"/>
              </w:rPr>
              <w:t xml:space="preserve">VF</w:t>
            </w:r>
            <w:r>
              <w:rPr>
                <w:rStyle w:val="FootnoteReference"/>
              </w:rPr>
              <w:footnoteReference w:id="1327"/>
            </w:r>
          </w:p>
        </w:tc>
      </w:tr>
      <w:tr>
        <w:tc>
          <w:tcPr/>
          <w:p>
            <w:pPr>
              <w:pStyle w:val="Compact"/>
              <w:jc w:val="left"/>
            </w:pPr>
            <w:r>
              <w:t xml:space="preserve">Enterprise readiness</w:t>
            </w:r>
          </w:p>
        </w:tc>
        <w:tc>
          <w:tcPr/>
          <w:p>
            <w:pPr>
              <w:pStyle w:val="Compact"/>
              <w:jc w:val="right"/>
            </w:pPr>
            <w:r>
              <w:t xml:space="preserve">4</w:t>
            </w:r>
          </w:p>
        </w:tc>
        <w:tc>
          <w:tcPr/>
          <w:p>
            <w:pPr>
              <w:pStyle w:val="Compact"/>
              <w:jc w:val="left"/>
            </w:pPr>
            <w:r>
              <w:t xml:space="preserve">SSO (SAML/OIDC), SCIM, RBAC and audit logs on Team/Enterprise (rule 7)</w:t>
            </w:r>
            <w:r>
              <w:t xml:space="preserve"> </w:t>
            </w:r>
            <w:r>
              <w:rPr>
                <w:rStyle w:val="ClaimLabel"/>
              </w:rPr>
              <w:t xml:space="preserve">VF</w:t>
            </w:r>
            <w:r>
              <w:rPr>
                <w:rStyle w:val="FootnoteReference"/>
              </w:rPr>
              <w:footnoteReference w:id="1328"/>
            </w:r>
          </w:p>
        </w:tc>
      </w:tr>
      <w:tr>
        <w:tc>
          <w:tcPr/>
          <w:p>
            <w:pPr>
              <w:pStyle w:val="Compact"/>
              <w:jc w:val="left"/>
            </w:pPr>
            <w:r>
              <w:t xml:space="preserve">Security and compliance</w:t>
            </w:r>
          </w:p>
        </w:tc>
        <w:tc>
          <w:tcPr/>
          <w:p>
            <w:pPr>
              <w:pStyle w:val="Compact"/>
              <w:jc w:val="right"/>
            </w:pPr>
            <w:r>
              <w:t xml:space="preserve">3</w:t>
            </w:r>
          </w:p>
        </w:tc>
        <w:tc>
          <w:tcPr/>
          <w:p>
            <w:pPr>
              <w:pStyle w:val="Compact"/>
              <w:jc w:val="left"/>
            </w:pPr>
            <w:r>
              <w:t xml:space="preserve">SOC 2 Type 2 covering Hub and Endpoints; no ISO 27001 found</w:t>
            </w:r>
            <w:r>
              <w:t xml:space="preserve"> </w:t>
            </w:r>
            <w:r>
              <w:rPr>
                <w:rStyle w:val="ClaimLabel"/>
              </w:rPr>
              <w:t xml:space="preserve">VF</w:t>
            </w:r>
            <w:r>
              <w:rPr>
                <w:rStyle w:val="FootnoteReference"/>
              </w:rPr>
              <w:footnoteReference w:id="1331"/>
            </w:r>
          </w:p>
        </w:tc>
      </w:tr>
      <w:tr>
        <w:tc>
          <w:tcPr/>
          <w:p>
            <w:pPr>
              <w:pStyle w:val="Compact"/>
              <w:jc w:val="left"/>
            </w:pPr>
            <w:r>
              <w:t xml:space="preserve">Deployment flexibility</w:t>
            </w:r>
          </w:p>
        </w:tc>
        <w:tc>
          <w:tcPr/>
          <w:p>
            <w:pPr>
              <w:pStyle w:val="Compact"/>
              <w:jc w:val="right"/>
            </w:pPr>
            <w:r>
              <w:t xml:space="preserve">3</w:t>
            </w:r>
          </w:p>
        </w:tc>
        <w:tc>
          <w:tcPr/>
          <w:p>
            <w:pPr>
              <w:pStyle w:val="Compact"/>
              <w:jc w:val="left"/>
            </w:pPr>
            <w:r>
              <w:t xml:space="preserve">SaaS plus managed endpoints on three clouds with PrivateLink; not BYOC</w:t>
            </w:r>
            <w:r>
              <w:t xml:space="preserve"> </w:t>
            </w:r>
            <w:r>
              <w:rPr>
                <w:rStyle w:val="ClaimLabel"/>
              </w:rPr>
              <w:t xml:space="preserve">VF</w:t>
            </w:r>
            <w:r>
              <w:rPr>
                <w:rStyle w:val="FootnoteReference"/>
              </w:rPr>
              <w:footnoteReference w:id="1334"/>
            </w:r>
          </w:p>
        </w:tc>
      </w:tr>
      <w:tr>
        <w:tc>
          <w:tcPr/>
          <w:p>
            <w:pPr>
              <w:pStyle w:val="Compact"/>
              <w:jc w:val="left"/>
            </w:pPr>
            <w:r>
              <w:t xml:space="preserve">Ecosystem</w:t>
            </w:r>
          </w:p>
        </w:tc>
        <w:tc>
          <w:tcPr/>
          <w:p>
            <w:pPr>
              <w:pStyle w:val="Compact"/>
              <w:jc w:val="right"/>
            </w:pPr>
            <w:r>
              <w:t xml:space="preserve">5</w:t>
            </w:r>
          </w:p>
        </w:tc>
        <w:tc>
          <w:tcPr/>
          <w:p>
            <w:pPr>
              <w:pStyle w:val="Compact"/>
              <w:jc w:val="left"/>
            </w:pPr>
            <w:r>
              <w:t xml:space="preserve">De-facto distribution standard; OpenAI-compatible router; many partners</w:t>
            </w:r>
            <w:r>
              <w:t xml:space="preserve"> </w:t>
            </w:r>
            <w:r>
              <w:rPr>
                <w:rStyle w:val="ClaimLabel"/>
              </w:rPr>
              <w:t xml:space="preserve">VF</w:t>
            </w:r>
            <w:r>
              <w:rPr>
                <w:rStyle w:val="FootnoteReference"/>
              </w:rPr>
              <w:footnoteReference w:id="1336"/>
            </w:r>
          </w:p>
        </w:tc>
      </w:tr>
      <w:tr>
        <w:tc>
          <w:tcPr/>
          <w:p>
            <w:pPr>
              <w:pStyle w:val="Compact"/>
              <w:jc w:val="left"/>
            </w:pPr>
            <w:r>
              <w:t xml:space="preserve">Reliability and maturity</w:t>
            </w:r>
          </w:p>
        </w:tc>
        <w:tc>
          <w:tcPr/>
          <w:p>
            <w:pPr>
              <w:pStyle w:val="Compact"/>
              <w:jc w:val="right"/>
            </w:pPr>
            <w:r>
              <w:t xml:space="preserve">3</w:t>
            </w:r>
          </w:p>
        </w:tc>
        <w:tc>
          <w:tcPr/>
          <w:p>
            <w:pPr>
              <w:pStyle w:val="Compact"/>
              <w:jc w:val="left"/>
            </w:pPr>
            <w:r>
              <w:t xml:space="preserve">Hub mature since 2020, but TGI archived and Endpoints instance deprecations</w:t>
            </w:r>
            <w:r>
              <w:t xml:space="preserve"> </w:t>
            </w:r>
            <w:r>
              <w:rPr>
                <w:rStyle w:val="ClaimLabel"/>
              </w:rPr>
              <w:t xml:space="preserve">VF</w:t>
            </w:r>
            <w:r>
              <w:rPr>
                <w:rStyle w:val="FootnoteReference"/>
              </w:rPr>
              <w:footnoteReference w:id="1337"/>
            </w:r>
          </w:p>
        </w:tc>
      </w:tr>
      <w:tr>
        <w:tc>
          <w:tcPr/>
          <w:p>
            <w:pPr>
              <w:pStyle w:val="Compact"/>
              <w:jc w:val="left"/>
            </w:pPr>
            <w:r>
              <w:t xml:space="preserve">Cost / TCO</w:t>
            </w:r>
          </w:p>
        </w:tc>
        <w:tc>
          <w:tcPr/>
          <w:p>
            <w:pPr>
              <w:pStyle w:val="Compact"/>
              <w:jc w:val="right"/>
            </w:pPr>
            <w:r>
              <w:t xml:space="preserve">4</w:t>
            </w:r>
          </w:p>
        </w:tc>
        <w:tc>
          <w:tcPr/>
          <w:p>
            <w:pPr>
              <w:pStyle w:val="Compact"/>
              <w:jc w:val="left"/>
            </w:pPr>
            <w:r>
              <w:t xml:space="preserve">Pass-through pricing; per-minute instance billing</w:t>
            </w:r>
            <w:r>
              <w:t xml:space="preserve"> </w:t>
            </w:r>
            <w:r>
              <w:rPr>
                <w:rStyle w:val="ClaimLabel"/>
              </w:rPr>
              <w:t xml:space="preserve">VF</w:t>
            </w:r>
            <w:r>
              <w:rPr>
                <w:rStyle w:val="FootnoteReference"/>
              </w:rPr>
              <w:footnoteReference w:id="1340"/>
            </w:r>
          </w:p>
        </w:tc>
      </w:tr>
      <w:tr>
        <w:tc>
          <w:tcPr/>
          <w:p>
            <w:pPr>
              <w:pStyle w:val="Compact"/>
              <w:jc w:val="left"/>
            </w:pPr>
            <w:r>
              <w:t xml:space="preserve">Lock-in / portability</w:t>
            </w:r>
          </w:p>
        </w:tc>
        <w:tc>
          <w:tcPr/>
          <w:p>
            <w:pPr>
              <w:pStyle w:val="Compact"/>
              <w:jc w:val="right"/>
            </w:pPr>
            <w:r>
              <w:t xml:space="preserve">4</w:t>
            </w:r>
          </w:p>
        </w:tc>
        <w:tc>
          <w:tcPr/>
          <w:p>
            <w:pPr>
              <w:pStyle w:val="Compact"/>
              <w:jc w:val="left"/>
            </w:pPr>
            <w:r>
              <w:t xml:space="preserve">Models portable, open engines, OpenAI-compatible routing</w:t>
            </w:r>
            <w:r>
              <w:t xml:space="preserve"> </w:t>
            </w:r>
            <w:r>
              <w:rPr>
                <w:rStyle w:val="ClaimLabel"/>
              </w:rPr>
              <w:t xml:space="preserve">VF</w:t>
            </w:r>
            <w:r>
              <w:rPr>
                <w:rStyle w:val="FootnoteReference"/>
              </w:rPr>
              <w:footnoteReference w:id="1342"/>
            </w:r>
          </w:p>
        </w:tc>
      </w:tr>
      <w:tr>
        <w:tc>
          <w:tcPr/>
          <w:p>
            <w:pPr>
              <w:pStyle w:val="Compact"/>
              <w:jc w:val="left"/>
            </w:pPr>
            <w:r>
              <w:rPr>
                <w:bCs/>
                <w:b/>
              </w:rPr>
              <w:t xml:space="preserve">Total (generic / FS)</w:t>
            </w:r>
          </w:p>
        </w:tc>
        <w:tc>
          <w:tcPr/>
          <w:p>
            <w:pPr>
              <w:pStyle w:val="Compact"/>
              <w:jc w:val="right"/>
            </w:pPr>
            <w:r>
              <w:rPr>
                <w:bCs/>
                <w:b/>
              </w:rPr>
              <w:t xml:space="preserve">3.70 / 3.60</w:t>
            </w:r>
          </w:p>
        </w:tc>
        <w:tc>
          <w:tcPr/>
          <w:p>
            <w:pPr>
              <w:pStyle w:val="Compact"/>
            </w:pPr>
          </w:p>
        </w:tc>
      </w:tr>
    </w:tbl>
    <w:p>
      <w:pPr>
        <w:pStyle w:val="BodyText"/>
      </w:pPr>
      <w:r>
        <w:rPr>
          <w:bCs/>
          <w:b/>
        </w:rPr>
        <w:t xml:space="preserve">Capabilities.</w:t>
      </w:r>
      <w:r>
        <w:t xml:space="preserve"> </w:t>
      </w:r>
      <w:r>
        <w:t xml:space="preserve">Four products under one tile: the Hub (model and dataset distribution with SSO, SCIM, RBAC, audit logs and EU storage on Team/Enterprise), Inference Providers (OpenAI-compatible router to partner clouds with pass-through pricing), Inference Endpoints (managed dedicated serving on AWS, Azure or GCP with vLLM, SGLang, TGI, llama.cpp or TEI, SOC 2 Type 2, AWS PrivateLink) and TGI (maintenance mode; repository archived 21 March 2026)</w:t>
      </w:r>
      <w:r>
        <w:t xml:space="preserve"> </w:t>
      </w:r>
      <w:r>
        <w:rPr>
          <w:rStyle w:val="ClaimLabel"/>
        </w:rPr>
        <w:t xml:space="preserve">VF</w:t>
      </w:r>
      <w:r>
        <w:rPr>
          <w:rStyle w:val="FootnoteReference"/>
        </w:rPr>
        <w:footnoteReference w:id="1343"/>
      </w:r>
      <w:r>
        <w:t xml:space="preserve">.</w:t>
      </w:r>
    </w:p>
    <w:p>
      <w:pPr>
        <w:pStyle w:val="BodyText"/>
      </w:pPr>
      <w:r>
        <w:rPr>
          <w:bCs/>
          <w:b/>
        </w:rPr>
        <w:t xml:space="preserve">Strengths</w:t>
      </w:r>
    </w:p>
    <w:p>
      <w:pPr>
        <w:numPr>
          <w:ilvl w:val="0"/>
          <w:numId w:val="1289"/>
        </w:numPr>
        <w:pStyle w:val="Compact"/>
      </w:pPr>
      <w:r>
        <w:t xml:space="preserve">The de-facto open-weight distribution point, with enterprise identity controls</w:t>
      </w:r>
      <w:r>
        <w:t xml:space="preserve"> </w:t>
      </w:r>
      <w:r>
        <w:rPr>
          <w:rStyle w:val="ClaimLabel"/>
        </w:rPr>
        <w:t xml:space="preserve">VF</w:t>
      </w:r>
      <w:r>
        <w:rPr>
          <w:rStyle w:val="FootnoteReference"/>
        </w:rPr>
        <w:footnoteReference w:id="1344"/>
      </w:r>
      <w:r>
        <w:t xml:space="preserve"> </w:t>
      </w:r>
      <w:r>
        <w:rPr>
          <w:rStyle w:val="ClaimLabel"/>
        </w:rPr>
        <w:t xml:space="preserve">AJ</w:t>
      </w:r>
    </w:p>
    <w:p>
      <w:pPr>
        <w:numPr>
          <w:ilvl w:val="0"/>
          <w:numId w:val="1289"/>
        </w:numPr>
        <w:pStyle w:val="Compact"/>
      </w:pPr>
      <w:r>
        <w:t xml:space="preserve">Endpoints let you choose the engine and the cloud region</w:t>
      </w:r>
      <w:r>
        <w:t xml:space="preserve"> </w:t>
      </w:r>
      <w:r>
        <w:rPr>
          <w:rStyle w:val="ClaimLabel"/>
        </w:rPr>
        <w:t xml:space="preserve">VF</w:t>
      </w:r>
      <w:r>
        <w:rPr>
          <w:rStyle w:val="FootnoteReference"/>
        </w:rPr>
        <w:footnoteReference w:id="1345"/>
      </w:r>
    </w:p>
    <w:p>
      <w:pPr>
        <w:numPr>
          <w:ilvl w:val="0"/>
          <w:numId w:val="1289"/>
        </w:numPr>
        <w:pStyle w:val="Compact"/>
      </w:pPr>
      <w:r>
        <w:t xml:space="preserve">No markup on routed provider calls</w:t>
      </w:r>
      <w:r>
        <w:t xml:space="preserve"> </w:t>
      </w:r>
      <w:r>
        <w:rPr>
          <w:rStyle w:val="ClaimLabel"/>
        </w:rPr>
        <w:t xml:space="preserve">VF</w:t>
      </w:r>
      <w:r>
        <w:rPr>
          <w:rStyle w:val="FootnoteReference"/>
        </w:rPr>
        <w:footnoteReference w:id="1346"/>
      </w:r>
    </w:p>
    <w:p>
      <w:pPr>
        <w:pStyle w:val="FirstParagraph"/>
      </w:pPr>
      <w:r>
        <w:rPr>
          <w:bCs/>
          <w:b/>
        </w:rPr>
        <w:t xml:space="preserve">Limitations and risks</w:t>
      </w:r>
    </w:p>
    <w:p>
      <w:pPr>
        <w:numPr>
          <w:ilvl w:val="0"/>
          <w:numId w:val="1290"/>
        </w:numPr>
        <w:pStyle w:val="Compact"/>
      </w:pPr>
      <w:r>
        <w:t xml:space="preserve">TGI archived; Endpoints customers on TGI must migrate</w:t>
      </w:r>
      <w:r>
        <w:t xml:space="preserve"> </w:t>
      </w:r>
      <w:r>
        <w:rPr>
          <w:rStyle w:val="ClaimLabel"/>
        </w:rPr>
        <w:t xml:space="preserve">VF</w:t>
      </w:r>
      <w:r>
        <w:rPr>
          <w:rStyle w:val="FootnoteReference"/>
        </w:rPr>
        <w:footnoteReference w:id="1347"/>
      </w:r>
    </w:p>
    <w:p>
      <w:pPr>
        <w:numPr>
          <w:ilvl w:val="0"/>
          <w:numId w:val="1290"/>
        </w:numPr>
        <w:pStyle w:val="Compact"/>
      </w:pPr>
      <w:r>
        <w:t xml:space="preserve">Inference Providers inherits each partner’s security and retention</w:t>
      </w:r>
      <w:r>
        <w:t xml:space="preserve"> </w:t>
      </w:r>
      <w:r>
        <w:rPr>
          <w:rStyle w:val="ClaimLabel"/>
        </w:rPr>
        <w:t xml:space="preserve">VF</w:t>
      </w:r>
      <w:r>
        <w:rPr>
          <w:rStyle w:val="FootnoteReference"/>
        </w:rPr>
        <w:footnoteReference w:id="1348"/>
      </w:r>
    </w:p>
    <w:p>
      <w:pPr>
        <w:numPr>
          <w:ilvl w:val="0"/>
          <w:numId w:val="1290"/>
        </w:numPr>
        <w:pStyle w:val="Compact"/>
      </w:pPr>
      <w:r>
        <w:t xml:space="preserve">BAA not explicitly tied to Inference Endpoints; no ISO 27001 found</w:t>
      </w:r>
      <w:r>
        <w:t xml:space="preserve"> </w:t>
      </w:r>
      <w:r>
        <w:rPr>
          <w:rStyle w:val="ClaimLabel"/>
        </w:rPr>
        <w:t xml:space="preserve">VF</w:t>
      </w:r>
      <w:r>
        <w:rPr>
          <w:rStyle w:val="FootnoteReference"/>
        </w:rPr>
        <w:footnoteReference w:id="1350"/>
      </w:r>
    </w:p>
    <w:p>
      <w:pPr>
        <w:pStyle w:val="FirstParagraph"/>
      </w:pPr>
      <w:r>
        <w:rPr>
          <w:bCs/>
          <w:b/>
        </w:rPr>
        <w:t xml:space="preserve">Choose when</w:t>
      </w:r>
    </w:p>
    <w:p>
      <w:pPr>
        <w:numPr>
          <w:ilvl w:val="0"/>
          <w:numId w:val="1291"/>
        </w:numPr>
        <w:pStyle w:val="Compact"/>
      </w:pPr>
      <w:r>
        <w:t xml:space="preserve">You need a governed source of open weights and a managed dedicated endpoint in a chosen cloud region</w:t>
      </w:r>
      <w:r>
        <w:t xml:space="preserve"> </w:t>
      </w:r>
      <w:r>
        <w:rPr>
          <w:rStyle w:val="ClaimLabel"/>
        </w:rPr>
        <w:t xml:space="preserve">AJ</w:t>
      </w:r>
    </w:p>
    <w:p>
      <w:pPr>
        <w:pStyle w:val="FirstParagraph"/>
      </w:pPr>
      <w:r>
        <w:rPr>
          <w:bCs/>
          <w:b/>
        </w:rPr>
        <w:t xml:space="preserve">Avoid when</w:t>
      </w:r>
    </w:p>
    <w:p>
      <w:pPr>
        <w:numPr>
          <w:ilvl w:val="0"/>
          <w:numId w:val="1292"/>
        </w:numPr>
        <w:pStyle w:val="Compact"/>
      </w:pPr>
      <w:r>
        <w:t xml:space="preserve">Routing client data through Inference Providers to partners you have not assessed</w:t>
      </w:r>
      <w:r>
        <w:t xml:space="preserve"> </w:t>
      </w:r>
      <w:r>
        <w:rPr>
          <w:rStyle w:val="ClaimLabel"/>
        </w:rPr>
        <w:t xml:space="preserve">AJ</w:t>
      </w:r>
    </w:p>
    <w:p>
      <w:pPr>
        <w:pStyle w:val="FirstParagraph"/>
      </w:pPr>
      <w:r>
        <w:rPr>
          <w:bCs/>
          <w:b/>
        </w:rPr>
        <w:t xml:space="preserve">Nearest competitors:</w:t>
      </w:r>
      <w:r>
        <w:t xml:space="preserve"> </w:t>
      </w:r>
      <w:r>
        <w:t xml:space="preserve">L2-together-ai, L2-fireworks-ai, Amazon SageMaker / Azure ML model catalogues</w:t>
      </w:r>
    </w:p>
    <w:p>
      <w:pPr>
        <w:pStyle w:val="BodyText"/>
      </w:pPr>
      <w:r>
        <w:rPr>
          <w:bCs/>
          <w:b/>
        </w:rPr>
        <w:t xml:space="preserve">Regulated-FS note.</w:t>
      </w:r>
      <w:r>
        <w:t xml:space="preserve"> </w:t>
      </w:r>
      <w:r>
        <w:t xml:space="preserve">Use the Hub (Enterprise, EU storage) as the governed model supply with scanning and an internal mirror; use Endpoints only in an approved region with PrivateLink</w:t>
      </w:r>
      <w:r>
        <w:t xml:space="preserve"> </w:t>
      </w:r>
      <w:r>
        <w:rPr>
          <w:rStyle w:val="ClaimLabel"/>
        </w:rPr>
        <w:t xml:space="preserve">Rec</w:t>
      </w:r>
      <w:r>
        <w:t xml:space="preserve">.</w:t>
      </w:r>
    </w:p>
    <w:p>
      <w:pPr>
        <w:pStyle w:val="BodyText"/>
      </w:pPr>
      <w:r>
        <w:rPr>
          <w:bCs/>
          <w:b/>
        </w:rPr>
        <w:t xml:space="preserve">Facts (as of 2026-10-08)</w:t>
      </w:r>
    </w:p>
    <w:tbl>
      <w:tblPr>
        <w:tblStyle w:val="Table"/>
        <w:tblW w:type="pct" w:w="5000"/>
        <w:tblLook w:firstRow="1" w:lastRow="0" w:firstColumn="0" w:lastColumn="0" w:noHBand="0" w:noVBand="0" w:val="0020"/>
        <w:jc w:val="start"/>
      </w:tblPr>
      <w:tblGrid>
        <w:gridCol w:w="1485"/>
        <w:gridCol w:w="4290"/>
        <w:gridCol w:w="1320"/>
        <w:gridCol w:w="825"/>
      </w:tblGrid>
      <w:tr>
        <w:trPr>
          <w:tblHeader w:val="true"/>
        </w:trPr>
        <w:tc>
          <w:tcPr/>
          <w:p>
            <w:pPr>
              <w:pStyle w:val="Compact"/>
              <w:jc w:val="left"/>
            </w:pPr>
            <w:r>
              <w:t xml:space="preserve">Field</w:t>
            </w:r>
          </w:p>
        </w:tc>
        <w:tc>
          <w:tcPr/>
          <w:p>
            <w:pPr>
              <w:pStyle w:val="Compact"/>
              <w:jc w:val="left"/>
            </w:pPr>
            <w:r>
              <w:t xml:space="preserve">Value</w:t>
            </w:r>
          </w:p>
        </w:tc>
        <w:tc>
          <w:tcPr/>
          <w:p>
            <w:pPr>
              <w:pStyle w:val="Compact"/>
              <w:jc w:val="left"/>
            </w:pPr>
            <w:r>
              <w:t xml:space="preserve">Label</w:t>
            </w:r>
          </w:p>
        </w:tc>
        <w:tc>
          <w:tcPr/>
          <w:p>
            <w:pPr>
              <w:pStyle w:val="Compact"/>
              <w:jc w:val="left"/>
            </w:pPr>
            <w:r>
              <w:t xml:space="preserve">Sources</w:t>
            </w:r>
          </w:p>
        </w:tc>
      </w:tr>
      <w:tr>
        <w:tc>
          <w:tcPr/>
          <w:p>
            <w:pPr>
              <w:pStyle w:val="Compact"/>
              <w:jc w:val="left"/>
            </w:pPr>
            <w:r>
              <w:t xml:space="preserve">Company</w:t>
            </w:r>
          </w:p>
        </w:tc>
        <w:tc>
          <w:tcPr/>
          <w:p>
            <w:pPr>
              <w:pStyle w:val="Compact"/>
              <w:jc w:val="left"/>
            </w:pPr>
            <w:r>
              <w:t xml:space="preserve">Hugging Face</w:t>
            </w:r>
          </w:p>
        </w:tc>
        <w:tc>
          <w:tcPr/>
          <w:p>
            <w:pPr>
              <w:pStyle w:val="Compact"/>
              <w:jc w:val="left"/>
            </w:pPr>
            <w:r>
              <w:t xml:space="preserve">Verified fact</w:t>
            </w:r>
          </w:p>
        </w:tc>
        <w:tc>
          <w:tcPr/>
          <w:p>
            <w:pPr>
              <w:pStyle w:val="Compact"/>
              <w:jc w:val="left"/>
            </w:pPr>
            <w:r>
              <w:t xml:space="preserve">A4-S074</w:t>
            </w:r>
          </w:p>
        </w:tc>
      </w:tr>
      <w:tr>
        <w:tc>
          <w:tcPr/>
          <w:p>
            <w:pPr>
              <w:pStyle w:val="Compact"/>
              <w:jc w:val="left"/>
            </w:pPr>
            <w:r>
              <w:t xml:space="preserve">Category</w:t>
            </w:r>
          </w:p>
        </w:tc>
        <w:tc>
          <w:tcPr/>
          <w:p>
            <w:pPr>
              <w:pStyle w:val="Compact"/>
              <w:jc w:val="left"/>
            </w:pPr>
            <w:r>
              <w:t xml:space="preserve">Model hub plus inference router and managed dedicated inference service</w:t>
            </w:r>
          </w:p>
        </w:tc>
        <w:tc>
          <w:tcPr/>
          <w:p>
            <w:pPr>
              <w:pStyle w:val="Compact"/>
              <w:jc w:val="left"/>
            </w:pPr>
            <w:r>
              <w:t xml:space="preserve">Verified fact</w:t>
            </w:r>
          </w:p>
        </w:tc>
        <w:tc>
          <w:tcPr/>
          <w:p>
            <w:pPr>
              <w:pStyle w:val="Compact"/>
              <w:jc w:val="left"/>
            </w:pPr>
            <w:r>
              <w:t xml:space="preserve">A4-S075, A4-S081</w:t>
            </w:r>
          </w:p>
        </w:tc>
      </w:tr>
      <w:tr>
        <w:tc>
          <w:tcPr/>
          <w:p>
            <w:pPr>
              <w:pStyle w:val="Compact"/>
              <w:jc w:val="left"/>
            </w:pPr>
            <w:r>
              <w:t xml:space="preserve">Version / lineup</w:t>
            </w:r>
          </w:p>
        </w:tc>
        <w:tc>
          <w:tcPr/>
          <w:p>
            <w:pPr>
              <w:pStyle w:val="Compact"/>
              <w:jc w:val="left"/>
            </w:pPr>
            <w:r>
              <w:t xml:space="preserve">huggingface_hub client 2.1.1 (1 October 2026); Inference Endpoints natively supports vLLM, TGI, SGLang, llama.cpp and TEI engines</w:t>
            </w:r>
          </w:p>
        </w:tc>
        <w:tc>
          <w:tcPr/>
          <w:p>
            <w:pPr>
              <w:pStyle w:val="Compact"/>
              <w:jc w:val="left"/>
            </w:pPr>
            <w:r>
              <w:t xml:space="preserve">Verified fact</w:t>
            </w:r>
          </w:p>
        </w:tc>
        <w:tc>
          <w:tcPr/>
          <w:p>
            <w:pPr>
              <w:pStyle w:val="Compact"/>
              <w:jc w:val="left"/>
            </w:pPr>
            <w:r>
              <w:t xml:space="preserve">A4-S014, A4-S081</w:t>
            </w:r>
          </w:p>
        </w:tc>
      </w:tr>
      <w:tr>
        <w:tc>
          <w:tcPr/>
          <w:p>
            <w:pPr>
              <w:pStyle w:val="Compact"/>
              <w:jc w:val="left"/>
            </w:pPr>
            <w:r>
              <w:t xml:space="preserve">Licence</w:t>
            </w:r>
          </w:p>
        </w:tc>
        <w:tc>
          <w:tcPr/>
          <w:p>
            <w:pPr>
              <w:pStyle w:val="Compact"/>
              <w:jc w:val="left"/>
            </w:pPr>
            <w:r>
              <w:t xml:space="preserve">Hub client and TGI Apache-2.0; Hub, Inference Providers and Inference Endpoints are proprietary hosted services</w:t>
            </w:r>
          </w:p>
        </w:tc>
        <w:tc>
          <w:tcPr/>
          <w:p>
            <w:pPr>
              <w:pStyle w:val="Compact"/>
              <w:jc w:val="left"/>
            </w:pPr>
            <w:r>
              <w:t xml:space="preserve">Verified fact</w:t>
            </w:r>
          </w:p>
        </w:tc>
        <w:tc>
          <w:tcPr/>
          <w:p>
            <w:pPr>
              <w:pStyle w:val="Compact"/>
              <w:jc w:val="left"/>
            </w:pPr>
            <w:r>
              <w:t xml:space="preserve">A4-S014, A4-S072, A4-S081</w:t>
            </w:r>
          </w:p>
        </w:tc>
      </w:tr>
      <w:tr>
        <w:tc>
          <w:tcPr/>
          <w:p>
            <w:pPr>
              <w:pStyle w:val="Compact"/>
              <w:jc w:val="left"/>
            </w:pPr>
            <w:r>
              <w:t xml:space="preserve">Status events</w:t>
            </w:r>
          </w:p>
        </w:tc>
        <w:tc>
          <w:tcPr/>
          <w:p>
            <w:pPr>
              <w:pStyle w:val="Compact"/>
              <w:jc w:val="left"/>
            </w:pPr>
            <w:r>
              <w:t xml:space="preserve">TGI in maintenance mode</w:t>
            </w:r>
            <w:r>
              <w:t xml:space="preserve"> </w:t>
            </w:r>
            <w:r>
              <w:t xml:space="preserve">‘</w:t>
            </w:r>
            <w:r>
              <w:t xml:space="preserve">as of 12/11/2025</w:t>
            </w:r>
            <w:r>
              <w:t xml:space="preserve">’</w:t>
            </w:r>
            <w:r>
              <w:t xml:space="preserve"> </w:t>
            </w:r>
            <w:r>
              <w:t xml:space="preserve">(only minor bug fixes, docs and lightweight maintenance); Endpoints: AWS H100 instances marked</w:t>
            </w:r>
            <w:r>
              <w:t xml:space="preserve"> </w:t>
            </w:r>
            <w:r>
              <w:t xml:space="preserve">‘</w:t>
            </w:r>
            <w:r>
              <w:t xml:space="preserve">Deprecated from December 2025</w:t>
            </w:r>
            <w:r>
              <w:t xml:space="preserve">’</w:t>
            </w:r>
            <w:r>
              <w:t xml:space="preserve">; 21 March 2026: TGI GitHub repository archived (read-only); latest release v3.3.7; Hugging Face recommends vLLM or SGLang</w:t>
            </w:r>
          </w:p>
        </w:tc>
        <w:tc>
          <w:tcPr/>
          <w:p>
            <w:pPr>
              <w:pStyle w:val="Compact"/>
              <w:jc w:val="left"/>
            </w:pPr>
            <w:r>
              <w:t xml:space="preserve">Verified fact</w:t>
            </w:r>
          </w:p>
        </w:tc>
        <w:tc>
          <w:tcPr/>
          <w:p>
            <w:pPr>
              <w:pStyle w:val="Compact"/>
              <w:jc w:val="left"/>
            </w:pPr>
            <w:r>
              <w:t xml:space="preserve">A4-S073, A4-S072, A4-S083, V1-S054, V1-S055</w:t>
            </w:r>
          </w:p>
        </w:tc>
      </w:tr>
      <w:tr>
        <w:tc>
          <w:tcPr/>
          <w:p>
            <w:pPr>
              <w:pStyle w:val="Compact"/>
              <w:jc w:val="left"/>
            </w:pPr>
            <w:r>
              <w:t xml:space="preserve">Strategic direction</w:t>
            </w:r>
          </w:p>
        </w:tc>
        <w:tc>
          <w:tcPr/>
          <w:p>
            <w:pPr>
              <w:pStyle w:val="Compact"/>
              <w:jc w:val="left"/>
            </w:pPr>
            <w:r>
              <w:t xml:space="preserve">TGI moved to maintenance mode; Hugging Face recommends vLLM and SGLang (and llama.cpp/MLX locally). Inference Providers routes to partner clouds (e.g. Cerebras, Groq, Together, Fireworks, Baseten, Nscale, OVHcloud, Scaleway, Z.ai) with pass-through pricing</w:t>
            </w:r>
          </w:p>
        </w:tc>
        <w:tc>
          <w:tcPr/>
          <w:p>
            <w:pPr>
              <w:pStyle w:val="Compact"/>
              <w:jc w:val="left"/>
            </w:pPr>
            <w:r>
              <w:t xml:space="preserve">Verified fact</w:t>
            </w:r>
          </w:p>
        </w:tc>
        <w:tc>
          <w:tcPr/>
          <w:p>
            <w:pPr>
              <w:pStyle w:val="Compact"/>
              <w:jc w:val="left"/>
            </w:pPr>
            <w:r>
              <w:t xml:space="preserve">A4-S072, A4-S073, A4-S075, A4-S076</w:t>
            </w:r>
          </w:p>
        </w:tc>
      </w:tr>
      <w:tr>
        <w:tc>
          <w:tcPr/>
          <w:p>
            <w:pPr>
              <w:pStyle w:val="Compact"/>
              <w:jc w:val="left"/>
            </w:pPr>
            <w:r>
              <w:t xml:space="preserve">What it does</w:t>
            </w:r>
          </w:p>
        </w:tc>
        <w:tc>
          <w:tcPr/>
          <w:p>
            <w:pPr>
              <w:pStyle w:val="Compact"/>
              <w:jc w:val="left"/>
            </w:pPr>
            <w:r>
              <w:t xml:space="preserve">Hub hosts and versions models/datasets with private repos, tokens, resource groups and malware/pickle/secrets scanning. Inference Providers gives one token and API across many third-party providers (OpenAI-compatible, provider selectable by suffix). Inference Endpoints deploys a chosen Hub model on a chosen engine to managed AWS/Azure/GCP instances billed per minute.</w:t>
            </w:r>
          </w:p>
        </w:tc>
        <w:tc>
          <w:tcPr/>
          <w:p>
            <w:pPr>
              <w:pStyle w:val="Compact"/>
              <w:jc w:val="left"/>
            </w:pPr>
            <w:r>
              <w:t xml:space="preserve">Verified fact</w:t>
            </w:r>
          </w:p>
        </w:tc>
        <w:tc>
          <w:tcPr/>
          <w:p>
            <w:pPr>
              <w:pStyle w:val="Compact"/>
              <w:jc w:val="left"/>
            </w:pPr>
            <w:r>
              <w:t xml:space="preserve">A4-S074, A4-S075, A4-S081, A4-S083</w:t>
            </w:r>
          </w:p>
        </w:tc>
      </w:tr>
      <w:tr>
        <w:tc>
          <w:tcPr/>
          <w:p>
            <w:pPr>
              <w:pStyle w:val="Compact"/>
              <w:jc w:val="left"/>
            </w:pPr>
            <w:r>
              <w:t xml:space="preserve">Stack position</w:t>
            </w:r>
          </w:p>
        </w:tc>
        <w:tc>
          <w:tcPr/>
          <w:p>
            <w:pPr>
              <w:pStyle w:val="Compact"/>
              <w:jc w:val="left"/>
            </w:pPr>
            <w:r>
              <w:t xml:space="preserve">Spans model distribution (L1 adjacency), routing/aggregation (gateway-like, L2/C1) and managed serving (L2). The single tile conflates three products</w:t>
            </w:r>
          </w:p>
        </w:tc>
        <w:tc>
          <w:tcPr/>
          <w:p>
            <w:pPr>
              <w:pStyle w:val="Compact"/>
              <w:jc w:val="left"/>
            </w:pPr>
            <w:r>
              <w:t xml:space="preserve">Verified fact</w:t>
            </w:r>
          </w:p>
        </w:tc>
        <w:tc>
          <w:tcPr/>
          <w:p>
            <w:pPr>
              <w:pStyle w:val="Compact"/>
              <w:jc w:val="left"/>
            </w:pPr>
            <w:r>
              <w:t xml:space="preserve">A4-S075, A4-S081</w:t>
            </w:r>
          </w:p>
        </w:tc>
      </w:tr>
      <w:tr>
        <w:tc>
          <w:tcPr/>
          <w:p>
            <w:pPr>
              <w:pStyle w:val="Compact"/>
              <w:jc w:val="left"/>
            </w:pPr>
            <w:r>
              <w:t xml:space="preserve">Integration</w:t>
            </w:r>
          </w:p>
        </w:tc>
        <w:tc>
          <w:tcPr/>
          <w:p>
            <w:pPr>
              <w:pStyle w:val="Compact"/>
              <w:jc w:val="left"/>
            </w:pPr>
            <w:r>
              <w:t xml:space="preserve">huggingface_hub (Python) and JS clients, hf CLI; OpenAI-compatible router; Endpoints REST</w:t>
            </w:r>
          </w:p>
        </w:tc>
        <w:tc>
          <w:tcPr/>
          <w:p>
            <w:pPr>
              <w:pStyle w:val="Compact"/>
              <w:jc w:val="left"/>
            </w:pPr>
            <w:r>
              <w:t xml:space="preserve">Verified fact</w:t>
            </w:r>
          </w:p>
        </w:tc>
        <w:tc>
          <w:tcPr/>
          <w:p>
            <w:pPr>
              <w:pStyle w:val="Compact"/>
              <w:jc w:val="left"/>
            </w:pPr>
            <w:r>
              <w:t xml:space="preserve">A4-S014, A4-S075</w:t>
            </w:r>
          </w:p>
        </w:tc>
      </w:tr>
      <w:tr>
        <w:tc>
          <w:tcPr/>
          <w:p>
            <w:pPr>
              <w:pStyle w:val="Compact"/>
              <w:jc w:val="left"/>
            </w:pPr>
            <w:r>
              <w:t xml:space="preserve">Dependencies</w:t>
            </w:r>
          </w:p>
        </w:tc>
        <w:tc>
          <w:tcPr/>
          <w:p>
            <w:pPr>
              <w:pStyle w:val="Compact"/>
              <w:jc w:val="left"/>
            </w:pPr>
            <w:r>
              <w:t xml:space="preserve">Endpoints run on AWS, Azure or GCP instances; Inference Providers depend on partner providers’ own security and retention</w:t>
            </w:r>
          </w:p>
        </w:tc>
        <w:tc>
          <w:tcPr/>
          <w:p>
            <w:pPr>
              <w:pStyle w:val="Compact"/>
              <w:jc w:val="left"/>
            </w:pPr>
            <w:r>
              <w:t xml:space="preserve">Verified fact</w:t>
            </w:r>
          </w:p>
        </w:tc>
        <w:tc>
          <w:tcPr/>
          <w:p>
            <w:pPr>
              <w:pStyle w:val="Compact"/>
              <w:jc w:val="left"/>
            </w:pPr>
            <w:r>
              <w:t xml:space="preserve">A4-S083, A4-S077</w:t>
            </w:r>
          </w:p>
        </w:tc>
      </w:tr>
      <w:tr>
        <w:tc>
          <w:tcPr/>
          <w:p>
            <w:pPr>
              <w:pStyle w:val="Compact"/>
              <w:jc w:val="left"/>
            </w:pPr>
            <w:r>
              <w:t xml:space="preserve">Certifications</w:t>
            </w:r>
          </w:p>
        </w:tc>
        <w:tc>
          <w:tcPr/>
          <w:p>
            <w:pPr>
              <w:pStyle w:val="Compact"/>
              <w:jc w:val="left"/>
            </w:pPr>
            <w:r>
              <w:t xml:space="preserve">SOC 2 Type 2 (Hub and Inference Endpoints); GDPR compliant; BAA and GDPR DPA via Enterprise plan</w:t>
            </w:r>
          </w:p>
        </w:tc>
        <w:tc>
          <w:tcPr/>
          <w:p>
            <w:pPr>
              <w:pStyle w:val="Compact"/>
              <w:jc w:val="left"/>
            </w:pPr>
            <w:r>
              <w:t xml:space="preserve">Verified fact</w:t>
            </w:r>
          </w:p>
        </w:tc>
        <w:tc>
          <w:tcPr/>
          <w:p>
            <w:pPr>
              <w:pStyle w:val="Compact"/>
              <w:jc w:val="left"/>
            </w:pPr>
            <w:r>
              <w:t xml:space="preserve">A4-S074, A4-S082, V1-S097</w:t>
            </w:r>
          </w:p>
        </w:tc>
      </w:tr>
      <w:tr>
        <w:tc>
          <w:tcPr/>
          <w:p>
            <w:pPr>
              <w:pStyle w:val="Compact"/>
              <w:jc w:val="left"/>
            </w:pPr>
            <w:r>
              <w:t xml:space="preserve">GDPR / residency</w:t>
            </w:r>
          </w:p>
        </w:tc>
        <w:tc>
          <w:tcPr/>
          <w:p>
            <w:pPr>
              <w:pStyle w:val="Compact"/>
              <w:jc w:val="left"/>
            </w:pPr>
            <w:r>
              <w:t xml:space="preserve">Storage regions US and EU for Team/Enterprise orgs (APAC, GCC coming); Inference Providers does not store request/response bodies, logs kept up to 30 days; Endpoints do not store payloads, logs kept 30 days</w:t>
            </w:r>
          </w:p>
        </w:tc>
        <w:tc>
          <w:tcPr/>
          <w:p>
            <w:pPr>
              <w:pStyle w:val="Compact"/>
              <w:jc w:val="left"/>
            </w:pPr>
            <w:r>
              <w:t xml:space="preserve">Verified fact</w:t>
            </w:r>
          </w:p>
        </w:tc>
        <w:tc>
          <w:tcPr/>
          <w:p>
            <w:pPr>
              <w:pStyle w:val="Compact"/>
              <w:jc w:val="left"/>
            </w:pPr>
            <w:r>
              <w:t xml:space="preserve">A4-S078, A4-S077, A4-S082</w:t>
            </w:r>
          </w:p>
        </w:tc>
      </w:tr>
      <w:tr>
        <w:tc>
          <w:tcPr/>
          <w:p>
            <w:pPr>
              <w:pStyle w:val="Compact"/>
              <w:jc w:val="left"/>
            </w:pPr>
            <w:r>
              <w:t xml:space="preserve">Security features</w:t>
            </w:r>
          </w:p>
        </w:tc>
        <w:tc>
          <w:tcPr/>
          <w:p>
            <w:pPr>
              <w:pStyle w:val="Compact"/>
              <w:jc w:val="left"/>
            </w:pPr>
            <w:r>
              <w:t xml:space="preserve">TLS in transit; AWS PrivateLink for Endpoints; malware, pickle and secrets scanning; resource groups</w:t>
            </w:r>
          </w:p>
        </w:tc>
        <w:tc>
          <w:tcPr/>
          <w:p>
            <w:pPr>
              <w:pStyle w:val="Compact"/>
              <w:jc w:val="left"/>
            </w:pPr>
            <w:r>
              <w:t xml:space="preserve">Verified fact</w:t>
            </w:r>
          </w:p>
        </w:tc>
        <w:tc>
          <w:tcPr/>
          <w:p>
            <w:pPr>
              <w:pStyle w:val="Compact"/>
              <w:jc w:val="left"/>
            </w:pPr>
            <w:r>
              <w:t xml:space="preserve">A4-S082, A4-S074</w:t>
            </w:r>
          </w:p>
        </w:tc>
      </w:tr>
      <w:tr>
        <w:tc>
          <w:tcPr/>
          <w:p>
            <w:pPr>
              <w:pStyle w:val="Compact"/>
              <w:jc w:val="left"/>
            </w:pPr>
            <w:r>
              <w:t xml:space="preserve">Access controls</w:t>
            </w:r>
          </w:p>
        </w:tc>
        <w:tc>
          <w:tcPr/>
          <w:p>
            <w:pPr>
              <w:pStyle w:val="Compact"/>
              <w:jc w:val="left"/>
            </w:pPr>
            <w:r>
              <w:t xml:space="preserve">SSO (SAML 2.0/OIDC) on Team &amp; Enterprise, Managed SSO on Enterprise Plus, SCIM, RBAC, audit logs (Team &amp; Enterprise)</w:t>
            </w:r>
          </w:p>
        </w:tc>
        <w:tc>
          <w:tcPr/>
          <w:p>
            <w:pPr>
              <w:pStyle w:val="Compact"/>
              <w:jc w:val="left"/>
            </w:pPr>
            <w:r>
              <w:t xml:space="preserve">Verified fact</w:t>
            </w:r>
          </w:p>
        </w:tc>
        <w:tc>
          <w:tcPr/>
          <w:p>
            <w:pPr>
              <w:pStyle w:val="Compact"/>
              <w:jc w:val="left"/>
            </w:pPr>
            <w:r>
              <w:t xml:space="preserve">A4-S080, A4-S079, A4-S082</w:t>
            </w:r>
          </w:p>
        </w:tc>
      </w:tr>
      <w:tr>
        <w:tc>
          <w:tcPr/>
          <w:p>
            <w:pPr>
              <w:pStyle w:val="Compact"/>
              <w:jc w:val="left"/>
            </w:pPr>
            <w:r>
              <w:t xml:space="preserve">Enterprise support</w:t>
            </w:r>
          </w:p>
        </w:tc>
        <w:tc>
          <w:tcPr/>
          <w:p>
            <w:pPr>
              <w:pStyle w:val="Compact"/>
              <w:jc w:val="left"/>
            </w:pPr>
            <w:r>
              <w:t xml:space="preserve">Team, Enterprise and Enterprise Plus plans</w:t>
            </w:r>
          </w:p>
        </w:tc>
        <w:tc>
          <w:tcPr/>
          <w:p>
            <w:pPr>
              <w:pStyle w:val="Compact"/>
              <w:jc w:val="left"/>
            </w:pPr>
            <w:r>
              <w:t xml:space="preserve">Verified fact</w:t>
            </w:r>
          </w:p>
        </w:tc>
        <w:tc>
          <w:tcPr/>
          <w:p>
            <w:pPr>
              <w:pStyle w:val="Compact"/>
              <w:jc w:val="left"/>
            </w:pPr>
            <w:r>
              <w:t xml:space="preserve">A4-S080</w:t>
            </w:r>
          </w:p>
        </w:tc>
      </w:tr>
      <w:tr>
        <w:tc>
          <w:tcPr/>
          <w:p>
            <w:pPr>
              <w:pStyle w:val="Compact"/>
              <w:jc w:val="left"/>
            </w:pPr>
            <w:r>
              <w:t xml:space="preserve">Pricing</w:t>
            </w:r>
          </w:p>
        </w:tc>
        <w:tc>
          <w:tcPr/>
          <w:p>
            <w:pPr>
              <w:pStyle w:val="Compact"/>
              <w:jc w:val="left"/>
            </w:pPr>
            <w:r>
              <w:t xml:space="preserve">Inference Providers: provider rates passed through with no HF markup; PRO and Team/Enterprise seats include US$2.00/month compute credits. Endpoints: hourly instance rates billed per minute, e.g. AWS L4 x1 US$0.80/h, AWS H200 x1 US$5/h</w:t>
            </w:r>
          </w:p>
        </w:tc>
        <w:tc>
          <w:tcPr/>
          <w:p>
            <w:pPr>
              <w:pStyle w:val="Compact"/>
              <w:jc w:val="left"/>
            </w:pPr>
            <w:r>
              <w:t xml:space="preserve">Verified fact</w:t>
            </w:r>
          </w:p>
        </w:tc>
        <w:tc>
          <w:tcPr/>
          <w:p>
            <w:pPr>
              <w:pStyle w:val="Compact"/>
              <w:jc w:val="left"/>
            </w:pPr>
            <w:r>
              <w:t xml:space="preserve">A4-S076, A4-S083</w:t>
            </w:r>
          </w:p>
        </w:tc>
      </w:tr>
      <w:tr>
        <w:tc>
          <w:tcPr/>
          <w:p>
            <w:pPr>
              <w:pStyle w:val="Compact"/>
              <w:jc w:val="left"/>
            </w:pPr>
            <w:r>
              <w:t xml:space="preserve">Infrastructure cost</w:t>
            </w:r>
          </w:p>
        </w:tc>
        <w:tc>
          <w:tcPr/>
          <w:p>
            <w:pPr>
              <w:pStyle w:val="Compact"/>
              <w:jc w:val="left"/>
            </w:pPr>
            <w:r>
              <w:t xml:space="preserve">Endpoint cost = instance-hours (GPU type and count) billed per minute</w:t>
            </w:r>
          </w:p>
        </w:tc>
        <w:tc>
          <w:tcPr/>
          <w:p>
            <w:pPr>
              <w:pStyle w:val="Compact"/>
              <w:jc w:val="left"/>
            </w:pPr>
            <w:r>
              <w:t xml:space="preserve">Verified fact</w:t>
            </w:r>
          </w:p>
        </w:tc>
        <w:tc>
          <w:tcPr/>
          <w:p>
            <w:pPr>
              <w:pStyle w:val="Compact"/>
              <w:jc w:val="left"/>
            </w:pPr>
            <w:r>
              <w:t xml:space="preserve">A4-S083</w:t>
            </w:r>
          </w:p>
        </w:tc>
      </w:tr>
      <w:tr>
        <w:tc>
          <w:tcPr/>
          <w:p>
            <w:pPr>
              <w:pStyle w:val="Compact"/>
              <w:jc w:val="left"/>
            </w:pPr>
            <w:r>
              <w:t xml:space="preserve">Ecosystem</w:t>
            </w:r>
          </w:p>
        </w:tc>
        <w:tc>
          <w:tcPr/>
          <w:p>
            <w:pPr>
              <w:pStyle w:val="Compact"/>
              <w:jc w:val="left"/>
            </w:pPr>
            <w:r>
              <w:t xml:space="preserve">Partners: Baseten, Cerebras, Cohere, DeepInfra, Fal, Featherless, Fireworks, Groq, Novita, Nscale, OVHcloud, Public AI, Replicate, Scaleway, Together, WaveSpeed, Z.ai; engines vLLM, SGLang, llama.cpp, TEI</w:t>
            </w:r>
          </w:p>
        </w:tc>
        <w:tc>
          <w:tcPr/>
          <w:p>
            <w:pPr>
              <w:pStyle w:val="Compact"/>
              <w:jc w:val="left"/>
            </w:pPr>
            <w:r>
              <w:t xml:space="preserve">Verified fact</w:t>
            </w:r>
          </w:p>
        </w:tc>
        <w:tc>
          <w:tcPr/>
          <w:p>
            <w:pPr>
              <w:pStyle w:val="Compact"/>
              <w:jc w:val="left"/>
            </w:pPr>
            <w:r>
              <w:t xml:space="preserve">A4-S075, A4-S081</w:t>
            </w:r>
          </w:p>
        </w:tc>
      </w:tr>
      <w:tr>
        <w:tc>
          <w:tcPr/>
          <w:p>
            <w:pPr>
              <w:pStyle w:val="Compact"/>
              <w:jc w:val="left"/>
            </w:pPr>
            <w:r>
              <w:t xml:space="preserve">Adoption signals</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Maturity</w:t>
            </w:r>
          </w:p>
        </w:tc>
        <w:tc>
          <w:tcPr/>
          <w:p>
            <w:pPr>
              <w:pStyle w:val="Compact"/>
              <w:jc w:val="left"/>
            </w:pPr>
            <w:r>
              <w:t xml:space="preserve">Hub client since 2020; TGI superseded by vLLM/SGLang</w:t>
            </w:r>
          </w:p>
        </w:tc>
        <w:tc>
          <w:tcPr/>
          <w:p>
            <w:pPr>
              <w:pStyle w:val="Compact"/>
              <w:jc w:val="left"/>
            </w:pPr>
            <w:r>
              <w:t xml:space="preserve">Verified fact</w:t>
            </w:r>
          </w:p>
        </w:tc>
        <w:tc>
          <w:tcPr/>
          <w:p>
            <w:pPr>
              <w:pStyle w:val="Compact"/>
              <w:jc w:val="left"/>
            </w:pPr>
            <w:r>
              <w:t xml:space="preserve">A4-S014, A4-S073</w:t>
            </w:r>
          </w:p>
        </w:tc>
      </w:tr>
      <w:tr>
        <w:tc>
          <w:tcPr/>
          <w:p>
            <w:pPr>
              <w:pStyle w:val="Compact"/>
              <w:jc w:val="left"/>
            </w:pPr>
            <w:r>
              <w:t xml:space="preserve">Deployment</w:t>
            </w:r>
          </w:p>
        </w:tc>
        <w:tc>
          <w:tcPr/>
          <w:p>
            <w:pPr>
              <w:pStyle w:val="Compact"/>
              <w:jc w:val="left"/>
            </w:pPr>
            <w:r>
              <w:t xml:space="preserve">saas: Yes (Hub, Inference Providers); managed_cloud: Yes (Inference Endpoints on AWS/Azure/GCP); vpc_byoc: No (AWS PrivateLink private connectivity offered; not BYOC); private_cloud: Not publicly verified; self_hosted: Yes for open-source engines (TGI) and client libraries only; on_prem: Not publicly verified</w:t>
            </w:r>
          </w:p>
        </w:tc>
        <w:tc>
          <w:tcPr/>
          <w:p>
            <w:pPr>
              <w:pStyle w:val="Compact"/>
            </w:pPr>
          </w:p>
        </w:tc>
        <w:tc>
          <w:tcPr/>
          <w:p>
            <w:pPr>
              <w:pStyle w:val="Compact"/>
            </w:pPr>
          </w:p>
        </w:tc>
      </w:tr>
    </w:tbl>
    <w:bookmarkEnd w:id="1352"/>
    <w:bookmarkStart w:id="1375" w:name="together-ai-l2-together-ai"/>
    <w:p>
      <w:pPr>
        <w:pStyle w:val="Heading2"/>
      </w:pPr>
      <w:r>
        <w:t xml:space="preserve">Together AI (</w:t>
      </w:r>
      <w:r>
        <w:rPr>
          <w:rStyle w:val="VerbatimChar"/>
        </w:rPr>
        <w:t xml:space="preserve">L2-together-ai</w:t>
      </w:r>
      <w:r>
        <w:t xml:space="preserve">)</w:t>
      </w:r>
    </w:p>
    <w:p>
      <w:pPr>
        <w:pStyle w:val="FirstParagraph"/>
      </w:pPr>
      <w:r>
        <w:rPr>
          <w:bCs/>
          <w:b/>
        </w:rPr>
        <w:t xml:space="preserve">Tier:</w:t>
      </w:r>
      <w:r>
        <w:t xml:space="preserve"> </w:t>
      </w:r>
      <w:r>
        <w:t xml:space="preserve">Tactical ·</w:t>
      </w:r>
      <w:r>
        <w:t xml:space="preserve"> </w:t>
      </w:r>
      <w:r>
        <w:rPr>
          <w:bCs/>
          <w:b/>
        </w:rPr>
        <w:t xml:space="preserve">Flags:</w:t>
      </w:r>
      <w:r>
        <w:t xml:space="preserve"> </w:t>
      </w:r>
      <w:r>
        <w:t xml:space="preserve">none ·</w:t>
      </w:r>
      <w:r>
        <w:t xml:space="preserve"> </w:t>
      </w:r>
      <w:r>
        <w:rPr>
          <w:bCs/>
          <w:b/>
        </w:rPr>
        <w:t xml:space="preserve">Original graphic label:</w:t>
      </w:r>
      <w:r>
        <w:t xml:space="preserve"> </w:t>
      </w:r>
      <w:r>
        <w:t xml:space="preserve">Together AI – open-source cloud</w:t>
      </w:r>
    </w:p>
    <w:p>
      <w:pPr>
        <w:pStyle w:val="BodyText"/>
      </w:pPr>
      <w:r>
        <w:rPr>
          <w:iCs/>
          <w:i/>
        </w:rPr>
        <w:t xml:space="preserve">Rationale:</w:t>
      </w:r>
      <w:r>
        <w:t xml:space="preserve"> </w:t>
      </w:r>
      <w:r>
        <w:t xml:space="preserve">Capable open-model cloud; unsafe defaults (ZDR off) and partial RBAC keep it Tactical</w:t>
      </w:r>
    </w:p>
    <w:tbl>
      <w:tblPr>
        <w:tblStyle w:val="Table"/>
        <w:tblW w:type="pct" w:w="5000"/>
        <w:tblLook w:firstRow="1" w:lastRow="0" w:firstColumn="0" w:lastColumn="0" w:noHBand="0" w:noVBand="0" w:val="0020"/>
        <w:jc w:val="start"/>
      </w:tblPr>
      <w:tblGrid>
        <w:gridCol w:w="1545"/>
        <w:gridCol w:w="579"/>
        <w:gridCol w:w="5795"/>
      </w:tblGrid>
      <w:tr>
        <w:trPr>
          <w:tblHeader w:val="true"/>
        </w:trPr>
        <w:tc>
          <w:tcPr/>
          <w:p>
            <w:pPr>
              <w:pStyle w:val="Compact"/>
              <w:jc w:val="left"/>
            </w:pPr>
            <w:r>
              <w:t xml:space="preserve">Criterion</w:t>
            </w:r>
          </w:p>
        </w:tc>
        <w:tc>
          <w:tcPr/>
          <w:p>
            <w:pPr>
              <w:pStyle w:val="Compact"/>
              <w:jc w:val="right"/>
            </w:pPr>
            <w:r>
              <w:t xml:space="preserve">Score</w:t>
            </w:r>
          </w:p>
        </w:tc>
        <w:tc>
          <w:tcPr/>
          <w:p>
            <w:pPr>
              <w:pStyle w:val="Compact"/>
              <w:jc w:val="left"/>
            </w:pPr>
            <w:r>
              <w:t xml:space="preserve">Rationale</w:t>
            </w:r>
          </w:p>
        </w:tc>
      </w:tr>
      <w:tr>
        <w:tc>
          <w:tcPr/>
          <w:p>
            <w:pPr>
              <w:pStyle w:val="Compact"/>
              <w:jc w:val="left"/>
            </w:pPr>
            <w:r>
              <w:t xml:space="preserve">Technical</w:t>
            </w:r>
          </w:p>
        </w:tc>
        <w:tc>
          <w:tcPr/>
          <w:p>
            <w:pPr>
              <w:pStyle w:val="Compact"/>
              <w:jc w:val="right"/>
            </w:pPr>
            <w:r>
              <w:t xml:space="preserve">4</w:t>
            </w:r>
          </w:p>
        </w:tc>
        <w:tc>
          <w:tcPr/>
          <w:p>
            <w:pPr>
              <w:pStyle w:val="Compact"/>
              <w:jc w:val="left"/>
            </w:pPr>
            <w:r>
              <w:t xml:space="preserve">Serverless, dedicated, PTU, fine-tuning, GPU clusters</w:t>
            </w:r>
            <w:r>
              <w:t xml:space="preserve"> </w:t>
            </w:r>
            <w:r>
              <w:rPr>
                <w:rStyle w:val="ClaimLabel"/>
              </w:rPr>
              <w:t xml:space="preserve">VF</w:t>
            </w:r>
            <w:r>
              <w:rPr>
                <w:rStyle w:val="FootnoteReference"/>
              </w:rPr>
              <w:footnoteReference w:id="1353"/>
            </w:r>
          </w:p>
        </w:tc>
      </w:tr>
      <w:tr>
        <w:tc>
          <w:tcPr/>
          <w:p>
            <w:pPr>
              <w:pStyle w:val="Compact"/>
              <w:jc w:val="left"/>
            </w:pPr>
            <w:r>
              <w:t xml:space="preserve">Enterprise readiness</w:t>
            </w:r>
          </w:p>
        </w:tc>
        <w:tc>
          <w:tcPr/>
          <w:p>
            <w:pPr>
              <w:pStyle w:val="Compact"/>
              <w:jc w:val="right"/>
            </w:pPr>
            <w:r>
              <w:t xml:space="preserve">3</w:t>
            </w:r>
          </w:p>
        </w:tc>
        <w:tc>
          <w:tcPr/>
          <w:p>
            <w:pPr>
              <w:pStyle w:val="Compact"/>
              <w:jc w:val="left"/>
            </w:pPr>
            <w:r>
              <w:t xml:space="preserve">SSO on Scale/Enterprise; partial RBAC; audit trails for GPU clusters only (rule 7)</w:t>
            </w:r>
            <w:r>
              <w:t xml:space="preserve"> </w:t>
            </w:r>
            <w:r>
              <w:rPr>
                <w:rStyle w:val="ClaimLabel"/>
              </w:rPr>
              <w:t xml:space="preserve">VF</w:t>
            </w:r>
            <w:r>
              <w:rPr>
                <w:rStyle w:val="FootnoteReference"/>
              </w:rPr>
              <w:footnoteReference w:id="1355"/>
            </w:r>
          </w:p>
        </w:tc>
      </w:tr>
      <w:tr>
        <w:tc>
          <w:tcPr/>
          <w:p>
            <w:pPr>
              <w:pStyle w:val="Compact"/>
              <w:jc w:val="left"/>
            </w:pPr>
            <w:r>
              <w:t xml:space="preserve">Security and compliance</w:t>
            </w:r>
          </w:p>
        </w:tc>
        <w:tc>
          <w:tcPr/>
          <w:p>
            <w:pPr>
              <w:pStyle w:val="Compact"/>
              <w:jc w:val="right"/>
            </w:pPr>
            <w:r>
              <w:t xml:space="preserve">3</w:t>
            </w:r>
          </w:p>
        </w:tc>
        <w:tc>
          <w:tcPr/>
          <w:p>
            <w:pPr>
              <w:pStyle w:val="Compact"/>
              <w:jc w:val="left"/>
            </w:pPr>
            <w:r>
              <w:t xml:space="preserve">SOC 2 Type 2 and ISO 27001 vendor-stated without product scope: one below anchor (rule 8)</w:t>
            </w:r>
            <w:r>
              <w:t xml:space="preserve"> </w:t>
            </w:r>
            <w:r>
              <w:rPr>
                <w:rStyle w:val="ClaimLabel"/>
              </w:rPr>
              <w:t xml:space="preserve">VF</w:t>
            </w:r>
            <w:r>
              <w:rPr>
                <w:rStyle w:val="FootnoteReference"/>
              </w:rPr>
              <w:footnoteReference w:id="1357"/>
            </w:r>
          </w:p>
        </w:tc>
      </w:tr>
      <w:tr>
        <w:tc>
          <w:tcPr/>
          <w:p>
            <w:pPr>
              <w:pStyle w:val="Compact"/>
              <w:jc w:val="left"/>
            </w:pPr>
            <w:r>
              <w:t xml:space="preserve">Deployment flexibility</w:t>
            </w:r>
          </w:p>
        </w:tc>
        <w:tc>
          <w:tcPr/>
          <w:p>
            <w:pPr>
              <w:pStyle w:val="Compact"/>
              <w:jc w:val="right"/>
            </w:pPr>
            <w:r>
              <w:t xml:space="preserve">4</w:t>
            </w:r>
          </w:p>
        </w:tc>
        <w:tc>
          <w:tcPr/>
          <w:p>
            <w:pPr>
              <w:pStyle w:val="Compact"/>
              <w:jc w:val="left"/>
            </w:pPr>
            <w:r>
              <w:t xml:space="preserve">SaaS, dedicated, VPC deployments incl. EU, reserved capacity; no self-host</w:t>
            </w:r>
            <w:r>
              <w:t xml:space="preserve"> </w:t>
            </w:r>
            <w:r>
              <w:rPr>
                <w:rStyle w:val="ClaimLabel"/>
              </w:rPr>
              <w:t xml:space="preserve">VF</w:t>
            </w:r>
            <w:r>
              <w:rPr>
                <w:rStyle w:val="FootnoteReference"/>
              </w:rPr>
              <w:footnoteReference w:id="1360"/>
            </w:r>
          </w:p>
        </w:tc>
      </w:tr>
      <w:tr>
        <w:tc>
          <w:tcPr/>
          <w:p>
            <w:pPr>
              <w:pStyle w:val="Compact"/>
              <w:jc w:val="left"/>
            </w:pPr>
            <w:r>
              <w:t xml:space="preserve">Ecosystem</w:t>
            </w:r>
          </w:p>
        </w:tc>
        <w:tc>
          <w:tcPr/>
          <w:p>
            <w:pPr>
              <w:pStyle w:val="Compact"/>
              <w:jc w:val="right"/>
            </w:pPr>
            <w:r>
              <w:t xml:space="preserve">3</w:t>
            </w:r>
          </w:p>
        </w:tc>
        <w:tc>
          <w:tcPr/>
          <w:p>
            <w:pPr>
              <w:pStyle w:val="Compact"/>
              <w:jc w:val="left"/>
            </w:pPr>
            <w:r>
              <w:t xml:space="preserve">Hugging Face partner; NVIDIA partner</w:t>
            </w:r>
            <w:r>
              <w:t xml:space="preserve"> </w:t>
            </w:r>
            <w:r>
              <w:rPr>
                <w:rStyle w:val="ClaimLabel"/>
              </w:rPr>
              <w:t xml:space="preserve">VF</w:t>
            </w:r>
            <w:r>
              <w:rPr>
                <w:rStyle w:val="FootnoteReference"/>
              </w:rPr>
              <w:footnoteReference w:id="1362"/>
            </w:r>
          </w:p>
        </w:tc>
      </w:tr>
      <w:tr>
        <w:tc>
          <w:tcPr/>
          <w:p>
            <w:pPr>
              <w:pStyle w:val="Compact"/>
              <w:jc w:val="left"/>
            </w:pPr>
            <w:r>
              <w:t xml:space="preserve">Reliability and maturity</w:t>
            </w:r>
          </w:p>
        </w:tc>
        <w:tc>
          <w:tcPr/>
          <w:p>
            <w:pPr>
              <w:pStyle w:val="Compact"/>
              <w:jc w:val="right"/>
            </w:pPr>
            <w:r>
              <w:t xml:space="preserve">3</w:t>
            </w:r>
          </w:p>
        </w:tc>
        <w:tc>
          <w:tcPr/>
          <w:p>
            <w:pPr>
              <w:pStyle w:val="Compact"/>
              <w:jc w:val="left"/>
            </w:pPr>
            <w:r>
              <w:t xml:space="preserve">GA services; PTU SLA but serverless none; RBAC still rolling out</w:t>
            </w:r>
            <w:r>
              <w:t xml:space="preserve"> </w:t>
            </w:r>
            <w:r>
              <w:rPr>
                <w:rStyle w:val="ClaimLabel"/>
              </w:rPr>
              <w:t xml:space="preserve">VF</w:t>
            </w:r>
            <w:r>
              <w:rPr>
                <w:rStyle w:val="FootnoteReference"/>
              </w:rPr>
              <w:footnoteReference w:id="1364"/>
            </w:r>
          </w:p>
        </w:tc>
      </w:tr>
      <w:tr>
        <w:tc>
          <w:tcPr/>
          <w:p>
            <w:pPr>
              <w:pStyle w:val="Compact"/>
              <w:jc w:val="left"/>
            </w:pPr>
            <w:r>
              <w:t xml:space="preserve">Cost / TCO</w:t>
            </w:r>
          </w:p>
        </w:tc>
        <w:tc>
          <w:tcPr/>
          <w:p>
            <w:pPr>
              <w:pStyle w:val="Compact"/>
              <w:jc w:val="right"/>
            </w:pPr>
            <w:r>
              <w:t xml:space="preserve">4</w:t>
            </w:r>
          </w:p>
        </w:tc>
        <w:tc>
          <w:tcPr/>
          <w:p>
            <w:pPr>
              <w:pStyle w:val="Compact"/>
              <w:jc w:val="left"/>
            </w:pPr>
            <w:r>
              <w:t xml:space="preserve">Transparent per-token and per-hour pricing; one H100 price conflict</w:t>
            </w:r>
            <w:r>
              <w:t xml:space="preserve"> </w:t>
            </w:r>
            <w:r>
              <w:rPr>
                <w:rStyle w:val="ClaimLabel"/>
              </w:rPr>
              <w:t xml:space="preserve">VF</w:t>
            </w:r>
            <w:r>
              <w:rPr>
                <w:rStyle w:val="FootnoteReference"/>
              </w:rPr>
              <w:footnoteReference w:id="1365"/>
            </w:r>
          </w:p>
        </w:tc>
      </w:tr>
      <w:tr>
        <w:tc>
          <w:tcPr/>
          <w:p>
            <w:pPr>
              <w:pStyle w:val="Compact"/>
              <w:jc w:val="left"/>
            </w:pPr>
            <w:r>
              <w:t xml:space="preserve">Lock-in / portability</w:t>
            </w:r>
          </w:p>
        </w:tc>
        <w:tc>
          <w:tcPr/>
          <w:p>
            <w:pPr>
              <w:pStyle w:val="Compact"/>
              <w:jc w:val="right"/>
            </w:pPr>
            <w:r>
              <w:t xml:space="preserve">4</w:t>
            </w:r>
          </w:p>
        </w:tc>
        <w:tc>
          <w:tcPr/>
          <w:p>
            <w:pPr>
              <w:pStyle w:val="Compact"/>
              <w:jc w:val="left"/>
            </w:pPr>
            <w:r>
              <w:t xml:space="preserve">Open-weight models and standard usage; contractual capacity</w:t>
            </w:r>
            <w:r>
              <w:t xml:space="preserve"> </w:t>
            </w:r>
            <w:r>
              <w:rPr>
                <w:rStyle w:val="ClaimLabel"/>
              </w:rPr>
              <w:t xml:space="preserve">VF</w:t>
            </w:r>
            <w:r>
              <w:rPr>
                <w:rStyle w:val="FootnoteReference"/>
              </w:rPr>
              <w:footnoteReference w:id="1366"/>
            </w:r>
          </w:p>
        </w:tc>
      </w:tr>
      <w:tr>
        <w:tc>
          <w:tcPr/>
          <w:p>
            <w:pPr>
              <w:pStyle w:val="Compact"/>
              <w:jc w:val="left"/>
            </w:pPr>
            <w:r>
              <w:rPr>
                <w:bCs/>
                <w:b/>
              </w:rPr>
              <w:t xml:space="preserve">Total (generic / FS)</w:t>
            </w:r>
          </w:p>
        </w:tc>
        <w:tc>
          <w:tcPr/>
          <w:p>
            <w:pPr>
              <w:pStyle w:val="Compact"/>
              <w:jc w:val="right"/>
            </w:pPr>
            <w:r>
              <w:rPr>
                <w:bCs/>
                <w:b/>
              </w:rPr>
              <w:t xml:space="preserve">3.50 / 3.50</w:t>
            </w:r>
          </w:p>
        </w:tc>
        <w:tc>
          <w:tcPr/>
          <w:p>
            <w:pPr>
              <w:pStyle w:val="Compact"/>
            </w:pPr>
          </w:p>
        </w:tc>
      </w:tr>
    </w:tbl>
    <w:p>
      <w:pPr>
        <w:pStyle w:val="BodyText"/>
      </w:pPr>
      <w:r>
        <w:rPr>
          <w:bCs/>
          <w:b/>
        </w:rPr>
        <w:t xml:space="preserve">Capabilities.</w:t>
      </w:r>
      <w:r>
        <w:t xml:space="preserve"> </w:t>
      </w:r>
      <w:r>
        <w:t xml:space="preserve">AI-native cloud: serverless and dedicated inference for open-weight models, Provisioned Throughput with SLA, fine-tuning and GPU clusters; SOC 2 Type 2 and ISO 27001:2022 (vendor-stated); ZDR available but off by default; EU dedicated endpoints only on Scale and Enterprise; US$800M Series C on 1 July 2026</w:t>
      </w:r>
      <w:r>
        <w:t xml:space="preserve"> </w:t>
      </w:r>
      <w:r>
        <w:rPr>
          <w:rStyle w:val="ClaimLabel"/>
        </w:rPr>
        <w:t xml:space="preserve">VF</w:t>
      </w:r>
      <w:r>
        <w:rPr>
          <w:rStyle w:val="FootnoteReference"/>
        </w:rPr>
        <w:footnoteReference w:id="1367"/>
      </w:r>
      <w:r>
        <w:t xml:space="preserve">.</w:t>
      </w:r>
    </w:p>
    <w:p>
      <w:pPr>
        <w:pStyle w:val="BodyText"/>
      </w:pPr>
      <w:r>
        <w:rPr>
          <w:bCs/>
          <w:b/>
        </w:rPr>
        <w:t xml:space="preserve">Strengths</w:t>
      </w:r>
    </w:p>
    <w:p>
      <w:pPr>
        <w:numPr>
          <w:ilvl w:val="0"/>
          <w:numId w:val="1293"/>
        </w:numPr>
        <w:pStyle w:val="Compact"/>
      </w:pPr>
      <w:r>
        <w:t xml:space="preserve">Broad open-model catalogue plus dedicated and reserved capacity</w:t>
      </w:r>
      <w:r>
        <w:t xml:space="preserve"> </w:t>
      </w:r>
      <w:r>
        <w:rPr>
          <w:rStyle w:val="ClaimLabel"/>
        </w:rPr>
        <w:t xml:space="preserve">VF</w:t>
      </w:r>
      <w:r>
        <w:rPr>
          <w:rStyle w:val="FootnoteReference"/>
        </w:rPr>
        <w:footnoteReference w:id="1369"/>
      </w:r>
    </w:p>
    <w:p>
      <w:pPr>
        <w:numPr>
          <w:ilvl w:val="0"/>
          <w:numId w:val="1293"/>
        </w:numPr>
        <w:pStyle w:val="Compact"/>
      </w:pPr>
      <w:r>
        <w:t xml:space="preserve">EU and US cluster sites</w:t>
      </w:r>
      <w:r>
        <w:t xml:space="preserve"> </w:t>
      </w:r>
      <w:r>
        <w:rPr>
          <w:rStyle w:val="ClaimLabel"/>
        </w:rPr>
        <w:t xml:space="preserve">VF</w:t>
      </w:r>
      <w:r>
        <w:rPr>
          <w:rStyle w:val="FootnoteReference"/>
        </w:rPr>
        <w:footnoteReference w:id="1370"/>
      </w:r>
    </w:p>
    <w:p>
      <w:pPr>
        <w:pStyle w:val="FirstParagraph"/>
      </w:pPr>
      <w:r>
        <w:rPr>
          <w:bCs/>
          <w:b/>
        </w:rPr>
        <w:t xml:space="preserve">Limitations and risks</w:t>
      </w:r>
    </w:p>
    <w:p>
      <w:pPr>
        <w:numPr>
          <w:ilvl w:val="0"/>
          <w:numId w:val="1294"/>
        </w:numPr>
        <w:pStyle w:val="Compact"/>
      </w:pPr>
      <w:r>
        <w:t xml:space="preserve">Default storage of prompts and responses, with possible product-improvement use, unless ZDR is enabled</w:t>
      </w:r>
      <w:r>
        <w:t xml:space="preserve"> </w:t>
      </w:r>
      <w:r>
        <w:rPr>
          <w:rStyle w:val="ClaimLabel"/>
        </w:rPr>
        <w:t xml:space="preserve">VF</w:t>
      </w:r>
      <w:r>
        <w:rPr>
          <w:rStyle w:val="FootnoteReference"/>
        </w:rPr>
        <w:footnoteReference w:id="1371"/>
      </w:r>
    </w:p>
    <w:p>
      <w:pPr>
        <w:numPr>
          <w:ilvl w:val="0"/>
          <w:numId w:val="1294"/>
        </w:numPr>
        <w:pStyle w:val="Compact"/>
      </w:pPr>
      <w:r>
        <w:t xml:space="preserve">Serverless has no region selection</w:t>
      </w:r>
      <w:r>
        <w:t xml:space="preserve"> </w:t>
      </w:r>
      <w:r>
        <w:rPr>
          <w:rStyle w:val="ClaimLabel"/>
        </w:rPr>
        <w:t xml:space="preserve">VF</w:t>
      </w:r>
      <w:r>
        <w:rPr>
          <w:rStyle w:val="FootnoteReference"/>
        </w:rPr>
        <w:footnoteReference w:id="1372"/>
      </w:r>
    </w:p>
    <w:p>
      <w:pPr>
        <w:numPr>
          <w:ilvl w:val="0"/>
          <w:numId w:val="1294"/>
        </w:numPr>
        <w:pStyle w:val="Compact"/>
      </w:pPr>
      <w:r>
        <w:t xml:space="preserve">Product-level RBAC still being rolled out</w:t>
      </w:r>
      <w:r>
        <w:t xml:space="preserve"> </w:t>
      </w:r>
      <w:r>
        <w:rPr>
          <w:rStyle w:val="ClaimLabel"/>
        </w:rPr>
        <w:t xml:space="preserve">VF</w:t>
      </w:r>
      <w:r>
        <w:rPr>
          <w:rStyle w:val="FootnoteReference"/>
        </w:rPr>
        <w:footnoteReference w:id="1373"/>
      </w:r>
    </w:p>
    <w:p>
      <w:pPr>
        <w:numPr>
          <w:ilvl w:val="0"/>
          <w:numId w:val="1294"/>
        </w:numPr>
        <w:pStyle w:val="Compact"/>
      </w:pPr>
      <w:r>
        <w:t xml:space="preserve">HIPAA wording inconsistent; customer BAA not confirmed</w:t>
      </w:r>
      <w:r>
        <w:t xml:space="preserve"> </w:t>
      </w:r>
      <w:r>
        <w:rPr>
          <w:rStyle w:val="ClaimLabel"/>
        </w:rPr>
        <w:t xml:space="preserve">VF</w:t>
      </w:r>
      <w:r>
        <w:rPr>
          <w:rStyle w:val="FootnoteReference"/>
        </w:rPr>
        <w:footnoteReference w:id="1374"/>
      </w:r>
    </w:p>
    <w:p>
      <w:pPr>
        <w:pStyle w:val="FirstParagraph"/>
      </w:pPr>
      <w:r>
        <w:rPr>
          <w:bCs/>
          <w:b/>
        </w:rPr>
        <w:t xml:space="preserve">Choose when</w:t>
      </w:r>
    </w:p>
    <w:p>
      <w:pPr>
        <w:numPr>
          <w:ilvl w:val="0"/>
          <w:numId w:val="1295"/>
        </w:numPr>
        <w:pStyle w:val="Compact"/>
      </w:pPr>
      <w:r>
        <w:t xml:space="preserve">Open-weight models on dedicated EU endpoints with ZDR on, under a Scale or Enterprise contract</w:t>
      </w:r>
      <w:r>
        <w:t xml:space="preserve"> </w:t>
      </w:r>
      <w:r>
        <w:rPr>
          <w:rStyle w:val="ClaimLabel"/>
        </w:rPr>
        <w:t xml:space="preserve">AJ</w:t>
      </w:r>
    </w:p>
    <w:p>
      <w:pPr>
        <w:pStyle w:val="FirstParagraph"/>
      </w:pPr>
      <w:r>
        <w:rPr>
          <w:bCs/>
          <w:b/>
        </w:rPr>
        <w:t xml:space="preserve">Avoid when</w:t>
      </w:r>
    </w:p>
    <w:p>
      <w:pPr>
        <w:numPr>
          <w:ilvl w:val="0"/>
          <w:numId w:val="1296"/>
        </w:numPr>
        <w:pStyle w:val="Compact"/>
      </w:pPr>
      <w:r>
        <w:t xml:space="preserve">Serverless use with client data, or any use with ZDR left at default</w:t>
      </w:r>
      <w:r>
        <w:t xml:space="preserve"> </w:t>
      </w:r>
      <w:r>
        <w:rPr>
          <w:rStyle w:val="ClaimLabel"/>
        </w:rPr>
        <w:t xml:space="preserve">AJ</w:t>
      </w:r>
    </w:p>
    <w:p>
      <w:pPr>
        <w:pStyle w:val="FirstParagraph"/>
      </w:pPr>
      <w:r>
        <w:rPr>
          <w:bCs/>
          <w:b/>
        </w:rPr>
        <w:t xml:space="preserve">Nearest competitors:</w:t>
      </w:r>
      <w:r>
        <w:t xml:space="preserve"> </w:t>
      </w:r>
      <w:r>
        <w:t xml:space="preserve">L2-fireworks-ai, L2-hugging-face, Hyperscaler model catalogues (Bedrock, Foundry, Vertex)</w:t>
      </w:r>
    </w:p>
    <w:p>
      <w:pPr>
        <w:pStyle w:val="BodyText"/>
      </w:pPr>
      <w:r>
        <w:rPr>
          <w:bCs/>
          <w:b/>
        </w:rPr>
        <w:t xml:space="preserve">Regulated-FS note.</w:t>
      </w:r>
      <w:r>
        <w:t xml:space="preserve"> </w:t>
      </w:r>
      <w:r>
        <w:t xml:space="preserve">Contract ZDR on, EU dedicated endpoints and the PTU SLA; confirm certification scope from the trust centre</w:t>
      </w:r>
      <w:r>
        <w:t xml:space="preserve"> </w:t>
      </w:r>
      <w:r>
        <w:rPr>
          <w:rStyle w:val="ClaimLabel"/>
        </w:rPr>
        <w:t xml:space="preserve">Rec</w:t>
      </w:r>
      <w:r>
        <w:t xml:space="preserve">.</w:t>
      </w:r>
    </w:p>
    <w:p>
      <w:pPr>
        <w:pStyle w:val="BodyText"/>
      </w:pPr>
      <w:r>
        <w:rPr>
          <w:bCs/>
          <w:b/>
        </w:rPr>
        <w:t xml:space="preserve">Facts (as of 2026-10-08)</w:t>
      </w:r>
    </w:p>
    <w:tbl>
      <w:tblPr>
        <w:tblStyle w:val="Table"/>
        <w:tblW w:type="pct" w:w="5000"/>
        <w:tblLook w:firstRow="1" w:lastRow="0" w:firstColumn="0" w:lastColumn="0" w:noHBand="0" w:noVBand="0" w:val="0020"/>
        <w:jc w:val="start"/>
      </w:tblPr>
      <w:tblGrid>
        <w:gridCol w:w="1485"/>
        <w:gridCol w:w="4290"/>
        <w:gridCol w:w="1320"/>
        <w:gridCol w:w="825"/>
      </w:tblGrid>
      <w:tr>
        <w:trPr>
          <w:tblHeader w:val="true"/>
        </w:trPr>
        <w:tc>
          <w:tcPr/>
          <w:p>
            <w:pPr>
              <w:pStyle w:val="Compact"/>
              <w:jc w:val="left"/>
            </w:pPr>
            <w:r>
              <w:t xml:space="preserve">Field</w:t>
            </w:r>
          </w:p>
        </w:tc>
        <w:tc>
          <w:tcPr/>
          <w:p>
            <w:pPr>
              <w:pStyle w:val="Compact"/>
              <w:jc w:val="left"/>
            </w:pPr>
            <w:r>
              <w:t xml:space="preserve">Value</w:t>
            </w:r>
          </w:p>
        </w:tc>
        <w:tc>
          <w:tcPr/>
          <w:p>
            <w:pPr>
              <w:pStyle w:val="Compact"/>
              <w:jc w:val="left"/>
            </w:pPr>
            <w:r>
              <w:t xml:space="preserve">Label</w:t>
            </w:r>
          </w:p>
        </w:tc>
        <w:tc>
          <w:tcPr/>
          <w:p>
            <w:pPr>
              <w:pStyle w:val="Compact"/>
              <w:jc w:val="left"/>
            </w:pPr>
            <w:r>
              <w:t xml:space="preserve">Sources</w:t>
            </w:r>
          </w:p>
        </w:tc>
      </w:tr>
      <w:tr>
        <w:tc>
          <w:tcPr/>
          <w:p>
            <w:pPr>
              <w:pStyle w:val="Compact"/>
              <w:jc w:val="left"/>
            </w:pPr>
            <w:r>
              <w:t xml:space="preserve">Company</w:t>
            </w:r>
          </w:p>
        </w:tc>
        <w:tc>
          <w:tcPr/>
          <w:p>
            <w:pPr>
              <w:pStyle w:val="Compact"/>
              <w:jc w:val="left"/>
            </w:pPr>
            <w:r>
              <w:t xml:space="preserve">Together Computer, Inc. (trading as Together AI); privately held</w:t>
            </w:r>
          </w:p>
        </w:tc>
        <w:tc>
          <w:tcPr/>
          <w:p>
            <w:pPr>
              <w:pStyle w:val="Compact"/>
              <w:jc w:val="left"/>
            </w:pPr>
            <w:r>
              <w:t xml:space="preserve">Verified fact</w:t>
            </w:r>
          </w:p>
        </w:tc>
        <w:tc>
          <w:tcPr/>
          <w:p>
            <w:pPr>
              <w:pStyle w:val="Compact"/>
              <w:jc w:val="left"/>
            </w:pPr>
            <w:r>
              <w:t xml:space="preserve">A4-S132</w:t>
            </w:r>
          </w:p>
        </w:tc>
      </w:tr>
      <w:tr>
        <w:tc>
          <w:tcPr/>
          <w:p>
            <w:pPr>
              <w:pStyle w:val="Compact"/>
              <w:jc w:val="left"/>
            </w:pPr>
            <w:r>
              <w:t xml:space="preserve">Category</w:t>
            </w:r>
          </w:p>
        </w:tc>
        <w:tc>
          <w:tcPr/>
          <w:p>
            <w:pPr>
              <w:pStyle w:val="Compact"/>
              <w:jc w:val="left"/>
            </w:pPr>
            <w:r>
              <w:t xml:space="preserve">AI-native cloud: serverless and dedicated inference for open-weight models, fine-tuning, GPU clusters, provisioned throughput</w:t>
            </w:r>
          </w:p>
        </w:tc>
        <w:tc>
          <w:tcPr/>
          <w:p>
            <w:pPr>
              <w:pStyle w:val="Compact"/>
              <w:jc w:val="left"/>
            </w:pPr>
            <w:r>
              <w:t xml:space="preserve">Verified fact</w:t>
            </w:r>
          </w:p>
        </w:tc>
        <w:tc>
          <w:tcPr/>
          <w:p>
            <w:pPr>
              <w:pStyle w:val="Compact"/>
              <w:jc w:val="left"/>
            </w:pPr>
            <w:r>
              <w:t xml:space="preserve">A4-S131, A4-S093</w:t>
            </w:r>
          </w:p>
        </w:tc>
      </w:tr>
      <w:tr>
        <w:tc>
          <w:tcPr/>
          <w:p>
            <w:pPr>
              <w:pStyle w:val="Compact"/>
              <w:jc w:val="left"/>
            </w:pPr>
            <w:r>
              <w:t xml:space="preserve">Version / lineup</w:t>
            </w:r>
          </w:p>
        </w:tc>
        <w:tc>
          <w:tcPr/>
          <w:p>
            <w:pPr>
              <w:pStyle w:val="Compact"/>
              <w:jc w:val="left"/>
            </w:pPr>
            <w:r>
              <w:t xml:space="preserve">Official SDK together 2.40.0 (7 October 2026); products: serverless inference, dedicated endpoints, Provisioned Throughput (PTU), fine-tuning, GPU clusters (on-demand, reserved, Instant Clusters), container deployments (</w:t>
            </w:r>
            <w:r>
              <w:t xml:space="preserve">‘</w:t>
            </w:r>
            <w:r>
              <w:t xml:space="preserve">Jig</w:t>
            </w:r>
            <w:r>
              <w:t xml:space="preserve">’</w:t>
            </w:r>
            <w:r>
              <w:t xml:space="preserve">, beta)</w:t>
            </w:r>
          </w:p>
        </w:tc>
        <w:tc>
          <w:tcPr/>
          <w:p>
            <w:pPr>
              <w:pStyle w:val="Compact"/>
              <w:jc w:val="left"/>
            </w:pPr>
            <w:r>
              <w:t xml:space="preserve">Verified fact</w:t>
            </w:r>
          </w:p>
        </w:tc>
        <w:tc>
          <w:tcPr/>
          <w:p>
            <w:pPr>
              <w:pStyle w:val="Compact"/>
              <w:jc w:val="left"/>
            </w:pPr>
            <w:r>
              <w:t xml:space="preserve">A4-S093, A4-S131</w:t>
            </w:r>
          </w:p>
        </w:tc>
      </w:tr>
      <w:tr>
        <w:tc>
          <w:tcPr/>
          <w:p>
            <w:pPr>
              <w:pStyle w:val="Compact"/>
              <w:jc w:val="left"/>
            </w:pPr>
            <w:r>
              <w:t xml:space="preserve">Licence</w:t>
            </w:r>
          </w:p>
        </w:tc>
        <w:tc>
          <w:tcPr/>
          <w:p>
            <w:pPr>
              <w:pStyle w:val="Compact"/>
              <w:jc w:val="left"/>
            </w:pPr>
            <w:r>
              <w:t xml:space="preserve">Proprietary cloud service; official Python SDK Apache-2.0</w:t>
            </w:r>
          </w:p>
        </w:tc>
        <w:tc>
          <w:tcPr/>
          <w:p>
            <w:pPr>
              <w:pStyle w:val="Compact"/>
              <w:jc w:val="left"/>
            </w:pPr>
            <w:r>
              <w:t xml:space="preserve">Verified fact</w:t>
            </w:r>
          </w:p>
        </w:tc>
        <w:tc>
          <w:tcPr/>
          <w:p>
            <w:pPr>
              <w:pStyle w:val="Compact"/>
              <w:jc w:val="left"/>
            </w:pPr>
            <w:r>
              <w:t xml:space="preserve">A4-S093</w:t>
            </w:r>
          </w:p>
        </w:tc>
      </w:tr>
      <w:tr>
        <w:tc>
          <w:tcPr/>
          <w:p>
            <w:pPr>
              <w:pStyle w:val="Compact"/>
              <w:jc w:val="left"/>
            </w:pPr>
            <w:r>
              <w:t xml:space="preserve">Status events</w:t>
            </w:r>
          </w:p>
        </w:tc>
        <w:tc>
          <w:tcPr/>
          <w:p>
            <w:pPr>
              <w:pStyle w:val="Compact"/>
              <w:jc w:val="left"/>
            </w:pPr>
            <w:r>
              <w:t xml:space="preserve">February 2025: Series B US$305M at US$3.3B; 1 July 2026: Series C US$800M at US$8.3B post-money (Aramco Ventures lead)</w:t>
            </w:r>
          </w:p>
        </w:tc>
        <w:tc>
          <w:tcPr/>
          <w:p>
            <w:pPr>
              <w:pStyle w:val="Compact"/>
              <w:jc w:val="left"/>
            </w:pPr>
            <w:r>
              <w:t xml:space="preserve">Verified fact</w:t>
            </w:r>
          </w:p>
        </w:tc>
        <w:tc>
          <w:tcPr/>
          <w:p>
            <w:pPr>
              <w:pStyle w:val="Compact"/>
              <w:jc w:val="left"/>
            </w:pPr>
            <w:r>
              <w:t xml:space="preserve">A4-S132, V1-S057</w:t>
            </w:r>
          </w:p>
        </w:tc>
      </w:tr>
      <w:tr>
        <w:tc>
          <w:tcPr/>
          <w:p>
            <w:pPr>
              <w:pStyle w:val="Compact"/>
              <w:jc w:val="left"/>
            </w:pPr>
            <w:r>
              <w:t xml:space="preserve">Strategic direction</w:t>
            </w:r>
          </w:p>
        </w:tc>
        <w:tc>
          <w:tcPr/>
          <w:p>
            <w:pPr>
              <w:pStyle w:val="Compact"/>
              <w:jc w:val="left"/>
            </w:pPr>
            <w:r>
              <w:t xml:space="preserve">Raised US$800M Series C (1 July 2026) to scale its</w:t>
            </w:r>
            <w:r>
              <w:t xml:space="preserve"> </w:t>
            </w:r>
            <w:r>
              <w:t xml:space="preserve">‘</w:t>
            </w:r>
            <w:r>
              <w:t xml:space="preserve">neocloud</w:t>
            </w:r>
            <w:r>
              <w:t xml:space="preserve">’</w:t>
            </w:r>
            <w:r>
              <w:t xml:space="preserve">; reports annual bookings above US$1.15B; adding Provisioned Throughput with SLA and EU dedicated capacity</w:t>
            </w:r>
          </w:p>
        </w:tc>
        <w:tc>
          <w:tcPr/>
          <w:p>
            <w:pPr>
              <w:pStyle w:val="Compact"/>
              <w:jc w:val="left"/>
            </w:pPr>
            <w:r>
              <w:t xml:space="preserve">Verified fact</w:t>
            </w:r>
          </w:p>
        </w:tc>
        <w:tc>
          <w:tcPr/>
          <w:p>
            <w:pPr>
              <w:pStyle w:val="Compact"/>
              <w:jc w:val="left"/>
            </w:pPr>
            <w:r>
              <w:t xml:space="preserve">A4-S132, A4-S131, A4-S130</w:t>
            </w:r>
          </w:p>
        </w:tc>
      </w:tr>
      <w:tr>
        <w:tc>
          <w:tcPr/>
          <w:p>
            <w:pPr>
              <w:pStyle w:val="Compact"/>
              <w:jc w:val="left"/>
            </w:pPr>
            <w:r>
              <w:t xml:space="preserve">What it does</w:t>
            </w:r>
          </w:p>
        </w:tc>
        <w:tc>
          <w:tcPr/>
          <w:p>
            <w:pPr>
              <w:pStyle w:val="Compact"/>
              <w:jc w:val="left"/>
            </w:pPr>
            <w:r>
              <w:t xml:space="preserve">Hosts open-weight models behind serverless per-token APIs and per-minute dedicated endpoints, offers reserved token capacity (PTU), fine-tuning, and on-demand or reserved NVIDIA GPU clusters (H100 to GB300).</w:t>
            </w:r>
          </w:p>
        </w:tc>
        <w:tc>
          <w:tcPr/>
          <w:p>
            <w:pPr>
              <w:pStyle w:val="Compact"/>
              <w:jc w:val="left"/>
            </w:pPr>
            <w:r>
              <w:t xml:space="preserve">Verified fact</w:t>
            </w:r>
          </w:p>
        </w:tc>
        <w:tc>
          <w:tcPr/>
          <w:p>
            <w:pPr>
              <w:pStyle w:val="Compact"/>
              <w:jc w:val="left"/>
            </w:pPr>
            <w:r>
              <w:t xml:space="preserve">A4-S131, A4-S093</w:t>
            </w:r>
          </w:p>
        </w:tc>
      </w:tr>
      <w:tr>
        <w:tc>
          <w:tcPr/>
          <w:p>
            <w:pPr>
              <w:pStyle w:val="Compact"/>
              <w:jc w:val="left"/>
            </w:pPr>
            <w:r>
              <w:t xml:space="preserve">Stack position</w:t>
            </w:r>
          </w:p>
        </w:tc>
        <w:tc>
          <w:tcPr/>
          <w:p>
            <w:pPr>
              <w:pStyle w:val="Compact"/>
              <w:jc w:val="left"/>
            </w:pPr>
            <w:r>
              <w:t xml:space="preserve">Managed inference cloud plus GPU IaaS (L2 and below); routers such as OpenRouter and Hugging Face Inference Providers sit in front of it</w:t>
            </w:r>
          </w:p>
        </w:tc>
        <w:tc>
          <w:tcPr/>
          <w:p>
            <w:pPr>
              <w:pStyle w:val="Compact"/>
              <w:jc w:val="left"/>
            </w:pPr>
            <w:r>
              <w:t xml:space="preserve">Architectural judgement</w:t>
            </w:r>
          </w:p>
        </w:tc>
        <w:tc>
          <w:tcPr/>
          <w:p>
            <w:pPr>
              <w:pStyle w:val="Compact"/>
            </w:pPr>
          </w:p>
        </w:tc>
      </w:tr>
      <w:tr>
        <w:tc>
          <w:tcPr/>
          <w:p>
            <w:pPr>
              <w:pStyle w:val="Compact"/>
              <w:jc w:val="left"/>
            </w:pPr>
            <w:r>
              <w:t xml:space="preserve">Integration</w:t>
            </w:r>
          </w:p>
        </w:tc>
        <w:tc>
          <w:tcPr/>
          <w:p>
            <w:pPr>
              <w:pStyle w:val="Compact"/>
              <w:jc w:val="left"/>
            </w:pPr>
            <w:r>
              <w:t xml:space="preserve">Official Python SDK and CLI; Hugging Face Inference Providers partner</w:t>
            </w:r>
          </w:p>
        </w:tc>
        <w:tc>
          <w:tcPr/>
          <w:p>
            <w:pPr>
              <w:pStyle w:val="Compact"/>
              <w:jc w:val="left"/>
            </w:pPr>
            <w:r>
              <w:t xml:space="preserve">Verified fact</w:t>
            </w:r>
          </w:p>
        </w:tc>
        <w:tc>
          <w:tcPr/>
          <w:p>
            <w:pPr>
              <w:pStyle w:val="Compact"/>
              <w:jc w:val="left"/>
            </w:pPr>
            <w:r>
              <w:t xml:space="preserve">A4-S093, A4-S075</w:t>
            </w:r>
          </w:p>
        </w:tc>
      </w:tr>
      <w:tr>
        <w:tc>
          <w:tcPr/>
          <w:p>
            <w:pPr>
              <w:pStyle w:val="Compact"/>
              <w:jc w:val="left"/>
            </w:pPr>
            <w:r>
              <w:t xml:space="preserve">Dependencies</w:t>
            </w:r>
          </w:p>
        </w:tc>
        <w:tc>
          <w:tcPr/>
          <w:p>
            <w:pPr>
              <w:pStyle w:val="Compact"/>
              <w:jc w:val="left"/>
            </w:pPr>
            <w:r>
              <w:t xml:space="preserve">Together-operated data centres (cluster sites listed in US and Europe: France, Netherlands, Sweden, Romania)</w:t>
            </w:r>
          </w:p>
        </w:tc>
        <w:tc>
          <w:tcPr/>
          <w:p>
            <w:pPr>
              <w:pStyle w:val="Compact"/>
              <w:jc w:val="left"/>
            </w:pPr>
            <w:r>
              <w:t xml:space="preserve">Verified fact</w:t>
            </w:r>
          </w:p>
        </w:tc>
        <w:tc>
          <w:tcPr/>
          <w:p>
            <w:pPr>
              <w:pStyle w:val="Compact"/>
              <w:jc w:val="left"/>
            </w:pPr>
            <w:r>
              <w:t xml:space="preserve">A4-S130</w:t>
            </w:r>
          </w:p>
        </w:tc>
      </w:tr>
      <w:tr>
        <w:tc>
          <w:tcPr/>
          <w:p>
            <w:pPr>
              <w:pStyle w:val="Compact"/>
              <w:jc w:val="left"/>
            </w:pPr>
            <w:r>
              <w:t xml:space="preserve">Certifications</w:t>
            </w:r>
          </w:p>
        </w:tc>
        <w:tc>
          <w:tcPr/>
          <w:p>
            <w:pPr>
              <w:pStyle w:val="Compact"/>
              <w:jc w:val="left"/>
            </w:pPr>
            <w:r>
              <w:t xml:space="preserve">SOC 2 Type 2 and ISO 27001:2022 (vendor blog and product pages); HIPAA described inconsistently (</w:t>
            </w:r>
            <w:r>
              <w:t xml:space="preserve">‘</w:t>
            </w:r>
            <w:r>
              <w:t xml:space="preserve">compliant</w:t>
            </w:r>
            <w:r>
              <w:t xml:space="preserve">’</w:t>
            </w:r>
            <w:r>
              <w:t xml:space="preserve">,</w:t>
            </w:r>
            <w:r>
              <w:t xml:space="preserve"> </w:t>
            </w:r>
            <w:r>
              <w:t xml:space="preserve">‘</w:t>
            </w:r>
            <w:r>
              <w:t xml:space="preserve">HIPAA-aligned</w:t>
            </w:r>
            <w:r>
              <w:t xml:space="preserve">’</w:t>
            </w:r>
            <w:r>
              <w:t xml:space="preserve">,</w:t>
            </w:r>
            <w:r>
              <w:t xml:space="preserve"> </w:t>
            </w:r>
            <w:r>
              <w:t xml:space="preserve">‘</w:t>
            </w:r>
            <w:r>
              <w:t xml:space="preserve">HIPAA-ready</w:t>
            </w:r>
            <w:r>
              <w:t xml:space="preserve">’</w:t>
            </w:r>
            <w:r>
              <w:t xml:space="preserve">) with BAAs mentioned; report scope/dates not seen</w:t>
            </w:r>
          </w:p>
        </w:tc>
        <w:tc>
          <w:tcPr/>
          <w:p>
            <w:pPr>
              <w:pStyle w:val="Compact"/>
              <w:jc w:val="left"/>
            </w:pPr>
            <w:r>
              <w:t xml:space="preserve">Verified fact</w:t>
            </w:r>
          </w:p>
        </w:tc>
        <w:tc>
          <w:tcPr/>
          <w:p>
            <w:pPr>
              <w:pStyle w:val="Compact"/>
              <w:jc w:val="left"/>
            </w:pPr>
            <w:r>
              <w:t xml:space="preserve">A4-S129, V1-S079</w:t>
            </w:r>
          </w:p>
        </w:tc>
      </w:tr>
      <w:tr>
        <w:tc>
          <w:tcPr/>
          <w:p>
            <w:pPr>
              <w:pStyle w:val="Compact"/>
              <w:jc w:val="left"/>
            </w:pPr>
            <w:r>
              <w:t xml:space="preserve">GDPR / residency</w:t>
            </w:r>
          </w:p>
        </w:tc>
        <w:tc>
          <w:tcPr/>
          <w:p>
            <w:pPr>
              <w:pStyle w:val="Compact"/>
              <w:jc w:val="left"/>
            </w:pPr>
            <w:r>
              <w:t xml:space="preserve">ZDR available at organisation level but OFF by default: by default prompts and responses are stored and may be used for product improvement unless ZDR is enabled; training on customer data is opt-in (off by default); metadata retained for billing. Serverless has no region selection; EU dedicated endpoints only on Scale and Enterprise plans</w:t>
            </w:r>
          </w:p>
        </w:tc>
        <w:tc>
          <w:tcPr/>
          <w:p>
            <w:pPr>
              <w:pStyle w:val="Compact"/>
              <w:jc w:val="left"/>
            </w:pPr>
            <w:r>
              <w:t xml:space="preserve">Verified fact</w:t>
            </w:r>
          </w:p>
        </w:tc>
        <w:tc>
          <w:tcPr/>
          <w:p>
            <w:pPr>
              <w:pStyle w:val="Compact"/>
              <w:jc w:val="left"/>
            </w:pPr>
            <w:r>
              <w:t xml:space="preserve">A4-S130</w:t>
            </w:r>
          </w:p>
        </w:tc>
      </w:tr>
      <w:tr>
        <w:tc>
          <w:tcPr/>
          <w:p>
            <w:pPr>
              <w:pStyle w:val="Compact"/>
              <w:jc w:val="left"/>
            </w:pPr>
            <w:r>
              <w:t xml:space="preserve">Security features</w:t>
            </w:r>
          </w:p>
        </w:tc>
        <w:tc>
          <w:tcPr/>
          <w:p>
            <w:pPr>
              <w:pStyle w:val="Compact"/>
              <w:jc w:val="left"/>
            </w:pPr>
            <w:r>
              <w:t xml:space="preserve">Encryption in transit and at rest and audit logging cited for HIPAA programme; private networking/VPC deployments</w:t>
            </w:r>
          </w:p>
        </w:tc>
        <w:tc>
          <w:tcPr/>
          <w:p>
            <w:pPr>
              <w:pStyle w:val="Compact"/>
              <w:jc w:val="left"/>
            </w:pPr>
            <w:r>
              <w:t xml:space="preserve">Verified fact</w:t>
            </w:r>
          </w:p>
        </w:tc>
        <w:tc>
          <w:tcPr/>
          <w:p>
            <w:pPr>
              <w:pStyle w:val="Compact"/>
              <w:jc w:val="left"/>
            </w:pPr>
            <w:r>
              <w:t xml:space="preserve">A4-S129, A4-S130</w:t>
            </w:r>
          </w:p>
        </w:tc>
      </w:tr>
      <w:tr>
        <w:tc>
          <w:tcPr/>
          <w:p>
            <w:pPr>
              <w:pStyle w:val="Compact"/>
              <w:jc w:val="left"/>
            </w:pPr>
            <w:r>
              <w:t xml:space="preserve">Access controls</w:t>
            </w:r>
          </w:p>
        </w:tc>
        <w:tc>
          <w:tcPr/>
          <w:p>
            <w:pPr>
              <w:pStyle w:val="Compact"/>
              <w:jc w:val="left"/>
            </w:pPr>
            <w:r>
              <w:t xml:space="preserve">SSO (SAML/OIDC; Okta, Entra, Google Workspace, JumpCloud) on Scale and Enterprise plans; org/project RBAC (admin/developer) but product-level RBAC for fine-tuning, endpoints and serverless</w:t>
            </w:r>
            <w:r>
              <w:t xml:space="preserve"> </w:t>
            </w:r>
            <w:r>
              <w:t xml:space="preserve">‘</w:t>
            </w:r>
            <w:r>
              <w:t xml:space="preserve">still being rolled out</w:t>
            </w:r>
            <w:r>
              <w:t xml:space="preserve">’</w:t>
            </w:r>
            <w:r>
              <w:t xml:space="preserve">; per-user audit trails for GPU clusters</w:t>
            </w:r>
          </w:p>
        </w:tc>
        <w:tc>
          <w:tcPr/>
          <w:p>
            <w:pPr>
              <w:pStyle w:val="Compact"/>
              <w:jc w:val="left"/>
            </w:pPr>
            <w:r>
              <w:t xml:space="preserve">Verified fact</w:t>
            </w:r>
          </w:p>
        </w:tc>
        <w:tc>
          <w:tcPr/>
          <w:p>
            <w:pPr>
              <w:pStyle w:val="Compact"/>
              <w:jc w:val="left"/>
            </w:pPr>
            <w:r>
              <w:t xml:space="preserve">A4-S151</w:t>
            </w:r>
          </w:p>
        </w:tc>
      </w:tr>
      <w:tr>
        <w:tc>
          <w:tcPr/>
          <w:p>
            <w:pPr>
              <w:pStyle w:val="Compact"/>
              <w:jc w:val="left"/>
            </w:pPr>
            <w:r>
              <w:t xml:space="preserve">Enterprise support</w:t>
            </w:r>
          </w:p>
        </w:tc>
        <w:tc>
          <w:tcPr/>
          <w:p>
            <w:pPr>
              <w:pStyle w:val="Compact"/>
              <w:jc w:val="left"/>
            </w:pPr>
            <w:r>
              <w:t xml:space="preserve">Scale and Enterprise plans; PTUs carry an uptime SLA, serverless does not</w:t>
            </w:r>
          </w:p>
        </w:tc>
        <w:tc>
          <w:tcPr/>
          <w:p>
            <w:pPr>
              <w:pStyle w:val="Compact"/>
              <w:jc w:val="left"/>
            </w:pPr>
            <w:r>
              <w:t xml:space="preserve">Verified fact</w:t>
            </w:r>
          </w:p>
        </w:tc>
        <w:tc>
          <w:tcPr/>
          <w:p>
            <w:pPr>
              <w:pStyle w:val="Compact"/>
              <w:jc w:val="left"/>
            </w:pPr>
            <w:r>
              <w:t xml:space="preserve">A4-S130, A4-S131</w:t>
            </w:r>
          </w:p>
        </w:tc>
      </w:tr>
      <w:tr>
        <w:tc>
          <w:tcPr/>
          <w:p>
            <w:pPr>
              <w:pStyle w:val="Compact"/>
              <w:jc w:val="left"/>
            </w:pPr>
            <w:r>
              <w:t xml:space="preserve">Pricing</w:t>
            </w:r>
          </w:p>
        </w:tc>
        <w:tc>
          <w:tcPr/>
          <w:p>
            <w:pPr>
              <w:pStyle w:val="Compact"/>
              <w:jc w:val="left"/>
            </w:pPr>
            <w:r>
              <w:t xml:space="preserve">Serverless per 1M tokens (in/out), e.g. GPT-OSS 120B US$0.15/US$0.60, Llama 3.3 70B Turbo US$1.04/US$1.04, Kimi K3 US$3.00/US$15.00; dedicated H100 US$3.99/h in docs vs US$5.49/h on pricing page (conflict); GPU clusters on-demand H100 US$3.99, B200 US$8.19 per GPU-hour; PTU US$0.05 per PTU-minute</w:t>
            </w:r>
          </w:p>
        </w:tc>
        <w:tc>
          <w:tcPr/>
          <w:p>
            <w:pPr>
              <w:pStyle w:val="Compact"/>
              <w:jc w:val="left"/>
            </w:pPr>
            <w:r>
              <w:t xml:space="preserve">Verified fact</w:t>
            </w:r>
          </w:p>
        </w:tc>
        <w:tc>
          <w:tcPr/>
          <w:p>
            <w:pPr>
              <w:pStyle w:val="Compact"/>
              <w:jc w:val="left"/>
            </w:pPr>
            <w:r>
              <w:t xml:space="preserve">A4-S131</w:t>
            </w:r>
          </w:p>
        </w:tc>
      </w:tr>
      <w:tr>
        <w:tc>
          <w:tcPr/>
          <w:p>
            <w:pPr>
              <w:pStyle w:val="Compact"/>
              <w:jc w:val="left"/>
            </w:pPr>
            <w:r>
              <w:t xml:space="preserve">Infrastructure cost</w:t>
            </w:r>
          </w:p>
        </w:tc>
        <w:tc>
          <w:tcPr/>
          <w:p>
            <w:pPr>
              <w:pStyle w:val="Compact"/>
              <w:jc w:val="left"/>
            </w:pPr>
            <w:r>
              <w:t xml:space="preserve">Dedicated endpoints bill per running replica-minute regardless of traffic; serverless cheaper for bursty load</w:t>
            </w:r>
          </w:p>
        </w:tc>
        <w:tc>
          <w:tcPr/>
          <w:p>
            <w:pPr>
              <w:pStyle w:val="Compact"/>
              <w:jc w:val="left"/>
            </w:pPr>
            <w:r>
              <w:t xml:space="preserve">Verified fact</w:t>
            </w:r>
          </w:p>
        </w:tc>
        <w:tc>
          <w:tcPr/>
          <w:p>
            <w:pPr>
              <w:pStyle w:val="Compact"/>
              <w:jc w:val="left"/>
            </w:pPr>
            <w:r>
              <w:t xml:space="preserve">A4-S131</w:t>
            </w:r>
          </w:p>
        </w:tc>
      </w:tr>
      <w:tr>
        <w:tc>
          <w:tcPr/>
          <w:p>
            <w:pPr>
              <w:pStyle w:val="Compact"/>
              <w:jc w:val="left"/>
            </w:pPr>
            <w:r>
              <w:t xml:space="preserve">Ecosystem</w:t>
            </w:r>
          </w:p>
        </w:tc>
        <w:tc>
          <w:tcPr/>
          <w:p>
            <w:pPr>
              <w:pStyle w:val="Compact"/>
              <w:jc w:val="left"/>
            </w:pPr>
            <w:r>
              <w:t xml:space="preserve">Hugging Face Inference Providers partner; NVIDIA partner</w:t>
            </w:r>
          </w:p>
        </w:tc>
        <w:tc>
          <w:tcPr/>
          <w:p>
            <w:pPr>
              <w:pStyle w:val="Compact"/>
              <w:jc w:val="left"/>
            </w:pPr>
            <w:r>
              <w:t xml:space="preserve">Verified fact</w:t>
            </w:r>
          </w:p>
        </w:tc>
        <w:tc>
          <w:tcPr/>
          <w:p>
            <w:pPr>
              <w:pStyle w:val="Compact"/>
              <w:jc w:val="left"/>
            </w:pPr>
            <w:r>
              <w:t xml:space="preserve">A4-S075, A4-S132</w:t>
            </w:r>
          </w:p>
        </w:tc>
      </w:tr>
      <w:tr>
        <w:tc>
          <w:tcPr/>
          <w:p>
            <w:pPr>
              <w:pStyle w:val="Compact"/>
              <w:jc w:val="left"/>
            </w:pPr>
            <w:r>
              <w:t xml:space="preserve">Adoption signals</w:t>
            </w:r>
          </w:p>
        </w:tc>
        <w:tc>
          <w:tcPr/>
          <w:p>
            <w:pPr>
              <w:pStyle w:val="Compact"/>
              <w:jc w:val="left"/>
            </w:pPr>
            <w:r>
              <w:t xml:space="preserve">US$800M Series C at US$8.3B (July 2026); annual bookings reported above US$1.15B</w:t>
            </w:r>
          </w:p>
        </w:tc>
        <w:tc>
          <w:tcPr/>
          <w:p>
            <w:pPr>
              <w:pStyle w:val="Compact"/>
              <w:jc w:val="left"/>
            </w:pPr>
            <w:r>
              <w:t xml:space="preserve">Verified fact</w:t>
            </w:r>
          </w:p>
        </w:tc>
        <w:tc>
          <w:tcPr/>
          <w:p>
            <w:pPr>
              <w:pStyle w:val="Compact"/>
              <w:jc w:val="left"/>
            </w:pPr>
            <w:r>
              <w:t xml:space="preserve">A4-S132, V1-S057</w:t>
            </w:r>
          </w:p>
        </w:tc>
      </w:tr>
      <w:tr>
        <w:tc>
          <w:tcPr/>
          <w:p>
            <w:pPr>
              <w:pStyle w:val="Compact"/>
              <w:jc w:val="left"/>
            </w:pPr>
            <w:r>
              <w:t xml:space="preserve">Maturity</w:t>
            </w:r>
          </w:p>
        </w:tc>
        <w:tc>
          <w:tcPr/>
          <w:p>
            <w:pPr>
              <w:pStyle w:val="Compact"/>
              <w:jc w:val="left"/>
            </w:pPr>
            <w:r>
              <w:t xml:space="preserve">SDK first released April 2023; company funded through Series C</w:t>
            </w:r>
          </w:p>
        </w:tc>
        <w:tc>
          <w:tcPr/>
          <w:p>
            <w:pPr>
              <w:pStyle w:val="Compact"/>
              <w:jc w:val="left"/>
            </w:pPr>
            <w:r>
              <w:t xml:space="preserve">Verified fact</w:t>
            </w:r>
          </w:p>
        </w:tc>
        <w:tc>
          <w:tcPr/>
          <w:p>
            <w:pPr>
              <w:pStyle w:val="Compact"/>
              <w:jc w:val="left"/>
            </w:pPr>
            <w:r>
              <w:t xml:space="preserve">A4-S093, A4-S132</w:t>
            </w:r>
          </w:p>
        </w:tc>
      </w:tr>
      <w:tr>
        <w:tc>
          <w:tcPr/>
          <w:p>
            <w:pPr>
              <w:pStyle w:val="Compact"/>
              <w:jc w:val="left"/>
            </w:pPr>
            <w:r>
              <w:t xml:space="preserve">Deployment</w:t>
            </w:r>
          </w:p>
        </w:tc>
        <w:tc>
          <w:tcPr/>
          <w:p>
            <w:pPr>
              <w:pStyle w:val="Compact"/>
              <w:jc w:val="left"/>
            </w:pPr>
            <w:r>
              <w:t xml:space="preserve">saas: Yes (serverless); managed_cloud: Yes (dedicated endpoints, GPU clusters); vpc_byoc: Yes (private networking and VPC-based deployments, incl. EU regions); private_cloud: Yes (dedicated / reserved capacity); self_hosted: No; on_prem: Not publicly verified</w:t>
            </w:r>
          </w:p>
        </w:tc>
        <w:tc>
          <w:tcPr/>
          <w:p>
            <w:pPr>
              <w:pStyle w:val="Compact"/>
            </w:pPr>
          </w:p>
        </w:tc>
        <w:tc>
          <w:tcPr/>
          <w:p>
            <w:pPr>
              <w:pStyle w:val="Compact"/>
            </w:pPr>
          </w:p>
        </w:tc>
      </w:tr>
    </w:tbl>
    <w:bookmarkEnd w:id="1375"/>
    <w:bookmarkStart w:id="1392" w:name="llm-d-l2-llm-d"/>
    <w:p>
      <w:pPr>
        <w:pStyle w:val="Heading2"/>
      </w:pPr>
      <w:r>
        <w:t xml:space="preserve">llm-d (</w:t>
      </w:r>
      <w:r>
        <w:rPr>
          <w:rStyle w:val="VerbatimChar"/>
        </w:rPr>
        <w:t xml:space="preserve">L2-llm-d</w:t>
      </w:r>
      <w:r>
        <w:t xml:space="preserve">)</w:t>
      </w:r>
    </w:p>
    <w:p>
      <w:pPr>
        <w:pStyle w:val="FirstParagraph"/>
      </w:pPr>
      <w:r>
        <w:rPr>
          <w:bCs/>
          <w:b/>
        </w:rPr>
        <w:t xml:space="preserve">Tier:</w:t>
      </w:r>
      <w:r>
        <w:t xml:space="preserve"> </w:t>
      </w:r>
      <w:r>
        <w:t xml:space="preserve">Experimental ·</w:t>
      </w:r>
      <w:r>
        <w:t xml:space="preserve"> </w:t>
      </w:r>
      <w:r>
        <w:rPr>
          <w:bCs/>
          <w:b/>
        </w:rPr>
        <w:t xml:space="preserve">Flags:</w:t>
      </w:r>
      <w:r>
        <w:t xml:space="preserve"> </w:t>
      </w:r>
      <w:r>
        <w:t xml:space="preserve">none ·</w:t>
      </w:r>
      <w:r>
        <w:t xml:space="preserve"> </w:t>
      </w:r>
      <w:r>
        <w:rPr>
          <w:bCs/>
          <w:b/>
        </w:rPr>
        <w:t xml:space="preserve">Original graphic label:</w:t>
      </w:r>
      <w:r>
        <w:t xml:space="preserve"> </w:t>
      </w:r>
      <w:r>
        <w:t xml:space="preserve">not in graphic</w:t>
      </w:r>
    </w:p>
    <w:p>
      <w:pPr>
        <w:pStyle w:val="BodyText"/>
      </w:pPr>
      <w:r>
        <w:rPr>
          <w:iCs/>
          <w:i/>
        </w:rPr>
        <w:t xml:space="preserve">Rationale:</w:t>
      </w:r>
      <w:r>
        <w:t xml:space="preserve"> </w:t>
      </w:r>
      <w:r>
        <w:t xml:space="preserve">The neutral-governance option for the optimisation sub-layer, but pre-1.0 and only Technology Preview support</w:t>
      </w:r>
    </w:p>
    <w:tbl>
      <w:tblPr>
        <w:tblStyle w:val="Table"/>
        <w:tblW w:type="pct" w:w="5000"/>
        <w:tblLook w:firstRow="1" w:lastRow="0" w:firstColumn="0" w:lastColumn="0" w:noHBand="0" w:noVBand="0" w:val="0020"/>
        <w:jc w:val="start"/>
      </w:tblPr>
      <w:tblGrid>
        <w:gridCol w:w="1545"/>
        <w:gridCol w:w="579"/>
        <w:gridCol w:w="5795"/>
      </w:tblGrid>
      <w:tr>
        <w:trPr>
          <w:tblHeader w:val="true"/>
        </w:trPr>
        <w:tc>
          <w:tcPr/>
          <w:p>
            <w:pPr>
              <w:pStyle w:val="Compact"/>
              <w:jc w:val="left"/>
            </w:pPr>
            <w:r>
              <w:t xml:space="preserve">Criterion</w:t>
            </w:r>
          </w:p>
        </w:tc>
        <w:tc>
          <w:tcPr/>
          <w:p>
            <w:pPr>
              <w:pStyle w:val="Compact"/>
              <w:jc w:val="right"/>
            </w:pPr>
            <w:r>
              <w:t xml:space="preserve">Score</w:t>
            </w:r>
          </w:p>
        </w:tc>
        <w:tc>
          <w:tcPr/>
          <w:p>
            <w:pPr>
              <w:pStyle w:val="Compact"/>
              <w:jc w:val="left"/>
            </w:pPr>
            <w:r>
              <w:t xml:space="preserve">Rationale</w:t>
            </w:r>
          </w:p>
        </w:tc>
      </w:tr>
      <w:tr>
        <w:tc>
          <w:tcPr/>
          <w:p>
            <w:pPr>
              <w:pStyle w:val="Compact"/>
              <w:jc w:val="left"/>
            </w:pPr>
            <w:r>
              <w:t xml:space="preserve">Technical</w:t>
            </w:r>
          </w:p>
        </w:tc>
        <w:tc>
          <w:tcPr/>
          <w:p>
            <w:pPr>
              <w:pStyle w:val="Compact"/>
              <w:jc w:val="right"/>
            </w:pPr>
            <w:r>
              <w:t xml:space="preserve">4</w:t>
            </w:r>
          </w:p>
        </w:tc>
        <w:tc>
          <w:tcPr/>
          <w:p>
            <w:pPr>
              <w:pStyle w:val="Compact"/>
              <w:jc w:val="left"/>
            </w:pPr>
            <w:r>
              <w:t xml:space="preserve">Prefix-cache-aware routing, tiered KV cache, PD disaggregation, wide EP</w:t>
            </w:r>
            <w:r>
              <w:t xml:space="preserve"> </w:t>
            </w:r>
            <w:r>
              <w:rPr>
                <w:rStyle w:val="ClaimLabel"/>
              </w:rPr>
              <w:t xml:space="preserve">VF</w:t>
            </w:r>
            <w:r>
              <w:rPr>
                <w:rStyle w:val="FootnoteReference"/>
              </w:rPr>
              <w:footnoteReference w:id="1376"/>
            </w:r>
          </w:p>
        </w:tc>
      </w:tr>
      <w:tr>
        <w:tc>
          <w:tcPr/>
          <w:p>
            <w:pPr>
              <w:pStyle w:val="Compact"/>
              <w:jc w:val="left"/>
            </w:pPr>
            <w:r>
              <w:t xml:space="preserve">Enterprise readiness</w:t>
            </w:r>
          </w:p>
        </w:tc>
        <w:tc>
          <w:tcPr/>
          <w:p>
            <w:pPr>
              <w:pStyle w:val="Compact"/>
              <w:jc w:val="right"/>
            </w:pPr>
            <w:r>
              <w:t xml:space="preserve">3</w:t>
            </w:r>
          </w:p>
        </w:tc>
        <w:tc>
          <w:tcPr/>
          <w:p>
            <w:pPr>
              <w:pStyle w:val="Compact"/>
              <w:jc w:val="left"/>
            </w:pPr>
            <w:r>
              <w:t xml:space="preserve">Rule 2: inherits Kubernetes controls; Red Hat offer is Technology Preview, so the 4 cap applies; 3</w:t>
            </w:r>
            <w:r>
              <w:t xml:space="preserve"> </w:t>
            </w:r>
            <w:r>
              <w:rPr>
                <w:rStyle w:val="ClaimLabel"/>
              </w:rPr>
              <w:t xml:space="preserve">VF</w:t>
            </w:r>
            <w:r>
              <w:rPr>
                <w:rStyle w:val="FootnoteReference"/>
              </w:rPr>
              <w:footnoteReference w:id="1377"/>
            </w:r>
          </w:p>
        </w:tc>
      </w:tr>
      <w:tr>
        <w:tc>
          <w:tcPr/>
          <w:p>
            <w:pPr>
              <w:pStyle w:val="Compact"/>
              <w:jc w:val="left"/>
            </w:pPr>
            <w:r>
              <w:t xml:space="preserve">Security and compliance</w:t>
            </w:r>
          </w:p>
        </w:tc>
        <w:tc>
          <w:tcPr/>
          <w:p>
            <w:pPr>
              <w:pStyle w:val="Compact"/>
              <w:jc w:val="right"/>
            </w:pPr>
            <w:r>
              <w:t xml:space="preserve">2</w:t>
            </w:r>
          </w:p>
        </w:tc>
        <w:tc>
          <w:tcPr/>
          <w:p>
            <w:pPr>
              <w:pStyle w:val="Compact"/>
              <w:jc w:val="left"/>
            </w:pPr>
            <w:r>
              <w:t xml:space="preserve">Rule 2 hygiene: security policy, CVE handling and signing not verified</w:t>
            </w:r>
            <w:r>
              <w:t xml:space="preserve"> </w:t>
            </w:r>
            <w:r>
              <w:rPr>
                <w:rStyle w:val="ClaimLabel"/>
              </w:rPr>
              <w:t xml:space="preserve">NPV</w:t>
            </w:r>
          </w:p>
        </w:tc>
      </w:tr>
      <w:tr>
        <w:tc>
          <w:tcPr/>
          <w:p>
            <w:pPr>
              <w:pStyle w:val="Compact"/>
              <w:jc w:val="left"/>
            </w:pPr>
            <w:r>
              <w:t xml:space="preserve">Deployment flexibility</w:t>
            </w:r>
          </w:p>
        </w:tc>
        <w:tc>
          <w:tcPr/>
          <w:p>
            <w:pPr>
              <w:pStyle w:val="Compact"/>
              <w:jc w:val="right"/>
            </w:pPr>
            <w:r>
              <w:t xml:space="preserve">4</w:t>
            </w:r>
          </w:p>
        </w:tc>
        <w:tc>
          <w:tcPr/>
          <w:p>
            <w:pPr>
              <w:pStyle w:val="Compact"/>
              <w:jc w:val="left"/>
            </w:pPr>
            <w:r>
              <w:t xml:space="preserve">Self-host, VPC, private cloud, on-prem on Kubernetes; no SaaS</w:t>
            </w:r>
            <w:r>
              <w:t xml:space="preserve"> </w:t>
            </w:r>
            <w:r>
              <w:rPr>
                <w:rStyle w:val="ClaimLabel"/>
              </w:rPr>
              <w:t xml:space="preserve">VF</w:t>
            </w:r>
            <w:r>
              <w:rPr>
                <w:rStyle w:val="FootnoteReference"/>
              </w:rPr>
              <w:footnoteReference w:id="1379"/>
            </w:r>
          </w:p>
        </w:tc>
      </w:tr>
      <w:tr>
        <w:tc>
          <w:tcPr/>
          <w:p>
            <w:pPr>
              <w:pStyle w:val="Compact"/>
              <w:jc w:val="left"/>
            </w:pPr>
            <w:r>
              <w:t xml:space="preserve">Ecosystem</w:t>
            </w:r>
          </w:p>
        </w:tc>
        <w:tc>
          <w:tcPr/>
          <w:p>
            <w:pPr>
              <w:pStyle w:val="Compact"/>
              <w:jc w:val="right"/>
            </w:pPr>
            <w:r>
              <w:t xml:space="preserve">4</w:t>
            </w:r>
          </w:p>
        </w:tc>
        <w:tc>
          <w:tcPr/>
          <w:p>
            <w:pPr>
              <w:pStyle w:val="Compact"/>
              <w:jc w:val="left"/>
            </w:pPr>
            <w:r>
              <w:t xml:space="preserve">vLLM, SGLang, KServe, Gateway API Inference Extension; broad founding coalition</w:t>
            </w:r>
            <w:r>
              <w:t xml:space="preserve"> </w:t>
            </w:r>
            <w:r>
              <w:rPr>
                <w:rStyle w:val="ClaimLabel"/>
              </w:rPr>
              <w:t xml:space="preserve">VF</w:t>
            </w:r>
            <w:r>
              <w:rPr>
                <w:rStyle w:val="FootnoteReference"/>
              </w:rPr>
              <w:footnoteReference w:id="1380"/>
            </w:r>
          </w:p>
        </w:tc>
      </w:tr>
      <w:tr>
        <w:tc>
          <w:tcPr/>
          <w:p>
            <w:pPr>
              <w:pStyle w:val="Compact"/>
              <w:jc w:val="left"/>
            </w:pPr>
            <w:r>
              <w:t xml:space="preserve">Reliability and maturity</w:t>
            </w:r>
          </w:p>
        </w:tc>
        <w:tc>
          <w:tcPr/>
          <w:p>
            <w:pPr>
              <w:pStyle w:val="Compact"/>
              <w:jc w:val="right"/>
            </w:pPr>
            <w:r>
              <w:t xml:space="preserve">2</w:t>
            </w:r>
          </w:p>
        </w:tc>
        <w:tc>
          <w:tcPr/>
          <w:p>
            <w:pPr>
              <w:pStyle w:val="Compact"/>
              <w:jc w:val="left"/>
            </w:pPr>
            <w:r>
              <w:t xml:space="preserve">CNCF sandbox, v0.7; Technology Preview support</w:t>
            </w:r>
            <w:r>
              <w:t xml:space="preserve"> </w:t>
            </w:r>
            <w:r>
              <w:rPr>
                <w:rStyle w:val="ClaimLabel"/>
              </w:rPr>
              <w:t xml:space="preserve">VF</w:t>
            </w:r>
            <w:r>
              <w:rPr>
                <w:rStyle w:val="FootnoteReference"/>
              </w:rPr>
              <w:footnoteReference w:id="1382"/>
            </w:r>
          </w:p>
        </w:tc>
      </w:tr>
      <w:tr>
        <w:tc>
          <w:tcPr/>
          <w:p>
            <w:pPr>
              <w:pStyle w:val="Compact"/>
              <w:jc w:val="left"/>
            </w:pPr>
            <w:r>
              <w:t xml:space="preserve">Cost / TCO</w:t>
            </w:r>
          </w:p>
        </w:tc>
        <w:tc>
          <w:tcPr/>
          <w:p>
            <w:pPr>
              <w:pStyle w:val="Compact"/>
              <w:jc w:val="right"/>
            </w:pPr>
            <w:r>
              <w:t xml:space="preserve">3</w:t>
            </w:r>
          </w:p>
        </w:tc>
        <w:tc>
          <w:tcPr/>
          <w:p>
            <w:pPr>
              <w:pStyle w:val="Compact"/>
              <w:jc w:val="left"/>
            </w:pPr>
            <w:r>
              <w:t xml:space="preserve">Free; heavy Kubernetes and GPU operations</w:t>
            </w:r>
            <w:r>
              <w:t xml:space="preserve"> </w:t>
            </w:r>
            <w:r>
              <w:rPr>
                <w:rStyle w:val="ClaimLabel"/>
              </w:rPr>
              <w:t xml:space="preserve">AJ</w:t>
            </w:r>
          </w:p>
        </w:tc>
      </w:tr>
      <w:tr>
        <w:tc>
          <w:tcPr/>
          <w:p>
            <w:pPr>
              <w:pStyle w:val="Compact"/>
              <w:jc w:val="left"/>
            </w:pPr>
            <w:r>
              <w:t xml:space="preserve">Lock-in / portability</w:t>
            </w:r>
          </w:p>
        </w:tc>
        <w:tc>
          <w:tcPr/>
          <w:p>
            <w:pPr>
              <w:pStyle w:val="Compact"/>
              <w:jc w:val="right"/>
            </w:pPr>
            <w:r>
              <w:t xml:space="preserve">5</w:t>
            </w:r>
          </w:p>
        </w:tc>
        <w:tc>
          <w:tcPr/>
          <w:p>
            <w:pPr>
              <w:pStyle w:val="Compact"/>
              <w:jc w:val="left"/>
            </w:pPr>
            <w:r>
              <w:t xml:space="preserve">Apache-2.0 under CNCF neutral governance</w:t>
            </w:r>
            <w:r>
              <w:t xml:space="preserve"> </w:t>
            </w:r>
            <w:r>
              <w:rPr>
                <w:rStyle w:val="ClaimLabel"/>
              </w:rPr>
              <w:t xml:space="preserve">VF</w:t>
            </w:r>
            <w:r>
              <w:rPr>
                <w:rStyle w:val="FootnoteReference"/>
              </w:rPr>
              <w:footnoteReference w:id="1383"/>
            </w:r>
          </w:p>
        </w:tc>
      </w:tr>
      <w:tr>
        <w:tc>
          <w:tcPr/>
          <w:p>
            <w:pPr>
              <w:pStyle w:val="Compact"/>
              <w:jc w:val="left"/>
            </w:pPr>
            <w:r>
              <w:rPr>
                <w:bCs/>
                <w:b/>
              </w:rPr>
              <w:t xml:space="preserve">Total (generic / FS)</w:t>
            </w:r>
          </w:p>
        </w:tc>
        <w:tc>
          <w:tcPr/>
          <w:p>
            <w:pPr>
              <w:pStyle w:val="Compact"/>
              <w:jc w:val="right"/>
            </w:pPr>
            <w:r>
              <w:rPr>
                <w:bCs/>
                <w:b/>
              </w:rPr>
              <w:t xml:space="preserve">3.30 / 3.35</w:t>
            </w:r>
          </w:p>
        </w:tc>
        <w:tc>
          <w:tcPr/>
          <w:p>
            <w:pPr>
              <w:pStyle w:val="Compact"/>
            </w:pPr>
          </w:p>
        </w:tc>
      </w:tr>
    </w:tbl>
    <w:p>
      <w:pPr>
        <w:pStyle w:val="BodyText"/>
      </w:pPr>
      <w:r>
        <w:rPr>
          <w:iCs/>
          <w:i/>
        </w:rPr>
        <w:t xml:space="preserve">Evidence rules applied:</w:t>
      </w:r>
      <w:r>
        <w:t xml:space="preserve"> </w:t>
      </w:r>
      <w:r>
        <w:t xml:space="preserve">enterprise_readiness capped at 4 (rule 2, support is Technology Preview only); not binding at 3</w:t>
      </w:r>
    </w:p>
    <w:p>
      <w:pPr>
        <w:pStyle w:val="BodyText"/>
      </w:pPr>
      <w:r>
        <w:rPr>
          <w:bCs/>
          <w:b/>
        </w:rPr>
        <w:t xml:space="preserve">Capabilities.</w:t>
      </w:r>
      <w:r>
        <w:t xml:space="preserve"> </w:t>
      </w:r>
      <w:r>
        <w:t xml:space="preserve">Apache-2.0 Kubernetes-native distributed inference stack above vLLM and SGLang: prefix-cache- and load-aware routing, tiered KV-cache management, PD disaggregation, wide expert parallelism and SLO-aware autoscaling; CNCF sandbox project (March 2026) founded by Red Hat, Google Cloud, IBM Research, CoreWeave and NVIDIA; v0.7 in May 2026</w:t>
      </w:r>
      <w:r>
        <w:t xml:space="preserve"> </w:t>
      </w:r>
      <w:r>
        <w:rPr>
          <w:rStyle w:val="ClaimLabel"/>
        </w:rPr>
        <w:t xml:space="preserve">VF</w:t>
      </w:r>
      <w:r>
        <w:rPr>
          <w:rStyle w:val="FootnoteReference"/>
        </w:rPr>
        <w:footnoteReference w:id="1384"/>
      </w:r>
      <w:r>
        <w:t xml:space="preserve">. Red Hat supports it only as a Technology Preview</w:t>
      </w:r>
      <w:r>
        <w:t xml:space="preserve"> </w:t>
      </w:r>
      <w:r>
        <w:rPr>
          <w:rStyle w:val="ClaimLabel"/>
        </w:rPr>
        <w:t xml:space="preserve">VF</w:t>
      </w:r>
      <w:r>
        <w:rPr>
          <w:rStyle w:val="FootnoteReference"/>
        </w:rPr>
        <w:footnoteReference w:id="1385"/>
      </w:r>
      <w:r>
        <w:t xml:space="preserve">.</w:t>
      </w:r>
    </w:p>
    <w:p>
      <w:pPr>
        <w:pStyle w:val="BodyText"/>
      </w:pPr>
      <w:r>
        <w:rPr>
          <w:bCs/>
          <w:b/>
        </w:rPr>
        <w:t xml:space="preserve">Strengths</w:t>
      </w:r>
    </w:p>
    <w:p>
      <w:pPr>
        <w:numPr>
          <w:ilvl w:val="0"/>
          <w:numId w:val="1297"/>
        </w:numPr>
        <w:pStyle w:val="Compact"/>
      </w:pPr>
      <w:r>
        <w:t xml:space="preserve">Neutral governance (CNCF) and multi-vendor founders</w:t>
      </w:r>
      <w:r>
        <w:t xml:space="preserve"> </w:t>
      </w:r>
      <w:r>
        <w:rPr>
          <w:rStyle w:val="ClaimLabel"/>
        </w:rPr>
        <w:t xml:space="preserve">VF</w:t>
      </w:r>
      <w:r>
        <w:rPr>
          <w:rStyle w:val="FootnoteReference"/>
        </w:rPr>
        <w:footnoteReference w:id="1386"/>
      </w:r>
    </w:p>
    <w:p>
      <w:pPr>
        <w:numPr>
          <w:ilvl w:val="0"/>
          <w:numId w:val="1297"/>
        </w:numPr>
        <w:pStyle w:val="Compact"/>
      </w:pPr>
      <w:r>
        <w:t xml:space="preserve">Builds on the Kubernetes Gateway API Inference Extension rather than a private router</w:t>
      </w:r>
      <w:r>
        <w:t xml:space="preserve"> </w:t>
      </w:r>
      <w:r>
        <w:rPr>
          <w:rStyle w:val="ClaimLabel"/>
        </w:rPr>
        <w:t xml:space="preserve">VF</w:t>
      </w:r>
      <w:r>
        <w:rPr>
          <w:rStyle w:val="FootnoteReference"/>
        </w:rPr>
        <w:footnoteReference w:id="1387"/>
      </w:r>
    </w:p>
    <w:p>
      <w:pPr>
        <w:pStyle w:val="FirstParagraph"/>
      </w:pPr>
      <w:r>
        <w:rPr>
          <w:bCs/>
          <w:b/>
        </w:rPr>
        <w:t xml:space="preserve">Limitations and risks</w:t>
      </w:r>
    </w:p>
    <w:p>
      <w:pPr>
        <w:numPr>
          <w:ilvl w:val="0"/>
          <w:numId w:val="1298"/>
        </w:numPr>
        <w:pStyle w:val="Compact"/>
      </w:pPr>
      <w:r>
        <w:t xml:space="preserve">Pre-1.0 (v0.7) and sandbox stage</w:t>
      </w:r>
      <w:r>
        <w:t xml:space="preserve"> </w:t>
      </w:r>
      <w:r>
        <w:rPr>
          <w:rStyle w:val="ClaimLabel"/>
        </w:rPr>
        <w:t xml:space="preserve">VF</w:t>
      </w:r>
      <w:r>
        <w:rPr>
          <w:rStyle w:val="FootnoteReference"/>
        </w:rPr>
        <w:footnoteReference w:id="1388"/>
      </w:r>
    </w:p>
    <w:p>
      <w:pPr>
        <w:numPr>
          <w:ilvl w:val="0"/>
          <w:numId w:val="1298"/>
        </w:numPr>
        <w:pStyle w:val="Compact"/>
      </w:pPr>
      <w:r>
        <w:t xml:space="preserve">Vendor support is Technology Preview, not covered by production SLAs</w:t>
      </w:r>
      <w:r>
        <w:t xml:space="preserve"> </w:t>
      </w:r>
      <w:r>
        <w:rPr>
          <w:rStyle w:val="ClaimLabel"/>
        </w:rPr>
        <w:t xml:space="preserve">VF</w:t>
      </w:r>
      <w:r>
        <w:rPr>
          <w:rStyle w:val="FootnoteReference"/>
        </w:rPr>
        <w:footnoteReference w:id="1389"/>
      </w:r>
    </w:p>
    <w:p>
      <w:pPr>
        <w:numPr>
          <w:ilvl w:val="0"/>
          <w:numId w:val="1298"/>
        </w:numPr>
        <w:pStyle w:val="Compact"/>
      </w:pPr>
      <w:r>
        <w:t xml:space="preserve">Needs Kubernetes and data-centre accelerators</w:t>
      </w:r>
      <w:r>
        <w:t xml:space="preserve"> </w:t>
      </w:r>
      <w:r>
        <w:rPr>
          <w:rStyle w:val="ClaimLabel"/>
        </w:rPr>
        <w:t xml:space="preserve">VF</w:t>
      </w:r>
      <w:r>
        <w:rPr>
          <w:rStyle w:val="FootnoteReference"/>
        </w:rPr>
        <w:footnoteReference w:id="1390"/>
      </w:r>
    </w:p>
    <w:p>
      <w:pPr>
        <w:pStyle w:val="FirstParagraph"/>
      </w:pPr>
      <w:r>
        <w:rPr>
          <w:bCs/>
          <w:b/>
        </w:rPr>
        <w:t xml:space="preserve">Choose when</w:t>
      </w:r>
    </w:p>
    <w:p>
      <w:pPr>
        <w:numPr>
          <w:ilvl w:val="0"/>
          <w:numId w:val="1299"/>
        </w:numPr>
        <w:pStyle w:val="Compact"/>
      </w:pPr>
      <w:r>
        <w:t xml:space="preserve">Kubernetes is your platform standard and you are building a multi-model internal inference service</w:t>
      </w:r>
      <w:r>
        <w:t xml:space="preserve"> </w:t>
      </w:r>
      <w:r>
        <w:rPr>
          <w:rStyle w:val="ClaimLabel"/>
        </w:rPr>
        <w:t xml:space="preserve">AJ</w:t>
      </w:r>
    </w:p>
    <w:p>
      <w:pPr>
        <w:pStyle w:val="FirstParagraph"/>
      </w:pPr>
      <w:r>
        <w:rPr>
          <w:bCs/>
          <w:b/>
        </w:rPr>
        <w:t xml:space="preserve">Avoid when</w:t>
      </w:r>
    </w:p>
    <w:p>
      <w:pPr>
        <w:numPr>
          <w:ilvl w:val="0"/>
          <w:numId w:val="1300"/>
        </w:numPr>
        <w:pStyle w:val="Compact"/>
      </w:pPr>
      <w:r>
        <w:t xml:space="preserve">You need production-supported software now</w:t>
      </w:r>
      <w:r>
        <w:t xml:space="preserve"> </w:t>
      </w:r>
      <w:r>
        <w:rPr>
          <w:rStyle w:val="ClaimLabel"/>
        </w:rPr>
        <w:t xml:space="preserve">VF</w:t>
      </w:r>
      <w:r>
        <w:rPr>
          <w:rStyle w:val="FootnoteReference"/>
        </w:rPr>
        <w:footnoteReference w:id="1391"/>
      </w:r>
      <w:r>
        <w:t xml:space="preserve"> </w:t>
      </w:r>
      <w:r>
        <w:rPr>
          <w:rStyle w:val="ClaimLabel"/>
        </w:rPr>
        <w:t xml:space="preserve">AJ</w:t>
      </w:r>
    </w:p>
    <w:p>
      <w:pPr>
        <w:numPr>
          <w:ilvl w:val="0"/>
          <w:numId w:val="1300"/>
        </w:numPr>
        <w:pStyle w:val="Compact"/>
      </w:pPr>
      <w:r>
        <w:t xml:space="preserve">Volumes do not justify multi-replica routing</w:t>
      </w:r>
      <w:r>
        <w:t xml:space="preserve"> </w:t>
      </w:r>
      <w:r>
        <w:rPr>
          <w:rStyle w:val="ClaimLabel"/>
        </w:rPr>
        <w:t xml:space="preserve">AJ</w:t>
      </w:r>
    </w:p>
    <w:p>
      <w:pPr>
        <w:pStyle w:val="FirstParagraph"/>
      </w:pPr>
      <w:r>
        <w:rPr>
          <w:bCs/>
          <w:b/>
        </w:rPr>
        <w:t xml:space="preserve">Nearest competitors:</w:t>
      </w:r>
      <w:r>
        <w:t xml:space="preserve"> </w:t>
      </w:r>
      <w:r>
        <w:t xml:space="preserve">L2-nvidia-dynamo, L2-vllm, KServe</w:t>
      </w:r>
    </w:p>
    <w:p>
      <w:pPr>
        <w:pStyle w:val="BodyText"/>
      </w:pPr>
      <w:r>
        <w:rPr>
          <w:bCs/>
          <w:b/>
        </w:rPr>
        <w:t xml:space="preserve">Regulated-FS note.</w:t>
      </w:r>
      <w:r>
        <w:t xml:space="preserve"> </w:t>
      </w:r>
      <w:r>
        <w:t xml:space="preserve">Pilot in non-production with Red Hat or GKE; revisit at 1.0 and at Red Hat GA support</w:t>
      </w:r>
      <w:r>
        <w:t xml:space="preserve"> </w:t>
      </w:r>
      <w:r>
        <w:rPr>
          <w:rStyle w:val="ClaimLabel"/>
        </w:rPr>
        <w:t xml:space="preserve">Rec</w:t>
      </w:r>
      <w:r>
        <w:t xml:space="preserve">.</w:t>
      </w:r>
    </w:p>
    <w:p>
      <w:pPr>
        <w:pStyle w:val="BodyText"/>
      </w:pPr>
      <w:r>
        <w:rPr>
          <w:bCs/>
          <w:b/>
        </w:rPr>
        <w:t xml:space="preserve">Facts (as of 2026-10-07)</w:t>
      </w:r>
    </w:p>
    <w:tbl>
      <w:tblPr>
        <w:tblStyle w:val="Table"/>
        <w:tblW w:type="pct" w:w="5000"/>
        <w:tblLook w:firstRow="1" w:lastRow="0" w:firstColumn="0" w:lastColumn="0" w:noHBand="0" w:noVBand="0" w:val="0020"/>
        <w:jc w:val="start"/>
      </w:tblPr>
      <w:tblGrid>
        <w:gridCol w:w="1485"/>
        <w:gridCol w:w="4290"/>
        <w:gridCol w:w="1320"/>
        <w:gridCol w:w="825"/>
      </w:tblGrid>
      <w:tr>
        <w:trPr>
          <w:tblHeader w:val="true"/>
        </w:trPr>
        <w:tc>
          <w:tcPr/>
          <w:p>
            <w:pPr>
              <w:pStyle w:val="Compact"/>
              <w:jc w:val="left"/>
            </w:pPr>
            <w:r>
              <w:t xml:space="preserve">Field</w:t>
            </w:r>
          </w:p>
        </w:tc>
        <w:tc>
          <w:tcPr/>
          <w:p>
            <w:pPr>
              <w:pStyle w:val="Compact"/>
              <w:jc w:val="left"/>
            </w:pPr>
            <w:r>
              <w:t xml:space="preserve">Value</w:t>
            </w:r>
          </w:p>
        </w:tc>
        <w:tc>
          <w:tcPr/>
          <w:p>
            <w:pPr>
              <w:pStyle w:val="Compact"/>
              <w:jc w:val="left"/>
            </w:pPr>
            <w:r>
              <w:t xml:space="preserve">Label</w:t>
            </w:r>
          </w:p>
        </w:tc>
        <w:tc>
          <w:tcPr/>
          <w:p>
            <w:pPr>
              <w:pStyle w:val="Compact"/>
              <w:jc w:val="left"/>
            </w:pPr>
            <w:r>
              <w:t xml:space="preserve">Sources</w:t>
            </w:r>
          </w:p>
        </w:tc>
      </w:tr>
      <w:tr>
        <w:tc>
          <w:tcPr/>
          <w:p>
            <w:pPr>
              <w:pStyle w:val="Compact"/>
              <w:jc w:val="left"/>
            </w:pPr>
            <w:r>
              <w:t xml:space="preserve">Company</w:t>
            </w:r>
          </w:p>
        </w:tc>
        <w:tc>
          <w:tcPr/>
          <w:p>
            <w:pPr>
              <w:pStyle w:val="Compact"/>
              <w:jc w:val="left"/>
            </w:pPr>
            <w:r>
              <w:t xml:space="preserve">llm-d project (CNCF sandbox; founded by Red Hat, Google Cloud, IBM Research, CoreWeave and NVIDIA)</w:t>
            </w:r>
          </w:p>
        </w:tc>
        <w:tc>
          <w:tcPr/>
          <w:p>
            <w:pPr>
              <w:pStyle w:val="Compact"/>
              <w:jc w:val="left"/>
            </w:pPr>
            <w:r>
              <w:t xml:space="preserve">Verified fact</w:t>
            </w:r>
          </w:p>
        </w:tc>
        <w:tc>
          <w:tcPr/>
          <w:p>
            <w:pPr>
              <w:pStyle w:val="Compact"/>
              <w:jc w:val="left"/>
            </w:pPr>
            <w:r>
              <w:t xml:space="preserve">A4-S089, A4-S062</w:t>
            </w:r>
          </w:p>
        </w:tc>
      </w:tr>
      <w:tr>
        <w:tc>
          <w:tcPr/>
          <w:p>
            <w:pPr>
              <w:pStyle w:val="Compact"/>
              <w:jc w:val="left"/>
            </w:pPr>
            <w:r>
              <w:t xml:space="preserve">Category</w:t>
            </w:r>
          </w:p>
        </w:tc>
        <w:tc>
          <w:tcPr/>
          <w:p>
            <w:pPr>
              <w:pStyle w:val="Compact"/>
              <w:jc w:val="left"/>
            </w:pPr>
            <w:r>
              <w:t xml:space="preserve">Kubernetes-native distributed inference serving stack above model servers</w:t>
            </w:r>
          </w:p>
        </w:tc>
        <w:tc>
          <w:tcPr/>
          <w:p>
            <w:pPr>
              <w:pStyle w:val="Compact"/>
              <w:jc w:val="left"/>
            </w:pPr>
            <w:r>
              <w:t xml:space="preserve">Verified fact</w:t>
            </w:r>
          </w:p>
        </w:tc>
        <w:tc>
          <w:tcPr/>
          <w:p>
            <w:pPr>
              <w:pStyle w:val="Compact"/>
              <w:jc w:val="left"/>
            </w:pPr>
            <w:r>
              <w:t xml:space="preserve">A4-S089</w:t>
            </w:r>
          </w:p>
        </w:tc>
      </w:tr>
      <w:tr>
        <w:tc>
          <w:tcPr/>
          <w:p>
            <w:pPr>
              <w:pStyle w:val="Compact"/>
              <w:jc w:val="left"/>
            </w:pPr>
            <w:r>
              <w:t xml:space="preserve">Version / lineup</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Licence</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Status events</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Strategic direction</w:t>
            </w:r>
          </w:p>
        </w:tc>
        <w:tc>
          <w:tcPr/>
          <w:p>
            <w:pPr>
              <w:pStyle w:val="Compact"/>
              <w:jc w:val="left"/>
            </w:pPr>
            <w:r>
              <w:t xml:space="preserve">Launched 20 May 2025 (Google Cloud as founding contributor) building on vLLM and the Gateway API Inference Extension (GKE Inference Gateway)</w:t>
            </w:r>
          </w:p>
        </w:tc>
        <w:tc>
          <w:tcPr/>
          <w:p>
            <w:pPr>
              <w:pStyle w:val="Compact"/>
              <w:jc w:val="left"/>
            </w:pPr>
            <w:r>
              <w:t xml:space="preserve">Verified fact</w:t>
            </w:r>
          </w:p>
        </w:tc>
        <w:tc>
          <w:tcPr/>
          <w:p>
            <w:pPr>
              <w:pStyle w:val="Compact"/>
              <w:jc w:val="left"/>
            </w:pPr>
            <w:r>
              <w:t xml:space="preserve">A4-S062</w:t>
            </w:r>
          </w:p>
        </w:tc>
      </w:tr>
      <w:tr>
        <w:tc>
          <w:tcPr/>
          <w:p>
            <w:pPr>
              <w:pStyle w:val="Compact"/>
              <w:jc w:val="left"/>
            </w:pPr>
            <w:r>
              <w:t xml:space="preserve">What it does</w:t>
            </w:r>
          </w:p>
        </w:tc>
        <w:tc>
          <w:tcPr/>
          <w:p>
            <w:pPr>
              <w:pStyle w:val="Compact"/>
              <w:jc w:val="left"/>
            </w:pPr>
            <w:r>
              <w:t xml:space="preserve">Intelligent prefix-cache- and load-aware routing, tiered KV-cache management, PD disaggregation and wide expert parallelism, SLO-aware autoscaling and batch APIs, on top of vLLM/SGLang.</w:t>
            </w:r>
          </w:p>
        </w:tc>
        <w:tc>
          <w:tcPr/>
          <w:p>
            <w:pPr>
              <w:pStyle w:val="Compact"/>
              <w:jc w:val="left"/>
            </w:pPr>
            <w:r>
              <w:t xml:space="preserve">Verified fact</w:t>
            </w:r>
          </w:p>
        </w:tc>
        <w:tc>
          <w:tcPr/>
          <w:p>
            <w:pPr>
              <w:pStyle w:val="Compact"/>
              <w:jc w:val="left"/>
            </w:pPr>
            <w:r>
              <w:t xml:space="preserve">A4-S089</w:t>
            </w:r>
          </w:p>
        </w:tc>
      </w:tr>
      <w:tr>
        <w:tc>
          <w:tcPr/>
          <w:p>
            <w:pPr>
              <w:pStyle w:val="Compact"/>
              <w:jc w:val="left"/>
            </w:pPr>
            <w:r>
              <w:t xml:space="preserve">Stack position</w:t>
            </w:r>
          </w:p>
        </w:tc>
        <w:tc>
          <w:tcPr/>
          <w:p>
            <w:pPr>
              <w:pStyle w:val="Compact"/>
              <w:jc w:val="left"/>
            </w:pPr>
            <w:r>
              <w:t xml:space="preserve">Inference optimisation / routing sub-layer above serving engines (H1)</w:t>
            </w:r>
          </w:p>
        </w:tc>
        <w:tc>
          <w:tcPr/>
          <w:p>
            <w:pPr>
              <w:pStyle w:val="Compact"/>
              <w:jc w:val="left"/>
            </w:pPr>
            <w:r>
              <w:t xml:space="preserve">Verified fact</w:t>
            </w:r>
          </w:p>
        </w:tc>
        <w:tc>
          <w:tcPr/>
          <w:p>
            <w:pPr>
              <w:pStyle w:val="Compact"/>
              <w:jc w:val="left"/>
            </w:pPr>
            <w:r>
              <w:t xml:space="preserve">A4-S089</w:t>
            </w:r>
          </w:p>
        </w:tc>
      </w:tr>
      <w:tr>
        <w:tc>
          <w:tcPr/>
          <w:p>
            <w:pPr>
              <w:pStyle w:val="Compact"/>
              <w:jc w:val="left"/>
            </w:pPr>
            <w:r>
              <w:t xml:space="preserve">Integration</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Dependencies</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Certifications</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GDPR / residency</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Security features</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Access controls</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Enterprise support</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Pricing</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Infrastructure cost</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Ecosystem</w:t>
            </w:r>
          </w:p>
        </w:tc>
        <w:tc>
          <w:tcPr/>
          <w:p>
            <w:pPr>
              <w:pStyle w:val="Compact"/>
              <w:jc w:val="left"/>
            </w:pPr>
            <w:r>
              <w:t xml:space="preserve">vLLM, SGLang, Kubernetes, KServe; partners incl. AMD, Cisco, Hugging Face, Intel, Lambda, Mistral AI</w:t>
            </w:r>
          </w:p>
        </w:tc>
        <w:tc>
          <w:tcPr/>
          <w:p>
            <w:pPr>
              <w:pStyle w:val="Compact"/>
              <w:jc w:val="left"/>
            </w:pPr>
            <w:r>
              <w:t xml:space="preserve">Verified fact</w:t>
            </w:r>
          </w:p>
        </w:tc>
        <w:tc>
          <w:tcPr/>
          <w:p>
            <w:pPr>
              <w:pStyle w:val="Compact"/>
              <w:jc w:val="left"/>
            </w:pPr>
            <w:r>
              <w:t xml:space="preserve">A4-S089, A4-S062</w:t>
            </w:r>
          </w:p>
        </w:tc>
      </w:tr>
      <w:tr>
        <w:tc>
          <w:tcPr/>
          <w:p>
            <w:pPr>
              <w:pStyle w:val="Compact"/>
              <w:jc w:val="left"/>
            </w:pPr>
            <w:r>
              <w:t xml:space="preserve">Adoption signals</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Maturity</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Deployment</w:t>
            </w:r>
          </w:p>
        </w:tc>
        <w:tc>
          <w:tcPr/>
          <w:p>
            <w:pPr>
              <w:pStyle w:val="Compact"/>
              <w:jc w:val="left"/>
            </w:pPr>
            <w:r>
              <w:t xml:space="preserve">saas: No; managed_cloud: Not publicly verified; vpc_byoc: Yes; private_cloud: Yes; self_hosted: Yes; on_prem: Yes</w:t>
            </w:r>
          </w:p>
        </w:tc>
        <w:tc>
          <w:tcPr/>
          <w:p>
            <w:pPr>
              <w:pStyle w:val="Compact"/>
            </w:pPr>
          </w:p>
        </w:tc>
        <w:tc>
          <w:tcPr/>
          <w:p>
            <w:pPr>
              <w:pStyle w:val="Compact"/>
            </w:pPr>
          </w:p>
        </w:tc>
      </w:tr>
    </w:tbl>
    <w:bookmarkEnd w:id="1392"/>
    <w:bookmarkStart w:id="1419" w:name="openrouter-l2-openrouter"/>
    <w:p>
      <w:pPr>
        <w:pStyle w:val="Heading2"/>
      </w:pPr>
      <w:r>
        <w:t xml:space="preserve">OpenRouter (</w:t>
      </w:r>
      <w:r>
        <w:rPr>
          <w:rStyle w:val="VerbatimChar"/>
        </w:rPr>
        <w:t xml:space="preserve">L2-openrouter</w:t>
      </w:r>
      <w:r>
        <w:t xml:space="preserve">)</w:t>
      </w:r>
    </w:p>
    <w:p>
      <w:pPr>
        <w:pStyle w:val="FirstParagraph"/>
      </w:pPr>
      <w:r>
        <w:rPr>
          <w:bCs/>
          <w:b/>
        </w:rPr>
        <w:t xml:space="preserve">Tier:</w:t>
      </w:r>
      <w:r>
        <w:t xml:space="preserve"> </w:t>
      </w:r>
      <w:r>
        <w:t xml:space="preserve">Tactical ·</w:t>
      </w:r>
      <w:r>
        <w:t xml:space="preserve"> </w:t>
      </w:r>
      <w:r>
        <w:rPr>
          <w:bCs/>
          <w:b/>
        </w:rPr>
        <w:t xml:space="preserve">Flags:</w:t>
      </w:r>
      <w:r>
        <w:t xml:space="preserve"> </w:t>
      </w:r>
      <w:r>
        <w:t xml:space="preserve">Acquired ·</w:t>
      </w:r>
      <w:r>
        <w:t xml:space="preserve"> </w:t>
      </w:r>
      <w:r>
        <w:rPr>
          <w:bCs/>
          <w:b/>
        </w:rPr>
        <w:t xml:space="preserve">Original graphic label:</w:t>
      </w:r>
      <w:r>
        <w:t xml:space="preserve"> </w:t>
      </w:r>
      <w:r>
        <w:t xml:space="preserve">OpenRouter – multi-provider</w:t>
      </w:r>
    </w:p>
    <w:p>
      <w:pPr>
        <w:pStyle w:val="BodyText"/>
      </w:pPr>
      <w:r>
        <w:rPr>
          <w:iCs/>
          <w:i/>
        </w:rPr>
        <w:t xml:space="preserve">Rationale:</w:t>
      </w:r>
      <w:r>
        <w:t xml:space="preserve"> </w:t>
      </w:r>
      <w:r>
        <w:t xml:space="preserve">Useful router for evaluation; third-party SaaS with billing intermediation and a pending change of owner</w:t>
      </w:r>
    </w:p>
    <w:tbl>
      <w:tblPr>
        <w:tblStyle w:val="Table"/>
        <w:tblW w:type="pct" w:w="5000"/>
        <w:tblLook w:firstRow="1" w:lastRow="0" w:firstColumn="0" w:lastColumn="0" w:noHBand="0" w:noVBand="0" w:val="0020"/>
        <w:jc w:val="start"/>
      </w:tblPr>
      <w:tblGrid>
        <w:gridCol w:w="1545"/>
        <w:gridCol w:w="579"/>
        <w:gridCol w:w="5795"/>
      </w:tblGrid>
      <w:tr>
        <w:trPr>
          <w:tblHeader w:val="true"/>
        </w:trPr>
        <w:tc>
          <w:tcPr/>
          <w:p>
            <w:pPr>
              <w:pStyle w:val="Compact"/>
              <w:jc w:val="left"/>
            </w:pPr>
            <w:r>
              <w:t xml:space="preserve">Criterion</w:t>
            </w:r>
          </w:p>
        </w:tc>
        <w:tc>
          <w:tcPr/>
          <w:p>
            <w:pPr>
              <w:pStyle w:val="Compact"/>
              <w:jc w:val="right"/>
            </w:pPr>
            <w:r>
              <w:t xml:space="preserve">Score</w:t>
            </w:r>
          </w:p>
        </w:tc>
        <w:tc>
          <w:tcPr/>
          <w:p>
            <w:pPr>
              <w:pStyle w:val="Compact"/>
              <w:jc w:val="left"/>
            </w:pPr>
            <w:r>
              <w:t xml:space="preserve">Rationale</w:t>
            </w:r>
          </w:p>
        </w:tc>
      </w:tr>
      <w:tr>
        <w:tc>
          <w:tcPr/>
          <w:p>
            <w:pPr>
              <w:pStyle w:val="Compact"/>
              <w:jc w:val="left"/>
            </w:pPr>
            <w:r>
              <w:t xml:space="preserve">Technical</w:t>
            </w:r>
          </w:p>
        </w:tc>
        <w:tc>
          <w:tcPr/>
          <w:p>
            <w:pPr>
              <w:pStyle w:val="Compact"/>
              <w:jc w:val="right"/>
            </w:pPr>
            <w:r>
              <w:t xml:space="preserve">4</w:t>
            </w:r>
          </w:p>
        </w:tc>
        <w:tc>
          <w:tcPr/>
          <w:p>
            <w:pPr>
              <w:pStyle w:val="Compact"/>
              <w:jc w:val="left"/>
            </w:pPr>
            <w:r>
              <w:t xml:space="preserve">Routing, fallback, provider selection, budgets, allowlists, ZDR, regions</w:t>
            </w:r>
            <w:r>
              <w:t xml:space="preserve"> </w:t>
            </w:r>
            <w:r>
              <w:rPr>
                <w:rStyle w:val="ClaimLabel"/>
              </w:rPr>
              <w:t xml:space="preserve">VF</w:t>
            </w:r>
            <w:r>
              <w:rPr>
                <w:rStyle w:val="FootnoteReference"/>
              </w:rPr>
              <w:footnoteReference w:id="1393"/>
            </w:r>
          </w:p>
        </w:tc>
      </w:tr>
      <w:tr>
        <w:tc>
          <w:tcPr/>
          <w:p>
            <w:pPr>
              <w:pStyle w:val="Compact"/>
              <w:jc w:val="left"/>
            </w:pPr>
            <w:r>
              <w:t xml:space="preserve">Enterprise readiness</w:t>
            </w:r>
          </w:p>
        </w:tc>
        <w:tc>
          <w:tcPr/>
          <w:p>
            <w:pPr>
              <w:pStyle w:val="Compact"/>
              <w:jc w:val="right"/>
            </w:pPr>
            <w:r>
              <w:t xml:space="preserve">4</w:t>
            </w:r>
          </w:p>
        </w:tc>
        <w:tc>
          <w:tcPr/>
          <w:p>
            <w:pPr>
              <w:pStyle w:val="Compact"/>
              <w:jc w:val="left"/>
            </w:pPr>
            <w:r>
              <w:t xml:space="preserve">SSO, SCIM, org roles on Enterprise; contractual SLA on Enterprise (rule 7 to 4)</w:t>
            </w:r>
            <w:r>
              <w:t xml:space="preserve"> </w:t>
            </w:r>
            <w:r>
              <w:rPr>
                <w:rStyle w:val="ClaimLabel"/>
              </w:rPr>
              <w:t xml:space="preserve">VF</w:t>
            </w:r>
            <w:r>
              <w:rPr>
                <w:rStyle w:val="FootnoteReference"/>
              </w:rPr>
              <w:footnoteReference w:id="1396"/>
            </w:r>
          </w:p>
        </w:tc>
      </w:tr>
      <w:tr>
        <w:tc>
          <w:tcPr/>
          <w:p>
            <w:pPr>
              <w:pStyle w:val="Compact"/>
              <w:jc w:val="left"/>
            </w:pPr>
            <w:r>
              <w:t xml:space="preserve">Security and compliance</w:t>
            </w:r>
          </w:p>
        </w:tc>
        <w:tc>
          <w:tcPr/>
          <w:p>
            <w:pPr>
              <w:pStyle w:val="Compact"/>
              <w:jc w:val="right"/>
            </w:pPr>
            <w:r>
              <w:t xml:space="preserve">3</w:t>
            </w:r>
          </w:p>
        </w:tc>
        <w:tc>
          <w:tcPr/>
          <w:p>
            <w:pPr>
              <w:pStyle w:val="Compact"/>
              <w:jc w:val="left"/>
            </w:pPr>
            <w:r>
              <w:t xml:space="preserve">SOC 2 Type 2 (report on request); no BAA; no ISO 27001 found</w:t>
            </w:r>
            <w:r>
              <w:t xml:space="preserve"> </w:t>
            </w:r>
            <w:r>
              <w:rPr>
                <w:rStyle w:val="ClaimLabel"/>
              </w:rPr>
              <w:t xml:space="preserve">VF</w:t>
            </w:r>
            <w:r>
              <w:rPr>
                <w:rStyle w:val="FootnoteReference"/>
              </w:rPr>
              <w:footnoteReference w:id="1400"/>
            </w:r>
          </w:p>
        </w:tc>
      </w:tr>
      <w:tr>
        <w:tc>
          <w:tcPr/>
          <w:p>
            <w:pPr>
              <w:pStyle w:val="Compact"/>
              <w:jc w:val="left"/>
            </w:pPr>
            <w:r>
              <w:t xml:space="preserve">Deployment flexibility</w:t>
            </w:r>
          </w:p>
        </w:tc>
        <w:tc>
          <w:tcPr/>
          <w:p>
            <w:pPr>
              <w:pStyle w:val="Compact"/>
              <w:jc w:val="right"/>
            </w:pPr>
            <w:r>
              <w:t xml:space="preserve">2</w:t>
            </w:r>
          </w:p>
        </w:tc>
        <w:tc>
          <w:tcPr/>
          <w:p>
            <w:pPr>
              <w:pStyle w:val="Compact"/>
              <w:jc w:val="left"/>
            </w:pPr>
            <w:r>
              <w:t xml:space="preserve">SaaS only, with EU/US processing regions on higher plans</w:t>
            </w:r>
            <w:r>
              <w:t xml:space="preserve"> </w:t>
            </w:r>
            <w:r>
              <w:rPr>
                <w:rStyle w:val="ClaimLabel"/>
              </w:rPr>
              <w:t xml:space="preserve">VF</w:t>
            </w:r>
            <w:r>
              <w:rPr>
                <w:rStyle w:val="FootnoteReference"/>
              </w:rPr>
              <w:footnoteReference w:id="1402"/>
            </w:r>
          </w:p>
        </w:tc>
      </w:tr>
      <w:tr>
        <w:tc>
          <w:tcPr/>
          <w:p>
            <w:pPr>
              <w:pStyle w:val="Compact"/>
              <w:jc w:val="left"/>
            </w:pPr>
            <w:r>
              <w:t xml:space="preserve">Ecosystem</w:t>
            </w:r>
          </w:p>
        </w:tc>
        <w:tc>
          <w:tcPr/>
          <w:p>
            <w:pPr>
              <w:pStyle w:val="Compact"/>
              <w:jc w:val="right"/>
            </w:pPr>
            <w:r>
              <w:t xml:space="preserve">4</w:t>
            </w:r>
          </w:p>
        </w:tc>
        <w:tc>
          <w:tcPr/>
          <w:p>
            <w:pPr>
              <w:pStyle w:val="Compact"/>
              <w:jc w:val="left"/>
            </w:pPr>
            <w:r>
              <w:t xml:space="preserve">OpenAI-compatible; many providers</w:t>
            </w:r>
            <w:r>
              <w:t xml:space="preserve"> </w:t>
            </w:r>
            <w:r>
              <w:rPr>
                <w:rStyle w:val="ClaimLabel"/>
              </w:rPr>
              <w:t xml:space="preserve">VF</w:t>
            </w:r>
            <w:r>
              <w:rPr>
                <w:rStyle w:val="FootnoteReference"/>
              </w:rPr>
              <w:footnoteReference w:id="1405"/>
            </w:r>
          </w:p>
        </w:tc>
      </w:tr>
      <w:tr>
        <w:tc>
          <w:tcPr/>
          <w:p>
            <w:pPr>
              <w:pStyle w:val="Compact"/>
              <w:jc w:val="left"/>
            </w:pPr>
            <w:r>
              <w:t xml:space="preserve">Reliability and maturity</w:t>
            </w:r>
          </w:p>
        </w:tc>
        <w:tc>
          <w:tcPr/>
          <w:p>
            <w:pPr>
              <w:pStyle w:val="Compact"/>
              <w:jc w:val="right"/>
            </w:pPr>
            <w:r>
              <w:t xml:space="preserve">3</w:t>
            </w:r>
          </w:p>
        </w:tc>
        <w:tc>
          <w:tcPr/>
          <w:p>
            <w:pPr>
              <w:pStyle w:val="Compact"/>
              <w:jc w:val="left"/>
            </w:pPr>
            <w:r>
              <w:t xml:space="preserve">Operating at scale but no published SLA figure; Stripe acquisition pending (rule 3 mention)</w:t>
            </w:r>
            <w:r>
              <w:t xml:space="preserve"> </w:t>
            </w:r>
            <w:r>
              <w:rPr>
                <w:rStyle w:val="ClaimLabel"/>
              </w:rPr>
              <w:t xml:space="preserve">VF</w:t>
            </w:r>
            <w:r>
              <w:rPr>
                <w:rStyle w:val="FootnoteReference"/>
              </w:rPr>
              <w:footnoteReference w:id="1406"/>
            </w:r>
          </w:p>
        </w:tc>
      </w:tr>
      <w:tr>
        <w:tc>
          <w:tcPr/>
          <w:p>
            <w:pPr>
              <w:pStyle w:val="Compact"/>
              <w:jc w:val="left"/>
            </w:pPr>
            <w:r>
              <w:t xml:space="preserve">Cost / TCO</w:t>
            </w:r>
          </w:p>
        </w:tc>
        <w:tc>
          <w:tcPr/>
          <w:p>
            <w:pPr>
              <w:pStyle w:val="Compact"/>
              <w:jc w:val="right"/>
            </w:pPr>
            <w:r>
              <w:t xml:space="preserve">3</w:t>
            </w:r>
          </w:p>
        </w:tc>
        <w:tc>
          <w:tcPr/>
          <w:p>
            <w:pPr>
              <w:pStyle w:val="Compact"/>
              <w:jc w:val="left"/>
            </w:pPr>
            <w:r>
              <w:t xml:space="preserve">Provider prices passed through plus 5.5-8% platform fee</w:t>
            </w:r>
            <w:r>
              <w:t xml:space="preserve"> </w:t>
            </w:r>
            <w:r>
              <w:rPr>
                <w:rStyle w:val="ClaimLabel"/>
              </w:rPr>
              <w:t xml:space="preserve">VF</w:t>
            </w:r>
            <w:r>
              <w:rPr>
                <w:rStyle w:val="FootnoteReference"/>
              </w:rPr>
              <w:footnoteReference w:id="1408"/>
            </w:r>
          </w:p>
        </w:tc>
      </w:tr>
      <w:tr>
        <w:tc>
          <w:tcPr/>
          <w:p>
            <w:pPr>
              <w:pStyle w:val="Compact"/>
              <w:jc w:val="left"/>
            </w:pPr>
            <w:r>
              <w:t xml:space="preserve">Lock-in / portability</w:t>
            </w:r>
          </w:p>
        </w:tc>
        <w:tc>
          <w:tcPr/>
          <w:p>
            <w:pPr>
              <w:pStyle w:val="Compact"/>
              <w:jc w:val="right"/>
            </w:pPr>
            <w:r>
              <w:t xml:space="preserve">2</w:t>
            </w:r>
          </w:p>
        </w:tc>
        <w:tc>
          <w:tcPr/>
          <w:p>
            <w:pPr>
              <w:pStyle w:val="Compact"/>
              <w:jc w:val="left"/>
            </w:pPr>
            <w:r>
              <w:t xml:space="preserve">OpenAI-compatible (3) but proprietary guardrails and billing; reduced by 1 for ownership change (rule 3)</w:t>
            </w:r>
            <w:r>
              <w:t xml:space="preserve"> </w:t>
            </w:r>
            <w:r>
              <w:rPr>
                <w:rStyle w:val="ClaimLabel"/>
              </w:rPr>
              <w:t xml:space="preserve">VF</w:t>
            </w:r>
            <w:r>
              <w:rPr>
                <w:rStyle w:val="FootnoteReference"/>
              </w:rPr>
              <w:footnoteReference w:id="1411"/>
            </w:r>
          </w:p>
        </w:tc>
      </w:tr>
      <w:tr>
        <w:tc>
          <w:tcPr/>
          <w:p>
            <w:pPr>
              <w:pStyle w:val="Compact"/>
              <w:jc w:val="left"/>
            </w:pPr>
            <w:r>
              <w:rPr>
                <w:bCs/>
                <w:b/>
              </w:rPr>
              <w:t xml:space="preserve">Total (generic / FS)</w:t>
            </w:r>
          </w:p>
        </w:tc>
        <w:tc>
          <w:tcPr/>
          <w:p>
            <w:pPr>
              <w:pStyle w:val="Compact"/>
              <w:jc w:val="right"/>
            </w:pPr>
            <w:r>
              <w:rPr>
                <w:bCs/>
                <w:b/>
              </w:rPr>
              <w:t xml:space="preserve">3.25 / 3.05</w:t>
            </w:r>
          </w:p>
        </w:tc>
        <w:tc>
          <w:tcPr/>
          <w:p>
            <w:pPr>
              <w:pStyle w:val="Compact"/>
            </w:pPr>
          </w:p>
        </w:tc>
      </w:tr>
    </w:tbl>
    <w:p>
      <w:pPr>
        <w:pStyle w:val="BodyText"/>
      </w:pPr>
      <w:r>
        <w:rPr>
          <w:bCs/>
          <w:b/>
        </w:rPr>
        <w:t xml:space="preserve">Capabilities.</w:t>
      </w:r>
      <w:r>
        <w:t xml:space="preserve"> </w:t>
      </w:r>
      <w:r>
        <w:t xml:space="preserve">Hosted multi-provider model router with budgets, model and provider allowlists, ZDR enforcement, EU/US in-region routing (Business and Enterprise), SSO and SCIM (Enterprise); SOC 2 Type 2, no HIPAA BAA; 5.5% fee on credit purchases; Stripe agreed to acquire it (announced 19 August 2026, pending as of 8 October 2026)</w:t>
      </w:r>
      <w:r>
        <w:t xml:space="preserve"> </w:t>
      </w:r>
      <w:r>
        <w:rPr>
          <w:rStyle w:val="ClaimLabel"/>
        </w:rPr>
        <w:t xml:space="preserve">VF</w:t>
      </w:r>
      <w:r>
        <w:rPr>
          <w:rStyle w:val="FootnoteReference"/>
        </w:rPr>
        <w:footnoteReference w:id="1412"/>
      </w:r>
      <w:r>
        <w:t xml:space="preserve">.</w:t>
      </w:r>
    </w:p>
    <w:p>
      <w:pPr>
        <w:pStyle w:val="BodyText"/>
      </w:pPr>
      <w:r>
        <w:rPr>
          <w:bCs/>
          <w:b/>
        </w:rPr>
        <w:t xml:space="preserve">Strengths</w:t>
      </w:r>
    </w:p>
    <w:p>
      <w:pPr>
        <w:numPr>
          <w:ilvl w:val="0"/>
          <w:numId w:val="1301"/>
        </w:numPr>
        <w:pStyle w:val="Compact"/>
      </w:pPr>
      <w:r>
        <w:t xml:space="preserve">Fastest way to evaluate many models behind one OpenAI-compatible API</w:t>
      </w:r>
      <w:r>
        <w:t xml:space="preserve"> </w:t>
      </w:r>
      <w:r>
        <w:rPr>
          <w:rStyle w:val="ClaimLabel"/>
        </w:rPr>
        <w:t xml:space="preserve">VF</w:t>
      </w:r>
      <w:r>
        <w:rPr>
          <w:rStyle w:val="FootnoteReference"/>
        </w:rPr>
        <w:footnoteReference w:id="1413"/>
      </w:r>
      <w:r>
        <w:t xml:space="preserve"> </w:t>
      </w:r>
      <w:r>
        <w:rPr>
          <w:rStyle w:val="ClaimLabel"/>
        </w:rPr>
        <w:t xml:space="preserve">AJ</w:t>
      </w:r>
    </w:p>
    <w:p>
      <w:pPr>
        <w:numPr>
          <w:ilvl w:val="0"/>
          <w:numId w:val="1301"/>
        </w:numPr>
        <w:pStyle w:val="Compact"/>
      </w:pPr>
      <w:r>
        <w:t xml:space="preserve">In-region routing fails rather than falling back out of region</w:t>
      </w:r>
      <w:r>
        <w:t xml:space="preserve"> </w:t>
      </w:r>
      <w:r>
        <w:rPr>
          <w:rStyle w:val="ClaimLabel"/>
        </w:rPr>
        <w:t xml:space="preserve">VF</w:t>
      </w:r>
      <w:r>
        <w:rPr>
          <w:rStyle w:val="FootnoteReference"/>
        </w:rPr>
        <w:footnoteReference w:id="1414"/>
      </w:r>
    </w:p>
    <w:p>
      <w:pPr>
        <w:pStyle w:val="FirstParagraph"/>
      </w:pPr>
      <w:r>
        <w:rPr>
          <w:bCs/>
          <w:b/>
        </w:rPr>
        <w:t xml:space="preserve">Limitations and risks</w:t>
      </w:r>
    </w:p>
    <w:p>
      <w:pPr>
        <w:numPr>
          <w:ilvl w:val="0"/>
          <w:numId w:val="1302"/>
        </w:numPr>
        <w:pStyle w:val="Compact"/>
      </w:pPr>
      <w:r>
        <w:t xml:space="preserve">Third-party SaaS in the data path; Batch API, web search and fetch not region-resident</w:t>
      </w:r>
      <w:r>
        <w:t xml:space="preserve"> </w:t>
      </w:r>
      <w:r>
        <w:rPr>
          <w:rStyle w:val="ClaimLabel"/>
        </w:rPr>
        <w:t xml:space="preserve">VF</w:t>
      </w:r>
      <w:r>
        <w:rPr>
          <w:rStyle w:val="FootnoteReference"/>
        </w:rPr>
        <w:footnoteReference w:id="1415"/>
      </w:r>
    </w:p>
    <w:p>
      <w:pPr>
        <w:numPr>
          <w:ilvl w:val="0"/>
          <w:numId w:val="1302"/>
        </w:numPr>
        <w:pStyle w:val="Compact"/>
      </w:pPr>
      <w:r>
        <w:t xml:space="preserve">Billing intermediation (5.5% Standard, 8% Business)</w:t>
      </w:r>
      <w:r>
        <w:t xml:space="preserve"> </w:t>
      </w:r>
      <w:r>
        <w:rPr>
          <w:rStyle w:val="ClaimLabel"/>
        </w:rPr>
        <w:t xml:space="preserve">VF</w:t>
      </w:r>
      <w:r>
        <w:rPr>
          <w:rStyle w:val="FootnoteReference"/>
        </w:rPr>
        <w:footnoteReference w:id="1416"/>
      </w:r>
    </w:p>
    <w:p>
      <w:pPr>
        <w:numPr>
          <w:ilvl w:val="0"/>
          <w:numId w:val="1302"/>
        </w:numPr>
        <w:pStyle w:val="Compact"/>
      </w:pPr>
      <w:r>
        <w:t xml:space="preserve">Ownership change pending; deal value is press-reported only</w:t>
      </w:r>
      <w:r>
        <w:t xml:space="preserve"> </w:t>
      </w:r>
      <w:r>
        <w:rPr>
          <w:rStyle w:val="ClaimLabel"/>
        </w:rPr>
        <w:t xml:space="preserve">VF</w:t>
      </w:r>
      <w:r>
        <w:rPr>
          <w:rStyle w:val="FootnoteReference"/>
        </w:rPr>
        <w:footnoteReference w:id="1417"/>
      </w:r>
    </w:p>
    <w:p>
      <w:pPr>
        <w:numPr>
          <w:ilvl w:val="0"/>
          <w:numId w:val="1302"/>
        </w:numPr>
        <w:pStyle w:val="Compact"/>
      </w:pPr>
      <w:r>
        <w:t xml:space="preserve">No numeric uptime target published</w:t>
      </w:r>
      <w:r>
        <w:t xml:space="preserve"> </w:t>
      </w:r>
      <w:r>
        <w:rPr>
          <w:rStyle w:val="ClaimLabel"/>
        </w:rPr>
        <w:t xml:space="preserve">VF</w:t>
      </w:r>
      <w:r>
        <w:rPr>
          <w:rStyle w:val="FootnoteReference"/>
        </w:rPr>
        <w:footnoteReference w:id="1418"/>
      </w:r>
    </w:p>
    <w:p>
      <w:pPr>
        <w:pStyle w:val="FirstParagraph"/>
      </w:pPr>
      <w:r>
        <w:rPr>
          <w:bCs/>
          <w:b/>
        </w:rPr>
        <w:t xml:space="preserve">Choose when</w:t>
      </w:r>
    </w:p>
    <w:p>
      <w:pPr>
        <w:numPr>
          <w:ilvl w:val="0"/>
          <w:numId w:val="1303"/>
        </w:numPr>
        <w:pStyle w:val="Compact"/>
      </w:pPr>
      <w:r>
        <w:t xml:space="preserve">Model exploration and non-confidential workloads, behind the firm’s gateway</w:t>
      </w:r>
      <w:r>
        <w:t xml:space="preserve"> </w:t>
      </w:r>
      <w:r>
        <w:rPr>
          <w:rStyle w:val="ClaimLabel"/>
        </w:rPr>
        <w:t xml:space="preserve">AJ</w:t>
      </w:r>
    </w:p>
    <w:p>
      <w:pPr>
        <w:pStyle w:val="FirstParagraph"/>
      </w:pPr>
      <w:r>
        <w:rPr>
          <w:bCs/>
          <w:b/>
        </w:rPr>
        <w:t xml:space="preserve">Avoid when</w:t>
      </w:r>
    </w:p>
    <w:p>
      <w:pPr>
        <w:numPr>
          <w:ilvl w:val="0"/>
          <w:numId w:val="1304"/>
        </w:numPr>
        <w:pStyle w:val="Compact"/>
      </w:pPr>
      <w:r>
        <w:t xml:space="preserve">Client or personal data without ZDR and in-region routing contractually enforced</w:t>
      </w:r>
      <w:r>
        <w:t xml:space="preserve"> </w:t>
      </w:r>
      <w:r>
        <w:rPr>
          <w:rStyle w:val="ClaimLabel"/>
        </w:rPr>
        <w:t xml:space="preserve">AJ</w:t>
      </w:r>
    </w:p>
    <w:p>
      <w:pPr>
        <w:numPr>
          <w:ilvl w:val="0"/>
          <w:numId w:val="1304"/>
        </w:numPr>
        <w:pStyle w:val="Compact"/>
      </w:pPr>
      <w:r>
        <w:t xml:space="preserve">As the firm’s gateway of record (see C1)</w:t>
      </w:r>
      <w:r>
        <w:t xml:space="preserve"> </w:t>
      </w:r>
      <w:r>
        <w:rPr>
          <w:rStyle w:val="ClaimLabel"/>
        </w:rPr>
        <w:t xml:space="preserve">AJ</w:t>
      </w:r>
    </w:p>
    <w:p>
      <w:pPr>
        <w:pStyle w:val="FirstParagraph"/>
      </w:pPr>
      <w:r>
        <w:rPr>
          <w:bCs/>
          <w:b/>
        </w:rPr>
        <w:t xml:space="preserve">Nearest competitors:</w:t>
      </w:r>
      <w:r>
        <w:t xml:space="preserve"> </w:t>
      </w:r>
      <w:r>
        <w:t xml:space="preserve">L2-hugging-face, C1-litellm, C1-portkey</w:t>
      </w:r>
    </w:p>
    <w:p>
      <w:pPr>
        <w:pStyle w:val="BodyText"/>
      </w:pPr>
      <w:r>
        <w:rPr>
          <w:bCs/>
          <w:b/>
        </w:rPr>
        <w:t xml:space="preserve">Regulated-FS note.</w:t>
      </w:r>
      <w:r>
        <w:t xml:space="preserve"> </w:t>
      </w:r>
      <w:r>
        <w:t xml:space="preserve">Treat as a model-access source behind C1, not as C1; reassess terms and data-processing roles when the Stripe acquisition closes</w:t>
      </w:r>
      <w:r>
        <w:t xml:space="preserve"> </w:t>
      </w:r>
      <w:r>
        <w:rPr>
          <w:rStyle w:val="ClaimLabel"/>
        </w:rPr>
        <w:t xml:space="preserve">Rec</w:t>
      </w:r>
      <w:r>
        <w:t xml:space="preserve">.</w:t>
      </w:r>
    </w:p>
    <w:p>
      <w:pPr>
        <w:pStyle w:val="BodyText"/>
      </w:pPr>
      <w:r>
        <w:rPr>
          <w:bCs/>
          <w:b/>
        </w:rPr>
        <w:t xml:space="preserve">Facts (as of 2026-10-08)</w:t>
      </w:r>
    </w:p>
    <w:tbl>
      <w:tblPr>
        <w:tblStyle w:val="Table"/>
        <w:tblW w:type="pct" w:w="5000"/>
        <w:tblLook w:firstRow="1" w:lastRow="0" w:firstColumn="0" w:lastColumn="0" w:noHBand="0" w:noVBand="0" w:val="0020"/>
        <w:jc w:val="start"/>
      </w:tblPr>
      <w:tblGrid>
        <w:gridCol w:w="1485"/>
        <w:gridCol w:w="4290"/>
        <w:gridCol w:w="1320"/>
        <w:gridCol w:w="825"/>
      </w:tblGrid>
      <w:tr>
        <w:trPr>
          <w:tblHeader w:val="true"/>
        </w:trPr>
        <w:tc>
          <w:tcPr/>
          <w:p>
            <w:pPr>
              <w:pStyle w:val="Compact"/>
              <w:jc w:val="left"/>
            </w:pPr>
            <w:r>
              <w:t xml:space="preserve">Field</w:t>
            </w:r>
          </w:p>
        </w:tc>
        <w:tc>
          <w:tcPr/>
          <w:p>
            <w:pPr>
              <w:pStyle w:val="Compact"/>
              <w:jc w:val="left"/>
            </w:pPr>
            <w:r>
              <w:t xml:space="preserve">Value</w:t>
            </w:r>
          </w:p>
        </w:tc>
        <w:tc>
          <w:tcPr/>
          <w:p>
            <w:pPr>
              <w:pStyle w:val="Compact"/>
              <w:jc w:val="left"/>
            </w:pPr>
            <w:r>
              <w:t xml:space="preserve">Label</w:t>
            </w:r>
          </w:p>
        </w:tc>
        <w:tc>
          <w:tcPr/>
          <w:p>
            <w:pPr>
              <w:pStyle w:val="Compact"/>
              <w:jc w:val="left"/>
            </w:pPr>
            <w:r>
              <w:t xml:space="preserve">Sources</w:t>
            </w:r>
          </w:p>
        </w:tc>
      </w:tr>
      <w:tr>
        <w:tc>
          <w:tcPr/>
          <w:p>
            <w:pPr>
              <w:pStyle w:val="Compact"/>
              <w:jc w:val="left"/>
            </w:pPr>
            <w:r>
              <w:t xml:space="preserve">Company</w:t>
            </w:r>
          </w:p>
        </w:tc>
        <w:tc>
          <w:tcPr/>
          <w:p>
            <w:pPr>
              <w:pStyle w:val="Compact"/>
              <w:jc w:val="left"/>
            </w:pPr>
            <w:r>
              <w:t xml:space="preserve">OpenRouter, Inc.; subject to a pending acquisition by Stripe (agreement announced 19 August 2026; not confirmed closed as of 8 October 2026)</w:t>
            </w:r>
          </w:p>
        </w:tc>
        <w:tc>
          <w:tcPr/>
          <w:p>
            <w:pPr>
              <w:pStyle w:val="Compact"/>
              <w:jc w:val="left"/>
            </w:pPr>
            <w:r>
              <w:t xml:space="preserve">Verified fact</w:t>
            </w:r>
          </w:p>
        </w:tc>
        <w:tc>
          <w:tcPr/>
          <w:p>
            <w:pPr>
              <w:pStyle w:val="Compact"/>
              <w:jc w:val="left"/>
            </w:pPr>
            <w:r>
              <w:t xml:space="preserve">A4-S143, V1-S059</w:t>
            </w:r>
          </w:p>
        </w:tc>
      </w:tr>
      <w:tr>
        <w:tc>
          <w:tcPr/>
          <w:p>
            <w:pPr>
              <w:pStyle w:val="Compact"/>
              <w:jc w:val="left"/>
            </w:pPr>
            <w:r>
              <w:t xml:space="preserve">Category</w:t>
            </w:r>
          </w:p>
        </w:tc>
        <w:tc>
          <w:tcPr/>
          <w:p>
            <w:pPr>
              <w:pStyle w:val="Compact"/>
              <w:jc w:val="left"/>
            </w:pPr>
            <w:r>
              <w:t xml:space="preserve">Hosted multi-provider model router / aggregator with gateway-style governance (budgets, allowlists, ZDR, regional routing)</w:t>
            </w:r>
          </w:p>
        </w:tc>
        <w:tc>
          <w:tcPr/>
          <w:p>
            <w:pPr>
              <w:pStyle w:val="Compact"/>
              <w:jc w:val="left"/>
            </w:pPr>
            <w:r>
              <w:t xml:space="preserve">Verified fact</w:t>
            </w:r>
          </w:p>
        </w:tc>
        <w:tc>
          <w:tcPr/>
          <w:p>
            <w:pPr>
              <w:pStyle w:val="Compact"/>
              <w:jc w:val="left"/>
            </w:pPr>
            <w:r>
              <w:t xml:space="preserve">A4-S111, A4-S109</w:t>
            </w:r>
          </w:p>
        </w:tc>
      </w:tr>
      <w:tr>
        <w:tc>
          <w:tcPr/>
          <w:p>
            <w:pPr>
              <w:pStyle w:val="Compact"/>
              <w:jc w:val="left"/>
            </w:pPr>
            <w:r>
              <w:t xml:space="preserve">Version / lineup</w:t>
            </w:r>
          </w:p>
        </w:tc>
        <w:tc>
          <w:tcPr/>
          <w:p>
            <w:pPr>
              <w:pStyle w:val="Compact"/>
              <w:jc w:val="left"/>
            </w:pPr>
            <w:r>
              <w:t xml:space="preserve">Official Python SDK openrouter 1.3.32 (7 October 2026; first release 13 November 2025)</w:t>
            </w:r>
          </w:p>
        </w:tc>
        <w:tc>
          <w:tcPr/>
          <w:p>
            <w:pPr>
              <w:pStyle w:val="Compact"/>
              <w:jc w:val="left"/>
            </w:pPr>
            <w:r>
              <w:t xml:space="preserve">Verified fact</w:t>
            </w:r>
          </w:p>
        </w:tc>
        <w:tc>
          <w:tcPr/>
          <w:p>
            <w:pPr>
              <w:pStyle w:val="Compact"/>
              <w:jc w:val="left"/>
            </w:pPr>
            <w:r>
              <w:t xml:space="preserve">A4-S096</w:t>
            </w:r>
          </w:p>
        </w:tc>
      </w:tr>
      <w:tr>
        <w:tc>
          <w:tcPr/>
          <w:p>
            <w:pPr>
              <w:pStyle w:val="Compact"/>
              <w:jc w:val="left"/>
            </w:pPr>
            <w:r>
              <w:t xml:space="preserve">Licence</w:t>
            </w:r>
          </w:p>
        </w:tc>
        <w:tc>
          <w:tcPr/>
          <w:p>
            <w:pPr>
              <w:pStyle w:val="Compact"/>
              <w:jc w:val="left"/>
            </w:pPr>
            <w:r>
              <w:t xml:space="preserve">Proprietary SaaS; SDK Apache-2.0</w:t>
            </w:r>
          </w:p>
        </w:tc>
        <w:tc>
          <w:tcPr/>
          <w:p>
            <w:pPr>
              <w:pStyle w:val="Compact"/>
              <w:jc w:val="left"/>
            </w:pPr>
            <w:r>
              <w:t xml:space="preserve">Verified fact</w:t>
            </w:r>
          </w:p>
        </w:tc>
        <w:tc>
          <w:tcPr/>
          <w:p>
            <w:pPr>
              <w:pStyle w:val="Compact"/>
              <w:jc w:val="left"/>
            </w:pPr>
            <w:r>
              <w:t xml:space="preserve">A4-S096</w:t>
            </w:r>
          </w:p>
        </w:tc>
      </w:tr>
      <w:tr>
        <w:tc>
          <w:tcPr/>
          <w:p>
            <w:pPr>
              <w:pStyle w:val="Compact"/>
              <w:jc w:val="left"/>
            </w:pPr>
            <w:r>
              <w:t xml:space="preserve">Status events</w:t>
            </w:r>
          </w:p>
        </w:tc>
        <w:tc>
          <w:tcPr/>
          <w:p>
            <w:pPr>
              <w:pStyle w:val="Compact"/>
              <w:jc w:val="left"/>
            </w:pPr>
            <w:r>
              <w:t xml:space="preserve">26 May 2026: US$113M Series B led by CapitalG (company press release); 19 August 2026: Stripe signed an agreement to acquire OpenRouter (announced by both companies); closing expected</w:t>
            </w:r>
            <w:r>
              <w:t xml:space="preserve"> </w:t>
            </w:r>
            <w:r>
              <w:t xml:space="preserve">“</w:t>
            </w:r>
            <w:r>
              <w:t xml:space="preserve">in the coming weeks</w:t>
            </w:r>
            <w:r>
              <w:t xml:space="preserve">”</w:t>
            </w:r>
            <w:r>
              <w:t xml:space="preserve">, subject to customary conditions; no completion notice found as of 8 October 2026; price undisclosed (press reports range from over US$7B to over US$8B); OpenRouter says name, product and roadmap are unchanged</w:t>
            </w:r>
          </w:p>
        </w:tc>
        <w:tc>
          <w:tcPr/>
          <w:p>
            <w:pPr>
              <w:pStyle w:val="Compact"/>
              <w:jc w:val="left"/>
            </w:pPr>
            <w:r>
              <w:t xml:space="preserve">Verified fact</w:t>
            </w:r>
          </w:p>
        </w:tc>
        <w:tc>
          <w:tcPr/>
          <w:p>
            <w:pPr>
              <w:pStyle w:val="Compact"/>
              <w:jc w:val="left"/>
            </w:pPr>
            <w:r>
              <w:t xml:space="preserve">V1-S061, V1-S059, V1-S060</w:t>
            </w:r>
          </w:p>
        </w:tc>
      </w:tr>
      <w:tr>
        <w:tc>
          <w:tcPr/>
          <w:p>
            <w:pPr>
              <w:pStyle w:val="Compact"/>
              <w:jc w:val="left"/>
            </w:pPr>
            <w:r>
              <w:t xml:space="preserve">Strategic direction</w:t>
            </w:r>
          </w:p>
        </w:tc>
        <w:tc>
          <w:tcPr/>
          <w:p>
            <w:pPr>
              <w:pStyle w:val="Compact"/>
              <w:jc w:val="left"/>
            </w:pPr>
            <w:r>
              <w:t xml:space="preserve">Enterprise features: workspaces, workspace budgets, guardrails (budget limits, model/provider allowlists, ZDR, data regions, prompt-injection and sensitive-info guardrails), SSO and SCIM group mappings, EU/US in-region routing</w:t>
            </w:r>
          </w:p>
        </w:tc>
        <w:tc>
          <w:tcPr/>
          <w:p>
            <w:pPr>
              <w:pStyle w:val="Compact"/>
              <w:jc w:val="left"/>
            </w:pPr>
            <w:r>
              <w:t xml:space="preserve">Verified fact</w:t>
            </w:r>
          </w:p>
        </w:tc>
        <w:tc>
          <w:tcPr/>
          <w:p>
            <w:pPr>
              <w:pStyle w:val="Compact"/>
              <w:jc w:val="left"/>
            </w:pPr>
            <w:r>
              <w:t xml:space="preserve">A4-S112, A4-S111, A4-S109</w:t>
            </w:r>
          </w:p>
        </w:tc>
      </w:tr>
      <w:tr>
        <w:tc>
          <w:tcPr/>
          <w:p>
            <w:pPr>
              <w:pStyle w:val="Compact"/>
              <w:jc w:val="left"/>
            </w:pPr>
            <w:r>
              <w:t xml:space="preserve">What it does</w:t>
            </w:r>
          </w:p>
        </w:tc>
        <w:tc>
          <w:tcPr/>
          <w:p>
            <w:pPr>
              <w:pStyle w:val="Compact"/>
              <w:jc w:val="left"/>
            </w:pPr>
            <w:r>
              <w:t xml:space="preserve">Single API to many models and providers with routing, fallbacks and provider selection; passes through provider pricing; lets organisations enforce ZDR, regions, budgets and model/provider allowlists per workspace, key or member.</w:t>
            </w:r>
          </w:p>
        </w:tc>
        <w:tc>
          <w:tcPr/>
          <w:p>
            <w:pPr>
              <w:pStyle w:val="Compact"/>
              <w:jc w:val="left"/>
            </w:pPr>
            <w:r>
              <w:t xml:space="preserve">Verified fact</w:t>
            </w:r>
          </w:p>
        </w:tc>
        <w:tc>
          <w:tcPr/>
          <w:p>
            <w:pPr>
              <w:pStyle w:val="Compact"/>
              <w:jc w:val="left"/>
            </w:pPr>
            <w:r>
              <w:t xml:space="preserve">A4-S113, A4-S108, A4-S111</w:t>
            </w:r>
          </w:p>
        </w:tc>
      </w:tr>
      <w:tr>
        <w:tc>
          <w:tcPr/>
          <w:p>
            <w:pPr>
              <w:pStyle w:val="Compact"/>
              <w:jc w:val="left"/>
            </w:pPr>
            <w:r>
              <w:t xml:space="preserve">Stack position</w:t>
            </w:r>
          </w:p>
        </w:tc>
        <w:tc>
          <w:tcPr/>
          <w:p>
            <w:pPr>
              <w:pStyle w:val="Compact"/>
              <w:jc w:val="left"/>
            </w:pPr>
            <w:r>
              <w:t xml:space="preserve">Model access router (L2) with control-plane features overlapping C1 (AI gateway) but as a third-party SaaS in the data path</w:t>
            </w:r>
          </w:p>
        </w:tc>
        <w:tc>
          <w:tcPr/>
          <w:p>
            <w:pPr>
              <w:pStyle w:val="Compact"/>
              <w:jc w:val="left"/>
            </w:pPr>
            <w:r>
              <w:t xml:space="preserve">Verified fact</w:t>
            </w:r>
          </w:p>
        </w:tc>
        <w:tc>
          <w:tcPr/>
          <w:p>
            <w:pPr>
              <w:pStyle w:val="Compact"/>
              <w:jc w:val="left"/>
            </w:pPr>
            <w:r>
              <w:t xml:space="preserve">A4-S111</w:t>
            </w:r>
          </w:p>
        </w:tc>
      </w:tr>
      <w:tr>
        <w:tc>
          <w:tcPr/>
          <w:p>
            <w:pPr>
              <w:pStyle w:val="Compact"/>
              <w:jc w:val="left"/>
            </w:pPr>
            <w:r>
              <w:t xml:space="preserve">Integration</w:t>
            </w:r>
          </w:p>
        </w:tc>
        <w:tc>
          <w:tcPr/>
          <w:p>
            <w:pPr>
              <w:pStyle w:val="Compact"/>
              <w:jc w:val="left"/>
            </w:pPr>
            <w:r>
              <w:t xml:space="preserve">OpenAI-compatible API,</w:t>
            </w:r>
            <w:r>
              <w:t xml:space="preserve"> </w:t>
            </w:r>
            <w:r>
              <w:t xml:space="preserve">@openrouter/sdk</w:t>
            </w:r>
            <w:r>
              <w:t xml:space="preserve"> </w:t>
            </w:r>
            <w:r>
              <w:t xml:space="preserve">and Python SDK; BYOK; Datadog/Braintrust broadcast</w:t>
            </w:r>
          </w:p>
        </w:tc>
        <w:tc>
          <w:tcPr/>
          <w:p>
            <w:pPr>
              <w:pStyle w:val="Compact"/>
              <w:jc w:val="left"/>
            </w:pPr>
            <w:r>
              <w:t xml:space="preserve">Verified fact</w:t>
            </w:r>
          </w:p>
        </w:tc>
        <w:tc>
          <w:tcPr/>
          <w:p>
            <w:pPr>
              <w:pStyle w:val="Compact"/>
              <w:jc w:val="left"/>
            </w:pPr>
            <w:r>
              <w:t xml:space="preserve">A4-S109, A4-S113, A4-S096</w:t>
            </w:r>
          </w:p>
        </w:tc>
      </w:tr>
      <w:tr>
        <w:tc>
          <w:tcPr/>
          <w:p>
            <w:pPr>
              <w:pStyle w:val="Compact"/>
              <w:jc w:val="left"/>
            </w:pPr>
            <w:r>
              <w:t xml:space="preserve">Dependencies</w:t>
            </w:r>
          </w:p>
        </w:tc>
        <w:tc>
          <w:tcPr/>
          <w:p>
            <w:pPr>
              <w:pStyle w:val="Compact"/>
              <w:jc w:val="left"/>
            </w:pPr>
            <w:r>
              <w:t xml:space="preserve">Underlying model providers; their data policies (OpenRouter tracks per-endpoint retention/training policy)</w:t>
            </w:r>
          </w:p>
        </w:tc>
        <w:tc>
          <w:tcPr/>
          <w:p>
            <w:pPr>
              <w:pStyle w:val="Compact"/>
              <w:jc w:val="left"/>
            </w:pPr>
            <w:r>
              <w:t xml:space="preserve">Verified fact</w:t>
            </w:r>
          </w:p>
        </w:tc>
        <w:tc>
          <w:tcPr/>
          <w:p>
            <w:pPr>
              <w:pStyle w:val="Compact"/>
              <w:jc w:val="left"/>
            </w:pPr>
            <w:r>
              <w:t xml:space="preserve">A4-S108</w:t>
            </w:r>
          </w:p>
        </w:tc>
      </w:tr>
      <w:tr>
        <w:tc>
          <w:tcPr/>
          <w:p>
            <w:pPr>
              <w:pStyle w:val="Compact"/>
              <w:jc w:val="left"/>
            </w:pPr>
            <w:r>
              <w:t xml:space="preserve">Certifications</w:t>
            </w:r>
          </w:p>
        </w:tc>
        <w:tc>
          <w:tcPr/>
          <w:p>
            <w:pPr>
              <w:pStyle w:val="Compact"/>
              <w:jc w:val="left"/>
            </w:pPr>
            <w:r>
              <w:t xml:space="preserve">SOC 2 Type 2 (trust centre; report on request); no HIPAA BAA offered</w:t>
            </w:r>
          </w:p>
        </w:tc>
        <w:tc>
          <w:tcPr/>
          <w:p>
            <w:pPr>
              <w:pStyle w:val="Compact"/>
              <w:jc w:val="left"/>
            </w:pPr>
            <w:r>
              <w:t xml:space="preserve">Verified fact</w:t>
            </w:r>
          </w:p>
        </w:tc>
        <w:tc>
          <w:tcPr/>
          <w:p>
            <w:pPr>
              <w:pStyle w:val="Compact"/>
              <w:jc w:val="left"/>
            </w:pPr>
            <w:r>
              <w:t xml:space="preserve">A4-S142</w:t>
            </w:r>
          </w:p>
        </w:tc>
      </w:tr>
      <w:tr>
        <w:tc>
          <w:tcPr/>
          <w:p>
            <w:pPr>
              <w:pStyle w:val="Compact"/>
              <w:jc w:val="left"/>
            </w:pPr>
            <w:r>
              <w:t xml:space="preserve">GDPR / residency</w:t>
            </w:r>
          </w:p>
        </w:tc>
        <w:tc>
          <w:tcPr/>
          <w:p>
            <w:pPr>
              <w:pStyle w:val="Compact"/>
              <w:jc w:val="left"/>
            </w:pPr>
            <w:r>
              <w:t xml:space="preserve">Prompts/responses not stored unless the customer opts in; metadata stored. ZDR enforceable globally, per model group, guardrail or request. EU/US in-region routing on Business and Enterprise plans; fails rather than falling back out-of-region; Batch API, web search and web fetch not region-resident</w:t>
            </w:r>
          </w:p>
        </w:tc>
        <w:tc>
          <w:tcPr/>
          <w:p>
            <w:pPr>
              <w:pStyle w:val="Compact"/>
              <w:jc w:val="left"/>
            </w:pPr>
            <w:r>
              <w:t xml:space="preserve">Verified fact</w:t>
            </w:r>
          </w:p>
        </w:tc>
        <w:tc>
          <w:tcPr/>
          <w:p>
            <w:pPr>
              <w:pStyle w:val="Compact"/>
              <w:jc w:val="left"/>
            </w:pPr>
            <w:r>
              <w:t xml:space="preserve">A4-S107, A4-S108, A4-S109, A4-S150</w:t>
            </w:r>
          </w:p>
        </w:tc>
      </w:tr>
      <w:tr>
        <w:tc>
          <w:tcPr/>
          <w:p>
            <w:pPr>
              <w:pStyle w:val="Compact"/>
              <w:jc w:val="left"/>
            </w:pPr>
            <w:r>
              <w:t xml:space="preserve">Security features</w:t>
            </w:r>
          </w:p>
        </w:tc>
        <w:tc>
          <w:tcPr/>
          <w:p>
            <w:pPr>
              <w:pStyle w:val="Compact"/>
              <w:jc w:val="left"/>
            </w:pPr>
            <w:r>
              <w:t xml:space="preserve">Guardrails for prompt injection, sensitive information and secret formats; ZDR does not cover plugins/tools such as web search</w:t>
            </w:r>
          </w:p>
        </w:tc>
        <w:tc>
          <w:tcPr/>
          <w:p>
            <w:pPr>
              <w:pStyle w:val="Compact"/>
              <w:jc w:val="left"/>
            </w:pPr>
            <w:r>
              <w:t xml:space="preserve">Verified fact</w:t>
            </w:r>
          </w:p>
        </w:tc>
        <w:tc>
          <w:tcPr/>
          <w:p>
            <w:pPr>
              <w:pStyle w:val="Compact"/>
              <w:jc w:val="left"/>
            </w:pPr>
            <w:r>
              <w:t xml:space="preserve">A4-S111, A4-S108</w:t>
            </w:r>
          </w:p>
        </w:tc>
      </w:tr>
      <w:tr>
        <w:tc>
          <w:tcPr/>
          <w:p>
            <w:pPr>
              <w:pStyle w:val="Compact"/>
              <w:jc w:val="left"/>
            </w:pPr>
            <w:r>
              <w:t xml:space="preserve">Access controls</w:t>
            </w:r>
          </w:p>
        </w:tc>
        <w:tc>
          <w:tcPr/>
          <w:p>
            <w:pPr>
              <w:pStyle w:val="Compact"/>
              <w:jc w:val="left"/>
            </w:pPr>
            <w:r>
              <w:t xml:space="preserve">SSO (Okta, Entra ID, Google Workspace, custom SAML) on Enterprise plans; SCIM group mappings; org admin roles</w:t>
            </w:r>
          </w:p>
        </w:tc>
        <w:tc>
          <w:tcPr/>
          <w:p>
            <w:pPr>
              <w:pStyle w:val="Compact"/>
              <w:jc w:val="left"/>
            </w:pPr>
            <w:r>
              <w:t xml:space="preserve">Verified fact</w:t>
            </w:r>
          </w:p>
        </w:tc>
        <w:tc>
          <w:tcPr/>
          <w:p>
            <w:pPr>
              <w:pStyle w:val="Compact"/>
              <w:jc w:val="left"/>
            </w:pPr>
            <w:r>
              <w:t xml:space="preserve">A4-S110, A4-S112</w:t>
            </w:r>
          </w:p>
        </w:tc>
      </w:tr>
      <w:tr>
        <w:tc>
          <w:tcPr/>
          <w:p>
            <w:pPr>
              <w:pStyle w:val="Compact"/>
              <w:jc w:val="left"/>
            </w:pPr>
            <w:r>
              <w:t xml:space="preserve">Enterprise support</w:t>
            </w:r>
          </w:p>
        </w:tc>
        <w:tc>
          <w:tcPr/>
          <w:p>
            <w:pPr>
              <w:pStyle w:val="Compact"/>
              <w:jc w:val="left"/>
            </w:pPr>
            <w:r>
              <w:t xml:space="preserve">Business plan (self-serve, no minimum) and Enterprise plan (contractual SLAs, support SLA, dedicated Slack, CSM, forward-deployed engineer); no numeric uptime target published; ~50-minute full outage in August 2025 noted by vendor</w:t>
            </w:r>
          </w:p>
        </w:tc>
        <w:tc>
          <w:tcPr/>
          <w:p>
            <w:pPr>
              <w:pStyle w:val="Compact"/>
              <w:jc w:val="left"/>
            </w:pPr>
            <w:r>
              <w:t xml:space="preserve">Verified fact</w:t>
            </w:r>
          </w:p>
        </w:tc>
        <w:tc>
          <w:tcPr/>
          <w:p>
            <w:pPr>
              <w:pStyle w:val="Compact"/>
              <w:jc w:val="left"/>
            </w:pPr>
            <w:r>
              <w:t xml:space="preserve">A4-S109, A4-S150</w:t>
            </w:r>
          </w:p>
        </w:tc>
      </w:tr>
      <w:tr>
        <w:tc>
          <w:tcPr/>
          <w:p>
            <w:pPr>
              <w:pStyle w:val="Compact"/>
              <w:jc w:val="left"/>
            </w:pPr>
            <w:r>
              <w:t xml:space="preserve">Pricing</w:t>
            </w:r>
          </w:p>
        </w:tc>
        <w:tc>
          <w:tcPr/>
          <w:p>
            <w:pPr>
              <w:pStyle w:val="Compact"/>
              <w:jc w:val="left"/>
            </w:pPr>
            <w:r>
              <w:t xml:space="preserve">Provider prices passed through without markup; platform fee on credit purchases: Standard 5.5% (US$0.80 minimum), Business 8%, Enterprise custom; BYOK 5% of model cost after plan allowance</w:t>
            </w:r>
          </w:p>
        </w:tc>
        <w:tc>
          <w:tcPr/>
          <w:p>
            <w:pPr>
              <w:pStyle w:val="Compact"/>
              <w:jc w:val="left"/>
            </w:pPr>
            <w:r>
              <w:t xml:space="preserve">Verified fact</w:t>
            </w:r>
          </w:p>
        </w:tc>
        <w:tc>
          <w:tcPr/>
          <w:p>
            <w:pPr>
              <w:pStyle w:val="Compact"/>
              <w:jc w:val="left"/>
            </w:pPr>
            <w:r>
              <w:t xml:space="preserve">A4-S144, A4-S113, V1-S062</w:t>
            </w:r>
          </w:p>
        </w:tc>
      </w:tr>
      <w:tr>
        <w:tc>
          <w:tcPr/>
          <w:p>
            <w:pPr>
              <w:pStyle w:val="Compact"/>
              <w:jc w:val="left"/>
            </w:pPr>
            <w:r>
              <w:t xml:space="preserve">Infrastructure cost</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Ecosystem</w:t>
            </w:r>
          </w:p>
        </w:tc>
        <w:tc>
          <w:tcPr/>
          <w:p>
            <w:pPr>
              <w:pStyle w:val="Compact"/>
              <w:jc w:val="left"/>
            </w:pPr>
            <w:r>
              <w:t xml:space="preserve">Many providers; coding-agent launchers (ori) for Claude Code, Codex, OpenCode</w:t>
            </w:r>
          </w:p>
        </w:tc>
        <w:tc>
          <w:tcPr/>
          <w:p>
            <w:pPr>
              <w:pStyle w:val="Compact"/>
              <w:jc w:val="left"/>
            </w:pPr>
            <w:r>
              <w:t xml:space="preserve">Verified fact</w:t>
            </w:r>
          </w:p>
        </w:tc>
        <w:tc>
          <w:tcPr/>
          <w:p>
            <w:pPr>
              <w:pStyle w:val="Compact"/>
              <w:jc w:val="left"/>
            </w:pPr>
            <w:r>
              <w:t xml:space="preserve">A4-S112</w:t>
            </w:r>
          </w:p>
        </w:tc>
      </w:tr>
      <w:tr>
        <w:tc>
          <w:tcPr/>
          <w:p>
            <w:pPr>
              <w:pStyle w:val="Compact"/>
              <w:jc w:val="left"/>
            </w:pPr>
            <w:r>
              <w:t xml:space="preserve">Adoption signals</w:t>
            </w:r>
          </w:p>
        </w:tc>
        <w:tc>
          <w:tcPr/>
          <w:p>
            <w:pPr>
              <w:pStyle w:val="Compact"/>
              <w:jc w:val="left"/>
            </w:pPr>
            <w:r>
              <w:t xml:space="preserve">Series B US$113M led by CapitalG (26 May 2026, company release), about US$1.3B post-money (New York Times, reported); Series A US$40M (June 2025); 25 trillion tokens per week (May 2026, company); Stripe acquisition agreement August 2026 (value reported, not disclosed)</w:t>
            </w:r>
          </w:p>
        </w:tc>
        <w:tc>
          <w:tcPr/>
          <w:p>
            <w:pPr>
              <w:pStyle w:val="Compact"/>
              <w:jc w:val="left"/>
            </w:pPr>
            <w:r>
              <w:t xml:space="preserve">Verified fact</w:t>
            </w:r>
          </w:p>
        </w:tc>
        <w:tc>
          <w:tcPr/>
          <w:p>
            <w:pPr>
              <w:pStyle w:val="Compact"/>
              <w:jc w:val="left"/>
            </w:pPr>
            <w:r>
              <w:t xml:space="preserve">A4-S143, V1-S061, V1-S060</w:t>
            </w:r>
          </w:p>
        </w:tc>
      </w:tr>
      <w:tr>
        <w:tc>
          <w:tcPr/>
          <w:p>
            <w:pPr>
              <w:pStyle w:val="Compact"/>
              <w:jc w:val="left"/>
            </w:pPr>
            <w:r>
              <w:t xml:space="preserve">Maturity</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Deployment</w:t>
            </w:r>
          </w:p>
        </w:tc>
        <w:tc>
          <w:tcPr/>
          <w:p>
            <w:pPr>
              <w:pStyle w:val="Compact"/>
              <w:jc w:val="left"/>
            </w:pPr>
            <w:r>
              <w:t xml:space="preserve">saas: Yes; managed_cloud: Yes; vpc_byoc: Not publicly verified; private_cloud: Not publicly verified; self_hosted: No; on_prem: No</w:t>
            </w:r>
          </w:p>
        </w:tc>
        <w:tc>
          <w:tcPr/>
          <w:p>
            <w:pPr>
              <w:pStyle w:val="Compact"/>
            </w:pPr>
          </w:p>
        </w:tc>
        <w:tc>
          <w:tcPr/>
          <w:p>
            <w:pPr>
              <w:pStyle w:val="Compact"/>
            </w:pPr>
          </w:p>
        </w:tc>
      </w:tr>
    </w:tbl>
    <w:bookmarkEnd w:id="1419"/>
    <w:bookmarkStart w:id="1439" w:name="nvidia-dynamo-l2-nvidia-dynamo"/>
    <w:p>
      <w:pPr>
        <w:pStyle w:val="Heading2"/>
      </w:pPr>
      <w:r>
        <w:t xml:space="preserve">NVIDIA Dynamo (</w:t>
      </w:r>
      <w:r>
        <w:rPr>
          <w:rStyle w:val="VerbatimChar"/>
        </w:rPr>
        <w:t xml:space="preserve">L2-nvidia-dynamo</w:t>
      </w:r>
      <w:r>
        <w:t xml:space="preserve">)</w:t>
      </w:r>
    </w:p>
    <w:p>
      <w:pPr>
        <w:pStyle w:val="FirstParagraph"/>
      </w:pPr>
      <w:r>
        <w:rPr>
          <w:bCs/>
          <w:b/>
        </w:rPr>
        <w:t xml:space="preserve">Tier:</w:t>
      </w:r>
      <w:r>
        <w:t xml:space="preserve"> </w:t>
      </w:r>
      <w:r>
        <w:t xml:space="preserve">Experimental ·</w:t>
      </w:r>
      <w:r>
        <w:t xml:space="preserve"> </w:t>
      </w:r>
      <w:r>
        <w:rPr>
          <w:bCs/>
          <w:b/>
        </w:rPr>
        <w:t xml:space="preserve">Flags:</w:t>
      </w:r>
      <w:r>
        <w:t xml:space="preserve"> </w:t>
      </w:r>
      <w:r>
        <w:t xml:space="preserve">none ·</w:t>
      </w:r>
      <w:r>
        <w:t xml:space="preserve"> </w:t>
      </w:r>
      <w:r>
        <w:rPr>
          <w:bCs/>
          <w:b/>
        </w:rPr>
        <w:t xml:space="preserve">Original graphic label:</w:t>
      </w:r>
      <w:r>
        <w:t xml:space="preserve"> </w:t>
      </w:r>
      <w:r>
        <w:t xml:space="preserve">not in graphic</w:t>
      </w:r>
    </w:p>
    <w:p>
      <w:pPr>
        <w:pStyle w:val="BodyText"/>
      </w:pPr>
      <w:r>
        <w:rPr>
          <w:iCs/>
          <w:i/>
        </w:rPr>
        <w:t xml:space="preserve">Rationale:</w:t>
      </w:r>
      <w:r>
        <w:t xml:space="preserve"> </w:t>
      </w:r>
      <w:r>
        <w:t xml:space="preserve">Clear H1 evidence and real capability, but beta packaging and month-long support windows make it unsuitable as a critical dependency today</w:t>
      </w:r>
    </w:p>
    <w:tbl>
      <w:tblPr>
        <w:tblStyle w:val="Table"/>
        <w:tblW w:type="pct" w:w="5000"/>
        <w:tblLook w:firstRow="1" w:lastRow="0" w:firstColumn="0" w:lastColumn="0" w:noHBand="0" w:noVBand="0" w:val="0020"/>
        <w:jc w:val="start"/>
      </w:tblPr>
      <w:tblGrid>
        <w:gridCol w:w="1545"/>
        <w:gridCol w:w="579"/>
        <w:gridCol w:w="5795"/>
      </w:tblGrid>
      <w:tr>
        <w:trPr>
          <w:tblHeader w:val="true"/>
        </w:trPr>
        <w:tc>
          <w:tcPr/>
          <w:p>
            <w:pPr>
              <w:pStyle w:val="Compact"/>
              <w:jc w:val="left"/>
            </w:pPr>
            <w:r>
              <w:t xml:space="preserve">Criterion</w:t>
            </w:r>
          </w:p>
        </w:tc>
        <w:tc>
          <w:tcPr/>
          <w:p>
            <w:pPr>
              <w:pStyle w:val="Compact"/>
              <w:jc w:val="right"/>
            </w:pPr>
            <w:r>
              <w:t xml:space="preserve">Score</w:t>
            </w:r>
          </w:p>
        </w:tc>
        <w:tc>
          <w:tcPr/>
          <w:p>
            <w:pPr>
              <w:pStyle w:val="Compact"/>
              <w:jc w:val="left"/>
            </w:pPr>
            <w:r>
              <w:t xml:space="preserve">Rationale</w:t>
            </w:r>
          </w:p>
        </w:tc>
      </w:tr>
      <w:tr>
        <w:tc>
          <w:tcPr/>
          <w:p>
            <w:pPr>
              <w:pStyle w:val="Compact"/>
              <w:jc w:val="left"/>
            </w:pPr>
            <w:r>
              <w:t xml:space="preserve">Technical</w:t>
            </w:r>
          </w:p>
        </w:tc>
        <w:tc>
          <w:tcPr/>
          <w:p>
            <w:pPr>
              <w:pStyle w:val="Compact"/>
              <w:jc w:val="right"/>
            </w:pPr>
            <w:r>
              <w:t xml:space="preserve">4</w:t>
            </w:r>
          </w:p>
        </w:tc>
        <w:tc>
          <w:tcPr/>
          <w:p>
            <w:pPr>
              <w:pStyle w:val="Compact"/>
              <w:jc w:val="left"/>
            </w:pPr>
            <w:r>
              <w:t xml:space="preserve">Disaggregation, KV-aware routing, KV offload, SLA planner</w:t>
            </w:r>
            <w:r>
              <w:t xml:space="preserve"> </w:t>
            </w:r>
            <w:r>
              <w:rPr>
                <w:rStyle w:val="ClaimLabel"/>
              </w:rPr>
              <w:t xml:space="preserve">VF</w:t>
            </w:r>
            <w:r>
              <w:rPr>
                <w:rStyle w:val="FootnoteReference"/>
              </w:rPr>
              <w:footnoteReference w:id="1420"/>
            </w:r>
          </w:p>
        </w:tc>
      </w:tr>
      <w:tr>
        <w:tc>
          <w:tcPr/>
          <w:p>
            <w:pPr>
              <w:pStyle w:val="Compact"/>
              <w:jc w:val="left"/>
            </w:pPr>
            <w:r>
              <w:t xml:space="preserve">Enterprise readiness</w:t>
            </w:r>
          </w:p>
        </w:tc>
        <w:tc>
          <w:tcPr/>
          <w:p>
            <w:pPr>
              <w:pStyle w:val="Compact"/>
              <w:jc w:val="right"/>
            </w:pPr>
            <w:r>
              <w:t xml:space="preserve">3</w:t>
            </w:r>
          </w:p>
        </w:tc>
        <w:tc>
          <w:tcPr/>
          <w:p>
            <w:pPr>
              <w:pStyle w:val="Compact"/>
              <w:jc w:val="left"/>
            </w:pPr>
            <w:r>
              <w:t xml:space="preserve">Rule 2: commercial support exists (NVAIE feature branch)</w:t>
            </w:r>
            <w:r>
              <w:t xml:space="preserve"> </w:t>
            </w:r>
            <w:r>
              <w:rPr>
                <w:rStyle w:val="ClaimLabel"/>
              </w:rPr>
              <w:t xml:space="preserve">VF</w:t>
            </w:r>
            <w:r>
              <w:rPr>
                <w:rStyle w:val="FootnoteReference"/>
              </w:rPr>
              <w:footnoteReference w:id="1421"/>
            </w:r>
            <w:r>
              <w:t xml:space="preserve">; inherits host controls; 3</w:t>
            </w:r>
          </w:p>
        </w:tc>
      </w:tr>
      <w:tr>
        <w:tc>
          <w:tcPr/>
          <w:p>
            <w:pPr>
              <w:pStyle w:val="Compact"/>
              <w:jc w:val="left"/>
            </w:pPr>
            <w:r>
              <w:t xml:space="preserve">Security and compliance</w:t>
            </w:r>
          </w:p>
        </w:tc>
        <w:tc>
          <w:tcPr/>
          <w:p>
            <w:pPr>
              <w:pStyle w:val="Compact"/>
              <w:jc w:val="right"/>
            </w:pPr>
            <w:r>
              <w:t xml:space="preserve">2</w:t>
            </w:r>
          </w:p>
        </w:tc>
        <w:tc>
          <w:tcPr/>
          <w:p>
            <w:pPr>
              <w:pStyle w:val="Compact"/>
              <w:jc w:val="left"/>
            </w:pPr>
            <w:r>
              <w:t xml:space="preserve">Rule 2 hygiene: security policy and CVE handling not verified</w:t>
            </w:r>
            <w:r>
              <w:t xml:space="preserve"> </w:t>
            </w:r>
            <w:r>
              <w:rPr>
                <w:rStyle w:val="ClaimLabel"/>
              </w:rPr>
              <w:t xml:space="preserve">NPV</w:t>
            </w:r>
            <w:r>
              <w:t xml:space="preserve">; fixes only in new releases</w:t>
            </w:r>
            <w:r>
              <w:t xml:space="preserve"> </w:t>
            </w:r>
            <w:r>
              <w:rPr>
                <w:rStyle w:val="ClaimLabel"/>
              </w:rPr>
              <w:t xml:space="preserve">VF</w:t>
            </w:r>
            <w:r>
              <w:rPr>
                <w:rStyle w:val="FootnoteReference"/>
              </w:rPr>
              <w:footnoteReference w:id="1423"/>
            </w:r>
          </w:p>
        </w:tc>
      </w:tr>
      <w:tr>
        <w:tc>
          <w:tcPr/>
          <w:p>
            <w:pPr>
              <w:pStyle w:val="Compact"/>
              <w:jc w:val="left"/>
            </w:pPr>
            <w:r>
              <w:t xml:space="preserve">Deployment flexibility</w:t>
            </w:r>
          </w:p>
        </w:tc>
        <w:tc>
          <w:tcPr/>
          <w:p>
            <w:pPr>
              <w:pStyle w:val="Compact"/>
              <w:jc w:val="right"/>
            </w:pPr>
            <w:r>
              <w:t xml:space="preserve">4</w:t>
            </w:r>
          </w:p>
        </w:tc>
        <w:tc>
          <w:tcPr/>
          <w:p>
            <w:pPr>
              <w:pStyle w:val="Compact"/>
              <w:jc w:val="left"/>
            </w:pPr>
            <w:r>
              <w:t xml:space="preserve">Self-host on Kubernetes, VPC, on-prem; guides for EKS, GKE, AKS</w:t>
            </w:r>
            <w:r>
              <w:t xml:space="preserve"> </w:t>
            </w:r>
            <w:r>
              <w:rPr>
                <w:rStyle w:val="ClaimLabel"/>
              </w:rPr>
              <w:t xml:space="preserve">VF</w:t>
            </w:r>
            <w:r>
              <w:rPr>
                <w:rStyle w:val="FootnoteReference"/>
              </w:rPr>
              <w:footnoteReference w:id="1424"/>
            </w:r>
          </w:p>
        </w:tc>
      </w:tr>
      <w:tr>
        <w:tc>
          <w:tcPr/>
          <w:p>
            <w:pPr>
              <w:pStyle w:val="Compact"/>
              <w:jc w:val="left"/>
            </w:pPr>
            <w:r>
              <w:t xml:space="preserve">Ecosystem</w:t>
            </w:r>
          </w:p>
        </w:tc>
        <w:tc>
          <w:tcPr/>
          <w:p>
            <w:pPr>
              <w:pStyle w:val="Compact"/>
              <w:jc w:val="right"/>
            </w:pPr>
            <w:r>
              <w:t xml:space="preserve">3</w:t>
            </w:r>
          </w:p>
        </w:tc>
        <w:tc>
          <w:tcPr/>
          <w:p>
            <w:pPr>
              <w:pStyle w:val="Compact"/>
              <w:jc w:val="left"/>
            </w:pPr>
            <w:r>
              <w:t xml:space="preserve">Three engine backends, GAIE plugin, LMCache</w:t>
            </w:r>
            <w:r>
              <w:t xml:space="preserve"> </w:t>
            </w:r>
            <w:r>
              <w:rPr>
                <w:rStyle w:val="ClaimLabel"/>
              </w:rPr>
              <w:t xml:space="preserve">VF</w:t>
            </w:r>
            <w:r>
              <w:rPr>
                <w:rStyle w:val="FootnoteReference"/>
              </w:rPr>
              <w:footnoteReference w:id="1425"/>
            </w:r>
          </w:p>
        </w:tc>
      </w:tr>
      <w:tr>
        <w:tc>
          <w:tcPr/>
          <w:p>
            <w:pPr>
              <w:pStyle w:val="Compact"/>
              <w:jc w:val="left"/>
            </w:pPr>
            <w:r>
              <w:t xml:space="preserve">Reliability and maturity</w:t>
            </w:r>
          </w:p>
        </w:tc>
        <w:tc>
          <w:tcPr/>
          <w:p>
            <w:pPr>
              <w:pStyle w:val="Compact"/>
              <w:jc w:val="right"/>
            </w:pPr>
            <w:r>
              <w:t xml:space="preserve">2</w:t>
            </w:r>
          </w:p>
        </w:tc>
        <w:tc>
          <w:tcPr/>
          <w:p>
            <w:pPr>
              <w:pStyle w:val="Compact"/>
              <w:jc w:val="left"/>
            </w:pPr>
            <w:r>
              <w:t xml:space="preserve">Beta classifier; 1.0 claim conflicts; one-month support windows</w:t>
            </w:r>
            <w:r>
              <w:t xml:space="preserve"> </w:t>
            </w:r>
            <w:r>
              <w:rPr>
                <w:rStyle w:val="ClaimLabel"/>
              </w:rPr>
              <w:t xml:space="preserve">VF</w:t>
            </w:r>
            <w:r>
              <w:rPr>
                <w:rStyle w:val="FootnoteReference"/>
              </w:rPr>
              <w:footnoteReference w:id="1427"/>
            </w:r>
          </w:p>
        </w:tc>
      </w:tr>
      <w:tr>
        <w:tc>
          <w:tcPr/>
          <w:p>
            <w:pPr>
              <w:pStyle w:val="Compact"/>
              <w:jc w:val="left"/>
            </w:pPr>
            <w:r>
              <w:t xml:space="preserve">Cost / TCO</w:t>
            </w:r>
          </w:p>
        </w:tc>
        <w:tc>
          <w:tcPr/>
          <w:p>
            <w:pPr>
              <w:pStyle w:val="Compact"/>
              <w:jc w:val="right"/>
            </w:pPr>
            <w:r>
              <w:t xml:space="preserve">3</w:t>
            </w:r>
          </w:p>
        </w:tc>
        <w:tc>
          <w:tcPr/>
          <w:p>
            <w:pPr>
              <w:pStyle w:val="Compact"/>
              <w:jc w:val="left"/>
            </w:pPr>
            <w:r>
              <w:t xml:space="preserve">Free; heavy Kubernetes and GPU operations, subscription for support</w:t>
            </w:r>
            <w:r>
              <w:t xml:space="preserve"> </w:t>
            </w:r>
            <w:r>
              <w:rPr>
                <w:rStyle w:val="ClaimLabel"/>
              </w:rPr>
              <w:t xml:space="preserve">VF</w:t>
            </w:r>
            <w:r>
              <w:rPr>
                <w:rStyle w:val="FootnoteReference"/>
              </w:rPr>
              <w:footnoteReference w:id="1429"/>
            </w:r>
            <w:r>
              <w:t xml:space="preserve"> </w:t>
            </w:r>
            <w:r>
              <w:rPr>
                <w:rStyle w:val="ClaimLabel"/>
              </w:rPr>
              <w:t xml:space="preserve">AJ</w:t>
            </w:r>
          </w:p>
        </w:tc>
      </w:tr>
      <w:tr>
        <w:tc>
          <w:tcPr/>
          <w:p>
            <w:pPr>
              <w:pStyle w:val="Compact"/>
              <w:jc w:val="left"/>
            </w:pPr>
            <w:r>
              <w:t xml:space="preserve">Lock-in / portability</w:t>
            </w:r>
          </w:p>
        </w:tc>
        <w:tc>
          <w:tcPr/>
          <w:p>
            <w:pPr>
              <w:pStyle w:val="Compact"/>
              <w:jc w:val="right"/>
            </w:pPr>
            <w:r>
              <w:t xml:space="preserve">3</w:t>
            </w:r>
          </w:p>
        </w:tc>
        <w:tc>
          <w:tcPr/>
          <w:p>
            <w:pPr>
              <w:pStyle w:val="Compact"/>
              <w:jc w:val="left"/>
            </w:pPr>
            <w:r>
              <w:t xml:space="preserve">Apache-2.0 but NVIDIA-led and NVIDIA-optimised</w:t>
            </w:r>
            <w:r>
              <w:t xml:space="preserve"> </w:t>
            </w:r>
            <w:r>
              <w:rPr>
                <w:rStyle w:val="ClaimLabel"/>
              </w:rPr>
              <w:t xml:space="preserve">VF</w:t>
            </w:r>
            <w:r>
              <w:rPr>
                <w:rStyle w:val="FootnoteReference"/>
              </w:rPr>
              <w:footnoteReference w:id="1430"/>
            </w:r>
          </w:p>
        </w:tc>
      </w:tr>
      <w:tr>
        <w:tc>
          <w:tcPr/>
          <w:p>
            <w:pPr>
              <w:pStyle w:val="Compact"/>
              <w:jc w:val="left"/>
            </w:pPr>
            <w:r>
              <w:rPr>
                <w:bCs/>
                <w:b/>
              </w:rPr>
              <w:t xml:space="preserve">Total (generic / FS)</w:t>
            </w:r>
          </w:p>
        </w:tc>
        <w:tc>
          <w:tcPr/>
          <w:p>
            <w:pPr>
              <w:pStyle w:val="Compact"/>
              <w:jc w:val="right"/>
            </w:pPr>
            <w:r>
              <w:rPr>
                <w:bCs/>
                <w:b/>
              </w:rPr>
              <w:t xml:space="preserve">3.10 / 3.00</w:t>
            </w:r>
          </w:p>
        </w:tc>
        <w:tc>
          <w:tcPr/>
          <w:p>
            <w:pPr>
              <w:pStyle w:val="Compact"/>
            </w:pPr>
          </w:p>
        </w:tc>
      </w:tr>
    </w:tbl>
    <w:p>
      <w:pPr>
        <w:pStyle w:val="BodyText"/>
      </w:pPr>
      <w:r>
        <w:rPr>
          <w:bCs/>
          <w:b/>
        </w:rPr>
        <w:t xml:space="preserve">Capabilities.</w:t>
      </w:r>
      <w:r>
        <w:t xml:space="preserve"> </w:t>
      </w:r>
      <w:r>
        <w:t xml:space="preserve">Apache-2.0 distributed inference orchestration layer above vLLM, SGLang and TensorRT-LLM: disaggregated serving, KV-aware routing, multi-tier KV block manager, SLA-based planner and autoscaling, a Kubernetes Gateway API Inference Extension plugin; ai-dynamo 1.5.1 (7 October 2026, PyPI classifier Beta)</w:t>
      </w:r>
      <w:r>
        <w:t xml:space="preserve"> </w:t>
      </w:r>
      <w:r>
        <w:rPr>
          <w:rStyle w:val="ClaimLabel"/>
        </w:rPr>
        <w:t xml:space="preserve">VF</w:t>
      </w:r>
      <w:r>
        <w:rPr>
          <w:rStyle w:val="FootnoteReference"/>
        </w:rPr>
        <w:footnoteReference w:id="1431"/>
      </w:r>
      <w:r>
        <w:t xml:space="preserve">. Enterprise support is an NVIDIA AI Enterprise feature branch</w:t>
      </w:r>
      <w:r>
        <w:t xml:space="preserve"> </w:t>
      </w:r>
      <w:r>
        <w:rPr>
          <w:rStyle w:val="ClaimLabel"/>
        </w:rPr>
        <w:t xml:space="preserve">VF</w:t>
      </w:r>
      <w:r>
        <w:rPr>
          <w:rStyle w:val="FootnoteReference"/>
        </w:rPr>
        <w:footnoteReference w:id="1432"/>
      </w:r>
      <w:r>
        <w:t xml:space="preserve">.</w:t>
      </w:r>
    </w:p>
    <w:p>
      <w:pPr>
        <w:pStyle w:val="BodyText"/>
      </w:pPr>
      <w:r>
        <w:rPr>
          <w:bCs/>
          <w:b/>
        </w:rPr>
        <w:t xml:space="preserve">Strengths</w:t>
      </w:r>
    </w:p>
    <w:p>
      <w:pPr>
        <w:numPr>
          <w:ilvl w:val="0"/>
          <w:numId w:val="1305"/>
        </w:numPr>
        <w:pStyle w:val="Compact"/>
      </w:pPr>
      <w:r>
        <w:t xml:space="preserve">Explicit optimisation sub-layer that does not replace the engine</w:t>
      </w:r>
      <w:r>
        <w:t xml:space="preserve"> </w:t>
      </w:r>
      <w:r>
        <w:rPr>
          <w:rStyle w:val="ClaimLabel"/>
        </w:rPr>
        <w:t xml:space="preserve">VF</w:t>
      </w:r>
      <w:r>
        <w:rPr>
          <w:rStyle w:val="FootnoteReference"/>
        </w:rPr>
        <w:footnoteReference w:id="1433"/>
      </w:r>
    </w:p>
    <w:p>
      <w:pPr>
        <w:numPr>
          <w:ilvl w:val="0"/>
          <w:numId w:val="1305"/>
        </w:numPr>
        <w:pStyle w:val="Compact"/>
      </w:pPr>
      <w:r>
        <w:t xml:space="preserve">Engine-agnostic across three backends; integrates LMCache</w:t>
      </w:r>
      <w:r>
        <w:t xml:space="preserve"> </w:t>
      </w:r>
      <w:r>
        <w:rPr>
          <w:rStyle w:val="ClaimLabel"/>
        </w:rPr>
        <w:t xml:space="preserve">VF</w:t>
      </w:r>
      <w:r>
        <w:rPr>
          <w:rStyle w:val="FootnoteReference"/>
        </w:rPr>
        <w:footnoteReference w:id="1434"/>
      </w:r>
    </w:p>
    <w:p>
      <w:pPr>
        <w:pStyle w:val="FirstParagraph"/>
      </w:pPr>
      <w:r>
        <w:rPr>
          <w:bCs/>
          <w:b/>
        </w:rPr>
        <w:t xml:space="preserve">Limitations and risks</w:t>
      </w:r>
    </w:p>
    <w:p>
      <w:pPr>
        <w:numPr>
          <w:ilvl w:val="0"/>
          <w:numId w:val="1306"/>
        </w:numPr>
        <w:pStyle w:val="Compact"/>
      </w:pPr>
      <w:r>
        <w:t xml:space="preserve">Beta classifier on PyPI while the README calls 1.0 production-ready (conflict)</w:t>
      </w:r>
      <w:r>
        <w:t xml:space="preserve"> </w:t>
      </w:r>
      <w:r>
        <w:rPr>
          <w:rStyle w:val="ClaimLabel"/>
        </w:rPr>
        <w:t xml:space="preserve">VF</w:t>
      </w:r>
      <w:r>
        <w:rPr>
          <w:rStyle w:val="FootnoteReference"/>
        </w:rPr>
        <w:footnoteReference w:id="1435"/>
      </w:r>
    </w:p>
    <w:p>
      <w:pPr>
        <w:numPr>
          <w:ilvl w:val="0"/>
          <w:numId w:val="1306"/>
        </w:numPr>
        <w:pStyle w:val="Compact"/>
      </w:pPr>
      <w:r>
        <w:t xml:space="preserve">Support is a one-month feature branch with no backports and needs a subscription</w:t>
      </w:r>
      <w:r>
        <w:t xml:space="preserve"> </w:t>
      </w:r>
      <w:r>
        <w:rPr>
          <w:rStyle w:val="ClaimLabel"/>
        </w:rPr>
        <w:t xml:space="preserve">VF</w:t>
      </w:r>
      <w:r>
        <w:rPr>
          <w:rStyle w:val="FootnoteReference"/>
        </w:rPr>
        <w:footnoteReference w:id="1436"/>
      </w:r>
    </w:p>
    <w:p>
      <w:pPr>
        <w:numPr>
          <w:ilvl w:val="0"/>
          <w:numId w:val="1306"/>
        </w:numPr>
        <w:pStyle w:val="Compact"/>
      </w:pPr>
      <w:r>
        <w:t xml:space="preserve">NVIDIA-led and NVIDIA-GPU-optimised</w:t>
      </w:r>
      <w:r>
        <w:t xml:space="preserve"> </w:t>
      </w:r>
      <w:r>
        <w:rPr>
          <w:rStyle w:val="ClaimLabel"/>
        </w:rPr>
        <w:t xml:space="preserve">VF</w:t>
      </w:r>
      <w:r>
        <w:rPr>
          <w:rStyle w:val="FootnoteReference"/>
        </w:rPr>
        <w:footnoteReference w:id="1437"/>
      </w:r>
    </w:p>
    <w:p>
      <w:pPr>
        <w:pStyle w:val="FirstParagraph"/>
      </w:pPr>
      <w:r>
        <w:rPr>
          <w:bCs/>
          <w:b/>
        </w:rPr>
        <w:t xml:space="preserve">Choose when</w:t>
      </w:r>
    </w:p>
    <w:p>
      <w:pPr>
        <w:numPr>
          <w:ilvl w:val="0"/>
          <w:numId w:val="1307"/>
        </w:numPr>
        <w:pStyle w:val="Compact"/>
      </w:pPr>
      <w:r>
        <w:t xml:space="preserve">You run multi-node NVIDIA GPU serving at a scale where disaggregation pays</w:t>
      </w:r>
      <w:r>
        <w:t xml:space="preserve"> </w:t>
      </w:r>
      <w:r>
        <w:rPr>
          <w:rStyle w:val="ClaimLabel"/>
        </w:rPr>
        <w:t xml:space="preserve">AJ</w:t>
      </w:r>
    </w:p>
    <w:p>
      <w:pPr>
        <w:pStyle w:val="FirstParagraph"/>
      </w:pPr>
      <w:r>
        <w:rPr>
          <w:bCs/>
          <w:b/>
        </w:rPr>
        <w:t xml:space="preserve">Avoid when</w:t>
      </w:r>
    </w:p>
    <w:p>
      <w:pPr>
        <w:numPr>
          <w:ilvl w:val="0"/>
          <w:numId w:val="1308"/>
        </w:numPr>
        <w:pStyle w:val="Compact"/>
      </w:pPr>
      <w:r>
        <w:t xml:space="preserve">Single-node or modest volumes; vLLM alone is enough</w:t>
      </w:r>
      <w:r>
        <w:t xml:space="preserve"> </w:t>
      </w:r>
      <w:r>
        <w:rPr>
          <w:rStyle w:val="ClaimLabel"/>
        </w:rPr>
        <w:t xml:space="preserve">AJ</w:t>
      </w:r>
    </w:p>
    <w:p>
      <w:pPr>
        <w:numPr>
          <w:ilvl w:val="0"/>
          <w:numId w:val="1308"/>
        </w:numPr>
        <w:pStyle w:val="Compact"/>
      </w:pPr>
      <w:r>
        <w:t xml:space="preserve">You need long-term-support releases</w:t>
      </w:r>
      <w:r>
        <w:t xml:space="preserve"> </w:t>
      </w:r>
      <w:r>
        <w:rPr>
          <w:rStyle w:val="ClaimLabel"/>
        </w:rPr>
        <w:t xml:space="preserve">VF</w:t>
      </w:r>
      <w:r>
        <w:rPr>
          <w:rStyle w:val="FootnoteReference"/>
        </w:rPr>
        <w:footnoteReference w:id="1438"/>
      </w:r>
      <w:r>
        <w:t xml:space="preserve"> </w:t>
      </w:r>
      <w:r>
        <w:rPr>
          <w:rStyle w:val="ClaimLabel"/>
        </w:rPr>
        <w:t xml:space="preserve">AJ</w:t>
      </w:r>
    </w:p>
    <w:p>
      <w:pPr>
        <w:pStyle w:val="FirstParagraph"/>
      </w:pPr>
      <w:r>
        <w:rPr>
          <w:bCs/>
          <w:b/>
        </w:rPr>
        <w:t xml:space="preserve">Nearest competitors:</w:t>
      </w:r>
      <w:r>
        <w:t xml:space="preserve"> </w:t>
      </w:r>
      <w:r>
        <w:t xml:space="preserve">L2-llm-d, L2-vllm, L2-sglang</w:t>
      </w:r>
    </w:p>
    <w:p>
      <w:pPr>
        <w:pStyle w:val="BodyText"/>
      </w:pPr>
      <w:r>
        <w:rPr>
          <w:bCs/>
          <w:b/>
        </w:rPr>
        <w:t xml:space="preserve">Regulated-FS note.</w:t>
      </w:r>
      <w:r>
        <w:t xml:space="preserve"> </w:t>
      </w:r>
      <w:r>
        <w:t xml:space="preserve">Treat as an optimisation layer you can remove: keep the engine’s OpenAI-compatible API as the contract to the gateway</w:t>
      </w:r>
      <w:r>
        <w:t xml:space="preserve"> </w:t>
      </w:r>
      <w:r>
        <w:rPr>
          <w:rStyle w:val="ClaimLabel"/>
        </w:rPr>
        <w:t xml:space="preserve">Rec</w:t>
      </w:r>
      <w:r>
        <w:t xml:space="preserve">.</w:t>
      </w:r>
    </w:p>
    <w:p>
      <w:pPr>
        <w:pStyle w:val="BodyText"/>
      </w:pPr>
      <w:r>
        <w:rPr>
          <w:bCs/>
          <w:b/>
        </w:rPr>
        <w:t xml:space="preserve">Facts (as of 2026-10-07)</w:t>
      </w:r>
    </w:p>
    <w:tbl>
      <w:tblPr>
        <w:tblStyle w:val="Table"/>
        <w:tblW w:type="pct" w:w="5000"/>
        <w:tblLook w:firstRow="1" w:lastRow="0" w:firstColumn="0" w:lastColumn="0" w:noHBand="0" w:noVBand="0" w:val="0020"/>
        <w:jc w:val="start"/>
      </w:tblPr>
      <w:tblGrid>
        <w:gridCol w:w="1485"/>
        <w:gridCol w:w="4290"/>
        <w:gridCol w:w="1320"/>
        <w:gridCol w:w="825"/>
      </w:tblGrid>
      <w:tr>
        <w:trPr>
          <w:tblHeader w:val="true"/>
        </w:trPr>
        <w:tc>
          <w:tcPr/>
          <w:p>
            <w:pPr>
              <w:pStyle w:val="Compact"/>
              <w:jc w:val="left"/>
            </w:pPr>
            <w:r>
              <w:t xml:space="preserve">Field</w:t>
            </w:r>
          </w:p>
        </w:tc>
        <w:tc>
          <w:tcPr/>
          <w:p>
            <w:pPr>
              <w:pStyle w:val="Compact"/>
              <w:jc w:val="left"/>
            </w:pPr>
            <w:r>
              <w:t xml:space="preserve">Value</w:t>
            </w:r>
          </w:p>
        </w:tc>
        <w:tc>
          <w:tcPr/>
          <w:p>
            <w:pPr>
              <w:pStyle w:val="Compact"/>
              <w:jc w:val="left"/>
            </w:pPr>
            <w:r>
              <w:t xml:space="preserve">Label</w:t>
            </w:r>
          </w:p>
        </w:tc>
        <w:tc>
          <w:tcPr/>
          <w:p>
            <w:pPr>
              <w:pStyle w:val="Compact"/>
              <w:jc w:val="left"/>
            </w:pPr>
            <w:r>
              <w:t xml:space="preserve">Sources</w:t>
            </w:r>
          </w:p>
        </w:tc>
      </w:tr>
      <w:tr>
        <w:tc>
          <w:tcPr/>
          <w:p>
            <w:pPr>
              <w:pStyle w:val="Compact"/>
              <w:jc w:val="left"/>
            </w:pPr>
            <w:r>
              <w:t xml:space="preserve">Company</w:t>
            </w:r>
          </w:p>
        </w:tc>
        <w:tc>
          <w:tcPr/>
          <w:p>
            <w:pPr>
              <w:pStyle w:val="Compact"/>
              <w:jc w:val="left"/>
            </w:pPr>
            <w:r>
              <w:t xml:space="preserve">NVIDIA</w:t>
            </w:r>
          </w:p>
        </w:tc>
        <w:tc>
          <w:tcPr/>
          <w:p>
            <w:pPr>
              <w:pStyle w:val="Compact"/>
              <w:jc w:val="left"/>
            </w:pPr>
            <w:r>
              <w:t xml:space="preserve">Verified fact</w:t>
            </w:r>
          </w:p>
        </w:tc>
        <w:tc>
          <w:tcPr/>
          <w:p>
            <w:pPr>
              <w:pStyle w:val="Compact"/>
              <w:jc w:val="left"/>
            </w:pPr>
            <w:r>
              <w:t xml:space="preserve">A4-S098</w:t>
            </w:r>
          </w:p>
        </w:tc>
      </w:tr>
      <w:tr>
        <w:tc>
          <w:tcPr/>
          <w:p>
            <w:pPr>
              <w:pStyle w:val="Compact"/>
              <w:jc w:val="left"/>
            </w:pPr>
            <w:r>
              <w:t xml:space="preserve">Category</w:t>
            </w:r>
          </w:p>
        </w:tc>
        <w:tc>
          <w:tcPr/>
          <w:p>
            <w:pPr>
              <w:pStyle w:val="Compact"/>
              <w:jc w:val="left"/>
            </w:pPr>
            <w:r>
              <w:t xml:space="preserve">Distributed inference orchestration / optimisation layer above inference engines</w:t>
            </w:r>
          </w:p>
        </w:tc>
        <w:tc>
          <w:tcPr/>
          <w:p>
            <w:pPr>
              <w:pStyle w:val="Compact"/>
              <w:jc w:val="left"/>
            </w:pPr>
            <w:r>
              <w:t xml:space="preserve">Verified fact</w:t>
            </w:r>
          </w:p>
        </w:tc>
        <w:tc>
          <w:tcPr/>
          <w:p>
            <w:pPr>
              <w:pStyle w:val="Compact"/>
              <w:jc w:val="left"/>
            </w:pPr>
            <w:r>
              <w:t xml:space="preserve">A4-S090</w:t>
            </w:r>
          </w:p>
        </w:tc>
      </w:tr>
      <w:tr>
        <w:tc>
          <w:tcPr/>
          <w:p>
            <w:pPr>
              <w:pStyle w:val="Compact"/>
              <w:jc w:val="left"/>
            </w:pPr>
            <w:r>
              <w:t xml:space="preserve">Version / lineup</w:t>
            </w:r>
          </w:p>
        </w:tc>
        <w:tc>
          <w:tcPr/>
          <w:p>
            <w:pPr>
              <w:pStyle w:val="Compact"/>
              <w:jc w:val="left"/>
            </w:pPr>
            <w:r>
              <w:t xml:space="preserve">ai-dynamo 1.5.1 (7 October 2026; PyPI classifier Beta); first release March 2025</w:t>
            </w:r>
          </w:p>
        </w:tc>
        <w:tc>
          <w:tcPr/>
          <w:p>
            <w:pPr>
              <w:pStyle w:val="Compact"/>
              <w:jc w:val="left"/>
            </w:pPr>
            <w:r>
              <w:t xml:space="preserve">Verified fact</w:t>
            </w:r>
          </w:p>
        </w:tc>
        <w:tc>
          <w:tcPr/>
          <w:p>
            <w:pPr>
              <w:pStyle w:val="Compact"/>
              <w:jc w:val="left"/>
            </w:pPr>
            <w:r>
              <w:t xml:space="preserve">A4-S098</w:t>
            </w:r>
          </w:p>
        </w:tc>
      </w:tr>
      <w:tr>
        <w:tc>
          <w:tcPr/>
          <w:p>
            <w:pPr>
              <w:pStyle w:val="Compact"/>
              <w:jc w:val="left"/>
            </w:pPr>
            <w:r>
              <w:t xml:space="preserve">Licence</w:t>
            </w:r>
          </w:p>
        </w:tc>
        <w:tc>
          <w:tcPr/>
          <w:p>
            <w:pPr>
              <w:pStyle w:val="Compact"/>
              <w:jc w:val="left"/>
            </w:pPr>
            <w:r>
              <w:t xml:space="preserve">Open source, Apache-2.0</w:t>
            </w:r>
          </w:p>
        </w:tc>
        <w:tc>
          <w:tcPr/>
          <w:p>
            <w:pPr>
              <w:pStyle w:val="Compact"/>
              <w:jc w:val="left"/>
            </w:pPr>
            <w:r>
              <w:t xml:space="preserve">Verified fact</w:t>
            </w:r>
          </w:p>
        </w:tc>
        <w:tc>
          <w:tcPr/>
          <w:p>
            <w:pPr>
              <w:pStyle w:val="Compact"/>
              <w:jc w:val="left"/>
            </w:pPr>
            <w:r>
              <w:t xml:space="preserve">A4-S098, A4-S090</w:t>
            </w:r>
          </w:p>
        </w:tc>
      </w:tr>
      <w:tr>
        <w:tc>
          <w:tcPr/>
          <w:p>
            <w:pPr>
              <w:pStyle w:val="Compact"/>
              <w:jc w:val="left"/>
            </w:pPr>
            <w:r>
              <w:t xml:space="preserve">Status events</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Strategic direction</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What it does</w:t>
            </w:r>
          </w:p>
        </w:tc>
        <w:tc>
          <w:tcPr/>
          <w:p>
            <w:pPr>
              <w:pStyle w:val="Compact"/>
              <w:jc w:val="left"/>
            </w:pPr>
            <w:r>
              <w:t xml:space="preserve">‘</w:t>
            </w:r>
            <w:r>
              <w:t xml:space="preserve">The orchestration layer above inference engines — it doesn’t replace SGLang, TensorRT-LLM, or vLLM</w:t>
            </w:r>
            <w:r>
              <w:t xml:space="preserve">’</w:t>
            </w:r>
            <w:r>
              <w:t xml:space="preserve">: disaggregated serving, KV-aware routing, multi-tier KV caching (KVBM), SLA-based planner and autoscaling; 1.0 added zero-config deploy, agentic-inference hints and multimodal E/P/D.</w:t>
            </w:r>
          </w:p>
        </w:tc>
        <w:tc>
          <w:tcPr/>
          <w:p>
            <w:pPr>
              <w:pStyle w:val="Compact"/>
              <w:jc w:val="left"/>
            </w:pPr>
            <w:r>
              <w:t xml:space="preserve">Verified fact</w:t>
            </w:r>
          </w:p>
        </w:tc>
        <w:tc>
          <w:tcPr/>
          <w:p>
            <w:pPr>
              <w:pStyle w:val="Compact"/>
              <w:jc w:val="left"/>
            </w:pPr>
            <w:r>
              <w:t xml:space="preserve">A4-S090</w:t>
            </w:r>
          </w:p>
        </w:tc>
      </w:tr>
      <w:tr>
        <w:tc>
          <w:tcPr/>
          <w:p>
            <w:pPr>
              <w:pStyle w:val="Compact"/>
              <w:jc w:val="left"/>
            </w:pPr>
            <w:r>
              <w:t xml:space="preserve">Stack position</w:t>
            </w:r>
          </w:p>
        </w:tc>
        <w:tc>
          <w:tcPr/>
          <w:p>
            <w:pPr>
              <w:pStyle w:val="Compact"/>
              <w:jc w:val="left"/>
            </w:pPr>
            <w:r>
              <w:t xml:space="preserve">Inference optimisation sub-layer between serving engines and gateways (H1)</w:t>
            </w:r>
          </w:p>
        </w:tc>
        <w:tc>
          <w:tcPr/>
          <w:p>
            <w:pPr>
              <w:pStyle w:val="Compact"/>
              <w:jc w:val="left"/>
            </w:pPr>
            <w:r>
              <w:t xml:space="preserve">Verified fact</w:t>
            </w:r>
          </w:p>
        </w:tc>
        <w:tc>
          <w:tcPr/>
          <w:p>
            <w:pPr>
              <w:pStyle w:val="Compact"/>
              <w:jc w:val="left"/>
            </w:pPr>
            <w:r>
              <w:t xml:space="preserve">A4-S090</w:t>
            </w:r>
          </w:p>
        </w:tc>
      </w:tr>
      <w:tr>
        <w:tc>
          <w:tcPr/>
          <w:p>
            <w:pPr>
              <w:pStyle w:val="Compact"/>
              <w:jc w:val="left"/>
            </w:pPr>
            <w:r>
              <w:t xml:space="preserve">Integration</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Dependencies</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Certifications</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GDPR / residency</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Security features</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Access controls</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Enterprise support</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Pricing</w:t>
            </w:r>
          </w:p>
        </w:tc>
        <w:tc>
          <w:tcPr/>
          <w:p>
            <w:pPr>
              <w:pStyle w:val="Compact"/>
              <w:jc w:val="left"/>
            </w:pPr>
            <w:r>
              <w:t xml:space="preserve">Free (Apache-2.0)</w:t>
            </w:r>
          </w:p>
        </w:tc>
        <w:tc>
          <w:tcPr/>
          <w:p>
            <w:pPr>
              <w:pStyle w:val="Compact"/>
              <w:jc w:val="left"/>
            </w:pPr>
            <w:r>
              <w:t xml:space="preserve">Verified fact</w:t>
            </w:r>
          </w:p>
        </w:tc>
        <w:tc>
          <w:tcPr/>
          <w:p>
            <w:pPr>
              <w:pStyle w:val="Compact"/>
              <w:jc w:val="left"/>
            </w:pPr>
            <w:r>
              <w:t xml:space="preserve">A4-S098</w:t>
            </w:r>
          </w:p>
        </w:tc>
      </w:tr>
      <w:tr>
        <w:tc>
          <w:tcPr/>
          <w:p>
            <w:pPr>
              <w:pStyle w:val="Compact"/>
              <w:jc w:val="left"/>
            </w:pPr>
            <w:r>
              <w:t xml:space="preserve">Infrastructure cost</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Ecosystem</w:t>
            </w:r>
          </w:p>
        </w:tc>
        <w:tc>
          <w:tcPr/>
          <w:p>
            <w:pPr>
              <w:pStyle w:val="Compact"/>
              <w:jc w:val="left"/>
            </w:pPr>
            <w:r>
              <w:t xml:space="preserve">Backends SGLang, TensorRT-LLM, vLLM; integrates LMCache (September 2025); LangChain and NeMo Agent Toolkit integrations</w:t>
            </w:r>
          </w:p>
        </w:tc>
        <w:tc>
          <w:tcPr/>
          <w:p>
            <w:pPr>
              <w:pStyle w:val="Compact"/>
              <w:jc w:val="left"/>
            </w:pPr>
            <w:r>
              <w:t xml:space="preserve">Verified fact</w:t>
            </w:r>
          </w:p>
        </w:tc>
        <w:tc>
          <w:tcPr/>
          <w:p>
            <w:pPr>
              <w:pStyle w:val="Compact"/>
              <w:jc w:val="left"/>
            </w:pPr>
            <w:r>
              <w:t xml:space="preserve">A4-S090, A4-S091</w:t>
            </w:r>
          </w:p>
        </w:tc>
      </w:tr>
      <w:tr>
        <w:tc>
          <w:tcPr/>
          <w:p>
            <w:pPr>
              <w:pStyle w:val="Compact"/>
              <w:jc w:val="left"/>
            </w:pPr>
            <w:r>
              <w:t xml:space="preserve">Adoption signals</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Maturity</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Deployment</w:t>
            </w:r>
          </w:p>
        </w:tc>
        <w:tc>
          <w:tcPr/>
          <w:p>
            <w:pPr>
              <w:pStyle w:val="Compact"/>
              <w:jc w:val="left"/>
            </w:pPr>
            <w:r>
              <w:t xml:space="preserve">saas: No; managed_cloud: Not publicly verified; vpc_byoc: Yes; private_cloud: Yes; self_hosted: Yes; on_prem: Yes</w:t>
            </w:r>
          </w:p>
        </w:tc>
        <w:tc>
          <w:tcPr/>
          <w:p>
            <w:pPr>
              <w:pStyle w:val="Compact"/>
            </w:pPr>
          </w:p>
        </w:tc>
        <w:tc>
          <w:tcPr/>
          <w:p>
            <w:pPr>
              <w:pStyle w:val="Compact"/>
            </w:pPr>
          </w:p>
        </w:tc>
      </w:tr>
    </w:tbl>
    <w:bookmarkEnd w:id="1439"/>
    <w:bookmarkStart w:id="1458" w:name="Xa9feed6e557658ae03a59427fea1410d330e1aa"/>
    <w:p>
      <w:pPr>
        <w:pStyle w:val="Heading2"/>
      </w:pPr>
      <w:r>
        <w:t xml:space="preserve">Ollama (local runtime) with Ollama Cloud (hosted cloud models) (</w:t>
      </w:r>
      <w:r>
        <w:rPr>
          <w:rStyle w:val="VerbatimChar"/>
        </w:rPr>
        <w:t xml:space="preserve">L2-ollama</w:t>
      </w:r>
      <w:r>
        <w:t xml:space="preserve">)</w:t>
      </w:r>
    </w:p>
    <w:p>
      <w:pPr>
        <w:pStyle w:val="FirstParagraph"/>
      </w:pPr>
      <w:r>
        <w:rPr>
          <w:bCs/>
          <w:b/>
        </w:rPr>
        <w:t xml:space="preserve">Tier:</w:t>
      </w:r>
      <w:r>
        <w:t xml:space="preserve"> </w:t>
      </w:r>
      <w:r>
        <w:t xml:space="preserve">Tactical ·</w:t>
      </w:r>
      <w:r>
        <w:t xml:space="preserve"> </w:t>
      </w:r>
      <w:r>
        <w:rPr>
          <w:bCs/>
          <w:b/>
        </w:rPr>
        <w:t xml:space="preserve">Flags:</w:t>
      </w:r>
      <w:r>
        <w:t xml:space="preserve"> </w:t>
      </w:r>
      <w:r>
        <w:t xml:space="preserve">none ·</w:t>
      </w:r>
      <w:r>
        <w:t xml:space="preserve"> </w:t>
      </w:r>
      <w:r>
        <w:rPr>
          <w:bCs/>
          <w:b/>
        </w:rPr>
        <w:t xml:space="preserve">Original graphic label:</w:t>
      </w:r>
      <w:r>
        <w:t xml:space="preserve"> </w:t>
      </w:r>
      <w:r>
        <w:t xml:space="preserve">Ollama – run locally</w:t>
      </w:r>
    </w:p>
    <w:p>
      <w:pPr>
        <w:pStyle w:val="BodyText"/>
      </w:pPr>
      <w:r>
        <w:rPr>
          <w:iCs/>
          <w:i/>
        </w:rPr>
        <w:t xml:space="preserve">Rationale:</w:t>
      </w:r>
      <w:r>
        <w:t xml:space="preserve"> </w:t>
      </w:r>
      <w:r>
        <w:t xml:space="preserve">Useful developer runtime; Ollama Cloud is an unverified third-party processor</w:t>
      </w:r>
    </w:p>
    <w:tbl>
      <w:tblPr>
        <w:tblStyle w:val="Table"/>
        <w:tblW w:type="pct" w:w="5000"/>
        <w:tblLook w:firstRow="1" w:lastRow="0" w:firstColumn="0" w:lastColumn="0" w:noHBand="0" w:noVBand="0" w:val="0020"/>
        <w:jc w:val="start"/>
      </w:tblPr>
      <w:tblGrid>
        <w:gridCol w:w="1545"/>
        <w:gridCol w:w="579"/>
        <w:gridCol w:w="5795"/>
      </w:tblGrid>
      <w:tr>
        <w:trPr>
          <w:tblHeader w:val="true"/>
        </w:trPr>
        <w:tc>
          <w:tcPr/>
          <w:p>
            <w:pPr>
              <w:pStyle w:val="Compact"/>
              <w:jc w:val="left"/>
            </w:pPr>
            <w:r>
              <w:t xml:space="preserve">Criterion</w:t>
            </w:r>
          </w:p>
        </w:tc>
        <w:tc>
          <w:tcPr/>
          <w:p>
            <w:pPr>
              <w:pStyle w:val="Compact"/>
              <w:jc w:val="right"/>
            </w:pPr>
            <w:r>
              <w:t xml:space="preserve">Score</w:t>
            </w:r>
          </w:p>
        </w:tc>
        <w:tc>
          <w:tcPr/>
          <w:p>
            <w:pPr>
              <w:pStyle w:val="Compact"/>
              <w:jc w:val="left"/>
            </w:pPr>
            <w:r>
              <w:t xml:space="preserve">Rationale</w:t>
            </w:r>
          </w:p>
        </w:tc>
      </w:tr>
      <w:tr>
        <w:tc>
          <w:tcPr/>
          <w:p>
            <w:pPr>
              <w:pStyle w:val="Compact"/>
              <w:jc w:val="left"/>
            </w:pPr>
            <w:r>
              <w:t xml:space="preserve">Technical</w:t>
            </w:r>
          </w:p>
        </w:tc>
        <w:tc>
          <w:tcPr/>
          <w:p>
            <w:pPr>
              <w:pStyle w:val="Compact"/>
              <w:jc w:val="right"/>
            </w:pPr>
            <w:r>
              <w:t xml:space="preserve">3</w:t>
            </w:r>
          </w:p>
        </w:tc>
        <w:tc>
          <w:tcPr/>
          <w:p>
            <w:pPr>
              <w:pStyle w:val="Compact"/>
              <w:jc w:val="left"/>
            </w:pPr>
            <w:r>
              <w:t xml:space="preserve">Covers local serving competently; not a multi-tenant production engine</w:t>
            </w:r>
            <w:r>
              <w:t xml:space="preserve"> </w:t>
            </w:r>
            <w:r>
              <w:rPr>
                <w:rStyle w:val="ClaimLabel"/>
              </w:rPr>
              <w:t xml:space="preserve">VF</w:t>
            </w:r>
            <w:r>
              <w:rPr>
                <w:rStyle w:val="FootnoteReference"/>
              </w:rPr>
              <w:footnoteReference w:id="1440"/>
            </w:r>
            <w:r>
              <w:t xml:space="preserve"> </w:t>
            </w:r>
            <w:r>
              <w:rPr>
                <w:rStyle w:val="ClaimLabel"/>
              </w:rPr>
              <w:t xml:space="preserve">AJ</w:t>
            </w:r>
          </w:p>
        </w:tc>
      </w:tr>
      <w:tr>
        <w:tc>
          <w:tcPr/>
          <w:p>
            <w:pPr>
              <w:pStyle w:val="Compact"/>
              <w:jc w:val="left"/>
            </w:pPr>
            <w:r>
              <w:t xml:space="preserve">Enterprise readiness</w:t>
            </w:r>
          </w:p>
        </w:tc>
        <w:tc>
          <w:tcPr/>
          <w:p>
            <w:pPr>
              <w:pStyle w:val="Compact"/>
              <w:jc w:val="right"/>
            </w:pPr>
            <w:r>
              <w:t xml:space="preserve">2</w:t>
            </w:r>
          </w:p>
        </w:tc>
        <w:tc>
          <w:tcPr/>
          <w:p>
            <w:pPr>
              <w:pStyle w:val="Compact"/>
              <w:jc w:val="left"/>
            </w:pPr>
            <w:r>
              <w:t xml:space="preserve">No SSO, RBAC or audit verified for Cloud; NPV cap</w:t>
            </w:r>
            <w:r>
              <w:t xml:space="preserve"> </w:t>
            </w:r>
            <w:r>
              <w:rPr>
                <w:rStyle w:val="ClaimLabel"/>
              </w:rPr>
              <w:t xml:space="preserve">NPV</w:t>
            </w:r>
          </w:p>
        </w:tc>
      </w:tr>
      <w:tr>
        <w:tc>
          <w:tcPr/>
          <w:p>
            <w:pPr>
              <w:pStyle w:val="Compact"/>
              <w:jc w:val="left"/>
            </w:pPr>
            <w:r>
              <w:t xml:space="preserve">Security and compliance</w:t>
            </w:r>
          </w:p>
        </w:tc>
        <w:tc>
          <w:tcPr/>
          <w:p>
            <w:pPr>
              <w:pStyle w:val="Compact"/>
              <w:jc w:val="right"/>
            </w:pPr>
            <w:r>
              <w:t xml:space="preserve">2</w:t>
            </w:r>
          </w:p>
        </w:tc>
        <w:tc>
          <w:tcPr/>
          <w:p>
            <w:pPr>
              <w:pStyle w:val="Compact"/>
              <w:jc w:val="left"/>
            </w:pPr>
            <w:r>
              <w:t xml:space="preserve">Cloud certifications NPV (cap); local runtime has no documented authentication</w:t>
            </w:r>
            <w:r>
              <w:t xml:space="preserve"> </w:t>
            </w:r>
            <w:r>
              <w:rPr>
                <w:rStyle w:val="ClaimLabel"/>
              </w:rPr>
              <w:t xml:space="preserve">VF</w:t>
            </w:r>
            <w:r>
              <w:rPr>
                <w:rStyle w:val="FootnoteReference"/>
              </w:rPr>
              <w:footnoteReference w:id="1442"/>
            </w:r>
            <w:r>
              <w:t xml:space="preserve"> </w:t>
            </w:r>
            <w:r>
              <w:rPr>
                <w:rStyle w:val="ClaimLabel"/>
              </w:rPr>
              <w:t xml:space="preserve">NPV</w:t>
            </w:r>
          </w:p>
        </w:tc>
      </w:tr>
      <w:tr>
        <w:tc>
          <w:tcPr/>
          <w:p>
            <w:pPr>
              <w:pStyle w:val="Compact"/>
              <w:jc w:val="left"/>
            </w:pPr>
            <w:r>
              <w:t xml:space="preserve">Deployment flexibility</w:t>
            </w:r>
          </w:p>
        </w:tc>
        <w:tc>
          <w:tcPr/>
          <w:p>
            <w:pPr>
              <w:pStyle w:val="Compact"/>
              <w:jc w:val="right"/>
            </w:pPr>
            <w:r>
              <w:t xml:space="preserve">4</w:t>
            </w:r>
          </w:p>
        </w:tc>
        <w:tc>
          <w:tcPr/>
          <w:p>
            <w:pPr>
              <w:pStyle w:val="Compact"/>
              <w:jc w:val="left"/>
            </w:pPr>
            <w:r>
              <w:t xml:space="preserve">Local, on-prem and SaaS; no VPC</w:t>
            </w:r>
            <w:r>
              <w:t xml:space="preserve"> </w:t>
            </w:r>
            <w:r>
              <w:rPr>
                <w:rStyle w:val="ClaimLabel"/>
              </w:rPr>
              <w:t xml:space="preserve">VF</w:t>
            </w:r>
            <w:r>
              <w:rPr>
                <w:rStyle w:val="FootnoteReference"/>
              </w:rPr>
              <w:footnoteReference w:id="1444"/>
            </w:r>
          </w:p>
        </w:tc>
      </w:tr>
      <w:tr>
        <w:tc>
          <w:tcPr/>
          <w:p>
            <w:pPr>
              <w:pStyle w:val="Compact"/>
              <w:jc w:val="left"/>
            </w:pPr>
            <w:r>
              <w:t xml:space="preserve">Ecosystem</w:t>
            </w:r>
          </w:p>
        </w:tc>
        <w:tc>
          <w:tcPr/>
          <w:p>
            <w:pPr>
              <w:pStyle w:val="Compact"/>
              <w:jc w:val="right"/>
            </w:pPr>
            <w:r>
              <w:t xml:space="preserve">4</w:t>
            </w:r>
          </w:p>
        </w:tc>
        <w:tc>
          <w:tcPr/>
          <w:p>
            <w:pPr>
              <w:pStyle w:val="Compact"/>
              <w:jc w:val="left"/>
            </w:pPr>
            <w:r>
              <w:t xml:space="preserve">Large community integrations; OpenAI/Anthropic-compatible APIs</w:t>
            </w:r>
            <w:r>
              <w:t xml:space="preserve"> </w:t>
            </w:r>
            <w:r>
              <w:rPr>
                <w:rStyle w:val="ClaimLabel"/>
              </w:rPr>
              <w:t xml:space="preserve">VF</w:t>
            </w:r>
            <w:r>
              <w:rPr>
                <w:rStyle w:val="FootnoteReference"/>
              </w:rPr>
              <w:footnoteReference w:id="1446"/>
            </w:r>
          </w:p>
        </w:tc>
      </w:tr>
      <w:tr>
        <w:tc>
          <w:tcPr/>
          <w:p>
            <w:pPr>
              <w:pStyle w:val="Compact"/>
              <w:jc w:val="left"/>
            </w:pPr>
            <w:r>
              <w:t xml:space="preserve">Reliability and maturity</w:t>
            </w:r>
          </w:p>
        </w:tc>
        <w:tc>
          <w:tcPr/>
          <w:p>
            <w:pPr>
              <w:pStyle w:val="Compact"/>
              <w:jc w:val="right"/>
            </w:pPr>
            <w:r>
              <w:t xml:space="preserve">2</w:t>
            </w:r>
          </w:p>
        </w:tc>
        <w:tc>
          <w:tcPr/>
          <w:p>
            <w:pPr>
              <w:pStyle w:val="Compact"/>
              <w:jc w:val="left"/>
            </w:pPr>
            <w:r>
              <w:t xml:space="preserve">Server version and maturity not verified; cloud pricing changed 31 August 2026</w:t>
            </w:r>
            <w:r>
              <w:t xml:space="preserve"> </w:t>
            </w:r>
            <w:r>
              <w:rPr>
                <w:rStyle w:val="ClaimLabel"/>
              </w:rPr>
              <w:t xml:space="preserve">VF</w:t>
            </w:r>
            <w:r>
              <w:rPr>
                <w:rStyle w:val="FootnoteReference"/>
              </w:rPr>
              <w:footnoteReference w:id="1447"/>
            </w:r>
            <w:r>
              <w:t xml:space="preserve"> </w:t>
            </w:r>
            <w:r>
              <w:rPr>
                <w:rStyle w:val="ClaimLabel"/>
              </w:rPr>
              <w:t xml:space="preserve">NPV</w:t>
            </w:r>
          </w:p>
        </w:tc>
      </w:tr>
      <w:tr>
        <w:tc>
          <w:tcPr/>
          <w:p>
            <w:pPr>
              <w:pStyle w:val="Compact"/>
              <w:jc w:val="left"/>
            </w:pPr>
            <w:r>
              <w:t xml:space="preserve">Cost / TCO</w:t>
            </w:r>
          </w:p>
        </w:tc>
        <w:tc>
          <w:tcPr/>
          <w:p>
            <w:pPr>
              <w:pStyle w:val="Compact"/>
              <w:jc w:val="right"/>
            </w:pPr>
            <w:r>
              <w:t xml:space="preserve">4</w:t>
            </w:r>
          </w:p>
        </w:tc>
        <w:tc>
          <w:tcPr/>
          <w:p>
            <w:pPr>
              <w:pStyle w:val="Compact"/>
              <w:jc w:val="left"/>
            </w:pPr>
            <w:r>
              <w:t xml:space="preserve">Runtime free; Cloud plans published</w:t>
            </w:r>
            <w:r>
              <w:t xml:space="preserve"> </w:t>
            </w:r>
            <w:r>
              <w:rPr>
                <w:rStyle w:val="ClaimLabel"/>
              </w:rPr>
              <w:t xml:space="preserve">VF</w:t>
            </w:r>
            <w:r>
              <w:rPr>
                <w:rStyle w:val="FootnoteReference"/>
              </w:rPr>
              <w:footnoteReference w:id="1449"/>
            </w:r>
          </w:p>
        </w:tc>
      </w:tr>
      <w:tr>
        <w:tc>
          <w:tcPr/>
          <w:p>
            <w:pPr>
              <w:pStyle w:val="Compact"/>
              <w:jc w:val="left"/>
            </w:pPr>
            <w:r>
              <w:t xml:space="preserve">Lock-in / portability</w:t>
            </w:r>
          </w:p>
        </w:tc>
        <w:tc>
          <w:tcPr/>
          <w:p>
            <w:pPr>
              <w:pStyle w:val="Compact"/>
              <w:jc w:val="right"/>
            </w:pPr>
            <w:r>
              <w:t xml:space="preserve">4</w:t>
            </w:r>
          </w:p>
        </w:tc>
        <w:tc>
          <w:tcPr/>
          <w:p>
            <w:pPr>
              <w:pStyle w:val="Compact"/>
              <w:jc w:val="left"/>
            </w:pPr>
            <w:r>
              <w:t xml:space="preserve">MIT runtime and portable models; Cloud proprietary</w:t>
            </w:r>
            <w:r>
              <w:t xml:space="preserve"> </w:t>
            </w:r>
            <w:r>
              <w:rPr>
                <w:rStyle w:val="ClaimLabel"/>
              </w:rPr>
              <w:t xml:space="preserve">VF</w:t>
            </w:r>
            <w:r>
              <w:rPr>
                <w:rStyle w:val="FootnoteReference"/>
              </w:rPr>
              <w:footnoteReference w:id="1450"/>
            </w:r>
          </w:p>
        </w:tc>
      </w:tr>
      <w:tr>
        <w:tc>
          <w:tcPr/>
          <w:p>
            <w:pPr>
              <w:pStyle w:val="Compact"/>
              <w:jc w:val="left"/>
            </w:pPr>
            <w:r>
              <w:rPr>
                <w:bCs/>
                <w:b/>
              </w:rPr>
              <w:t xml:space="preserve">Total (generic / FS)</w:t>
            </w:r>
          </w:p>
        </w:tc>
        <w:tc>
          <w:tcPr/>
          <w:p>
            <w:pPr>
              <w:pStyle w:val="Compact"/>
              <w:jc w:val="right"/>
            </w:pPr>
            <w:r>
              <w:rPr>
                <w:bCs/>
                <w:b/>
              </w:rPr>
              <w:t xml:space="preserve">3.00 / 2.95</w:t>
            </w:r>
          </w:p>
        </w:tc>
        <w:tc>
          <w:tcPr/>
          <w:p>
            <w:pPr>
              <w:pStyle w:val="Compact"/>
            </w:pPr>
          </w:p>
        </w:tc>
      </w:tr>
    </w:tbl>
    <w:p>
      <w:pPr>
        <w:pStyle w:val="BodyText"/>
      </w:pPr>
      <w:r>
        <w:rPr>
          <w:iCs/>
          <w:i/>
        </w:rPr>
        <w:t xml:space="preserve">Evidence rules applied:</w:t>
      </w:r>
      <w:r>
        <w:t xml:space="preserve"> </w:t>
      </w:r>
      <w:r>
        <w:t xml:space="preserve">enterprise_readiness capped at 2: SSO/RBAC/audit NPV; security_compliance capped at 2: Ollama Cloud certifications NPV</w:t>
      </w:r>
    </w:p>
    <w:p>
      <w:pPr>
        <w:pStyle w:val="BodyText"/>
      </w:pPr>
      <w:r>
        <w:rPr>
          <w:bCs/>
          <w:b/>
        </w:rPr>
        <w:t xml:space="preserve">Capabilities.</w:t>
      </w:r>
      <w:r>
        <w:t xml:space="preserve"> </w:t>
      </w:r>
      <w:r>
        <w:t xml:space="preserve">MIT-licensed local LLM runtime and model packager, plus Ollama Cloud, a hosted service for larger models with OpenAI- and Anthropic-compatible APIs; cloud features can be disabled; usage-based cloud plans from 31 August 2026</w:t>
      </w:r>
      <w:r>
        <w:t xml:space="preserve"> </w:t>
      </w:r>
      <w:r>
        <w:rPr>
          <w:rStyle w:val="ClaimLabel"/>
        </w:rPr>
        <w:t xml:space="preserve">VF</w:t>
      </w:r>
      <w:r>
        <w:rPr>
          <w:rStyle w:val="FootnoteReference"/>
        </w:rPr>
        <w:footnoteReference w:id="1452"/>
      </w:r>
      <w:r>
        <w:t xml:space="preserve">. Binds 127.0.0.1:11434 by default</w:t>
      </w:r>
      <w:r>
        <w:t xml:space="preserve"> </w:t>
      </w:r>
      <w:r>
        <w:rPr>
          <w:rStyle w:val="ClaimLabel"/>
        </w:rPr>
        <w:t xml:space="preserve">VF</w:t>
      </w:r>
      <w:r>
        <w:rPr>
          <w:rStyle w:val="FootnoteReference"/>
        </w:rPr>
        <w:footnoteReference w:id="1453"/>
      </w:r>
      <w:r>
        <w:t xml:space="preserve">.</w:t>
      </w:r>
    </w:p>
    <w:p>
      <w:pPr>
        <w:pStyle w:val="BodyText"/>
      </w:pPr>
      <w:r>
        <w:rPr>
          <w:bCs/>
          <w:b/>
        </w:rPr>
        <w:t xml:space="preserve">Strengths</w:t>
      </w:r>
    </w:p>
    <w:p>
      <w:pPr>
        <w:numPr>
          <w:ilvl w:val="0"/>
          <w:numId w:val="1309"/>
        </w:numPr>
        <w:pStyle w:val="Compact"/>
      </w:pPr>
      <w:r>
        <w:t xml:space="preserve">Simplest local runtime for laptops and disconnected prototyping</w:t>
      </w:r>
      <w:r>
        <w:t xml:space="preserve"> </w:t>
      </w:r>
      <w:r>
        <w:rPr>
          <w:rStyle w:val="ClaimLabel"/>
        </w:rPr>
        <w:t xml:space="preserve">AJ</w:t>
      </w:r>
    </w:p>
    <w:p>
      <w:pPr>
        <w:numPr>
          <w:ilvl w:val="0"/>
          <w:numId w:val="1309"/>
        </w:numPr>
        <w:pStyle w:val="Compact"/>
      </w:pPr>
      <w:r>
        <w:t xml:space="preserve">MIT runtime, portable models</w:t>
      </w:r>
      <w:r>
        <w:t xml:space="preserve"> </w:t>
      </w:r>
      <w:r>
        <w:rPr>
          <w:rStyle w:val="ClaimLabel"/>
        </w:rPr>
        <w:t xml:space="preserve">VF</w:t>
      </w:r>
      <w:r>
        <w:rPr>
          <w:rStyle w:val="FootnoteReference"/>
        </w:rPr>
        <w:footnoteReference w:id="1454"/>
      </w:r>
    </w:p>
    <w:p>
      <w:pPr>
        <w:numPr>
          <w:ilvl w:val="0"/>
          <w:numId w:val="1309"/>
        </w:numPr>
        <w:pStyle w:val="Compact"/>
      </w:pPr>
      <w:r>
        <w:t xml:space="preserve">Cloud can be switched off (OLLAMA_NO_CLOUD)</w:t>
      </w:r>
      <w:r>
        <w:t xml:space="preserve"> </w:t>
      </w:r>
      <w:r>
        <w:rPr>
          <w:rStyle w:val="ClaimLabel"/>
        </w:rPr>
        <w:t xml:space="preserve">VF</w:t>
      </w:r>
      <w:r>
        <w:rPr>
          <w:rStyle w:val="FootnoteReference"/>
        </w:rPr>
        <w:footnoteReference w:id="1455"/>
      </w:r>
    </w:p>
    <w:p>
      <w:pPr>
        <w:pStyle w:val="FirstParagraph"/>
      </w:pPr>
      <w:r>
        <w:rPr>
          <w:bCs/>
          <w:b/>
        </w:rPr>
        <w:t xml:space="preserve">Limitations and risks</w:t>
      </w:r>
    </w:p>
    <w:p>
      <w:pPr>
        <w:numPr>
          <w:ilvl w:val="0"/>
          <w:numId w:val="1310"/>
        </w:numPr>
        <w:pStyle w:val="Compact"/>
      </w:pPr>
      <w:r>
        <w:t xml:space="preserve">No longer local-only: cloud models change the data-flow assumption</w:t>
      </w:r>
      <w:r>
        <w:t xml:space="preserve"> </w:t>
      </w:r>
      <w:r>
        <w:rPr>
          <w:rStyle w:val="ClaimLabel"/>
        </w:rPr>
        <w:t xml:space="preserve">VF</w:t>
      </w:r>
      <w:r>
        <w:rPr>
          <w:rStyle w:val="FootnoteReference"/>
        </w:rPr>
        <w:footnoteReference w:id="1456"/>
      </w:r>
    </w:p>
    <w:p>
      <w:pPr>
        <w:numPr>
          <w:ilvl w:val="0"/>
          <w:numId w:val="1310"/>
        </w:numPr>
        <w:pStyle w:val="Compact"/>
      </w:pPr>
      <w:r>
        <w:t xml:space="preserve">Ollama Cloud certifications, SSO and audit not publicly verified</w:t>
      </w:r>
      <w:r>
        <w:t xml:space="preserve"> </w:t>
      </w:r>
      <w:r>
        <w:rPr>
          <w:rStyle w:val="ClaimLabel"/>
        </w:rPr>
        <w:t xml:space="preserve">NPV</w:t>
      </w:r>
    </w:p>
    <w:p>
      <w:pPr>
        <w:numPr>
          <w:ilvl w:val="0"/>
          <w:numId w:val="1310"/>
        </w:numPr>
        <w:pStyle w:val="Compact"/>
      </w:pPr>
      <w:r>
        <w:t xml:space="preserve">Built-in API authentication not documented; exposure relies on a proxy</w:t>
      </w:r>
      <w:r>
        <w:t xml:space="preserve"> </w:t>
      </w:r>
      <w:r>
        <w:rPr>
          <w:rStyle w:val="ClaimLabel"/>
        </w:rPr>
        <w:t xml:space="preserve">VF</w:t>
      </w:r>
      <w:r>
        <w:rPr>
          <w:rStyle w:val="FootnoteReference"/>
        </w:rPr>
        <w:footnoteReference w:id="1457"/>
      </w:r>
      <w:r>
        <w:t xml:space="preserve"> </w:t>
      </w:r>
      <w:r>
        <w:rPr>
          <w:rStyle w:val="ClaimLabel"/>
        </w:rPr>
        <w:t xml:space="preserve">AJ</w:t>
      </w:r>
    </w:p>
    <w:p>
      <w:pPr>
        <w:pStyle w:val="FirstParagraph"/>
      </w:pPr>
      <w:r>
        <w:rPr>
          <w:bCs/>
          <w:b/>
        </w:rPr>
        <w:t xml:space="preserve">Choose when</w:t>
      </w:r>
    </w:p>
    <w:p>
      <w:pPr>
        <w:numPr>
          <w:ilvl w:val="0"/>
          <w:numId w:val="1311"/>
        </w:numPr>
        <w:pStyle w:val="Compact"/>
      </w:pPr>
      <w:r>
        <w:t xml:space="preserve">Developer workstations and offline evaluation with cloud disabled</w:t>
      </w:r>
      <w:r>
        <w:t xml:space="preserve"> </w:t>
      </w:r>
      <w:r>
        <w:rPr>
          <w:rStyle w:val="ClaimLabel"/>
        </w:rPr>
        <w:t xml:space="preserve">AJ</w:t>
      </w:r>
    </w:p>
    <w:p>
      <w:pPr>
        <w:pStyle w:val="FirstParagraph"/>
      </w:pPr>
      <w:r>
        <w:rPr>
          <w:bCs/>
          <w:b/>
        </w:rPr>
        <w:t xml:space="preserve">Avoid when</w:t>
      </w:r>
    </w:p>
    <w:p>
      <w:pPr>
        <w:numPr>
          <w:ilvl w:val="0"/>
          <w:numId w:val="1312"/>
        </w:numPr>
        <w:pStyle w:val="Compact"/>
      </w:pPr>
      <w:r>
        <w:t xml:space="preserve">Any shared or production serving</w:t>
      </w:r>
      <w:r>
        <w:t xml:space="preserve"> </w:t>
      </w:r>
      <w:r>
        <w:rPr>
          <w:rStyle w:val="ClaimLabel"/>
        </w:rPr>
        <w:t xml:space="preserve">AJ</w:t>
      </w:r>
    </w:p>
    <w:p>
      <w:pPr>
        <w:numPr>
          <w:ilvl w:val="0"/>
          <w:numId w:val="1312"/>
        </w:numPr>
        <w:pStyle w:val="Compact"/>
      </w:pPr>
      <w:r>
        <w:t xml:space="preserve">Client data on Ollama Cloud</w:t>
      </w:r>
      <w:r>
        <w:t xml:space="preserve"> </w:t>
      </w:r>
      <w:r>
        <w:rPr>
          <w:rStyle w:val="ClaimLabel"/>
        </w:rPr>
        <w:t xml:space="preserve">AJ</w:t>
      </w:r>
    </w:p>
    <w:p>
      <w:pPr>
        <w:pStyle w:val="FirstParagraph"/>
      </w:pPr>
      <w:r>
        <w:rPr>
          <w:bCs/>
          <w:b/>
        </w:rPr>
        <w:t xml:space="preserve">Nearest competitors:</w:t>
      </w:r>
      <w:r>
        <w:t xml:space="preserve"> </w:t>
      </w:r>
      <w:r>
        <w:t xml:space="preserve">L2-lm-studio, llama.cpp, L2-vllm</w:t>
      </w:r>
    </w:p>
    <w:p>
      <w:pPr>
        <w:pStyle w:val="BodyText"/>
      </w:pPr>
      <w:r>
        <w:rPr>
          <w:bCs/>
          <w:b/>
        </w:rPr>
        <w:t xml:space="preserve">Regulated-FS note.</w:t>
      </w:r>
      <w:r>
        <w:t xml:space="preserve"> </w:t>
      </w:r>
      <w:r>
        <w:t xml:space="preserve">Allow on managed desktops only with OLLAMA_NO_CLOUD enforced and localhost binding; never as a production endpoint</w:t>
      </w:r>
      <w:r>
        <w:t xml:space="preserve"> </w:t>
      </w:r>
      <w:r>
        <w:rPr>
          <w:rStyle w:val="ClaimLabel"/>
        </w:rPr>
        <w:t xml:space="preserve">Rec</w:t>
      </w:r>
      <w:r>
        <w:t xml:space="preserve">.</w:t>
      </w:r>
    </w:p>
    <w:p>
      <w:pPr>
        <w:pStyle w:val="BodyText"/>
      </w:pPr>
      <w:r>
        <w:rPr>
          <w:bCs/>
          <w:b/>
        </w:rPr>
        <w:t xml:space="preserve">Facts (as of 2026-10-08)</w:t>
      </w:r>
    </w:p>
    <w:tbl>
      <w:tblPr>
        <w:tblStyle w:val="Table"/>
        <w:tblW w:type="pct" w:w="5000"/>
        <w:tblLook w:firstRow="1" w:lastRow="0" w:firstColumn="0" w:lastColumn="0" w:noHBand="0" w:noVBand="0" w:val="0020"/>
        <w:jc w:val="start"/>
      </w:tblPr>
      <w:tblGrid>
        <w:gridCol w:w="1485"/>
        <w:gridCol w:w="4290"/>
        <w:gridCol w:w="1320"/>
        <w:gridCol w:w="825"/>
      </w:tblGrid>
      <w:tr>
        <w:trPr>
          <w:tblHeader w:val="true"/>
        </w:trPr>
        <w:tc>
          <w:tcPr/>
          <w:p>
            <w:pPr>
              <w:pStyle w:val="Compact"/>
              <w:jc w:val="left"/>
            </w:pPr>
            <w:r>
              <w:t xml:space="preserve">Field</w:t>
            </w:r>
          </w:p>
        </w:tc>
        <w:tc>
          <w:tcPr/>
          <w:p>
            <w:pPr>
              <w:pStyle w:val="Compact"/>
              <w:jc w:val="left"/>
            </w:pPr>
            <w:r>
              <w:t xml:space="preserve">Value</w:t>
            </w:r>
          </w:p>
        </w:tc>
        <w:tc>
          <w:tcPr/>
          <w:p>
            <w:pPr>
              <w:pStyle w:val="Compact"/>
              <w:jc w:val="left"/>
            </w:pPr>
            <w:r>
              <w:t xml:space="preserve">Label</w:t>
            </w:r>
          </w:p>
        </w:tc>
        <w:tc>
          <w:tcPr/>
          <w:p>
            <w:pPr>
              <w:pStyle w:val="Compact"/>
              <w:jc w:val="left"/>
            </w:pPr>
            <w:r>
              <w:t xml:space="preserve">Sources</w:t>
            </w:r>
          </w:p>
        </w:tc>
      </w:tr>
      <w:tr>
        <w:tc>
          <w:tcPr/>
          <w:p>
            <w:pPr>
              <w:pStyle w:val="Compact"/>
              <w:jc w:val="left"/>
            </w:pPr>
            <w:r>
              <w:t xml:space="preserve">Company</w:t>
            </w:r>
          </w:p>
        </w:tc>
        <w:tc>
          <w:tcPr/>
          <w:p>
            <w:pPr>
              <w:pStyle w:val="Compact"/>
              <w:jc w:val="left"/>
            </w:pPr>
            <w:r>
              <w:t xml:space="preserve">Ollama</w:t>
            </w:r>
          </w:p>
        </w:tc>
        <w:tc>
          <w:tcPr/>
          <w:p>
            <w:pPr>
              <w:pStyle w:val="Compact"/>
              <w:jc w:val="left"/>
            </w:pPr>
            <w:r>
              <w:t xml:space="preserve">Verified fact</w:t>
            </w:r>
          </w:p>
        </w:tc>
        <w:tc>
          <w:tcPr/>
          <w:p>
            <w:pPr>
              <w:pStyle w:val="Compact"/>
              <w:jc w:val="left"/>
            </w:pPr>
            <w:r>
              <w:t xml:space="preserve">A4-S086</w:t>
            </w:r>
          </w:p>
        </w:tc>
      </w:tr>
      <w:tr>
        <w:tc>
          <w:tcPr/>
          <w:p>
            <w:pPr>
              <w:pStyle w:val="Compact"/>
              <w:jc w:val="left"/>
            </w:pPr>
            <w:r>
              <w:t xml:space="preserve">Category</w:t>
            </w:r>
          </w:p>
        </w:tc>
        <w:tc>
          <w:tcPr/>
          <w:p>
            <w:pPr>
              <w:pStyle w:val="Compact"/>
              <w:jc w:val="left"/>
            </w:pPr>
            <w:r>
              <w:t xml:space="preserve">Local LLM runtime and model packager, plus an optional hosted cloud-model service</w:t>
            </w:r>
          </w:p>
        </w:tc>
        <w:tc>
          <w:tcPr/>
          <w:p>
            <w:pPr>
              <w:pStyle w:val="Compact"/>
              <w:jc w:val="left"/>
            </w:pPr>
            <w:r>
              <w:t xml:space="preserve">Verified fact</w:t>
            </w:r>
          </w:p>
        </w:tc>
        <w:tc>
          <w:tcPr/>
          <w:p>
            <w:pPr>
              <w:pStyle w:val="Compact"/>
              <w:jc w:val="left"/>
            </w:pPr>
            <w:r>
              <w:t xml:space="preserve">A4-S084</w:t>
            </w:r>
          </w:p>
        </w:tc>
      </w:tr>
      <w:tr>
        <w:tc>
          <w:tcPr/>
          <w:p>
            <w:pPr>
              <w:pStyle w:val="Compact"/>
              <w:jc w:val="left"/>
            </w:pPr>
            <w:r>
              <w:t xml:space="preserve">Version / lineup</w:t>
            </w:r>
          </w:p>
        </w:tc>
        <w:tc>
          <w:tcPr/>
          <w:p>
            <w:pPr>
              <w:pStyle w:val="Compact"/>
              <w:jc w:val="left"/>
            </w:pPr>
            <w:r>
              <w:t xml:space="preserve">Official Python client ollama 0.6.3 (29 September 2026); server/app version not retrieved</w:t>
            </w:r>
          </w:p>
        </w:tc>
        <w:tc>
          <w:tcPr/>
          <w:p>
            <w:pPr>
              <w:pStyle w:val="Compact"/>
              <w:jc w:val="left"/>
            </w:pPr>
            <w:r>
              <w:t xml:space="preserve">Verified fact</w:t>
            </w:r>
          </w:p>
        </w:tc>
        <w:tc>
          <w:tcPr/>
          <w:p>
            <w:pPr>
              <w:pStyle w:val="Compact"/>
              <w:jc w:val="left"/>
            </w:pPr>
            <w:r>
              <w:t xml:space="preserve">A4-S015</w:t>
            </w:r>
          </w:p>
        </w:tc>
      </w:tr>
      <w:tr>
        <w:tc>
          <w:tcPr/>
          <w:p>
            <w:pPr>
              <w:pStyle w:val="Compact"/>
              <w:jc w:val="left"/>
            </w:pPr>
            <w:r>
              <w:t xml:space="preserve">Licence</w:t>
            </w:r>
          </w:p>
        </w:tc>
        <w:tc>
          <w:tcPr/>
          <w:p>
            <w:pPr>
              <w:pStyle w:val="Compact"/>
              <w:jc w:val="left"/>
            </w:pPr>
            <w:r>
              <w:t xml:space="preserve">Open source, MIT (runtime); Ollama Cloud is a hosted service with plans</w:t>
            </w:r>
          </w:p>
        </w:tc>
        <w:tc>
          <w:tcPr/>
          <w:p>
            <w:pPr>
              <w:pStyle w:val="Compact"/>
              <w:jc w:val="left"/>
            </w:pPr>
            <w:r>
              <w:t xml:space="preserve">Verified fact</w:t>
            </w:r>
          </w:p>
        </w:tc>
        <w:tc>
          <w:tcPr/>
          <w:p>
            <w:pPr>
              <w:pStyle w:val="Compact"/>
              <w:jc w:val="left"/>
            </w:pPr>
            <w:r>
              <w:t xml:space="preserve">A4-S086, A4-S084</w:t>
            </w:r>
          </w:p>
        </w:tc>
      </w:tr>
      <w:tr>
        <w:tc>
          <w:tcPr/>
          <w:p>
            <w:pPr>
              <w:pStyle w:val="Compact"/>
              <w:jc w:val="left"/>
            </w:pPr>
            <w:r>
              <w:t xml:space="preserve">Status events</w:t>
            </w:r>
          </w:p>
        </w:tc>
        <w:tc>
          <w:tcPr/>
          <w:p>
            <w:pPr>
              <w:pStyle w:val="Compact"/>
              <w:jc w:val="left"/>
            </w:pPr>
            <w:r>
              <w:t xml:space="preserve">Cloud models introduced (e.g. *-cloud tags; gemma4:cloud); cloud features can be disabled (OLLAMA_NO_CLOUD=1)</w:t>
            </w:r>
          </w:p>
        </w:tc>
        <w:tc>
          <w:tcPr/>
          <w:p>
            <w:pPr>
              <w:pStyle w:val="Compact"/>
              <w:jc w:val="left"/>
            </w:pPr>
            <w:r>
              <w:t xml:space="preserve">Verified fact</w:t>
            </w:r>
          </w:p>
        </w:tc>
        <w:tc>
          <w:tcPr/>
          <w:p>
            <w:pPr>
              <w:pStyle w:val="Compact"/>
              <w:jc w:val="left"/>
            </w:pPr>
            <w:r>
              <w:t xml:space="preserve">A4-S015, A4-S085</w:t>
            </w:r>
          </w:p>
        </w:tc>
      </w:tr>
      <w:tr>
        <w:tc>
          <w:tcPr/>
          <w:p>
            <w:pPr>
              <w:pStyle w:val="Compact"/>
              <w:jc w:val="left"/>
            </w:pPr>
            <w:r>
              <w:t xml:space="preserve">Strategic direction</w:t>
            </w:r>
          </w:p>
        </w:tc>
        <w:tc>
          <w:tcPr/>
          <w:p>
            <w:pPr>
              <w:pStyle w:val="Compact"/>
              <w:jc w:val="left"/>
            </w:pPr>
            <w:r>
              <w:t xml:space="preserve">Cloud models run in Ollama’s cloud from apps, CLI or API with an API key; launchers for coding agents (Claude Code, Codex, OpenCode); OpenAI- and Anthropic-compatible APIs</w:t>
            </w:r>
          </w:p>
        </w:tc>
        <w:tc>
          <w:tcPr/>
          <w:p>
            <w:pPr>
              <w:pStyle w:val="Compact"/>
              <w:jc w:val="left"/>
            </w:pPr>
            <w:r>
              <w:t xml:space="preserve">Verified fact</w:t>
            </w:r>
          </w:p>
        </w:tc>
        <w:tc>
          <w:tcPr/>
          <w:p>
            <w:pPr>
              <w:pStyle w:val="Compact"/>
              <w:jc w:val="left"/>
            </w:pPr>
            <w:r>
              <w:t xml:space="preserve">A4-S084</w:t>
            </w:r>
          </w:p>
        </w:tc>
      </w:tr>
      <w:tr>
        <w:tc>
          <w:tcPr/>
          <w:p>
            <w:pPr>
              <w:pStyle w:val="Compact"/>
              <w:jc w:val="left"/>
            </w:pPr>
            <w:r>
              <w:t xml:space="preserve">What it does</w:t>
            </w:r>
          </w:p>
        </w:tc>
        <w:tc>
          <w:tcPr/>
          <w:p>
            <w:pPr>
              <w:pStyle w:val="Compact"/>
              <w:jc w:val="left"/>
            </w:pPr>
            <w:r>
              <w:t xml:space="preserve">Runs open-weight models locally (no prompt visibility to Ollama when local) and optionally offloads larger models to Ollama’s cloud; embeddings; OpenAI/Anthropic-compatible endpoints.</w:t>
            </w:r>
          </w:p>
        </w:tc>
        <w:tc>
          <w:tcPr/>
          <w:p>
            <w:pPr>
              <w:pStyle w:val="Compact"/>
              <w:jc w:val="left"/>
            </w:pPr>
            <w:r>
              <w:t xml:space="preserve">Verified fact</w:t>
            </w:r>
          </w:p>
        </w:tc>
        <w:tc>
          <w:tcPr/>
          <w:p>
            <w:pPr>
              <w:pStyle w:val="Compact"/>
              <w:jc w:val="left"/>
            </w:pPr>
            <w:r>
              <w:t xml:space="preserve">A4-S085, A4-S084, A4-S015</w:t>
            </w:r>
          </w:p>
        </w:tc>
      </w:tr>
      <w:tr>
        <w:tc>
          <w:tcPr/>
          <w:p>
            <w:pPr>
              <w:pStyle w:val="Compact"/>
              <w:jc w:val="left"/>
            </w:pPr>
            <w:r>
              <w:t xml:space="preserve">Stack position</w:t>
            </w:r>
          </w:p>
        </w:tc>
        <w:tc>
          <w:tcPr/>
          <w:p>
            <w:pPr>
              <w:pStyle w:val="Compact"/>
              <w:jc w:val="left"/>
            </w:pPr>
            <w:r>
              <w:t xml:space="preserve">Developer/edge local runtime (L2); not a multi-tenant production serving engine. Ollama Cloud adds a hosted inference option</w:t>
            </w:r>
          </w:p>
        </w:tc>
        <w:tc>
          <w:tcPr/>
          <w:p>
            <w:pPr>
              <w:pStyle w:val="Compact"/>
              <w:jc w:val="left"/>
            </w:pPr>
            <w:r>
              <w:t xml:space="preserve">Verified fact</w:t>
            </w:r>
          </w:p>
        </w:tc>
        <w:tc>
          <w:tcPr/>
          <w:p>
            <w:pPr>
              <w:pStyle w:val="Compact"/>
              <w:jc w:val="left"/>
            </w:pPr>
            <w:r>
              <w:t xml:space="preserve">A4-S084</w:t>
            </w:r>
          </w:p>
        </w:tc>
      </w:tr>
      <w:tr>
        <w:tc>
          <w:tcPr/>
          <w:p>
            <w:pPr>
              <w:pStyle w:val="Compact"/>
              <w:jc w:val="left"/>
            </w:pPr>
            <w:r>
              <w:t xml:space="preserve">Integration</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Dependencies</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Certifications</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GDPR / residency</w:t>
            </w:r>
          </w:p>
        </w:tc>
        <w:tc>
          <w:tcPr/>
          <w:p>
            <w:pPr>
              <w:pStyle w:val="Compact"/>
              <w:jc w:val="left"/>
            </w:pPr>
            <w:r>
              <w:t xml:space="preserve">Local: Ollama does not see prompts. Cloud: prompts/responses processed to serve requests but not stored or logged and never used for training; basic account info and usage metadata collected</w:t>
            </w:r>
          </w:p>
        </w:tc>
        <w:tc>
          <w:tcPr/>
          <w:p>
            <w:pPr>
              <w:pStyle w:val="Compact"/>
              <w:jc w:val="left"/>
            </w:pPr>
            <w:r>
              <w:t xml:space="preserve">Verified fact</w:t>
            </w:r>
          </w:p>
        </w:tc>
        <w:tc>
          <w:tcPr/>
          <w:p>
            <w:pPr>
              <w:pStyle w:val="Compact"/>
              <w:jc w:val="left"/>
            </w:pPr>
            <w:r>
              <w:t xml:space="preserve">A4-S085, A4-S084</w:t>
            </w:r>
          </w:p>
        </w:tc>
      </w:tr>
      <w:tr>
        <w:tc>
          <w:tcPr/>
          <w:p>
            <w:pPr>
              <w:pStyle w:val="Compact"/>
              <w:jc w:val="left"/>
            </w:pPr>
            <w:r>
              <w:t xml:space="preserve">Security features</w:t>
            </w:r>
          </w:p>
        </w:tc>
        <w:tc>
          <w:tcPr/>
          <w:p>
            <w:pPr>
              <w:pStyle w:val="Compact"/>
              <w:jc w:val="left"/>
            </w:pPr>
            <w:r>
              <w:t xml:space="preserve">Cloud features can be disabled for local-only mode (disable_ollama_cloud / OLLAMA_NO_CLOUD)</w:t>
            </w:r>
          </w:p>
        </w:tc>
        <w:tc>
          <w:tcPr/>
          <w:p>
            <w:pPr>
              <w:pStyle w:val="Compact"/>
              <w:jc w:val="left"/>
            </w:pPr>
            <w:r>
              <w:t xml:space="preserve">Verified fact</w:t>
            </w:r>
          </w:p>
        </w:tc>
        <w:tc>
          <w:tcPr/>
          <w:p>
            <w:pPr>
              <w:pStyle w:val="Compact"/>
              <w:jc w:val="left"/>
            </w:pPr>
            <w:r>
              <w:t xml:space="preserve">A4-S085</w:t>
            </w:r>
          </w:p>
        </w:tc>
      </w:tr>
      <w:tr>
        <w:tc>
          <w:tcPr/>
          <w:p>
            <w:pPr>
              <w:pStyle w:val="Compact"/>
              <w:jc w:val="left"/>
            </w:pPr>
            <w:r>
              <w:t xml:space="preserve">Access controls</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Enterprise support</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Pricing</w:t>
            </w:r>
          </w:p>
        </w:tc>
        <w:tc>
          <w:tcPr/>
          <w:p>
            <w:pPr>
              <w:pStyle w:val="Compact"/>
              <w:jc w:val="left"/>
            </w:pPr>
            <w:r>
              <w:t xml:space="preserve">Local runtime free (MIT). Ollama Cloud usage-based plans from 31 August 2026: Free (small monthly usage on starter models, pay-as-you-go credits), Pro US$20/month (US$60 usage included), Max US$100/month (US$300 included), Team US$500/month (US$1,000 shared usage, unlimited users); per-token rates by model; no hourly or weekly caps; off-peak discounts</w:t>
            </w:r>
          </w:p>
        </w:tc>
        <w:tc>
          <w:tcPr/>
          <w:p>
            <w:pPr>
              <w:pStyle w:val="Compact"/>
              <w:jc w:val="left"/>
            </w:pPr>
            <w:r>
              <w:t xml:space="preserve">Verified fact</w:t>
            </w:r>
          </w:p>
        </w:tc>
        <w:tc>
          <w:tcPr/>
          <w:p>
            <w:pPr>
              <w:pStyle w:val="Compact"/>
              <w:jc w:val="left"/>
            </w:pPr>
            <w:r>
              <w:t xml:space="preserve">A4-S084, V1-S066</w:t>
            </w:r>
          </w:p>
        </w:tc>
      </w:tr>
      <w:tr>
        <w:tc>
          <w:tcPr/>
          <w:p>
            <w:pPr>
              <w:pStyle w:val="Compact"/>
              <w:jc w:val="left"/>
            </w:pPr>
            <w:r>
              <w:t xml:space="preserve">Infrastructure cost</w:t>
            </w:r>
          </w:p>
        </w:tc>
        <w:tc>
          <w:tcPr/>
          <w:p>
            <w:pPr>
              <w:pStyle w:val="Compact"/>
              <w:jc w:val="left"/>
            </w:pPr>
            <w:r>
              <w:t xml:space="preserve">Local cost is the user’s own hardware (GPU/Apple silicon RAM)</w:t>
            </w:r>
          </w:p>
        </w:tc>
        <w:tc>
          <w:tcPr/>
          <w:p>
            <w:pPr>
              <w:pStyle w:val="Compact"/>
              <w:jc w:val="left"/>
            </w:pPr>
            <w:r>
              <w:t xml:space="preserve">Architectural judgement</w:t>
            </w:r>
          </w:p>
        </w:tc>
        <w:tc>
          <w:tcPr/>
          <w:p>
            <w:pPr>
              <w:pStyle w:val="Compact"/>
            </w:pPr>
          </w:p>
        </w:tc>
      </w:tr>
      <w:tr>
        <w:tc>
          <w:tcPr/>
          <w:p>
            <w:pPr>
              <w:pStyle w:val="Compact"/>
              <w:jc w:val="left"/>
            </w:pPr>
            <w:r>
              <w:t xml:space="preserve">Ecosystem</w:t>
            </w:r>
          </w:p>
        </w:tc>
        <w:tc>
          <w:tcPr/>
          <w:p>
            <w:pPr>
              <w:pStyle w:val="Compact"/>
              <w:jc w:val="left"/>
            </w:pPr>
            <w:r>
              <w:t xml:space="preserve">Large community integration list; Google Cloud Run tutorial; Claude Code/Codex/OpenCode launchers</w:t>
            </w:r>
          </w:p>
        </w:tc>
        <w:tc>
          <w:tcPr/>
          <w:p>
            <w:pPr>
              <w:pStyle w:val="Compact"/>
              <w:jc w:val="left"/>
            </w:pPr>
            <w:r>
              <w:t xml:space="preserve">Verified fact</w:t>
            </w:r>
          </w:p>
        </w:tc>
        <w:tc>
          <w:tcPr/>
          <w:p>
            <w:pPr>
              <w:pStyle w:val="Compact"/>
              <w:jc w:val="left"/>
            </w:pPr>
            <w:r>
              <w:t xml:space="preserve">A4-S084</w:t>
            </w:r>
          </w:p>
        </w:tc>
      </w:tr>
      <w:tr>
        <w:tc>
          <w:tcPr/>
          <w:p>
            <w:pPr>
              <w:pStyle w:val="Compact"/>
              <w:jc w:val="left"/>
            </w:pPr>
            <w:r>
              <w:t xml:space="preserve">Adoption signals</w:t>
            </w:r>
          </w:p>
        </w:tc>
        <w:tc>
          <w:tcPr/>
          <w:p>
            <w:pPr>
              <w:pStyle w:val="Compact"/>
              <w:jc w:val="left"/>
            </w:pPr>
            <w:r>
              <w:t xml:space="preserve">US$65M funding round reported July 2026 (SiliconANGLE, 9 July 2026)</w:t>
            </w:r>
          </w:p>
        </w:tc>
        <w:tc>
          <w:tcPr/>
          <w:p>
            <w:pPr>
              <w:pStyle w:val="Compact"/>
              <w:jc w:val="left"/>
            </w:pPr>
            <w:r>
              <w:t xml:space="preserve">Reported</w:t>
            </w:r>
          </w:p>
        </w:tc>
        <w:tc>
          <w:tcPr/>
          <w:p>
            <w:pPr>
              <w:pStyle w:val="Compact"/>
              <w:jc w:val="left"/>
            </w:pPr>
            <w:r>
              <w:t xml:space="preserve">V1-S071</w:t>
            </w:r>
          </w:p>
        </w:tc>
      </w:tr>
      <w:tr>
        <w:tc>
          <w:tcPr/>
          <w:p>
            <w:pPr>
              <w:pStyle w:val="Compact"/>
              <w:jc w:val="left"/>
            </w:pPr>
            <w:r>
              <w:t xml:space="preserve">Maturity</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Deployment</w:t>
            </w:r>
          </w:p>
        </w:tc>
        <w:tc>
          <w:tcPr/>
          <w:p>
            <w:pPr>
              <w:pStyle w:val="Compact"/>
              <w:jc w:val="left"/>
            </w:pPr>
            <w:r>
              <w:t xml:space="preserve">saas: Yes (Ollama Cloud); managed_cloud: Yes (Ollama Cloud); vpc_byoc: No; private_cloud: Not publicly verified; self_hosted: Yes; on_prem: Yes</w:t>
            </w:r>
          </w:p>
        </w:tc>
        <w:tc>
          <w:tcPr/>
          <w:p>
            <w:pPr>
              <w:pStyle w:val="Compact"/>
            </w:pPr>
          </w:p>
        </w:tc>
        <w:tc>
          <w:tcPr/>
          <w:p>
            <w:pPr>
              <w:pStyle w:val="Compact"/>
            </w:pPr>
          </w:p>
        </w:tc>
      </w:tr>
    </w:tbl>
    <w:bookmarkEnd w:id="1458"/>
    <w:bookmarkStart w:id="1481" w:name="X0e4ed22d788a07601b98853457126d9f27ffe6d"/>
    <w:p>
      <w:pPr>
        <w:pStyle w:val="Heading2"/>
      </w:pPr>
      <w:r>
        <w:t xml:space="preserve">Cerebras Systems (Cerebras Inference / Cerebras Cloud; CS-3 systems) (</w:t>
      </w:r>
      <w:r>
        <w:rPr>
          <w:rStyle w:val="VerbatimChar"/>
        </w:rPr>
        <w:t xml:space="preserve">L2-cerebras</w:t>
      </w:r>
      <w:r>
        <w:t xml:space="preserve">)</w:t>
      </w:r>
    </w:p>
    <w:p>
      <w:pPr>
        <w:pStyle w:val="FirstParagraph"/>
      </w:pPr>
      <w:r>
        <w:rPr>
          <w:bCs/>
          <w:b/>
        </w:rPr>
        <w:t xml:space="preserve">Tier:</w:t>
      </w:r>
      <w:r>
        <w:t xml:space="preserve"> </w:t>
      </w:r>
      <w:r>
        <w:t xml:space="preserve">Tactical ·</w:t>
      </w:r>
      <w:r>
        <w:t xml:space="preserve"> </w:t>
      </w:r>
      <w:r>
        <w:rPr>
          <w:bCs/>
          <w:b/>
        </w:rPr>
        <w:t xml:space="preserve">Flags:</w:t>
      </w:r>
      <w:r>
        <w:t xml:space="preserve"> </w:t>
      </w:r>
      <w:r>
        <w:t xml:space="preserve">none ·</w:t>
      </w:r>
      <w:r>
        <w:t xml:space="preserve"> </w:t>
      </w:r>
      <w:r>
        <w:rPr>
          <w:bCs/>
          <w:b/>
        </w:rPr>
        <w:t xml:space="preserve">Original graphic label:</w:t>
      </w:r>
      <w:r>
        <w:t xml:space="preserve"> </w:t>
      </w:r>
      <w:r>
        <w:t xml:space="preserve">Cerebras – ultra-scale cloud</w:t>
      </w:r>
    </w:p>
    <w:p>
      <w:pPr>
        <w:pStyle w:val="BodyText"/>
      </w:pPr>
      <w:r>
        <w:rPr>
          <w:iCs/>
          <w:i/>
        </w:rPr>
        <w:t xml:space="preserve">Rationale:</w:t>
      </w:r>
      <w:r>
        <w:t xml:space="preserve"> </w:t>
      </w:r>
      <w:r>
        <w:t xml:space="preserve">Distinctive speed but thin enterprise controls and no EU processing yet</w:t>
      </w:r>
    </w:p>
    <w:tbl>
      <w:tblPr>
        <w:tblStyle w:val="Table"/>
        <w:tblW w:type="pct" w:w="5000"/>
        <w:tblLook w:firstRow="1" w:lastRow="0" w:firstColumn="0" w:lastColumn="0" w:noHBand="0" w:noVBand="0" w:val="0020"/>
        <w:jc w:val="start"/>
      </w:tblPr>
      <w:tblGrid>
        <w:gridCol w:w="1545"/>
        <w:gridCol w:w="579"/>
        <w:gridCol w:w="5795"/>
      </w:tblGrid>
      <w:tr>
        <w:trPr>
          <w:tblHeader w:val="true"/>
        </w:trPr>
        <w:tc>
          <w:tcPr/>
          <w:p>
            <w:pPr>
              <w:pStyle w:val="Compact"/>
              <w:jc w:val="left"/>
            </w:pPr>
            <w:r>
              <w:t xml:space="preserve">Criterion</w:t>
            </w:r>
          </w:p>
        </w:tc>
        <w:tc>
          <w:tcPr/>
          <w:p>
            <w:pPr>
              <w:pStyle w:val="Compact"/>
              <w:jc w:val="right"/>
            </w:pPr>
            <w:r>
              <w:t xml:space="preserve">Score</w:t>
            </w:r>
          </w:p>
        </w:tc>
        <w:tc>
          <w:tcPr/>
          <w:p>
            <w:pPr>
              <w:pStyle w:val="Compact"/>
              <w:jc w:val="left"/>
            </w:pPr>
            <w:r>
              <w:t xml:space="preserve">Rationale</w:t>
            </w:r>
          </w:p>
        </w:tc>
      </w:tr>
      <w:tr>
        <w:tc>
          <w:tcPr/>
          <w:p>
            <w:pPr>
              <w:pStyle w:val="Compact"/>
              <w:jc w:val="left"/>
            </w:pPr>
            <w:r>
              <w:t xml:space="preserve">Technical</w:t>
            </w:r>
          </w:p>
        </w:tc>
        <w:tc>
          <w:tcPr/>
          <w:p>
            <w:pPr>
              <w:pStyle w:val="Compact"/>
              <w:jc w:val="right"/>
            </w:pPr>
            <w:r>
              <w:t xml:space="preserve">3</w:t>
            </w:r>
          </w:p>
        </w:tc>
        <w:tc>
          <w:tcPr/>
          <w:p>
            <w:pPr>
              <w:pStyle w:val="Compact"/>
              <w:jc w:val="left"/>
            </w:pPr>
            <w:r>
              <w:t xml:space="preserve">Fast inference on a smaller catalogue; on-prem systems</w:t>
            </w:r>
            <w:r>
              <w:t xml:space="preserve"> </w:t>
            </w:r>
            <w:r>
              <w:rPr>
                <w:rStyle w:val="ClaimLabel"/>
              </w:rPr>
              <w:t xml:space="preserve">VF</w:t>
            </w:r>
            <w:r>
              <w:rPr>
                <w:rStyle w:val="FootnoteReference"/>
              </w:rPr>
              <w:footnoteReference w:id="1459"/>
            </w:r>
          </w:p>
        </w:tc>
      </w:tr>
      <w:tr>
        <w:tc>
          <w:tcPr/>
          <w:p>
            <w:pPr>
              <w:pStyle w:val="Compact"/>
              <w:jc w:val="left"/>
            </w:pPr>
            <w:r>
              <w:t xml:space="preserve">Enterprise readiness</w:t>
            </w:r>
          </w:p>
        </w:tc>
        <w:tc>
          <w:tcPr/>
          <w:p>
            <w:pPr>
              <w:pStyle w:val="Compact"/>
              <w:jc w:val="right"/>
            </w:pPr>
            <w:r>
              <w:t xml:space="preserve">3</w:t>
            </w:r>
          </w:p>
        </w:tc>
        <w:tc>
          <w:tcPr/>
          <w:p>
            <w:pPr>
              <w:pStyle w:val="Compact"/>
              <w:jc w:val="left"/>
            </w:pPr>
            <w:r>
              <w:t xml:space="preserve">Console roles verified (rule 7 lifts the cap to 3); no SSO or audit documented</w:t>
            </w:r>
            <w:r>
              <w:t xml:space="preserve"> </w:t>
            </w:r>
            <w:r>
              <w:rPr>
                <w:rStyle w:val="ClaimLabel"/>
              </w:rPr>
              <w:t xml:space="preserve">VF</w:t>
            </w:r>
            <w:r>
              <w:rPr>
                <w:rStyle w:val="FootnoteReference"/>
              </w:rPr>
              <w:footnoteReference w:id="1462"/>
            </w:r>
          </w:p>
        </w:tc>
      </w:tr>
      <w:tr>
        <w:tc>
          <w:tcPr/>
          <w:p>
            <w:pPr>
              <w:pStyle w:val="Compact"/>
              <w:jc w:val="left"/>
            </w:pPr>
            <w:r>
              <w:t xml:space="preserve">Security and compliance</w:t>
            </w:r>
          </w:p>
        </w:tc>
        <w:tc>
          <w:tcPr/>
          <w:p>
            <w:pPr>
              <w:pStyle w:val="Compact"/>
              <w:jc w:val="right"/>
            </w:pPr>
            <w:r>
              <w:t xml:space="preserve">2</w:t>
            </w:r>
          </w:p>
        </w:tc>
        <w:tc>
          <w:tcPr/>
          <w:p>
            <w:pPr>
              <w:pStyle w:val="Compact"/>
              <w:jc w:val="left"/>
            </w:pPr>
            <w:r>
              <w:t xml:space="preserve">SOC 2 Type 2 listed in the trust centre without product scope (rule 8)</w:t>
            </w:r>
            <w:r>
              <w:t xml:space="preserve"> </w:t>
            </w:r>
            <w:r>
              <w:rPr>
                <w:rStyle w:val="ClaimLabel"/>
              </w:rPr>
              <w:t xml:space="preserve">VF</w:t>
            </w:r>
            <w:r>
              <w:rPr>
                <w:rStyle w:val="FootnoteReference"/>
              </w:rPr>
              <w:footnoteReference w:id="1464"/>
            </w:r>
          </w:p>
        </w:tc>
      </w:tr>
      <w:tr>
        <w:tc>
          <w:tcPr/>
          <w:p>
            <w:pPr>
              <w:pStyle w:val="Compact"/>
              <w:jc w:val="left"/>
            </w:pPr>
            <w:r>
              <w:t xml:space="preserve">Deployment flexibility</w:t>
            </w:r>
          </w:p>
        </w:tc>
        <w:tc>
          <w:tcPr/>
          <w:p>
            <w:pPr>
              <w:pStyle w:val="Compact"/>
              <w:jc w:val="right"/>
            </w:pPr>
            <w:r>
              <w:t xml:space="preserve">3</w:t>
            </w:r>
          </w:p>
        </w:tc>
        <w:tc>
          <w:tcPr/>
          <w:p>
            <w:pPr>
              <w:pStyle w:val="Compact"/>
              <w:jc w:val="left"/>
            </w:pPr>
            <w:r>
              <w:t xml:space="preserve">SaaS, dedicated, on-prem systems; no EU region yet</w:t>
            </w:r>
            <w:r>
              <w:t xml:space="preserve"> </w:t>
            </w:r>
            <w:r>
              <w:rPr>
                <w:rStyle w:val="ClaimLabel"/>
              </w:rPr>
              <w:t xml:space="preserve">VF</w:t>
            </w:r>
            <w:r>
              <w:rPr>
                <w:rStyle w:val="FootnoteReference"/>
              </w:rPr>
              <w:footnoteReference w:id="1466"/>
            </w:r>
          </w:p>
        </w:tc>
      </w:tr>
      <w:tr>
        <w:tc>
          <w:tcPr/>
          <w:p>
            <w:pPr>
              <w:pStyle w:val="Compact"/>
              <w:jc w:val="left"/>
            </w:pPr>
            <w:r>
              <w:t xml:space="preserve">Ecosystem</w:t>
            </w:r>
          </w:p>
        </w:tc>
        <w:tc>
          <w:tcPr/>
          <w:p>
            <w:pPr>
              <w:pStyle w:val="Compact"/>
              <w:jc w:val="right"/>
            </w:pPr>
            <w:r>
              <w:t xml:space="preserve">3</w:t>
            </w:r>
          </w:p>
        </w:tc>
        <w:tc>
          <w:tcPr/>
          <w:p>
            <w:pPr>
              <w:pStyle w:val="Compact"/>
              <w:jc w:val="left"/>
            </w:pPr>
            <w:r>
              <w:t xml:space="preserve">OpenAI-compatible; AWS Marketplace; Hugging Face partner</w:t>
            </w:r>
            <w:r>
              <w:t xml:space="preserve"> </w:t>
            </w:r>
            <w:r>
              <w:rPr>
                <w:rStyle w:val="ClaimLabel"/>
              </w:rPr>
              <w:t xml:space="preserve">VF</w:t>
            </w:r>
            <w:r>
              <w:rPr>
                <w:rStyle w:val="FootnoteReference"/>
              </w:rPr>
              <w:footnoteReference w:id="1468"/>
            </w:r>
          </w:p>
        </w:tc>
      </w:tr>
      <w:tr>
        <w:tc>
          <w:tcPr/>
          <w:p>
            <w:pPr>
              <w:pStyle w:val="Compact"/>
              <w:jc w:val="left"/>
            </w:pPr>
            <w:r>
              <w:t xml:space="preserve">Reliability and maturity</w:t>
            </w:r>
          </w:p>
        </w:tc>
        <w:tc>
          <w:tcPr/>
          <w:p>
            <w:pPr>
              <w:pStyle w:val="Compact"/>
              <w:jc w:val="right"/>
            </w:pPr>
            <w:r>
              <w:t xml:space="preserve">3</w:t>
            </w:r>
          </w:p>
        </w:tc>
        <w:tc>
          <w:tcPr/>
          <w:p>
            <w:pPr>
              <w:pStyle w:val="Compact"/>
              <w:jc w:val="left"/>
            </w:pPr>
            <w:r>
              <w:t xml:space="preserve">Public company; inference cloud since 2024; customer concentration</w:t>
            </w:r>
            <w:r>
              <w:t xml:space="preserve"> </w:t>
            </w:r>
            <w:r>
              <w:rPr>
                <w:rStyle w:val="ClaimLabel"/>
              </w:rPr>
              <w:t xml:space="preserve">VF</w:t>
            </w:r>
            <w:r>
              <w:rPr>
                <w:rStyle w:val="FootnoteReference"/>
              </w:rPr>
              <w:footnoteReference w:id="1469"/>
            </w:r>
          </w:p>
        </w:tc>
      </w:tr>
      <w:tr>
        <w:tc>
          <w:tcPr/>
          <w:p>
            <w:pPr>
              <w:pStyle w:val="Compact"/>
              <w:jc w:val="left"/>
            </w:pPr>
            <w:r>
              <w:t xml:space="preserve">Cost / TCO</w:t>
            </w:r>
          </w:p>
        </w:tc>
        <w:tc>
          <w:tcPr/>
          <w:p>
            <w:pPr>
              <w:pStyle w:val="Compact"/>
              <w:jc w:val="right"/>
            </w:pPr>
            <w:r>
              <w:t xml:space="preserve">3</w:t>
            </w:r>
          </w:p>
        </w:tc>
        <w:tc>
          <w:tcPr/>
          <w:p>
            <w:pPr>
              <w:pStyle w:val="Compact"/>
              <w:jc w:val="left"/>
            </w:pPr>
            <w:r>
              <w:t xml:space="preserve">Transparent per-token pricing; enterprise flat pricing</w:t>
            </w:r>
            <w:r>
              <w:t xml:space="preserve"> </w:t>
            </w:r>
            <w:r>
              <w:rPr>
                <w:rStyle w:val="ClaimLabel"/>
              </w:rPr>
              <w:t xml:space="preserve">VF</w:t>
            </w:r>
            <w:r>
              <w:rPr>
                <w:rStyle w:val="FootnoteReference"/>
              </w:rPr>
              <w:footnoteReference w:id="1472"/>
            </w:r>
          </w:p>
        </w:tc>
      </w:tr>
      <w:tr>
        <w:tc>
          <w:tcPr/>
          <w:p>
            <w:pPr>
              <w:pStyle w:val="Compact"/>
              <w:jc w:val="left"/>
            </w:pPr>
            <w:r>
              <w:t xml:space="preserve">Lock-in / portability</w:t>
            </w:r>
          </w:p>
        </w:tc>
        <w:tc>
          <w:tcPr/>
          <w:p>
            <w:pPr>
              <w:pStyle w:val="Compact"/>
              <w:jc w:val="right"/>
            </w:pPr>
            <w:r>
              <w:t xml:space="preserve">3</w:t>
            </w:r>
          </w:p>
        </w:tc>
        <w:tc>
          <w:tcPr/>
          <w:p>
            <w:pPr>
              <w:pStyle w:val="Compact"/>
              <w:jc w:val="left"/>
            </w:pPr>
            <w:r>
              <w:t xml:space="preserve">OpenAI-compatible API, proprietary hardware</w:t>
            </w:r>
            <w:r>
              <w:t xml:space="preserve"> </w:t>
            </w:r>
            <w:r>
              <w:rPr>
                <w:rStyle w:val="ClaimLabel"/>
              </w:rPr>
              <w:t xml:space="preserve">VF</w:t>
            </w:r>
            <w:r>
              <w:rPr>
                <w:rStyle w:val="FootnoteReference"/>
              </w:rPr>
              <w:footnoteReference w:id="1473"/>
            </w:r>
          </w:p>
        </w:tc>
      </w:tr>
      <w:tr>
        <w:tc>
          <w:tcPr/>
          <w:p>
            <w:pPr>
              <w:pStyle w:val="Compact"/>
              <w:jc w:val="left"/>
            </w:pPr>
            <w:r>
              <w:rPr>
                <w:bCs/>
                <w:b/>
              </w:rPr>
              <w:t xml:space="preserve">Total (generic / FS)</w:t>
            </w:r>
          </w:p>
        </w:tc>
        <w:tc>
          <w:tcPr/>
          <w:p>
            <w:pPr>
              <w:pStyle w:val="Compact"/>
              <w:jc w:val="right"/>
            </w:pPr>
            <w:r>
              <w:rPr>
                <w:bCs/>
                <w:b/>
              </w:rPr>
              <w:t xml:space="preserve">2.85 / 2.80</w:t>
            </w:r>
          </w:p>
        </w:tc>
        <w:tc>
          <w:tcPr/>
          <w:p>
            <w:pPr>
              <w:pStyle w:val="Compact"/>
            </w:pPr>
          </w:p>
        </w:tc>
      </w:tr>
    </w:tbl>
    <w:p>
      <w:pPr>
        <w:pStyle w:val="BodyText"/>
      </w:pPr>
      <w:r>
        <w:rPr>
          <w:bCs/>
          <w:b/>
        </w:rPr>
        <w:t xml:space="preserve">Capabilities.</w:t>
      </w:r>
      <w:r>
        <w:t xml:space="preserve"> </w:t>
      </w:r>
      <w:r>
        <w:t xml:space="preserve">Chip and system vendor (WSE-3, CS-3) that also runs an OpenAI-compatible inference cloud and sells on-premise systems; IPO priced 13 May 2026 (Nasdaq: CBRS); 750MW OpenAI agreement; SOC 2 Type 2, GDPR and CCPA listed, HIPAA not; EU capacity targeted for end-2026</w:t>
      </w:r>
      <w:r>
        <w:t xml:space="preserve"> </w:t>
      </w:r>
      <w:r>
        <w:rPr>
          <w:rStyle w:val="ClaimLabel"/>
        </w:rPr>
        <w:t xml:space="preserve">VF</w:t>
      </w:r>
      <w:r>
        <w:rPr>
          <w:rStyle w:val="FootnoteReference"/>
        </w:rPr>
        <w:footnoteReference w:id="1474"/>
      </w:r>
      <w:r>
        <w:t xml:space="preserve">.</w:t>
      </w:r>
    </w:p>
    <w:p>
      <w:pPr>
        <w:pStyle w:val="BodyText"/>
      </w:pPr>
      <w:r>
        <w:rPr>
          <w:bCs/>
          <w:b/>
        </w:rPr>
        <w:t xml:space="preserve">Strengths</w:t>
      </w:r>
    </w:p>
    <w:p>
      <w:pPr>
        <w:numPr>
          <w:ilvl w:val="0"/>
          <w:numId w:val="1313"/>
        </w:numPr>
        <w:pStyle w:val="Compact"/>
      </w:pPr>
      <w:r>
        <w:t xml:space="preserve">Very low-latency inference as a design point</w:t>
      </w:r>
      <w:r>
        <w:t xml:space="preserve"> </w:t>
      </w:r>
      <w:r>
        <w:rPr>
          <w:rStyle w:val="ClaimLabel"/>
        </w:rPr>
        <w:t xml:space="preserve">VF</w:t>
      </w:r>
      <w:r>
        <w:rPr>
          <w:rStyle w:val="FootnoteReference"/>
        </w:rPr>
        <w:footnoteReference w:id="1475"/>
      </w:r>
      <w:r>
        <w:t xml:space="preserve"> </w:t>
      </w:r>
      <w:r>
        <w:rPr>
          <w:rStyle w:val="ClaimLabel"/>
        </w:rPr>
        <w:t xml:space="preserve">AJ</w:t>
      </w:r>
    </w:p>
    <w:p>
      <w:pPr>
        <w:numPr>
          <w:ilvl w:val="0"/>
          <w:numId w:val="1313"/>
        </w:numPr>
        <w:pStyle w:val="Compact"/>
      </w:pPr>
      <w:r>
        <w:t xml:space="preserve">On-premise CS-3 option</w:t>
      </w:r>
      <w:r>
        <w:t xml:space="preserve"> </w:t>
      </w:r>
      <w:r>
        <w:rPr>
          <w:rStyle w:val="ClaimLabel"/>
        </w:rPr>
        <w:t xml:space="preserve">VF</w:t>
      </w:r>
      <w:r>
        <w:rPr>
          <w:rStyle w:val="FootnoteReference"/>
        </w:rPr>
        <w:footnoteReference w:id="1476"/>
      </w:r>
    </w:p>
    <w:p>
      <w:pPr>
        <w:pStyle w:val="FirstParagraph"/>
      </w:pPr>
      <w:r>
        <w:rPr>
          <w:bCs/>
          <w:b/>
        </w:rPr>
        <w:t xml:space="preserve">Limitations and risks</w:t>
      </w:r>
    </w:p>
    <w:p>
      <w:pPr>
        <w:numPr>
          <w:ilvl w:val="0"/>
          <w:numId w:val="1314"/>
        </w:numPr>
        <w:pStyle w:val="Compact"/>
      </w:pPr>
      <w:r>
        <w:t xml:space="preserve">No SSO documented; console roles only</w:t>
      </w:r>
      <w:r>
        <w:t xml:space="preserve"> </w:t>
      </w:r>
      <w:r>
        <w:rPr>
          <w:rStyle w:val="ClaimLabel"/>
        </w:rPr>
        <w:t xml:space="preserve">VF</w:t>
      </w:r>
      <w:r>
        <w:rPr>
          <w:rStyle w:val="FootnoteReference"/>
        </w:rPr>
        <w:footnoteReference w:id="1477"/>
      </w:r>
    </w:p>
    <w:p>
      <w:pPr>
        <w:numPr>
          <w:ilvl w:val="0"/>
          <w:numId w:val="1314"/>
        </w:numPr>
        <w:pStyle w:val="Compact"/>
      </w:pPr>
      <w:r>
        <w:t xml:space="preserve">Data may be processed outside the US unless otherwise agreed; no EU capacity yet</w:t>
      </w:r>
      <w:r>
        <w:t xml:space="preserve"> </w:t>
      </w:r>
      <w:r>
        <w:rPr>
          <w:rStyle w:val="ClaimLabel"/>
        </w:rPr>
        <w:t xml:space="preserve">VF</w:t>
      </w:r>
      <w:r>
        <w:rPr>
          <w:rStyle w:val="FootnoteReference"/>
        </w:rPr>
        <w:footnoteReference w:id="1478"/>
      </w:r>
    </w:p>
    <w:p>
      <w:pPr>
        <w:numPr>
          <w:ilvl w:val="0"/>
          <w:numId w:val="1314"/>
        </w:numPr>
        <w:pStyle w:val="Compact"/>
      </w:pPr>
      <w:r>
        <w:t xml:space="preserve">ZDR evidence is privacy-policy and blog level</w:t>
      </w:r>
      <w:r>
        <w:t xml:space="preserve"> </w:t>
      </w:r>
      <w:r>
        <w:rPr>
          <w:rStyle w:val="ClaimLabel"/>
        </w:rPr>
        <w:t xml:space="preserve">VF</w:t>
      </w:r>
      <w:r>
        <w:rPr>
          <w:rStyle w:val="FootnoteReference"/>
        </w:rPr>
        <w:footnoteReference w:id="1479"/>
      </w:r>
    </w:p>
    <w:p>
      <w:pPr>
        <w:numPr>
          <w:ilvl w:val="0"/>
          <w:numId w:val="1314"/>
        </w:numPr>
        <w:pStyle w:val="Compact"/>
      </w:pPr>
      <w:r>
        <w:t xml:space="preserve">Customer concentration in the OpenAI agreement</w:t>
      </w:r>
      <w:r>
        <w:t xml:space="preserve"> </w:t>
      </w:r>
      <w:r>
        <w:rPr>
          <w:rStyle w:val="ClaimLabel"/>
        </w:rPr>
        <w:t xml:space="preserve">VF</w:t>
      </w:r>
      <w:r>
        <w:rPr>
          <w:rStyle w:val="FootnoteReference"/>
        </w:rPr>
        <w:footnoteReference w:id="1480"/>
      </w:r>
    </w:p>
    <w:p>
      <w:pPr>
        <w:pStyle w:val="FirstParagraph"/>
      </w:pPr>
      <w:r>
        <w:rPr>
          <w:bCs/>
          <w:b/>
        </w:rPr>
        <w:t xml:space="preserve">Choose when</w:t>
      </w:r>
    </w:p>
    <w:p>
      <w:pPr>
        <w:numPr>
          <w:ilvl w:val="0"/>
          <w:numId w:val="1315"/>
        </w:numPr>
        <w:pStyle w:val="Compact"/>
      </w:pPr>
      <w:r>
        <w:t xml:space="preserve">Latency-critical, non-confidential workloads on supported open models</w:t>
      </w:r>
      <w:r>
        <w:t xml:space="preserve"> </w:t>
      </w:r>
      <w:r>
        <w:rPr>
          <w:rStyle w:val="ClaimLabel"/>
        </w:rPr>
        <w:t xml:space="preserve">AJ</w:t>
      </w:r>
    </w:p>
    <w:p>
      <w:pPr>
        <w:pStyle w:val="FirstParagraph"/>
      </w:pPr>
      <w:r>
        <w:rPr>
          <w:bCs/>
          <w:b/>
        </w:rPr>
        <w:t xml:space="preserve">Avoid when</w:t>
      </w:r>
    </w:p>
    <w:p>
      <w:pPr>
        <w:numPr>
          <w:ilvl w:val="0"/>
          <w:numId w:val="1316"/>
        </w:numPr>
        <w:pStyle w:val="Compact"/>
      </w:pPr>
      <w:r>
        <w:t xml:space="preserve">Client data until EU capacity and contractual ZDR exist</w:t>
      </w:r>
      <w:r>
        <w:t xml:space="preserve"> </w:t>
      </w:r>
      <w:r>
        <w:rPr>
          <w:rStyle w:val="ClaimLabel"/>
        </w:rPr>
        <w:t xml:space="preserve">AJ</w:t>
      </w:r>
    </w:p>
    <w:p>
      <w:pPr>
        <w:pStyle w:val="FirstParagraph"/>
      </w:pPr>
      <w:r>
        <w:rPr>
          <w:bCs/>
          <w:b/>
        </w:rPr>
        <w:t xml:space="preserve">Nearest competitors:</w:t>
      </w:r>
      <w:r>
        <w:t xml:space="preserve"> </w:t>
      </w:r>
      <w:r>
        <w:t xml:space="preserve">L2-together-ai, L2-fireworks-ai, Groq</w:t>
      </w:r>
    </w:p>
    <w:p>
      <w:pPr>
        <w:pStyle w:val="BodyText"/>
      </w:pPr>
      <w:r>
        <w:rPr>
          <w:bCs/>
          <w:b/>
        </w:rPr>
        <w:t xml:space="preserve">Regulated-FS note.</w:t>
      </w:r>
      <w:r>
        <w:t xml:space="preserve"> </w:t>
      </w:r>
      <w:r>
        <w:t xml:space="preserve">Re-assess when EU capacity is live and SSO and contractual ZDR are documented</w:t>
      </w:r>
      <w:r>
        <w:t xml:space="preserve"> </w:t>
      </w:r>
      <w:r>
        <w:rPr>
          <w:rStyle w:val="ClaimLabel"/>
        </w:rPr>
        <w:t xml:space="preserve">Rec</w:t>
      </w:r>
      <w:r>
        <w:t xml:space="preserve">.</w:t>
      </w:r>
    </w:p>
    <w:p>
      <w:pPr>
        <w:pStyle w:val="BodyText"/>
      </w:pPr>
      <w:r>
        <w:rPr>
          <w:bCs/>
          <w:b/>
        </w:rPr>
        <w:t xml:space="preserve">Facts (as of 2026-10-08)</w:t>
      </w:r>
    </w:p>
    <w:tbl>
      <w:tblPr>
        <w:tblStyle w:val="Table"/>
        <w:tblW w:type="pct" w:w="5000"/>
        <w:tblLook w:firstRow="1" w:lastRow="0" w:firstColumn="0" w:lastColumn="0" w:noHBand="0" w:noVBand="0" w:val="0020"/>
        <w:jc w:val="start"/>
      </w:tblPr>
      <w:tblGrid>
        <w:gridCol w:w="1485"/>
        <w:gridCol w:w="4290"/>
        <w:gridCol w:w="1320"/>
        <w:gridCol w:w="825"/>
      </w:tblGrid>
      <w:tr>
        <w:trPr>
          <w:tblHeader w:val="true"/>
        </w:trPr>
        <w:tc>
          <w:tcPr/>
          <w:p>
            <w:pPr>
              <w:pStyle w:val="Compact"/>
              <w:jc w:val="left"/>
            </w:pPr>
            <w:r>
              <w:t xml:space="preserve">Field</w:t>
            </w:r>
          </w:p>
        </w:tc>
        <w:tc>
          <w:tcPr/>
          <w:p>
            <w:pPr>
              <w:pStyle w:val="Compact"/>
              <w:jc w:val="left"/>
            </w:pPr>
            <w:r>
              <w:t xml:space="preserve">Value</w:t>
            </w:r>
          </w:p>
        </w:tc>
        <w:tc>
          <w:tcPr/>
          <w:p>
            <w:pPr>
              <w:pStyle w:val="Compact"/>
              <w:jc w:val="left"/>
            </w:pPr>
            <w:r>
              <w:t xml:space="preserve">Label</w:t>
            </w:r>
          </w:p>
        </w:tc>
        <w:tc>
          <w:tcPr/>
          <w:p>
            <w:pPr>
              <w:pStyle w:val="Compact"/>
              <w:jc w:val="left"/>
            </w:pPr>
            <w:r>
              <w:t xml:space="preserve">Sources</w:t>
            </w:r>
          </w:p>
        </w:tc>
      </w:tr>
      <w:tr>
        <w:tc>
          <w:tcPr/>
          <w:p>
            <w:pPr>
              <w:pStyle w:val="Compact"/>
              <w:jc w:val="left"/>
            </w:pPr>
            <w:r>
              <w:t xml:space="preserve">Company</w:t>
            </w:r>
          </w:p>
        </w:tc>
        <w:tc>
          <w:tcPr/>
          <w:p>
            <w:pPr>
              <w:pStyle w:val="Compact"/>
              <w:jc w:val="left"/>
            </w:pPr>
            <w:r>
              <w:t xml:space="preserve">Cerebras Systems Inc., listed on Nasdaq (CBRS) since 14 May 2026</w:t>
            </w:r>
          </w:p>
        </w:tc>
        <w:tc>
          <w:tcPr/>
          <w:p>
            <w:pPr>
              <w:pStyle w:val="Compact"/>
              <w:jc w:val="left"/>
            </w:pPr>
            <w:r>
              <w:t xml:space="preserve">Verified fact</w:t>
            </w:r>
          </w:p>
        </w:tc>
        <w:tc>
          <w:tcPr/>
          <w:p>
            <w:pPr>
              <w:pStyle w:val="Compact"/>
              <w:jc w:val="left"/>
            </w:pPr>
            <w:r>
              <w:t xml:space="preserve">A4-S137</w:t>
            </w:r>
          </w:p>
        </w:tc>
      </w:tr>
      <w:tr>
        <w:tc>
          <w:tcPr/>
          <w:p>
            <w:pPr>
              <w:pStyle w:val="Compact"/>
              <w:jc w:val="left"/>
            </w:pPr>
            <w:r>
              <w:t xml:space="preserve">Category</w:t>
            </w:r>
          </w:p>
        </w:tc>
        <w:tc>
          <w:tcPr/>
          <w:p>
            <w:pPr>
              <w:pStyle w:val="Compact"/>
              <w:jc w:val="left"/>
            </w:pPr>
            <w:r>
              <w:t xml:space="preserve">AI chip and system vendor (WSE-3, CS-3) that also operates an inference cloud and sells on-premise systems</w:t>
            </w:r>
          </w:p>
        </w:tc>
        <w:tc>
          <w:tcPr/>
          <w:p>
            <w:pPr>
              <w:pStyle w:val="Compact"/>
              <w:jc w:val="left"/>
            </w:pPr>
            <w:r>
              <w:t xml:space="preserve">Verified fact</w:t>
            </w:r>
          </w:p>
        </w:tc>
        <w:tc>
          <w:tcPr/>
          <w:p>
            <w:pPr>
              <w:pStyle w:val="Compact"/>
              <w:jc w:val="left"/>
            </w:pPr>
            <w:r>
              <w:t xml:space="preserve">A4-S095, A4-S154</w:t>
            </w:r>
          </w:p>
        </w:tc>
      </w:tr>
      <w:tr>
        <w:tc>
          <w:tcPr/>
          <w:p>
            <w:pPr>
              <w:pStyle w:val="Compact"/>
              <w:jc w:val="left"/>
            </w:pPr>
            <w:r>
              <w:t xml:space="preserve">Version / lineup</w:t>
            </w:r>
          </w:p>
        </w:tc>
        <w:tc>
          <w:tcPr/>
          <w:p>
            <w:pPr>
              <w:pStyle w:val="Compact"/>
              <w:jc w:val="left"/>
            </w:pPr>
            <w:r>
              <w:t xml:space="preserve">cerebras-cloud-sdk 1.91.0 (16 July 2026); hardware WSE-3 / CS-3; Inference tiers: free, pay-per-token (Exploration), Enterprise; Cerebras Code subscriptions</w:t>
            </w:r>
          </w:p>
        </w:tc>
        <w:tc>
          <w:tcPr/>
          <w:p>
            <w:pPr>
              <w:pStyle w:val="Compact"/>
              <w:jc w:val="left"/>
            </w:pPr>
            <w:r>
              <w:t xml:space="preserve">Verified fact</w:t>
            </w:r>
          </w:p>
        </w:tc>
        <w:tc>
          <w:tcPr/>
          <w:p>
            <w:pPr>
              <w:pStyle w:val="Compact"/>
              <w:jc w:val="left"/>
            </w:pPr>
            <w:r>
              <w:t xml:space="preserve">A4-S095, A4-S139</w:t>
            </w:r>
          </w:p>
        </w:tc>
      </w:tr>
      <w:tr>
        <w:tc>
          <w:tcPr/>
          <w:p>
            <w:pPr>
              <w:pStyle w:val="Compact"/>
              <w:jc w:val="left"/>
            </w:pPr>
            <w:r>
              <w:t xml:space="preserve">Licence</w:t>
            </w:r>
          </w:p>
        </w:tc>
        <w:tc>
          <w:tcPr/>
          <w:p>
            <w:pPr>
              <w:pStyle w:val="Compact"/>
              <w:jc w:val="left"/>
            </w:pPr>
            <w:r>
              <w:t xml:space="preserve">Proprietary hardware and cloud service; SDK Apache-2.0</w:t>
            </w:r>
          </w:p>
        </w:tc>
        <w:tc>
          <w:tcPr/>
          <w:p>
            <w:pPr>
              <w:pStyle w:val="Compact"/>
              <w:jc w:val="left"/>
            </w:pPr>
            <w:r>
              <w:t xml:space="preserve">Verified fact</w:t>
            </w:r>
          </w:p>
        </w:tc>
        <w:tc>
          <w:tcPr/>
          <w:p>
            <w:pPr>
              <w:pStyle w:val="Compact"/>
              <w:jc w:val="left"/>
            </w:pPr>
            <w:r>
              <w:t xml:space="preserve">A4-S095</w:t>
            </w:r>
          </w:p>
        </w:tc>
      </w:tr>
      <w:tr>
        <w:tc>
          <w:tcPr/>
          <w:p>
            <w:pPr>
              <w:pStyle w:val="Compact"/>
              <w:jc w:val="left"/>
            </w:pPr>
            <w:r>
              <w:t xml:space="preserve">Status events</w:t>
            </w:r>
          </w:p>
        </w:tc>
        <w:tc>
          <w:tcPr/>
          <w:p>
            <w:pPr>
              <w:pStyle w:val="Compact"/>
              <w:jc w:val="left"/>
            </w:pPr>
            <w:r>
              <w:t xml:space="preserve">December 2025: OpenAI master relationship agreement (750MW); 13 May 2026: IPO priced at US$185/share (30M Class A shares, ~US$5.55B); Nasdaq: CBRS from 14 May 2026; 8 July 2026: European expansion announced</w:t>
            </w:r>
          </w:p>
        </w:tc>
        <w:tc>
          <w:tcPr/>
          <w:p>
            <w:pPr>
              <w:pStyle w:val="Compact"/>
              <w:jc w:val="left"/>
            </w:pPr>
            <w:r>
              <w:t xml:space="preserve">Verified fact</w:t>
            </w:r>
          </w:p>
        </w:tc>
        <w:tc>
          <w:tcPr/>
          <w:p>
            <w:pPr>
              <w:pStyle w:val="Compact"/>
              <w:jc w:val="left"/>
            </w:pPr>
            <w:r>
              <w:t xml:space="preserve">A4-S154, A4-S137, A4-S140, V1-S053</w:t>
            </w:r>
          </w:p>
        </w:tc>
      </w:tr>
      <w:tr>
        <w:tc>
          <w:tcPr/>
          <w:p>
            <w:pPr>
              <w:pStyle w:val="Compact"/>
              <w:jc w:val="left"/>
            </w:pPr>
            <w:r>
              <w:t xml:space="preserve">Strategic direction</w:t>
            </w:r>
          </w:p>
        </w:tc>
        <w:tc>
          <w:tcPr/>
          <w:p>
            <w:pPr>
              <w:pStyle w:val="Compact"/>
              <w:jc w:val="left"/>
            </w:pPr>
            <w:r>
              <w:t xml:space="preserve">Large inference supply agreement with OpenAI (750MW, Dec 2025; option for further 1.25GW by 2030); European expansion: first EU capacity by end-2026 (France, Nordics), 200MW by end-2027, 165MW Mikkeli (Finland) site</w:t>
            </w:r>
          </w:p>
        </w:tc>
        <w:tc>
          <w:tcPr/>
          <w:p>
            <w:pPr>
              <w:pStyle w:val="Compact"/>
              <w:jc w:val="left"/>
            </w:pPr>
            <w:r>
              <w:t xml:space="preserve">Verified fact</w:t>
            </w:r>
          </w:p>
        </w:tc>
        <w:tc>
          <w:tcPr/>
          <w:p>
            <w:pPr>
              <w:pStyle w:val="Compact"/>
              <w:jc w:val="left"/>
            </w:pPr>
            <w:r>
              <w:t xml:space="preserve">A4-S154, A4-S140</w:t>
            </w:r>
          </w:p>
        </w:tc>
      </w:tr>
      <w:tr>
        <w:tc>
          <w:tcPr/>
          <w:p>
            <w:pPr>
              <w:pStyle w:val="Compact"/>
              <w:jc w:val="left"/>
            </w:pPr>
            <w:r>
              <w:t xml:space="preserve">What it does</w:t>
            </w:r>
          </w:p>
        </w:tc>
        <w:tc>
          <w:tcPr/>
          <w:p>
            <w:pPr>
              <w:pStyle w:val="Compact"/>
              <w:jc w:val="left"/>
            </w:pPr>
            <w:r>
              <w:t xml:space="preserve">Provides high-speed inference through an OpenAI-compatible REST API on CS-3 systems in Cerebras data centres, and sells CS-3 systems for on-premise deployment.</w:t>
            </w:r>
          </w:p>
        </w:tc>
        <w:tc>
          <w:tcPr/>
          <w:p>
            <w:pPr>
              <w:pStyle w:val="Compact"/>
              <w:jc w:val="left"/>
            </w:pPr>
            <w:r>
              <w:t xml:space="preserve">Verified fact</w:t>
            </w:r>
          </w:p>
        </w:tc>
        <w:tc>
          <w:tcPr/>
          <w:p>
            <w:pPr>
              <w:pStyle w:val="Compact"/>
              <w:jc w:val="left"/>
            </w:pPr>
            <w:r>
              <w:t xml:space="preserve">A4-S095, A4-S139</w:t>
            </w:r>
          </w:p>
        </w:tc>
      </w:tr>
      <w:tr>
        <w:tc>
          <w:tcPr/>
          <w:p>
            <w:pPr>
              <w:pStyle w:val="Compact"/>
              <w:jc w:val="left"/>
            </w:pPr>
            <w:r>
              <w:t xml:space="preserve">Stack position</w:t>
            </w:r>
          </w:p>
        </w:tc>
        <w:tc>
          <w:tcPr/>
          <w:p>
            <w:pPr>
              <w:pStyle w:val="Compact"/>
              <w:jc w:val="left"/>
            </w:pPr>
            <w:r>
              <w:t xml:space="preserve">Both hardware vendor (below L2) and inference provider (L2). The graphic’s</w:t>
            </w:r>
            <w:r>
              <w:t xml:space="preserve"> </w:t>
            </w:r>
            <w:r>
              <w:t xml:space="preserve">‘</w:t>
            </w:r>
            <w:r>
              <w:t xml:space="preserve">ultra-scale cloud</w:t>
            </w:r>
            <w:r>
              <w:t xml:space="preserve">’</w:t>
            </w:r>
            <w:r>
              <w:t xml:space="preserve"> </w:t>
            </w:r>
            <w:r>
              <w:t xml:space="preserve">omits the hardware business</w:t>
            </w:r>
          </w:p>
        </w:tc>
        <w:tc>
          <w:tcPr/>
          <w:p>
            <w:pPr>
              <w:pStyle w:val="Compact"/>
              <w:jc w:val="left"/>
            </w:pPr>
            <w:r>
              <w:t xml:space="preserve">Verified fact</w:t>
            </w:r>
          </w:p>
        </w:tc>
        <w:tc>
          <w:tcPr/>
          <w:p>
            <w:pPr>
              <w:pStyle w:val="Compact"/>
              <w:jc w:val="left"/>
            </w:pPr>
            <w:r>
              <w:t xml:space="preserve">A4-S095</w:t>
            </w:r>
          </w:p>
        </w:tc>
      </w:tr>
      <w:tr>
        <w:tc>
          <w:tcPr/>
          <w:p>
            <w:pPr>
              <w:pStyle w:val="Compact"/>
              <w:jc w:val="left"/>
            </w:pPr>
            <w:r>
              <w:t xml:space="preserve">Integration</w:t>
            </w:r>
          </w:p>
        </w:tc>
        <w:tc>
          <w:tcPr/>
          <w:p>
            <w:pPr>
              <w:pStyle w:val="Compact"/>
              <w:jc w:val="left"/>
            </w:pPr>
            <w:r>
              <w:t xml:space="preserve">Official SDK; OpenAI-compatible API; AWS Marketplace billing; Hugging Face Inference Providers partner</w:t>
            </w:r>
          </w:p>
        </w:tc>
        <w:tc>
          <w:tcPr/>
          <w:p>
            <w:pPr>
              <w:pStyle w:val="Compact"/>
              <w:jc w:val="left"/>
            </w:pPr>
            <w:r>
              <w:t xml:space="preserve">Verified fact</w:t>
            </w:r>
          </w:p>
        </w:tc>
        <w:tc>
          <w:tcPr/>
          <w:p>
            <w:pPr>
              <w:pStyle w:val="Compact"/>
              <w:jc w:val="left"/>
            </w:pPr>
            <w:r>
              <w:t xml:space="preserve">A4-S095, A4-S139, A4-S075</w:t>
            </w:r>
          </w:p>
        </w:tc>
      </w:tr>
      <w:tr>
        <w:tc>
          <w:tcPr/>
          <w:p>
            <w:pPr>
              <w:pStyle w:val="Compact"/>
              <w:jc w:val="left"/>
            </w:pPr>
            <w:r>
              <w:t xml:space="preserve">Dependencies</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Certifications</w:t>
            </w:r>
          </w:p>
        </w:tc>
        <w:tc>
          <w:tcPr/>
          <w:p>
            <w:pPr>
              <w:pStyle w:val="Compact"/>
              <w:jc w:val="left"/>
            </w:pPr>
            <w:r>
              <w:t xml:space="preserve">SOC 2 Type 2, GDPR, CCPA listed in trust centre; HIPAA not listed</w:t>
            </w:r>
          </w:p>
        </w:tc>
        <w:tc>
          <w:tcPr/>
          <w:p>
            <w:pPr>
              <w:pStyle w:val="Compact"/>
              <w:jc w:val="left"/>
            </w:pPr>
            <w:r>
              <w:t xml:space="preserve">Verified fact</w:t>
            </w:r>
          </w:p>
        </w:tc>
        <w:tc>
          <w:tcPr/>
          <w:p>
            <w:pPr>
              <w:pStyle w:val="Compact"/>
              <w:jc w:val="left"/>
            </w:pPr>
            <w:r>
              <w:t xml:space="preserve">A4-S138, V1-S095</w:t>
            </w:r>
          </w:p>
        </w:tc>
      </w:tr>
      <w:tr>
        <w:tc>
          <w:tcPr/>
          <w:p>
            <w:pPr>
              <w:pStyle w:val="Compact"/>
              <w:jc w:val="left"/>
            </w:pPr>
            <w:r>
              <w:t xml:space="preserve">GDPR / residency</w:t>
            </w:r>
          </w:p>
        </w:tc>
        <w:tc>
          <w:tcPr/>
          <w:p>
            <w:pPr>
              <w:pStyle w:val="Compact"/>
              <w:jc w:val="left"/>
            </w:pPr>
            <w:r>
              <w:t xml:space="preserve">Privacy policy: inputs and outputs of inference services not retained; logs deleted when no longer needed; data may be processed outside the US unless otherwise agreed. Blog claims (Jan 2025): inference runs in US data centres with zero data retention. EU capacity announced but not yet online (target end-2026)</w:t>
            </w:r>
          </w:p>
        </w:tc>
        <w:tc>
          <w:tcPr/>
          <w:p>
            <w:pPr>
              <w:pStyle w:val="Compact"/>
              <w:jc w:val="left"/>
            </w:pPr>
            <w:r>
              <w:t xml:space="preserve">Verified fact</w:t>
            </w:r>
          </w:p>
        </w:tc>
        <w:tc>
          <w:tcPr/>
          <w:p>
            <w:pPr>
              <w:pStyle w:val="Compact"/>
              <w:jc w:val="left"/>
            </w:pPr>
            <w:r>
              <w:t xml:space="preserve">A4-S153, A4-S138, A4-S140</w:t>
            </w:r>
          </w:p>
        </w:tc>
      </w:tr>
      <w:tr>
        <w:tc>
          <w:tcPr/>
          <w:p>
            <w:pPr>
              <w:pStyle w:val="Compact"/>
              <w:jc w:val="left"/>
            </w:pPr>
            <w:r>
              <w:t xml:space="preserve">Security features</w:t>
            </w:r>
          </w:p>
        </w:tc>
        <w:tc>
          <w:tcPr/>
          <w:p>
            <w:pPr>
              <w:pStyle w:val="Compact"/>
              <w:jc w:val="left"/>
            </w:pPr>
            <w:r>
              <w:t xml:space="preserve">Encryption at rest and in transit (trust centre sections)</w:t>
            </w:r>
          </w:p>
        </w:tc>
        <w:tc>
          <w:tcPr/>
          <w:p>
            <w:pPr>
              <w:pStyle w:val="Compact"/>
              <w:jc w:val="left"/>
            </w:pPr>
            <w:r>
              <w:t xml:space="preserve">Verified fact</w:t>
            </w:r>
          </w:p>
        </w:tc>
        <w:tc>
          <w:tcPr/>
          <w:p>
            <w:pPr>
              <w:pStyle w:val="Compact"/>
              <w:jc w:val="left"/>
            </w:pPr>
            <w:r>
              <w:t xml:space="preserve">A4-S138</w:t>
            </w:r>
          </w:p>
        </w:tc>
      </w:tr>
      <w:tr>
        <w:tc>
          <w:tcPr/>
          <w:p>
            <w:pPr>
              <w:pStyle w:val="Compact"/>
              <w:jc w:val="left"/>
            </w:pPr>
            <w:r>
              <w:t xml:space="preserve">Access controls</w:t>
            </w:r>
          </w:p>
        </w:tc>
        <w:tc>
          <w:tcPr/>
          <w:p>
            <w:pPr>
              <w:pStyle w:val="Compact"/>
              <w:jc w:val="left"/>
            </w:pPr>
            <w:r>
              <w:t xml:space="preserve">Console roles: Organization Admin, Project Admin, Project Member; projects group keys and rate limits; API-key auth; no SSO documentation found</w:t>
            </w:r>
          </w:p>
        </w:tc>
        <w:tc>
          <w:tcPr/>
          <w:p>
            <w:pPr>
              <w:pStyle w:val="Compact"/>
              <w:jc w:val="left"/>
            </w:pPr>
            <w:r>
              <w:t xml:space="preserve">Verified fact</w:t>
            </w:r>
          </w:p>
        </w:tc>
        <w:tc>
          <w:tcPr/>
          <w:p>
            <w:pPr>
              <w:pStyle w:val="Compact"/>
              <w:jc w:val="left"/>
            </w:pPr>
            <w:r>
              <w:t xml:space="preserve">A4-S153</w:t>
            </w:r>
          </w:p>
        </w:tc>
      </w:tr>
      <w:tr>
        <w:tc>
          <w:tcPr/>
          <w:p>
            <w:pPr>
              <w:pStyle w:val="Compact"/>
              <w:jc w:val="left"/>
            </w:pPr>
            <w:r>
              <w:t xml:space="preserve">Enterprise support</w:t>
            </w:r>
          </w:p>
        </w:tc>
        <w:tc>
          <w:tcPr/>
          <w:p>
            <w:pPr>
              <w:pStyle w:val="Compact"/>
              <w:jc w:val="left"/>
            </w:pPr>
            <w:r>
              <w:t xml:space="preserve">Enterprise tier: custom SLAs, dedicated support, fine-tuned models, 3/6/12-month contracts</w:t>
            </w:r>
          </w:p>
        </w:tc>
        <w:tc>
          <w:tcPr/>
          <w:p>
            <w:pPr>
              <w:pStyle w:val="Compact"/>
              <w:jc w:val="left"/>
            </w:pPr>
            <w:r>
              <w:t xml:space="preserve">Verified fact</w:t>
            </w:r>
          </w:p>
        </w:tc>
        <w:tc>
          <w:tcPr/>
          <w:p>
            <w:pPr>
              <w:pStyle w:val="Compact"/>
              <w:jc w:val="left"/>
            </w:pPr>
            <w:r>
              <w:t xml:space="preserve">A4-S139</w:t>
            </w:r>
          </w:p>
        </w:tc>
      </w:tr>
      <w:tr>
        <w:tc>
          <w:tcPr/>
          <w:p>
            <w:pPr>
              <w:pStyle w:val="Compact"/>
              <w:jc w:val="left"/>
            </w:pPr>
            <w:r>
              <w:t xml:space="preserve">Pricing</w:t>
            </w:r>
          </w:p>
        </w:tc>
        <w:tc>
          <w:tcPr/>
          <w:p>
            <w:pPr>
              <w:pStyle w:val="Compact"/>
              <w:jc w:val="left"/>
            </w:pPr>
            <w:r>
              <w:t xml:space="preserve">Pay-per-token per 1M tokens (in/out): Llama 3.1 8B US$0.10/US$0.10, Llama 3.3 70B US$0.85/US$1.20, Qwen 3 32B US$0.40/US$0.80; free tier limited to 8,192-token context; Enterprise flat monthly pricing by tokens-per-minute; Cerebras Code Pro US$50/month, Max US$200/month</w:t>
            </w:r>
          </w:p>
        </w:tc>
        <w:tc>
          <w:tcPr/>
          <w:p>
            <w:pPr>
              <w:pStyle w:val="Compact"/>
              <w:jc w:val="left"/>
            </w:pPr>
            <w:r>
              <w:t xml:space="preserve">Verified fact</w:t>
            </w:r>
          </w:p>
        </w:tc>
        <w:tc>
          <w:tcPr/>
          <w:p>
            <w:pPr>
              <w:pStyle w:val="Compact"/>
              <w:jc w:val="left"/>
            </w:pPr>
            <w:r>
              <w:t xml:space="preserve">A4-S139</w:t>
            </w:r>
          </w:p>
        </w:tc>
      </w:tr>
      <w:tr>
        <w:tc>
          <w:tcPr/>
          <w:p>
            <w:pPr>
              <w:pStyle w:val="Compact"/>
              <w:jc w:val="left"/>
            </w:pPr>
            <w:r>
              <w:t xml:space="preserve">Infrastructure cost</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Ecosystem</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Adoption signals</w:t>
            </w:r>
          </w:p>
        </w:tc>
        <w:tc>
          <w:tcPr/>
          <w:p>
            <w:pPr>
              <w:pStyle w:val="Compact"/>
              <w:jc w:val="left"/>
            </w:pPr>
            <w:r>
              <w:t xml:space="preserve">IPO raised ~US$5.55B (May 2026); OpenAI 750MW commitment; 600MW of data-centre capacity under contract (Q2 2026 results)</w:t>
            </w:r>
          </w:p>
        </w:tc>
        <w:tc>
          <w:tcPr/>
          <w:p>
            <w:pPr>
              <w:pStyle w:val="Compact"/>
              <w:jc w:val="left"/>
            </w:pPr>
            <w:r>
              <w:t xml:space="preserve">Verified fact</w:t>
            </w:r>
          </w:p>
        </w:tc>
        <w:tc>
          <w:tcPr/>
          <w:p>
            <w:pPr>
              <w:pStyle w:val="Compact"/>
              <w:jc w:val="left"/>
            </w:pPr>
            <w:r>
              <w:t xml:space="preserve">A4-S137, A4-S154</w:t>
            </w:r>
          </w:p>
        </w:tc>
      </w:tr>
      <w:tr>
        <w:tc>
          <w:tcPr/>
          <w:p>
            <w:pPr>
              <w:pStyle w:val="Compact"/>
              <w:jc w:val="left"/>
            </w:pPr>
            <w:r>
              <w:t xml:space="preserve">Maturity</w:t>
            </w:r>
          </w:p>
        </w:tc>
        <w:tc>
          <w:tcPr/>
          <w:p>
            <w:pPr>
              <w:pStyle w:val="Compact"/>
              <w:jc w:val="left"/>
            </w:pPr>
            <w:r>
              <w:t xml:space="preserve">Public company since May 2026; inference cloud since 2024</w:t>
            </w:r>
          </w:p>
        </w:tc>
        <w:tc>
          <w:tcPr/>
          <w:p>
            <w:pPr>
              <w:pStyle w:val="Compact"/>
              <w:jc w:val="left"/>
            </w:pPr>
            <w:r>
              <w:t xml:space="preserve">Verified fact</w:t>
            </w:r>
          </w:p>
        </w:tc>
        <w:tc>
          <w:tcPr/>
          <w:p>
            <w:pPr>
              <w:pStyle w:val="Compact"/>
              <w:jc w:val="left"/>
            </w:pPr>
            <w:r>
              <w:t xml:space="preserve">A4-S137, A4-S139</w:t>
            </w:r>
          </w:p>
        </w:tc>
      </w:tr>
      <w:tr>
        <w:tc>
          <w:tcPr/>
          <w:p>
            <w:pPr>
              <w:pStyle w:val="Compact"/>
              <w:jc w:val="left"/>
            </w:pPr>
            <w:r>
              <w:t xml:space="preserve">Deployment</w:t>
            </w:r>
          </w:p>
        </w:tc>
        <w:tc>
          <w:tcPr/>
          <w:p>
            <w:pPr>
              <w:pStyle w:val="Compact"/>
              <w:jc w:val="left"/>
            </w:pPr>
            <w:r>
              <w:t xml:space="preserve">saas: Yes; managed_cloud: Yes (Enterprise dedicated capacity); vpc_byoc: Not publicly verified; private_cloud: Not publicly verified; self_hosted: No; on_prem: Yes (on-premise CS-3 systems)</w:t>
            </w:r>
          </w:p>
        </w:tc>
        <w:tc>
          <w:tcPr/>
          <w:p>
            <w:pPr>
              <w:pStyle w:val="Compact"/>
            </w:pPr>
          </w:p>
        </w:tc>
        <w:tc>
          <w:tcPr/>
          <w:p>
            <w:pPr>
              <w:pStyle w:val="Compact"/>
            </w:pPr>
          </w:p>
        </w:tc>
      </w:tr>
    </w:tbl>
    <w:bookmarkEnd w:id="1481"/>
    <w:bookmarkStart w:id="1497" w:name="X0c5589df9a7422415229fac143180867a8e94c2"/>
    <w:p>
      <w:pPr>
        <w:pStyle w:val="Heading2"/>
      </w:pPr>
      <w:r>
        <w:t xml:space="preserve">LM Studio (desktop app) with lms CLI and Python/JS SDKs (</w:t>
      </w:r>
      <w:r>
        <w:rPr>
          <w:rStyle w:val="VerbatimChar"/>
        </w:rPr>
        <w:t xml:space="preserve">L2-lm-studio</w:t>
      </w:r>
      <w:r>
        <w:t xml:space="preserve">)</w:t>
      </w:r>
    </w:p>
    <w:p>
      <w:pPr>
        <w:pStyle w:val="FirstParagraph"/>
      </w:pPr>
      <w:r>
        <w:rPr>
          <w:bCs/>
          <w:b/>
        </w:rPr>
        <w:t xml:space="preserve">Tier:</w:t>
      </w:r>
      <w:r>
        <w:t xml:space="preserve"> </w:t>
      </w:r>
      <w:r>
        <w:t xml:space="preserve">Tactical ·</w:t>
      </w:r>
      <w:r>
        <w:t xml:space="preserve"> </w:t>
      </w:r>
      <w:r>
        <w:rPr>
          <w:bCs/>
          <w:b/>
        </w:rPr>
        <w:t xml:space="preserve">Flags:</w:t>
      </w:r>
      <w:r>
        <w:t xml:space="preserve"> </w:t>
      </w:r>
      <w:r>
        <w:t xml:space="preserve">none ·</w:t>
      </w:r>
      <w:r>
        <w:t xml:space="preserve"> </w:t>
      </w:r>
      <w:r>
        <w:rPr>
          <w:bCs/>
          <w:b/>
        </w:rPr>
        <w:t xml:space="preserve">Original graphic label:</w:t>
      </w:r>
      <w:r>
        <w:t xml:space="preserve"> </w:t>
      </w:r>
      <w:r>
        <w:t xml:space="preserve">LM Studio – desktop app</w:t>
      </w:r>
    </w:p>
    <w:p>
      <w:pPr>
        <w:pStyle w:val="BodyText"/>
      </w:pPr>
      <w:r>
        <w:rPr>
          <w:iCs/>
          <w:i/>
        </w:rPr>
        <w:t xml:space="preserve">Rationale:</w:t>
      </w:r>
      <w:r>
        <w:t xml:space="preserve"> </w:t>
      </w:r>
      <w:r>
        <w:t xml:space="preserve">Desktop-only tool; not part of the serving architecture</w:t>
      </w:r>
    </w:p>
    <w:tbl>
      <w:tblPr>
        <w:tblStyle w:val="Table"/>
        <w:tblW w:type="pct" w:w="5000"/>
        <w:tblLook w:firstRow="1" w:lastRow="0" w:firstColumn="0" w:lastColumn="0" w:noHBand="0" w:noVBand="0" w:val="0020"/>
        <w:jc w:val="start"/>
      </w:tblPr>
      <w:tblGrid>
        <w:gridCol w:w="1545"/>
        <w:gridCol w:w="579"/>
        <w:gridCol w:w="5795"/>
      </w:tblGrid>
      <w:tr>
        <w:trPr>
          <w:tblHeader w:val="true"/>
        </w:trPr>
        <w:tc>
          <w:tcPr/>
          <w:p>
            <w:pPr>
              <w:pStyle w:val="Compact"/>
              <w:jc w:val="left"/>
            </w:pPr>
            <w:r>
              <w:t xml:space="preserve">Criterion</w:t>
            </w:r>
          </w:p>
        </w:tc>
        <w:tc>
          <w:tcPr/>
          <w:p>
            <w:pPr>
              <w:pStyle w:val="Compact"/>
              <w:jc w:val="right"/>
            </w:pPr>
            <w:r>
              <w:t xml:space="preserve">Score</w:t>
            </w:r>
          </w:p>
        </w:tc>
        <w:tc>
          <w:tcPr/>
          <w:p>
            <w:pPr>
              <w:pStyle w:val="Compact"/>
              <w:jc w:val="left"/>
            </w:pPr>
            <w:r>
              <w:t xml:space="preserve">Rationale</w:t>
            </w:r>
          </w:p>
        </w:tc>
      </w:tr>
      <w:tr>
        <w:tc>
          <w:tcPr/>
          <w:p>
            <w:pPr>
              <w:pStyle w:val="Compact"/>
              <w:jc w:val="left"/>
            </w:pPr>
            <w:r>
              <w:t xml:space="preserve">Technical</w:t>
            </w:r>
          </w:p>
        </w:tc>
        <w:tc>
          <w:tcPr/>
          <w:p>
            <w:pPr>
              <w:pStyle w:val="Compact"/>
              <w:jc w:val="right"/>
            </w:pPr>
            <w:r>
              <w:t xml:space="preserve">2</w:t>
            </w:r>
          </w:p>
        </w:tc>
        <w:tc>
          <w:tcPr/>
          <w:p>
            <w:pPr>
              <w:pStyle w:val="Compact"/>
              <w:jc w:val="left"/>
            </w:pPr>
            <w:r>
              <w:t xml:space="preserve">Desktop runtime only; missing production-serving functions</w:t>
            </w:r>
            <w:r>
              <w:t xml:space="preserve"> </w:t>
            </w:r>
            <w:r>
              <w:rPr>
                <w:rStyle w:val="ClaimLabel"/>
              </w:rPr>
              <w:t xml:space="preserve">VF</w:t>
            </w:r>
            <w:r>
              <w:rPr>
                <w:rStyle w:val="FootnoteReference"/>
              </w:rPr>
              <w:footnoteReference w:id="1482"/>
            </w:r>
            <w:r>
              <w:t xml:space="preserve"> </w:t>
            </w:r>
            <w:r>
              <w:rPr>
                <w:rStyle w:val="ClaimLabel"/>
              </w:rPr>
              <w:t xml:space="preserve">AJ</w:t>
            </w:r>
          </w:p>
        </w:tc>
      </w:tr>
      <w:tr>
        <w:tc>
          <w:tcPr/>
          <w:p>
            <w:pPr>
              <w:pStyle w:val="Compact"/>
              <w:jc w:val="left"/>
            </w:pPr>
            <w:r>
              <w:t xml:space="preserve">Enterprise readiness</w:t>
            </w:r>
          </w:p>
        </w:tc>
        <w:tc>
          <w:tcPr/>
          <w:p>
            <w:pPr>
              <w:pStyle w:val="Compact"/>
              <w:jc w:val="right"/>
            </w:pPr>
            <w:r>
              <w:t xml:space="preserve">2</w:t>
            </w:r>
          </w:p>
        </w:tc>
        <w:tc>
          <w:tcPr/>
          <w:p>
            <w:pPr>
              <w:pStyle w:val="Compact"/>
              <w:jc w:val="left"/>
            </w:pPr>
            <w:r>
              <w:t xml:space="preserve">SSO on Enterprise verified at low confidence (rule 7 allows up to 3); no audit or support evidence, so 2</w:t>
            </w:r>
            <w:r>
              <w:t xml:space="preserve"> </w:t>
            </w:r>
            <w:r>
              <w:rPr>
                <w:rStyle w:val="ClaimLabel"/>
              </w:rPr>
              <w:t xml:space="preserve">VF</w:t>
            </w:r>
            <w:r>
              <w:rPr>
                <w:rStyle w:val="FootnoteReference"/>
              </w:rPr>
              <w:footnoteReference w:id="1484"/>
            </w:r>
          </w:p>
        </w:tc>
      </w:tr>
      <w:tr>
        <w:tc>
          <w:tcPr/>
          <w:p>
            <w:pPr>
              <w:pStyle w:val="Compact"/>
              <w:jc w:val="left"/>
            </w:pPr>
            <w:r>
              <w:t xml:space="preserve">Security and compliance</w:t>
            </w:r>
          </w:p>
        </w:tc>
        <w:tc>
          <w:tcPr/>
          <w:p>
            <w:pPr>
              <w:pStyle w:val="Compact"/>
              <w:jc w:val="right"/>
            </w:pPr>
            <w:r>
              <w:t xml:space="preserve">2</w:t>
            </w:r>
          </w:p>
        </w:tc>
        <w:tc>
          <w:tcPr/>
          <w:p>
            <w:pPr>
              <w:pStyle w:val="Compact"/>
              <w:jc w:val="left"/>
            </w:pPr>
            <w:r>
              <w:t xml:space="preserve">Desktop software, proprietary; security features NPV</w:t>
            </w:r>
            <w:r>
              <w:t xml:space="preserve"> </w:t>
            </w:r>
            <w:r>
              <w:rPr>
                <w:rStyle w:val="ClaimLabel"/>
              </w:rPr>
              <w:t xml:space="preserve">NPV</w:t>
            </w:r>
          </w:p>
        </w:tc>
      </w:tr>
      <w:tr>
        <w:tc>
          <w:tcPr/>
          <w:p>
            <w:pPr>
              <w:pStyle w:val="Compact"/>
              <w:jc w:val="left"/>
            </w:pPr>
            <w:r>
              <w:t xml:space="preserve">Deployment flexibility</w:t>
            </w:r>
          </w:p>
        </w:tc>
        <w:tc>
          <w:tcPr/>
          <w:p>
            <w:pPr>
              <w:pStyle w:val="Compact"/>
              <w:jc w:val="right"/>
            </w:pPr>
            <w:r>
              <w:t xml:space="preserve">2</w:t>
            </w:r>
          </w:p>
        </w:tc>
        <w:tc>
          <w:tcPr/>
          <w:p>
            <w:pPr>
              <w:pStyle w:val="Compact"/>
              <w:jc w:val="left"/>
            </w:pPr>
            <w:r>
              <w:t xml:space="preserve">Desktop on-prem only; no server, VPC or SaaS</w:t>
            </w:r>
            <w:r>
              <w:t xml:space="preserve"> </w:t>
            </w:r>
            <w:r>
              <w:rPr>
                <w:rStyle w:val="ClaimLabel"/>
              </w:rPr>
              <w:t xml:space="preserve">VF</w:t>
            </w:r>
            <w:r>
              <w:rPr>
                <w:rStyle w:val="FootnoteReference"/>
              </w:rPr>
              <w:footnoteReference w:id="1486"/>
            </w:r>
          </w:p>
        </w:tc>
      </w:tr>
      <w:tr>
        <w:tc>
          <w:tcPr/>
          <w:p>
            <w:pPr>
              <w:pStyle w:val="Compact"/>
              <w:jc w:val="left"/>
            </w:pPr>
            <w:r>
              <w:t xml:space="preserve">Ecosystem</w:t>
            </w:r>
          </w:p>
        </w:tc>
        <w:tc>
          <w:tcPr/>
          <w:p>
            <w:pPr>
              <w:pStyle w:val="Compact"/>
              <w:jc w:val="right"/>
            </w:pPr>
            <w:r>
              <w:t xml:space="preserve">2</w:t>
            </w:r>
          </w:p>
        </w:tc>
        <w:tc>
          <w:tcPr/>
          <w:p>
            <w:pPr>
              <w:pStyle w:val="Compact"/>
              <w:jc w:val="left"/>
            </w:pPr>
            <w:r>
              <w:t xml:space="preserve">Integrations largely NPV beyond CLI and SDKs</w:t>
            </w:r>
            <w:r>
              <w:t xml:space="preserve"> </w:t>
            </w:r>
            <w:r>
              <w:rPr>
                <w:rStyle w:val="ClaimLabel"/>
              </w:rPr>
              <w:t xml:space="preserve">VF</w:t>
            </w:r>
            <w:r>
              <w:rPr>
                <w:rStyle w:val="FootnoteReference"/>
              </w:rPr>
              <w:footnoteReference w:id="1487"/>
            </w:r>
          </w:p>
        </w:tc>
      </w:tr>
      <w:tr>
        <w:tc>
          <w:tcPr/>
          <w:p>
            <w:pPr>
              <w:pStyle w:val="Compact"/>
              <w:jc w:val="left"/>
            </w:pPr>
            <w:r>
              <w:t xml:space="preserve">Reliability and maturity</w:t>
            </w:r>
          </w:p>
        </w:tc>
        <w:tc>
          <w:tcPr/>
          <w:p>
            <w:pPr>
              <w:pStyle w:val="Compact"/>
              <w:jc w:val="right"/>
            </w:pPr>
            <w:r>
              <w:t xml:space="preserve">2</w:t>
            </w:r>
          </w:p>
        </w:tc>
        <w:tc>
          <w:tcPr/>
          <w:p>
            <w:pPr>
              <w:pStyle w:val="Compact"/>
              <w:jc w:val="left"/>
            </w:pPr>
            <w:r>
              <w:t xml:space="preserve">Maturity NPV; SDK last release August 2025</w:t>
            </w:r>
            <w:r>
              <w:t xml:space="preserve"> </w:t>
            </w:r>
            <w:r>
              <w:rPr>
                <w:rStyle w:val="ClaimLabel"/>
              </w:rPr>
              <w:t xml:space="preserve">VF</w:t>
            </w:r>
            <w:r>
              <w:rPr>
                <w:rStyle w:val="FootnoteReference"/>
              </w:rPr>
              <w:footnoteReference w:id="1489"/>
            </w:r>
          </w:p>
        </w:tc>
      </w:tr>
      <w:tr>
        <w:tc>
          <w:tcPr/>
          <w:p>
            <w:pPr>
              <w:pStyle w:val="Compact"/>
              <w:jc w:val="left"/>
            </w:pPr>
            <w:r>
              <w:t xml:space="preserve">Cost / TCO</w:t>
            </w:r>
          </w:p>
        </w:tc>
        <w:tc>
          <w:tcPr/>
          <w:p>
            <w:pPr>
              <w:pStyle w:val="Compact"/>
              <w:jc w:val="right"/>
            </w:pPr>
            <w:r>
              <w:t xml:space="preserve">4</w:t>
            </w:r>
          </w:p>
        </w:tc>
        <w:tc>
          <w:tcPr/>
          <w:p>
            <w:pPr>
              <w:pStyle w:val="Compact"/>
              <w:jc w:val="left"/>
            </w:pPr>
            <w:r>
              <w:t xml:space="preserve">Free for internal business use</w:t>
            </w:r>
            <w:r>
              <w:t xml:space="preserve"> </w:t>
            </w:r>
            <w:r>
              <w:rPr>
                <w:rStyle w:val="ClaimLabel"/>
              </w:rPr>
              <w:t xml:space="preserve">VF</w:t>
            </w:r>
            <w:r>
              <w:rPr>
                <w:rStyle w:val="FootnoteReference"/>
              </w:rPr>
              <w:footnoteReference w:id="1490"/>
            </w:r>
          </w:p>
        </w:tc>
      </w:tr>
      <w:tr>
        <w:tc>
          <w:tcPr/>
          <w:p>
            <w:pPr>
              <w:pStyle w:val="Compact"/>
              <w:jc w:val="left"/>
            </w:pPr>
            <w:r>
              <w:t xml:space="preserve">Lock-in / portability</w:t>
            </w:r>
          </w:p>
        </w:tc>
        <w:tc>
          <w:tcPr/>
          <w:p>
            <w:pPr>
              <w:pStyle w:val="Compact"/>
              <w:jc w:val="right"/>
            </w:pPr>
            <w:r>
              <w:t xml:space="preserve">3</w:t>
            </w:r>
          </w:p>
        </w:tc>
        <w:tc>
          <w:tcPr/>
          <w:p>
            <w:pPr>
              <w:pStyle w:val="Compact"/>
              <w:jc w:val="left"/>
            </w:pPr>
            <w:r>
              <w:t xml:space="preserve">Proprietary app, but models and the OpenAI-style local API are portable</w:t>
            </w:r>
            <w:r>
              <w:t xml:space="preserve"> </w:t>
            </w:r>
            <w:r>
              <w:rPr>
                <w:rStyle w:val="ClaimLabel"/>
              </w:rPr>
              <w:t xml:space="preserve">AJ</w:t>
            </w:r>
          </w:p>
        </w:tc>
      </w:tr>
      <w:tr>
        <w:tc>
          <w:tcPr/>
          <w:p>
            <w:pPr>
              <w:pStyle w:val="Compact"/>
              <w:jc w:val="left"/>
            </w:pPr>
            <w:r>
              <w:rPr>
                <w:bCs/>
                <w:b/>
              </w:rPr>
              <w:t xml:space="preserve">Total (generic / FS)</w:t>
            </w:r>
          </w:p>
        </w:tc>
        <w:tc>
          <w:tcPr/>
          <w:p>
            <w:pPr>
              <w:pStyle w:val="Compact"/>
              <w:jc w:val="right"/>
            </w:pPr>
            <w:r>
              <w:rPr>
                <w:bCs/>
                <w:b/>
              </w:rPr>
              <w:t xml:space="preserve">2.25 / 2.25</w:t>
            </w:r>
          </w:p>
        </w:tc>
        <w:tc>
          <w:tcPr/>
          <w:p>
            <w:pPr>
              <w:pStyle w:val="Compact"/>
            </w:pPr>
          </w:p>
        </w:tc>
      </w:tr>
    </w:tbl>
    <w:p>
      <w:pPr>
        <w:pStyle w:val="BodyText"/>
      </w:pPr>
      <w:r>
        <w:rPr>
          <w:iCs/>
          <w:i/>
        </w:rPr>
        <w:t xml:space="preserve">Evidence rules applied:</w:t>
      </w:r>
      <w:r>
        <w:t xml:space="preserve"> </w:t>
      </w:r>
      <w:r>
        <w:t xml:space="preserve">security_compliance capped at 2: security features and certifications NPV</w:t>
      </w:r>
    </w:p>
    <w:p>
      <w:pPr>
        <w:pStyle w:val="BodyText"/>
      </w:pPr>
      <w:r>
        <w:rPr>
          <w:bCs/>
          <w:b/>
        </w:rPr>
        <w:t xml:space="preserve">Capabilities.</w:t>
      </w:r>
      <w:r>
        <w:t xml:space="preserve"> </w:t>
      </w:r>
      <w:r>
        <w:t xml:space="preserve">Proprietary desktop app for downloading and running local models with a local API server, MIT lms CLI and SDKs; free for personal and internal business use since about July 2025; may not be redistributed or offered as a service; a paid Enterprise plan adds SSO and model/MCP gating</w:t>
      </w:r>
      <w:r>
        <w:t xml:space="preserve"> </w:t>
      </w:r>
      <w:r>
        <w:rPr>
          <w:rStyle w:val="ClaimLabel"/>
        </w:rPr>
        <w:t xml:space="preserve">VF</w:t>
      </w:r>
      <w:r>
        <w:rPr>
          <w:rStyle w:val="FootnoteReference"/>
        </w:rPr>
        <w:footnoteReference w:id="1491"/>
      </w:r>
      <w:r>
        <w:t xml:space="preserve">.</w:t>
      </w:r>
    </w:p>
    <w:p>
      <w:pPr>
        <w:pStyle w:val="BodyText"/>
      </w:pPr>
      <w:r>
        <w:rPr>
          <w:bCs/>
          <w:b/>
        </w:rPr>
        <w:t xml:space="preserve">Strengths</w:t>
      </w:r>
    </w:p>
    <w:p>
      <w:pPr>
        <w:numPr>
          <w:ilvl w:val="0"/>
          <w:numId w:val="1317"/>
        </w:numPr>
        <w:pStyle w:val="Compact"/>
      </w:pPr>
      <w:r>
        <w:t xml:space="preserve">Low-friction desktop evaluation of open models</w:t>
      </w:r>
      <w:r>
        <w:t xml:space="preserve"> </w:t>
      </w:r>
      <w:r>
        <w:rPr>
          <w:rStyle w:val="ClaimLabel"/>
        </w:rPr>
        <w:t xml:space="preserve">AJ</w:t>
      </w:r>
    </w:p>
    <w:p>
      <w:pPr>
        <w:numPr>
          <w:ilvl w:val="0"/>
          <w:numId w:val="1317"/>
        </w:numPr>
        <w:pStyle w:val="Compact"/>
      </w:pPr>
      <w:r>
        <w:t xml:space="preserve">Enterprise plan gating of models and MCP servers</w:t>
      </w:r>
      <w:r>
        <w:t xml:space="preserve"> </w:t>
      </w:r>
      <w:r>
        <w:rPr>
          <w:rStyle w:val="ClaimLabel"/>
        </w:rPr>
        <w:t xml:space="preserve">VF</w:t>
      </w:r>
      <w:r>
        <w:rPr>
          <w:rStyle w:val="FootnoteReference"/>
        </w:rPr>
        <w:footnoteReference w:id="1493"/>
      </w:r>
    </w:p>
    <w:p>
      <w:pPr>
        <w:pStyle w:val="FirstParagraph"/>
      </w:pPr>
      <w:r>
        <w:rPr>
          <w:bCs/>
          <w:b/>
        </w:rPr>
        <w:t xml:space="preserve">Limitations and risks</w:t>
      </w:r>
    </w:p>
    <w:p>
      <w:pPr>
        <w:numPr>
          <w:ilvl w:val="0"/>
          <w:numId w:val="1318"/>
        </w:numPr>
        <w:pStyle w:val="Compact"/>
      </w:pPr>
      <w:r>
        <w:t xml:space="preserve">Proprietary app terms forbid offering it as a service</w:t>
      </w:r>
      <w:r>
        <w:t xml:space="preserve"> </w:t>
      </w:r>
      <w:r>
        <w:rPr>
          <w:rStyle w:val="ClaimLabel"/>
        </w:rPr>
        <w:t xml:space="preserve">VF</w:t>
      </w:r>
      <w:r>
        <w:rPr>
          <w:rStyle w:val="FootnoteReference"/>
        </w:rPr>
        <w:footnoteReference w:id="1494"/>
      </w:r>
    </w:p>
    <w:p>
      <w:pPr>
        <w:numPr>
          <w:ilvl w:val="0"/>
          <w:numId w:val="1318"/>
        </w:numPr>
        <w:pStyle w:val="Compact"/>
      </w:pPr>
      <w:r>
        <w:t xml:space="preserve">Security features, support, versioning and maturity largely not publicly verified</w:t>
      </w:r>
      <w:r>
        <w:t xml:space="preserve"> </w:t>
      </w:r>
      <w:r>
        <w:rPr>
          <w:rStyle w:val="ClaimLabel"/>
        </w:rPr>
        <w:t xml:space="preserve">NPV</w:t>
      </w:r>
    </w:p>
    <w:p>
      <w:pPr>
        <w:numPr>
          <w:ilvl w:val="0"/>
          <w:numId w:val="1318"/>
        </w:numPr>
        <w:pStyle w:val="Compact"/>
      </w:pPr>
      <w:r>
        <w:t xml:space="preserve">Python SDK last released August 2025</w:t>
      </w:r>
      <w:r>
        <w:t xml:space="preserve"> </w:t>
      </w:r>
      <w:r>
        <w:rPr>
          <w:rStyle w:val="ClaimLabel"/>
        </w:rPr>
        <w:t xml:space="preserve">VF</w:t>
      </w:r>
      <w:r>
        <w:rPr>
          <w:rStyle w:val="FootnoteReference"/>
        </w:rPr>
        <w:footnoteReference w:id="1495"/>
      </w:r>
    </w:p>
    <w:p>
      <w:pPr>
        <w:pStyle w:val="FirstParagraph"/>
      </w:pPr>
      <w:r>
        <w:rPr>
          <w:bCs/>
          <w:b/>
        </w:rPr>
        <w:t xml:space="preserve">Choose when</w:t>
      </w:r>
    </w:p>
    <w:p>
      <w:pPr>
        <w:numPr>
          <w:ilvl w:val="0"/>
          <w:numId w:val="1319"/>
        </w:numPr>
        <w:pStyle w:val="Compact"/>
      </w:pPr>
      <w:r>
        <w:t xml:space="preserve">Managed developer desktops where a GUI and model gating help adoption</w:t>
      </w:r>
      <w:r>
        <w:t xml:space="preserve"> </w:t>
      </w:r>
      <w:r>
        <w:rPr>
          <w:rStyle w:val="ClaimLabel"/>
        </w:rPr>
        <w:t xml:space="preserve">AJ</w:t>
      </w:r>
    </w:p>
    <w:p>
      <w:pPr>
        <w:pStyle w:val="FirstParagraph"/>
      </w:pPr>
      <w:r>
        <w:rPr>
          <w:bCs/>
          <w:b/>
        </w:rPr>
        <w:t xml:space="preserve">Avoid when</w:t>
      </w:r>
    </w:p>
    <w:p>
      <w:pPr>
        <w:numPr>
          <w:ilvl w:val="0"/>
          <w:numId w:val="1320"/>
        </w:numPr>
        <w:pStyle w:val="Compact"/>
      </w:pPr>
      <w:r>
        <w:t xml:space="preserve">Any server or shared use</w:t>
      </w:r>
      <w:r>
        <w:t xml:space="preserve"> </w:t>
      </w:r>
      <w:r>
        <w:rPr>
          <w:rStyle w:val="ClaimLabel"/>
        </w:rPr>
        <w:t xml:space="preserve">VF</w:t>
      </w:r>
      <w:r>
        <w:rPr>
          <w:rStyle w:val="FootnoteReference"/>
        </w:rPr>
        <w:footnoteReference w:id="1496"/>
      </w:r>
      <w:r>
        <w:t xml:space="preserve"> </w:t>
      </w:r>
      <w:r>
        <w:rPr>
          <w:rStyle w:val="ClaimLabel"/>
        </w:rPr>
        <w:t xml:space="preserve">AJ</w:t>
      </w:r>
    </w:p>
    <w:p>
      <w:pPr>
        <w:pStyle w:val="FirstParagraph"/>
      </w:pPr>
      <w:r>
        <w:rPr>
          <w:bCs/>
          <w:b/>
        </w:rPr>
        <w:t xml:space="preserve">Nearest competitors:</w:t>
      </w:r>
      <w:r>
        <w:t xml:space="preserve"> </w:t>
      </w:r>
      <w:r>
        <w:t xml:space="preserve">L2-ollama, llama.cpp</w:t>
      </w:r>
    </w:p>
    <w:p>
      <w:pPr>
        <w:pStyle w:val="BodyText"/>
      </w:pPr>
      <w:r>
        <w:rPr>
          <w:bCs/>
          <w:b/>
        </w:rPr>
        <w:t xml:space="preserve">Regulated-FS note.</w:t>
      </w:r>
      <w:r>
        <w:t xml:space="preserve"> </w:t>
      </w:r>
      <w:r>
        <w:t xml:space="preserve">Permit only via the Enterprise plan on managed devices with an approved-model list; exclude client data</w:t>
      </w:r>
      <w:r>
        <w:t xml:space="preserve"> </w:t>
      </w:r>
      <w:r>
        <w:rPr>
          <w:rStyle w:val="ClaimLabel"/>
        </w:rPr>
        <w:t xml:space="preserve">Rec</w:t>
      </w:r>
      <w:r>
        <w:t xml:space="preserve">.</w:t>
      </w:r>
    </w:p>
    <w:p>
      <w:pPr>
        <w:pStyle w:val="BodyText"/>
      </w:pPr>
      <w:r>
        <w:rPr>
          <w:bCs/>
          <w:b/>
        </w:rPr>
        <w:t xml:space="preserve">Facts (as of 2026-10-08)</w:t>
      </w:r>
    </w:p>
    <w:tbl>
      <w:tblPr>
        <w:tblStyle w:val="Table"/>
        <w:tblW w:type="pct" w:w="5000"/>
        <w:tblLook w:firstRow="1" w:lastRow="0" w:firstColumn="0" w:lastColumn="0" w:noHBand="0" w:noVBand="0" w:val="0020"/>
        <w:jc w:val="start"/>
      </w:tblPr>
      <w:tblGrid>
        <w:gridCol w:w="1485"/>
        <w:gridCol w:w="4290"/>
        <w:gridCol w:w="1320"/>
        <w:gridCol w:w="825"/>
      </w:tblGrid>
      <w:tr>
        <w:trPr>
          <w:tblHeader w:val="true"/>
        </w:trPr>
        <w:tc>
          <w:tcPr/>
          <w:p>
            <w:pPr>
              <w:pStyle w:val="Compact"/>
              <w:jc w:val="left"/>
            </w:pPr>
            <w:r>
              <w:t xml:space="preserve">Field</w:t>
            </w:r>
          </w:p>
        </w:tc>
        <w:tc>
          <w:tcPr/>
          <w:p>
            <w:pPr>
              <w:pStyle w:val="Compact"/>
              <w:jc w:val="left"/>
            </w:pPr>
            <w:r>
              <w:t xml:space="preserve">Value</w:t>
            </w:r>
          </w:p>
        </w:tc>
        <w:tc>
          <w:tcPr/>
          <w:p>
            <w:pPr>
              <w:pStyle w:val="Compact"/>
              <w:jc w:val="left"/>
            </w:pPr>
            <w:r>
              <w:t xml:space="preserve">Label</w:t>
            </w:r>
          </w:p>
        </w:tc>
        <w:tc>
          <w:tcPr/>
          <w:p>
            <w:pPr>
              <w:pStyle w:val="Compact"/>
              <w:jc w:val="left"/>
            </w:pPr>
            <w:r>
              <w:t xml:space="preserve">Sources</w:t>
            </w:r>
          </w:p>
        </w:tc>
      </w:tr>
      <w:tr>
        <w:tc>
          <w:tcPr/>
          <w:p>
            <w:pPr>
              <w:pStyle w:val="Compact"/>
              <w:jc w:val="left"/>
            </w:pPr>
            <w:r>
              <w:t xml:space="preserve">Company</w:t>
            </w:r>
          </w:p>
        </w:tc>
        <w:tc>
          <w:tcPr/>
          <w:p>
            <w:pPr>
              <w:pStyle w:val="Compact"/>
              <w:jc w:val="left"/>
            </w:pPr>
            <w:r>
              <w:t xml:space="preserve">LM Studio</w:t>
            </w:r>
          </w:p>
        </w:tc>
        <w:tc>
          <w:tcPr/>
          <w:p>
            <w:pPr>
              <w:pStyle w:val="Compact"/>
              <w:jc w:val="left"/>
            </w:pPr>
            <w:r>
              <w:t xml:space="preserve">Verified fact</w:t>
            </w:r>
          </w:p>
        </w:tc>
        <w:tc>
          <w:tcPr/>
          <w:p>
            <w:pPr>
              <w:pStyle w:val="Compact"/>
              <w:jc w:val="left"/>
            </w:pPr>
            <w:r>
              <w:t xml:space="preserve">A4-S088</w:t>
            </w:r>
          </w:p>
        </w:tc>
      </w:tr>
      <w:tr>
        <w:tc>
          <w:tcPr/>
          <w:p>
            <w:pPr>
              <w:pStyle w:val="Compact"/>
              <w:jc w:val="left"/>
            </w:pPr>
            <w:r>
              <w:t xml:space="preserve">Category</w:t>
            </w:r>
          </w:p>
        </w:tc>
        <w:tc>
          <w:tcPr/>
          <w:p>
            <w:pPr>
              <w:pStyle w:val="Compact"/>
              <w:jc w:val="left"/>
            </w:pPr>
            <w:r>
              <w:t xml:space="preserve">Desktop application for running local models, with a local API server</w:t>
            </w:r>
          </w:p>
        </w:tc>
        <w:tc>
          <w:tcPr/>
          <w:p>
            <w:pPr>
              <w:pStyle w:val="Compact"/>
              <w:jc w:val="left"/>
            </w:pPr>
            <w:r>
              <w:t xml:space="preserve">Verified fact</w:t>
            </w:r>
          </w:p>
        </w:tc>
        <w:tc>
          <w:tcPr/>
          <w:p>
            <w:pPr>
              <w:pStyle w:val="Compact"/>
              <w:jc w:val="left"/>
            </w:pPr>
            <w:r>
              <w:t xml:space="preserve">A4-S087</w:t>
            </w:r>
          </w:p>
        </w:tc>
      </w:tr>
      <w:tr>
        <w:tc>
          <w:tcPr/>
          <w:p>
            <w:pPr>
              <w:pStyle w:val="Compact"/>
              <w:jc w:val="left"/>
            </w:pPr>
            <w:r>
              <w:t xml:space="preserve">Version / lineup</w:t>
            </w:r>
          </w:p>
        </w:tc>
        <w:tc>
          <w:tcPr/>
          <w:p>
            <w:pPr>
              <w:pStyle w:val="Compact"/>
              <w:jc w:val="left"/>
            </w:pPr>
            <w:r>
              <w:t xml:space="preserve">lmstudio Python SDK 1.5.0 (22 August 2025); lms CLI ships with LM Studio 0.2.22 and newer; desktop app version not retrieved</w:t>
            </w:r>
          </w:p>
        </w:tc>
        <w:tc>
          <w:tcPr/>
          <w:p>
            <w:pPr>
              <w:pStyle w:val="Compact"/>
              <w:jc w:val="left"/>
            </w:pPr>
            <w:r>
              <w:t xml:space="preserve">Verified fact</w:t>
            </w:r>
          </w:p>
        </w:tc>
        <w:tc>
          <w:tcPr/>
          <w:p>
            <w:pPr>
              <w:pStyle w:val="Compact"/>
              <w:jc w:val="left"/>
            </w:pPr>
            <w:r>
              <w:t xml:space="preserve">A4-S016, A4-S087</w:t>
            </w:r>
          </w:p>
        </w:tc>
      </w:tr>
      <w:tr>
        <w:tc>
          <w:tcPr/>
          <w:p>
            <w:pPr>
              <w:pStyle w:val="Compact"/>
              <w:jc w:val="left"/>
            </w:pPr>
            <w:r>
              <w:t xml:space="preserve">Licence</w:t>
            </w:r>
          </w:p>
        </w:tc>
        <w:tc>
          <w:tcPr/>
          <w:p>
            <w:pPr>
              <w:pStyle w:val="Compact"/>
              <w:jc w:val="left"/>
            </w:pPr>
            <w:r>
              <w:t xml:space="preserve">Desktop app proprietary (App Terms of Service): licensed for personal and/or internal business use, free at work without a separate commercial licence; prohibits modification, redistribution, sublicensing, offering as a service, reverse engineering. lms CLI MIT</w:t>
            </w:r>
          </w:p>
        </w:tc>
        <w:tc>
          <w:tcPr/>
          <w:p>
            <w:pPr>
              <w:pStyle w:val="Compact"/>
              <w:jc w:val="left"/>
            </w:pPr>
            <w:r>
              <w:t xml:space="preserve">Verified fact</w:t>
            </w:r>
          </w:p>
        </w:tc>
        <w:tc>
          <w:tcPr/>
          <w:p>
            <w:pPr>
              <w:pStyle w:val="Compact"/>
              <w:jc w:val="left"/>
            </w:pPr>
            <w:r>
              <w:t xml:space="preserve">A4-S145, A4-S088, V1-S076</w:t>
            </w:r>
          </w:p>
        </w:tc>
      </w:tr>
      <w:tr>
        <w:tc>
          <w:tcPr/>
          <w:p>
            <w:pPr>
              <w:pStyle w:val="Compact"/>
              <w:jc w:val="left"/>
            </w:pPr>
            <w:r>
              <w:t xml:space="preserve">Status events</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Strategic direction</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What it does</w:t>
            </w:r>
          </w:p>
        </w:tc>
        <w:tc>
          <w:tcPr/>
          <w:p>
            <w:pPr>
              <w:pStyle w:val="Compact"/>
              <w:jc w:val="left"/>
            </w:pPr>
            <w:r>
              <w:t xml:space="preserve">Downloads and runs models locally; lms CLI starts/stops the local API server and lists models; SDKs allow programmatic access.</w:t>
            </w:r>
          </w:p>
        </w:tc>
        <w:tc>
          <w:tcPr/>
          <w:p>
            <w:pPr>
              <w:pStyle w:val="Compact"/>
              <w:jc w:val="left"/>
            </w:pPr>
            <w:r>
              <w:t xml:space="preserve">Verified fact</w:t>
            </w:r>
          </w:p>
        </w:tc>
        <w:tc>
          <w:tcPr/>
          <w:p>
            <w:pPr>
              <w:pStyle w:val="Compact"/>
              <w:jc w:val="left"/>
            </w:pPr>
            <w:r>
              <w:t xml:space="preserve">A4-S087, A4-S016</w:t>
            </w:r>
          </w:p>
        </w:tc>
      </w:tr>
      <w:tr>
        <w:tc>
          <w:tcPr/>
          <w:p>
            <w:pPr>
              <w:pStyle w:val="Compact"/>
              <w:jc w:val="left"/>
            </w:pPr>
            <w:r>
              <w:t xml:space="preserve">Stack position</w:t>
            </w:r>
          </w:p>
        </w:tc>
        <w:tc>
          <w:tcPr/>
          <w:p>
            <w:pPr>
              <w:pStyle w:val="Compact"/>
              <w:jc w:val="left"/>
            </w:pPr>
            <w:r>
              <w:t xml:space="preserve">Developer-desktop runtime (L2); not a production serving tier</w:t>
            </w:r>
          </w:p>
        </w:tc>
        <w:tc>
          <w:tcPr/>
          <w:p>
            <w:pPr>
              <w:pStyle w:val="Compact"/>
              <w:jc w:val="left"/>
            </w:pPr>
            <w:r>
              <w:t xml:space="preserve">Architectural judgement</w:t>
            </w:r>
          </w:p>
        </w:tc>
        <w:tc>
          <w:tcPr/>
          <w:p>
            <w:pPr>
              <w:pStyle w:val="Compact"/>
            </w:pPr>
          </w:p>
        </w:tc>
      </w:tr>
      <w:tr>
        <w:tc>
          <w:tcPr/>
          <w:p>
            <w:pPr>
              <w:pStyle w:val="Compact"/>
              <w:jc w:val="left"/>
            </w:pPr>
            <w:r>
              <w:t xml:space="preserve">Integration</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Dependencies</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Certifications</w:t>
            </w:r>
          </w:p>
        </w:tc>
        <w:tc>
          <w:tcPr/>
          <w:p>
            <w:pPr>
              <w:pStyle w:val="Compact"/>
              <w:jc w:val="left"/>
            </w:pPr>
            <w:r>
              <w:t xml:space="preserve">Not applicable (desktop software)</w:t>
            </w:r>
          </w:p>
        </w:tc>
        <w:tc>
          <w:tcPr/>
          <w:p>
            <w:pPr>
              <w:pStyle w:val="Compact"/>
              <w:jc w:val="left"/>
            </w:pPr>
            <w:r>
              <w:t xml:space="preserve">Architectural judgement</w:t>
            </w:r>
          </w:p>
        </w:tc>
        <w:tc>
          <w:tcPr/>
          <w:p>
            <w:pPr>
              <w:pStyle w:val="Compact"/>
            </w:pPr>
          </w:p>
        </w:tc>
      </w:tr>
      <w:tr>
        <w:tc>
          <w:tcPr/>
          <w:p>
            <w:pPr>
              <w:pStyle w:val="Compact"/>
              <w:jc w:val="left"/>
            </w:pPr>
            <w:r>
              <w:t xml:space="preserve">GDPR / residency</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Security features</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Access controls</w:t>
            </w:r>
          </w:p>
        </w:tc>
        <w:tc>
          <w:tcPr/>
          <w:p>
            <w:pPr>
              <w:pStyle w:val="Compact"/>
              <w:jc w:val="left"/>
            </w:pPr>
            <w:r>
              <w:t xml:space="preserve">SSO and model/MCP gating on paid Enterprise plan</w:t>
            </w:r>
          </w:p>
        </w:tc>
        <w:tc>
          <w:tcPr/>
          <w:p>
            <w:pPr>
              <w:pStyle w:val="Compact"/>
              <w:jc w:val="left"/>
            </w:pPr>
            <w:r>
              <w:t xml:space="preserve">Verified fact</w:t>
            </w:r>
          </w:p>
        </w:tc>
        <w:tc>
          <w:tcPr/>
          <w:p>
            <w:pPr>
              <w:pStyle w:val="Compact"/>
              <w:jc w:val="left"/>
            </w:pPr>
            <w:r>
              <w:t xml:space="preserve">A4-S145</w:t>
            </w:r>
          </w:p>
        </w:tc>
      </w:tr>
      <w:tr>
        <w:tc>
          <w:tcPr/>
          <w:p>
            <w:pPr>
              <w:pStyle w:val="Compact"/>
              <w:jc w:val="left"/>
            </w:pPr>
            <w:r>
              <w:t xml:space="preserve">Enterprise support</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Pricing</w:t>
            </w:r>
          </w:p>
        </w:tc>
        <w:tc>
          <w:tcPr/>
          <w:p>
            <w:pPr>
              <w:pStyle w:val="Compact"/>
              <w:jc w:val="left"/>
            </w:pPr>
            <w:r>
              <w:t xml:space="preserve">Free for personal and internal work use; paid Enterprise plan for SSO and model/MCP gating; LM Link free during preview</w:t>
            </w:r>
          </w:p>
        </w:tc>
        <w:tc>
          <w:tcPr/>
          <w:p>
            <w:pPr>
              <w:pStyle w:val="Compact"/>
              <w:jc w:val="left"/>
            </w:pPr>
            <w:r>
              <w:t xml:space="preserve">Verified fact</w:t>
            </w:r>
          </w:p>
        </w:tc>
        <w:tc>
          <w:tcPr/>
          <w:p>
            <w:pPr>
              <w:pStyle w:val="Compact"/>
              <w:jc w:val="left"/>
            </w:pPr>
            <w:r>
              <w:t xml:space="preserve">A4-S145</w:t>
            </w:r>
          </w:p>
        </w:tc>
      </w:tr>
      <w:tr>
        <w:tc>
          <w:tcPr/>
          <w:p>
            <w:pPr>
              <w:pStyle w:val="Compact"/>
              <w:jc w:val="left"/>
            </w:pPr>
            <w:r>
              <w:t xml:space="preserve">Infrastructure cost</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Ecosystem</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Adoption signals</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Maturity</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Deployment</w:t>
            </w:r>
          </w:p>
        </w:tc>
        <w:tc>
          <w:tcPr/>
          <w:p>
            <w:pPr>
              <w:pStyle w:val="Compact"/>
              <w:jc w:val="left"/>
            </w:pPr>
            <w:r>
              <w:t xml:space="preserve">saas: No; managed_cloud: No; vpc_byoc: No; private_cloud: Not publicly verified; self_hosted: Yes; on_prem: Yes</w:t>
            </w:r>
          </w:p>
        </w:tc>
        <w:tc>
          <w:tcPr/>
          <w:p>
            <w:pPr>
              <w:pStyle w:val="Compact"/>
            </w:pPr>
          </w:p>
        </w:tc>
        <w:tc>
          <w:tcPr/>
          <w:p>
            <w:pPr>
              <w:pStyle w:val="Compact"/>
            </w:pPr>
          </w:p>
        </w:tc>
      </w:tr>
    </w:tbl>
    <w:bookmarkEnd w:id="1497"/>
    <w:bookmarkEnd w:id="1498"/>
    <w:bookmarkStart w:id="1725" w:name="l1-foundation-models"/>
    <w:p>
      <w:pPr>
        <w:pStyle w:val="Heading1"/>
      </w:pPr>
      <w:r>
        <w:t xml:space="preserve">L1: Foundation models</w:t>
      </w:r>
    </w:p>
    <w:bookmarkStart w:id="1521" w:name="X73851da263cf7cbd072b88c27d3ee1c2795b48b"/>
    <w:p>
      <w:pPr>
        <w:pStyle w:val="Heading2"/>
      </w:pPr>
      <w:r>
        <w:t xml:space="preserve">OpenAI GPT model family (GPT-6: Astra, Sol, Luna; GPT-6.1 Sol), plus GPT-5.6 Sol/Terra/Luna and open-weight gpt-oss (</w:t>
      </w:r>
      <w:r>
        <w:rPr>
          <w:rStyle w:val="VerbatimChar"/>
        </w:rPr>
        <w:t xml:space="preserve">L1-openai</w:t>
      </w:r>
      <w:r>
        <w:t xml:space="preserve">)</w:t>
      </w:r>
    </w:p>
    <w:p>
      <w:pPr>
        <w:pStyle w:val="FirstParagraph"/>
      </w:pPr>
      <w:r>
        <w:rPr>
          <w:bCs/>
          <w:b/>
        </w:rPr>
        <w:t xml:space="preserve">Tier:</w:t>
      </w:r>
      <w:r>
        <w:t xml:space="preserve"> </w:t>
      </w:r>
      <w:r>
        <w:t xml:space="preserve">Strategic ·</w:t>
      </w:r>
      <w:r>
        <w:t xml:space="preserve"> </w:t>
      </w:r>
      <w:r>
        <w:rPr>
          <w:bCs/>
          <w:b/>
        </w:rPr>
        <w:t xml:space="preserve">Flags:</w:t>
      </w:r>
      <w:r>
        <w:t xml:space="preserve"> </w:t>
      </w:r>
      <w:r>
        <w:t xml:space="preserve">none ·</w:t>
      </w:r>
      <w:r>
        <w:t xml:space="preserve"> </w:t>
      </w:r>
      <w:r>
        <w:rPr>
          <w:bCs/>
          <w:b/>
        </w:rPr>
        <w:t xml:space="preserve">Original graphic label:</w:t>
      </w:r>
      <w:r>
        <w:t xml:space="preserve"> </w:t>
      </w:r>
      <w:r>
        <w:t xml:space="preserve">OpenAI – GPT-6</w:t>
      </w:r>
    </w:p>
    <w:p>
      <w:pPr>
        <w:pStyle w:val="BodyText"/>
      </w:pPr>
      <w:r>
        <w:rPr>
          <w:iCs/>
          <w:i/>
        </w:rPr>
        <w:t xml:space="preserve">Rationale:</w:t>
      </w:r>
      <w:r>
        <w:t xml:space="preserve"> </w:t>
      </w:r>
      <w:r>
        <w:t xml:space="preserve">Broadest evidenced lineup, two hyperscaler routes plus first-party EU processing, product-scoped SOC 2 and ISO 27001; concentration is managed by pairing with a second vendor, not by avoiding OpenAI</w:t>
      </w:r>
      <w:r>
        <w:t xml:space="preserve"> </w:t>
      </w:r>
      <w:r>
        <w:rPr>
          <w:rStyle w:val="ClaimLabel"/>
        </w:rPr>
        <w:t xml:space="preserve">AJ</w:t>
      </w:r>
      <w:r>
        <w:t xml:space="preserve">.</w:t>
      </w:r>
    </w:p>
    <w:tbl>
      <w:tblPr>
        <w:tblStyle w:val="Table"/>
        <w:tblW w:type="pct" w:w="5000"/>
        <w:tblLook w:firstRow="1" w:lastRow="0" w:firstColumn="0" w:lastColumn="0" w:noHBand="0" w:noVBand="0" w:val="0020"/>
        <w:jc w:val="start"/>
      </w:tblPr>
      <w:tblGrid>
        <w:gridCol w:w="1545"/>
        <w:gridCol w:w="579"/>
        <w:gridCol w:w="5795"/>
      </w:tblGrid>
      <w:tr>
        <w:trPr>
          <w:tblHeader w:val="true"/>
        </w:trPr>
        <w:tc>
          <w:tcPr/>
          <w:p>
            <w:pPr>
              <w:pStyle w:val="Compact"/>
              <w:jc w:val="left"/>
            </w:pPr>
            <w:r>
              <w:t xml:space="preserve">Criterion</w:t>
            </w:r>
          </w:p>
        </w:tc>
        <w:tc>
          <w:tcPr/>
          <w:p>
            <w:pPr>
              <w:pStyle w:val="Compact"/>
              <w:jc w:val="right"/>
            </w:pPr>
            <w:r>
              <w:t xml:space="preserve">Score</w:t>
            </w:r>
          </w:p>
        </w:tc>
        <w:tc>
          <w:tcPr/>
          <w:p>
            <w:pPr>
              <w:pStyle w:val="Compact"/>
              <w:jc w:val="left"/>
            </w:pPr>
            <w:r>
              <w:t xml:space="preserve">Rationale</w:t>
            </w:r>
          </w:p>
        </w:tc>
      </w:tr>
      <w:tr>
        <w:tc>
          <w:tcPr/>
          <w:p>
            <w:pPr>
              <w:pStyle w:val="Compact"/>
              <w:jc w:val="left"/>
            </w:pPr>
            <w:r>
              <w:t xml:space="preserve">Technical</w:t>
            </w:r>
          </w:p>
        </w:tc>
        <w:tc>
          <w:tcPr/>
          <w:p>
            <w:pPr>
              <w:pStyle w:val="Compact"/>
              <w:jc w:val="right"/>
            </w:pPr>
            <w:r>
              <w:t xml:space="preserve">5</w:t>
            </w:r>
          </w:p>
        </w:tc>
        <w:tc>
          <w:tcPr/>
          <w:p>
            <w:pPr>
              <w:pStyle w:val="Compact"/>
              <w:jc w:val="left"/>
            </w:pPr>
            <w:r>
              <w:t xml:space="preserve">Covers every plan §5 L1 question on primary evidence: frontier, mid and small tiers, reasoning, image input, coding, a specialist cyber line and Apache-2.0 open weights (A5-S002, A5-S005, A5-S008). Benchmarks not used.</w:t>
            </w:r>
          </w:p>
        </w:tc>
      </w:tr>
      <w:tr>
        <w:tc>
          <w:tcPr/>
          <w:p>
            <w:pPr>
              <w:pStyle w:val="Compact"/>
              <w:jc w:val="left"/>
            </w:pPr>
            <w:r>
              <w:t xml:space="preserve">Enterprise readiness</w:t>
            </w:r>
          </w:p>
        </w:tc>
        <w:tc>
          <w:tcPr/>
          <w:p>
            <w:pPr>
              <w:pStyle w:val="Compact"/>
              <w:jc w:val="right"/>
            </w:pPr>
            <w:r>
              <w:t xml:space="preserve">4</w:t>
            </w:r>
          </w:p>
        </w:tc>
        <w:tc>
          <w:tcPr/>
          <w:p>
            <w:pPr>
              <w:pStyle w:val="Compact"/>
              <w:jc w:val="left"/>
            </w:pPr>
            <w:r>
              <w:t xml:space="preserve">First-party SSO/RBAC/audit and support terms are NPV; GPT-6 is consumed in-tenant through Bedrock and Foundry, so the hyperscaler presumption gives 4 (rule 6). Platform controls presumed (CP2 Q1); confirm per service.</w:t>
            </w:r>
          </w:p>
        </w:tc>
      </w:tr>
      <w:tr>
        <w:tc>
          <w:tcPr/>
          <w:p>
            <w:pPr>
              <w:pStyle w:val="Compact"/>
              <w:jc w:val="left"/>
            </w:pPr>
            <w:r>
              <w:t xml:space="preserve">Security and compliance</w:t>
            </w:r>
          </w:p>
        </w:tc>
        <w:tc>
          <w:tcPr/>
          <w:p>
            <w:pPr>
              <w:pStyle w:val="Compact"/>
              <w:jc w:val="right"/>
            </w:pPr>
            <w:r>
              <w:t xml:space="preserve">4</w:t>
            </w:r>
          </w:p>
        </w:tc>
        <w:tc>
          <w:tcPr/>
          <w:p>
            <w:pPr>
              <w:pStyle w:val="Compact"/>
              <w:jc w:val="left"/>
            </w:pPr>
            <w:r>
              <w:t xml:space="preserve">SOC 2 Type 2 and ISO 27001 within API scope, ZDR and first-party EU residency (A5-S006, A5-S007, V2-S062); not 5 because ISO 42001 scope does not name the API and CMK is not verified (rule 8).</w:t>
            </w:r>
          </w:p>
        </w:tc>
      </w:tr>
      <w:tr>
        <w:tc>
          <w:tcPr/>
          <w:p>
            <w:pPr>
              <w:pStyle w:val="Compact"/>
              <w:jc w:val="left"/>
            </w:pPr>
            <w:r>
              <w:t xml:space="preserve">Deployment flexibility</w:t>
            </w:r>
          </w:p>
        </w:tc>
        <w:tc>
          <w:tcPr/>
          <w:p>
            <w:pPr>
              <w:pStyle w:val="Compact"/>
              <w:jc w:val="right"/>
            </w:pPr>
            <w:r>
              <w:t xml:space="preserve">4</w:t>
            </w:r>
          </w:p>
        </w:tc>
        <w:tc>
          <w:tcPr/>
          <w:p>
            <w:pPr>
              <w:pStyle w:val="Compact"/>
              <w:jc w:val="left"/>
            </w:pPr>
            <w:r>
              <w:t xml:space="preserve">First-party SaaS (US, EU, UK-storage endpoints), Bedrock, Foundry, and self-hosted/air-gapped gpt-oss; 4 not 5 because the frontier tiers cannot be self-hosted and gpt-oss dates from August 2025.</w:t>
            </w:r>
          </w:p>
        </w:tc>
      </w:tr>
      <w:tr>
        <w:tc>
          <w:tcPr/>
          <w:p>
            <w:pPr>
              <w:pStyle w:val="Compact"/>
              <w:jc w:val="left"/>
            </w:pPr>
            <w:r>
              <w:t xml:space="preserve">Ecosystem</w:t>
            </w:r>
          </w:p>
        </w:tc>
        <w:tc>
          <w:tcPr/>
          <w:p>
            <w:pPr>
              <w:pStyle w:val="Compact"/>
              <w:jc w:val="right"/>
            </w:pPr>
            <w:r>
              <w:t xml:space="preserve">5</w:t>
            </w:r>
          </w:p>
        </w:tc>
        <w:tc>
          <w:tcPr/>
          <w:p>
            <w:pPr>
              <w:pStyle w:val="Compact"/>
              <w:jc w:val="left"/>
            </w:pPr>
            <w:r>
              <w:t xml:space="preserve">The OpenAI API shape is the de facto interface: other vendors publish OpenAI-compatible endpoints (A5-S010, A5-S077, A5-S038); official SDKs; two hyperscalers.</w:t>
            </w:r>
          </w:p>
        </w:tc>
      </w:tr>
      <w:tr>
        <w:tc>
          <w:tcPr/>
          <w:p>
            <w:pPr>
              <w:pStyle w:val="Compact"/>
              <w:jc w:val="left"/>
            </w:pPr>
            <w:r>
              <w:t xml:space="preserve">Reliability and maturity</w:t>
            </w:r>
          </w:p>
        </w:tc>
        <w:tc>
          <w:tcPr/>
          <w:p>
            <w:pPr>
              <w:pStyle w:val="Compact"/>
              <w:jc w:val="right"/>
            </w:pPr>
            <w:r>
              <w:t xml:space="preserve">4</w:t>
            </w:r>
          </w:p>
        </w:tc>
        <w:tc>
          <w:tcPr/>
          <w:p>
            <w:pPr>
              <w:pStyle w:val="Compact"/>
              <w:jc w:val="left"/>
            </w:pPr>
            <w:r>
              <w:t xml:space="preserve">Years of production use and a published deprecation policy (B-L1-S001); fast tier churn (GPT-5.6 in July, GPT-6 in September 2026) and the Astra GA conflict keep it at 4.</w:t>
            </w:r>
          </w:p>
        </w:tc>
      </w:tr>
      <w:tr>
        <w:tc>
          <w:tcPr/>
          <w:p>
            <w:pPr>
              <w:pStyle w:val="Compact"/>
              <w:jc w:val="left"/>
            </w:pPr>
            <w:r>
              <w:t xml:space="preserve">Cost / TCO</w:t>
            </w:r>
          </w:p>
        </w:tc>
        <w:tc>
          <w:tcPr/>
          <w:p>
            <w:pPr>
              <w:pStyle w:val="Compact"/>
              <w:jc w:val="right"/>
            </w:pPr>
            <w:r>
              <w:t xml:space="preserve">4</w:t>
            </w:r>
          </w:p>
        </w:tc>
        <w:tc>
          <w:tcPr/>
          <w:p>
            <w:pPr>
              <w:pStyle w:val="Compact"/>
              <w:jc w:val="left"/>
            </w:pPr>
            <w:r>
              <w:t xml:space="preserve">Transparent per-tier pricing (Luna US$0.10/US$0.50, Sol US$2/US$10, Astra US$10/US$50 per 1M) with 50% batch discount (A5-S004); competitive, not uniquely efficient.</w:t>
            </w:r>
          </w:p>
        </w:tc>
      </w:tr>
      <w:tr>
        <w:tc>
          <w:tcPr/>
          <w:p>
            <w:pPr>
              <w:pStyle w:val="Compact"/>
              <w:jc w:val="left"/>
            </w:pPr>
            <w:r>
              <w:t xml:space="preserve">Lock-in / portability</w:t>
            </w:r>
          </w:p>
        </w:tc>
        <w:tc>
          <w:tcPr/>
          <w:p>
            <w:pPr>
              <w:pStyle w:val="Compact"/>
              <w:jc w:val="right"/>
            </w:pPr>
            <w:r>
              <w:t xml:space="preserve">3</w:t>
            </w:r>
          </w:p>
        </w:tc>
        <w:tc>
          <w:tcPr/>
          <w:p>
            <w:pPr>
              <w:pStyle w:val="Compact"/>
              <w:jc w:val="left"/>
            </w:pPr>
            <w:r>
              <w:t xml:space="preserve">Proprietary frontier API on a de facto standard interface, on two non-OpenAI clouds, with Apache-2.0 gpt-oss as a portability option.</w:t>
            </w:r>
          </w:p>
        </w:tc>
      </w:tr>
      <w:tr>
        <w:tc>
          <w:tcPr/>
          <w:p>
            <w:pPr>
              <w:pStyle w:val="Compact"/>
              <w:jc w:val="left"/>
            </w:pPr>
            <w:r>
              <w:rPr>
                <w:bCs/>
                <w:b/>
              </w:rPr>
              <w:t xml:space="preserve">Total (generic / FS)</w:t>
            </w:r>
          </w:p>
        </w:tc>
        <w:tc>
          <w:tcPr/>
          <w:p>
            <w:pPr>
              <w:pStyle w:val="Compact"/>
              <w:jc w:val="right"/>
            </w:pPr>
            <w:r>
              <w:rPr>
                <w:bCs/>
                <w:b/>
              </w:rPr>
              <w:t xml:space="preserve">4.25 / 4.05</w:t>
            </w:r>
          </w:p>
        </w:tc>
        <w:tc>
          <w:tcPr/>
          <w:p>
            <w:pPr>
              <w:pStyle w:val="Compact"/>
            </w:pPr>
          </w:p>
        </w:tc>
      </w:tr>
    </w:tbl>
    <w:p>
      <w:pPr>
        <w:pStyle w:val="BodyText"/>
      </w:pPr>
      <w:r>
        <w:rPr>
          <w:bCs/>
          <w:b/>
        </w:rPr>
        <w:t xml:space="preserve">Capabilities.</w:t>
      </w:r>
      <w:r>
        <w:t xml:space="preserve"> </w:t>
      </w:r>
      <w:r>
        <w:t xml:space="preserve">Tiered proprietary family: GPT-6 Astra (gated flagship, introduced 3 September 2026), GPT-6 Sol and Luna (22 September 2026), GPT-6.1 Sol (29 September 2026), with GPT-5.6 Sol/Terra/Luna still offered; all GPT-6 tiers are reasoning models with text and image input; Daybreak cyber models in limited availability on Bedrock; open-weight gpt-oss-120b/20b under Apache 2.0 (August 2025)</w:t>
      </w:r>
      <w:r>
        <w:t xml:space="preserve"> </w:t>
      </w:r>
      <w:r>
        <w:rPr>
          <w:rStyle w:val="ClaimLabel"/>
        </w:rPr>
        <w:t xml:space="preserve">VF</w:t>
      </w:r>
      <w:r>
        <w:rPr>
          <w:rStyle w:val="FootnoteReference"/>
        </w:rPr>
        <w:footnoteReference w:id="1499"/>
      </w:r>
      <w:r>
        <w:t xml:space="preserve">.</w:t>
      </w:r>
    </w:p>
    <w:p>
      <w:pPr>
        <w:pStyle w:val="BodyText"/>
      </w:pPr>
      <w:r>
        <w:rPr>
          <w:bCs/>
          <w:b/>
        </w:rPr>
        <w:t xml:space="preserve">Strengths</w:t>
      </w:r>
    </w:p>
    <w:p>
      <w:pPr>
        <w:numPr>
          <w:ilvl w:val="0"/>
          <w:numId w:val="1321"/>
        </w:numPr>
        <w:pStyle w:val="Compact"/>
      </w:pPr>
      <w:r>
        <w:t xml:space="preserve">Complete tier ladder (frontier, mid, small) plus Apache-2.0 open weights, so one vendor covers every portfolio tier except sovereign self-hosted frontier</w:t>
      </w:r>
      <w:r>
        <w:t xml:space="preserve"> </w:t>
      </w:r>
      <w:r>
        <w:rPr>
          <w:rStyle w:val="ClaimLabel"/>
        </w:rPr>
        <w:t xml:space="preserve">VF</w:t>
      </w:r>
      <w:r>
        <w:rPr>
          <w:rStyle w:val="FootnoteReference"/>
        </w:rPr>
        <w:footnoteReference w:id="1507"/>
      </w:r>
      <w:r>
        <w:t xml:space="preserve"> </w:t>
      </w:r>
      <w:r>
        <w:rPr>
          <w:rStyle w:val="ClaimLabel"/>
        </w:rPr>
        <w:t xml:space="preserve">AJ</w:t>
      </w:r>
    </w:p>
    <w:p>
      <w:pPr>
        <w:numPr>
          <w:ilvl w:val="0"/>
          <w:numId w:val="1321"/>
        </w:numPr>
        <w:pStyle w:val="Compact"/>
      </w:pPr>
      <w:r>
        <w:t xml:space="preserve">Available on AWS Bedrock and Microsoft Foundry as well as the first-party API, including EU Data Zone deployments on Foundry</w:t>
      </w:r>
      <w:r>
        <w:t xml:space="preserve"> </w:t>
      </w:r>
      <w:r>
        <w:rPr>
          <w:rStyle w:val="ClaimLabel"/>
        </w:rPr>
        <w:t xml:space="preserve">VF</w:t>
      </w:r>
      <w:r>
        <w:rPr>
          <w:rStyle w:val="FootnoteReference"/>
        </w:rPr>
        <w:footnoteReference w:id="1508"/>
      </w:r>
    </w:p>
    <w:p>
      <w:pPr>
        <w:numPr>
          <w:ilvl w:val="0"/>
          <w:numId w:val="1321"/>
        </w:numPr>
        <w:pStyle w:val="Compact"/>
      </w:pPr>
      <w:r>
        <w:t xml:space="preserve">First-party EU residency: eu.api.openai.com stores and processes in region (new projects, with Modified Abuse Monitoring or ZDR)</w:t>
      </w:r>
      <w:r>
        <w:t xml:space="preserve"> </w:t>
      </w:r>
      <w:r>
        <w:rPr>
          <w:rStyle w:val="ClaimLabel"/>
        </w:rPr>
        <w:t xml:space="preserve">VF</w:t>
      </w:r>
      <w:r>
        <w:rPr>
          <w:rStyle w:val="FootnoteReference"/>
        </w:rPr>
        <w:footnoteReference w:id="1509"/>
      </w:r>
    </w:p>
    <w:p>
      <w:pPr>
        <w:numPr>
          <w:ilvl w:val="0"/>
          <w:numId w:val="1321"/>
        </w:numPr>
        <w:pStyle w:val="Compact"/>
      </w:pPr>
      <w:r>
        <w:t xml:space="preserve">SOC 2 Type 2 for the API Platform and ISO/IEC 27001, 27017, 27018, 27701 covering the API</w:t>
      </w:r>
      <w:r>
        <w:t xml:space="preserve"> </w:t>
      </w:r>
      <w:r>
        <w:rPr>
          <w:rStyle w:val="ClaimLabel"/>
        </w:rPr>
        <w:t xml:space="preserve">VF</w:t>
      </w:r>
      <w:r>
        <w:rPr>
          <w:rStyle w:val="FootnoteReference"/>
        </w:rPr>
        <w:footnoteReference w:id="1510"/>
      </w:r>
    </w:p>
    <w:p>
      <w:pPr>
        <w:numPr>
          <w:ilvl w:val="0"/>
          <w:numId w:val="1321"/>
        </w:numPr>
        <w:pStyle w:val="Compact"/>
      </w:pPr>
      <w:r>
        <w:t xml:space="preserve">Published deprecation notice policy: at least 6 months for GA models, at least 3 months for specialised variants</w:t>
      </w:r>
      <w:r>
        <w:t xml:space="preserve"> </w:t>
      </w:r>
      <w:r>
        <w:rPr>
          <w:rStyle w:val="ClaimLabel"/>
        </w:rPr>
        <w:t xml:space="preserve">VF</w:t>
      </w:r>
      <w:r>
        <w:rPr>
          <w:rStyle w:val="FootnoteReference"/>
        </w:rPr>
        <w:footnoteReference w:id="1512"/>
      </w:r>
    </w:p>
    <w:p>
      <w:pPr>
        <w:pStyle w:val="FirstParagraph"/>
      </w:pPr>
      <w:r>
        <w:rPr>
          <w:bCs/>
          <w:b/>
        </w:rPr>
        <w:t xml:space="preserve">Limitations and risks</w:t>
      </w:r>
    </w:p>
    <w:p>
      <w:pPr>
        <w:numPr>
          <w:ilvl w:val="0"/>
          <w:numId w:val="1322"/>
        </w:numPr>
        <w:pStyle w:val="Compact"/>
      </w:pPr>
      <w:r>
        <w:t xml:space="preserve">Frontier tiers are closed-weight and API-only; fine-tuning is not supported for Astra</w:t>
      </w:r>
      <w:r>
        <w:t xml:space="preserve"> </w:t>
      </w:r>
      <w:r>
        <w:rPr>
          <w:rStyle w:val="ClaimLabel"/>
        </w:rPr>
        <w:t xml:space="preserve">VF</w:t>
      </w:r>
      <w:r>
        <w:rPr>
          <w:rStyle w:val="FootnoteReference"/>
        </w:rPr>
        <w:footnoteReference w:id="1513"/>
      </w:r>
    </w:p>
    <w:p>
      <w:pPr>
        <w:numPr>
          <w:ilvl w:val="0"/>
          <w:numId w:val="1322"/>
        </w:numPr>
        <w:pStyle w:val="Compact"/>
      </w:pPr>
      <w:r>
        <w:t xml:space="preserve">Astra is gated (rated</w:t>
      </w:r>
      <w:r>
        <w:t xml:space="preserve"> </w:t>
      </w:r>
      <w:r>
        <w:t xml:space="preserve">‘</w:t>
      </w:r>
      <w:r>
        <w:t xml:space="preserve">Critical</w:t>
      </w:r>
      <w:r>
        <w:t xml:space="preserve">’</w:t>
      </w:r>
      <w:r>
        <w:t xml:space="preserve"> </w:t>
      </w:r>
      <w:r>
        <w:t xml:space="preserve">for cybersecurity; enterprise admins must enable it), and OpenAI said</w:t>
      </w:r>
      <w:r>
        <w:t xml:space="preserve"> </w:t>
      </w:r>
      <w:r>
        <w:t xml:space="preserve">‘</w:t>
      </w:r>
      <w:r>
        <w:t xml:space="preserve">not yet generally available</w:t>
      </w:r>
      <w:r>
        <w:t xml:space="preserve">’</w:t>
      </w:r>
      <w:r>
        <w:t xml:space="preserve"> </w:t>
      </w:r>
      <w:r>
        <w:t xml:space="preserve">while AWS lists it GA on Bedrock</w:t>
      </w:r>
      <w:r>
        <w:t xml:space="preserve"> </w:t>
      </w:r>
      <w:r>
        <w:rPr>
          <w:rStyle w:val="ClaimLabel"/>
        </w:rPr>
        <w:t xml:space="preserve">VF</w:t>
      </w:r>
      <w:r>
        <w:rPr>
          <w:rStyle w:val="FootnoteReference"/>
        </w:rPr>
        <w:footnoteReference w:id="1514"/>
      </w:r>
    </w:p>
    <w:p>
      <w:pPr>
        <w:numPr>
          <w:ilvl w:val="0"/>
          <w:numId w:val="1322"/>
        </w:numPr>
        <w:pStyle w:val="Compact"/>
      </w:pPr>
      <w:r>
        <w:t xml:space="preserve">UK endpoint stores data in the UK but does not process there</w:t>
      </w:r>
      <w:r>
        <w:t xml:space="preserve"> </w:t>
      </w:r>
      <w:r>
        <w:rPr>
          <w:rStyle w:val="ClaimLabel"/>
        </w:rPr>
        <w:t xml:space="preserve">VF</w:t>
      </w:r>
      <w:r>
        <w:rPr>
          <w:rStyle w:val="FootnoteReference"/>
        </w:rPr>
        <w:footnoteReference w:id="1515"/>
      </w:r>
    </w:p>
    <w:p>
      <w:pPr>
        <w:numPr>
          <w:ilvl w:val="0"/>
          <w:numId w:val="1322"/>
        </w:numPr>
        <w:pStyle w:val="Compact"/>
      </w:pPr>
      <w:r>
        <w:t xml:space="preserve">Bedrock Astra is in-region only in us-east-1 and us-west-2</w:t>
      </w:r>
      <w:r>
        <w:t xml:space="preserve"> </w:t>
      </w:r>
      <w:r>
        <w:rPr>
          <w:rStyle w:val="ClaimLabel"/>
        </w:rPr>
        <w:t xml:space="preserve">VF</w:t>
      </w:r>
      <w:r>
        <w:rPr>
          <w:rStyle w:val="FootnoteReference"/>
        </w:rPr>
        <w:footnoteReference w:id="1516"/>
      </w:r>
    </w:p>
    <w:p>
      <w:pPr>
        <w:numPr>
          <w:ilvl w:val="0"/>
          <w:numId w:val="1322"/>
        </w:numPr>
        <w:pStyle w:val="Compact"/>
      </w:pPr>
      <w:r>
        <w:t xml:space="preserve">ISO/IEC 42001 scope wording does not name the API Platform; CMK and first-party SSO/SCIM/RBAC were not verified</w:t>
      </w:r>
      <w:r>
        <w:t xml:space="preserve"> </w:t>
      </w:r>
      <w:r>
        <w:rPr>
          <w:rStyle w:val="ClaimLabel"/>
        </w:rPr>
        <w:t xml:space="preserve">VF</w:t>
      </w:r>
      <w:r>
        <w:rPr>
          <w:rStyle w:val="FootnoteReference"/>
        </w:rPr>
        <w:footnoteReference w:id="1517"/>
      </w:r>
      <w:r>
        <w:t xml:space="preserve"> </w:t>
      </w:r>
      <w:r>
        <w:rPr>
          <w:rStyle w:val="ClaimLabel"/>
        </w:rPr>
        <w:t xml:space="preserve">NPV</w:t>
      </w:r>
    </w:p>
    <w:p>
      <w:pPr>
        <w:numPr>
          <w:ilvl w:val="0"/>
          <w:numId w:val="1322"/>
        </w:numPr>
        <w:pStyle w:val="Compact"/>
      </w:pPr>
      <w:r>
        <w:t xml:space="preserve">Preview models may be retired on about 2 weeks’ notice</w:t>
      </w:r>
      <w:r>
        <w:t xml:space="preserve"> </w:t>
      </w:r>
      <w:r>
        <w:rPr>
          <w:rStyle w:val="ClaimLabel"/>
        </w:rPr>
        <w:t xml:space="preserve">VF</w:t>
      </w:r>
      <w:r>
        <w:rPr>
          <w:rStyle w:val="FootnoteReference"/>
        </w:rPr>
        <w:footnoteReference w:id="1518"/>
      </w:r>
    </w:p>
    <w:p>
      <w:pPr>
        <w:numPr>
          <w:ilvl w:val="0"/>
          <w:numId w:val="1322"/>
        </w:numPr>
        <w:pStyle w:val="Compact"/>
      </w:pPr>
      <w:r>
        <w:t xml:space="preserve">Not on Google Cloud except gpt-oss</w:t>
      </w:r>
      <w:r>
        <w:t xml:space="preserve"> </w:t>
      </w:r>
      <w:r>
        <w:rPr>
          <w:rStyle w:val="ClaimLabel"/>
        </w:rPr>
        <w:t xml:space="preserve">VF</w:t>
      </w:r>
      <w:r>
        <w:rPr>
          <w:rStyle w:val="FootnoteReference"/>
        </w:rPr>
        <w:footnoteReference w:id="1519"/>
      </w:r>
    </w:p>
    <w:p>
      <w:pPr>
        <w:pStyle w:val="FirstParagraph"/>
      </w:pPr>
      <w:r>
        <w:rPr>
          <w:bCs/>
          <w:b/>
        </w:rPr>
        <w:t xml:space="preserve">Choose when</w:t>
      </w:r>
    </w:p>
    <w:p>
      <w:pPr>
        <w:numPr>
          <w:ilvl w:val="0"/>
          <w:numId w:val="1323"/>
        </w:numPr>
        <w:pStyle w:val="Compact"/>
      </w:pPr>
      <w:r>
        <w:t xml:space="preserve">You need a primary or fallback frontier vendor available in-tenant on Azure or AWS with a first-party EU residency option</w:t>
      </w:r>
      <w:r>
        <w:t xml:space="preserve"> </w:t>
      </w:r>
      <w:r>
        <w:rPr>
          <w:rStyle w:val="ClaimLabel"/>
        </w:rPr>
        <w:t xml:space="preserve">AJ</w:t>
      </w:r>
    </w:p>
    <w:p>
      <w:pPr>
        <w:numPr>
          <w:ilvl w:val="0"/>
          <w:numId w:val="1323"/>
        </w:numPr>
        <w:pStyle w:val="Compact"/>
      </w:pPr>
      <w:r>
        <w:t xml:space="preserve">You want one vendor relationship that also supplies a small classification tier (Luna) and a self-hostable open-weight model (gpt-oss)</w:t>
      </w:r>
      <w:r>
        <w:t xml:space="preserve"> </w:t>
      </w:r>
      <w:r>
        <w:rPr>
          <w:rStyle w:val="ClaimLabel"/>
        </w:rPr>
        <w:t xml:space="preserve">AJ</w:t>
      </w:r>
    </w:p>
    <w:p>
      <w:pPr>
        <w:pStyle w:val="FirstParagraph"/>
      </w:pPr>
      <w:r>
        <w:rPr>
          <w:bCs/>
          <w:b/>
        </w:rPr>
        <w:t xml:space="preserve">Avoid when</w:t>
      </w:r>
    </w:p>
    <w:p>
      <w:pPr>
        <w:numPr>
          <w:ilvl w:val="0"/>
          <w:numId w:val="1324"/>
        </w:numPr>
        <w:pStyle w:val="Compact"/>
      </w:pPr>
      <w:r>
        <w:t xml:space="preserve">Google Cloud is the only permitted cloud and you need GPT-6 tiers</w:t>
      </w:r>
      <w:r>
        <w:t xml:space="preserve"> </w:t>
      </w:r>
      <w:r>
        <w:rPr>
          <w:rStyle w:val="ClaimLabel"/>
        </w:rPr>
        <w:t xml:space="preserve">AJ</w:t>
      </w:r>
    </w:p>
    <w:p>
      <w:pPr>
        <w:numPr>
          <w:ilvl w:val="0"/>
          <w:numId w:val="1324"/>
        </w:numPr>
        <w:pStyle w:val="Compact"/>
      </w:pPr>
      <w:r>
        <w:t xml:space="preserve">You need UK in-country processing</w:t>
      </w:r>
      <w:r>
        <w:t xml:space="preserve"> </w:t>
      </w:r>
      <w:r>
        <w:rPr>
          <w:rStyle w:val="ClaimLabel"/>
        </w:rPr>
        <w:t xml:space="preserve">AJ</w:t>
      </w:r>
    </w:p>
    <w:p>
      <w:pPr>
        <w:numPr>
          <w:ilvl w:val="0"/>
          <w:numId w:val="1324"/>
        </w:numPr>
        <w:pStyle w:val="Compact"/>
      </w:pPr>
      <w:r>
        <w:t xml:space="preserve">You would use Promptfoo, now announced as part of OpenAI, as the only independent test of an OpenAI-based system</w:t>
      </w:r>
      <w:r>
        <w:t xml:space="preserve"> </w:t>
      </w:r>
      <w:r>
        <w:rPr>
          <w:rStyle w:val="ClaimLabel"/>
        </w:rPr>
        <w:t xml:space="preserve">AJ</w:t>
      </w:r>
    </w:p>
    <w:p>
      <w:pPr>
        <w:pStyle w:val="FirstParagraph"/>
      </w:pPr>
      <w:r>
        <w:rPr>
          <w:bCs/>
          <w:b/>
        </w:rPr>
        <w:t xml:space="preserve">Nearest competitors:</w:t>
      </w:r>
      <w:r>
        <w:t xml:space="preserve"> </w:t>
      </w:r>
      <w:r>
        <w:t xml:space="preserve">L1-anthropic, L1-google-gemini, L1-mistral</w:t>
      </w:r>
    </w:p>
    <w:p>
      <w:pPr>
        <w:pStyle w:val="BodyText"/>
      </w:pPr>
      <w:r>
        <w:rPr>
          <w:bCs/>
          <w:b/>
        </w:rPr>
        <w:t xml:space="preserve">Regulated-FS note.</w:t>
      </w:r>
      <w:r>
        <w:t xml:space="preserve"> </w:t>
      </w:r>
      <w:r>
        <w:t xml:space="preserve">Consume via Microsoft Foundry EU Data Zone or the EU first-party endpoint with ZDR or Modified Abuse Monitoring; pin dated snapshots, track the deprecations page, and keep a second vendor qualified as the SS2/21 exit route</w:t>
      </w:r>
      <w:r>
        <w:t xml:space="preserve"> </w:t>
      </w:r>
      <w:r>
        <w:rPr>
          <w:rStyle w:val="ClaimLabel"/>
        </w:rPr>
        <w:t xml:space="preserve">Rec</w:t>
      </w:r>
      <w:r>
        <w:t xml:space="preserve">.</w:t>
      </w:r>
    </w:p>
    <w:p>
      <w:pPr>
        <w:pStyle w:val="BodyText"/>
      </w:pPr>
      <w:r>
        <w:rPr>
          <w:bCs/>
          <w:b/>
        </w:rPr>
        <w:t xml:space="preserve">Facts (as of 2026-10-08)</w:t>
      </w:r>
    </w:p>
    <w:tbl>
      <w:tblPr>
        <w:tblStyle w:val="Table"/>
        <w:tblW w:type="pct" w:w="5000"/>
        <w:tblLook w:firstRow="1" w:lastRow="0" w:firstColumn="0" w:lastColumn="0" w:noHBand="0" w:noVBand="0" w:val="0020"/>
        <w:jc w:val="start"/>
      </w:tblPr>
      <w:tblGrid>
        <w:gridCol w:w="1485"/>
        <w:gridCol w:w="4290"/>
        <w:gridCol w:w="1320"/>
        <w:gridCol w:w="825"/>
      </w:tblGrid>
      <w:tr>
        <w:trPr>
          <w:tblHeader w:val="true"/>
        </w:trPr>
        <w:tc>
          <w:tcPr/>
          <w:p>
            <w:pPr>
              <w:pStyle w:val="Compact"/>
              <w:jc w:val="left"/>
            </w:pPr>
            <w:r>
              <w:t xml:space="preserve">Field</w:t>
            </w:r>
          </w:p>
        </w:tc>
        <w:tc>
          <w:tcPr/>
          <w:p>
            <w:pPr>
              <w:pStyle w:val="Compact"/>
              <w:jc w:val="left"/>
            </w:pPr>
            <w:r>
              <w:t xml:space="preserve">Value</w:t>
            </w:r>
          </w:p>
        </w:tc>
        <w:tc>
          <w:tcPr/>
          <w:p>
            <w:pPr>
              <w:pStyle w:val="Compact"/>
              <w:jc w:val="left"/>
            </w:pPr>
            <w:r>
              <w:t xml:space="preserve">Label</w:t>
            </w:r>
          </w:p>
        </w:tc>
        <w:tc>
          <w:tcPr/>
          <w:p>
            <w:pPr>
              <w:pStyle w:val="Compact"/>
              <w:jc w:val="left"/>
            </w:pPr>
            <w:r>
              <w:t xml:space="preserve">Sources</w:t>
            </w:r>
          </w:p>
        </w:tc>
      </w:tr>
      <w:tr>
        <w:tc>
          <w:tcPr/>
          <w:p>
            <w:pPr>
              <w:pStyle w:val="Compact"/>
              <w:jc w:val="left"/>
            </w:pPr>
            <w:r>
              <w:t xml:space="preserve">Company</w:t>
            </w:r>
          </w:p>
        </w:tc>
        <w:tc>
          <w:tcPr/>
          <w:p>
            <w:pPr>
              <w:pStyle w:val="Compact"/>
              <w:jc w:val="left"/>
            </w:pPr>
            <w:r>
              <w:t xml:space="preserve">OpenAI</w:t>
            </w:r>
          </w:p>
        </w:tc>
        <w:tc>
          <w:tcPr/>
          <w:p>
            <w:pPr>
              <w:pStyle w:val="Compact"/>
              <w:jc w:val="left"/>
            </w:pPr>
            <w:r>
              <w:t xml:space="preserve">Verified fact</w:t>
            </w:r>
          </w:p>
        </w:tc>
        <w:tc>
          <w:tcPr/>
          <w:p>
            <w:pPr>
              <w:pStyle w:val="Compact"/>
              <w:jc w:val="left"/>
            </w:pPr>
            <w:r>
              <w:t xml:space="preserve">A5-S047, A5-S002</w:t>
            </w:r>
          </w:p>
        </w:tc>
      </w:tr>
      <w:tr>
        <w:tc>
          <w:tcPr/>
          <w:p>
            <w:pPr>
              <w:pStyle w:val="Compact"/>
              <w:jc w:val="left"/>
            </w:pPr>
            <w:r>
              <w:t xml:space="preserve">Category</w:t>
            </w:r>
          </w:p>
        </w:tc>
        <w:tc>
          <w:tcPr/>
          <w:p>
            <w:pPr>
              <w:pStyle w:val="Compact"/>
              <w:jc w:val="left"/>
            </w:pPr>
            <w:r>
              <w:t xml:space="preserve">Frontier model vendor: proprietary API models (reasoning, multimodal input, coding) plus Apache-2.0 open-weight models</w:t>
            </w:r>
          </w:p>
        </w:tc>
        <w:tc>
          <w:tcPr/>
          <w:p>
            <w:pPr>
              <w:pStyle w:val="Compact"/>
              <w:jc w:val="left"/>
            </w:pPr>
            <w:r>
              <w:t xml:space="preserve">Verified fact</w:t>
            </w:r>
          </w:p>
        </w:tc>
        <w:tc>
          <w:tcPr/>
          <w:p>
            <w:pPr>
              <w:pStyle w:val="Compact"/>
              <w:jc w:val="left"/>
            </w:pPr>
            <w:r>
              <w:t xml:space="preserve">A5-S002, A5-S005</w:t>
            </w:r>
          </w:p>
        </w:tc>
      </w:tr>
      <w:tr>
        <w:tc>
          <w:tcPr/>
          <w:p>
            <w:pPr>
              <w:pStyle w:val="Compact"/>
              <w:jc w:val="left"/>
            </w:pPr>
            <w:r>
              <w:t xml:space="preserve">Version / lineup</w:t>
            </w:r>
          </w:p>
        </w:tc>
        <w:tc>
          <w:tcPr/>
          <w:p>
            <w:pPr>
              <w:pStyle w:val="Compact"/>
              <w:jc w:val="left"/>
            </w:pPr>
            <w:r>
              <w:t xml:space="preserve">flagship: GPT-6 Astra, introduced 3 September 2026 per ChatGPT release notes (limited organisations first;</w:t>
            </w:r>
            <w:r>
              <w:t xml:space="preserve"> </w:t>
            </w:r>
            <w:r>
              <w:t xml:space="preserve">“</w:t>
            </w:r>
            <w:r>
              <w:t xml:space="preserve">Path to Astra</w:t>
            </w:r>
            <w:r>
              <w:t xml:space="preserve">”</w:t>
            </w:r>
            <w:r>
              <w:t xml:space="preserve"> </w:t>
            </w:r>
            <w:r>
              <w:t xml:space="preserve">post of 1 September explains a several-week hold for cyber safeguards); OpenAI forum post says API and Pro/Enterprise access on 4 September; Bedrock model card lists 8 September (AWS GA date). Gated: enterprise admins must enable; first OpenAI model rated</w:t>
            </w:r>
            <w:r>
              <w:t xml:space="preserve"> </w:t>
            </w:r>
            <w:r>
              <w:t xml:space="preserve">“</w:t>
            </w:r>
            <w:r>
              <w:t xml:space="preserve">Critical</w:t>
            </w:r>
            <w:r>
              <w:t xml:space="preserve">”</w:t>
            </w:r>
            <w:r>
              <w:t xml:space="preserve"> </w:t>
            </w:r>
            <w:r>
              <w:t xml:space="preserve">for cybersecurity. 1,050,000-token context, 128K output, knowledge cut-off 30 April 2026. [A5-S083, A5-S002, A5-S003, A5-S008]; mid: GPT-6 Sol (22 September 2026) and GPT-6.1 Sol (29 September 2026; now the def</w:t>
            </w:r>
          </w:p>
        </w:tc>
        <w:tc>
          <w:tcPr/>
          <w:p>
            <w:pPr>
              <w:pStyle w:val="Compact"/>
              <w:jc w:val="left"/>
            </w:pPr>
            <w:r>
              <w:t xml:space="preserve">Verified fact</w:t>
            </w:r>
          </w:p>
        </w:tc>
        <w:tc>
          <w:tcPr/>
          <w:p>
            <w:pPr>
              <w:pStyle w:val="Compact"/>
              <w:jc w:val="left"/>
            </w:pPr>
            <w:r>
              <w:t xml:space="preserve">A5-S001, A5-S002, A5-S003, A5-S004, A5-S005, A5-S008, A5-S009, A5-S083, V2-S008, V2-S024</w:t>
            </w:r>
          </w:p>
        </w:tc>
      </w:tr>
      <w:tr>
        <w:tc>
          <w:tcPr/>
          <w:p>
            <w:pPr>
              <w:pStyle w:val="Compact"/>
              <w:jc w:val="left"/>
            </w:pPr>
            <w:r>
              <w:t xml:space="preserve">Licence</w:t>
            </w:r>
          </w:p>
        </w:tc>
        <w:tc>
          <w:tcPr/>
          <w:p>
            <w:pPr>
              <w:pStyle w:val="Compact"/>
              <w:jc w:val="left"/>
            </w:pPr>
            <w:r>
              <w:t xml:space="preserve">Proprietary, API-only for GPT-6 and GPT-5.6 (closed weights; fine-tuning not supported for Astra). Open weights for gpt-oss under Apache 2.0 plus gpt-oss usage policy.</w:t>
            </w:r>
          </w:p>
        </w:tc>
        <w:tc>
          <w:tcPr/>
          <w:p>
            <w:pPr>
              <w:pStyle w:val="Compact"/>
              <w:jc w:val="left"/>
            </w:pPr>
            <w:r>
              <w:t xml:space="preserve">Verified fact</w:t>
            </w:r>
          </w:p>
        </w:tc>
        <w:tc>
          <w:tcPr/>
          <w:p>
            <w:pPr>
              <w:pStyle w:val="Compact"/>
              <w:jc w:val="left"/>
            </w:pPr>
            <w:r>
              <w:t xml:space="preserve">A5-S003, A5-S005</w:t>
            </w:r>
          </w:p>
        </w:tc>
      </w:tr>
      <w:tr>
        <w:tc>
          <w:tcPr/>
          <w:p>
            <w:pPr>
              <w:pStyle w:val="Compact"/>
              <w:jc w:val="left"/>
            </w:pPr>
            <w:r>
              <w:t xml:space="preserve">Status events</w:t>
            </w:r>
          </w:p>
        </w:tc>
        <w:tc>
          <w:tcPr/>
          <w:p>
            <w:pPr>
              <w:pStyle w:val="Compact"/>
              <w:jc w:val="left"/>
            </w:pPr>
            <w:r>
              <w:t xml:space="preserve">9 July 2026: GPT-5.6 Sol/Terra/Luna GA; 30 July 2026: GPT-5.6 Luna -80% and Terra -20% price cuts; 3 September 2026: GPT-6 Astra introduced (limited organisations); API from 4 September; Bedrock GA 8 September; 22 September 2026: GPT-6 Sol and Luna; 29 September 2026: GPT-6.1 Sol; 7 October 2026: GPT-6 rolled out to ChatGPT Chat</w:t>
            </w:r>
          </w:p>
        </w:tc>
        <w:tc>
          <w:tcPr/>
          <w:p>
            <w:pPr>
              <w:pStyle w:val="Compact"/>
              <w:jc w:val="left"/>
            </w:pPr>
            <w:r>
              <w:t xml:space="preserve">Verified fact</w:t>
            </w:r>
          </w:p>
        </w:tc>
        <w:tc>
          <w:tcPr/>
          <w:p>
            <w:pPr>
              <w:pStyle w:val="Compact"/>
              <w:jc w:val="left"/>
            </w:pPr>
            <w:r>
              <w:t xml:space="preserve">A5-S001, A5-S002, A5-S083, V2-S024</w:t>
            </w:r>
          </w:p>
        </w:tc>
      </w:tr>
      <w:tr>
        <w:tc>
          <w:tcPr/>
          <w:p>
            <w:pPr>
              <w:pStyle w:val="Compact"/>
              <w:jc w:val="left"/>
            </w:pPr>
            <w:r>
              <w:t xml:space="preserve">Strategic direction</w:t>
            </w:r>
          </w:p>
        </w:tc>
        <w:tc>
          <w:tcPr/>
          <w:p>
            <w:pPr>
              <w:pStyle w:val="Compact"/>
              <w:jc w:val="left"/>
            </w:pPr>
            <w:r>
              <w:t xml:space="preserve">Generation number plus capability-tier naming (Sol/Terra/Luna introduced with GPT-5.6, July 2026) so tiers can advance on separate cadences; staged, gated releases for cyber-capable models (Daybreak trusted-access programme); rapid price cuts (GPT-6 Sol/Luna 50% below GPT-5.6 promotional pricing); distribution through AWS Bedrock and Microsoft Foundry.</w:t>
            </w:r>
          </w:p>
        </w:tc>
        <w:tc>
          <w:tcPr/>
          <w:p>
            <w:pPr>
              <w:pStyle w:val="Compact"/>
              <w:jc w:val="left"/>
            </w:pPr>
            <w:r>
              <w:t xml:space="preserve">Verified fact</w:t>
            </w:r>
          </w:p>
        </w:tc>
        <w:tc>
          <w:tcPr/>
          <w:p>
            <w:pPr>
              <w:pStyle w:val="Compact"/>
              <w:jc w:val="left"/>
            </w:pPr>
            <w:r>
              <w:t xml:space="preserve">A5-S001, A5-S002, A5-S008, A5-S009</w:t>
            </w:r>
          </w:p>
        </w:tc>
      </w:tr>
      <w:tr>
        <w:tc>
          <w:tcPr/>
          <w:p>
            <w:pPr>
              <w:pStyle w:val="Compact"/>
              <w:jc w:val="left"/>
            </w:pPr>
            <w:r>
              <w:t xml:space="preserve">What it does</w:t>
            </w:r>
          </w:p>
        </w:tc>
        <w:tc>
          <w:tcPr/>
          <w:p>
            <w:pPr>
              <w:pStyle w:val="Compact"/>
              <w:jc w:val="left"/>
            </w:pPr>
            <w:r>
              <w:t xml:space="preserve">General-purpose large language models served through the OpenAI API (Responses and Chat Completions), ChatGPT, Codex and partner clouds; tiers trade capability against cost and latency.</w:t>
            </w:r>
          </w:p>
        </w:tc>
        <w:tc>
          <w:tcPr/>
          <w:p>
            <w:pPr>
              <w:pStyle w:val="Compact"/>
              <w:jc w:val="left"/>
            </w:pPr>
            <w:r>
              <w:t xml:space="preserve">Verified fact</w:t>
            </w:r>
          </w:p>
        </w:tc>
        <w:tc>
          <w:tcPr/>
          <w:p>
            <w:pPr>
              <w:pStyle w:val="Compact"/>
              <w:jc w:val="left"/>
            </w:pPr>
            <w:r>
              <w:t xml:space="preserve">A5-S002, A5-S008</w:t>
            </w:r>
          </w:p>
        </w:tc>
      </w:tr>
      <w:tr>
        <w:tc>
          <w:tcPr/>
          <w:p>
            <w:pPr>
              <w:pStyle w:val="Compact"/>
              <w:jc w:val="left"/>
            </w:pPr>
            <w:r>
              <w:t xml:space="preserve">Stack position</w:t>
            </w:r>
          </w:p>
        </w:tc>
        <w:tc>
          <w:tcPr/>
          <w:p>
            <w:pPr>
              <w:pStyle w:val="Compact"/>
              <w:jc w:val="left"/>
            </w:pPr>
            <w:r>
              <w:t xml:space="preserve">L1 foundation model. Placement in the graphic is correct; OpenAI also appears at L3 (Agents SDK) and L7 (embeddings).</w:t>
            </w:r>
          </w:p>
        </w:tc>
        <w:tc>
          <w:tcPr/>
          <w:p>
            <w:pPr>
              <w:pStyle w:val="Compact"/>
              <w:jc w:val="left"/>
            </w:pPr>
            <w:r>
              <w:t xml:space="preserve">Architectural judgement</w:t>
            </w:r>
          </w:p>
        </w:tc>
        <w:tc>
          <w:tcPr/>
          <w:p>
            <w:pPr>
              <w:pStyle w:val="Compact"/>
            </w:pPr>
          </w:p>
        </w:tc>
      </w:tr>
      <w:tr>
        <w:tc>
          <w:tcPr/>
          <w:p>
            <w:pPr>
              <w:pStyle w:val="Compact"/>
              <w:jc w:val="left"/>
            </w:pPr>
            <w:r>
              <w:t xml:space="preserve">Integration</w:t>
            </w:r>
          </w:p>
        </w:tc>
        <w:tc>
          <w:tcPr/>
          <w:p>
            <w:pPr>
              <w:pStyle w:val="Compact"/>
              <w:jc w:val="left"/>
            </w:pPr>
            <w:r>
              <w:t xml:space="preserve">REST API (Responses, Chat Completions, Batch), official SDKs (openai Python 3.26.0, Apache-2.0, 6 October 2026); also via Bedrock (bedrock-mantle and bedrock-runtime endpoints) and Microsoft Foundry deployments.</w:t>
            </w:r>
          </w:p>
        </w:tc>
        <w:tc>
          <w:tcPr/>
          <w:p>
            <w:pPr>
              <w:pStyle w:val="Compact"/>
              <w:jc w:val="left"/>
            </w:pPr>
            <w:r>
              <w:t xml:space="preserve">Verified fact</w:t>
            </w:r>
          </w:p>
        </w:tc>
        <w:tc>
          <w:tcPr/>
          <w:p>
            <w:pPr>
              <w:pStyle w:val="Compact"/>
              <w:jc w:val="left"/>
            </w:pPr>
            <w:r>
              <w:t xml:space="preserve">A5-S047, A5-S008, A5-S009</w:t>
            </w:r>
          </w:p>
        </w:tc>
      </w:tr>
      <w:tr>
        <w:tc>
          <w:tcPr/>
          <w:p>
            <w:pPr>
              <w:pStyle w:val="Compact"/>
              <w:jc w:val="left"/>
            </w:pPr>
            <w:r>
              <w:t xml:space="preserve">Dependencies</w:t>
            </w:r>
          </w:p>
        </w:tc>
        <w:tc>
          <w:tcPr/>
          <w:p>
            <w:pPr>
              <w:pStyle w:val="Compact"/>
              <w:jc w:val="left"/>
            </w:pPr>
            <w:r>
              <w:t xml:space="preserve">Hosted service on OpenAI infrastructure (Astra trained on &gt;100,000 GPUs at Stargate, Texas) or partner clouds (AWS Bedrock, Microsoft Foundry). gpt-oss runs on own GPUs (120b fits one H100) via vLLM, Ollama, llama.cpp.</w:t>
            </w:r>
          </w:p>
        </w:tc>
        <w:tc>
          <w:tcPr/>
          <w:p>
            <w:pPr>
              <w:pStyle w:val="Compact"/>
              <w:jc w:val="left"/>
            </w:pPr>
            <w:r>
              <w:t xml:space="preserve">Verified fact</w:t>
            </w:r>
          </w:p>
        </w:tc>
        <w:tc>
          <w:tcPr/>
          <w:p>
            <w:pPr>
              <w:pStyle w:val="Compact"/>
              <w:jc w:val="left"/>
            </w:pPr>
            <w:r>
              <w:t xml:space="preserve">A5-S003, A5-S005, A5-S008, A5-S009</w:t>
            </w:r>
          </w:p>
        </w:tc>
      </w:tr>
      <w:tr>
        <w:tc>
          <w:tcPr/>
          <w:p>
            <w:pPr>
              <w:pStyle w:val="Compact"/>
              <w:jc w:val="left"/>
            </w:pPr>
            <w:r>
              <w:t xml:space="preserve">Certifications</w:t>
            </w:r>
          </w:p>
        </w:tc>
        <w:tc>
          <w:tcPr/>
          <w:p>
            <w:pPr>
              <w:pStyle w:val="Compact"/>
              <w:jc w:val="left"/>
            </w:pPr>
            <w:r>
              <w:t xml:space="preserve">SOC 2 Type 2 (API Platform; latest report 1 July 2025 to 30 June 2026); ISO/IEC 27001:2022, 27017, 27018, 27701 (Schellman; API, ChatGPT Enterprise, Edu; not ChatGPT Business); ISO/IEC 42001:2023 AI management system (scope wording covers consumer and business AI products and models; the API Platform is not named explicitly); SOC 3; CSA STAR Level 1 self-assessment.</w:t>
            </w:r>
          </w:p>
        </w:tc>
        <w:tc>
          <w:tcPr/>
          <w:p>
            <w:pPr>
              <w:pStyle w:val="Compact"/>
              <w:jc w:val="left"/>
            </w:pPr>
            <w:r>
              <w:t xml:space="preserve">Verified fact</w:t>
            </w:r>
          </w:p>
        </w:tc>
        <w:tc>
          <w:tcPr/>
          <w:p>
            <w:pPr>
              <w:pStyle w:val="Compact"/>
              <w:jc w:val="left"/>
            </w:pPr>
            <w:r>
              <w:t xml:space="preserve">A5-S007, V2-S062</w:t>
            </w:r>
          </w:p>
        </w:tc>
      </w:tr>
      <w:tr>
        <w:tc>
          <w:tcPr/>
          <w:p>
            <w:pPr>
              <w:pStyle w:val="Compact"/>
              <w:jc w:val="left"/>
            </w:pPr>
            <w:r>
              <w:t xml:space="preserve">GDPR / residency</w:t>
            </w:r>
          </w:p>
        </w:tc>
        <w:tc>
          <w:tcPr/>
          <w:p>
            <w:pPr>
              <w:pStyle w:val="Compact"/>
              <w:jc w:val="left"/>
            </w:pPr>
            <w:r>
              <w:t xml:space="preserve">DPA available. API: no training on API data by default; inputs/outputs may be retained up to 30 days unless Zero Data Retention (approval required; some endpoints not ZDR-eligible). EU residency: eu.api.openai.com, storage and processing in region, new projects only, requires Modified Abuse Monitoring or ZDR. UK: gb.api.openai.com storage only, processing not in UK. Microsoft Foundry offers EU Data Zone deployments; Bedrock Astra in-region only in us-east-1/us-west-2 (Mantle).</w:t>
            </w:r>
          </w:p>
        </w:tc>
        <w:tc>
          <w:tcPr/>
          <w:p>
            <w:pPr>
              <w:pStyle w:val="Compact"/>
              <w:jc w:val="left"/>
            </w:pPr>
            <w:r>
              <w:t xml:space="preserve">Verified fact</w:t>
            </w:r>
          </w:p>
        </w:tc>
        <w:tc>
          <w:tcPr/>
          <w:p>
            <w:pPr>
              <w:pStyle w:val="Compact"/>
              <w:jc w:val="left"/>
            </w:pPr>
            <w:r>
              <w:t xml:space="preserve">A5-S006, A5-S009, A5-S008, V2-S079</w:t>
            </w:r>
          </w:p>
        </w:tc>
      </w:tr>
      <w:tr>
        <w:tc>
          <w:tcPr/>
          <w:p>
            <w:pPr>
              <w:pStyle w:val="Compact"/>
              <w:jc w:val="left"/>
            </w:pPr>
            <w:r>
              <w:t xml:space="preserve">Security features</w:t>
            </w:r>
          </w:p>
        </w:tc>
        <w:tc>
          <w:tcPr/>
          <w:p>
            <w:pPr>
              <w:pStyle w:val="Compact"/>
              <w:jc w:val="left"/>
            </w:pPr>
            <w:r>
              <w:t xml:space="preserve">Private Safety Processing option (customer-controlled storage under ZDR) in phased rollout; other controls (CMK, private networking) not verified in this run.</w:t>
            </w:r>
          </w:p>
        </w:tc>
        <w:tc>
          <w:tcPr/>
          <w:p>
            <w:pPr>
              <w:pStyle w:val="Compact"/>
              <w:jc w:val="left"/>
            </w:pPr>
            <w:r>
              <w:t xml:space="preserve">Verified fact</w:t>
            </w:r>
          </w:p>
        </w:tc>
        <w:tc>
          <w:tcPr/>
          <w:p>
            <w:pPr>
              <w:pStyle w:val="Compact"/>
              <w:jc w:val="left"/>
            </w:pPr>
            <w:r>
              <w:t xml:space="preserve">A5-S006</w:t>
            </w:r>
          </w:p>
        </w:tc>
      </w:tr>
      <w:tr>
        <w:tc>
          <w:tcPr/>
          <w:p>
            <w:pPr>
              <w:pStyle w:val="Compact"/>
              <w:jc w:val="left"/>
            </w:pPr>
            <w:r>
              <w:t xml:space="preserve">Access controls</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Enterprise support</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Pricing</w:t>
            </w:r>
          </w:p>
        </w:tc>
        <w:tc>
          <w:tcPr/>
          <w:p>
            <w:pPr>
              <w:pStyle w:val="Compact"/>
              <w:jc w:val="left"/>
            </w:pPr>
            <w:r>
              <w:t xml:space="preserve">gpt-6-astra: US$10 input / US$50 output per 1M tokens (&lt;=272K input); US$20 / US$75 above 272K; batch 50% off; gpt-6.1-sol / gpt-6-sol: US$2 input / US$10 output per 1M; gpt-6-luna: US$0.10 input / US$0.50 output per 1M; gpt-5.6-sol (promotional to at least 21 November 2026): US$4 / US$20 per 1M; Microsoft Foundry GPT-6 Sol Global Standard: US$2 / US$10 per 1M (Data Zone slightly higher)</w:t>
            </w:r>
          </w:p>
        </w:tc>
        <w:tc>
          <w:tcPr/>
          <w:p>
            <w:pPr>
              <w:pStyle w:val="Compact"/>
              <w:jc w:val="left"/>
            </w:pPr>
            <w:r>
              <w:t xml:space="preserve">Verified fact</w:t>
            </w:r>
          </w:p>
        </w:tc>
        <w:tc>
          <w:tcPr/>
          <w:p>
            <w:pPr>
              <w:pStyle w:val="Compact"/>
              <w:jc w:val="left"/>
            </w:pPr>
            <w:r>
              <w:t xml:space="preserve">A5-S004, A5-S001, A5-S009, V2-S008, V2-S024</w:t>
            </w:r>
          </w:p>
        </w:tc>
      </w:tr>
      <w:tr>
        <w:tc>
          <w:tcPr/>
          <w:p>
            <w:pPr>
              <w:pStyle w:val="Compact"/>
              <w:jc w:val="left"/>
            </w:pPr>
            <w:r>
              <w:t xml:space="preserve">Infrastructure cost</w:t>
            </w:r>
          </w:p>
        </w:tc>
        <w:tc>
          <w:tcPr/>
          <w:p>
            <w:pPr>
              <w:pStyle w:val="Compact"/>
              <w:jc w:val="left"/>
            </w:pPr>
            <w:r>
              <w:t xml:space="preserve">gpt-oss-120b (117B total, 5.1B active parameters) fits a single H100; gpt-oss-20b targets local use.</w:t>
            </w:r>
          </w:p>
        </w:tc>
        <w:tc>
          <w:tcPr/>
          <w:p>
            <w:pPr>
              <w:pStyle w:val="Compact"/>
              <w:jc w:val="left"/>
            </w:pPr>
            <w:r>
              <w:t xml:space="preserve">Verified fact</w:t>
            </w:r>
          </w:p>
        </w:tc>
        <w:tc>
          <w:tcPr/>
          <w:p>
            <w:pPr>
              <w:pStyle w:val="Compact"/>
              <w:jc w:val="left"/>
            </w:pPr>
            <w:r>
              <w:t xml:space="preserve">A5-S005</w:t>
            </w:r>
          </w:p>
        </w:tc>
      </w:tr>
      <w:tr>
        <w:tc>
          <w:tcPr/>
          <w:p>
            <w:pPr>
              <w:pStyle w:val="Compact"/>
              <w:jc w:val="left"/>
            </w:pPr>
            <w:r>
              <w:t xml:space="preserve">Ecosystem</w:t>
            </w:r>
          </w:p>
        </w:tc>
        <w:tc>
          <w:tcPr/>
          <w:p>
            <w:pPr>
              <w:pStyle w:val="Compact"/>
              <w:jc w:val="left"/>
            </w:pPr>
            <w:r>
              <w:t xml:space="preserve">AWS Bedrock (GPT-6 Astra/Sol/Luna, GPT-5.6, gpt-oss), Microsoft Foundry (GPT-6 family, 28 Global regions, US/EU Data Zones), Google Cloud (gpt-oss-120b/20b only).</w:t>
            </w:r>
          </w:p>
        </w:tc>
        <w:tc>
          <w:tcPr/>
          <w:p>
            <w:pPr>
              <w:pStyle w:val="Compact"/>
              <w:jc w:val="left"/>
            </w:pPr>
            <w:r>
              <w:t xml:space="preserve">Verified fact</w:t>
            </w:r>
          </w:p>
        </w:tc>
        <w:tc>
          <w:tcPr/>
          <w:p>
            <w:pPr>
              <w:pStyle w:val="Compact"/>
              <w:jc w:val="left"/>
            </w:pPr>
            <w:r>
              <w:t xml:space="preserve">A5-S008, A5-S009, A5-S027</w:t>
            </w:r>
          </w:p>
        </w:tc>
      </w:tr>
      <w:tr>
        <w:tc>
          <w:tcPr/>
          <w:p>
            <w:pPr>
              <w:pStyle w:val="Compact"/>
              <w:jc w:val="left"/>
            </w:pPr>
            <w:r>
              <w:t xml:space="preserve">Adoption signals</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Maturity</w:t>
            </w:r>
          </w:p>
        </w:tc>
        <w:tc>
          <w:tcPr/>
          <w:p>
            <w:pPr>
              <w:pStyle w:val="Compact"/>
              <w:jc w:val="left"/>
            </w:pPr>
            <w:r>
              <w:t xml:space="preserve">GPT-6 Sol/Luna GA in API and partner clouds; GPT-6 Astra gated, not generally available per OpenAI release notes, though AWS lists it GA on Bedrock (conflict recorded).</w:t>
            </w:r>
          </w:p>
        </w:tc>
        <w:tc>
          <w:tcPr/>
          <w:p>
            <w:pPr>
              <w:pStyle w:val="Compact"/>
              <w:jc w:val="left"/>
            </w:pPr>
            <w:r>
              <w:t xml:space="preserve">Verified fact</w:t>
            </w:r>
          </w:p>
        </w:tc>
        <w:tc>
          <w:tcPr/>
          <w:p>
            <w:pPr>
              <w:pStyle w:val="Compact"/>
              <w:jc w:val="left"/>
            </w:pPr>
            <w:r>
              <w:t xml:space="preserve">A5-S002, A5-S008</w:t>
            </w:r>
          </w:p>
        </w:tc>
      </w:tr>
      <w:tr>
        <w:tc>
          <w:tcPr/>
          <w:p>
            <w:pPr>
              <w:pStyle w:val="Compact"/>
              <w:jc w:val="left"/>
            </w:pPr>
            <w:r>
              <w:t xml:space="preserve">Deployment</w:t>
            </w:r>
          </w:p>
        </w:tc>
        <w:tc>
          <w:tcPr/>
          <w:p>
            <w:pPr>
              <w:pStyle w:val="Compact"/>
              <w:jc w:val="left"/>
            </w:pPr>
            <w:r>
              <w:t xml:space="preserve">saas: Yes; managed_cloud: Yes (AWS Bedrock; Microsoft Foundry); vpc_byoc: Not publicly verified; private_cloud: Not publicly verified; self_hosted: Yes, gpt-oss only; on_prem: Yes, gpt-oss only</w:t>
            </w:r>
          </w:p>
        </w:tc>
        <w:tc>
          <w:tcPr/>
          <w:p>
            <w:pPr>
              <w:pStyle w:val="Compact"/>
            </w:pPr>
          </w:p>
        </w:tc>
        <w:tc>
          <w:tcPr/>
          <w:p>
            <w:pPr>
              <w:pStyle w:val="Compact"/>
            </w:pPr>
          </w:p>
        </w:tc>
      </w:tr>
    </w:tbl>
    <w:bookmarkEnd w:id="1521"/>
    <w:bookmarkStart w:id="1540" w:name="Xf3a3212ff5450dca5bfe95f625cf0a4fb264fc0"/>
    <w:p>
      <w:pPr>
        <w:pStyle w:val="Heading2"/>
      </w:pPr>
      <w:r>
        <w:t xml:space="preserve">Mistral AI model family (Mistral Large 4 preview; Mistral Medium 3.5; Mistral Large 3; Mistral Small 4.0; Ministral 3; Magistral; Devstral 2; Codestral; Mistral OCR; Voxtral) (</w:t>
      </w:r>
      <w:r>
        <w:rPr>
          <w:rStyle w:val="VerbatimChar"/>
        </w:rPr>
        <w:t xml:space="preserve">L1-mistral</w:t>
      </w:r>
      <w:r>
        <w:t xml:space="preserve">)</w:t>
      </w:r>
    </w:p>
    <w:p>
      <w:pPr>
        <w:pStyle w:val="FirstParagraph"/>
      </w:pPr>
      <w:r>
        <w:rPr>
          <w:bCs/>
          <w:b/>
        </w:rPr>
        <w:t xml:space="preserve">Tier:</w:t>
      </w:r>
      <w:r>
        <w:t xml:space="preserve"> </w:t>
      </w:r>
      <w:r>
        <w:t xml:space="preserve">Strategic ·</w:t>
      </w:r>
      <w:r>
        <w:t xml:space="preserve"> </w:t>
      </w:r>
      <w:r>
        <w:rPr>
          <w:bCs/>
          <w:b/>
        </w:rPr>
        <w:t xml:space="preserve">Flags:</w:t>
      </w:r>
      <w:r>
        <w:t xml:space="preserve"> </w:t>
      </w:r>
      <w:r>
        <w:t xml:space="preserve">Superseded ·</w:t>
      </w:r>
      <w:r>
        <w:t xml:space="preserve"> </w:t>
      </w:r>
      <w:r>
        <w:rPr>
          <w:bCs/>
          <w:b/>
        </w:rPr>
        <w:t xml:space="preserve">Original graphic label:</w:t>
      </w:r>
      <w:r>
        <w:t xml:space="preserve"> </w:t>
      </w:r>
      <w:r>
        <w:t xml:space="preserve">Mistral – Medium 3.1</w:t>
      </w:r>
    </w:p>
    <w:p>
      <w:pPr>
        <w:pStyle w:val="BodyText"/>
      </w:pPr>
      <w:r>
        <w:rPr>
          <w:iCs/>
          <w:i/>
        </w:rPr>
        <w:t xml:space="preserve">Rationale:</w:t>
      </w:r>
      <w:r>
        <w:t xml:space="preserve"> </w:t>
      </w:r>
      <w:r>
        <w:t xml:space="preserve">The strongest combination of EU residency, open weights and multi-cloud availability in the layer; Strategic as the EU and open-weight leg of the portfolio, not as the sole frontier model</w:t>
      </w:r>
      <w:r>
        <w:t xml:space="preserve"> </w:t>
      </w:r>
      <w:r>
        <w:rPr>
          <w:rStyle w:val="ClaimLabel"/>
        </w:rPr>
        <w:t xml:space="preserve">AJ</w:t>
      </w:r>
      <w:r>
        <w:t xml:space="preserve">.</w:t>
      </w:r>
      <w:r>
        <w:t xml:space="preserve"> </w:t>
      </w:r>
      <w:r>
        <w:t xml:space="preserve">‘</w:t>
      </w:r>
      <w:r>
        <w:t xml:space="preserve">Superseded</w:t>
      </w:r>
      <w:r>
        <w:t xml:space="preserve">’</w:t>
      </w:r>
      <w:r>
        <w:t xml:space="preserve"> </w:t>
      </w:r>
      <w:r>
        <w:t xml:space="preserve">refers to the graphic’s Medium 3.1 label.</w:t>
      </w:r>
    </w:p>
    <w:tbl>
      <w:tblPr>
        <w:tblStyle w:val="Table"/>
        <w:tblW w:type="pct" w:w="5000"/>
        <w:tblLook w:firstRow="1" w:lastRow="0" w:firstColumn="0" w:lastColumn="0" w:noHBand="0" w:noVBand="0" w:val="0020"/>
        <w:jc w:val="start"/>
      </w:tblPr>
      <w:tblGrid>
        <w:gridCol w:w="1545"/>
        <w:gridCol w:w="579"/>
        <w:gridCol w:w="5795"/>
      </w:tblGrid>
      <w:tr>
        <w:trPr>
          <w:tblHeader w:val="true"/>
        </w:trPr>
        <w:tc>
          <w:tcPr/>
          <w:p>
            <w:pPr>
              <w:pStyle w:val="Compact"/>
              <w:jc w:val="left"/>
            </w:pPr>
            <w:r>
              <w:t xml:space="preserve">Criterion</w:t>
            </w:r>
          </w:p>
        </w:tc>
        <w:tc>
          <w:tcPr/>
          <w:p>
            <w:pPr>
              <w:pStyle w:val="Compact"/>
              <w:jc w:val="right"/>
            </w:pPr>
            <w:r>
              <w:t xml:space="preserve">Score</w:t>
            </w:r>
          </w:p>
        </w:tc>
        <w:tc>
          <w:tcPr/>
          <w:p>
            <w:pPr>
              <w:pStyle w:val="Compact"/>
              <w:jc w:val="left"/>
            </w:pPr>
            <w:r>
              <w:t xml:space="preserve">Rationale</w:t>
            </w:r>
          </w:p>
        </w:tc>
      </w:tr>
      <w:tr>
        <w:tc>
          <w:tcPr/>
          <w:p>
            <w:pPr>
              <w:pStyle w:val="Compact"/>
              <w:jc w:val="left"/>
            </w:pPr>
            <w:r>
              <w:t xml:space="preserve">Technical</w:t>
            </w:r>
          </w:p>
        </w:tc>
        <w:tc>
          <w:tcPr/>
          <w:p>
            <w:pPr>
              <w:pStyle w:val="Compact"/>
              <w:jc w:val="right"/>
            </w:pPr>
            <w:r>
              <w:t xml:space="preserve">4</w:t>
            </w:r>
          </w:p>
        </w:tc>
        <w:tc>
          <w:tcPr/>
          <w:p>
            <w:pPr>
              <w:pStyle w:val="Compact"/>
              <w:jc w:val="left"/>
            </w:pPr>
            <w:r>
              <w:t xml:space="preserve">Broad lineup across general, reasoning, coding, OCR and speech, with open weights (A5-S074, A5-S038); frontier tier only in preview.</w:t>
            </w:r>
          </w:p>
        </w:tc>
      </w:tr>
      <w:tr>
        <w:tc>
          <w:tcPr/>
          <w:p>
            <w:pPr>
              <w:pStyle w:val="Compact"/>
              <w:jc w:val="left"/>
            </w:pPr>
            <w:r>
              <w:t xml:space="preserve">Enterprise readiness</w:t>
            </w:r>
          </w:p>
        </w:tc>
        <w:tc>
          <w:tcPr/>
          <w:p>
            <w:pPr>
              <w:pStyle w:val="Compact"/>
              <w:jc w:val="right"/>
            </w:pPr>
            <w:r>
              <w:t xml:space="preserve">4</w:t>
            </w:r>
          </w:p>
        </w:tc>
        <w:tc>
          <w:tcPr/>
          <w:p>
            <w:pPr>
              <w:pStyle w:val="Compact"/>
              <w:jc w:val="left"/>
            </w:pPr>
            <w:r>
              <w:t xml:space="preserve">First-party access controls NPV; hyperscaler routes give the presumption (rule 6). Platform controls presumed (CP2 Q1); confirm per service.</w:t>
            </w:r>
          </w:p>
        </w:tc>
      </w:tr>
      <w:tr>
        <w:tc>
          <w:tcPr/>
          <w:p>
            <w:pPr>
              <w:pStyle w:val="Compact"/>
              <w:jc w:val="left"/>
            </w:pPr>
            <w:r>
              <w:t xml:space="preserve">Security and compliance</w:t>
            </w:r>
          </w:p>
        </w:tc>
        <w:tc>
          <w:tcPr/>
          <w:p>
            <w:pPr>
              <w:pStyle w:val="Compact"/>
              <w:jc w:val="right"/>
            </w:pPr>
            <w:r>
              <w:t xml:space="preserve">3</w:t>
            </w:r>
          </w:p>
        </w:tc>
        <w:tc>
          <w:tcPr/>
          <w:p>
            <w:pPr>
              <w:pStyle w:val="Compact"/>
              <w:jc w:val="left"/>
            </w:pPr>
            <w:r>
              <w:t xml:space="preserve">SOC 2 Type II and ISO 27001/27701 plus EU residency (A5-S075) would anchor at 4; product scope not stated, so one point lower (rule 8).</w:t>
            </w:r>
          </w:p>
        </w:tc>
      </w:tr>
      <w:tr>
        <w:tc>
          <w:tcPr/>
          <w:p>
            <w:pPr>
              <w:pStyle w:val="Compact"/>
              <w:jc w:val="left"/>
            </w:pPr>
            <w:r>
              <w:t xml:space="preserve">Deployment flexibility</w:t>
            </w:r>
          </w:p>
        </w:tc>
        <w:tc>
          <w:tcPr/>
          <w:p>
            <w:pPr>
              <w:pStyle w:val="Compact"/>
              <w:jc w:val="right"/>
            </w:pPr>
            <w:r>
              <w:t xml:space="preserve">5</w:t>
            </w:r>
          </w:p>
        </w:tc>
        <w:tc>
          <w:tcPr/>
          <w:p>
            <w:pPr>
              <w:pStyle w:val="Compact"/>
              <w:jc w:val="left"/>
            </w:pPr>
            <w:r>
              <w:t xml:space="preserve">EU SaaS, three hyperscalers, Scaleway, self-host, on-premises and air-gap with open weights (A5-S074, A5-S038).</w:t>
            </w:r>
          </w:p>
        </w:tc>
      </w:tr>
      <w:tr>
        <w:tc>
          <w:tcPr/>
          <w:p>
            <w:pPr>
              <w:pStyle w:val="Compact"/>
              <w:jc w:val="left"/>
            </w:pPr>
            <w:r>
              <w:t xml:space="preserve">Ecosystem</w:t>
            </w:r>
          </w:p>
        </w:tc>
        <w:tc>
          <w:tcPr/>
          <w:p>
            <w:pPr>
              <w:pStyle w:val="Compact"/>
              <w:jc w:val="right"/>
            </w:pPr>
            <w:r>
              <w:t xml:space="preserve">4</w:t>
            </w:r>
          </w:p>
        </w:tc>
        <w:tc>
          <w:tcPr/>
          <w:p>
            <w:pPr>
              <w:pStyle w:val="Compact"/>
              <w:jc w:val="left"/>
            </w:pPr>
            <w:r>
              <w:t xml:space="preserve">Three hyperscalers and mainstream open-serving support (A5-S039).</w:t>
            </w:r>
          </w:p>
        </w:tc>
      </w:tr>
      <w:tr>
        <w:tc>
          <w:tcPr/>
          <w:p>
            <w:pPr>
              <w:pStyle w:val="Compact"/>
              <w:jc w:val="left"/>
            </w:pPr>
            <w:r>
              <w:t xml:space="preserve">Reliability and maturity</w:t>
            </w:r>
          </w:p>
        </w:tc>
        <w:tc>
          <w:tcPr/>
          <w:p>
            <w:pPr>
              <w:pStyle w:val="Compact"/>
              <w:jc w:val="right"/>
            </w:pPr>
            <w:r>
              <w:t xml:space="preserve">3</w:t>
            </w:r>
          </w:p>
        </w:tc>
        <w:tc>
          <w:tcPr/>
          <w:p>
            <w:pPr>
              <w:pStyle w:val="Compact"/>
              <w:jc w:val="left"/>
            </w:pPr>
            <w:r>
              <w:t xml:space="preserve">GA mid tier with a published retirement table (B-L1-S002); frontier preview days old; fast retirements (Medium 3.1 within about a year).</w:t>
            </w:r>
          </w:p>
        </w:tc>
      </w:tr>
      <w:tr>
        <w:tc>
          <w:tcPr/>
          <w:p>
            <w:pPr>
              <w:pStyle w:val="Compact"/>
              <w:jc w:val="left"/>
            </w:pPr>
            <w:r>
              <w:t xml:space="preserve">Cost / TCO</w:t>
            </w:r>
          </w:p>
        </w:tc>
        <w:tc>
          <w:tcPr/>
          <w:p>
            <w:pPr>
              <w:pStyle w:val="Compact"/>
              <w:jc w:val="right"/>
            </w:pPr>
            <w:r>
              <w:t xml:space="preserve">4</w:t>
            </w:r>
          </w:p>
        </w:tc>
        <w:tc>
          <w:tcPr/>
          <w:p>
            <w:pPr>
              <w:pStyle w:val="Compact"/>
              <w:jc w:val="left"/>
            </w:pPr>
            <w:r>
              <w:t xml:space="preserve">Medium 3.5 at US$1.50/US$7.50 per 1M (A5-S074) and free open weights; EU endpoint carries 10% surcharge (A5-S075).</w:t>
            </w:r>
          </w:p>
        </w:tc>
      </w:tr>
      <w:tr>
        <w:tc>
          <w:tcPr/>
          <w:p>
            <w:pPr>
              <w:pStyle w:val="Compact"/>
              <w:jc w:val="left"/>
            </w:pPr>
            <w:r>
              <w:t xml:space="preserve">Lock-in / portability</w:t>
            </w:r>
          </w:p>
        </w:tc>
        <w:tc>
          <w:tcPr/>
          <w:p>
            <w:pPr>
              <w:pStyle w:val="Compact"/>
              <w:jc w:val="right"/>
            </w:pPr>
            <w:r>
              <w:t xml:space="preserve">4</w:t>
            </w:r>
          </w:p>
        </w:tc>
        <w:tc>
          <w:tcPr/>
          <w:p>
            <w:pPr>
              <w:pStyle w:val="Compact"/>
              <w:jc w:val="left"/>
            </w:pPr>
            <w:r>
              <w:t xml:space="preserve">Open weights under Apache 2.0 or Modified MIT; revenue thresholds on Medium 3.5 (rule 4) keep it from 5.</w:t>
            </w:r>
          </w:p>
        </w:tc>
      </w:tr>
      <w:tr>
        <w:tc>
          <w:tcPr/>
          <w:p>
            <w:pPr>
              <w:pStyle w:val="Compact"/>
              <w:jc w:val="left"/>
            </w:pPr>
            <w:r>
              <w:rPr>
                <w:bCs/>
                <w:b/>
              </w:rPr>
              <w:t xml:space="preserve">Total (generic / FS)</w:t>
            </w:r>
          </w:p>
        </w:tc>
        <w:tc>
          <w:tcPr/>
          <w:p>
            <w:pPr>
              <w:pStyle w:val="Compact"/>
              <w:jc w:val="right"/>
            </w:pPr>
            <w:r>
              <w:rPr>
                <w:bCs/>
                <w:b/>
              </w:rPr>
              <w:t xml:space="preserve">3.90 / 3.85</w:t>
            </w:r>
          </w:p>
        </w:tc>
        <w:tc>
          <w:tcPr/>
          <w:p>
            <w:pPr>
              <w:pStyle w:val="Compact"/>
            </w:pPr>
          </w:p>
        </w:tc>
      </w:tr>
    </w:tbl>
    <w:p>
      <w:pPr>
        <w:pStyle w:val="BodyText"/>
      </w:pPr>
      <w:r>
        <w:rPr>
          <w:bCs/>
          <w:b/>
        </w:rPr>
        <w:t xml:space="preserve">Capabilities.</w:t>
      </w:r>
      <w:r>
        <w:t xml:space="preserve"> </w:t>
      </w:r>
      <w:r>
        <w:t xml:space="preserve">Mistral AI family: Mistral Large 4 (public preview 6 October 2026, API-only, weights targeted for 27 October 2026, licence unpublished), Mistral Medium 3.5 (28 April 2026, 128B dense, 256K context, Modified MIT v26.04), Large 3 (Apache 2.0), Small 4.0, Ministral 3, Magistral reasoning, Devstral 2 and Codestral coding, Mistral OCR and Voxtral speech</w:t>
      </w:r>
      <w:r>
        <w:t xml:space="preserve"> </w:t>
      </w:r>
      <w:r>
        <w:rPr>
          <w:rStyle w:val="ClaimLabel"/>
        </w:rPr>
        <w:t xml:space="preserve">VF</w:t>
      </w:r>
      <w:r>
        <w:rPr>
          <w:rStyle w:val="FootnoteReference"/>
        </w:rPr>
        <w:footnoteReference w:id="1522"/>
      </w:r>
      <w:r>
        <w:t xml:space="preserve"> </w:t>
      </w:r>
      <w:r>
        <w:rPr>
          <w:rStyle w:val="ClaimLabel"/>
        </w:rPr>
        <w:t xml:space="preserve">R</w:t>
      </w:r>
      <w:r>
        <w:rPr>
          <w:rStyle w:val="FootnoteReference"/>
        </w:rPr>
        <w:footnoteReference w:id="1526"/>
      </w:r>
      <w:r>
        <w:t xml:space="preserve">.</w:t>
      </w:r>
    </w:p>
    <w:p>
      <w:pPr>
        <w:pStyle w:val="BodyText"/>
      </w:pPr>
      <w:r>
        <w:rPr>
          <w:bCs/>
          <w:b/>
        </w:rPr>
        <w:t xml:space="preserve">Strengths</w:t>
      </w:r>
    </w:p>
    <w:p>
      <w:pPr>
        <w:numPr>
          <w:ilvl w:val="0"/>
          <w:numId w:val="1325"/>
        </w:numPr>
        <w:pStyle w:val="Compact"/>
      </w:pPr>
      <w:r>
        <w:t xml:space="preserve">EU hosting by default, with an EU regional endpoint (api.eu.mistral.ai) committing inference location</w:t>
      </w:r>
      <w:r>
        <w:t xml:space="preserve"> </w:t>
      </w:r>
      <w:r>
        <w:rPr>
          <w:rStyle w:val="ClaimLabel"/>
        </w:rPr>
        <w:t xml:space="preserve">VF</w:t>
      </w:r>
      <w:r>
        <w:rPr>
          <w:rStyle w:val="FootnoteReference"/>
        </w:rPr>
        <w:footnoteReference w:id="1528"/>
      </w:r>
    </w:p>
    <w:p>
      <w:pPr>
        <w:numPr>
          <w:ilvl w:val="0"/>
          <w:numId w:val="1325"/>
        </w:numPr>
        <w:pStyle w:val="Compact"/>
      </w:pPr>
      <w:r>
        <w:t xml:space="preserve">Open weights across tiers (Large 3 Apache 2.0; Medium 3.5 Modified MIT; Ministral 3 Apache 2.0)</w:t>
      </w:r>
      <w:r>
        <w:t xml:space="preserve"> </w:t>
      </w:r>
      <w:r>
        <w:rPr>
          <w:rStyle w:val="ClaimLabel"/>
        </w:rPr>
        <w:t xml:space="preserve">VF</w:t>
      </w:r>
      <w:r>
        <w:rPr>
          <w:rStyle w:val="FootnoteReference"/>
        </w:rPr>
        <w:footnoteReference w:id="1529"/>
      </w:r>
    </w:p>
    <w:p>
      <w:pPr>
        <w:numPr>
          <w:ilvl w:val="0"/>
          <w:numId w:val="1325"/>
        </w:numPr>
        <w:pStyle w:val="Compact"/>
      </w:pPr>
      <w:r>
        <w:t xml:space="preserve">Offered on Google Cloud, Bedrock and Microsoft Foundry (different subsets)</w:t>
      </w:r>
      <w:r>
        <w:t xml:space="preserve"> </w:t>
      </w:r>
      <w:r>
        <w:rPr>
          <w:rStyle w:val="ClaimLabel"/>
        </w:rPr>
        <w:t xml:space="preserve">R</w:t>
      </w:r>
      <w:r>
        <w:rPr>
          <w:rStyle w:val="FootnoteReference"/>
        </w:rPr>
        <w:footnoteReference w:id="1530"/>
      </w:r>
    </w:p>
    <w:p>
      <w:pPr>
        <w:numPr>
          <w:ilvl w:val="0"/>
          <w:numId w:val="1325"/>
        </w:numPr>
        <w:pStyle w:val="Compact"/>
      </w:pPr>
      <w:r>
        <w:t xml:space="preserve">Published deprecation and retirement table with replacements</w:t>
      </w:r>
      <w:r>
        <w:t xml:space="preserve"> </w:t>
      </w:r>
      <w:r>
        <w:rPr>
          <w:rStyle w:val="ClaimLabel"/>
        </w:rPr>
        <w:t xml:space="preserve">VF</w:t>
      </w:r>
      <w:r>
        <w:rPr>
          <w:rStyle w:val="FootnoteReference"/>
        </w:rPr>
        <w:footnoteReference w:id="1531"/>
      </w:r>
    </w:p>
    <w:p>
      <w:pPr>
        <w:numPr>
          <w:ilvl w:val="0"/>
          <w:numId w:val="1325"/>
        </w:numPr>
        <w:pStyle w:val="Compact"/>
      </w:pPr>
      <w:r>
        <w:t xml:space="preserve">Signatory of the GPAI Code of Practice</w:t>
      </w:r>
      <w:r>
        <w:t xml:space="preserve"> </w:t>
      </w:r>
      <w:r>
        <w:rPr>
          <w:rStyle w:val="ClaimLabel"/>
        </w:rPr>
        <w:t xml:space="preserve">VF</w:t>
      </w:r>
      <w:r>
        <w:rPr>
          <w:rStyle w:val="FootnoteReference"/>
        </w:rPr>
        <w:footnoteReference w:id="1533"/>
      </w:r>
    </w:p>
    <w:p>
      <w:pPr>
        <w:pStyle w:val="FirstParagraph"/>
      </w:pPr>
      <w:r>
        <w:rPr>
          <w:bCs/>
          <w:b/>
        </w:rPr>
        <w:t xml:space="preserve">Limitations and risks</w:t>
      </w:r>
    </w:p>
    <w:p>
      <w:pPr>
        <w:numPr>
          <w:ilvl w:val="0"/>
          <w:numId w:val="1326"/>
        </w:numPr>
        <w:pStyle w:val="Compact"/>
      </w:pPr>
      <w:r>
        <w:t xml:space="preserve">Frontier tier is a days-old preview; Large 4 licence and list price unpublished; parameter counts differ between launch post and docs</w:t>
      </w:r>
      <w:r>
        <w:t xml:space="preserve"> </w:t>
      </w:r>
      <w:r>
        <w:rPr>
          <w:rStyle w:val="ClaimLabel"/>
        </w:rPr>
        <w:t xml:space="preserve">VF</w:t>
      </w:r>
      <w:r>
        <w:rPr>
          <w:rStyle w:val="FootnoteReference"/>
        </w:rPr>
        <w:footnoteReference w:id="1535"/>
      </w:r>
    </w:p>
    <w:p>
      <w:pPr>
        <w:numPr>
          <w:ilvl w:val="0"/>
          <w:numId w:val="1326"/>
        </w:numPr>
        <w:pStyle w:val="Compact"/>
      </w:pPr>
      <w:r>
        <w:t xml:space="preserve">Medium 3.5’s Modified MIT licence has revenue-based exceptions</w:t>
      </w:r>
      <w:r>
        <w:t xml:space="preserve"> </w:t>
      </w:r>
      <w:r>
        <w:rPr>
          <w:rStyle w:val="ClaimLabel"/>
        </w:rPr>
        <w:t xml:space="preserve">VF</w:t>
      </w:r>
      <w:r>
        <w:rPr>
          <w:rStyle w:val="FootnoteReference"/>
        </w:rPr>
        <w:footnoteReference w:id="1536"/>
      </w:r>
    </w:p>
    <w:p>
      <w:pPr>
        <w:numPr>
          <w:ilvl w:val="0"/>
          <w:numId w:val="1326"/>
        </w:numPr>
        <w:pStyle w:val="Compact"/>
      </w:pPr>
      <w:r>
        <w:t xml:space="preserve">Certifications stated on the help centre without product scope; ZDR only for pay-as-you-go stateless calls at Mistral’s discretion; default 30-day retention</w:t>
      </w:r>
      <w:r>
        <w:t xml:space="preserve"> </w:t>
      </w:r>
      <w:r>
        <w:rPr>
          <w:rStyle w:val="ClaimLabel"/>
        </w:rPr>
        <w:t xml:space="preserve">VF</w:t>
      </w:r>
      <w:r>
        <w:rPr>
          <w:rStyle w:val="FootnoteReference"/>
        </w:rPr>
        <w:footnoteReference w:id="1537"/>
      </w:r>
    </w:p>
    <w:p>
      <w:pPr>
        <w:numPr>
          <w:ilvl w:val="0"/>
          <w:numId w:val="1326"/>
        </w:numPr>
        <w:pStyle w:val="Compact"/>
      </w:pPr>
      <w:r>
        <w:t xml:space="preserve">Mistral Medium 3.1, the graphic’s label, retired on 31 August 2026</w:t>
      </w:r>
      <w:r>
        <w:t xml:space="preserve"> </w:t>
      </w:r>
      <w:r>
        <w:rPr>
          <w:rStyle w:val="ClaimLabel"/>
        </w:rPr>
        <w:t xml:space="preserve">VF</w:t>
      </w:r>
      <w:r>
        <w:rPr>
          <w:rStyle w:val="FootnoteReference"/>
        </w:rPr>
        <w:footnoteReference w:id="1538"/>
      </w:r>
    </w:p>
    <w:p>
      <w:pPr>
        <w:numPr>
          <w:ilvl w:val="0"/>
          <w:numId w:val="1326"/>
        </w:numPr>
        <w:pStyle w:val="Compact"/>
      </w:pPr>
      <w:r>
        <w:t xml:space="preserve">Resells Z.ai GLM models on its platform, so a Mistral contract does not by itself exclude Chinese-origin models</w:t>
      </w:r>
      <w:r>
        <w:t xml:space="preserve"> </w:t>
      </w:r>
      <w:r>
        <w:rPr>
          <w:rStyle w:val="ClaimLabel"/>
        </w:rPr>
        <w:t xml:space="preserve">R</w:t>
      </w:r>
      <w:r>
        <w:rPr>
          <w:rStyle w:val="FootnoteReference"/>
        </w:rPr>
        <w:footnoteReference w:id="1539"/>
      </w:r>
    </w:p>
    <w:p>
      <w:pPr>
        <w:pStyle w:val="FirstParagraph"/>
      </w:pPr>
      <w:r>
        <w:rPr>
          <w:bCs/>
          <w:b/>
        </w:rPr>
        <w:t xml:space="preserve">Choose when</w:t>
      </w:r>
    </w:p>
    <w:p>
      <w:pPr>
        <w:numPr>
          <w:ilvl w:val="0"/>
          <w:numId w:val="1327"/>
        </w:numPr>
        <w:pStyle w:val="Compact"/>
      </w:pPr>
      <w:r>
        <w:t xml:space="preserve">You need an EU-domiciled vendor with an EU inference endpoint as primary or fallback</w:t>
      </w:r>
      <w:r>
        <w:t xml:space="preserve"> </w:t>
      </w:r>
      <w:r>
        <w:rPr>
          <w:rStyle w:val="ClaimLabel"/>
        </w:rPr>
        <w:t xml:space="preserve">AJ</w:t>
      </w:r>
    </w:p>
    <w:p>
      <w:pPr>
        <w:numPr>
          <w:ilvl w:val="0"/>
          <w:numId w:val="1327"/>
        </w:numPr>
        <w:pStyle w:val="Compact"/>
      </w:pPr>
      <w:r>
        <w:t xml:space="preserve">You want open weights from a non-Chinese vendor for a self-hosted sensitive-data tier</w:t>
      </w:r>
      <w:r>
        <w:t xml:space="preserve"> </w:t>
      </w:r>
      <w:r>
        <w:rPr>
          <w:rStyle w:val="ClaimLabel"/>
        </w:rPr>
        <w:t xml:space="preserve">AJ</w:t>
      </w:r>
    </w:p>
    <w:p>
      <w:pPr>
        <w:pStyle w:val="FirstParagraph"/>
      </w:pPr>
      <w:r>
        <w:rPr>
          <w:bCs/>
          <w:b/>
        </w:rPr>
        <w:t xml:space="preserve">Avoid when</w:t>
      </w:r>
    </w:p>
    <w:p>
      <w:pPr>
        <w:numPr>
          <w:ilvl w:val="0"/>
          <w:numId w:val="1328"/>
        </w:numPr>
        <w:pStyle w:val="Compact"/>
      </w:pPr>
      <w:r>
        <w:t xml:space="preserve">You need a GA frontier-class model today</w:t>
      </w:r>
      <w:r>
        <w:t xml:space="preserve"> </w:t>
      </w:r>
      <w:r>
        <w:rPr>
          <w:rStyle w:val="ClaimLabel"/>
        </w:rPr>
        <w:t xml:space="preserve">AJ</w:t>
      </w:r>
    </w:p>
    <w:p>
      <w:pPr>
        <w:numPr>
          <w:ilvl w:val="0"/>
          <w:numId w:val="1328"/>
        </w:numPr>
        <w:pStyle w:val="Compact"/>
      </w:pPr>
      <w:r>
        <w:t xml:space="preserve">Your licence policy cannot accept revenue-threshold licences for Medium 3.5</w:t>
      </w:r>
      <w:r>
        <w:t xml:space="preserve"> </w:t>
      </w:r>
      <w:r>
        <w:rPr>
          <w:rStyle w:val="ClaimLabel"/>
        </w:rPr>
        <w:t xml:space="preserve">AJ</w:t>
      </w:r>
    </w:p>
    <w:p>
      <w:pPr>
        <w:pStyle w:val="FirstParagraph"/>
      </w:pPr>
      <w:r>
        <w:rPr>
          <w:bCs/>
          <w:b/>
        </w:rPr>
        <w:t xml:space="preserve">Nearest competitors:</w:t>
      </w:r>
      <w:r>
        <w:t xml:space="preserve"> </w:t>
      </w:r>
      <w:r>
        <w:t xml:space="preserve">L1-openai, L1-google-gemma, L1-meta</w:t>
      </w:r>
    </w:p>
    <w:p>
      <w:pPr>
        <w:pStyle w:val="BodyText"/>
      </w:pPr>
      <w:r>
        <w:rPr>
          <w:bCs/>
          <w:b/>
        </w:rPr>
        <w:t xml:space="preserve">Regulated-FS note.</w:t>
      </w:r>
      <w:r>
        <w:t xml:space="preserve"> </w:t>
      </w:r>
      <w:r>
        <w:t xml:space="preserve">Use api.eu.mistral.ai or self-hosted weights; obtain the SOC 2 report and ISO certificate scope from the Trust Center; exclude resold third-party models via model allow-lists at the gateway</w:t>
      </w:r>
      <w:r>
        <w:t xml:space="preserve"> </w:t>
      </w:r>
      <w:r>
        <w:rPr>
          <w:rStyle w:val="ClaimLabel"/>
        </w:rPr>
        <w:t xml:space="preserve">Rec</w:t>
      </w:r>
      <w:r>
        <w:t xml:space="preserve">.</w:t>
      </w:r>
    </w:p>
    <w:p>
      <w:pPr>
        <w:pStyle w:val="BodyText"/>
      </w:pPr>
      <w:r>
        <w:rPr>
          <w:bCs/>
          <w:b/>
        </w:rPr>
        <w:t xml:space="preserve">Facts (as of 2026-10-08)</w:t>
      </w:r>
    </w:p>
    <w:tbl>
      <w:tblPr>
        <w:tblStyle w:val="Table"/>
        <w:tblW w:type="pct" w:w="5000"/>
        <w:tblLook w:firstRow="1" w:lastRow="0" w:firstColumn="0" w:lastColumn="0" w:noHBand="0" w:noVBand="0" w:val="0020"/>
        <w:jc w:val="start"/>
      </w:tblPr>
      <w:tblGrid>
        <w:gridCol w:w="1485"/>
        <w:gridCol w:w="4290"/>
        <w:gridCol w:w="1320"/>
        <w:gridCol w:w="825"/>
      </w:tblGrid>
      <w:tr>
        <w:trPr>
          <w:tblHeader w:val="true"/>
        </w:trPr>
        <w:tc>
          <w:tcPr/>
          <w:p>
            <w:pPr>
              <w:pStyle w:val="Compact"/>
              <w:jc w:val="left"/>
            </w:pPr>
            <w:r>
              <w:t xml:space="preserve">Field</w:t>
            </w:r>
          </w:p>
        </w:tc>
        <w:tc>
          <w:tcPr/>
          <w:p>
            <w:pPr>
              <w:pStyle w:val="Compact"/>
              <w:jc w:val="left"/>
            </w:pPr>
            <w:r>
              <w:t xml:space="preserve">Value</w:t>
            </w:r>
          </w:p>
        </w:tc>
        <w:tc>
          <w:tcPr/>
          <w:p>
            <w:pPr>
              <w:pStyle w:val="Compact"/>
              <w:jc w:val="left"/>
            </w:pPr>
            <w:r>
              <w:t xml:space="preserve">Label</w:t>
            </w:r>
          </w:p>
        </w:tc>
        <w:tc>
          <w:tcPr/>
          <w:p>
            <w:pPr>
              <w:pStyle w:val="Compact"/>
              <w:jc w:val="left"/>
            </w:pPr>
            <w:r>
              <w:t xml:space="preserve">Sources</w:t>
            </w:r>
          </w:p>
        </w:tc>
      </w:tr>
      <w:tr>
        <w:tc>
          <w:tcPr/>
          <w:p>
            <w:pPr>
              <w:pStyle w:val="Compact"/>
              <w:jc w:val="left"/>
            </w:pPr>
            <w:r>
              <w:t xml:space="preserve">Company</w:t>
            </w:r>
          </w:p>
        </w:tc>
        <w:tc>
          <w:tcPr/>
          <w:p>
            <w:pPr>
              <w:pStyle w:val="Compact"/>
              <w:jc w:val="left"/>
            </w:pPr>
            <w:r>
              <w:t xml:space="preserve">Mistral AI (official mistralai SDK author</w:t>
            </w:r>
            <w:r>
              <w:t xml:space="preserve"> </w:t>
            </w:r>
            <w:r>
              <w:t xml:space="preserve">“</w:t>
            </w:r>
            <w:r>
              <w:t xml:space="preserve">Mistral</w:t>
            </w:r>
            <w:r>
              <w:t xml:space="preserve">”</w:t>
            </w:r>
            <w:r>
              <w:t xml:space="preserve">)</w:t>
            </w:r>
          </w:p>
        </w:tc>
        <w:tc>
          <w:tcPr/>
          <w:p>
            <w:pPr>
              <w:pStyle w:val="Compact"/>
              <w:jc w:val="left"/>
            </w:pPr>
            <w:r>
              <w:t xml:space="preserve">Verified fact</w:t>
            </w:r>
          </w:p>
        </w:tc>
        <w:tc>
          <w:tcPr/>
          <w:p>
            <w:pPr>
              <w:pStyle w:val="Compact"/>
              <w:jc w:val="left"/>
            </w:pPr>
            <w:r>
              <w:t xml:space="preserve">A5-S047</w:t>
            </w:r>
          </w:p>
        </w:tc>
      </w:tr>
      <w:tr>
        <w:tc>
          <w:tcPr/>
          <w:p>
            <w:pPr>
              <w:pStyle w:val="Compact"/>
              <w:jc w:val="left"/>
            </w:pPr>
            <w:r>
              <w:t xml:space="preserve">Category</w:t>
            </w:r>
          </w:p>
        </w:tc>
        <w:tc>
          <w:tcPr/>
          <w:p>
            <w:pPr>
              <w:pStyle w:val="Compact"/>
              <w:jc w:val="left"/>
            </w:pPr>
            <w:r>
              <w:t xml:space="preserve">Model vendor with API and open-weight models (general, reasoning, coding, OCR, speech)</w:t>
            </w:r>
          </w:p>
        </w:tc>
        <w:tc>
          <w:tcPr/>
          <w:p>
            <w:pPr>
              <w:pStyle w:val="Compact"/>
              <w:jc w:val="left"/>
            </w:pPr>
            <w:r>
              <w:t xml:space="preserve">Reported</w:t>
            </w:r>
          </w:p>
        </w:tc>
        <w:tc>
          <w:tcPr/>
          <w:p>
            <w:pPr>
              <w:pStyle w:val="Compact"/>
              <w:jc w:val="left"/>
            </w:pPr>
            <w:r>
              <w:t xml:space="preserve">A5-S038</w:t>
            </w:r>
          </w:p>
        </w:tc>
      </w:tr>
      <w:tr>
        <w:tc>
          <w:tcPr/>
          <w:p>
            <w:pPr>
              <w:pStyle w:val="Compact"/>
              <w:jc w:val="left"/>
            </w:pPr>
            <w:r>
              <w:t xml:space="preserve">Version / lineup</w:t>
            </w:r>
          </w:p>
        </w:tc>
        <w:tc>
          <w:tcPr/>
          <w:p>
            <w:pPr>
              <w:pStyle w:val="Compact"/>
              <w:jc w:val="left"/>
            </w:pPr>
            <w:r>
              <w:t xml:space="preserve">frontier_preview: Mistral Large 4, public preview 6 October 2026; ~1T total / 49-52B active MoE, multimodal, 1M context; open weights promised by end of October 2026 (27 October per VentureBeat); preview API-only in Mistral Studio. [A5-S076]; flagship_mid: Mistral Medium 3.5, 128B dense, 256K context, released 28 April 2026 (changelog lists 26 April), open weights under Modified MIT v26.04; API US$1.5 / US$7.5 per 1M. [A5-S074]; large_open: Mistral Large 3 (December 2025), 675B total / 41B active MoE, Apache 2.0. [A5-S074]; small: Mistral Small 4.0 (26.03); Ministral 3 3B/8B/14B (25.12). [A5-S</w:t>
            </w:r>
          </w:p>
        </w:tc>
        <w:tc>
          <w:tcPr/>
          <w:p>
            <w:pPr>
              <w:pStyle w:val="Compact"/>
              <w:jc w:val="left"/>
            </w:pPr>
            <w:r>
              <w:t xml:space="preserve">Verified fact</w:t>
            </w:r>
          </w:p>
        </w:tc>
        <w:tc>
          <w:tcPr/>
          <w:p>
            <w:pPr>
              <w:pStyle w:val="Compact"/>
              <w:jc w:val="left"/>
            </w:pPr>
            <w:r>
              <w:t xml:space="preserve">A5-S038, A5-S027, A5-S039, A5-S074, A5-S076, V2-S017, V2-S018</w:t>
            </w:r>
          </w:p>
        </w:tc>
      </w:tr>
      <w:tr>
        <w:tc>
          <w:tcPr/>
          <w:p>
            <w:pPr>
              <w:pStyle w:val="Compact"/>
              <w:jc w:val="left"/>
            </w:pPr>
            <w:r>
              <w:t xml:space="preserve">Licence</w:t>
            </w:r>
          </w:p>
        </w:tc>
        <w:tc>
          <w:tcPr/>
          <w:p>
            <w:pPr>
              <w:pStyle w:val="Compact"/>
              <w:jc w:val="left"/>
            </w:pPr>
            <w:r>
              <w:t xml:space="preserve">Mixed: Large 3 and Ministral 3 Apache 2.0; Medium 3.5 Modified MIT (revenue-based exceptions); Large 4 licence not yet published; some models API-only.</w:t>
            </w:r>
          </w:p>
        </w:tc>
        <w:tc>
          <w:tcPr/>
          <w:p>
            <w:pPr>
              <w:pStyle w:val="Compact"/>
              <w:jc w:val="left"/>
            </w:pPr>
            <w:r>
              <w:t xml:space="preserve">Verified fact</w:t>
            </w:r>
          </w:p>
        </w:tc>
        <w:tc>
          <w:tcPr/>
          <w:p>
            <w:pPr>
              <w:pStyle w:val="Compact"/>
              <w:jc w:val="left"/>
            </w:pPr>
            <w:r>
              <w:t xml:space="preserve">A5-S074, A5-S076, V2-S018</w:t>
            </w:r>
          </w:p>
        </w:tc>
      </w:tr>
      <w:tr>
        <w:tc>
          <w:tcPr/>
          <w:p>
            <w:pPr>
              <w:pStyle w:val="Compact"/>
              <w:jc w:val="left"/>
            </w:pPr>
            <w:r>
              <w:t xml:space="preserve">Status events</w:t>
            </w:r>
          </w:p>
        </w:tc>
        <w:tc>
          <w:tcPr/>
          <w:p>
            <w:pPr>
              <w:pStyle w:val="Compact"/>
              <w:jc w:val="left"/>
            </w:pPr>
            <w:r>
              <w:t xml:space="preserve">December 2025: Mistral Large 3, Ministral 3; March 2026: Mistral Small 4.0; April 2026: Mistral Medium 3.5 supersedes Medium 3.1 (dates inferred from model-card version codes); 6 October 2026: Mistral Large 4 public preview</w:t>
            </w:r>
          </w:p>
        </w:tc>
        <w:tc>
          <w:tcPr/>
          <w:p>
            <w:pPr>
              <w:pStyle w:val="Compact"/>
              <w:jc w:val="left"/>
            </w:pPr>
            <w:r>
              <w:t xml:space="preserve">Reported</w:t>
            </w:r>
          </w:p>
        </w:tc>
        <w:tc>
          <w:tcPr/>
          <w:p>
            <w:pPr>
              <w:pStyle w:val="Compact"/>
              <w:jc w:val="left"/>
            </w:pPr>
            <w:r>
              <w:t xml:space="preserve">A5-S038, A5-S076</w:t>
            </w:r>
          </w:p>
        </w:tc>
      </w:tr>
      <w:tr>
        <w:tc>
          <w:tcPr/>
          <w:p>
            <w:pPr>
              <w:pStyle w:val="Compact"/>
              <w:jc w:val="left"/>
            </w:pPr>
            <w:r>
              <w:t xml:space="preserve">Strategic direction</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What it does</w:t>
            </w:r>
          </w:p>
        </w:tc>
        <w:tc>
          <w:tcPr/>
          <w:p>
            <w:pPr>
              <w:pStyle w:val="Compact"/>
              <w:jc w:val="left"/>
            </w:pPr>
            <w:r>
              <w:t xml:space="preserve">General, reasoning, coding, OCR and speech models via Mistral’s API (La Plateforme) and partner clouds, with some models released as open weights.</w:t>
            </w:r>
          </w:p>
        </w:tc>
        <w:tc>
          <w:tcPr/>
          <w:p>
            <w:pPr>
              <w:pStyle w:val="Compact"/>
              <w:jc w:val="left"/>
            </w:pPr>
            <w:r>
              <w:t xml:space="preserve">Reported</w:t>
            </w:r>
          </w:p>
        </w:tc>
        <w:tc>
          <w:tcPr/>
          <w:p>
            <w:pPr>
              <w:pStyle w:val="Compact"/>
              <w:jc w:val="left"/>
            </w:pPr>
            <w:r>
              <w:t xml:space="preserve">A5-S038</w:t>
            </w:r>
          </w:p>
        </w:tc>
      </w:tr>
      <w:tr>
        <w:tc>
          <w:tcPr/>
          <w:p>
            <w:pPr>
              <w:pStyle w:val="Compact"/>
              <w:jc w:val="left"/>
            </w:pPr>
            <w:r>
              <w:t xml:space="preserve">Stack position</w:t>
            </w:r>
          </w:p>
        </w:tc>
        <w:tc>
          <w:tcPr/>
          <w:p>
            <w:pPr>
              <w:pStyle w:val="Compact"/>
              <w:jc w:val="left"/>
            </w:pPr>
            <w:r>
              <w:t xml:space="preserve">L1 foundation model; Mistral also appears at L3 (Agents) and L8 (Mistral OCR).</w:t>
            </w:r>
          </w:p>
        </w:tc>
        <w:tc>
          <w:tcPr/>
          <w:p>
            <w:pPr>
              <w:pStyle w:val="Compact"/>
              <w:jc w:val="left"/>
            </w:pPr>
            <w:r>
              <w:t xml:space="preserve">Architectural judgement</w:t>
            </w:r>
          </w:p>
        </w:tc>
        <w:tc>
          <w:tcPr/>
          <w:p>
            <w:pPr>
              <w:pStyle w:val="Compact"/>
            </w:pPr>
          </w:p>
        </w:tc>
      </w:tr>
      <w:tr>
        <w:tc>
          <w:tcPr/>
          <w:p>
            <w:pPr>
              <w:pStyle w:val="Compact"/>
              <w:jc w:val="left"/>
            </w:pPr>
            <w:r>
              <w:t xml:space="preserve">Integration</w:t>
            </w:r>
          </w:p>
        </w:tc>
        <w:tc>
          <w:tcPr/>
          <w:p>
            <w:pPr>
              <w:pStyle w:val="Compact"/>
              <w:jc w:val="left"/>
            </w:pPr>
            <w:r>
              <w:t xml:space="preserve">Mistral API; mistralai Python SDK 3.1.0 (6 October 2026).</w:t>
            </w:r>
          </w:p>
        </w:tc>
        <w:tc>
          <w:tcPr/>
          <w:p>
            <w:pPr>
              <w:pStyle w:val="Compact"/>
              <w:jc w:val="left"/>
            </w:pPr>
            <w:r>
              <w:t xml:space="preserve">Verified fact</w:t>
            </w:r>
          </w:p>
        </w:tc>
        <w:tc>
          <w:tcPr/>
          <w:p>
            <w:pPr>
              <w:pStyle w:val="Compact"/>
              <w:jc w:val="left"/>
            </w:pPr>
            <w:r>
              <w:t xml:space="preserve">A5-S047</w:t>
            </w:r>
          </w:p>
        </w:tc>
      </w:tr>
      <w:tr>
        <w:tc>
          <w:tcPr/>
          <w:p>
            <w:pPr>
              <w:pStyle w:val="Compact"/>
              <w:jc w:val="left"/>
            </w:pPr>
            <w:r>
              <w:t xml:space="preserve">Dependencies</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Certifications</w:t>
            </w:r>
          </w:p>
        </w:tc>
        <w:tc>
          <w:tcPr/>
          <w:p>
            <w:pPr>
              <w:pStyle w:val="Compact"/>
              <w:jc w:val="left"/>
            </w:pPr>
            <w:r>
              <w:t xml:space="preserve">SOC 2 Type II and ISO 27001/27701 (per Mistral help centre; reports via Trust Center on request).</w:t>
            </w:r>
          </w:p>
        </w:tc>
        <w:tc>
          <w:tcPr/>
          <w:p>
            <w:pPr>
              <w:pStyle w:val="Compact"/>
              <w:jc w:val="left"/>
            </w:pPr>
            <w:r>
              <w:t xml:space="preserve">Verified fact</w:t>
            </w:r>
          </w:p>
        </w:tc>
        <w:tc>
          <w:tcPr/>
          <w:p>
            <w:pPr>
              <w:pStyle w:val="Compact"/>
              <w:jc w:val="left"/>
            </w:pPr>
            <w:r>
              <w:t xml:space="preserve">A5-S075</w:t>
            </w:r>
          </w:p>
        </w:tc>
      </w:tr>
      <w:tr>
        <w:tc>
          <w:tcPr/>
          <w:p>
            <w:pPr>
              <w:pStyle w:val="Compact"/>
              <w:jc w:val="left"/>
            </w:pPr>
            <w:r>
              <w:t xml:space="preserve">GDPR / residency</w:t>
            </w:r>
          </w:p>
        </w:tc>
        <w:tc>
          <w:tcPr/>
          <w:p>
            <w:pPr>
              <w:pStyle w:val="Compact"/>
              <w:jc w:val="left"/>
            </w:pPr>
            <w:r>
              <w:t xml:space="preserve">Data hosted in the EU by default; optional US endpoint; EU regional endpoint api.eu.mistral.ai (10% surcharge) commits inference location; some features may transfer data outside EU (listed on Trust Center). API data not used for training; default 30-day retention for abuse monitoring; ZDR only for pay-as-you-go stateless calls, at Mistral’s discretion.</w:t>
            </w:r>
          </w:p>
        </w:tc>
        <w:tc>
          <w:tcPr/>
          <w:p>
            <w:pPr>
              <w:pStyle w:val="Compact"/>
              <w:jc w:val="left"/>
            </w:pPr>
            <w:r>
              <w:t xml:space="preserve">Verified fact</w:t>
            </w:r>
          </w:p>
        </w:tc>
        <w:tc>
          <w:tcPr/>
          <w:p>
            <w:pPr>
              <w:pStyle w:val="Compact"/>
              <w:jc w:val="left"/>
            </w:pPr>
            <w:r>
              <w:t xml:space="preserve">A5-S075</w:t>
            </w:r>
          </w:p>
        </w:tc>
      </w:tr>
      <w:tr>
        <w:tc>
          <w:tcPr/>
          <w:p>
            <w:pPr>
              <w:pStyle w:val="Compact"/>
              <w:jc w:val="left"/>
            </w:pPr>
            <w:r>
              <w:t xml:space="preserve">Security features</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Access controls</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Enterprise support</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Pricing</w:t>
            </w:r>
          </w:p>
        </w:tc>
        <w:tc>
          <w:tcPr/>
          <w:p>
            <w:pPr>
              <w:pStyle w:val="Compact"/>
              <w:jc w:val="left"/>
            </w:pPr>
            <w:r>
              <w:t xml:space="preserve">Mistral Medium 3.5: US$1.50 input / US$7.50 output per 1M; Mistral Large 3: US$0.50 / US$1.50 per 1M (aggregator); Mistral Small 4.0: US$0.15 / US$0.60 per 1M (aggregator); Mistral Large 4 preview: 50% launch discount for 2 weeks; list price not verified</w:t>
            </w:r>
          </w:p>
        </w:tc>
        <w:tc>
          <w:tcPr/>
          <w:p>
            <w:pPr>
              <w:pStyle w:val="Compact"/>
              <w:jc w:val="left"/>
            </w:pPr>
            <w:r>
              <w:t xml:space="preserve">Verified fact</w:t>
            </w:r>
          </w:p>
        </w:tc>
        <w:tc>
          <w:tcPr/>
          <w:p>
            <w:pPr>
              <w:pStyle w:val="Compact"/>
              <w:jc w:val="left"/>
            </w:pPr>
            <w:r>
              <w:t xml:space="preserve">A5-S074, A5-S038, A5-S076</w:t>
            </w:r>
          </w:p>
        </w:tc>
      </w:tr>
      <w:tr>
        <w:tc>
          <w:tcPr/>
          <w:p>
            <w:pPr>
              <w:pStyle w:val="Compact"/>
              <w:jc w:val="left"/>
            </w:pPr>
            <w:r>
              <w:t xml:space="preserve">Infrastructure cost</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Ecosystem</w:t>
            </w:r>
          </w:p>
        </w:tc>
        <w:tc>
          <w:tcPr/>
          <w:p>
            <w:pPr>
              <w:pStyle w:val="Compact"/>
              <w:jc w:val="left"/>
            </w:pPr>
            <w:r>
              <w:t xml:space="preserve">Google Cloud, Amazon Bedrock, Microsoft Foundry, Scaleway (Medium 3.5 128B), OpenRouter; SGLang day-0 support for Large 3.</w:t>
            </w:r>
          </w:p>
        </w:tc>
        <w:tc>
          <w:tcPr/>
          <w:p>
            <w:pPr>
              <w:pStyle w:val="Compact"/>
              <w:jc w:val="left"/>
            </w:pPr>
            <w:r>
              <w:t xml:space="preserve">Reported</w:t>
            </w:r>
          </w:p>
        </w:tc>
        <w:tc>
          <w:tcPr/>
          <w:p>
            <w:pPr>
              <w:pStyle w:val="Compact"/>
              <w:jc w:val="left"/>
            </w:pPr>
            <w:r>
              <w:t xml:space="preserve">A5-S027, A5-S038, A5-S039</w:t>
            </w:r>
          </w:p>
        </w:tc>
      </w:tr>
      <w:tr>
        <w:tc>
          <w:tcPr/>
          <w:p>
            <w:pPr>
              <w:pStyle w:val="Compact"/>
              <w:jc w:val="left"/>
            </w:pPr>
            <w:r>
              <w:t xml:space="preserve">Adoption signals</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Maturity</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Deployment</w:t>
            </w:r>
          </w:p>
        </w:tc>
        <w:tc>
          <w:tcPr/>
          <w:p>
            <w:pPr>
              <w:pStyle w:val="Compact"/>
              <w:jc w:val="left"/>
            </w:pPr>
            <w:r>
              <w:t xml:space="preserve">saas: Yes; managed_cloud: Yes (Google Cloud: Medium 3, Small 3.1, Codestral 2, OCR; Bedrock: Large 3, Devstral 2, Ministral 3, Magistral Small, Pixtral Large incl. eu., Voxtral; Microsoft Foundry: Large 3, Medium 3.5, OCR 4); vpc_byoc: Not publicly verified; private_cloud: Not publicly verified; self_hosted: Yes (open-weight models: Large 3, Medium 3.5, Ministral 3); on_prem: Yes (open-weight models)</w:t>
            </w:r>
          </w:p>
        </w:tc>
        <w:tc>
          <w:tcPr/>
          <w:p>
            <w:pPr>
              <w:pStyle w:val="Compact"/>
            </w:pPr>
          </w:p>
        </w:tc>
        <w:tc>
          <w:tcPr/>
          <w:p>
            <w:pPr>
              <w:pStyle w:val="Compact"/>
            </w:pPr>
          </w:p>
        </w:tc>
      </w:tr>
    </w:tbl>
    <w:bookmarkEnd w:id="1540"/>
    <w:bookmarkStart w:id="1572" w:name="Xabdb94e59ab8438d23bd5e19cc4cdbe32dfd638"/>
    <w:p>
      <w:pPr>
        <w:pStyle w:val="Heading2"/>
      </w:pPr>
      <w:r>
        <w:t xml:space="preserve">Anthropic Claude model family (Claude Fable 5.1, Claude Opus 5.5, Claude Sonnet 5.5, Claude Haiku 5.5; restricted Claude Mythos 5.1) (</w:t>
      </w:r>
      <w:r>
        <w:rPr>
          <w:rStyle w:val="VerbatimChar"/>
        </w:rPr>
        <w:t xml:space="preserve">L1-anthropic</w:t>
      </w:r>
      <w:r>
        <w:t xml:space="preserve">)</w:t>
      </w:r>
    </w:p>
    <w:p>
      <w:pPr>
        <w:pStyle w:val="FirstParagraph"/>
      </w:pPr>
      <w:r>
        <w:rPr>
          <w:bCs/>
          <w:b/>
        </w:rPr>
        <w:t xml:space="preserve">Tier:</w:t>
      </w:r>
      <w:r>
        <w:t xml:space="preserve"> </w:t>
      </w:r>
      <w:r>
        <w:t xml:space="preserve">Strategic ·</w:t>
      </w:r>
      <w:r>
        <w:t xml:space="preserve"> </w:t>
      </w:r>
      <w:r>
        <w:rPr>
          <w:bCs/>
          <w:b/>
        </w:rPr>
        <w:t xml:space="preserve">Flags:</w:t>
      </w:r>
      <w:r>
        <w:t xml:space="preserve"> </w:t>
      </w:r>
      <w:r>
        <w:t xml:space="preserve">none ·</w:t>
      </w:r>
      <w:r>
        <w:t xml:space="preserve"> </w:t>
      </w:r>
      <w:r>
        <w:rPr>
          <w:bCs/>
          <w:b/>
        </w:rPr>
        <w:t xml:space="preserve">Original graphic label:</w:t>
      </w:r>
      <w:r>
        <w:t xml:space="preserve"> </w:t>
      </w:r>
      <w:r>
        <w:t xml:space="preserve">Claude – Opus 5.5</w:t>
      </w:r>
    </w:p>
    <w:p>
      <w:pPr>
        <w:pStyle w:val="BodyText"/>
      </w:pPr>
      <w:r>
        <w:rPr>
          <w:iCs/>
          <w:i/>
        </w:rPr>
        <w:t xml:space="preserve">Rationale:</w:t>
      </w:r>
      <w:r>
        <w:t xml:space="preserve"> </w:t>
      </w:r>
      <w:r>
        <w:t xml:space="preserve">Strategic, conditional: consumed only through a hyperscaler EU or UK region (Bedrock regional endpoint or Google Cloud EU), as one of two frontier and mid-tier vendors with a non-Anthropic fallback qualified on the same evaluation suite, not as the sole frontier model; independent alternatives are OpenAI GPT-6.1 Sol, Gemini 3.8 Flash and Mistral Medium 3.5. FS 3.80 with no criterion below 3. Tier and neutral scoring set by the reader at Checkpoint 4 (CP4-1); the author’s pipeline had resolved three borderline scores against Anthropic. Security 5 and cost 4 are the neutral rubric values identified in CP4 review C (previously 4 and 3). The first-party residency gap and the June 2026 Fable 5 suspension remain factual weaknesses and are stated as conditions. Conflict of interest: the author is an Anthropic model</w:t>
      </w:r>
      <w:r>
        <w:t xml:space="preserve"> </w:t>
      </w:r>
      <w:r>
        <w:rPr>
          <w:rStyle w:val="ClaimLabel"/>
        </w:rPr>
        <w:t xml:space="preserve">AJ</w:t>
      </w:r>
      <w:r>
        <w:t xml:space="preserve">.</w:t>
      </w:r>
    </w:p>
    <w:tbl>
      <w:tblPr>
        <w:tblStyle w:val="Table"/>
        <w:tblW w:type="pct" w:w="5000"/>
        <w:tblLook w:firstRow="1" w:lastRow="0" w:firstColumn="0" w:lastColumn="0" w:noHBand="0" w:noVBand="0" w:val="0020"/>
        <w:jc w:val="start"/>
      </w:tblPr>
      <w:tblGrid>
        <w:gridCol w:w="1545"/>
        <w:gridCol w:w="579"/>
        <w:gridCol w:w="5795"/>
      </w:tblGrid>
      <w:tr>
        <w:trPr>
          <w:tblHeader w:val="true"/>
        </w:trPr>
        <w:tc>
          <w:tcPr/>
          <w:p>
            <w:pPr>
              <w:pStyle w:val="Compact"/>
              <w:jc w:val="left"/>
            </w:pPr>
            <w:r>
              <w:t xml:space="preserve">Criterion</w:t>
            </w:r>
          </w:p>
        </w:tc>
        <w:tc>
          <w:tcPr/>
          <w:p>
            <w:pPr>
              <w:pStyle w:val="Compact"/>
              <w:jc w:val="right"/>
            </w:pPr>
            <w:r>
              <w:t xml:space="preserve">Score</w:t>
            </w:r>
          </w:p>
        </w:tc>
        <w:tc>
          <w:tcPr/>
          <w:p>
            <w:pPr>
              <w:pStyle w:val="Compact"/>
              <w:jc w:val="left"/>
            </w:pPr>
            <w:r>
              <w:t xml:space="preserve">Rationale</w:t>
            </w:r>
          </w:p>
        </w:tc>
      </w:tr>
      <w:tr>
        <w:tc>
          <w:tcPr/>
          <w:p>
            <w:pPr>
              <w:pStyle w:val="Compact"/>
              <w:jc w:val="left"/>
            </w:pPr>
            <w:r>
              <w:t xml:space="preserve">Technical</w:t>
            </w:r>
          </w:p>
        </w:tc>
        <w:tc>
          <w:tcPr/>
          <w:p>
            <w:pPr>
              <w:pStyle w:val="Compact"/>
              <w:jc w:val="right"/>
            </w:pPr>
            <w:r>
              <w:t xml:space="preserve">4</w:t>
            </w:r>
          </w:p>
        </w:tc>
        <w:tc>
          <w:tcPr/>
          <w:p>
            <w:pPr>
              <w:pStyle w:val="Compact"/>
              <w:jc w:val="left"/>
            </w:pPr>
            <w:r>
              <w:t xml:space="preserve">Four GA tiers with 1M context, reasoning, image input and coding (A5-S010); no open-weight, audio or image-output models and no GA specialist line, so fewer plan §5 questions covered than OpenAI or Google; borderline 4/5 resolved against Anthropic (conflict rule). CP4 review C found 4 is also the neutral value on peers; unchanged at CP4.</w:t>
            </w:r>
          </w:p>
        </w:tc>
      </w:tr>
      <w:tr>
        <w:tc>
          <w:tcPr/>
          <w:p>
            <w:pPr>
              <w:pStyle w:val="Compact"/>
              <w:jc w:val="left"/>
            </w:pPr>
            <w:r>
              <w:t xml:space="preserve">Enterprise readiness</w:t>
            </w:r>
          </w:p>
        </w:tc>
        <w:tc>
          <w:tcPr/>
          <w:p>
            <w:pPr>
              <w:pStyle w:val="Compact"/>
              <w:jc w:val="right"/>
            </w:pPr>
            <w:r>
              <w:t xml:space="preserve">4</w:t>
            </w:r>
          </w:p>
        </w:tc>
        <w:tc>
          <w:tcPr/>
          <w:p>
            <w:pPr>
              <w:pStyle w:val="Compact"/>
              <w:jc w:val="left"/>
            </w:pPr>
            <w:r>
              <w:t xml:space="preserve">Workspaces, Admin API, Compliance API / Activity Feed and WIF verified (A5-S013, A5-S018) plus in-tenant hyperscaler routes (rule 6); not 5 because SSO/SCIM detail and SLA are NPV. Platform controls presumed (CP2 Q1); confirm per service.</w:t>
            </w:r>
          </w:p>
        </w:tc>
      </w:tr>
      <w:tr>
        <w:tc>
          <w:tcPr/>
          <w:p>
            <w:pPr>
              <w:pStyle w:val="Compact"/>
              <w:jc w:val="left"/>
            </w:pPr>
            <w:r>
              <w:t xml:space="preserve">Security and compliance</w:t>
            </w:r>
          </w:p>
        </w:tc>
        <w:tc>
          <w:tcPr/>
          <w:p>
            <w:pPr>
              <w:pStyle w:val="Compact"/>
              <w:jc w:val="right"/>
            </w:pPr>
            <w:r>
              <w:t xml:space="preserve">5</w:t>
            </w:r>
          </w:p>
        </w:tc>
        <w:tc>
          <w:tcPr/>
          <w:p>
            <w:pPr>
              <w:pStyle w:val="Compact"/>
              <w:jc w:val="left"/>
            </w:pPr>
            <w:r>
              <w:t xml:space="preserve">Product-scoped SOC 2 Type II, ISO 27001 and ISO 42001 covering the API and Claude in Bedrock and Google Cloud, plus CMEK in the admin console (A5-S021, V2-S063, A5-S013), meet the rule-8 test for 5. Set to 5, the neutral rubric value, by the reader at Checkpoint 4 (CP4-1; previously held at 4 against Anthropic). Residency and ZDR are optional extras under the anchor, so the absence of a first-party EU/UK inference geography (V2-S075) and the top tier’s conflicting ZDR position (A5-S023, A5-S016) are carried as tier conditions, not score deductions; the Azure-hosted Foundry deployment is still</w:t>
            </w:r>
            <w:r>
              <w:t xml:space="preserve"> </w:t>
            </w:r>
            <w:r>
              <w:t xml:space="preserve">‘</w:t>
            </w:r>
            <w:r>
              <w:t xml:space="preserve">In-Process Q4 2026</w:t>
            </w:r>
            <w:r>
              <w:t xml:space="preserve">’</w:t>
            </w:r>
            <w:r>
              <w:t xml:space="preserve"> </w:t>
            </w:r>
            <w:r>
              <w:t xml:space="preserve">for certification (V2-S063).</w:t>
            </w:r>
          </w:p>
        </w:tc>
      </w:tr>
      <w:tr>
        <w:tc>
          <w:tcPr/>
          <w:p>
            <w:pPr>
              <w:pStyle w:val="Compact"/>
              <w:jc w:val="left"/>
            </w:pPr>
            <w:r>
              <w:t xml:space="preserve">Deployment flexibility</w:t>
            </w:r>
          </w:p>
        </w:tc>
        <w:tc>
          <w:tcPr/>
          <w:p>
            <w:pPr>
              <w:pStyle w:val="Compact"/>
              <w:jc w:val="right"/>
            </w:pPr>
            <w:r>
              <w:t xml:space="preserve">3</w:t>
            </w:r>
          </w:p>
        </w:tc>
        <w:tc>
          <w:tcPr/>
          <w:p>
            <w:pPr>
              <w:pStyle w:val="Compact"/>
              <w:jc w:val="left"/>
            </w:pPr>
            <w:r>
              <w:t xml:space="preserve">First-party SaaS plus Bedrock, Google Cloud, Foundry and Claude Platform on AWS; no self-hosting or on-premises (A5-S010).</w:t>
            </w:r>
          </w:p>
        </w:tc>
      </w:tr>
      <w:tr>
        <w:tc>
          <w:tcPr/>
          <w:p>
            <w:pPr>
              <w:pStyle w:val="Compact"/>
              <w:jc w:val="left"/>
            </w:pPr>
            <w:r>
              <w:t xml:space="preserve">Ecosystem</w:t>
            </w:r>
          </w:p>
        </w:tc>
        <w:tc>
          <w:tcPr/>
          <w:p>
            <w:pPr>
              <w:pStyle w:val="Compact"/>
              <w:jc w:val="right"/>
            </w:pPr>
            <w:r>
              <w:t xml:space="preserve">4</w:t>
            </w:r>
          </w:p>
        </w:tc>
        <w:tc>
          <w:tcPr/>
          <w:p>
            <w:pPr>
              <w:pStyle w:val="Compact"/>
              <w:jc w:val="left"/>
            </w:pPr>
            <w:r>
              <w:t xml:space="preserve">Three hyperscalers and an OpenAI SDK compatibility endpoint (A5-S010); the API itself is not the de facto standard; borderline 4/5 resolved against Anthropic. CP4 review C found 4 is also the neutral value on peers; unchanged at CP4.</w:t>
            </w:r>
          </w:p>
        </w:tc>
      </w:tr>
      <w:tr>
        <w:tc>
          <w:tcPr/>
          <w:p>
            <w:pPr>
              <w:pStyle w:val="Compact"/>
              <w:jc w:val="left"/>
            </w:pPr>
            <w:r>
              <w:t xml:space="preserve">Reliability and maturity</w:t>
            </w:r>
          </w:p>
        </w:tc>
        <w:tc>
          <w:tcPr/>
          <w:p>
            <w:pPr>
              <w:pStyle w:val="Compact"/>
              <w:jc w:val="right"/>
            </w:pPr>
            <w:r>
              <w:t xml:space="preserve">3</w:t>
            </w:r>
          </w:p>
        </w:tc>
        <w:tc>
          <w:tcPr/>
          <w:p>
            <w:pPr>
              <w:pStyle w:val="Compact"/>
              <w:jc w:val="left"/>
            </w:pPr>
            <w:r>
              <w:t xml:space="preserve">Published retirement commitments (A5-S010) are positive, but top-tier access was suspended 12 June to 1 July 2026 (V2-S004), four models shipped in five weeks, and the D.C. Circuit upheld a federal supply-chain-risk designation (A5-S084).</w:t>
            </w:r>
          </w:p>
        </w:tc>
      </w:tr>
      <w:tr>
        <w:tc>
          <w:tcPr/>
          <w:p>
            <w:pPr>
              <w:pStyle w:val="Compact"/>
              <w:jc w:val="left"/>
            </w:pPr>
            <w:r>
              <w:t xml:space="preserve">Cost / TCO</w:t>
            </w:r>
          </w:p>
        </w:tc>
        <w:tc>
          <w:tcPr/>
          <w:p>
            <w:pPr>
              <w:pStyle w:val="Compact"/>
              <w:jc w:val="right"/>
            </w:pPr>
            <w:r>
              <w:t xml:space="preserve">4</w:t>
            </w:r>
          </w:p>
        </w:tc>
        <w:tc>
          <w:tcPr/>
          <w:p>
            <w:pPr>
              <w:pStyle w:val="Compact"/>
              <w:jc w:val="left"/>
            </w:pPr>
            <w:r>
              <w:t xml:space="preserve">Transparent; list prices equal OpenAI’s at every tier (Fable 5.1 = Astra US$10/US$50; Sonnet 5.5 = GPT-6.1 Sol US$2/US$10; Haiku 5.5 = Luna US$0.10/US$0.50 per 1M) with a 50% batch discount (A5-S011, A5-S004), and OpenAI scores 4. The 10% regional premium does not hold peers at 3 (Mistral and Grok score 4), and the dearer recommended default (Opus 5.5, US$4/US$20) is a deployment choice, not a vendor price. Set to 4, the neutral rubric value, by the reader at Checkpoint 4 (CP4-1; previously 3).</w:t>
            </w:r>
          </w:p>
        </w:tc>
      </w:tr>
      <w:tr>
        <w:tc>
          <w:tcPr/>
          <w:p>
            <w:pPr>
              <w:pStyle w:val="Compact"/>
              <w:jc w:val="left"/>
            </w:pPr>
            <w:r>
              <w:t xml:space="preserve">Lock-in / portability</w:t>
            </w:r>
          </w:p>
        </w:tc>
        <w:tc>
          <w:tcPr/>
          <w:p>
            <w:pPr>
              <w:pStyle w:val="Compact"/>
              <w:jc w:val="right"/>
            </w:pPr>
            <w:r>
              <w:t xml:space="preserve">3</w:t>
            </w:r>
          </w:p>
        </w:tc>
        <w:tc>
          <w:tcPr/>
          <w:p>
            <w:pPr>
              <w:pStyle w:val="Compact"/>
              <w:jc w:val="left"/>
            </w:pPr>
            <w:r>
              <w:t xml:space="preserve">Proprietary API with no open weights, but on three clouds and with an OpenAI-compatible endpoint, so a gateway can switch it out.</w:t>
            </w:r>
          </w:p>
        </w:tc>
      </w:tr>
      <w:tr>
        <w:tc>
          <w:tcPr/>
          <w:p>
            <w:pPr>
              <w:pStyle w:val="Compact"/>
              <w:jc w:val="left"/>
            </w:pPr>
            <w:r>
              <w:rPr>
                <w:bCs/>
                <w:b/>
              </w:rPr>
              <w:t xml:space="preserve">Total (generic / FS)</w:t>
            </w:r>
          </w:p>
        </w:tc>
        <w:tc>
          <w:tcPr/>
          <w:p>
            <w:pPr>
              <w:pStyle w:val="Compact"/>
              <w:jc w:val="right"/>
            </w:pPr>
            <w:r>
              <w:rPr>
                <w:bCs/>
                <w:b/>
              </w:rPr>
              <w:t xml:space="preserve">3.85 / 3.80</w:t>
            </w:r>
          </w:p>
        </w:tc>
        <w:tc>
          <w:tcPr/>
          <w:p>
            <w:pPr>
              <w:pStyle w:val="Compact"/>
            </w:pPr>
          </w:p>
        </w:tc>
      </w:tr>
    </w:tbl>
    <w:p>
      <w:pPr>
        <w:pStyle w:val="BodyText"/>
      </w:pPr>
      <w:r>
        <w:rPr>
          <w:bCs/>
          <w:b/>
        </w:rPr>
        <w:t xml:space="preserve">Capabilities.</w:t>
      </w:r>
      <w:r>
        <w:t xml:space="preserve"> </w:t>
      </w:r>
      <w:r>
        <w:t xml:space="preserve">Proprietary Claude family: Claude Fable 5.1 (top GA tier, 1 September 2026), Opus 5.5 (22 September 2026; Anthropic’s recommended starting point), Sonnet 5.5 (28 September 2026) and Haiku 5.5 (7 October 2026); Mythos 5.1 is the same model as Fable 5.1 with looser safeguards for trusted-access programmes only; all four GA models have adaptive thinking, text and image input, text output, 1M-token context and 128K output; no open weights</w:t>
      </w:r>
      <w:r>
        <w:t xml:space="preserve"> </w:t>
      </w:r>
      <w:r>
        <w:rPr>
          <w:rStyle w:val="ClaimLabel"/>
        </w:rPr>
        <w:t xml:space="preserve">VF</w:t>
      </w:r>
      <w:r>
        <w:rPr>
          <w:rStyle w:val="FootnoteReference"/>
        </w:rPr>
        <w:footnoteReference w:id="1541"/>
      </w:r>
      <w:r>
        <w:t xml:space="preserve">. Conflict of interest: the author is an Anthropic model.</w:t>
      </w:r>
    </w:p>
    <w:p>
      <w:pPr>
        <w:pStyle w:val="BodyText"/>
      </w:pPr>
      <w:r>
        <w:rPr>
          <w:bCs/>
          <w:b/>
        </w:rPr>
        <w:t xml:space="preserve">Strengths</w:t>
      </w:r>
    </w:p>
    <w:p>
      <w:pPr>
        <w:numPr>
          <w:ilvl w:val="0"/>
          <w:numId w:val="1329"/>
        </w:numPr>
        <w:pStyle w:val="Compact"/>
      </w:pPr>
      <w:r>
        <w:t xml:space="preserve">Available on all three hyperscalers (Bedrock, Google Cloud, Microsoft Foundry) plus Claude Platform on AWS and the first-party API</w:t>
      </w:r>
      <w:r>
        <w:t xml:space="preserve"> </w:t>
      </w:r>
      <w:r>
        <w:rPr>
          <w:rStyle w:val="ClaimLabel"/>
        </w:rPr>
        <w:t xml:space="preserve">VF</w:t>
      </w:r>
      <w:r>
        <w:rPr>
          <w:rStyle w:val="FootnoteReference"/>
        </w:rPr>
        <w:footnoteReference w:id="1547"/>
      </w:r>
    </w:p>
    <w:p>
      <w:pPr>
        <w:numPr>
          <w:ilvl w:val="0"/>
          <w:numId w:val="1329"/>
        </w:numPr>
        <w:pStyle w:val="Compact"/>
      </w:pPr>
      <w:r>
        <w:t xml:space="preserve">SOC 2 Type II, ISO 27001:2022 and ISO/IEC 42001:2023 with stated scope covering the API and Claude in Bedrock and Google Cloud</w:t>
      </w:r>
      <w:r>
        <w:t xml:space="preserve"> </w:t>
      </w:r>
      <w:r>
        <w:rPr>
          <w:rStyle w:val="ClaimLabel"/>
        </w:rPr>
        <w:t xml:space="preserve">VF</w:t>
      </w:r>
      <w:r>
        <w:rPr>
          <w:rStyle w:val="FootnoteReference"/>
        </w:rPr>
        <w:footnoteReference w:id="1548"/>
      </w:r>
    </w:p>
    <w:p>
      <w:pPr>
        <w:numPr>
          <w:ilvl w:val="0"/>
          <w:numId w:val="1329"/>
        </w:numPr>
        <w:pStyle w:val="Compact"/>
      </w:pPr>
      <w:r>
        <w:t xml:space="preserve">Documented admin controls: Workspaces, Admin API, Workload Identity Federation, Compliance API / Activity Feed with 6-year retention, CMEK listed in the admin console</w:t>
      </w:r>
      <w:r>
        <w:t xml:space="preserve"> </w:t>
      </w:r>
      <w:r>
        <w:rPr>
          <w:rStyle w:val="ClaimLabel"/>
        </w:rPr>
        <w:t xml:space="preserve">VF</w:t>
      </w:r>
      <w:r>
        <w:rPr>
          <w:rStyle w:val="FootnoteReference"/>
        </w:rPr>
        <w:footnoteReference w:id="1550"/>
      </w:r>
    </w:p>
    <w:p>
      <w:pPr>
        <w:numPr>
          <w:ilvl w:val="0"/>
          <w:numId w:val="1329"/>
        </w:numPr>
        <w:pStyle w:val="Compact"/>
      </w:pPr>
      <w:r>
        <w:t xml:space="preserve">Published retirement commitments (</w:t>
      </w:r>
      <w:r>
        <w:t xml:space="preserve">‘</w:t>
      </w:r>
      <w:r>
        <w:t xml:space="preserve">not sooner than</w:t>
      </w:r>
      <w:r>
        <w:t xml:space="preserve">’</w:t>
      </w:r>
      <w:r>
        <w:t xml:space="preserve"> </w:t>
      </w:r>
      <w:r>
        <w:t xml:space="preserve">September/October 2027) for current models</w:t>
      </w:r>
      <w:r>
        <w:t xml:space="preserve"> </w:t>
      </w:r>
      <w:r>
        <w:rPr>
          <w:rStyle w:val="ClaimLabel"/>
        </w:rPr>
        <w:t xml:space="preserve">VF</w:t>
      </w:r>
      <w:r>
        <w:rPr>
          <w:rStyle w:val="FootnoteReference"/>
        </w:rPr>
        <w:footnoteReference w:id="1553"/>
      </w:r>
    </w:p>
    <w:p>
      <w:pPr>
        <w:pStyle w:val="FirstParagraph"/>
      </w:pPr>
      <w:r>
        <w:rPr>
          <w:bCs/>
          <w:b/>
        </w:rPr>
        <w:t xml:space="preserve">Limitations and risks</w:t>
      </w:r>
    </w:p>
    <w:p>
      <w:pPr>
        <w:numPr>
          <w:ilvl w:val="0"/>
          <w:numId w:val="1330"/>
        </w:numPr>
        <w:pStyle w:val="Compact"/>
      </w:pPr>
      <w:r>
        <w:t xml:space="preserve">No first-party EU or UK inference option: inference_geo is</w:t>
      </w:r>
      <w:r>
        <w:t xml:space="preserve"> </w:t>
      </w:r>
      <w:r>
        <w:t xml:space="preserve">‘</w:t>
      </w:r>
      <w:r>
        <w:t xml:space="preserve">global</w:t>
      </w:r>
      <w:r>
        <w:t xml:space="preserve">’</w:t>
      </w:r>
      <w:r>
        <w:t xml:space="preserve"> </w:t>
      </w:r>
      <w:r>
        <w:t xml:space="preserve">or</w:t>
      </w:r>
      <w:r>
        <w:t xml:space="preserve"> </w:t>
      </w:r>
      <w:r>
        <w:t xml:space="preserve">‘</w:t>
      </w:r>
      <w:r>
        <w:t xml:space="preserve">us</w:t>
      </w:r>
      <w:r>
        <w:t xml:space="preserve">’</w:t>
      </w:r>
      <w:r>
        <w:t xml:space="preserve"> </w:t>
      </w:r>
      <w:r>
        <w:t xml:space="preserve">only and workspace geo is</w:t>
      </w:r>
      <w:r>
        <w:t xml:space="preserve"> </w:t>
      </w:r>
      <w:r>
        <w:t xml:space="preserve">‘</w:t>
      </w:r>
      <w:r>
        <w:t xml:space="preserve">us</w:t>
      </w:r>
      <w:r>
        <w:t xml:space="preserve">’</w:t>
      </w:r>
      <w:r>
        <w:t xml:space="preserve"> </w:t>
      </w:r>
      <w:r>
        <w:t xml:space="preserve">only; EU processing requires Google Cloud EU or Bedrock regional endpoints at a 10% premium</w:t>
      </w:r>
      <w:r>
        <w:t xml:space="preserve"> </w:t>
      </w:r>
      <w:r>
        <w:rPr>
          <w:rStyle w:val="ClaimLabel"/>
        </w:rPr>
        <w:t xml:space="preserve">VF</w:t>
      </w:r>
      <w:r>
        <w:rPr>
          <w:rStyle w:val="FootnoteReference"/>
        </w:rPr>
        <w:footnoteReference w:id="1554"/>
      </w:r>
    </w:p>
    <w:p>
      <w:pPr>
        <w:numPr>
          <w:ilvl w:val="0"/>
          <w:numId w:val="1330"/>
        </w:numPr>
        <w:pStyle w:val="Compact"/>
      </w:pPr>
      <w:r>
        <w:t xml:space="preserve">Claude Fable 5 access was suspended on 12 June 2026 and restored from 1 July 2026</w:t>
      </w:r>
      <w:r>
        <w:t xml:space="preserve"> </w:t>
      </w:r>
      <w:r>
        <w:rPr>
          <w:rStyle w:val="ClaimLabel"/>
        </w:rPr>
        <w:t xml:space="preserve">VF</w:t>
      </w:r>
      <w:r>
        <w:rPr>
          <w:rStyle w:val="FootnoteReference"/>
        </w:rPr>
        <w:footnoteReference w:id="1557"/>
      </w:r>
    </w:p>
    <w:p>
      <w:pPr>
        <w:numPr>
          <w:ilvl w:val="0"/>
          <w:numId w:val="1330"/>
        </w:numPr>
        <w:pStyle w:val="Compact"/>
      </w:pPr>
      <w:r>
        <w:t xml:space="preserve">Fable 5.1 is a</w:t>
      </w:r>
      <w:r>
        <w:t xml:space="preserve"> </w:t>
      </w:r>
      <w:r>
        <w:t xml:space="preserve">‘</w:t>
      </w:r>
      <w:r>
        <w:t xml:space="preserve">Covered Model</w:t>
      </w:r>
      <w:r>
        <w:t xml:space="preserve">’</w:t>
      </w:r>
      <w:r>
        <w:t xml:space="preserve"> </w:t>
      </w:r>
      <w:r>
        <w:t xml:space="preserve">requiring 30-day retention unless expressly authorised, which conflicts with the launch post on ZDR eligibility</w:t>
      </w:r>
      <w:r>
        <w:t xml:space="preserve"> </w:t>
      </w:r>
      <w:r>
        <w:rPr>
          <w:rStyle w:val="ClaimLabel"/>
        </w:rPr>
        <w:t xml:space="preserve">VF</w:t>
      </w:r>
      <w:r>
        <w:rPr>
          <w:rStyle w:val="FootnoteReference"/>
        </w:rPr>
        <w:footnoteReference w:id="1559"/>
      </w:r>
    </w:p>
    <w:p>
      <w:pPr>
        <w:numPr>
          <w:ilvl w:val="0"/>
          <w:numId w:val="1330"/>
        </w:numPr>
        <w:pStyle w:val="Compact"/>
      </w:pPr>
      <w:r>
        <w:t xml:space="preserve">On 25 September 2026 the D.C. Circuit (No. 26-1049) upheld, 2-1, the US Department of Defense’s FASCSA supply-chain-risk designation of Anthropic, with effect stayed pending a rehearing petition; a separate N.D. Cal. ruling of 27 August 2026 held the other (s.3252) designation unlawful</w:t>
      </w:r>
      <w:r>
        <w:t xml:space="preserve"> </w:t>
      </w:r>
      <w:r>
        <w:rPr>
          <w:rStyle w:val="ClaimLabel"/>
        </w:rPr>
        <w:t xml:space="preserve">VF</w:t>
      </w:r>
      <w:r>
        <w:rPr>
          <w:rStyle w:val="FootnoteReference"/>
        </w:rPr>
        <w:footnoteReference w:id="1561"/>
      </w:r>
      <w:r>
        <w:t xml:space="preserve"> </w:t>
      </w:r>
      <w:r>
        <w:rPr>
          <w:rStyle w:val="ClaimLabel"/>
        </w:rPr>
        <w:t xml:space="preserve">R</w:t>
      </w:r>
      <w:r>
        <w:rPr>
          <w:rStyle w:val="FootnoteReference"/>
        </w:rPr>
        <w:footnoteReference w:id="1564"/>
      </w:r>
    </w:p>
    <w:p>
      <w:pPr>
        <w:numPr>
          <w:ilvl w:val="0"/>
          <w:numId w:val="1330"/>
        </w:numPr>
        <w:pStyle w:val="Compact"/>
      </w:pPr>
      <w:r>
        <w:t xml:space="preserve">Bartz v. Anthropic US$1.5bn class settlement over pirated books received final approval on 20 July 2026</w:t>
      </w:r>
      <w:r>
        <w:t xml:space="preserve"> </w:t>
      </w:r>
      <w:r>
        <w:rPr>
          <w:rStyle w:val="ClaimLabel"/>
        </w:rPr>
        <w:t xml:space="preserve">VF</w:t>
      </w:r>
      <w:r>
        <w:rPr>
          <w:rStyle w:val="FootnoteReference"/>
        </w:rPr>
        <w:footnoteReference w:id="1566"/>
      </w:r>
      <w:r>
        <w:t xml:space="preserve"> </w:t>
      </w:r>
      <w:r>
        <w:rPr>
          <w:rStyle w:val="ClaimLabel"/>
        </w:rPr>
        <w:t xml:space="preserve">R</w:t>
      </w:r>
      <w:r>
        <w:rPr>
          <w:rStyle w:val="FootnoteReference"/>
        </w:rPr>
        <w:footnoteReference w:id="1568"/>
      </w:r>
    </w:p>
    <w:p>
      <w:pPr>
        <w:numPr>
          <w:ilvl w:val="0"/>
          <w:numId w:val="1330"/>
        </w:numPr>
        <w:pStyle w:val="Compact"/>
      </w:pPr>
      <w:r>
        <w:t xml:space="preserve">No open weights; no audio or image output</w:t>
      </w:r>
      <w:r>
        <w:t xml:space="preserve"> </w:t>
      </w:r>
      <w:r>
        <w:rPr>
          <w:rStyle w:val="ClaimLabel"/>
        </w:rPr>
        <w:t xml:space="preserve">VF</w:t>
      </w:r>
      <w:r>
        <w:rPr>
          <w:rStyle w:val="FootnoteReference"/>
        </w:rPr>
        <w:footnoteReference w:id="1570"/>
      </w:r>
    </w:p>
    <w:p>
      <w:pPr>
        <w:numPr>
          <w:ilvl w:val="0"/>
          <w:numId w:val="1330"/>
        </w:numPr>
        <w:pStyle w:val="Compact"/>
      </w:pPr>
      <w:r>
        <w:t xml:space="preserve">Claude in Microsoft Foundry hosted on Azure is listed as certification</w:t>
      </w:r>
      <w:r>
        <w:t xml:space="preserve"> </w:t>
      </w:r>
      <w:r>
        <w:t xml:space="preserve">‘</w:t>
      </w:r>
      <w:r>
        <w:t xml:space="preserve">In-Process Q4 2026</w:t>
      </w:r>
      <w:r>
        <w:t xml:space="preserve">’</w:t>
      </w:r>
      <w:r>
        <w:t xml:space="preserve"> </w:t>
      </w:r>
      <w:r>
        <w:rPr>
          <w:rStyle w:val="ClaimLabel"/>
        </w:rPr>
        <w:t xml:space="preserve">VF</w:t>
      </w:r>
      <w:r>
        <w:rPr>
          <w:rStyle w:val="FootnoteReference"/>
        </w:rPr>
        <w:footnoteReference w:id="1571"/>
      </w:r>
    </w:p>
    <w:p>
      <w:pPr>
        <w:numPr>
          <w:ilvl w:val="0"/>
          <w:numId w:val="1330"/>
        </w:numPr>
        <w:pStyle w:val="Compact"/>
      </w:pPr>
      <w:r>
        <w:t xml:space="preserve">Enterprise support tiers and SLA not publicly verified</w:t>
      </w:r>
      <w:r>
        <w:t xml:space="preserve"> </w:t>
      </w:r>
      <w:r>
        <w:rPr>
          <w:rStyle w:val="ClaimLabel"/>
        </w:rPr>
        <w:t xml:space="preserve">NPV</w:t>
      </w:r>
    </w:p>
    <w:p>
      <w:pPr>
        <w:pStyle w:val="FirstParagraph"/>
      </w:pPr>
      <w:r>
        <w:rPr>
          <w:bCs/>
          <w:b/>
        </w:rPr>
        <w:t xml:space="preserve">Choose when</w:t>
      </w:r>
    </w:p>
    <w:p>
      <w:pPr>
        <w:numPr>
          <w:ilvl w:val="0"/>
          <w:numId w:val="1331"/>
        </w:numPr>
        <w:pStyle w:val="Compact"/>
      </w:pPr>
      <w:r>
        <w:t xml:space="preserve">You need a second frontier vendor that is available in-tenant on whichever hyperscaler is primary, including Google Cloud where OpenAI’s GPT-6 is not offered</w:t>
      </w:r>
      <w:r>
        <w:t xml:space="preserve"> </w:t>
      </w:r>
      <w:r>
        <w:rPr>
          <w:rStyle w:val="ClaimLabel"/>
        </w:rPr>
        <w:t xml:space="preserve">AJ</w:t>
      </w:r>
    </w:p>
    <w:p>
      <w:pPr>
        <w:numPr>
          <w:ilvl w:val="0"/>
          <w:numId w:val="1331"/>
        </w:numPr>
        <w:pStyle w:val="Compact"/>
      </w:pPr>
      <w:r>
        <w:t xml:space="preserve">Long-context (1M tokens on every tier) drafting or agentic coding is the main workload</w:t>
      </w:r>
      <w:r>
        <w:t xml:space="preserve"> </w:t>
      </w:r>
      <w:r>
        <w:rPr>
          <w:rStyle w:val="ClaimLabel"/>
        </w:rPr>
        <w:t xml:space="preserve">AJ</w:t>
      </w:r>
    </w:p>
    <w:p>
      <w:pPr>
        <w:pStyle w:val="FirstParagraph"/>
      </w:pPr>
      <w:r>
        <w:rPr>
          <w:bCs/>
          <w:b/>
        </w:rPr>
        <w:t xml:space="preserve">Avoid when</w:t>
      </w:r>
    </w:p>
    <w:p>
      <w:pPr>
        <w:numPr>
          <w:ilvl w:val="0"/>
          <w:numId w:val="1332"/>
        </w:numPr>
        <w:pStyle w:val="Compact"/>
      </w:pPr>
      <w:r>
        <w:t xml:space="preserve">EU or UK processing must be contracted with the model vendor itself rather than through a hyperscaler</w:t>
      </w:r>
      <w:r>
        <w:t xml:space="preserve"> </w:t>
      </w:r>
      <w:r>
        <w:rPr>
          <w:rStyle w:val="ClaimLabel"/>
        </w:rPr>
        <w:t xml:space="preserve">AJ</w:t>
      </w:r>
    </w:p>
    <w:p>
      <w:pPr>
        <w:numPr>
          <w:ilvl w:val="0"/>
          <w:numId w:val="1332"/>
        </w:numPr>
        <w:pStyle w:val="Compact"/>
      </w:pPr>
      <w:r>
        <w:t xml:space="preserve">The firm has US defence-contract exposure and its legal team has not assessed the supply-chain-risk designation</w:t>
      </w:r>
      <w:r>
        <w:t xml:space="preserve"> </w:t>
      </w:r>
      <w:r>
        <w:rPr>
          <w:rStyle w:val="ClaimLabel"/>
        </w:rPr>
        <w:t xml:space="preserve">AJ</w:t>
      </w:r>
    </w:p>
    <w:p>
      <w:pPr>
        <w:numPr>
          <w:ilvl w:val="0"/>
          <w:numId w:val="1332"/>
        </w:numPr>
        <w:pStyle w:val="Compact"/>
      </w:pPr>
      <w:r>
        <w:t xml:space="preserve">You need a self-hostable model from the same vendor</w:t>
      </w:r>
      <w:r>
        <w:t xml:space="preserve"> </w:t>
      </w:r>
      <w:r>
        <w:rPr>
          <w:rStyle w:val="ClaimLabel"/>
        </w:rPr>
        <w:t xml:space="preserve">AJ</w:t>
      </w:r>
    </w:p>
    <w:p>
      <w:pPr>
        <w:pStyle w:val="FirstParagraph"/>
      </w:pPr>
      <w:r>
        <w:rPr>
          <w:bCs/>
          <w:b/>
        </w:rPr>
        <w:t xml:space="preserve">Nearest competitors:</w:t>
      </w:r>
      <w:r>
        <w:t xml:space="preserve"> </w:t>
      </w:r>
      <w:r>
        <w:t xml:space="preserve">L1-openai, L1-google-gemini, L1-mistral</w:t>
      </w:r>
    </w:p>
    <w:p>
      <w:pPr>
        <w:pStyle w:val="BodyText"/>
      </w:pPr>
      <w:r>
        <w:rPr>
          <w:bCs/>
          <w:b/>
        </w:rPr>
        <w:t xml:space="preserve">Regulated-FS note.</w:t>
      </w:r>
      <w:r>
        <w:t xml:space="preserve"> </w:t>
      </w:r>
      <w:r>
        <w:t xml:space="preserve">Consume only through a hyperscaler EU region (Bedrock regional endpoint or Google Cloud EU), with a non-Anthropic fallback qualified on the same evaluation suite; independent alternatives are OpenAI GPT-6.1 Sol and Gemini 3.8 Flash</w:t>
      </w:r>
      <w:r>
        <w:t xml:space="preserve"> </w:t>
      </w:r>
      <w:r>
        <w:rPr>
          <w:rStyle w:val="ClaimLabel"/>
        </w:rPr>
        <w:t xml:space="preserve">Rec</w:t>
      </w:r>
      <w:r>
        <w:t xml:space="preserve">.</w:t>
      </w:r>
    </w:p>
    <w:p>
      <w:pPr>
        <w:pStyle w:val="BodyText"/>
      </w:pPr>
      <w:r>
        <w:rPr>
          <w:bCs/>
          <w:b/>
        </w:rPr>
        <w:t xml:space="preserve">Facts (as of 2026-10-08)</w:t>
      </w:r>
    </w:p>
    <w:tbl>
      <w:tblPr>
        <w:tblStyle w:val="Table"/>
        <w:tblW w:type="pct" w:w="5000"/>
        <w:tblLook w:firstRow="1" w:lastRow="0" w:firstColumn="0" w:lastColumn="0" w:noHBand="0" w:noVBand="0" w:val="0020"/>
        <w:jc w:val="start"/>
      </w:tblPr>
      <w:tblGrid>
        <w:gridCol w:w="1485"/>
        <w:gridCol w:w="4290"/>
        <w:gridCol w:w="1320"/>
        <w:gridCol w:w="825"/>
      </w:tblGrid>
      <w:tr>
        <w:trPr>
          <w:tblHeader w:val="true"/>
        </w:trPr>
        <w:tc>
          <w:tcPr/>
          <w:p>
            <w:pPr>
              <w:pStyle w:val="Compact"/>
              <w:jc w:val="left"/>
            </w:pPr>
            <w:r>
              <w:t xml:space="preserve">Field</w:t>
            </w:r>
          </w:p>
        </w:tc>
        <w:tc>
          <w:tcPr/>
          <w:p>
            <w:pPr>
              <w:pStyle w:val="Compact"/>
              <w:jc w:val="left"/>
            </w:pPr>
            <w:r>
              <w:t xml:space="preserve">Value</w:t>
            </w:r>
          </w:p>
        </w:tc>
        <w:tc>
          <w:tcPr/>
          <w:p>
            <w:pPr>
              <w:pStyle w:val="Compact"/>
              <w:jc w:val="left"/>
            </w:pPr>
            <w:r>
              <w:t xml:space="preserve">Label</w:t>
            </w:r>
          </w:p>
        </w:tc>
        <w:tc>
          <w:tcPr/>
          <w:p>
            <w:pPr>
              <w:pStyle w:val="Compact"/>
              <w:jc w:val="left"/>
            </w:pPr>
            <w:r>
              <w:t xml:space="preserve">Sources</w:t>
            </w:r>
          </w:p>
        </w:tc>
      </w:tr>
      <w:tr>
        <w:tc>
          <w:tcPr/>
          <w:p>
            <w:pPr>
              <w:pStyle w:val="Compact"/>
              <w:jc w:val="left"/>
            </w:pPr>
            <w:r>
              <w:t xml:space="preserve">Company</w:t>
            </w:r>
          </w:p>
        </w:tc>
        <w:tc>
          <w:tcPr/>
          <w:p>
            <w:pPr>
              <w:pStyle w:val="Compact"/>
              <w:jc w:val="left"/>
            </w:pPr>
            <w:r>
              <w:t xml:space="preserve">Anthropic, PBC (public benefit corporation; confidentially submitted draft S-1 for proposed IPO on 1 June 2026)</w:t>
            </w:r>
          </w:p>
        </w:tc>
        <w:tc>
          <w:tcPr/>
          <w:p>
            <w:pPr>
              <w:pStyle w:val="Compact"/>
              <w:jc w:val="left"/>
            </w:pPr>
            <w:r>
              <w:t xml:space="preserve">Verified fact</w:t>
            </w:r>
          </w:p>
        </w:tc>
        <w:tc>
          <w:tcPr/>
          <w:p>
            <w:pPr>
              <w:pStyle w:val="Compact"/>
              <w:jc w:val="left"/>
            </w:pPr>
            <w:r>
              <w:t xml:space="preserve">A5-S024</w:t>
            </w:r>
          </w:p>
        </w:tc>
      </w:tr>
      <w:tr>
        <w:tc>
          <w:tcPr/>
          <w:p>
            <w:pPr>
              <w:pStyle w:val="Compact"/>
              <w:jc w:val="left"/>
            </w:pPr>
            <w:r>
              <w:t xml:space="preserve">Category</w:t>
            </w:r>
          </w:p>
        </w:tc>
        <w:tc>
          <w:tcPr/>
          <w:p>
            <w:pPr>
              <w:pStyle w:val="Compact"/>
              <w:jc w:val="left"/>
            </w:pPr>
            <w:r>
              <w:t xml:space="preserve">Frontier model vendor: proprietary API models (reasoning, vision input, coding/agentic)</w:t>
            </w:r>
          </w:p>
        </w:tc>
        <w:tc>
          <w:tcPr/>
          <w:p>
            <w:pPr>
              <w:pStyle w:val="Compact"/>
              <w:jc w:val="left"/>
            </w:pPr>
            <w:r>
              <w:t xml:space="preserve">Verified fact</w:t>
            </w:r>
          </w:p>
        </w:tc>
        <w:tc>
          <w:tcPr/>
          <w:p>
            <w:pPr>
              <w:pStyle w:val="Compact"/>
              <w:jc w:val="left"/>
            </w:pPr>
            <w:r>
              <w:t xml:space="preserve">A5-S010</w:t>
            </w:r>
          </w:p>
        </w:tc>
      </w:tr>
      <w:tr>
        <w:tc>
          <w:tcPr/>
          <w:p>
            <w:pPr>
              <w:pStyle w:val="Compact"/>
              <w:jc w:val="left"/>
            </w:pPr>
            <w:r>
              <w:t xml:space="preserve">Version / lineup</w:t>
            </w:r>
          </w:p>
        </w:tc>
        <w:tc>
          <w:tcPr/>
          <w:p>
            <w:pPr>
              <w:pStyle w:val="Compact"/>
              <w:jc w:val="left"/>
            </w:pPr>
            <w:r>
              <w:t xml:space="preserve">flagship: Claude Fable 5.1, GA 1 September 2026,</w:t>
            </w:r>
            <w:r>
              <w:t xml:space="preserve"> </w:t>
            </w:r>
            <w:r>
              <w:t xml:space="preserve">“</w:t>
            </w:r>
            <w:r>
              <w:t xml:space="preserve">for demanding reasoning and long-horizon agentic work</w:t>
            </w:r>
            <w:r>
              <w:t xml:space="preserve">”</w:t>
            </w:r>
            <w:r>
              <w:t xml:space="preserve">; Claude Mythos 5.1 is the same model with more permissive cyber/biology safeguards, available only via trusted-access programmes (limited US organisations). [A5-S016, A5-S022, A5-S010]; default_recommended: Claude Opus 5.5, 22 September 2026, first model of the Claude 5.5 family; Anthropic docs recommend it as the starting point for most workloads. [A5-S019, A5-S010]; mid: Claude Sonnet 5.5, 28 September 2026. [A5-S012, A5-S010]; small: Claude Haiku 5.5, 7 October 2026 (Haiku 4.5 still list</w:t>
            </w:r>
          </w:p>
        </w:tc>
        <w:tc>
          <w:tcPr/>
          <w:p>
            <w:pPr>
              <w:pStyle w:val="Compact"/>
              <w:jc w:val="left"/>
            </w:pPr>
            <w:r>
              <w:t xml:space="preserve">Verified fact</w:t>
            </w:r>
          </w:p>
        </w:tc>
        <w:tc>
          <w:tcPr/>
          <w:p>
            <w:pPr>
              <w:pStyle w:val="Compact"/>
              <w:jc w:val="left"/>
            </w:pPr>
            <w:r>
              <w:t xml:space="preserve">A5-S010, A5-S012, A5-S016, A5-S019, A5-S020, A5-S022, V2-S001, V2-S003, V2-S004, V2-S066</w:t>
            </w:r>
          </w:p>
        </w:tc>
      </w:tr>
      <w:tr>
        <w:tc>
          <w:tcPr/>
          <w:p>
            <w:pPr>
              <w:pStyle w:val="Compact"/>
              <w:jc w:val="left"/>
            </w:pPr>
            <w:r>
              <w:t xml:space="preserve">Licence</w:t>
            </w:r>
          </w:p>
        </w:tc>
        <w:tc>
          <w:tcPr/>
          <w:p>
            <w:pPr>
              <w:pStyle w:val="Compact"/>
              <w:jc w:val="left"/>
            </w:pPr>
            <w:r>
              <w:t xml:space="preserve">Proprietary; API and partner-cloud access only; no open weights.</w:t>
            </w:r>
          </w:p>
        </w:tc>
        <w:tc>
          <w:tcPr/>
          <w:p>
            <w:pPr>
              <w:pStyle w:val="Compact"/>
              <w:jc w:val="left"/>
            </w:pPr>
            <w:r>
              <w:t xml:space="preserve">Verified fact</w:t>
            </w:r>
          </w:p>
        </w:tc>
        <w:tc>
          <w:tcPr/>
          <w:p>
            <w:pPr>
              <w:pStyle w:val="Compact"/>
              <w:jc w:val="left"/>
            </w:pPr>
            <w:r>
              <w:t xml:space="preserve">A5-S010, V2-S001</w:t>
            </w:r>
          </w:p>
        </w:tc>
      </w:tr>
      <w:tr>
        <w:tc>
          <w:tcPr/>
          <w:p>
            <w:pPr>
              <w:pStyle w:val="Compact"/>
              <w:jc w:val="left"/>
            </w:pPr>
            <w:r>
              <w:t xml:space="preserve">Status events</w:t>
            </w:r>
          </w:p>
        </w:tc>
        <w:tc>
          <w:tcPr/>
          <w:p>
            <w:pPr>
              <w:pStyle w:val="Compact"/>
              <w:jc w:val="left"/>
            </w:pPr>
            <w:r>
              <w:t xml:space="preserve">4 September 2025: sales barred to entities controlled from unsupported regions such as China; US Department of Defense/War</w:t>
            </w:r>
            <w:r>
              <w:t xml:space="preserve"> </w:t>
            </w:r>
            <w:r>
              <w:t xml:space="preserve">“</w:t>
            </w:r>
            <w:r>
              <w:t xml:space="preserve">supply chain risk</w:t>
            </w:r>
            <w:r>
              <w:t xml:space="preserve">”</w:t>
            </w:r>
            <w:r>
              <w:t xml:space="preserve"> </w:t>
            </w:r>
            <w:r>
              <w:t xml:space="preserve">designation: Anthropic sued 9 March 2026; the DoD relied on two designations litigated separately - N.D. California (Judge Rita F. Lin, No. 3:26-cv-01996) granted Anthropic summary judgment on 27 August 2026 that the 10 U.S.C. s.3252 designation was unlawful (First Amendment retaliation, due process, arbitrary and capricious); D.C. Circuit (No. 26-1049, Katsas and Rao; Henderson dissenting) upheld the other under FASCSA on 25 September 2026, effect stay</w:t>
            </w:r>
          </w:p>
        </w:tc>
        <w:tc>
          <w:tcPr/>
          <w:p>
            <w:pPr>
              <w:pStyle w:val="Compact"/>
              <w:jc w:val="left"/>
            </w:pPr>
            <w:r>
              <w:t xml:space="preserve">Verified fact</w:t>
            </w:r>
          </w:p>
        </w:tc>
        <w:tc>
          <w:tcPr/>
          <w:p>
            <w:pPr>
              <w:pStyle w:val="Compact"/>
              <w:jc w:val="left"/>
            </w:pPr>
            <w:r>
              <w:t xml:space="preserve">A5-S045, A5-S025, A5-S024, A5-S026, A5-S016, A5-S019, A5-S012, A5-S020, A5-S084, A5-S085, V2-S004, V2-S005, V2-S006, V2-S007, V2-S068</w:t>
            </w:r>
          </w:p>
        </w:tc>
      </w:tr>
      <w:tr>
        <w:tc>
          <w:tcPr/>
          <w:p>
            <w:pPr>
              <w:pStyle w:val="Compact"/>
              <w:jc w:val="left"/>
            </w:pPr>
            <w:r>
              <w:t xml:space="preserve">Strategic direction</w:t>
            </w:r>
          </w:p>
        </w:tc>
        <w:tc>
          <w:tcPr/>
          <w:p>
            <w:pPr>
              <w:pStyle w:val="Compact"/>
              <w:jc w:val="left"/>
            </w:pPr>
            <w:r>
              <w:t xml:space="preserve">Tiered safeguards (Fable vs Mythos; Cyber and Life Sciences Verification Programmes); Enterprise Frontier Safeguards (customer-controlled data storage) phased from autumn 2026; price cuts (Opus 5.5 inputs/outputs 20% below Opus 5; cache reads cheaper); multi-cloud distribution; stated</w:t>
            </w:r>
            <w:r>
              <w:t xml:space="preserve"> </w:t>
            </w:r>
            <w:r>
              <w:t xml:space="preserve">“</w:t>
            </w:r>
            <w:r>
              <w:t xml:space="preserve">pacing the frontier</w:t>
            </w:r>
            <w:r>
              <w:t xml:space="preserve">”</w:t>
            </w:r>
            <w:r>
              <w:t xml:space="preserve"> </w:t>
            </w:r>
            <w:r>
              <w:t xml:space="preserve">policy; IPO preparation.</w:t>
            </w:r>
          </w:p>
        </w:tc>
        <w:tc>
          <w:tcPr/>
          <w:p>
            <w:pPr>
              <w:pStyle w:val="Compact"/>
              <w:jc w:val="left"/>
            </w:pPr>
            <w:r>
              <w:t xml:space="preserve">Verified fact</w:t>
            </w:r>
          </w:p>
        </w:tc>
        <w:tc>
          <w:tcPr/>
          <w:p>
            <w:pPr>
              <w:pStyle w:val="Compact"/>
              <w:jc w:val="left"/>
            </w:pPr>
            <w:r>
              <w:t xml:space="preserve">A5-S016, A5-S019, A5-S020, A5-S024</w:t>
            </w:r>
          </w:p>
        </w:tc>
      </w:tr>
      <w:tr>
        <w:tc>
          <w:tcPr/>
          <w:p>
            <w:pPr>
              <w:pStyle w:val="Compact"/>
              <w:jc w:val="left"/>
            </w:pPr>
            <w:r>
              <w:t xml:space="preserve">What it does</w:t>
            </w:r>
          </w:p>
        </w:tc>
        <w:tc>
          <w:tcPr/>
          <w:p>
            <w:pPr>
              <w:pStyle w:val="Compact"/>
              <w:jc w:val="left"/>
            </w:pPr>
            <w:r>
              <w:t xml:space="preserve">General-purpose LLMs for coding, agentic work and knowledge work, served via the Claude API, Claude apps and partner clouds.</w:t>
            </w:r>
          </w:p>
        </w:tc>
        <w:tc>
          <w:tcPr/>
          <w:p>
            <w:pPr>
              <w:pStyle w:val="Compact"/>
              <w:jc w:val="left"/>
            </w:pPr>
            <w:r>
              <w:t xml:space="preserve">Verified fact</w:t>
            </w:r>
          </w:p>
        </w:tc>
        <w:tc>
          <w:tcPr/>
          <w:p>
            <w:pPr>
              <w:pStyle w:val="Compact"/>
              <w:jc w:val="left"/>
            </w:pPr>
            <w:r>
              <w:t xml:space="preserve">A5-S010, A5-S019</w:t>
            </w:r>
          </w:p>
        </w:tc>
      </w:tr>
      <w:tr>
        <w:tc>
          <w:tcPr/>
          <w:p>
            <w:pPr>
              <w:pStyle w:val="Compact"/>
              <w:jc w:val="left"/>
            </w:pPr>
            <w:r>
              <w:t xml:space="preserve">Stack position</w:t>
            </w:r>
          </w:p>
        </w:tc>
        <w:tc>
          <w:tcPr/>
          <w:p>
            <w:pPr>
              <w:pStyle w:val="Compact"/>
              <w:jc w:val="left"/>
            </w:pPr>
            <w:r>
              <w:t xml:space="preserve">L1 foundation model. Placement correct; Anthropic also appears at L3 (Claude Agent SDK) and originated L4 standards (MCP, Agent Skills).</w:t>
            </w:r>
          </w:p>
        </w:tc>
        <w:tc>
          <w:tcPr/>
          <w:p>
            <w:pPr>
              <w:pStyle w:val="Compact"/>
              <w:jc w:val="left"/>
            </w:pPr>
            <w:r>
              <w:t xml:space="preserve">Architectural judgement</w:t>
            </w:r>
          </w:p>
        </w:tc>
        <w:tc>
          <w:tcPr/>
          <w:p>
            <w:pPr>
              <w:pStyle w:val="Compact"/>
            </w:pPr>
          </w:p>
        </w:tc>
      </w:tr>
      <w:tr>
        <w:tc>
          <w:tcPr/>
          <w:p>
            <w:pPr>
              <w:pStyle w:val="Compact"/>
              <w:jc w:val="left"/>
            </w:pPr>
            <w:r>
              <w:t xml:space="preserve">Integration</w:t>
            </w:r>
          </w:p>
        </w:tc>
        <w:tc>
          <w:tcPr/>
          <w:p>
            <w:pPr>
              <w:pStyle w:val="Compact"/>
              <w:jc w:val="left"/>
            </w:pPr>
            <w:r>
              <w:t xml:space="preserve">Messages API, Batch API, Models API; OpenAI SDK compatibility endpoint; official SDKs (anthropic Python 1.12.0, MIT, 7 October 2026); model IDs published for Bedrock, Google Cloud, Microsoft Foundry and Claude Platform on AWS.</w:t>
            </w:r>
          </w:p>
        </w:tc>
        <w:tc>
          <w:tcPr/>
          <w:p>
            <w:pPr>
              <w:pStyle w:val="Compact"/>
              <w:jc w:val="left"/>
            </w:pPr>
            <w:r>
              <w:t xml:space="preserve">Verified fact</w:t>
            </w:r>
          </w:p>
        </w:tc>
        <w:tc>
          <w:tcPr/>
          <w:p>
            <w:pPr>
              <w:pStyle w:val="Compact"/>
              <w:jc w:val="left"/>
            </w:pPr>
            <w:r>
              <w:t xml:space="preserve">A5-S010, A5-S013, A5-S047</w:t>
            </w:r>
          </w:p>
        </w:tc>
      </w:tr>
      <w:tr>
        <w:tc>
          <w:tcPr/>
          <w:p>
            <w:pPr>
              <w:pStyle w:val="Compact"/>
              <w:jc w:val="left"/>
            </w:pPr>
            <w:r>
              <w:t xml:space="preserve">Dependencies</w:t>
            </w:r>
          </w:p>
        </w:tc>
        <w:tc>
          <w:tcPr/>
          <w:p>
            <w:pPr>
              <w:pStyle w:val="Compact"/>
              <w:jc w:val="left"/>
            </w:pPr>
            <w:r>
              <w:t xml:space="preserve">Hosted service only (Anthropic first-party, Claude Platform on AWS, Amazon Bedrock, Google Cloud, Microsoft Foundry).</w:t>
            </w:r>
          </w:p>
        </w:tc>
        <w:tc>
          <w:tcPr/>
          <w:p>
            <w:pPr>
              <w:pStyle w:val="Compact"/>
              <w:jc w:val="left"/>
            </w:pPr>
            <w:r>
              <w:t xml:space="preserve">Verified fact</w:t>
            </w:r>
          </w:p>
        </w:tc>
        <w:tc>
          <w:tcPr/>
          <w:p>
            <w:pPr>
              <w:pStyle w:val="Compact"/>
              <w:jc w:val="left"/>
            </w:pPr>
            <w:r>
              <w:t xml:space="preserve">A5-S010, A5-S018</w:t>
            </w:r>
          </w:p>
        </w:tc>
      </w:tr>
      <w:tr>
        <w:tc>
          <w:tcPr/>
          <w:p>
            <w:pPr>
              <w:pStyle w:val="Compact"/>
              <w:jc w:val="left"/>
            </w:pPr>
            <w:r>
              <w:t xml:space="preserve">Certifications</w:t>
            </w:r>
          </w:p>
        </w:tc>
        <w:tc>
          <w:tcPr/>
          <w:p>
            <w:pPr>
              <w:pStyle w:val="Compact"/>
              <w:jc w:val="left"/>
            </w:pPr>
            <w:r>
              <w:t xml:space="preserve">SOC 2 Type I and Type II, ISO 27001:2022, ISO/IEC 42001:2023 (Schellman), HIPAA-ready configuration, CSA STAR Level 2; scope covers API, Claude Enterprise/Team, Claude in Bedrock and Google Cloud; Claude in Microsoft Foundry hosted on Anthropic is in scope; the Foundry deployment hosted on Azure is listed</w:t>
            </w:r>
            <w:r>
              <w:t xml:space="preserve"> </w:t>
            </w:r>
            <w:r>
              <w:t xml:space="preserve">“</w:t>
            </w:r>
            <w:r>
              <w:t xml:space="preserve">In-Process Q4 2026</w:t>
            </w:r>
            <w:r>
              <w:t xml:space="preserve">”</w:t>
            </w:r>
            <w:r>
              <w:t xml:space="preserve">; Claude for Government listed N/A. SOC 2 bridge letters dated August and October 2026.</w:t>
            </w:r>
          </w:p>
        </w:tc>
        <w:tc>
          <w:tcPr/>
          <w:p>
            <w:pPr>
              <w:pStyle w:val="Compact"/>
              <w:jc w:val="left"/>
            </w:pPr>
            <w:r>
              <w:t xml:space="preserve">Verified fact</w:t>
            </w:r>
          </w:p>
        </w:tc>
        <w:tc>
          <w:tcPr/>
          <w:p>
            <w:pPr>
              <w:pStyle w:val="Compact"/>
              <w:jc w:val="left"/>
            </w:pPr>
            <w:r>
              <w:t xml:space="preserve">A5-S021, A5-S017, V2-S063</w:t>
            </w:r>
          </w:p>
        </w:tc>
      </w:tr>
      <w:tr>
        <w:tc>
          <w:tcPr/>
          <w:p>
            <w:pPr>
              <w:pStyle w:val="Compact"/>
              <w:jc w:val="left"/>
            </w:pPr>
            <w:r>
              <w:t xml:space="preserve">GDPR / residency</w:t>
            </w:r>
          </w:p>
        </w:tc>
        <w:tc>
          <w:tcPr/>
          <w:p>
            <w:pPr>
              <w:pStyle w:val="Compact"/>
              <w:jc w:val="left"/>
            </w:pPr>
            <w:r>
              <w:t xml:space="preserve">Commercial/API data not used for training without express permission; consumer plans (Free/Pro/Max) opt-in training with 5-year retention since 28 August 2025 (commercial and API excluded). ZDR on request per organisation; Fable 5.1/Mythos 5.1/Fable 5/Mythos 5 are</w:t>
            </w:r>
            <w:r>
              <w:t xml:space="preserve"> </w:t>
            </w:r>
            <w:r>
              <w:t xml:space="preserve">“</w:t>
            </w:r>
            <w:r>
              <w:t xml:space="preserve">Covered Models</w:t>
            </w:r>
            <w:r>
              <w:t xml:space="preserve">”</w:t>
            </w:r>
            <w:r>
              <w:t xml:space="preserve"> </w:t>
            </w:r>
            <w:r>
              <w:t xml:space="preserve">requiring 30-day retention and not ZDR unless expressly authorised (conflicts with launch post saying eligible customers may use Fable 5.1 with ZDR until EFS ships). First-party inference_geo supports only</w:t>
            </w:r>
            <w:r>
              <w:t xml:space="preserve"> </w:t>
            </w:r>
            <w:r>
              <w:t xml:space="preserve">“</w:t>
            </w:r>
            <w:r>
              <w:t xml:space="preserve">global</w:t>
            </w:r>
            <w:r>
              <w:t xml:space="preserve">”</w:t>
            </w:r>
            <w:r>
              <w:t xml:space="preserve"> </w:t>
            </w:r>
            <w:r>
              <w:t xml:space="preserve">or</w:t>
            </w:r>
            <w:r>
              <w:t xml:space="preserve"> </w:t>
            </w:r>
            <w:r>
              <w:t xml:space="preserve">“</w:t>
            </w:r>
            <w:r>
              <w:t xml:space="preserve">us</w:t>
            </w:r>
            <w:r>
              <w:t xml:space="preserve">”</w:t>
            </w:r>
            <w:r>
              <w:t xml:space="preserve">; workspace (storage) geo only</w:t>
            </w:r>
            <w:r>
              <w:t xml:space="preserve"> </w:t>
            </w:r>
            <w:r>
              <w:t xml:space="preserve">“</w:t>
            </w:r>
            <w:r>
              <w:t xml:space="preserve">us</w:t>
            </w:r>
            <w:r>
              <w:t xml:space="preserve">”</w:t>
            </w:r>
            <w:r>
              <w:t xml:space="preserve">; no first-party EU/UK inference option documented. EU proces</w:t>
            </w:r>
          </w:p>
        </w:tc>
        <w:tc>
          <w:tcPr/>
          <w:p>
            <w:pPr>
              <w:pStyle w:val="Compact"/>
              <w:jc w:val="left"/>
            </w:pPr>
            <w:r>
              <w:t xml:space="preserve">Verified fact</w:t>
            </w:r>
          </w:p>
        </w:tc>
        <w:tc>
          <w:tcPr/>
          <w:p>
            <w:pPr>
              <w:pStyle w:val="Compact"/>
              <w:jc w:val="left"/>
            </w:pPr>
            <w:r>
              <w:t xml:space="preserve">A5-S018, A5-S023, A5-S013, A5-S011, A5-S027, A5-S016, V2-S075, V2-S066</w:t>
            </w:r>
          </w:p>
        </w:tc>
      </w:tr>
      <w:tr>
        <w:tc>
          <w:tcPr/>
          <w:p>
            <w:pPr>
              <w:pStyle w:val="Compact"/>
              <w:jc w:val="left"/>
            </w:pPr>
            <w:r>
              <w:t xml:space="preserve">Security features</w:t>
            </w:r>
          </w:p>
        </w:tc>
        <w:tc>
          <w:tcPr/>
          <w:p>
            <w:pPr>
              <w:pStyle w:val="Compact"/>
              <w:jc w:val="left"/>
            </w:pPr>
            <w:r>
              <w:t xml:space="preserve">Admin console lists Encryption keys (CMEK), Access Transparency, Inference hooks, Compliance API, Workload Identity Federation (documentation sections).</w:t>
            </w:r>
          </w:p>
        </w:tc>
        <w:tc>
          <w:tcPr/>
          <w:p>
            <w:pPr>
              <w:pStyle w:val="Compact"/>
              <w:jc w:val="left"/>
            </w:pPr>
            <w:r>
              <w:t xml:space="preserve">Verified fact</w:t>
            </w:r>
          </w:p>
        </w:tc>
        <w:tc>
          <w:tcPr/>
          <w:p>
            <w:pPr>
              <w:pStyle w:val="Compact"/>
              <w:jc w:val="left"/>
            </w:pPr>
            <w:r>
              <w:t xml:space="preserve">A5-S013</w:t>
            </w:r>
          </w:p>
        </w:tc>
      </w:tr>
      <w:tr>
        <w:tc>
          <w:tcPr/>
          <w:p>
            <w:pPr>
              <w:pStyle w:val="Compact"/>
              <w:jc w:val="left"/>
            </w:pPr>
            <w:r>
              <w:t xml:space="preserve">Access controls</w:t>
            </w:r>
          </w:p>
        </w:tc>
        <w:tc>
          <w:tcPr/>
          <w:p>
            <w:pPr>
              <w:pStyle w:val="Compact"/>
              <w:jc w:val="left"/>
            </w:pPr>
            <w:r>
              <w:t xml:space="preserve">Workspaces, Admin API, user management, Workload Identity Federation, Compliance API / Activity Feed (6-year retention) documented.</w:t>
            </w:r>
          </w:p>
        </w:tc>
        <w:tc>
          <w:tcPr/>
          <w:p>
            <w:pPr>
              <w:pStyle w:val="Compact"/>
              <w:jc w:val="left"/>
            </w:pPr>
            <w:r>
              <w:t xml:space="preserve">Verified fact</w:t>
            </w:r>
          </w:p>
        </w:tc>
        <w:tc>
          <w:tcPr/>
          <w:p>
            <w:pPr>
              <w:pStyle w:val="Compact"/>
              <w:jc w:val="left"/>
            </w:pPr>
            <w:r>
              <w:t xml:space="preserve">A5-S013, A5-S018</w:t>
            </w:r>
          </w:p>
        </w:tc>
      </w:tr>
      <w:tr>
        <w:tc>
          <w:tcPr/>
          <w:p>
            <w:pPr>
              <w:pStyle w:val="Compact"/>
              <w:jc w:val="left"/>
            </w:pPr>
            <w:r>
              <w:t xml:space="preserve">Enterprise support</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Pricing</w:t>
            </w:r>
          </w:p>
        </w:tc>
        <w:tc>
          <w:tcPr/>
          <w:p>
            <w:pPr>
              <w:pStyle w:val="Compact"/>
              <w:jc w:val="left"/>
            </w:pPr>
            <w:r>
              <w:t xml:space="preserve">Claude Fable 5.1: US$10 input / US$50 output per 1M (cache read US$0.25); Claude Opus 5.5: US$4 / US$20 per 1M (cache read US$0.20); Claude Sonnet 5.5: US$2 / US$10 per 1M; Claude Haiku 5.5: US$0.10 / US$0.50 per 1M for prompts up to 100K tokens; US$0.50 / US$2.50 above; modifiers: Batch API 50% off; US-only inference_geo 1.1x; full 1M context at standard price except Haiku 5.5</w:t>
            </w:r>
          </w:p>
        </w:tc>
        <w:tc>
          <w:tcPr/>
          <w:p>
            <w:pPr>
              <w:pStyle w:val="Compact"/>
              <w:jc w:val="left"/>
            </w:pPr>
            <w:r>
              <w:t xml:space="preserve">Verified fact</w:t>
            </w:r>
          </w:p>
        </w:tc>
        <w:tc>
          <w:tcPr/>
          <w:p>
            <w:pPr>
              <w:pStyle w:val="Compact"/>
              <w:jc w:val="left"/>
            </w:pPr>
            <w:r>
              <w:t xml:space="preserve">A5-S011, A5-S010, V2-S002</w:t>
            </w:r>
          </w:p>
        </w:tc>
      </w:tr>
      <w:tr>
        <w:tc>
          <w:tcPr/>
          <w:p>
            <w:pPr>
              <w:pStyle w:val="Compact"/>
              <w:jc w:val="left"/>
            </w:pPr>
            <w:r>
              <w:t xml:space="preserve">Infrastructure cost</w:t>
            </w:r>
          </w:p>
        </w:tc>
        <w:tc>
          <w:tcPr/>
          <w:p>
            <w:pPr>
              <w:pStyle w:val="Compact"/>
              <w:jc w:val="left"/>
            </w:pPr>
            <w:r>
              <w:t xml:space="preserve">Not applicable (no self-hosting).</w:t>
            </w:r>
          </w:p>
        </w:tc>
        <w:tc>
          <w:tcPr/>
          <w:p>
            <w:pPr>
              <w:pStyle w:val="Compact"/>
              <w:jc w:val="left"/>
            </w:pPr>
            <w:r>
              <w:t xml:space="preserve">Verified fact</w:t>
            </w:r>
          </w:p>
        </w:tc>
        <w:tc>
          <w:tcPr/>
          <w:p>
            <w:pPr>
              <w:pStyle w:val="Compact"/>
              <w:jc w:val="left"/>
            </w:pPr>
            <w:r>
              <w:t xml:space="preserve">A5-S010</w:t>
            </w:r>
          </w:p>
        </w:tc>
      </w:tr>
      <w:tr>
        <w:tc>
          <w:tcPr/>
          <w:p>
            <w:pPr>
              <w:pStyle w:val="Compact"/>
              <w:jc w:val="left"/>
            </w:pPr>
            <w:r>
              <w:t xml:space="preserve">Ecosystem</w:t>
            </w:r>
          </w:p>
        </w:tc>
        <w:tc>
          <w:tcPr/>
          <w:p>
            <w:pPr>
              <w:pStyle w:val="Compact"/>
              <w:jc w:val="left"/>
            </w:pPr>
            <w:r>
              <w:t xml:space="preserve">Amazon Bedrock, Google Cloud (Vertex AI / Gemini Enterprise Agent Platform), Microsoft Foundry, Claude Platform on AWS; Claude Code, Cowork.</w:t>
            </w:r>
          </w:p>
        </w:tc>
        <w:tc>
          <w:tcPr/>
          <w:p>
            <w:pPr>
              <w:pStyle w:val="Compact"/>
              <w:jc w:val="left"/>
            </w:pPr>
            <w:r>
              <w:t xml:space="preserve">Verified fact</w:t>
            </w:r>
          </w:p>
        </w:tc>
        <w:tc>
          <w:tcPr/>
          <w:p>
            <w:pPr>
              <w:pStyle w:val="Compact"/>
              <w:jc w:val="left"/>
            </w:pPr>
            <w:r>
              <w:t xml:space="preserve">A5-S010, A5-S027</w:t>
            </w:r>
          </w:p>
        </w:tc>
      </w:tr>
      <w:tr>
        <w:tc>
          <w:tcPr/>
          <w:p>
            <w:pPr>
              <w:pStyle w:val="Compact"/>
              <w:jc w:val="left"/>
            </w:pPr>
            <w:r>
              <w:t xml:space="preserve">Adoption signals</w:t>
            </w:r>
          </w:p>
        </w:tc>
        <w:tc>
          <w:tcPr/>
          <w:p>
            <w:pPr>
              <w:pStyle w:val="Compact"/>
              <w:jc w:val="left"/>
            </w:pPr>
            <w:r>
              <w:t xml:space="preserve">Anthropic-announced customers include Barclays (1 October 2026); Millennium cited in Fable 5.1 launch (vendor-selected).</w:t>
            </w:r>
          </w:p>
        </w:tc>
        <w:tc>
          <w:tcPr/>
          <w:p>
            <w:pPr>
              <w:pStyle w:val="Compact"/>
              <w:jc w:val="left"/>
            </w:pPr>
            <w:r>
              <w:t xml:space="preserve">Verified fact</w:t>
            </w:r>
          </w:p>
        </w:tc>
        <w:tc>
          <w:tcPr/>
          <w:p>
            <w:pPr>
              <w:pStyle w:val="Compact"/>
              <w:jc w:val="left"/>
            </w:pPr>
            <w:r>
              <w:t xml:space="preserve">A5-S012, A5-S016</w:t>
            </w:r>
          </w:p>
        </w:tc>
      </w:tr>
      <w:tr>
        <w:tc>
          <w:tcPr/>
          <w:p>
            <w:pPr>
              <w:pStyle w:val="Compact"/>
              <w:jc w:val="left"/>
            </w:pPr>
            <w:r>
              <w:t xml:space="preserve">Maturity</w:t>
            </w:r>
          </w:p>
        </w:tc>
        <w:tc>
          <w:tcPr/>
          <w:p>
            <w:pPr>
              <w:pStyle w:val="Compact"/>
              <w:jc w:val="left"/>
            </w:pPr>
            <w:r>
              <w:t xml:space="preserve">Four GA tiers released 1 September to 7 October 2026; published retirement commitments (</w:t>
            </w:r>
            <w:r>
              <w:t xml:space="preserve">“</w:t>
            </w:r>
            <w:r>
              <w:t xml:space="preserve">not sooner than</w:t>
            </w:r>
            <w:r>
              <w:t xml:space="preserve">”</w:t>
            </w:r>
            <w:r>
              <w:t xml:space="preserve"> </w:t>
            </w:r>
            <w:r>
              <w:t xml:space="preserve">September/October 2027).</w:t>
            </w:r>
          </w:p>
        </w:tc>
        <w:tc>
          <w:tcPr/>
          <w:p>
            <w:pPr>
              <w:pStyle w:val="Compact"/>
              <w:jc w:val="left"/>
            </w:pPr>
            <w:r>
              <w:t xml:space="preserve">Verified fact</w:t>
            </w:r>
          </w:p>
        </w:tc>
        <w:tc>
          <w:tcPr/>
          <w:p>
            <w:pPr>
              <w:pStyle w:val="Compact"/>
              <w:jc w:val="left"/>
            </w:pPr>
            <w:r>
              <w:t xml:space="preserve">A5-S010</w:t>
            </w:r>
          </w:p>
        </w:tc>
      </w:tr>
      <w:tr>
        <w:tc>
          <w:tcPr/>
          <w:p>
            <w:pPr>
              <w:pStyle w:val="Compact"/>
              <w:jc w:val="left"/>
            </w:pPr>
            <w:r>
              <w:t xml:space="preserve">Deployment</w:t>
            </w:r>
          </w:p>
        </w:tc>
        <w:tc>
          <w:tcPr/>
          <w:p>
            <w:pPr>
              <w:pStyle w:val="Compact"/>
              <w:jc w:val="left"/>
            </w:pPr>
            <w:r>
              <w:t xml:space="preserve">saas: Yes; managed_cloud: Yes (Bedrock, Google Cloud, Microsoft Foundry, Claude Platform on AWS); vpc_byoc: Not publicly verified; private_cloud: Not publicly verified; self_hosted: No; on_prem: No</w:t>
            </w:r>
          </w:p>
        </w:tc>
        <w:tc>
          <w:tcPr/>
          <w:p>
            <w:pPr>
              <w:pStyle w:val="Compact"/>
            </w:pPr>
          </w:p>
        </w:tc>
        <w:tc>
          <w:tcPr/>
          <w:p>
            <w:pPr>
              <w:pStyle w:val="Compact"/>
            </w:pPr>
          </w:p>
        </w:tc>
      </w:tr>
    </w:tbl>
    <w:bookmarkEnd w:id="1572"/>
    <w:bookmarkStart w:id="1583" w:name="X42e0da9b322207bd068e8b6cf1e7e4e022cd3c9"/>
    <w:p>
      <w:pPr>
        <w:pStyle w:val="Heading2"/>
      </w:pPr>
      <w:r>
        <w:t xml:space="preserve">Google Gemma 4 (open-weight family) (</w:t>
      </w:r>
      <w:r>
        <w:rPr>
          <w:rStyle w:val="VerbatimChar"/>
        </w:rPr>
        <w:t xml:space="preserve">L1-google-gemma</w:t>
      </w:r>
      <w:r>
        <w:t xml:space="preserve">)</w:t>
      </w:r>
    </w:p>
    <w:p>
      <w:pPr>
        <w:pStyle w:val="FirstParagraph"/>
      </w:pPr>
      <w:r>
        <w:rPr>
          <w:bCs/>
          <w:b/>
        </w:rPr>
        <w:t xml:space="preserve">Tier:</w:t>
      </w:r>
      <w:r>
        <w:t xml:space="preserve"> </w:t>
      </w:r>
      <w:r>
        <w:t xml:space="preserve">Strategic ·</w:t>
      </w:r>
      <w:r>
        <w:t xml:space="preserve"> </w:t>
      </w:r>
      <w:r>
        <w:rPr>
          <w:bCs/>
          <w:b/>
        </w:rPr>
        <w:t xml:space="preserve">Flags:</w:t>
      </w:r>
      <w:r>
        <w:t xml:space="preserve"> </w:t>
      </w:r>
      <w:r>
        <w:t xml:space="preserve">none ·</w:t>
      </w:r>
      <w:r>
        <w:t xml:space="preserve"> </w:t>
      </w:r>
      <w:r>
        <w:rPr>
          <w:bCs/>
          <w:b/>
        </w:rPr>
        <w:t xml:space="preserve">Original graphic label:</w:t>
      </w:r>
      <w:r>
        <w:t xml:space="preserve"> </w:t>
      </w:r>
      <w:r>
        <w:t xml:space="preserve">Gemma – 2.9</w:t>
      </w:r>
    </w:p>
    <w:p>
      <w:pPr>
        <w:pStyle w:val="BodyText"/>
      </w:pPr>
      <w:r>
        <w:rPr>
          <w:iCs/>
          <w:i/>
        </w:rPr>
        <w:t xml:space="preserve">Rationale:</w:t>
      </w:r>
      <w:r>
        <w:t xml:space="preserve"> </w:t>
      </w:r>
      <w:r>
        <w:t xml:space="preserve">Strategic, conditional: as the small, self-hosted open-weight tier of the portfolio; not a substitute for a frontier model</w:t>
      </w:r>
      <w:r>
        <w:t xml:space="preserve"> </w:t>
      </w:r>
      <w:r>
        <w:rPr>
          <w:rStyle w:val="ClaimLabel"/>
        </w:rPr>
        <w:t xml:space="preserve">AJ</w:t>
      </w:r>
      <w:r>
        <w:t xml:space="preserve">.</w:t>
      </w:r>
    </w:p>
    <w:tbl>
      <w:tblPr>
        <w:tblStyle w:val="Table"/>
        <w:tblW w:type="pct" w:w="5000"/>
        <w:tblLook w:firstRow="1" w:lastRow="0" w:firstColumn="0" w:lastColumn="0" w:noHBand="0" w:noVBand="0" w:val="0020"/>
        <w:jc w:val="start"/>
      </w:tblPr>
      <w:tblGrid>
        <w:gridCol w:w="1545"/>
        <w:gridCol w:w="579"/>
        <w:gridCol w:w="5795"/>
      </w:tblGrid>
      <w:tr>
        <w:trPr>
          <w:tblHeader w:val="true"/>
        </w:trPr>
        <w:tc>
          <w:tcPr/>
          <w:p>
            <w:pPr>
              <w:pStyle w:val="Compact"/>
              <w:jc w:val="left"/>
            </w:pPr>
            <w:r>
              <w:t xml:space="preserve">Criterion</w:t>
            </w:r>
          </w:p>
        </w:tc>
        <w:tc>
          <w:tcPr/>
          <w:p>
            <w:pPr>
              <w:pStyle w:val="Compact"/>
              <w:jc w:val="right"/>
            </w:pPr>
            <w:r>
              <w:t xml:space="preserve">Score</w:t>
            </w:r>
          </w:p>
        </w:tc>
        <w:tc>
          <w:tcPr/>
          <w:p>
            <w:pPr>
              <w:pStyle w:val="Compact"/>
              <w:jc w:val="left"/>
            </w:pPr>
            <w:r>
              <w:t xml:space="preserve">Rationale</w:t>
            </w:r>
          </w:p>
        </w:tc>
      </w:tr>
      <w:tr>
        <w:tc>
          <w:tcPr/>
          <w:p>
            <w:pPr>
              <w:pStyle w:val="Compact"/>
              <w:jc w:val="left"/>
            </w:pPr>
            <w:r>
              <w:t xml:space="preserve">Technical</w:t>
            </w:r>
          </w:p>
        </w:tc>
        <w:tc>
          <w:tcPr/>
          <w:p>
            <w:pPr>
              <w:pStyle w:val="Compact"/>
              <w:jc w:val="right"/>
            </w:pPr>
            <w:r>
              <w:t xml:space="preserve">3</w:t>
            </w:r>
          </w:p>
        </w:tc>
        <w:tc>
          <w:tcPr/>
          <w:p>
            <w:pPr>
              <w:pStyle w:val="Compact"/>
              <w:jc w:val="left"/>
            </w:pPr>
            <w:r>
              <w:t xml:space="preserve">Competent small and medium multimodal models; no frontier tier (A5-S034).</w:t>
            </w:r>
          </w:p>
        </w:tc>
      </w:tr>
      <w:tr>
        <w:tc>
          <w:tcPr/>
          <w:p>
            <w:pPr>
              <w:pStyle w:val="Compact"/>
              <w:jc w:val="left"/>
            </w:pPr>
            <w:r>
              <w:t xml:space="preserve">Enterprise readiness</w:t>
            </w:r>
          </w:p>
        </w:tc>
        <w:tc>
          <w:tcPr/>
          <w:p>
            <w:pPr>
              <w:pStyle w:val="Compact"/>
              <w:jc w:val="right"/>
            </w:pPr>
            <w:r>
              <w:t xml:space="preserve">4</w:t>
            </w:r>
          </w:p>
        </w:tc>
        <w:tc>
          <w:tcPr/>
          <w:p>
            <w:pPr>
              <w:pStyle w:val="Compact"/>
              <w:jc w:val="left"/>
            </w:pPr>
            <w:r>
              <w:t xml:space="preserve">Managed Gemma 4 on Google Cloud and Bedrock gives the hyperscaler presumption (rule 6); self-hosted weights inherit host controls. Platform controls presumed (CP2 Q1); confirm per service.</w:t>
            </w:r>
          </w:p>
        </w:tc>
      </w:tr>
      <w:tr>
        <w:tc>
          <w:tcPr/>
          <w:p>
            <w:pPr>
              <w:pStyle w:val="Compact"/>
              <w:jc w:val="left"/>
            </w:pPr>
            <w:r>
              <w:t xml:space="preserve">Security and compliance</w:t>
            </w:r>
          </w:p>
        </w:tc>
        <w:tc>
          <w:tcPr/>
          <w:p>
            <w:pPr>
              <w:pStyle w:val="Compact"/>
              <w:jc w:val="right"/>
            </w:pPr>
            <w:r>
              <w:t xml:space="preserve">3</w:t>
            </w:r>
          </w:p>
        </w:tc>
        <w:tc>
          <w:tcPr/>
          <w:p>
            <w:pPr>
              <w:pStyle w:val="Compact"/>
              <w:jc w:val="left"/>
            </w:pPr>
            <w:r>
              <w:t xml:space="preserve">Scored as self-hosted weights (rule 2): clear Apache 2.0 licence (V2-S020); signed releases and CVE handling not evidenced; inherits host controls.</w:t>
            </w:r>
          </w:p>
        </w:tc>
      </w:tr>
      <w:tr>
        <w:tc>
          <w:tcPr/>
          <w:p>
            <w:pPr>
              <w:pStyle w:val="Compact"/>
              <w:jc w:val="left"/>
            </w:pPr>
            <w:r>
              <w:t xml:space="preserve">Deployment flexibility</w:t>
            </w:r>
          </w:p>
        </w:tc>
        <w:tc>
          <w:tcPr/>
          <w:p>
            <w:pPr>
              <w:pStyle w:val="Compact"/>
              <w:jc w:val="right"/>
            </w:pPr>
            <w:r>
              <w:t xml:space="preserve">5</w:t>
            </w:r>
          </w:p>
        </w:tc>
        <w:tc>
          <w:tcPr/>
          <w:p>
            <w:pPr>
              <w:pStyle w:val="Compact"/>
              <w:jc w:val="left"/>
            </w:pPr>
            <w:r>
              <w:t xml:space="preserve">Managed, self-hosted, on-premises, edge and air-gap (A5-S034).</w:t>
            </w:r>
          </w:p>
        </w:tc>
      </w:tr>
      <w:tr>
        <w:tc>
          <w:tcPr/>
          <w:p>
            <w:pPr>
              <w:pStyle w:val="Compact"/>
              <w:jc w:val="left"/>
            </w:pPr>
            <w:r>
              <w:t xml:space="preserve">Ecosystem</w:t>
            </w:r>
          </w:p>
        </w:tc>
        <w:tc>
          <w:tcPr/>
          <w:p>
            <w:pPr>
              <w:pStyle w:val="Compact"/>
              <w:jc w:val="right"/>
            </w:pPr>
            <w:r>
              <w:t xml:space="preserve">4</w:t>
            </w:r>
          </w:p>
        </w:tc>
        <w:tc>
          <w:tcPr/>
          <w:p>
            <w:pPr>
              <w:pStyle w:val="Compact"/>
              <w:jc w:val="left"/>
            </w:pPr>
            <w:r>
              <w:t xml:space="preserve">Mainstream open-weight tooling and three hosting routes (A5-S034, A5-S027).</w:t>
            </w:r>
          </w:p>
        </w:tc>
      </w:tr>
      <w:tr>
        <w:tc>
          <w:tcPr/>
          <w:p>
            <w:pPr>
              <w:pStyle w:val="Compact"/>
              <w:jc w:val="left"/>
            </w:pPr>
            <w:r>
              <w:t xml:space="preserve">Reliability and maturity</w:t>
            </w:r>
          </w:p>
        </w:tc>
        <w:tc>
          <w:tcPr/>
          <w:p>
            <w:pPr>
              <w:pStyle w:val="Compact"/>
              <w:jc w:val="right"/>
            </w:pPr>
            <w:r>
              <w:t xml:space="preserve">4</w:t>
            </w:r>
          </w:p>
        </w:tc>
        <w:tc>
          <w:tcPr/>
          <w:p>
            <w:pPr>
              <w:pStyle w:val="Compact"/>
              <w:jc w:val="left"/>
            </w:pPr>
            <w:r>
              <w:t xml:space="preserve">Fourth generation, GA open release from Google (A5-S034).</w:t>
            </w:r>
          </w:p>
        </w:tc>
      </w:tr>
      <w:tr>
        <w:tc>
          <w:tcPr/>
          <w:p>
            <w:pPr>
              <w:pStyle w:val="Compact"/>
              <w:jc w:val="left"/>
            </w:pPr>
            <w:r>
              <w:t xml:space="preserve">Cost / TCO</w:t>
            </w:r>
          </w:p>
        </w:tc>
        <w:tc>
          <w:tcPr/>
          <w:p>
            <w:pPr>
              <w:pStyle w:val="Compact"/>
              <w:jc w:val="right"/>
            </w:pPr>
            <w:r>
              <w:t xml:space="preserve">4</w:t>
            </w:r>
          </w:p>
        </w:tc>
        <w:tc>
          <w:tcPr/>
          <w:p>
            <w:pPr>
              <w:pStyle w:val="Compact"/>
              <w:jc w:val="left"/>
            </w:pPr>
            <w:r>
              <w:t xml:space="preserve">Free weights; the larger sizes need a data-centre GPU, so operations are not trivial.</w:t>
            </w:r>
          </w:p>
        </w:tc>
      </w:tr>
      <w:tr>
        <w:tc>
          <w:tcPr/>
          <w:p>
            <w:pPr>
              <w:pStyle w:val="Compact"/>
              <w:jc w:val="left"/>
            </w:pPr>
            <w:r>
              <w:t xml:space="preserve">Lock-in / portability</w:t>
            </w:r>
          </w:p>
        </w:tc>
        <w:tc>
          <w:tcPr/>
          <w:p>
            <w:pPr>
              <w:pStyle w:val="Compact"/>
              <w:jc w:val="right"/>
            </w:pPr>
            <w:r>
              <w:t xml:space="preserve">4</w:t>
            </w:r>
          </w:p>
        </w:tc>
        <w:tc>
          <w:tcPr/>
          <w:p>
            <w:pPr>
              <w:pStyle w:val="Compact"/>
              <w:jc w:val="left"/>
            </w:pPr>
            <w:r>
              <w:t xml:space="preserve">Permissive open weights; governance by one vendor, not neutral, so not 5.</w:t>
            </w:r>
          </w:p>
        </w:tc>
      </w:tr>
      <w:tr>
        <w:tc>
          <w:tcPr/>
          <w:p>
            <w:pPr>
              <w:pStyle w:val="Compact"/>
              <w:jc w:val="left"/>
            </w:pPr>
            <w:r>
              <w:rPr>
                <w:bCs/>
                <w:b/>
              </w:rPr>
              <w:t xml:space="preserve">Total (generic / FS)</w:t>
            </w:r>
          </w:p>
        </w:tc>
        <w:tc>
          <w:tcPr/>
          <w:p>
            <w:pPr>
              <w:pStyle w:val="Compact"/>
              <w:jc w:val="right"/>
            </w:pPr>
            <w:r>
              <w:rPr>
                <w:bCs/>
                <w:b/>
              </w:rPr>
              <w:t xml:space="preserve">3.80 / 3.80</w:t>
            </w:r>
          </w:p>
        </w:tc>
        <w:tc>
          <w:tcPr/>
          <w:p>
            <w:pPr>
              <w:pStyle w:val="Compact"/>
            </w:pPr>
          </w:p>
        </w:tc>
      </w:tr>
    </w:tbl>
    <w:p>
      <w:pPr>
        <w:pStyle w:val="BodyText"/>
      </w:pPr>
      <w:r>
        <w:rPr>
          <w:bCs/>
          <w:b/>
        </w:rPr>
        <w:t xml:space="preserve">Capabilities.</w:t>
      </w:r>
      <w:r>
        <w:t xml:space="preserve"> </w:t>
      </w:r>
      <w:r>
        <w:t xml:space="preserve">Gemma 4 open-weight family: E2B, E4B, 26B MoE and 31B dense (31 March / 2 April 2026) and a 12B unified multimodal model (3 June 2026); image and video input on all sizes, audio on E2B/E4B; up to 256K context; Apache 2.0</w:t>
      </w:r>
      <w:r>
        <w:t xml:space="preserve"> </w:t>
      </w:r>
      <w:r>
        <w:rPr>
          <w:rStyle w:val="ClaimLabel"/>
        </w:rPr>
        <w:t xml:space="preserve">VF</w:t>
      </w:r>
      <w:r>
        <w:rPr>
          <w:rStyle w:val="FootnoteReference"/>
        </w:rPr>
        <w:footnoteReference w:id="1573"/>
      </w:r>
      <w:r>
        <w:t xml:space="preserve">.</w:t>
      </w:r>
    </w:p>
    <w:p>
      <w:pPr>
        <w:pStyle w:val="BodyText"/>
      </w:pPr>
      <w:r>
        <w:rPr>
          <w:bCs/>
          <w:b/>
        </w:rPr>
        <w:t xml:space="preserve">Strengths</w:t>
      </w:r>
    </w:p>
    <w:p>
      <w:pPr>
        <w:numPr>
          <w:ilvl w:val="0"/>
          <w:numId w:val="1333"/>
        </w:numPr>
        <w:pStyle w:val="Compact"/>
      </w:pPr>
      <w:r>
        <w:t xml:space="preserve">Apache 2.0 weights from a major vendor, runnable from phones and laptops to a single data-centre GPU</w:t>
      </w:r>
      <w:r>
        <w:t xml:space="preserve"> </w:t>
      </w:r>
      <w:r>
        <w:rPr>
          <w:rStyle w:val="ClaimLabel"/>
        </w:rPr>
        <w:t xml:space="preserve">VF</w:t>
      </w:r>
      <w:r>
        <w:rPr>
          <w:rStyle w:val="FootnoteReference"/>
        </w:rPr>
        <w:footnoteReference w:id="1576"/>
      </w:r>
      <w:r>
        <w:t xml:space="preserve"> </w:t>
      </w:r>
      <w:r>
        <w:rPr>
          <w:rStyle w:val="ClaimLabel"/>
        </w:rPr>
        <w:t xml:space="preserve">R</w:t>
      </w:r>
      <w:r>
        <w:rPr>
          <w:rStyle w:val="FootnoteReference"/>
        </w:rPr>
        <w:footnoteReference w:id="1577"/>
      </w:r>
    </w:p>
    <w:p>
      <w:pPr>
        <w:numPr>
          <w:ilvl w:val="0"/>
          <w:numId w:val="1333"/>
        </w:numPr>
        <w:pStyle w:val="Compact"/>
      </w:pPr>
      <w:r>
        <w:t xml:space="preserve">Managed hosting on Google Cloud and Bedrock as well as self-hosting</w:t>
      </w:r>
      <w:r>
        <w:t xml:space="preserve"> </w:t>
      </w:r>
      <w:r>
        <w:rPr>
          <w:rStyle w:val="ClaimLabel"/>
        </w:rPr>
        <w:t xml:space="preserve">VF</w:t>
      </w:r>
      <w:r>
        <w:rPr>
          <w:rStyle w:val="FootnoteReference"/>
        </w:rPr>
        <w:footnoteReference w:id="1578"/>
      </w:r>
      <w:r>
        <w:t xml:space="preserve"> </w:t>
      </w:r>
      <w:r>
        <w:rPr>
          <w:rStyle w:val="ClaimLabel"/>
        </w:rPr>
        <w:t xml:space="preserve">R</w:t>
      </w:r>
      <w:r>
        <w:rPr>
          <w:rStyle w:val="FootnoteReference"/>
        </w:rPr>
        <w:footnoteReference w:id="1579"/>
      </w:r>
    </w:p>
    <w:p>
      <w:pPr>
        <w:numPr>
          <w:ilvl w:val="0"/>
          <w:numId w:val="1333"/>
        </w:numPr>
        <w:pStyle w:val="Compact"/>
      </w:pPr>
      <w:r>
        <w:t xml:space="preserve">Broad tool support (Hugging Face, Kaggle, Ollama, Unsloth)</w:t>
      </w:r>
      <w:r>
        <w:t xml:space="preserve"> </w:t>
      </w:r>
      <w:r>
        <w:rPr>
          <w:rStyle w:val="ClaimLabel"/>
        </w:rPr>
        <w:t xml:space="preserve">VF</w:t>
      </w:r>
      <w:r>
        <w:rPr>
          <w:rStyle w:val="FootnoteReference"/>
        </w:rPr>
        <w:footnoteReference w:id="1580"/>
      </w:r>
    </w:p>
    <w:p>
      <w:pPr>
        <w:pStyle w:val="FirstParagraph"/>
      </w:pPr>
      <w:r>
        <w:rPr>
          <w:bCs/>
          <w:b/>
        </w:rPr>
        <w:t xml:space="preserve">Limitations and risks</w:t>
      </w:r>
    </w:p>
    <w:p>
      <w:pPr>
        <w:numPr>
          <w:ilvl w:val="0"/>
          <w:numId w:val="1334"/>
        </w:numPr>
        <w:pStyle w:val="Compact"/>
      </w:pPr>
      <w:r>
        <w:t xml:space="preserve">Small and medium sizes only; no frontier-class model</w:t>
      </w:r>
      <w:r>
        <w:t xml:space="preserve"> </w:t>
      </w:r>
      <w:r>
        <w:rPr>
          <w:rStyle w:val="ClaimLabel"/>
        </w:rPr>
        <w:t xml:space="preserve">VF</w:t>
      </w:r>
      <w:r>
        <w:rPr>
          <w:rStyle w:val="FootnoteReference"/>
        </w:rPr>
        <w:footnoteReference w:id="1581"/>
      </w:r>
    </w:p>
    <w:p>
      <w:pPr>
        <w:numPr>
          <w:ilvl w:val="0"/>
          <w:numId w:val="1334"/>
        </w:numPr>
        <w:pStyle w:val="Compact"/>
      </w:pPr>
      <w:r>
        <w:t xml:space="preserve">No vendor support for weights verified; security depends on the host</w:t>
      </w:r>
      <w:r>
        <w:t xml:space="preserve"> </w:t>
      </w:r>
      <w:r>
        <w:rPr>
          <w:rStyle w:val="ClaimLabel"/>
        </w:rPr>
        <w:t xml:space="preserve">AJ</w:t>
      </w:r>
    </w:p>
    <w:p>
      <w:pPr>
        <w:numPr>
          <w:ilvl w:val="0"/>
          <w:numId w:val="1334"/>
        </w:numPr>
        <w:pStyle w:val="Compact"/>
      </w:pPr>
      <w:r>
        <w:t xml:space="preserve">One README links a separate Gemma 4 licence page that was not read</w:t>
      </w:r>
      <w:r>
        <w:t xml:space="preserve"> </w:t>
      </w:r>
      <w:r>
        <w:rPr>
          <w:rStyle w:val="ClaimLabel"/>
        </w:rPr>
        <w:t xml:space="preserve">VF</w:t>
      </w:r>
      <w:r>
        <w:rPr>
          <w:rStyle w:val="FootnoteReference"/>
        </w:rPr>
        <w:footnoteReference w:id="1582"/>
      </w:r>
    </w:p>
    <w:p>
      <w:pPr>
        <w:pStyle w:val="FirstParagraph"/>
      </w:pPr>
      <w:r>
        <w:rPr>
          <w:bCs/>
          <w:b/>
        </w:rPr>
        <w:t xml:space="preserve">Choose when</w:t>
      </w:r>
    </w:p>
    <w:p>
      <w:pPr>
        <w:numPr>
          <w:ilvl w:val="0"/>
          <w:numId w:val="1335"/>
        </w:numPr>
        <w:pStyle w:val="Compact"/>
      </w:pPr>
      <w:r>
        <w:t xml:space="preserve">You need a self-hosted classification, extraction or redaction model inside the estate</w:t>
      </w:r>
      <w:r>
        <w:t xml:space="preserve"> </w:t>
      </w:r>
      <w:r>
        <w:rPr>
          <w:rStyle w:val="ClaimLabel"/>
        </w:rPr>
        <w:t xml:space="preserve">AJ</w:t>
      </w:r>
    </w:p>
    <w:p>
      <w:pPr>
        <w:numPr>
          <w:ilvl w:val="0"/>
          <w:numId w:val="1335"/>
        </w:numPr>
        <w:pStyle w:val="Compact"/>
      </w:pPr>
      <w:r>
        <w:t xml:space="preserve">Data must never leave the firm’s infrastructure</w:t>
      </w:r>
      <w:r>
        <w:t xml:space="preserve"> </w:t>
      </w:r>
      <w:r>
        <w:rPr>
          <w:rStyle w:val="ClaimLabel"/>
        </w:rPr>
        <w:t xml:space="preserve">AJ</w:t>
      </w:r>
    </w:p>
    <w:p>
      <w:pPr>
        <w:pStyle w:val="FirstParagraph"/>
      </w:pPr>
      <w:r>
        <w:rPr>
          <w:bCs/>
          <w:b/>
        </w:rPr>
        <w:t xml:space="preserve">Avoid when</w:t>
      </w:r>
    </w:p>
    <w:p>
      <w:pPr>
        <w:numPr>
          <w:ilvl w:val="0"/>
          <w:numId w:val="1336"/>
        </w:numPr>
        <w:pStyle w:val="Compact"/>
      </w:pPr>
      <w:r>
        <w:t xml:space="preserve">The task needs frontier reasoning or long-form drafting quality</w:t>
      </w:r>
      <w:r>
        <w:t xml:space="preserve"> </w:t>
      </w:r>
      <w:r>
        <w:rPr>
          <w:rStyle w:val="ClaimLabel"/>
        </w:rPr>
        <w:t xml:space="preserve">AJ</w:t>
      </w:r>
    </w:p>
    <w:p>
      <w:pPr>
        <w:pStyle w:val="FirstParagraph"/>
      </w:pPr>
      <w:r>
        <w:rPr>
          <w:bCs/>
          <w:b/>
        </w:rPr>
        <w:t xml:space="preserve">Nearest competitors:</w:t>
      </w:r>
      <w:r>
        <w:t xml:space="preserve"> </w:t>
      </w:r>
      <w:r>
        <w:t xml:space="preserve">L1-mistral, L1-meta, L1-alibaba-qwen</w:t>
      </w:r>
    </w:p>
    <w:p>
      <w:pPr>
        <w:pStyle w:val="BodyText"/>
      </w:pPr>
      <w:r>
        <w:rPr>
          <w:bCs/>
          <w:b/>
        </w:rPr>
        <w:t xml:space="preserve">Regulated-FS note.</w:t>
      </w:r>
      <w:r>
        <w:t xml:space="preserve"> </w:t>
      </w:r>
      <w:r>
        <w:t xml:space="preserve">Self-host behind the gateway with model files scanned and pinned by hash (C7); validate as a model in its own right</w:t>
      </w:r>
      <w:r>
        <w:t xml:space="preserve"> </w:t>
      </w:r>
      <w:r>
        <w:rPr>
          <w:rStyle w:val="ClaimLabel"/>
        </w:rPr>
        <w:t xml:space="preserve">Rec</w:t>
      </w:r>
      <w:r>
        <w:t xml:space="preserve">.</w:t>
      </w:r>
    </w:p>
    <w:p>
      <w:pPr>
        <w:pStyle w:val="BodyText"/>
      </w:pPr>
      <w:r>
        <w:rPr>
          <w:bCs/>
          <w:b/>
        </w:rPr>
        <w:t xml:space="preserve">Facts (as of 2026-10-08)</w:t>
      </w:r>
    </w:p>
    <w:tbl>
      <w:tblPr>
        <w:tblStyle w:val="Table"/>
        <w:tblW w:type="pct" w:w="5000"/>
        <w:tblLook w:firstRow="1" w:lastRow="0" w:firstColumn="0" w:lastColumn="0" w:noHBand="0" w:noVBand="0" w:val="0020"/>
        <w:jc w:val="start"/>
      </w:tblPr>
      <w:tblGrid>
        <w:gridCol w:w="1485"/>
        <w:gridCol w:w="4290"/>
        <w:gridCol w:w="1320"/>
        <w:gridCol w:w="825"/>
      </w:tblGrid>
      <w:tr>
        <w:trPr>
          <w:tblHeader w:val="true"/>
        </w:trPr>
        <w:tc>
          <w:tcPr/>
          <w:p>
            <w:pPr>
              <w:pStyle w:val="Compact"/>
              <w:jc w:val="left"/>
            </w:pPr>
            <w:r>
              <w:t xml:space="preserve">Field</w:t>
            </w:r>
          </w:p>
        </w:tc>
        <w:tc>
          <w:tcPr/>
          <w:p>
            <w:pPr>
              <w:pStyle w:val="Compact"/>
              <w:jc w:val="left"/>
            </w:pPr>
            <w:r>
              <w:t xml:space="preserve">Value</w:t>
            </w:r>
          </w:p>
        </w:tc>
        <w:tc>
          <w:tcPr/>
          <w:p>
            <w:pPr>
              <w:pStyle w:val="Compact"/>
              <w:jc w:val="left"/>
            </w:pPr>
            <w:r>
              <w:t xml:space="preserve">Label</w:t>
            </w:r>
          </w:p>
        </w:tc>
        <w:tc>
          <w:tcPr/>
          <w:p>
            <w:pPr>
              <w:pStyle w:val="Compact"/>
              <w:jc w:val="left"/>
            </w:pPr>
            <w:r>
              <w:t xml:space="preserve">Sources</w:t>
            </w:r>
          </w:p>
        </w:tc>
      </w:tr>
      <w:tr>
        <w:tc>
          <w:tcPr/>
          <w:p>
            <w:pPr>
              <w:pStyle w:val="Compact"/>
              <w:jc w:val="left"/>
            </w:pPr>
            <w:r>
              <w:t xml:space="preserve">Company</w:t>
            </w:r>
          </w:p>
        </w:tc>
        <w:tc>
          <w:tcPr/>
          <w:p>
            <w:pPr>
              <w:pStyle w:val="Compact"/>
              <w:jc w:val="left"/>
            </w:pPr>
            <w:r>
              <w:t xml:space="preserve">Google (Google DeepMind)</w:t>
            </w:r>
          </w:p>
        </w:tc>
        <w:tc>
          <w:tcPr/>
          <w:p>
            <w:pPr>
              <w:pStyle w:val="Compact"/>
              <w:jc w:val="left"/>
            </w:pPr>
            <w:r>
              <w:t xml:space="preserve">Verified fact</w:t>
            </w:r>
          </w:p>
        </w:tc>
        <w:tc>
          <w:tcPr/>
          <w:p>
            <w:pPr>
              <w:pStyle w:val="Compact"/>
              <w:jc w:val="left"/>
            </w:pPr>
            <w:r>
              <w:t xml:space="preserve">A5-S034</w:t>
            </w:r>
          </w:p>
        </w:tc>
      </w:tr>
      <w:tr>
        <w:tc>
          <w:tcPr/>
          <w:p>
            <w:pPr>
              <w:pStyle w:val="Compact"/>
              <w:jc w:val="left"/>
            </w:pPr>
            <w:r>
              <w:t xml:space="preserve">Category</w:t>
            </w:r>
          </w:p>
        </w:tc>
        <w:tc>
          <w:tcPr/>
          <w:p>
            <w:pPr>
              <w:pStyle w:val="Compact"/>
              <w:jc w:val="left"/>
            </w:pPr>
            <w:r>
              <w:t xml:space="preserve">Open-weight model family (small/medium, multimodal, on-device)</w:t>
            </w:r>
          </w:p>
        </w:tc>
        <w:tc>
          <w:tcPr/>
          <w:p>
            <w:pPr>
              <w:pStyle w:val="Compact"/>
              <w:jc w:val="left"/>
            </w:pPr>
            <w:r>
              <w:t xml:space="preserve">Verified fact</w:t>
            </w:r>
          </w:p>
        </w:tc>
        <w:tc>
          <w:tcPr/>
          <w:p>
            <w:pPr>
              <w:pStyle w:val="Compact"/>
              <w:jc w:val="left"/>
            </w:pPr>
            <w:r>
              <w:t xml:space="preserve">A5-S034</w:t>
            </w:r>
          </w:p>
        </w:tc>
      </w:tr>
      <w:tr>
        <w:tc>
          <w:tcPr/>
          <w:p>
            <w:pPr>
              <w:pStyle w:val="Compact"/>
              <w:jc w:val="left"/>
            </w:pPr>
            <w:r>
              <w:t xml:space="preserve">Version / lineup</w:t>
            </w:r>
          </w:p>
        </w:tc>
        <w:tc>
          <w:tcPr/>
          <w:p>
            <w:pPr>
              <w:pStyle w:val="Compact"/>
              <w:jc w:val="left"/>
            </w:pPr>
            <w:r>
              <w:t xml:space="preserve">current: Gemma 4: E2B, E4B, 26B MoE (A4B), 31B Dense released 31 March 2026 (releases page) / 2 April 2026 (blog); Gemma 4 12B unified encoder-free multimodal added 3 June 2026; MTP drafters April 2026. [A5-S034]; context: 128K (E2B/E4B), up to 256K (larger models); LiteLLM lists 262,144 for 26B/31B. [A5-S034, A5-S038]; multimodal: All models take image and video input; E2B/E4B also audio. [A5-S034]; previous: Gemma 3 (1B/4B/12B/27B) still self-deployable on Google Cloud and on Bedrock. [A5-S027, A5-S038]; graphic_label_check:</w:t>
            </w:r>
            <w:r>
              <w:t xml:space="preserve"> </w:t>
            </w:r>
            <w:r>
              <w:t xml:space="preserve">“</w:t>
            </w:r>
            <w:r>
              <w:t xml:space="preserve">2.9</w:t>
            </w:r>
            <w:r>
              <w:t xml:space="preserve">”</w:t>
            </w:r>
            <w:r>
              <w:t xml:space="preserve"> </w:t>
            </w:r>
            <w:r>
              <w:t xml:space="preserve">is WRONG: no Gemma 2.9 exists in any source found; current ge</w:t>
            </w:r>
          </w:p>
        </w:tc>
        <w:tc>
          <w:tcPr/>
          <w:p>
            <w:pPr>
              <w:pStyle w:val="Compact"/>
              <w:jc w:val="left"/>
            </w:pPr>
            <w:r>
              <w:t xml:space="preserve">Verified fact</w:t>
            </w:r>
          </w:p>
        </w:tc>
        <w:tc>
          <w:tcPr/>
          <w:p>
            <w:pPr>
              <w:pStyle w:val="Compact"/>
              <w:jc w:val="left"/>
            </w:pPr>
            <w:r>
              <w:t xml:space="preserve">A5-S034, A5-S035, A5-S027, A5-S038, V2-S020</w:t>
            </w:r>
          </w:p>
        </w:tc>
      </w:tr>
      <w:tr>
        <w:tc>
          <w:tcPr/>
          <w:p>
            <w:pPr>
              <w:pStyle w:val="Compact"/>
              <w:jc w:val="left"/>
            </w:pPr>
            <w:r>
              <w:t xml:space="preserve">Licence</w:t>
            </w:r>
          </w:p>
        </w:tc>
        <w:tc>
          <w:tcPr/>
          <w:p>
            <w:pPr>
              <w:pStyle w:val="Compact"/>
              <w:jc w:val="left"/>
            </w:pPr>
            <w:r>
              <w:t xml:space="preserve">Open weights under Apache 2.0 (Hugging Face model cards and Google blog); one README also links a separate Gemma 4 licence page on ai.google.dev (not read).</w:t>
            </w:r>
          </w:p>
        </w:tc>
        <w:tc>
          <w:tcPr/>
          <w:p>
            <w:pPr>
              <w:pStyle w:val="Compact"/>
              <w:jc w:val="left"/>
            </w:pPr>
            <w:r>
              <w:t xml:space="preserve">Verified fact</w:t>
            </w:r>
          </w:p>
        </w:tc>
        <w:tc>
          <w:tcPr/>
          <w:p>
            <w:pPr>
              <w:pStyle w:val="Compact"/>
              <w:jc w:val="left"/>
            </w:pPr>
            <w:r>
              <w:t xml:space="preserve">A5-S034, A5-S035, V2-S020</w:t>
            </w:r>
          </w:p>
        </w:tc>
      </w:tr>
      <w:tr>
        <w:tc>
          <w:tcPr/>
          <w:p>
            <w:pPr>
              <w:pStyle w:val="Compact"/>
              <w:jc w:val="left"/>
            </w:pPr>
            <w:r>
              <w:t xml:space="preserve">Status events</w:t>
            </w:r>
          </w:p>
        </w:tc>
        <w:tc>
          <w:tcPr/>
          <w:p>
            <w:pPr>
              <w:pStyle w:val="Compact"/>
              <w:jc w:val="left"/>
            </w:pPr>
            <w:r>
              <w:t xml:space="preserve">31 March / 2 April 2026: Gemma 4 launch; 3 June 2026: Gemma 4 12B</w:t>
            </w:r>
          </w:p>
        </w:tc>
        <w:tc>
          <w:tcPr/>
          <w:p>
            <w:pPr>
              <w:pStyle w:val="Compact"/>
              <w:jc w:val="left"/>
            </w:pPr>
            <w:r>
              <w:t xml:space="preserve">Verified fact</w:t>
            </w:r>
          </w:p>
        </w:tc>
        <w:tc>
          <w:tcPr/>
          <w:p>
            <w:pPr>
              <w:pStyle w:val="Compact"/>
              <w:jc w:val="left"/>
            </w:pPr>
            <w:r>
              <w:t xml:space="preserve">A5-S034, V2-S020</w:t>
            </w:r>
          </w:p>
        </w:tc>
      </w:tr>
      <w:tr>
        <w:tc>
          <w:tcPr/>
          <w:p>
            <w:pPr>
              <w:pStyle w:val="Compact"/>
              <w:jc w:val="left"/>
            </w:pPr>
            <w:r>
              <w:t xml:space="preserve">Strategic direction</w:t>
            </w:r>
          </w:p>
        </w:tc>
        <w:tc>
          <w:tcPr/>
          <w:p>
            <w:pPr>
              <w:pStyle w:val="Compact"/>
              <w:jc w:val="left"/>
            </w:pPr>
            <w:r>
              <w:t xml:space="preserve">Edge and on-device focus (Android AICore, AI Edge Gallery), agentic features (function calling, structured JSON), Google reports 150 million Gemma 4 downloads.</w:t>
            </w:r>
          </w:p>
        </w:tc>
        <w:tc>
          <w:tcPr/>
          <w:p>
            <w:pPr>
              <w:pStyle w:val="Compact"/>
              <w:jc w:val="left"/>
            </w:pPr>
            <w:r>
              <w:t xml:space="preserve">Verified fact</w:t>
            </w:r>
          </w:p>
        </w:tc>
        <w:tc>
          <w:tcPr/>
          <w:p>
            <w:pPr>
              <w:pStyle w:val="Compact"/>
              <w:jc w:val="left"/>
            </w:pPr>
            <w:r>
              <w:t xml:space="preserve">A5-S034</w:t>
            </w:r>
          </w:p>
        </w:tc>
      </w:tr>
      <w:tr>
        <w:tc>
          <w:tcPr/>
          <w:p>
            <w:pPr>
              <w:pStyle w:val="Compact"/>
              <w:jc w:val="left"/>
            </w:pPr>
            <w:r>
              <w:t xml:space="preserve">What it does</w:t>
            </w:r>
          </w:p>
        </w:tc>
        <w:tc>
          <w:tcPr/>
          <w:p>
            <w:pPr>
              <w:pStyle w:val="Compact"/>
              <w:jc w:val="left"/>
            </w:pPr>
            <w:r>
              <w:t xml:space="preserve">Open-weight multimodal models for local, edge and self-hosted deployment, also served by Google and third parties.</w:t>
            </w:r>
          </w:p>
        </w:tc>
        <w:tc>
          <w:tcPr/>
          <w:p>
            <w:pPr>
              <w:pStyle w:val="Compact"/>
              <w:jc w:val="left"/>
            </w:pPr>
            <w:r>
              <w:t xml:space="preserve">Verified fact</w:t>
            </w:r>
          </w:p>
        </w:tc>
        <w:tc>
          <w:tcPr/>
          <w:p>
            <w:pPr>
              <w:pStyle w:val="Compact"/>
              <w:jc w:val="left"/>
            </w:pPr>
            <w:r>
              <w:t xml:space="preserve">A5-S034</w:t>
            </w:r>
          </w:p>
        </w:tc>
      </w:tr>
      <w:tr>
        <w:tc>
          <w:tcPr/>
          <w:p>
            <w:pPr>
              <w:pStyle w:val="Compact"/>
              <w:jc w:val="left"/>
            </w:pPr>
            <w:r>
              <w:t xml:space="preserve">Stack position</w:t>
            </w:r>
          </w:p>
        </w:tc>
        <w:tc>
          <w:tcPr/>
          <w:p>
            <w:pPr>
              <w:pStyle w:val="Compact"/>
              <w:jc w:val="left"/>
            </w:pPr>
            <w:r>
              <w:t xml:space="preserve">L1 open-weight model; the graphic shows it beside Gemini, but its natural deployment is self-hosted via L2 serving engines.</w:t>
            </w:r>
          </w:p>
        </w:tc>
        <w:tc>
          <w:tcPr/>
          <w:p>
            <w:pPr>
              <w:pStyle w:val="Compact"/>
              <w:jc w:val="left"/>
            </w:pPr>
            <w:r>
              <w:t xml:space="preserve">Architectural judgement</w:t>
            </w:r>
          </w:p>
        </w:tc>
        <w:tc>
          <w:tcPr/>
          <w:p>
            <w:pPr>
              <w:pStyle w:val="Compact"/>
            </w:pPr>
          </w:p>
        </w:tc>
      </w:tr>
      <w:tr>
        <w:tc>
          <w:tcPr/>
          <w:p>
            <w:pPr>
              <w:pStyle w:val="Compact"/>
              <w:jc w:val="left"/>
            </w:pPr>
            <w:r>
              <w:t xml:space="preserve">Integration</w:t>
            </w:r>
          </w:p>
        </w:tc>
        <w:tc>
          <w:tcPr/>
          <w:p>
            <w:pPr>
              <w:pStyle w:val="Compact"/>
              <w:jc w:val="left"/>
            </w:pPr>
            <w:r>
              <w:t xml:space="preserve">Weights on Hugging Face/Kaggle/Ollama; hosted Gemma 4 on Gemini API and Google Cloud (26B), Bedrock Mantle (31B, 26B, E2B incl. US GovCloud), Cloudflare, Together, OpenRouter.</w:t>
            </w:r>
          </w:p>
        </w:tc>
        <w:tc>
          <w:tcPr/>
          <w:p>
            <w:pPr>
              <w:pStyle w:val="Compact"/>
              <w:jc w:val="left"/>
            </w:pPr>
            <w:r>
              <w:t xml:space="preserve">Verified fact</w:t>
            </w:r>
          </w:p>
        </w:tc>
        <w:tc>
          <w:tcPr/>
          <w:p>
            <w:pPr>
              <w:pStyle w:val="Compact"/>
              <w:jc w:val="left"/>
            </w:pPr>
            <w:r>
              <w:t xml:space="preserve">A5-S034, A5-S027, A5-S038</w:t>
            </w:r>
          </w:p>
        </w:tc>
      </w:tr>
      <w:tr>
        <w:tc>
          <w:tcPr/>
          <w:p>
            <w:pPr>
              <w:pStyle w:val="Compact"/>
              <w:jc w:val="left"/>
            </w:pPr>
            <w:r>
              <w:t xml:space="preserve">Dependencies</w:t>
            </w:r>
          </w:p>
        </w:tc>
        <w:tc>
          <w:tcPr/>
          <w:p>
            <w:pPr>
              <w:pStyle w:val="Compact"/>
              <w:jc w:val="left"/>
            </w:pPr>
            <w:r>
              <w:t xml:space="preserve">Runs on own hardware (laptop to GPU server) via Hugging Face, Kaggle, Ollama; Google AI Edge for devices.</w:t>
            </w:r>
          </w:p>
        </w:tc>
        <w:tc>
          <w:tcPr/>
          <w:p>
            <w:pPr>
              <w:pStyle w:val="Compact"/>
              <w:jc w:val="left"/>
            </w:pPr>
            <w:r>
              <w:t xml:space="preserve">Verified fact</w:t>
            </w:r>
          </w:p>
        </w:tc>
        <w:tc>
          <w:tcPr/>
          <w:p>
            <w:pPr>
              <w:pStyle w:val="Compact"/>
              <w:jc w:val="left"/>
            </w:pPr>
            <w:r>
              <w:t xml:space="preserve">A5-S034</w:t>
            </w:r>
          </w:p>
        </w:tc>
      </w:tr>
      <w:tr>
        <w:tc>
          <w:tcPr/>
          <w:p>
            <w:pPr>
              <w:pStyle w:val="Compact"/>
              <w:jc w:val="left"/>
            </w:pPr>
            <w:r>
              <w:t xml:space="preserve">Certifications</w:t>
            </w:r>
          </w:p>
        </w:tc>
        <w:tc>
          <w:tcPr/>
          <w:p>
            <w:pPr>
              <w:pStyle w:val="Compact"/>
              <w:jc w:val="left"/>
            </w:pPr>
            <w:r>
              <w:t xml:space="preserve">Not applicable to weights; Google Cloud hosting inherits Google Cloud certifications.</w:t>
            </w:r>
          </w:p>
        </w:tc>
        <w:tc>
          <w:tcPr/>
          <w:p>
            <w:pPr>
              <w:pStyle w:val="Compact"/>
              <w:jc w:val="left"/>
            </w:pPr>
            <w:r>
              <w:t xml:space="preserve">Architectural judgement</w:t>
            </w:r>
          </w:p>
        </w:tc>
        <w:tc>
          <w:tcPr/>
          <w:p>
            <w:pPr>
              <w:pStyle w:val="Compact"/>
            </w:pPr>
          </w:p>
        </w:tc>
      </w:tr>
      <w:tr>
        <w:tc>
          <w:tcPr/>
          <w:p>
            <w:pPr>
              <w:pStyle w:val="Compact"/>
              <w:jc w:val="left"/>
            </w:pPr>
            <w:r>
              <w:t xml:space="preserve">GDPR / residency</w:t>
            </w:r>
          </w:p>
        </w:tc>
        <w:tc>
          <w:tcPr/>
          <w:p>
            <w:pPr>
              <w:pStyle w:val="Compact"/>
              <w:jc w:val="left"/>
            </w:pPr>
            <w:r>
              <w:t xml:space="preserve">Self-hosting keeps data wherever the operator runs the model.</w:t>
            </w:r>
          </w:p>
        </w:tc>
        <w:tc>
          <w:tcPr/>
          <w:p>
            <w:pPr>
              <w:pStyle w:val="Compact"/>
              <w:jc w:val="left"/>
            </w:pPr>
            <w:r>
              <w:t xml:space="preserve">Architectural judgement</w:t>
            </w:r>
          </w:p>
        </w:tc>
        <w:tc>
          <w:tcPr/>
          <w:p>
            <w:pPr>
              <w:pStyle w:val="Compact"/>
            </w:pPr>
          </w:p>
        </w:tc>
      </w:tr>
      <w:tr>
        <w:tc>
          <w:tcPr/>
          <w:p>
            <w:pPr>
              <w:pStyle w:val="Compact"/>
              <w:jc w:val="left"/>
            </w:pPr>
            <w:r>
              <w:t xml:space="preserve">Security features</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Access controls</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Enterprise support</w:t>
            </w:r>
          </w:p>
        </w:tc>
        <w:tc>
          <w:tcPr/>
          <w:p>
            <w:pPr>
              <w:pStyle w:val="Compact"/>
              <w:jc w:val="left"/>
            </w:pPr>
            <w:r>
              <w:t xml:space="preserve">No vendor support for open weights verified; support via hosting cloud.</w:t>
            </w:r>
          </w:p>
        </w:tc>
        <w:tc>
          <w:tcPr/>
          <w:p>
            <w:pPr>
              <w:pStyle w:val="Compact"/>
              <w:jc w:val="left"/>
            </w:pPr>
            <w:r>
              <w:t xml:space="preserve">Architectural judgement</w:t>
            </w:r>
          </w:p>
        </w:tc>
        <w:tc>
          <w:tcPr/>
          <w:p>
            <w:pPr>
              <w:pStyle w:val="Compact"/>
            </w:pPr>
          </w:p>
        </w:tc>
      </w:tr>
      <w:tr>
        <w:tc>
          <w:tcPr/>
          <w:p>
            <w:pPr>
              <w:pStyle w:val="Compact"/>
              <w:jc w:val="left"/>
            </w:pPr>
            <w:r>
              <w:t xml:space="preserve">Pricing</w:t>
            </w:r>
          </w:p>
        </w:tc>
        <w:tc>
          <w:tcPr/>
          <w:p>
            <w:pPr>
              <w:pStyle w:val="Compact"/>
              <w:jc w:val="left"/>
            </w:pPr>
            <w:r>
              <w:t xml:space="preserve">weights: Free (Apache 2.0); Google Cloud Gemma 4 26B managed: US$0.15 input / US$0.60 output per 1M</w:t>
            </w:r>
          </w:p>
        </w:tc>
        <w:tc>
          <w:tcPr/>
          <w:p>
            <w:pPr>
              <w:pStyle w:val="Compact"/>
              <w:jc w:val="left"/>
            </w:pPr>
            <w:r>
              <w:t xml:space="preserve">Verified fact</w:t>
            </w:r>
          </w:p>
        </w:tc>
        <w:tc>
          <w:tcPr/>
          <w:p>
            <w:pPr>
              <w:pStyle w:val="Compact"/>
              <w:jc w:val="left"/>
            </w:pPr>
            <w:r>
              <w:t xml:space="preserve">A5-S034, A5-S027</w:t>
            </w:r>
          </w:p>
        </w:tc>
      </w:tr>
      <w:tr>
        <w:tc>
          <w:tcPr/>
          <w:p>
            <w:pPr>
              <w:pStyle w:val="Compact"/>
              <w:jc w:val="left"/>
            </w:pPr>
            <w:r>
              <w:t xml:space="preserve">Infrastructure cost</w:t>
            </w:r>
          </w:p>
        </w:tc>
        <w:tc>
          <w:tcPr/>
          <w:p>
            <w:pPr>
              <w:pStyle w:val="Compact"/>
              <w:jc w:val="left"/>
            </w:pPr>
            <w:r>
              <w:t xml:space="preserve">E2B/E4B target phones and laptops; 26B MoE and 31B dense need a single data-centre GPU class (quantisation-aware-training GGUF releases available).</w:t>
            </w:r>
          </w:p>
        </w:tc>
        <w:tc>
          <w:tcPr/>
          <w:p>
            <w:pPr>
              <w:pStyle w:val="Compact"/>
              <w:jc w:val="left"/>
            </w:pPr>
            <w:r>
              <w:t xml:space="preserve">Reported</w:t>
            </w:r>
          </w:p>
        </w:tc>
        <w:tc>
          <w:tcPr/>
          <w:p>
            <w:pPr>
              <w:pStyle w:val="Compact"/>
              <w:jc w:val="left"/>
            </w:pPr>
            <w:r>
              <w:t xml:space="preserve">A5-S034, A5-S035</w:t>
            </w:r>
          </w:p>
        </w:tc>
      </w:tr>
      <w:tr>
        <w:tc>
          <w:tcPr/>
          <w:p>
            <w:pPr>
              <w:pStyle w:val="Compact"/>
              <w:jc w:val="left"/>
            </w:pPr>
            <w:r>
              <w:t xml:space="preserve">Ecosystem</w:t>
            </w:r>
          </w:p>
        </w:tc>
        <w:tc>
          <w:tcPr/>
          <w:p>
            <w:pPr>
              <w:pStyle w:val="Compact"/>
              <w:jc w:val="left"/>
            </w:pPr>
            <w:r>
              <w:t xml:space="preserve">Hugging Face, Kaggle, Ollama, Unsloth (QAT, MTP, GGUF, MLX), Google Cloud, Bedrock, Cloudflare Workers AI, Together, DeepInfra.</w:t>
            </w:r>
          </w:p>
        </w:tc>
        <w:tc>
          <w:tcPr/>
          <w:p>
            <w:pPr>
              <w:pStyle w:val="Compact"/>
              <w:jc w:val="left"/>
            </w:pPr>
            <w:r>
              <w:t xml:space="preserve">Verified fact</w:t>
            </w:r>
          </w:p>
        </w:tc>
        <w:tc>
          <w:tcPr/>
          <w:p>
            <w:pPr>
              <w:pStyle w:val="Compact"/>
              <w:jc w:val="left"/>
            </w:pPr>
            <w:r>
              <w:t xml:space="preserve">A5-S034, A5-S043, A5-S038</w:t>
            </w:r>
          </w:p>
        </w:tc>
      </w:tr>
      <w:tr>
        <w:tc>
          <w:tcPr/>
          <w:p>
            <w:pPr>
              <w:pStyle w:val="Compact"/>
              <w:jc w:val="left"/>
            </w:pPr>
            <w:r>
              <w:t xml:space="preserve">Adoption signals</w:t>
            </w:r>
          </w:p>
        </w:tc>
        <w:tc>
          <w:tcPr/>
          <w:p>
            <w:pPr>
              <w:pStyle w:val="Compact"/>
              <w:jc w:val="left"/>
            </w:pPr>
            <w:r>
              <w:t xml:space="preserve">Google reports 150 million Gemma 4 downloads.</w:t>
            </w:r>
          </w:p>
        </w:tc>
        <w:tc>
          <w:tcPr/>
          <w:p>
            <w:pPr>
              <w:pStyle w:val="Compact"/>
              <w:jc w:val="left"/>
            </w:pPr>
            <w:r>
              <w:t xml:space="preserve">Verified fact</w:t>
            </w:r>
          </w:p>
        </w:tc>
        <w:tc>
          <w:tcPr/>
          <w:p>
            <w:pPr>
              <w:pStyle w:val="Compact"/>
              <w:jc w:val="left"/>
            </w:pPr>
            <w:r>
              <w:t xml:space="preserve">A5-S034</w:t>
            </w:r>
          </w:p>
        </w:tc>
      </w:tr>
      <w:tr>
        <w:tc>
          <w:tcPr/>
          <w:p>
            <w:pPr>
              <w:pStyle w:val="Compact"/>
              <w:jc w:val="left"/>
            </w:pPr>
            <w:r>
              <w:t xml:space="preserve">Maturity</w:t>
            </w:r>
          </w:p>
        </w:tc>
        <w:tc>
          <w:tcPr/>
          <w:p>
            <w:pPr>
              <w:pStyle w:val="Compact"/>
              <w:jc w:val="left"/>
            </w:pPr>
            <w:r>
              <w:t xml:space="preserve">Fourth generation; GA open release.</w:t>
            </w:r>
          </w:p>
        </w:tc>
        <w:tc>
          <w:tcPr/>
          <w:p>
            <w:pPr>
              <w:pStyle w:val="Compact"/>
              <w:jc w:val="left"/>
            </w:pPr>
            <w:r>
              <w:t xml:space="preserve">Verified fact</w:t>
            </w:r>
          </w:p>
        </w:tc>
        <w:tc>
          <w:tcPr/>
          <w:p>
            <w:pPr>
              <w:pStyle w:val="Compact"/>
              <w:jc w:val="left"/>
            </w:pPr>
            <w:r>
              <w:t xml:space="preserve">A5-S034</w:t>
            </w:r>
          </w:p>
        </w:tc>
      </w:tr>
      <w:tr>
        <w:tc>
          <w:tcPr/>
          <w:p>
            <w:pPr>
              <w:pStyle w:val="Compact"/>
              <w:jc w:val="left"/>
            </w:pPr>
            <w:r>
              <w:t xml:space="preserve">Deployment</w:t>
            </w:r>
          </w:p>
        </w:tc>
        <w:tc>
          <w:tcPr/>
          <w:p>
            <w:pPr>
              <w:pStyle w:val="Compact"/>
              <w:jc w:val="left"/>
            </w:pPr>
            <w:r>
              <w:t xml:space="preserve">saas: Yes (Gemini API / AI Studio hosting); managed_cloud: Yes (Google Cloud; Amazon Bedrock); vpc_byoc: Yes (self-deploy in own cloud account); private_cloud: Yes (open weights); self_hosted: Yes; on_prem: Yes</w:t>
            </w:r>
          </w:p>
        </w:tc>
        <w:tc>
          <w:tcPr/>
          <w:p>
            <w:pPr>
              <w:pStyle w:val="Compact"/>
            </w:pPr>
          </w:p>
        </w:tc>
        <w:tc>
          <w:tcPr/>
          <w:p>
            <w:pPr>
              <w:pStyle w:val="Compact"/>
            </w:pPr>
          </w:p>
        </w:tc>
      </w:tr>
    </w:tbl>
    <w:bookmarkEnd w:id="1583"/>
    <w:bookmarkStart w:id="1604" w:name="X7faff935d740259c3379189f02c85a6f4f91b60"/>
    <w:p>
      <w:pPr>
        <w:pStyle w:val="Heading2"/>
      </w:pPr>
      <w:r>
        <w:t xml:space="preserve">Google Gemini model family (Gemini 3.x: 3.1 Pro, 3.8 Flash, 3.5 Flash-Lite; Gemini 4 Argon in limited release) (</w:t>
      </w:r>
      <w:r>
        <w:rPr>
          <w:rStyle w:val="VerbatimChar"/>
        </w:rPr>
        <w:t xml:space="preserve">L1-google-gemini</w:t>
      </w:r>
      <w:r>
        <w:t xml:space="preserve">)</w:t>
      </w:r>
    </w:p>
    <w:p>
      <w:pPr>
        <w:pStyle w:val="FirstParagraph"/>
      </w:pPr>
      <w:r>
        <w:rPr>
          <w:bCs/>
          <w:b/>
        </w:rPr>
        <w:t xml:space="preserve">Tier:</w:t>
      </w:r>
      <w:r>
        <w:t xml:space="preserve"> </w:t>
      </w:r>
      <w:r>
        <w:t xml:space="preserve">Strategic ·</w:t>
      </w:r>
      <w:r>
        <w:t xml:space="preserve"> </w:t>
      </w:r>
      <w:r>
        <w:rPr>
          <w:bCs/>
          <w:b/>
        </w:rPr>
        <w:t xml:space="preserve">Flags:</w:t>
      </w:r>
      <w:r>
        <w:t xml:space="preserve"> </w:t>
      </w:r>
      <w:r>
        <w:t xml:space="preserve">none ·</w:t>
      </w:r>
      <w:r>
        <w:t xml:space="preserve"> </w:t>
      </w:r>
      <w:r>
        <w:rPr>
          <w:bCs/>
          <w:b/>
        </w:rPr>
        <w:t xml:space="preserve">Original graphic label:</w:t>
      </w:r>
      <w:r>
        <w:t xml:space="preserve"> </w:t>
      </w:r>
      <w:r>
        <w:t xml:space="preserve">Gemini – Gemini</w:t>
      </w:r>
    </w:p>
    <w:p>
      <w:pPr>
        <w:pStyle w:val="BodyText"/>
      </w:pPr>
      <w:r>
        <w:rPr>
          <w:iCs/>
          <w:i/>
        </w:rPr>
        <w:t xml:space="preserve">Rationale:</w:t>
      </w:r>
      <w:r>
        <w:t xml:space="preserve"> </w:t>
      </w:r>
      <w:r>
        <w:t xml:space="preserve">Strategic, conditional: where Google Cloud is your primary cloud (rule 10, the lead model service on that cloud); deployment and lock-in score 2, allowed under rule 11 as an existing platform commitment; FS 3.35</w:t>
      </w:r>
      <w:r>
        <w:t xml:space="preserve"> </w:t>
      </w:r>
      <w:r>
        <w:rPr>
          <w:rStyle w:val="ClaimLabel"/>
        </w:rPr>
        <w:t xml:space="preserve">AJ</w:t>
      </w:r>
      <w:r>
        <w:t xml:space="preserve">.</w:t>
      </w:r>
    </w:p>
    <w:tbl>
      <w:tblPr>
        <w:tblStyle w:val="Table"/>
        <w:tblW w:type="pct" w:w="5000"/>
        <w:tblLook w:firstRow="1" w:lastRow="0" w:firstColumn="0" w:lastColumn="0" w:noHBand="0" w:noVBand="0" w:val="0020"/>
        <w:jc w:val="start"/>
      </w:tblPr>
      <w:tblGrid>
        <w:gridCol w:w="1545"/>
        <w:gridCol w:w="579"/>
        <w:gridCol w:w="5795"/>
      </w:tblGrid>
      <w:tr>
        <w:trPr>
          <w:tblHeader w:val="true"/>
        </w:trPr>
        <w:tc>
          <w:tcPr/>
          <w:p>
            <w:pPr>
              <w:pStyle w:val="Compact"/>
              <w:jc w:val="left"/>
            </w:pPr>
            <w:r>
              <w:t xml:space="preserve">Criterion</w:t>
            </w:r>
          </w:p>
        </w:tc>
        <w:tc>
          <w:tcPr/>
          <w:p>
            <w:pPr>
              <w:pStyle w:val="Compact"/>
              <w:jc w:val="right"/>
            </w:pPr>
            <w:r>
              <w:t xml:space="preserve">Score</w:t>
            </w:r>
          </w:p>
        </w:tc>
        <w:tc>
          <w:tcPr/>
          <w:p>
            <w:pPr>
              <w:pStyle w:val="Compact"/>
              <w:jc w:val="left"/>
            </w:pPr>
            <w:r>
              <w:t xml:space="preserve">Rationale</w:t>
            </w:r>
          </w:p>
        </w:tc>
      </w:tr>
      <w:tr>
        <w:tc>
          <w:tcPr/>
          <w:p>
            <w:pPr>
              <w:pStyle w:val="Compact"/>
              <w:jc w:val="left"/>
            </w:pPr>
            <w:r>
              <w:t xml:space="preserve">Technical</w:t>
            </w:r>
          </w:p>
        </w:tc>
        <w:tc>
          <w:tcPr/>
          <w:p>
            <w:pPr>
              <w:pStyle w:val="Compact"/>
              <w:jc w:val="right"/>
            </w:pPr>
            <w:r>
              <w:t xml:space="preserve">5</w:t>
            </w:r>
          </w:p>
        </w:tc>
        <w:tc>
          <w:tcPr/>
          <w:p>
            <w:pPr>
              <w:pStyle w:val="Compact"/>
              <w:jc w:val="left"/>
            </w:pPr>
            <w:r>
              <w:t xml:space="preserve">Broadest evidenced modality range plus reasoning, small, coding-oriented and cyber variants, with Gemma as Google’s open-weight line (A5-S030, A5-S027); benchmarks not used.</w:t>
            </w:r>
          </w:p>
        </w:tc>
      </w:tr>
      <w:tr>
        <w:tc>
          <w:tcPr/>
          <w:p>
            <w:pPr>
              <w:pStyle w:val="Compact"/>
              <w:jc w:val="left"/>
            </w:pPr>
            <w:r>
              <w:t xml:space="preserve">Enterprise readiness</w:t>
            </w:r>
          </w:p>
        </w:tc>
        <w:tc>
          <w:tcPr/>
          <w:p>
            <w:pPr>
              <w:pStyle w:val="Compact"/>
              <w:jc w:val="right"/>
            </w:pPr>
            <w:r>
              <w:t xml:space="preserve">4</w:t>
            </w:r>
          </w:p>
        </w:tc>
        <w:tc>
          <w:tcPr/>
          <w:p>
            <w:pPr>
              <w:pStyle w:val="Compact"/>
              <w:jc w:val="left"/>
            </w:pPr>
            <w:r>
              <w:t xml:space="preserve">Consumed through Google Cloud: hyperscaler presumption (rule 6). Platform controls presumed (CP2 Q1); confirm per service.</w:t>
            </w:r>
          </w:p>
        </w:tc>
      </w:tr>
      <w:tr>
        <w:tc>
          <w:tcPr/>
          <w:p>
            <w:pPr>
              <w:pStyle w:val="Compact"/>
              <w:jc w:val="left"/>
            </w:pPr>
            <w:r>
              <w:t xml:space="preserve">Security and compliance</w:t>
            </w:r>
          </w:p>
        </w:tc>
        <w:tc>
          <w:tcPr/>
          <w:p>
            <w:pPr>
              <w:pStyle w:val="Compact"/>
              <w:jc w:val="right"/>
            </w:pPr>
            <w:r>
              <w:t xml:space="preserve">4</w:t>
            </w:r>
          </w:p>
        </w:tc>
        <w:tc>
          <w:tcPr/>
          <w:p>
            <w:pPr>
              <w:pStyle w:val="Compact"/>
              <w:jc w:val="left"/>
            </w:pPr>
            <w:r>
              <w:t xml:space="preserve">SOC 2 and ISO 42001 for Google Cloud generative AI services, UK/EU data-at-rest residency, ZDR configuration (A5-S028, A5-S029, A5-S033); ISO 27001 scope not in the fact base; stays at 4 (rules 8 and 10).</w:t>
            </w:r>
          </w:p>
        </w:tc>
      </w:tr>
      <w:tr>
        <w:tc>
          <w:tcPr/>
          <w:p>
            <w:pPr>
              <w:pStyle w:val="Compact"/>
              <w:jc w:val="left"/>
            </w:pPr>
            <w:r>
              <w:t xml:space="preserve">Deployment flexibility</w:t>
            </w:r>
          </w:p>
        </w:tc>
        <w:tc>
          <w:tcPr/>
          <w:p>
            <w:pPr>
              <w:pStyle w:val="Compact"/>
              <w:jc w:val="right"/>
            </w:pPr>
            <w:r>
              <w:t xml:space="preserve">2</w:t>
            </w:r>
          </w:p>
        </w:tc>
        <w:tc>
          <w:tcPr/>
          <w:p>
            <w:pPr>
              <w:pStyle w:val="Compact"/>
              <w:jc w:val="left"/>
            </w:pPr>
            <w:r>
              <w:t xml:space="preserve">Google Cloud (regional endpoints) and the Gemini API only; no other cloud, no self-hosting (A5-S027, A5-S032).</w:t>
            </w:r>
          </w:p>
        </w:tc>
      </w:tr>
      <w:tr>
        <w:tc>
          <w:tcPr/>
          <w:p>
            <w:pPr>
              <w:pStyle w:val="Compact"/>
              <w:jc w:val="left"/>
            </w:pPr>
            <w:r>
              <w:t xml:space="preserve">Ecosystem</w:t>
            </w:r>
          </w:p>
        </w:tc>
        <w:tc>
          <w:tcPr/>
          <w:p>
            <w:pPr>
              <w:pStyle w:val="Compact"/>
              <w:jc w:val="right"/>
            </w:pPr>
            <w:r>
              <w:t xml:space="preserve">3</w:t>
            </w:r>
          </w:p>
        </w:tc>
        <w:tc>
          <w:tcPr/>
          <w:p>
            <w:pPr>
              <w:pStyle w:val="Compact"/>
              <w:jc w:val="left"/>
            </w:pPr>
            <w:r>
              <w:t xml:space="preserve">Deep inside Google Cloud (Model Garden, agent runtime) but isolated from AWS and Azure estates (A5-S027).</w:t>
            </w:r>
          </w:p>
        </w:tc>
      </w:tr>
      <w:tr>
        <w:tc>
          <w:tcPr/>
          <w:p>
            <w:pPr>
              <w:pStyle w:val="Compact"/>
              <w:jc w:val="left"/>
            </w:pPr>
            <w:r>
              <w:t xml:space="preserve">Reliability and maturity</w:t>
            </w:r>
          </w:p>
        </w:tc>
        <w:tc>
          <w:tcPr/>
          <w:p>
            <w:pPr>
              <w:pStyle w:val="Compact"/>
              <w:jc w:val="right"/>
            </w:pPr>
            <w:r>
              <w:t xml:space="preserve">3</w:t>
            </w:r>
          </w:p>
        </w:tc>
        <w:tc>
          <w:tcPr/>
          <w:p>
            <w:pPr>
              <w:pStyle w:val="Compact"/>
              <w:jc w:val="left"/>
            </w:pPr>
            <w:r>
              <w:t xml:space="preserve">Flash tiers GA; Pro preview for eight months; Flash versions retire within about five to six months of release (B-L1-S003).</w:t>
            </w:r>
          </w:p>
        </w:tc>
      </w:tr>
      <w:tr>
        <w:tc>
          <w:tcPr/>
          <w:p>
            <w:pPr>
              <w:pStyle w:val="Compact"/>
              <w:jc w:val="left"/>
            </w:pPr>
            <w:r>
              <w:t xml:space="preserve">Cost / TCO</w:t>
            </w:r>
          </w:p>
        </w:tc>
        <w:tc>
          <w:tcPr/>
          <w:p>
            <w:pPr>
              <w:pStyle w:val="Compact"/>
              <w:jc w:val="right"/>
            </w:pPr>
            <w:r>
              <w:t xml:space="preserve">3</w:t>
            </w:r>
          </w:p>
        </w:tc>
        <w:tc>
          <w:tcPr/>
          <w:p>
            <w:pPr>
              <w:pStyle w:val="Compact"/>
              <w:jc w:val="left"/>
            </w:pPr>
            <w:r>
              <w:t xml:space="preserve">Transparent, but 3.8 Flash doubles on 1 January 2027 and regional endpoints carry a 10% premium (A5-S027, V2-S010).</w:t>
            </w:r>
          </w:p>
        </w:tc>
      </w:tr>
      <w:tr>
        <w:tc>
          <w:tcPr/>
          <w:p>
            <w:pPr>
              <w:pStyle w:val="Compact"/>
              <w:jc w:val="left"/>
            </w:pPr>
            <w:r>
              <w:t xml:space="preserve">Lock-in / portability</w:t>
            </w:r>
          </w:p>
        </w:tc>
        <w:tc>
          <w:tcPr/>
          <w:p>
            <w:pPr>
              <w:pStyle w:val="Compact"/>
              <w:jc w:val="right"/>
            </w:pPr>
            <w:r>
              <w:t xml:space="preserve">2</w:t>
            </w:r>
          </w:p>
        </w:tc>
        <w:tc>
          <w:tcPr/>
          <w:p>
            <w:pPr>
              <w:pStyle w:val="Compact"/>
              <w:jc w:val="left"/>
            </w:pPr>
            <w:r>
              <w:t xml:space="preserve">Proprietary API on one cloud only (A5-S027).</w:t>
            </w:r>
          </w:p>
        </w:tc>
      </w:tr>
      <w:tr>
        <w:tc>
          <w:tcPr/>
          <w:p>
            <w:pPr>
              <w:pStyle w:val="Compact"/>
              <w:jc w:val="left"/>
            </w:pPr>
            <w:r>
              <w:rPr>
                <w:bCs/>
                <w:b/>
              </w:rPr>
              <w:t xml:space="preserve">Total (generic / FS)</w:t>
            </w:r>
          </w:p>
        </w:tc>
        <w:tc>
          <w:tcPr/>
          <w:p>
            <w:pPr>
              <w:pStyle w:val="Compact"/>
              <w:jc w:val="right"/>
            </w:pPr>
            <w:r>
              <w:rPr>
                <w:bCs/>
                <w:b/>
              </w:rPr>
              <w:t xml:space="preserve">3.50 / 3.35</w:t>
            </w:r>
          </w:p>
        </w:tc>
        <w:tc>
          <w:tcPr/>
          <w:p>
            <w:pPr>
              <w:pStyle w:val="Compact"/>
            </w:pPr>
          </w:p>
        </w:tc>
      </w:tr>
    </w:tbl>
    <w:p>
      <w:pPr>
        <w:pStyle w:val="BodyText"/>
      </w:pPr>
      <w:r>
        <w:rPr>
          <w:bCs/>
          <w:b/>
        </w:rPr>
        <w:t xml:space="preserve">Capabilities.</w:t>
      </w:r>
      <w:r>
        <w:t xml:space="preserve"> </w:t>
      </w:r>
      <w:r>
        <w:t xml:space="preserve">Proprietary Gemini 3.x production lineup: 3.1 Pro (still preview since 19 February 2026), 3.8 Flash (GA 2 September 2026), 3.5 Flash-Lite, 3.8 Live and TTS models, image models and cyber-specialised Flash variants; Gemini 4 Argon announced 30 September 2026 with access restricted to trusted cyber defenders (Fairwind) and not on Google Cloud at launch; natively multimodal input (text, image, video, audio)</w:t>
      </w:r>
      <w:r>
        <w:t xml:space="preserve"> </w:t>
      </w:r>
      <w:r>
        <w:rPr>
          <w:rStyle w:val="ClaimLabel"/>
        </w:rPr>
        <w:t xml:space="preserve">VF</w:t>
      </w:r>
      <w:r>
        <w:rPr>
          <w:rStyle w:val="FootnoteReference"/>
        </w:rPr>
        <w:footnoteReference w:id="1584"/>
      </w:r>
      <w:r>
        <w:t xml:space="preserve">.</w:t>
      </w:r>
    </w:p>
    <w:p>
      <w:pPr>
        <w:pStyle w:val="BodyText"/>
      </w:pPr>
      <w:r>
        <w:rPr>
          <w:bCs/>
          <w:b/>
        </w:rPr>
        <w:t xml:space="preserve">Strengths</w:t>
      </w:r>
    </w:p>
    <w:p>
      <w:pPr>
        <w:numPr>
          <w:ilvl w:val="0"/>
          <w:numId w:val="1337"/>
        </w:numPr>
        <w:pStyle w:val="Compact"/>
      </w:pPr>
      <w:r>
        <w:t xml:space="preserve">Widest native modality coverage in the layer: text, image, video and audio input, live audio, TTS and image generation</w:t>
      </w:r>
      <w:r>
        <w:t xml:space="preserve"> </w:t>
      </w:r>
      <w:r>
        <w:rPr>
          <w:rStyle w:val="ClaimLabel"/>
        </w:rPr>
        <w:t xml:space="preserve">VF</w:t>
      </w:r>
      <w:r>
        <w:rPr>
          <w:rStyle w:val="FootnoteReference"/>
        </w:rPr>
        <w:footnoteReference w:id="1587"/>
      </w:r>
    </w:p>
    <w:p>
      <w:pPr>
        <w:numPr>
          <w:ilvl w:val="0"/>
          <w:numId w:val="1337"/>
        </w:numPr>
        <w:pStyle w:val="Compact"/>
      </w:pPr>
      <w:r>
        <w:t xml:space="preserve">Google Cloud generative AI services in scope for SOC 2 and ISO/IEC 42001</w:t>
      </w:r>
      <w:r>
        <w:t xml:space="preserve"> </w:t>
      </w:r>
      <w:r>
        <w:rPr>
          <w:rStyle w:val="ClaimLabel"/>
        </w:rPr>
        <w:t xml:space="preserve">VF</w:t>
      </w:r>
      <w:r>
        <w:rPr>
          <w:rStyle w:val="FootnoteReference"/>
        </w:rPr>
        <w:footnoteReference w:id="1588"/>
      </w:r>
    </w:p>
    <w:p>
      <w:pPr>
        <w:numPr>
          <w:ilvl w:val="0"/>
          <w:numId w:val="1337"/>
        </w:numPr>
        <w:pStyle w:val="Compact"/>
      </w:pPr>
      <w:r>
        <w:t xml:space="preserve">Data-at-rest residency for generative AI in the UK and several EU countries; ZDR achievable on Google Cloud by disabling logging, caching and session resumption</w:t>
      </w:r>
      <w:r>
        <w:t xml:space="preserve"> </w:t>
      </w:r>
      <w:r>
        <w:rPr>
          <w:rStyle w:val="ClaimLabel"/>
        </w:rPr>
        <w:t xml:space="preserve">VF</w:t>
      </w:r>
      <w:r>
        <w:rPr>
          <w:rStyle w:val="FootnoteReference"/>
        </w:rPr>
        <w:footnoteReference w:id="1591"/>
      </w:r>
    </w:p>
    <w:p>
      <w:pPr>
        <w:numPr>
          <w:ilvl w:val="0"/>
          <w:numId w:val="1337"/>
        </w:numPr>
        <w:pStyle w:val="Compact"/>
      </w:pPr>
      <w:r>
        <w:t xml:space="preserve">Per-model retirement dates published on Google Cloud model pages</w:t>
      </w:r>
      <w:r>
        <w:t xml:space="preserve"> </w:t>
      </w:r>
      <w:r>
        <w:rPr>
          <w:rStyle w:val="ClaimLabel"/>
        </w:rPr>
        <w:t xml:space="preserve">VF</w:t>
      </w:r>
      <w:r>
        <w:rPr>
          <w:rStyle w:val="FootnoteReference"/>
        </w:rPr>
        <w:footnoteReference w:id="1594"/>
      </w:r>
    </w:p>
    <w:p>
      <w:pPr>
        <w:pStyle w:val="FirstParagraph"/>
      </w:pPr>
      <w:r>
        <w:rPr>
          <w:bCs/>
          <w:b/>
        </w:rPr>
        <w:t xml:space="preserve">Limitations and risks</w:t>
      </w:r>
    </w:p>
    <w:p>
      <w:pPr>
        <w:numPr>
          <w:ilvl w:val="0"/>
          <w:numId w:val="1338"/>
        </w:numPr>
        <w:pStyle w:val="Compact"/>
      </w:pPr>
      <w:r>
        <w:t xml:space="preserve">Pro tier has been preview-only since February 2026; Gemini 3.5 Pro was reportedly cancelled</w:t>
      </w:r>
      <w:r>
        <w:t xml:space="preserve"> </w:t>
      </w:r>
      <w:r>
        <w:rPr>
          <w:rStyle w:val="ClaimLabel"/>
        </w:rPr>
        <w:t xml:space="preserve">VF</w:t>
      </w:r>
      <w:r>
        <w:rPr>
          <w:rStyle w:val="FootnoteReference"/>
        </w:rPr>
        <w:footnoteReference w:id="1596"/>
      </w:r>
      <w:r>
        <w:t xml:space="preserve"> </w:t>
      </w:r>
      <w:r>
        <w:rPr>
          <w:rStyle w:val="ClaimLabel"/>
        </w:rPr>
        <w:t xml:space="preserve">R</w:t>
      </w:r>
      <w:r>
        <w:rPr>
          <w:rStyle w:val="FootnoteReference"/>
        </w:rPr>
        <w:footnoteReference w:id="1597"/>
      </w:r>
    </w:p>
    <w:p>
      <w:pPr>
        <w:numPr>
          <w:ilvl w:val="0"/>
          <w:numId w:val="1338"/>
        </w:numPr>
        <w:pStyle w:val="Compact"/>
      </w:pPr>
      <w:r>
        <w:t xml:space="preserve">Short Flash lifetimes: 3.7 Flash released 13 August 2026 retires 28 January 2027; 3.6 Flash retires 19 November 2026</w:t>
      </w:r>
      <w:r>
        <w:t xml:space="preserve"> </w:t>
      </w:r>
      <w:r>
        <w:rPr>
          <w:rStyle w:val="ClaimLabel"/>
        </w:rPr>
        <w:t xml:space="preserve">VF</w:t>
      </w:r>
      <w:r>
        <w:rPr>
          <w:rStyle w:val="FootnoteReference"/>
        </w:rPr>
        <w:footnoteReference w:id="1599"/>
      </w:r>
    </w:p>
    <w:p>
      <w:pPr>
        <w:numPr>
          <w:ilvl w:val="0"/>
          <w:numId w:val="1338"/>
        </w:numPr>
        <w:pStyle w:val="Compact"/>
      </w:pPr>
      <w:r>
        <w:t xml:space="preserve">Google Cloud only; no AWS or Azure listing found; no self-hosting</w:t>
      </w:r>
      <w:r>
        <w:t xml:space="preserve"> </w:t>
      </w:r>
      <w:r>
        <w:rPr>
          <w:rStyle w:val="ClaimLabel"/>
        </w:rPr>
        <w:t xml:space="preserve">VF</w:t>
      </w:r>
      <w:r>
        <w:rPr>
          <w:rStyle w:val="FootnoteReference"/>
        </w:rPr>
        <w:footnoteReference w:id="1600"/>
      </w:r>
    </w:p>
    <w:p>
      <w:pPr>
        <w:numPr>
          <w:ilvl w:val="0"/>
          <w:numId w:val="1338"/>
        </w:numPr>
        <w:pStyle w:val="Compact"/>
      </w:pPr>
      <w:r>
        <w:t xml:space="preserve">Paid Gemini API (non-Google Cloud) may cache content in any country</w:t>
      </w:r>
      <w:r>
        <w:t xml:space="preserve"> </w:t>
      </w:r>
      <w:r>
        <w:rPr>
          <w:rStyle w:val="ClaimLabel"/>
        </w:rPr>
        <w:t xml:space="preserve">VF</w:t>
      </w:r>
      <w:r>
        <w:rPr>
          <w:rStyle w:val="FootnoteReference"/>
        </w:rPr>
        <w:footnoteReference w:id="1601"/>
      </w:r>
    </w:p>
    <w:p>
      <w:pPr>
        <w:numPr>
          <w:ilvl w:val="0"/>
          <w:numId w:val="1338"/>
        </w:numPr>
        <w:pStyle w:val="Compact"/>
      </w:pPr>
      <w:r>
        <w:t xml:space="preserve">3.8 Flash introductory price rises from US$0.75/US$3.75 to US$1.50/US$7.50 per 1M on 1 January 2027; non-global endpoints cost 10% more</w:t>
      </w:r>
      <w:r>
        <w:t xml:space="preserve"> </w:t>
      </w:r>
      <w:r>
        <w:rPr>
          <w:rStyle w:val="ClaimLabel"/>
        </w:rPr>
        <w:t xml:space="preserve">VF</w:t>
      </w:r>
      <w:r>
        <w:rPr>
          <w:rStyle w:val="FootnoteReference"/>
        </w:rPr>
        <w:footnoteReference w:id="1602"/>
      </w:r>
    </w:p>
    <w:p>
      <w:pPr>
        <w:numPr>
          <w:ilvl w:val="0"/>
          <w:numId w:val="1338"/>
        </w:numPr>
        <w:pStyle w:val="Compact"/>
      </w:pPr>
      <w:r>
        <w:t xml:space="preserve">Frontier tier (Argon) not available for general enterprise use; pricing not published</w:t>
      </w:r>
      <w:r>
        <w:t xml:space="preserve"> </w:t>
      </w:r>
      <w:r>
        <w:rPr>
          <w:rStyle w:val="ClaimLabel"/>
        </w:rPr>
        <w:t xml:space="preserve">VF</w:t>
      </w:r>
      <w:r>
        <w:rPr>
          <w:rStyle w:val="FootnoteReference"/>
        </w:rPr>
        <w:footnoteReference w:id="1603"/>
      </w:r>
      <w:r>
        <w:t xml:space="preserve"> </w:t>
      </w:r>
      <w:r>
        <w:rPr>
          <w:rStyle w:val="ClaimLabel"/>
        </w:rPr>
        <w:t xml:space="preserve">NPV</w:t>
      </w:r>
    </w:p>
    <w:p>
      <w:pPr>
        <w:pStyle w:val="FirstParagraph"/>
      </w:pPr>
      <w:r>
        <w:rPr>
          <w:bCs/>
          <w:b/>
        </w:rPr>
        <w:t xml:space="preserve">Choose when</w:t>
      </w:r>
    </w:p>
    <w:p>
      <w:pPr>
        <w:numPr>
          <w:ilvl w:val="0"/>
          <w:numId w:val="1339"/>
        </w:numPr>
        <w:pStyle w:val="Compact"/>
      </w:pPr>
      <w:r>
        <w:t xml:space="preserve">Google Cloud is the primary cloud</w:t>
      </w:r>
      <w:r>
        <w:t xml:space="preserve"> </w:t>
      </w:r>
      <w:r>
        <w:rPr>
          <w:rStyle w:val="ClaimLabel"/>
        </w:rPr>
        <w:t xml:space="preserve">AJ</w:t>
      </w:r>
    </w:p>
    <w:p>
      <w:pPr>
        <w:numPr>
          <w:ilvl w:val="0"/>
          <w:numId w:val="1339"/>
        </w:numPr>
        <w:pStyle w:val="Compact"/>
      </w:pPr>
      <w:r>
        <w:t xml:space="preserve">The workload needs native audio, video or live multimodal input</w:t>
      </w:r>
      <w:r>
        <w:t xml:space="preserve"> </w:t>
      </w:r>
      <w:r>
        <w:rPr>
          <w:rStyle w:val="ClaimLabel"/>
        </w:rPr>
        <w:t xml:space="preserve">AJ</w:t>
      </w:r>
    </w:p>
    <w:p>
      <w:pPr>
        <w:pStyle w:val="FirstParagraph"/>
      </w:pPr>
      <w:r>
        <w:rPr>
          <w:bCs/>
          <w:b/>
        </w:rPr>
        <w:t xml:space="preserve">Avoid when</w:t>
      </w:r>
    </w:p>
    <w:p>
      <w:pPr>
        <w:numPr>
          <w:ilvl w:val="0"/>
          <w:numId w:val="1340"/>
        </w:numPr>
        <w:pStyle w:val="Compact"/>
      </w:pPr>
      <w:r>
        <w:t xml:space="preserve">You need a GA Pro-class model with a long support window today</w:t>
      </w:r>
      <w:r>
        <w:t xml:space="preserve"> </w:t>
      </w:r>
      <w:r>
        <w:rPr>
          <w:rStyle w:val="ClaimLabel"/>
        </w:rPr>
        <w:t xml:space="preserve">AJ</w:t>
      </w:r>
    </w:p>
    <w:p>
      <w:pPr>
        <w:numPr>
          <w:ilvl w:val="0"/>
          <w:numId w:val="1340"/>
        </w:numPr>
        <w:pStyle w:val="Compact"/>
      </w:pPr>
      <w:r>
        <w:t xml:space="preserve">Your primary cloud is AWS or Azure and you do not want a cross-cloud data flow</w:t>
      </w:r>
      <w:r>
        <w:t xml:space="preserve"> </w:t>
      </w:r>
      <w:r>
        <w:rPr>
          <w:rStyle w:val="ClaimLabel"/>
        </w:rPr>
        <w:t xml:space="preserve">AJ</w:t>
      </w:r>
    </w:p>
    <w:p>
      <w:pPr>
        <w:numPr>
          <w:ilvl w:val="0"/>
          <w:numId w:val="1340"/>
        </w:numPr>
        <w:pStyle w:val="Compact"/>
      </w:pPr>
      <w:r>
        <w:t xml:space="preserve">You would use the consumer Gemini API rather than Google Cloud for client data</w:t>
      </w:r>
      <w:r>
        <w:t xml:space="preserve"> </w:t>
      </w:r>
      <w:r>
        <w:rPr>
          <w:rStyle w:val="ClaimLabel"/>
        </w:rPr>
        <w:t xml:space="preserve">AJ</w:t>
      </w:r>
    </w:p>
    <w:p>
      <w:pPr>
        <w:pStyle w:val="FirstParagraph"/>
      </w:pPr>
      <w:r>
        <w:rPr>
          <w:bCs/>
          <w:b/>
        </w:rPr>
        <w:t xml:space="preserve">Nearest competitors:</w:t>
      </w:r>
      <w:r>
        <w:t xml:space="preserve"> </w:t>
      </w:r>
      <w:r>
        <w:t xml:space="preserve">L1-openai, L1-anthropic, L1-mistral</w:t>
      </w:r>
    </w:p>
    <w:p>
      <w:pPr>
        <w:pStyle w:val="BodyText"/>
      </w:pPr>
      <w:r>
        <w:rPr>
          <w:bCs/>
          <w:b/>
        </w:rPr>
        <w:t xml:space="preserve">Regulated-FS note.</w:t>
      </w:r>
      <w:r>
        <w:t xml:space="preserve"> </w:t>
      </w:r>
      <w:r>
        <w:t xml:space="preserve">Use only through Google Cloud regional (EU or UK) endpoints with logging and caching disabled, pin dated model IDs, and plan re-validation around the short Flash retirement dates</w:t>
      </w:r>
      <w:r>
        <w:t xml:space="preserve"> </w:t>
      </w:r>
      <w:r>
        <w:rPr>
          <w:rStyle w:val="ClaimLabel"/>
        </w:rPr>
        <w:t xml:space="preserve">Rec</w:t>
      </w:r>
      <w:r>
        <w:t xml:space="preserve">.</w:t>
      </w:r>
    </w:p>
    <w:p>
      <w:pPr>
        <w:pStyle w:val="BodyText"/>
      </w:pPr>
      <w:r>
        <w:rPr>
          <w:bCs/>
          <w:b/>
        </w:rPr>
        <w:t xml:space="preserve">Facts (as of 2026-10-08)</w:t>
      </w:r>
    </w:p>
    <w:tbl>
      <w:tblPr>
        <w:tblStyle w:val="Table"/>
        <w:tblW w:type="pct" w:w="5000"/>
        <w:tblLook w:firstRow="1" w:lastRow="0" w:firstColumn="0" w:lastColumn="0" w:noHBand="0" w:noVBand="0" w:val="0020"/>
        <w:jc w:val="start"/>
      </w:tblPr>
      <w:tblGrid>
        <w:gridCol w:w="1485"/>
        <w:gridCol w:w="4290"/>
        <w:gridCol w:w="1320"/>
        <w:gridCol w:w="825"/>
      </w:tblGrid>
      <w:tr>
        <w:trPr>
          <w:tblHeader w:val="true"/>
        </w:trPr>
        <w:tc>
          <w:tcPr/>
          <w:p>
            <w:pPr>
              <w:pStyle w:val="Compact"/>
              <w:jc w:val="left"/>
            </w:pPr>
            <w:r>
              <w:t xml:space="preserve">Field</w:t>
            </w:r>
          </w:p>
        </w:tc>
        <w:tc>
          <w:tcPr/>
          <w:p>
            <w:pPr>
              <w:pStyle w:val="Compact"/>
              <w:jc w:val="left"/>
            </w:pPr>
            <w:r>
              <w:t xml:space="preserve">Value</w:t>
            </w:r>
          </w:p>
        </w:tc>
        <w:tc>
          <w:tcPr/>
          <w:p>
            <w:pPr>
              <w:pStyle w:val="Compact"/>
              <w:jc w:val="left"/>
            </w:pPr>
            <w:r>
              <w:t xml:space="preserve">Label</w:t>
            </w:r>
          </w:p>
        </w:tc>
        <w:tc>
          <w:tcPr/>
          <w:p>
            <w:pPr>
              <w:pStyle w:val="Compact"/>
              <w:jc w:val="left"/>
            </w:pPr>
            <w:r>
              <w:t xml:space="preserve">Sources</w:t>
            </w:r>
          </w:p>
        </w:tc>
      </w:tr>
      <w:tr>
        <w:tc>
          <w:tcPr/>
          <w:p>
            <w:pPr>
              <w:pStyle w:val="Compact"/>
              <w:jc w:val="left"/>
            </w:pPr>
            <w:r>
              <w:t xml:space="preserve">Company</w:t>
            </w:r>
          </w:p>
        </w:tc>
        <w:tc>
          <w:tcPr/>
          <w:p>
            <w:pPr>
              <w:pStyle w:val="Compact"/>
              <w:jc w:val="left"/>
            </w:pPr>
            <w:r>
              <w:t xml:space="preserve">Google (Google DeepMind / Google LLC)</w:t>
            </w:r>
          </w:p>
        </w:tc>
        <w:tc>
          <w:tcPr/>
          <w:p>
            <w:pPr>
              <w:pStyle w:val="Compact"/>
              <w:jc w:val="left"/>
            </w:pPr>
            <w:r>
              <w:t xml:space="preserve">Verified fact</w:t>
            </w:r>
          </w:p>
        </w:tc>
        <w:tc>
          <w:tcPr/>
          <w:p>
            <w:pPr>
              <w:pStyle w:val="Compact"/>
              <w:jc w:val="left"/>
            </w:pPr>
            <w:r>
              <w:t xml:space="preserve">A5-S047, A5-S031</w:t>
            </w:r>
          </w:p>
        </w:tc>
      </w:tr>
      <w:tr>
        <w:tc>
          <w:tcPr/>
          <w:p>
            <w:pPr>
              <w:pStyle w:val="Compact"/>
              <w:jc w:val="left"/>
            </w:pPr>
            <w:r>
              <w:t xml:space="preserve">Category</w:t>
            </w:r>
          </w:p>
        </w:tc>
        <w:tc>
          <w:tcPr/>
          <w:p>
            <w:pPr>
              <w:pStyle w:val="Compact"/>
              <w:jc w:val="left"/>
            </w:pPr>
            <w:r>
              <w:t xml:space="preserve">Frontier model vendor: proprietary API models (reasoning, native multimodal input, live audio, TTS, image)</w:t>
            </w:r>
          </w:p>
        </w:tc>
        <w:tc>
          <w:tcPr/>
          <w:p>
            <w:pPr>
              <w:pStyle w:val="Compact"/>
              <w:jc w:val="left"/>
            </w:pPr>
            <w:r>
              <w:t xml:space="preserve">Verified fact</w:t>
            </w:r>
          </w:p>
        </w:tc>
        <w:tc>
          <w:tcPr/>
          <w:p>
            <w:pPr>
              <w:pStyle w:val="Compact"/>
              <w:jc w:val="left"/>
            </w:pPr>
            <w:r>
              <w:t xml:space="preserve">A5-S030, A5-S027</w:t>
            </w:r>
          </w:p>
        </w:tc>
      </w:tr>
      <w:tr>
        <w:tc>
          <w:tcPr/>
          <w:p>
            <w:pPr>
              <w:pStyle w:val="Compact"/>
              <w:jc w:val="left"/>
            </w:pPr>
            <w:r>
              <w:t xml:space="preserve">Version / lineup</w:t>
            </w:r>
          </w:p>
        </w:tc>
        <w:tc>
          <w:tcPr/>
          <w:p>
            <w:pPr>
              <w:pStyle w:val="Compact"/>
              <w:jc w:val="left"/>
            </w:pPr>
            <w:r>
              <w:t xml:space="preserve">frontier_restricted: Gemini 4 Argon, announced 30 September 2026; rolling out first to trusted cyber defenders (Fairwind Program); paid API and AI Ultra</w:t>
            </w:r>
            <w:r>
              <w:t xml:space="preserve"> </w:t>
            </w:r>
            <w:r>
              <w:t xml:space="preserve">“</w:t>
            </w:r>
            <w:r>
              <w:t xml:space="preserve">next</w:t>
            </w:r>
            <w:r>
              <w:t xml:space="preserve">”</w:t>
            </w:r>
            <w:r>
              <w:t xml:space="preserve">, no date; 1M-token output limit claimed. Not on Vertex AI at launch. [A5-S031, A5-S036]; pro: Gemini 3.1 Pro, preview since 19 February 2026, still labelled preview (gemini-3.1-pro-preview); 1,048,576 input / 65,536 output tokens. Gemini 3 Pro retired 9 March 2026. Gemini 3.5 Pro never released (reported cancelled). [A5-S030, A5-S032, A5-S036]; mid_flash: Gemini 3.8 Flash GA 2 September 2026 (</w:t>
            </w:r>
            <w:r>
              <w:t xml:space="preserve">“</w:t>
            </w:r>
            <w:r>
              <w:t xml:space="preserve">most intelligent Flash</w:t>
            </w:r>
            <w:r>
              <w:t xml:space="preserve">”</w:t>
            </w:r>
            <w:r>
              <w:t xml:space="preserve">, long-horizon codin</w:t>
            </w:r>
          </w:p>
        </w:tc>
        <w:tc>
          <w:tcPr/>
          <w:p>
            <w:pPr>
              <w:pStyle w:val="Compact"/>
              <w:jc w:val="left"/>
            </w:pPr>
            <w:r>
              <w:t xml:space="preserve">Verified fact</w:t>
            </w:r>
          </w:p>
        </w:tc>
        <w:tc>
          <w:tcPr/>
          <w:p>
            <w:pPr>
              <w:pStyle w:val="Compact"/>
              <w:jc w:val="left"/>
            </w:pPr>
            <w:r>
              <w:t xml:space="preserve">A5-S027, A5-S030, A5-S031, A5-S032, A5-S036, V2-S009, V2-S010</w:t>
            </w:r>
          </w:p>
        </w:tc>
      </w:tr>
      <w:tr>
        <w:tc>
          <w:tcPr/>
          <w:p>
            <w:pPr>
              <w:pStyle w:val="Compact"/>
              <w:jc w:val="left"/>
            </w:pPr>
            <w:r>
              <w:t xml:space="preserve">Licence</w:t>
            </w:r>
          </w:p>
        </w:tc>
        <w:tc>
          <w:tcPr/>
          <w:p>
            <w:pPr>
              <w:pStyle w:val="Compact"/>
              <w:jc w:val="left"/>
            </w:pPr>
            <w:r>
              <w:t xml:space="preserve">Proprietary, API-only.</w:t>
            </w:r>
          </w:p>
        </w:tc>
        <w:tc>
          <w:tcPr/>
          <w:p>
            <w:pPr>
              <w:pStyle w:val="Compact"/>
              <w:jc w:val="left"/>
            </w:pPr>
            <w:r>
              <w:t xml:space="preserve">Verified fact</w:t>
            </w:r>
          </w:p>
        </w:tc>
        <w:tc>
          <w:tcPr/>
          <w:p>
            <w:pPr>
              <w:pStyle w:val="Compact"/>
              <w:jc w:val="left"/>
            </w:pPr>
            <w:r>
              <w:t xml:space="preserve">A5-S032</w:t>
            </w:r>
          </w:p>
        </w:tc>
      </w:tr>
      <w:tr>
        <w:tc>
          <w:tcPr/>
          <w:p>
            <w:pPr>
              <w:pStyle w:val="Compact"/>
              <w:jc w:val="left"/>
            </w:pPr>
            <w:r>
              <w:t xml:space="preserve">Status events</w:t>
            </w:r>
          </w:p>
        </w:tc>
        <w:tc>
          <w:tcPr/>
          <w:p>
            <w:pPr>
              <w:pStyle w:val="Compact"/>
              <w:jc w:val="left"/>
            </w:pPr>
            <w:r>
              <w:t xml:space="preserve">9 March 2026: Gemini 3 Pro shut down (replaced by 3.1 Pro); 18 September 2026: Gemini 2.5 access limited to recent users; 30 September 2026: Gemini 4 Argon announced (limited); April 2026: Vertex AI renamed Gemini Enterprise Agent Platform (renames listed in 22 April 2026 release notes)</w:t>
            </w:r>
          </w:p>
        </w:tc>
        <w:tc>
          <w:tcPr/>
          <w:p>
            <w:pPr>
              <w:pStyle w:val="Compact"/>
              <w:jc w:val="left"/>
            </w:pPr>
            <w:r>
              <w:t xml:space="preserve">Verified fact</w:t>
            </w:r>
          </w:p>
        </w:tc>
        <w:tc>
          <w:tcPr/>
          <w:p>
            <w:pPr>
              <w:pStyle w:val="Compact"/>
              <w:jc w:val="left"/>
            </w:pPr>
            <w:r>
              <w:t xml:space="preserve">A5-S030, A5-S031, A5-S028, V2-S009, V2-S037</w:t>
            </w:r>
          </w:p>
        </w:tc>
      </w:tr>
      <w:tr>
        <w:tc>
          <w:tcPr/>
          <w:p>
            <w:pPr>
              <w:pStyle w:val="Compact"/>
              <w:jc w:val="left"/>
            </w:pPr>
            <w:r>
              <w:t xml:space="preserve">Strategic direction</w:t>
            </w:r>
          </w:p>
        </w:tc>
        <w:tc>
          <w:tcPr/>
          <w:p>
            <w:pPr>
              <w:pStyle w:val="Compact"/>
              <w:jc w:val="left"/>
            </w:pPr>
            <w:r>
              <w:t xml:space="preserve">Fast Flash cadence (3.5 to 3.8 between May and September 2026) with introductory pricing; Pro tier stalled at 3.1 preview; new Gemini 4 naming with Argon; cyber-specialised variants (3.5/3.8 Flash Cyber); Vertex AI renamed Gemini Enterprise Agent Platform.</w:t>
            </w:r>
          </w:p>
        </w:tc>
        <w:tc>
          <w:tcPr/>
          <w:p>
            <w:pPr>
              <w:pStyle w:val="Compact"/>
              <w:jc w:val="left"/>
            </w:pPr>
            <w:r>
              <w:t xml:space="preserve">Verified fact</w:t>
            </w:r>
          </w:p>
        </w:tc>
        <w:tc>
          <w:tcPr/>
          <w:p>
            <w:pPr>
              <w:pStyle w:val="Compact"/>
              <w:jc w:val="left"/>
            </w:pPr>
            <w:r>
              <w:t xml:space="preserve">A5-S030, A5-S031, A5-S027, A5-S028</w:t>
            </w:r>
          </w:p>
        </w:tc>
      </w:tr>
      <w:tr>
        <w:tc>
          <w:tcPr/>
          <w:p>
            <w:pPr>
              <w:pStyle w:val="Compact"/>
              <w:jc w:val="left"/>
            </w:pPr>
            <w:r>
              <w:t xml:space="preserve">What it does</w:t>
            </w:r>
          </w:p>
        </w:tc>
        <w:tc>
          <w:tcPr/>
          <w:p>
            <w:pPr>
              <w:pStyle w:val="Compact"/>
              <w:jc w:val="left"/>
            </w:pPr>
            <w:r>
              <w:t xml:space="preserve">Natively multimodal LLMs (text, image, video, audio input) via the Gemini Developer API / AI Studio and Google Cloud (Gemini Enterprise Agent Platform, formerly Vertex AI).</w:t>
            </w:r>
          </w:p>
        </w:tc>
        <w:tc>
          <w:tcPr/>
          <w:p>
            <w:pPr>
              <w:pStyle w:val="Compact"/>
              <w:jc w:val="left"/>
            </w:pPr>
            <w:r>
              <w:t xml:space="preserve">Verified fact</w:t>
            </w:r>
          </w:p>
        </w:tc>
        <w:tc>
          <w:tcPr/>
          <w:p>
            <w:pPr>
              <w:pStyle w:val="Compact"/>
              <w:jc w:val="left"/>
            </w:pPr>
            <w:r>
              <w:t xml:space="preserve">A5-S027, A5-S033</w:t>
            </w:r>
          </w:p>
        </w:tc>
      </w:tr>
      <w:tr>
        <w:tc>
          <w:tcPr/>
          <w:p>
            <w:pPr>
              <w:pStyle w:val="Compact"/>
              <w:jc w:val="left"/>
            </w:pPr>
            <w:r>
              <w:t xml:space="preserve">Stack position</w:t>
            </w:r>
          </w:p>
        </w:tc>
        <w:tc>
          <w:tcPr/>
          <w:p>
            <w:pPr>
              <w:pStyle w:val="Compact"/>
              <w:jc w:val="left"/>
            </w:pPr>
            <w:r>
              <w:t xml:space="preserve">L1 foundation model; Google also appears at L7 (Gemini Embedding) and owns the Gemma open-weight family.</w:t>
            </w:r>
          </w:p>
        </w:tc>
        <w:tc>
          <w:tcPr/>
          <w:p>
            <w:pPr>
              <w:pStyle w:val="Compact"/>
              <w:jc w:val="left"/>
            </w:pPr>
            <w:r>
              <w:t xml:space="preserve">Architectural judgement</w:t>
            </w:r>
          </w:p>
        </w:tc>
        <w:tc>
          <w:tcPr/>
          <w:p>
            <w:pPr>
              <w:pStyle w:val="Compact"/>
            </w:pPr>
          </w:p>
        </w:tc>
      </w:tr>
      <w:tr>
        <w:tc>
          <w:tcPr/>
          <w:p>
            <w:pPr>
              <w:pStyle w:val="Compact"/>
              <w:jc w:val="left"/>
            </w:pPr>
            <w:r>
              <w:t xml:space="preserve">Integration</w:t>
            </w:r>
          </w:p>
        </w:tc>
        <w:tc>
          <w:tcPr/>
          <w:p>
            <w:pPr>
              <w:pStyle w:val="Compact"/>
              <w:jc w:val="left"/>
            </w:pPr>
            <w:r>
              <w:t xml:space="preserve">Gemini API (google-genai SDK 2.29.0, Apache-2.0, 7 October 2026), Interactions API, Live API, Google Cloud endpoints (global, multi-region, regional).</w:t>
            </w:r>
          </w:p>
        </w:tc>
        <w:tc>
          <w:tcPr/>
          <w:p>
            <w:pPr>
              <w:pStyle w:val="Compact"/>
              <w:jc w:val="left"/>
            </w:pPr>
            <w:r>
              <w:t xml:space="preserve">Verified fact</w:t>
            </w:r>
          </w:p>
        </w:tc>
        <w:tc>
          <w:tcPr/>
          <w:p>
            <w:pPr>
              <w:pStyle w:val="Compact"/>
              <w:jc w:val="left"/>
            </w:pPr>
            <w:r>
              <w:t xml:space="preserve">A5-S047, A5-S030, A5-S027</w:t>
            </w:r>
          </w:p>
        </w:tc>
      </w:tr>
      <w:tr>
        <w:tc>
          <w:tcPr/>
          <w:p>
            <w:pPr>
              <w:pStyle w:val="Compact"/>
              <w:jc w:val="left"/>
            </w:pPr>
            <w:r>
              <w:t xml:space="preserve">Dependencies</w:t>
            </w:r>
          </w:p>
        </w:tc>
        <w:tc>
          <w:tcPr/>
          <w:p>
            <w:pPr>
              <w:pStyle w:val="Compact"/>
              <w:jc w:val="left"/>
            </w:pPr>
            <w:r>
              <w:t xml:space="preserve">Hosted on Google infrastructure only.</w:t>
            </w:r>
          </w:p>
        </w:tc>
        <w:tc>
          <w:tcPr/>
          <w:p>
            <w:pPr>
              <w:pStyle w:val="Compact"/>
              <w:jc w:val="left"/>
            </w:pPr>
            <w:r>
              <w:t xml:space="preserve">Verified fact</w:t>
            </w:r>
          </w:p>
        </w:tc>
        <w:tc>
          <w:tcPr/>
          <w:p>
            <w:pPr>
              <w:pStyle w:val="Compact"/>
              <w:jc w:val="left"/>
            </w:pPr>
            <w:r>
              <w:t xml:space="preserve">A5-S027</w:t>
            </w:r>
          </w:p>
        </w:tc>
      </w:tr>
      <w:tr>
        <w:tc>
          <w:tcPr/>
          <w:p>
            <w:pPr>
              <w:pStyle w:val="Compact"/>
              <w:jc w:val="left"/>
            </w:pPr>
            <w:r>
              <w:t xml:space="preserve">Certifications</w:t>
            </w:r>
          </w:p>
        </w:tc>
        <w:tc>
          <w:tcPr/>
          <w:p>
            <w:pPr>
              <w:pStyle w:val="Compact"/>
              <w:jc w:val="left"/>
            </w:pPr>
            <w:r>
              <w:t xml:space="preserve">Google Cloud generative AI services (Gemini Enterprise Agent Platform) in scope for ISO/IEC 42001:2023 and SOC 2; Gemini in Workspace and Gemini app FedRAMP High.</w:t>
            </w:r>
          </w:p>
        </w:tc>
        <w:tc>
          <w:tcPr/>
          <w:p>
            <w:pPr>
              <w:pStyle w:val="Compact"/>
              <w:jc w:val="left"/>
            </w:pPr>
            <w:r>
              <w:t xml:space="preserve">Verified fact</w:t>
            </w:r>
          </w:p>
        </w:tc>
        <w:tc>
          <w:tcPr/>
          <w:p>
            <w:pPr>
              <w:pStyle w:val="Compact"/>
              <w:jc w:val="left"/>
            </w:pPr>
            <w:r>
              <w:t xml:space="preserve">A5-S028, A5-S037</w:t>
            </w:r>
          </w:p>
        </w:tc>
      </w:tr>
      <w:tr>
        <w:tc>
          <w:tcPr/>
          <w:p>
            <w:pPr>
              <w:pStyle w:val="Compact"/>
              <w:jc w:val="left"/>
            </w:pPr>
            <w:r>
              <w:t xml:space="preserve">GDPR / residency</w:t>
            </w:r>
          </w:p>
        </w:tc>
        <w:tc>
          <w:tcPr/>
          <w:p>
            <w:pPr>
              <w:pStyle w:val="Compact"/>
              <w:jc w:val="left"/>
            </w:pPr>
            <w:r>
              <w:t xml:space="preserve">Paid Gemini API: prompts/responses not used to improve products, processed under Google DPA, logged for a limited period for abuse detection and may be cached in any country. Free tier content used for improvement (except EEA/UK/Switzerland, where paid terms apply). Vertex/Agent Platform: no training without permission; ZDR achievable by disabling logging, session resumption and caching and avoiding Search grounding. Data-at-rest residency for generative AI in UK, Netherlands, France, Germany, Belgium etc. (2023 commitment); non-global endpoints priced 10% higher from 1 July 2026.</w:t>
            </w:r>
          </w:p>
        </w:tc>
        <w:tc>
          <w:tcPr/>
          <w:p>
            <w:pPr>
              <w:pStyle w:val="Compact"/>
              <w:jc w:val="left"/>
            </w:pPr>
            <w:r>
              <w:t xml:space="preserve">Verified fact</w:t>
            </w:r>
          </w:p>
        </w:tc>
        <w:tc>
          <w:tcPr/>
          <w:p>
            <w:pPr>
              <w:pStyle w:val="Compact"/>
              <w:jc w:val="left"/>
            </w:pPr>
            <w:r>
              <w:t xml:space="preserve">A5-S033, A5-S032, A5-S029, A5-S027</w:t>
            </w:r>
          </w:p>
        </w:tc>
      </w:tr>
      <w:tr>
        <w:tc>
          <w:tcPr/>
          <w:p>
            <w:pPr>
              <w:pStyle w:val="Compact"/>
              <w:jc w:val="left"/>
            </w:pPr>
            <w:r>
              <w:t xml:space="preserve">Security features</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Access controls</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Enterprise support</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Pricing</w:t>
            </w:r>
          </w:p>
        </w:tc>
        <w:tc>
          <w:tcPr/>
          <w:p>
            <w:pPr>
              <w:pStyle w:val="Compact"/>
              <w:jc w:val="left"/>
            </w:pPr>
            <w:r>
              <w:t xml:space="preserve">Gemini 3.1 Pro Preview: US$2 input / US$12 output per 1M (&lt;=200K); US$4 / US$18 above; Gemini 3.8 Flash: US$0.75 / US$3.75 per 1M introductory to 31 December 2026; US$1.50 / US$7.50 from 1 January 2027; Gemini 3.5 Flash-Lite: US$0.30 / US$2.50 per 1M; Gemini 4 Argon: Not publicly verified</w:t>
            </w:r>
          </w:p>
        </w:tc>
        <w:tc>
          <w:tcPr/>
          <w:p>
            <w:pPr>
              <w:pStyle w:val="Compact"/>
              <w:jc w:val="left"/>
            </w:pPr>
            <w:r>
              <w:t xml:space="preserve">Verified fact</w:t>
            </w:r>
          </w:p>
        </w:tc>
        <w:tc>
          <w:tcPr/>
          <w:p>
            <w:pPr>
              <w:pStyle w:val="Compact"/>
              <w:jc w:val="left"/>
            </w:pPr>
            <w:r>
              <w:t xml:space="preserve">A5-S027, A5-S032, A5-S030, V2-S010</w:t>
            </w:r>
          </w:p>
        </w:tc>
      </w:tr>
      <w:tr>
        <w:tc>
          <w:tcPr/>
          <w:p>
            <w:pPr>
              <w:pStyle w:val="Compact"/>
              <w:jc w:val="left"/>
            </w:pPr>
            <w:r>
              <w:t xml:space="preserve">Infrastructure cost</w:t>
            </w:r>
          </w:p>
        </w:tc>
        <w:tc>
          <w:tcPr/>
          <w:p>
            <w:pPr>
              <w:pStyle w:val="Compact"/>
              <w:jc w:val="left"/>
            </w:pPr>
            <w:r>
              <w:t xml:space="preserve">Not applicable (no self-hosting).</w:t>
            </w:r>
          </w:p>
        </w:tc>
        <w:tc>
          <w:tcPr/>
          <w:p>
            <w:pPr>
              <w:pStyle w:val="Compact"/>
              <w:jc w:val="left"/>
            </w:pPr>
            <w:r>
              <w:t xml:space="preserve">Architectural judgement</w:t>
            </w:r>
          </w:p>
        </w:tc>
        <w:tc>
          <w:tcPr/>
          <w:p>
            <w:pPr>
              <w:pStyle w:val="Compact"/>
            </w:pPr>
          </w:p>
        </w:tc>
      </w:tr>
      <w:tr>
        <w:tc>
          <w:tcPr/>
          <w:p>
            <w:pPr>
              <w:pStyle w:val="Compact"/>
              <w:jc w:val="left"/>
            </w:pPr>
            <w:r>
              <w:t xml:space="preserve">Ecosystem</w:t>
            </w:r>
          </w:p>
        </w:tc>
        <w:tc>
          <w:tcPr/>
          <w:p>
            <w:pPr>
              <w:pStyle w:val="Compact"/>
              <w:jc w:val="left"/>
            </w:pPr>
            <w:r>
              <w:t xml:space="preserve">Google Cloud Gemini Enterprise Agent Platform (200+ models in Model Garden), AI Studio, Antigravity agent runtime defaults to 3.8 Flash.</w:t>
            </w:r>
          </w:p>
        </w:tc>
        <w:tc>
          <w:tcPr/>
          <w:p>
            <w:pPr>
              <w:pStyle w:val="Compact"/>
              <w:jc w:val="left"/>
            </w:pPr>
            <w:r>
              <w:t xml:space="preserve">Verified fact</w:t>
            </w:r>
          </w:p>
        </w:tc>
        <w:tc>
          <w:tcPr/>
          <w:p>
            <w:pPr>
              <w:pStyle w:val="Compact"/>
              <w:jc w:val="left"/>
            </w:pPr>
            <w:r>
              <w:t xml:space="preserve">A5-S027, A5-S030</w:t>
            </w:r>
          </w:p>
        </w:tc>
      </w:tr>
      <w:tr>
        <w:tc>
          <w:tcPr/>
          <w:p>
            <w:pPr>
              <w:pStyle w:val="Compact"/>
              <w:jc w:val="left"/>
            </w:pPr>
            <w:r>
              <w:t xml:space="preserve">Adoption signals</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Maturity</w:t>
            </w:r>
          </w:p>
        </w:tc>
        <w:tc>
          <w:tcPr/>
          <w:p>
            <w:pPr>
              <w:pStyle w:val="Compact"/>
              <w:jc w:val="left"/>
            </w:pPr>
            <w:r>
              <w:t xml:space="preserve">Flash tiers GA; Pro tier preview only (3.1 Pro); frontier (Argon) restricted.</w:t>
            </w:r>
          </w:p>
        </w:tc>
        <w:tc>
          <w:tcPr/>
          <w:p>
            <w:pPr>
              <w:pStyle w:val="Compact"/>
              <w:jc w:val="left"/>
            </w:pPr>
            <w:r>
              <w:t xml:space="preserve">Verified fact</w:t>
            </w:r>
          </w:p>
        </w:tc>
        <w:tc>
          <w:tcPr/>
          <w:p>
            <w:pPr>
              <w:pStyle w:val="Compact"/>
              <w:jc w:val="left"/>
            </w:pPr>
            <w:r>
              <w:t xml:space="preserve">A5-S030, A5-S032, A5-S031</w:t>
            </w:r>
          </w:p>
        </w:tc>
      </w:tr>
      <w:tr>
        <w:tc>
          <w:tcPr/>
          <w:p>
            <w:pPr>
              <w:pStyle w:val="Compact"/>
              <w:jc w:val="left"/>
            </w:pPr>
            <w:r>
              <w:t xml:space="preserve">Deployment</w:t>
            </w:r>
          </w:p>
        </w:tc>
        <w:tc>
          <w:tcPr/>
          <w:p>
            <w:pPr>
              <w:pStyle w:val="Compact"/>
              <w:jc w:val="left"/>
            </w:pPr>
            <w:r>
              <w:t xml:space="preserve">saas: Yes; managed_cloud: Yes (Google Cloud only); vpc_byoc: Not publicly verified; private_cloud: Not publicly verified; self_hosted: No; on_prem: Not publicly verified</w:t>
            </w:r>
          </w:p>
        </w:tc>
        <w:tc>
          <w:tcPr/>
          <w:p>
            <w:pPr>
              <w:pStyle w:val="Compact"/>
            </w:pPr>
          </w:p>
        </w:tc>
        <w:tc>
          <w:tcPr/>
          <w:p>
            <w:pPr>
              <w:pStyle w:val="Compact"/>
            </w:pPr>
          </w:p>
        </w:tc>
      </w:tr>
    </w:tbl>
    <w:bookmarkEnd w:id="1604"/>
    <w:bookmarkStart w:id="1626" w:name="Xfd25211dfcffdf016b0a67fb45ccc9ef014de94"/>
    <w:p>
      <w:pPr>
        <w:pStyle w:val="Heading2"/>
      </w:pPr>
      <w:r>
        <w:t xml:space="preserve">xAI Grok model family (Grok 4.7 flagship; 4.6, 4.5, 4.3, 4.20; Grok 4.1 Fast; grok-code-fast-1 / Grok Build) (</w:t>
      </w:r>
      <w:r>
        <w:rPr>
          <w:rStyle w:val="VerbatimChar"/>
        </w:rPr>
        <w:t xml:space="preserve">L1-xai-grok</w:t>
      </w:r>
      <w:r>
        <w:t xml:space="preserve">)</w:t>
      </w:r>
    </w:p>
    <w:p>
      <w:pPr>
        <w:pStyle w:val="FirstParagraph"/>
      </w:pPr>
      <w:r>
        <w:rPr>
          <w:bCs/>
          <w:b/>
        </w:rPr>
        <w:t xml:space="preserve">Tier:</w:t>
      </w:r>
      <w:r>
        <w:t xml:space="preserve"> </w:t>
      </w:r>
      <w:r>
        <w:t xml:space="preserve">Tactical ·</w:t>
      </w:r>
      <w:r>
        <w:t xml:space="preserve"> </w:t>
      </w:r>
      <w:r>
        <w:rPr>
          <w:bCs/>
          <w:b/>
        </w:rPr>
        <w:t xml:space="preserve">Flags:</w:t>
      </w:r>
      <w:r>
        <w:t xml:space="preserve"> </w:t>
      </w:r>
      <w:r>
        <w:t xml:space="preserve">Acquired ·</w:t>
      </w:r>
      <w:r>
        <w:t xml:space="preserve"> </w:t>
      </w:r>
      <w:r>
        <w:rPr>
          <w:bCs/>
          <w:b/>
        </w:rPr>
        <w:t xml:space="preserve">Original graphic label:</w:t>
      </w:r>
      <w:r>
        <w:t xml:space="preserve"> </w:t>
      </w:r>
      <w:r>
        <w:t xml:space="preserve">Grok</w:t>
      </w:r>
    </w:p>
    <w:p>
      <w:pPr>
        <w:pStyle w:val="BodyText"/>
      </w:pPr>
      <w:r>
        <w:rPr>
          <w:iCs/>
          <w:i/>
        </w:rPr>
        <w:t xml:space="preserve">Rationale:</w:t>
      </w:r>
      <w:r>
        <w:t xml:space="preserve"> </w:t>
      </w:r>
      <w:r>
        <w:t xml:space="preserve">Capable, cheap and on every hyperscaler, but the change of control, naming churn, missing ISO certification and derived-data terms keep it out of the foundation tier</w:t>
      </w:r>
      <w:r>
        <w:t xml:space="preserve"> </w:t>
      </w:r>
      <w:r>
        <w:rPr>
          <w:rStyle w:val="ClaimLabel"/>
        </w:rPr>
        <w:t xml:space="preserve">AJ</w:t>
      </w:r>
      <w:r>
        <w:t xml:space="preserve">.</w:t>
      </w:r>
    </w:p>
    <w:tbl>
      <w:tblPr>
        <w:tblStyle w:val="Table"/>
        <w:tblW w:type="pct" w:w="5000"/>
        <w:tblLook w:firstRow="1" w:lastRow="0" w:firstColumn="0" w:lastColumn="0" w:noHBand="0" w:noVBand="0" w:val="0020"/>
        <w:jc w:val="start"/>
      </w:tblPr>
      <w:tblGrid>
        <w:gridCol w:w="1545"/>
        <w:gridCol w:w="579"/>
        <w:gridCol w:w="5795"/>
      </w:tblGrid>
      <w:tr>
        <w:trPr>
          <w:tblHeader w:val="true"/>
        </w:trPr>
        <w:tc>
          <w:tcPr/>
          <w:p>
            <w:pPr>
              <w:pStyle w:val="Compact"/>
              <w:jc w:val="left"/>
            </w:pPr>
            <w:r>
              <w:t xml:space="preserve">Criterion</w:t>
            </w:r>
          </w:p>
        </w:tc>
        <w:tc>
          <w:tcPr/>
          <w:p>
            <w:pPr>
              <w:pStyle w:val="Compact"/>
              <w:jc w:val="right"/>
            </w:pPr>
            <w:r>
              <w:t xml:space="preserve">Score</w:t>
            </w:r>
          </w:p>
        </w:tc>
        <w:tc>
          <w:tcPr/>
          <w:p>
            <w:pPr>
              <w:pStyle w:val="Compact"/>
              <w:jc w:val="left"/>
            </w:pPr>
            <w:r>
              <w:t xml:space="preserve">Rationale</w:t>
            </w:r>
          </w:p>
        </w:tc>
      </w:tr>
      <w:tr>
        <w:tc>
          <w:tcPr/>
          <w:p>
            <w:pPr>
              <w:pStyle w:val="Compact"/>
              <w:jc w:val="left"/>
            </w:pPr>
            <w:r>
              <w:t xml:space="preserve">Technical</w:t>
            </w:r>
          </w:p>
        </w:tc>
        <w:tc>
          <w:tcPr/>
          <w:p>
            <w:pPr>
              <w:pStyle w:val="Compact"/>
              <w:jc w:val="right"/>
            </w:pPr>
            <w:r>
              <w:t xml:space="preserve">4</w:t>
            </w:r>
          </w:p>
        </w:tc>
        <w:tc>
          <w:tcPr/>
          <w:p>
            <w:pPr>
              <w:pStyle w:val="Compact"/>
              <w:jc w:val="left"/>
            </w:pPr>
            <w:r>
              <w:t xml:space="preserve">Flagship, reasoning, multi-agent, fast, coding and generative-media variants (A5-S079, A5-S027); no open weights verified.</w:t>
            </w:r>
          </w:p>
        </w:tc>
      </w:tr>
      <w:tr>
        <w:tc>
          <w:tcPr/>
          <w:p>
            <w:pPr>
              <w:pStyle w:val="Compact"/>
              <w:jc w:val="left"/>
            </w:pPr>
            <w:r>
              <w:t xml:space="preserve">Enterprise readiness</w:t>
            </w:r>
          </w:p>
        </w:tc>
        <w:tc>
          <w:tcPr/>
          <w:p>
            <w:pPr>
              <w:pStyle w:val="Compact"/>
              <w:jc w:val="right"/>
            </w:pPr>
            <w:r>
              <w:t xml:space="preserve">4</w:t>
            </w:r>
          </w:p>
        </w:tc>
        <w:tc>
          <w:tcPr/>
          <w:p>
            <w:pPr>
              <w:pStyle w:val="Compact"/>
              <w:jc w:val="left"/>
            </w:pPr>
            <w:r>
              <w:t xml:space="preserve">Admin settings and audit logs verified (A5-S080) plus hyperscaler routes (rule 6). Platform controls presumed (CP2 Q1); confirm per service.</w:t>
            </w:r>
          </w:p>
        </w:tc>
      </w:tr>
      <w:tr>
        <w:tc>
          <w:tcPr/>
          <w:p>
            <w:pPr>
              <w:pStyle w:val="Compact"/>
              <w:jc w:val="left"/>
            </w:pPr>
            <w:r>
              <w:t xml:space="preserve">Security and compliance</w:t>
            </w:r>
          </w:p>
        </w:tc>
        <w:tc>
          <w:tcPr/>
          <w:p>
            <w:pPr>
              <w:pStyle w:val="Compact"/>
              <w:jc w:val="right"/>
            </w:pPr>
            <w:r>
              <w:t xml:space="preserve">3</w:t>
            </w:r>
          </w:p>
        </w:tc>
        <w:tc>
          <w:tcPr/>
          <w:p>
            <w:pPr>
              <w:pStyle w:val="Compact"/>
              <w:jc w:val="left"/>
            </w:pPr>
            <w:r>
              <w:t xml:space="preserve">SOC 2 Type II, ZDR, HIPAA BAA (A5-S080); no ISO 27001 and no EU residency for the API, so the anchor-3 baseline only.</w:t>
            </w:r>
          </w:p>
        </w:tc>
      </w:tr>
      <w:tr>
        <w:tc>
          <w:tcPr/>
          <w:p>
            <w:pPr>
              <w:pStyle w:val="Compact"/>
              <w:jc w:val="left"/>
            </w:pPr>
            <w:r>
              <w:t xml:space="preserve">Deployment flexibility</w:t>
            </w:r>
          </w:p>
        </w:tc>
        <w:tc>
          <w:tcPr/>
          <w:p>
            <w:pPr>
              <w:pStyle w:val="Compact"/>
              <w:jc w:val="right"/>
            </w:pPr>
            <w:r>
              <w:t xml:space="preserve">3</w:t>
            </w:r>
          </w:p>
        </w:tc>
        <w:tc>
          <w:tcPr/>
          <w:p>
            <w:pPr>
              <w:pStyle w:val="Compact"/>
              <w:jc w:val="left"/>
            </w:pPr>
            <w:r>
              <w:t xml:space="preserve">First-party SaaS plus all three hyperscalers; no self-hosting verified.</w:t>
            </w:r>
          </w:p>
        </w:tc>
      </w:tr>
      <w:tr>
        <w:tc>
          <w:tcPr/>
          <w:p>
            <w:pPr>
              <w:pStyle w:val="Compact"/>
              <w:jc w:val="left"/>
            </w:pPr>
            <w:r>
              <w:t xml:space="preserve">Ecosystem</w:t>
            </w:r>
          </w:p>
        </w:tc>
        <w:tc>
          <w:tcPr/>
          <w:p>
            <w:pPr>
              <w:pStyle w:val="Compact"/>
              <w:jc w:val="right"/>
            </w:pPr>
            <w:r>
              <w:t xml:space="preserve">4</w:t>
            </w:r>
          </w:p>
        </w:tc>
        <w:tc>
          <w:tcPr/>
          <w:p>
            <w:pPr>
              <w:pStyle w:val="Compact"/>
              <w:jc w:val="left"/>
            </w:pPr>
            <w:r>
              <w:t xml:space="preserve">Google Cloud, Bedrock (incl. GovCloud) and Foundry listings; official SDK (A5-S027, A5-S047).</w:t>
            </w:r>
          </w:p>
        </w:tc>
      </w:tr>
      <w:tr>
        <w:tc>
          <w:tcPr/>
          <w:p>
            <w:pPr>
              <w:pStyle w:val="Compact"/>
              <w:jc w:val="left"/>
            </w:pPr>
            <w:r>
              <w:t xml:space="preserve">Reliability and maturity</w:t>
            </w:r>
          </w:p>
        </w:tc>
        <w:tc>
          <w:tcPr/>
          <w:p>
            <w:pPr>
              <w:pStyle w:val="Compact"/>
              <w:jc w:val="right"/>
            </w:pPr>
            <w:r>
              <w:t xml:space="preserve">3</w:t>
            </w:r>
          </w:p>
        </w:tc>
        <w:tc>
          <w:tcPr/>
          <w:p>
            <w:pPr>
              <w:pStyle w:val="Compact"/>
              <w:jc w:val="left"/>
            </w:pPr>
            <w:r>
              <w:t xml:space="preserve">GA with a steady release cadence, but acquired on 2 February 2026 with naming churn since (V2-S011) and open regulatory investigations into the consumer product (V2-S070).</w:t>
            </w:r>
          </w:p>
        </w:tc>
      </w:tr>
      <w:tr>
        <w:tc>
          <w:tcPr/>
          <w:p>
            <w:pPr>
              <w:pStyle w:val="Compact"/>
              <w:jc w:val="left"/>
            </w:pPr>
            <w:r>
              <w:t xml:space="preserve">Cost / TCO</w:t>
            </w:r>
          </w:p>
        </w:tc>
        <w:tc>
          <w:tcPr/>
          <w:p>
            <w:pPr>
              <w:pStyle w:val="Compact"/>
              <w:jc w:val="right"/>
            </w:pPr>
            <w:r>
              <w:t xml:space="preserve">4</w:t>
            </w:r>
          </w:p>
        </w:tc>
        <w:tc>
          <w:tcPr/>
          <w:p>
            <w:pPr>
              <w:pStyle w:val="Compact"/>
              <w:jc w:val="left"/>
            </w:pPr>
            <w:r>
              <w:t xml:space="preserve">Transparent and low list prices (A5-S079); 1.1x for the US regional endpoint.</w:t>
            </w:r>
          </w:p>
        </w:tc>
      </w:tr>
      <w:tr>
        <w:tc>
          <w:tcPr/>
          <w:p>
            <w:pPr>
              <w:pStyle w:val="Compact"/>
              <w:jc w:val="left"/>
            </w:pPr>
            <w:r>
              <w:t xml:space="preserve">Lock-in / portability</w:t>
            </w:r>
          </w:p>
        </w:tc>
        <w:tc>
          <w:tcPr/>
          <w:p>
            <w:pPr>
              <w:pStyle w:val="Compact"/>
              <w:jc w:val="right"/>
            </w:pPr>
            <w:r>
              <w:t xml:space="preserve">2</w:t>
            </w:r>
          </w:p>
        </w:tc>
        <w:tc>
          <w:tcPr/>
          <w:p>
            <w:pPr>
              <w:pStyle w:val="Compact"/>
              <w:jc w:val="left"/>
            </w:pPr>
            <w:r>
              <w:t xml:space="preserve">Proprietary API on standard routes would be 3; reduced by 1 for the 2026 change of ownership (rule 3).</w:t>
            </w:r>
          </w:p>
        </w:tc>
      </w:tr>
      <w:tr>
        <w:tc>
          <w:tcPr/>
          <w:p>
            <w:pPr>
              <w:pStyle w:val="Compact"/>
              <w:jc w:val="left"/>
            </w:pPr>
            <w:r>
              <w:rPr>
                <w:bCs/>
                <w:b/>
              </w:rPr>
              <w:t xml:space="preserve">Total (generic / FS)</w:t>
            </w:r>
          </w:p>
        </w:tc>
        <w:tc>
          <w:tcPr/>
          <w:p>
            <w:pPr>
              <w:pStyle w:val="Compact"/>
              <w:jc w:val="right"/>
            </w:pPr>
            <w:r>
              <w:rPr>
                <w:bCs/>
                <w:b/>
              </w:rPr>
              <w:t xml:space="preserve">3.50 / 3.25</w:t>
            </w:r>
          </w:p>
        </w:tc>
        <w:tc>
          <w:tcPr/>
          <w:p>
            <w:pPr>
              <w:pStyle w:val="Compact"/>
            </w:pPr>
          </w:p>
        </w:tc>
      </w:tr>
    </w:tbl>
    <w:p>
      <w:pPr>
        <w:pStyle w:val="BodyText"/>
      </w:pPr>
      <w:r>
        <w:rPr>
          <w:bCs/>
          <w:b/>
        </w:rPr>
        <w:t xml:space="preserve">Capabilities.</w:t>
      </w:r>
      <w:r>
        <w:t xml:space="preserve"> </w:t>
      </w:r>
      <w:r>
        <w:t xml:space="preserve">Proprietary Grok family from SpaceXAI (formerly xAI): Grok 4.7 flagship (21 September 2026, 500K context, configurable reasoning effort), Grok 4.6, 4.5, 4.3 and 4.20 (reasoning, non-reasoning and multi-agent), Grok 4.1 Fast, grok-code-fast-1, image and video generation</w:t>
      </w:r>
      <w:r>
        <w:t xml:space="preserve"> </w:t>
      </w:r>
      <w:r>
        <w:rPr>
          <w:rStyle w:val="ClaimLabel"/>
        </w:rPr>
        <w:t xml:space="preserve">VF</w:t>
      </w:r>
      <w:r>
        <w:rPr>
          <w:rStyle w:val="FootnoteReference"/>
        </w:rPr>
        <w:footnoteReference w:id="1605"/>
      </w:r>
      <w:r>
        <w:t xml:space="preserve"> </w:t>
      </w:r>
      <w:r>
        <w:rPr>
          <w:rStyle w:val="ClaimLabel"/>
        </w:rPr>
        <w:t xml:space="preserve">R</w:t>
      </w:r>
      <w:r>
        <w:rPr>
          <w:rStyle w:val="FootnoteReference"/>
        </w:rPr>
        <w:footnoteReference w:id="1608"/>
      </w:r>
      <w:r>
        <w:t xml:space="preserve">.</w:t>
      </w:r>
    </w:p>
    <w:p>
      <w:pPr>
        <w:pStyle w:val="BodyText"/>
      </w:pPr>
      <w:r>
        <w:rPr>
          <w:bCs/>
          <w:b/>
        </w:rPr>
        <w:t xml:space="preserve">Strengths</w:t>
      </w:r>
    </w:p>
    <w:p>
      <w:pPr>
        <w:numPr>
          <w:ilvl w:val="0"/>
          <w:numId w:val="1341"/>
        </w:numPr>
        <w:pStyle w:val="Compact"/>
      </w:pPr>
      <w:r>
        <w:t xml:space="preserve">Available on all three hyperscalers, including AWS GovCloud for Grok 4.6</w:t>
      </w:r>
      <w:r>
        <w:t xml:space="preserve"> </w:t>
      </w:r>
      <w:r>
        <w:rPr>
          <w:rStyle w:val="ClaimLabel"/>
        </w:rPr>
        <w:t xml:space="preserve">VF</w:t>
      </w:r>
      <w:r>
        <w:rPr>
          <w:rStyle w:val="FootnoteReference"/>
        </w:rPr>
        <w:footnoteReference w:id="1609"/>
      </w:r>
      <w:r>
        <w:t xml:space="preserve"> </w:t>
      </w:r>
      <w:r>
        <w:rPr>
          <w:rStyle w:val="ClaimLabel"/>
        </w:rPr>
        <w:t xml:space="preserve">R</w:t>
      </w:r>
      <w:r>
        <w:rPr>
          <w:rStyle w:val="FootnoteReference"/>
        </w:rPr>
        <w:footnoteReference w:id="1610"/>
      </w:r>
    </w:p>
    <w:p>
      <w:pPr>
        <w:numPr>
          <w:ilvl w:val="0"/>
          <w:numId w:val="1341"/>
        </w:numPr>
        <w:pStyle w:val="Compact"/>
      </w:pPr>
      <w:r>
        <w:t xml:space="preserve">SOC 2 Type II, HIPAA-eligible deployments, team-level ZDR and admin audit logs</w:t>
      </w:r>
      <w:r>
        <w:t xml:space="preserve"> </w:t>
      </w:r>
      <w:r>
        <w:rPr>
          <w:rStyle w:val="ClaimLabel"/>
        </w:rPr>
        <w:t xml:space="preserve">VF</w:t>
      </w:r>
      <w:r>
        <w:rPr>
          <w:rStyle w:val="FootnoteReference"/>
        </w:rPr>
        <w:footnoteReference w:id="1611"/>
      </w:r>
    </w:p>
    <w:p>
      <w:pPr>
        <w:numPr>
          <w:ilvl w:val="0"/>
          <w:numId w:val="1341"/>
        </w:numPr>
        <w:pStyle w:val="Compact"/>
      </w:pPr>
      <w:r>
        <w:t xml:space="preserve">Low flagship list price: US$2/US$6 per 1M up to 200K tokens</w:t>
      </w:r>
      <w:r>
        <w:t xml:space="preserve"> </w:t>
      </w:r>
      <w:r>
        <w:rPr>
          <w:rStyle w:val="ClaimLabel"/>
        </w:rPr>
        <w:t xml:space="preserve">VF</w:t>
      </w:r>
      <w:r>
        <w:rPr>
          <w:rStyle w:val="FootnoteReference"/>
        </w:rPr>
        <w:footnoteReference w:id="1613"/>
      </w:r>
    </w:p>
    <w:p>
      <w:pPr>
        <w:pStyle w:val="FirstParagraph"/>
      </w:pPr>
      <w:r>
        <w:rPr>
          <w:bCs/>
          <w:b/>
        </w:rPr>
        <w:t xml:space="preserve">Limitations and risks</w:t>
      </w:r>
    </w:p>
    <w:p>
      <w:pPr>
        <w:numPr>
          <w:ilvl w:val="0"/>
          <w:numId w:val="1342"/>
        </w:numPr>
        <w:pStyle w:val="Compact"/>
      </w:pPr>
      <w:r>
        <w:t xml:space="preserve">SpaceX acquired xAI in an all-stock deal on 2 February 2026; the unit now trades as SpaceXAI, and a further rename was announced on 4 October 2026 but had not taken effect</w:t>
      </w:r>
      <w:r>
        <w:t xml:space="preserve"> </w:t>
      </w:r>
      <w:r>
        <w:rPr>
          <w:rStyle w:val="ClaimLabel"/>
        </w:rPr>
        <w:t xml:space="preserve">VF</w:t>
      </w:r>
      <w:r>
        <w:rPr>
          <w:rStyle w:val="FootnoteReference"/>
        </w:rPr>
        <w:footnoteReference w:id="1614"/>
      </w:r>
      <w:r>
        <w:t xml:space="preserve"> </w:t>
      </w:r>
      <w:r>
        <w:rPr>
          <w:rStyle w:val="ClaimLabel"/>
        </w:rPr>
        <w:t xml:space="preserve">R</w:t>
      </w:r>
      <w:r>
        <w:rPr>
          <w:rStyle w:val="FootnoteReference"/>
        </w:rPr>
        <w:footnoteReference w:id="1616"/>
      </w:r>
    </w:p>
    <w:p>
      <w:pPr>
        <w:numPr>
          <w:ilvl w:val="0"/>
          <w:numId w:val="1342"/>
        </w:numPr>
        <w:pStyle w:val="Compact"/>
      </w:pPr>
      <w:r>
        <w:t xml:space="preserve">No ISO certifications found; Trust Center under NDA</w:t>
      </w:r>
      <w:r>
        <w:t xml:space="preserve"> </w:t>
      </w:r>
      <w:r>
        <w:rPr>
          <w:rStyle w:val="ClaimLabel"/>
        </w:rPr>
        <w:t xml:space="preserve">VF</w:t>
      </w:r>
      <w:r>
        <w:rPr>
          <w:rStyle w:val="FootnoteReference"/>
        </w:rPr>
        <w:footnoteReference w:id="1618"/>
      </w:r>
    </w:p>
    <w:p>
      <w:pPr>
        <w:numPr>
          <w:ilvl w:val="0"/>
          <w:numId w:val="1342"/>
        </w:numPr>
        <w:pStyle w:val="Compact"/>
      </w:pPr>
      <w:r>
        <w:t xml:space="preserve">Default endpoint gives no region guarantee; only a US regional endpoint is documented for the API</w:t>
      </w:r>
      <w:r>
        <w:t xml:space="preserve"> </w:t>
      </w:r>
      <w:r>
        <w:rPr>
          <w:rStyle w:val="ClaimLabel"/>
        </w:rPr>
        <w:t xml:space="preserve">VF</w:t>
      </w:r>
      <w:r>
        <w:rPr>
          <w:rStyle w:val="FootnoteReference"/>
        </w:rPr>
        <w:footnoteReference w:id="1619"/>
      </w:r>
    </w:p>
    <w:p>
      <w:pPr>
        <w:numPr>
          <w:ilvl w:val="0"/>
          <w:numId w:val="1342"/>
        </w:numPr>
        <w:pStyle w:val="Compact"/>
      </w:pPr>
      <w:r>
        <w:t xml:space="preserve">Enterprise terms let the vendor create and own de-identified derived data except under ZDR</w:t>
      </w:r>
      <w:r>
        <w:t xml:space="preserve"> </w:t>
      </w:r>
      <w:r>
        <w:rPr>
          <w:rStyle w:val="ClaimLabel"/>
        </w:rPr>
        <w:t xml:space="preserve">VF</w:t>
      </w:r>
      <w:r>
        <w:rPr>
          <w:rStyle w:val="FootnoteReference"/>
        </w:rPr>
        <w:footnoteReference w:id="1620"/>
      </w:r>
    </w:p>
    <w:p>
      <w:pPr>
        <w:numPr>
          <w:ilvl w:val="0"/>
          <w:numId w:val="1342"/>
        </w:numPr>
        <w:pStyle w:val="Compact"/>
      </w:pPr>
      <w:r>
        <w:t xml:space="preserve">EU Commission DSA proceedings (26 January 2026) and Ofcom, ICO and Irish DPC investigations into Grok-generated images on X; no outcomes found</w:t>
      </w:r>
      <w:r>
        <w:t xml:space="preserve"> </w:t>
      </w:r>
      <w:r>
        <w:rPr>
          <w:rStyle w:val="ClaimLabel"/>
        </w:rPr>
        <w:t xml:space="preserve">VF</w:t>
      </w:r>
      <w:r>
        <w:rPr>
          <w:rStyle w:val="FootnoteReference"/>
        </w:rPr>
        <w:footnoteReference w:id="1621"/>
      </w:r>
      <w:r>
        <w:t xml:space="preserve"> </w:t>
      </w:r>
      <w:r>
        <w:rPr>
          <w:rStyle w:val="ClaimLabel"/>
        </w:rPr>
        <w:t xml:space="preserve">R</w:t>
      </w:r>
      <w:r>
        <w:rPr>
          <w:rStyle w:val="FootnoteReference"/>
        </w:rPr>
        <w:footnoteReference w:id="1623"/>
      </w:r>
    </w:p>
    <w:p>
      <w:pPr>
        <w:numPr>
          <w:ilvl w:val="0"/>
          <w:numId w:val="1342"/>
        </w:numPr>
        <w:pStyle w:val="Compact"/>
      </w:pPr>
      <w:r>
        <w:t xml:space="preserve">Signed only the Safety and Security chapter of the GPAI Code of Practice</w:t>
      </w:r>
      <w:r>
        <w:t xml:space="preserve"> </w:t>
      </w:r>
      <w:r>
        <w:rPr>
          <w:rStyle w:val="ClaimLabel"/>
        </w:rPr>
        <w:t xml:space="preserve">VF</w:t>
      </w:r>
      <w:r>
        <w:rPr>
          <w:rStyle w:val="FootnoteReference"/>
        </w:rPr>
        <w:footnoteReference w:id="1625"/>
      </w:r>
    </w:p>
    <w:p>
      <w:pPr>
        <w:pStyle w:val="FirstParagraph"/>
      </w:pPr>
      <w:r>
        <w:rPr>
          <w:bCs/>
          <w:b/>
        </w:rPr>
        <w:t xml:space="preserve">Choose when</w:t>
      </w:r>
    </w:p>
    <w:p>
      <w:pPr>
        <w:numPr>
          <w:ilvl w:val="0"/>
          <w:numId w:val="1343"/>
        </w:numPr>
        <w:pStyle w:val="Compact"/>
      </w:pPr>
      <w:r>
        <w:t xml:space="preserve">A low-cost reasoning model already offered in-tenant on your hyperscaler is wanted as a secondary or evaluation option</w:t>
      </w:r>
      <w:r>
        <w:t xml:space="preserve"> </w:t>
      </w:r>
      <w:r>
        <w:rPr>
          <w:rStyle w:val="ClaimLabel"/>
        </w:rPr>
        <w:t xml:space="preserve">AJ</w:t>
      </w:r>
    </w:p>
    <w:p>
      <w:pPr>
        <w:pStyle w:val="FirstParagraph"/>
      </w:pPr>
      <w:r>
        <w:rPr>
          <w:bCs/>
          <w:b/>
        </w:rPr>
        <w:t xml:space="preserve">Avoid when</w:t>
      </w:r>
    </w:p>
    <w:p>
      <w:pPr>
        <w:numPr>
          <w:ilvl w:val="0"/>
          <w:numId w:val="1344"/>
        </w:numPr>
        <w:pStyle w:val="Compact"/>
      </w:pPr>
      <w:r>
        <w:t xml:space="preserve">Client data would go to the first-party API without ZDR</w:t>
      </w:r>
      <w:r>
        <w:t xml:space="preserve"> </w:t>
      </w:r>
      <w:r>
        <w:rPr>
          <w:rStyle w:val="ClaimLabel"/>
        </w:rPr>
        <w:t xml:space="preserve">AJ</w:t>
      </w:r>
    </w:p>
    <w:p>
      <w:pPr>
        <w:numPr>
          <w:ilvl w:val="0"/>
          <w:numId w:val="1344"/>
        </w:numPr>
        <w:pStyle w:val="Compact"/>
      </w:pPr>
      <w:r>
        <w:t xml:space="preserve">Ownership stability or ISO 27001 is a gating criterion</w:t>
      </w:r>
      <w:r>
        <w:t xml:space="preserve"> </w:t>
      </w:r>
      <w:r>
        <w:rPr>
          <w:rStyle w:val="ClaimLabel"/>
        </w:rPr>
        <w:t xml:space="preserve">AJ</w:t>
      </w:r>
    </w:p>
    <w:p>
      <w:pPr>
        <w:pStyle w:val="FirstParagraph"/>
      </w:pPr>
      <w:r>
        <w:rPr>
          <w:bCs/>
          <w:b/>
        </w:rPr>
        <w:t xml:space="preserve">Nearest competitors:</w:t>
      </w:r>
      <w:r>
        <w:t xml:space="preserve"> </w:t>
      </w:r>
      <w:r>
        <w:t xml:space="preserve">L1-openai, L1-anthropic, L1-google-gemini</w:t>
      </w:r>
    </w:p>
    <w:p>
      <w:pPr>
        <w:pStyle w:val="BodyText"/>
      </w:pPr>
      <w:r>
        <w:rPr>
          <w:bCs/>
          <w:b/>
        </w:rPr>
        <w:t xml:space="preserve">Regulated-FS note.</w:t>
      </w:r>
      <w:r>
        <w:t xml:space="preserve"> </w:t>
      </w:r>
      <w:r>
        <w:t xml:space="preserve">If used, use only through a hyperscaler region with platform data terms, and refresh third-party due diligence after the change of control</w:t>
      </w:r>
      <w:r>
        <w:t xml:space="preserve"> </w:t>
      </w:r>
      <w:r>
        <w:rPr>
          <w:rStyle w:val="ClaimLabel"/>
        </w:rPr>
        <w:t xml:space="preserve">Rec</w:t>
      </w:r>
      <w:r>
        <w:t xml:space="preserve">.</w:t>
      </w:r>
    </w:p>
    <w:p>
      <w:pPr>
        <w:pStyle w:val="BodyText"/>
      </w:pPr>
      <w:r>
        <w:rPr>
          <w:bCs/>
          <w:b/>
        </w:rPr>
        <w:t xml:space="preserve">Facts (as of 2026-10-08)</w:t>
      </w:r>
    </w:p>
    <w:tbl>
      <w:tblPr>
        <w:tblStyle w:val="Table"/>
        <w:tblW w:type="pct" w:w="5000"/>
        <w:tblLook w:firstRow="1" w:lastRow="0" w:firstColumn="0" w:lastColumn="0" w:noHBand="0" w:noVBand="0" w:val="0020"/>
        <w:jc w:val="start"/>
      </w:tblPr>
      <w:tblGrid>
        <w:gridCol w:w="1485"/>
        <w:gridCol w:w="4290"/>
        <w:gridCol w:w="1320"/>
        <w:gridCol w:w="825"/>
      </w:tblGrid>
      <w:tr>
        <w:trPr>
          <w:tblHeader w:val="true"/>
        </w:trPr>
        <w:tc>
          <w:tcPr/>
          <w:p>
            <w:pPr>
              <w:pStyle w:val="Compact"/>
              <w:jc w:val="left"/>
            </w:pPr>
            <w:r>
              <w:t xml:space="preserve">Field</w:t>
            </w:r>
          </w:p>
        </w:tc>
        <w:tc>
          <w:tcPr/>
          <w:p>
            <w:pPr>
              <w:pStyle w:val="Compact"/>
              <w:jc w:val="left"/>
            </w:pPr>
            <w:r>
              <w:t xml:space="preserve">Value</w:t>
            </w:r>
          </w:p>
        </w:tc>
        <w:tc>
          <w:tcPr/>
          <w:p>
            <w:pPr>
              <w:pStyle w:val="Compact"/>
              <w:jc w:val="left"/>
            </w:pPr>
            <w:r>
              <w:t xml:space="preserve">Label</w:t>
            </w:r>
          </w:p>
        </w:tc>
        <w:tc>
          <w:tcPr/>
          <w:p>
            <w:pPr>
              <w:pStyle w:val="Compact"/>
              <w:jc w:val="left"/>
            </w:pPr>
            <w:r>
              <w:t xml:space="preserve">Sources</w:t>
            </w:r>
          </w:p>
        </w:tc>
      </w:tr>
      <w:tr>
        <w:tc>
          <w:tcPr/>
          <w:p>
            <w:pPr>
              <w:pStyle w:val="Compact"/>
              <w:jc w:val="left"/>
            </w:pPr>
            <w:r>
              <w:t xml:space="preserve">Company</w:t>
            </w:r>
          </w:p>
        </w:tc>
        <w:tc>
          <w:tcPr/>
          <w:p>
            <w:pPr>
              <w:pStyle w:val="Compact"/>
              <w:jc w:val="left"/>
            </w:pPr>
            <w:r>
              <w:t xml:space="preserve">xAI, acquired by SpaceX in an all-stock deal announced and closed 2 February 2026 (wholly owned subsidiary); the AI unit was rebranded SpaceXAI in mid-2026 (July per Wikipedia, 7 May per another reference; no primary source for the date); on 4 October 2026 Elon Musk said SpaceXAI will be renamed SpaceXSI, which had not taken effect as of 5 October 2026 reports</w:t>
            </w:r>
          </w:p>
        </w:tc>
        <w:tc>
          <w:tcPr/>
          <w:p>
            <w:pPr>
              <w:pStyle w:val="Compact"/>
              <w:jc w:val="left"/>
            </w:pPr>
            <w:r>
              <w:t xml:space="preserve">Reported</w:t>
            </w:r>
          </w:p>
        </w:tc>
        <w:tc>
          <w:tcPr/>
          <w:p>
            <w:pPr>
              <w:pStyle w:val="Compact"/>
              <w:jc w:val="left"/>
            </w:pPr>
            <w:r>
              <w:t xml:space="preserve">A5-S081, A5-S079, V2-S011</w:t>
            </w:r>
          </w:p>
        </w:tc>
      </w:tr>
      <w:tr>
        <w:tc>
          <w:tcPr/>
          <w:p>
            <w:pPr>
              <w:pStyle w:val="Compact"/>
              <w:jc w:val="left"/>
            </w:pPr>
            <w:r>
              <w:t xml:space="preserve">Category</w:t>
            </w:r>
          </w:p>
        </w:tc>
        <w:tc>
          <w:tcPr/>
          <w:p>
            <w:pPr>
              <w:pStyle w:val="Compact"/>
              <w:jc w:val="left"/>
            </w:pPr>
            <w:r>
              <w:t xml:space="preserve">Frontier model vendor: proprietary API models (reasoning and non-reasoning variants, vision, coding, image/video generation)</w:t>
            </w:r>
          </w:p>
        </w:tc>
        <w:tc>
          <w:tcPr/>
          <w:p>
            <w:pPr>
              <w:pStyle w:val="Compact"/>
              <w:jc w:val="left"/>
            </w:pPr>
            <w:r>
              <w:t xml:space="preserve">Reported</w:t>
            </w:r>
          </w:p>
        </w:tc>
        <w:tc>
          <w:tcPr/>
          <w:p>
            <w:pPr>
              <w:pStyle w:val="Compact"/>
              <w:jc w:val="left"/>
            </w:pPr>
            <w:r>
              <w:t xml:space="preserve">A5-S038</w:t>
            </w:r>
          </w:p>
        </w:tc>
      </w:tr>
      <w:tr>
        <w:tc>
          <w:tcPr/>
          <w:p>
            <w:pPr>
              <w:pStyle w:val="Compact"/>
              <w:jc w:val="left"/>
            </w:pPr>
            <w:r>
              <w:t xml:space="preserve">Version / lineup</w:t>
            </w:r>
          </w:p>
        </w:tc>
        <w:tc>
          <w:tcPr/>
          <w:p>
            <w:pPr>
              <w:pStyle w:val="Compact"/>
              <w:jc w:val="left"/>
            </w:pPr>
            <w:r>
              <w:t xml:space="preserve">flagship: Grok 4.7, launched 21 September 2026; 500K context; configurable reasoning effort (low to xhigh). [A5-S079]; previous_flagships: Grok 4.6 (Bedrock incl. US GovCloud, Azure, Google Cloud; xAI SDK README example), Grok 4.5. [A5-S038, A5-S027, A5-S047]; mid_reasoning: Grok 4.20 Reasoning / Non-Reasoning / Multi-agent (model ID suffix 0309), Grok 4.3; 1M context. [A5-S038, A5-S027]; small_fast: Grok 4.1 Fast Reasoning / Non-Reasoning. [A5-S027]; coding: grok-code-fast-1; grok-build. [A5-S038]; multimodal: Grok Imagine image 2.0 and video 1.5; voice transcription. [A5-S038]; open_weight:</w:t>
            </w:r>
          </w:p>
        </w:tc>
        <w:tc>
          <w:tcPr/>
          <w:p>
            <w:pPr>
              <w:pStyle w:val="Compact"/>
              <w:jc w:val="left"/>
            </w:pPr>
            <w:r>
              <w:t xml:space="preserve">Verified fact</w:t>
            </w:r>
          </w:p>
        </w:tc>
        <w:tc>
          <w:tcPr/>
          <w:p>
            <w:pPr>
              <w:pStyle w:val="Compact"/>
              <w:jc w:val="left"/>
            </w:pPr>
            <w:r>
              <w:t xml:space="preserve">A5-S038, A5-S027, A5-S047, A5-S079, V2-S012</w:t>
            </w:r>
          </w:p>
        </w:tc>
      </w:tr>
      <w:tr>
        <w:tc>
          <w:tcPr/>
          <w:p>
            <w:pPr>
              <w:pStyle w:val="Compact"/>
              <w:jc w:val="left"/>
            </w:pPr>
            <w:r>
              <w:t xml:space="preserve">Licence</w:t>
            </w:r>
          </w:p>
        </w:tc>
        <w:tc>
          <w:tcPr/>
          <w:p>
            <w:pPr>
              <w:pStyle w:val="Compact"/>
              <w:jc w:val="left"/>
            </w:pPr>
            <w:r>
              <w:t xml:space="preserve">Proprietary API (open-weight status of older Grok models not verified).</w:t>
            </w:r>
          </w:p>
        </w:tc>
        <w:tc>
          <w:tcPr/>
          <w:p>
            <w:pPr>
              <w:pStyle w:val="Compact"/>
              <w:jc w:val="left"/>
            </w:pPr>
            <w:r>
              <w:t xml:space="preserve">Reported</w:t>
            </w:r>
          </w:p>
        </w:tc>
        <w:tc>
          <w:tcPr/>
          <w:p>
            <w:pPr>
              <w:pStyle w:val="Compact"/>
              <w:jc w:val="left"/>
            </w:pPr>
            <w:r>
              <w:t xml:space="preserve">A5-S038</w:t>
            </w:r>
          </w:p>
        </w:tc>
      </w:tr>
      <w:tr>
        <w:tc>
          <w:tcPr/>
          <w:p>
            <w:pPr>
              <w:pStyle w:val="Compact"/>
              <w:jc w:val="left"/>
            </w:pPr>
            <w:r>
              <w:t xml:space="preserve">Status events</w:t>
            </w:r>
          </w:p>
        </w:tc>
        <w:tc>
          <w:tcPr/>
          <w:p>
            <w:pPr>
              <w:pStyle w:val="Compact"/>
              <w:jc w:val="left"/>
            </w:pPr>
            <w:r>
              <w:t xml:space="preserve">2 February 2026: SpaceX acquired xAI (all-stock; xAI became a wholly owned SpaceX subsidiary); mid-2026 (July per Wikipedia; 7 May per another reference): rebranded SpaceXAI (Grok names unchanged); 21 September 2026: Grok 4.7; January-February 2026: EU Commission DSA proceedings (26 January), Ofcom (12 January), ICO (3 February) and Irish DPC (17 February) investigations into X over Grok-generated sexualised images; no outcomes found as of spring 2026; 4 October 2026: Musk announced SpaceXAI will be renamed SpaceXSI (following a 29 September 2026 US executive order on</w:t>
            </w:r>
            <w:r>
              <w:t xml:space="preserve"> </w:t>
            </w:r>
            <w:r>
              <w:t xml:space="preserve">“</w:t>
            </w:r>
            <w:r>
              <w:t xml:space="preserve">super intelligence</w:t>
            </w:r>
            <w:r>
              <w:t xml:space="preserve">”</w:t>
            </w:r>
            <w:r>
              <w:t xml:space="preserve"> </w:t>
            </w:r>
            <w:r>
              <w:t xml:space="preserve">term</w:t>
            </w:r>
          </w:p>
        </w:tc>
        <w:tc>
          <w:tcPr/>
          <w:p>
            <w:pPr>
              <w:pStyle w:val="Compact"/>
              <w:jc w:val="left"/>
            </w:pPr>
            <w:r>
              <w:t xml:space="preserve">Reported</w:t>
            </w:r>
          </w:p>
        </w:tc>
        <w:tc>
          <w:tcPr/>
          <w:p>
            <w:pPr>
              <w:pStyle w:val="Compact"/>
              <w:jc w:val="left"/>
            </w:pPr>
            <w:r>
              <w:t xml:space="preserve">A5-S081, A5-S079, A5-S082, V2-S011, V2-S070</w:t>
            </w:r>
          </w:p>
        </w:tc>
      </w:tr>
      <w:tr>
        <w:tc>
          <w:tcPr/>
          <w:p>
            <w:pPr>
              <w:pStyle w:val="Compact"/>
              <w:jc w:val="left"/>
            </w:pPr>
            <w:r>
              <w:t xml:space="preserve">Strategic direction</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What it does</w:t>
            </w:r>
          </w:p>
        </w:tc>
        <w:tc>
          <w:tcPr/>
          <w:p>
            <w:pPr>
              <w:pStyle w:val="Compact"/>
              <w:jc w:val="left"/>
            </w:pPr>
            <w:r>
              <w:t xml:space="preserve">General-purpose reasoning LLMs and multi-agent variants via the xAI API and partner clouds.</w:t>
            </w:r>
          </w:p>
        </w:tc>
        <w:tc>
          <w:tcPr/>
          <w:p>
            <w:pPr>
              <w:pStyle w:val="Compact"/>
              <w:jc w:val="left"/>
            </w:pPr>
            <w:r>
              <w:t xml:space="preserve">Reported</w:t>
            </w:r>
          </w:p>
        </w:tc>
        <w:tc>
          <w:tcPr/>
          <w:p>
            <w:pPr>
              <w:pStyle w:val="Compact"/>
              <w:jc w:val="left"/>
            </w:pPr>
            <w:r>
              <w:t xml:space="preserve">A5-S038</w:t>
            </w:r>
          </w:p>
        </w:tc>
      </w:tr>
      <w:tr>
        <w:tc>
          <w:tcPr/>
          <w:p>
            <w:pPr>
              <w:pStyle w:val="Compact"/>
              <w:jc w:val="left"/>
            </w:pPr>
            <w:r>
              <w:t xml:space="preserve">Stack position</w:t>
            </w:r>
          </w:p>
        </w:tc>
        <w:tc>
          <w:tcPr/>
          <w:p>
            <w:pPr>
              <w:pStyle w:val="Compact"/>
              <w:jc w:val="left"/>
            </w:pPr>
            <w:r>
              <w:t xml:space="preserve">L1 foundation model; placement correct.</w:t>
            </w:r>
          </w:p>
        </w:tc>
        <w:tc>
          <w:tcPr/>
          <w:p>
            <w:pPr>
              <w:pStyle w:val="Compact"/>
              <w:jc w:val="left"/>
            </w:pPr>
            <w:r>
              <w:t xml:space="preserve">Architectural judgement</w:t>
            </w:r>
          </w:p>
        </w:tc>
        <w:tc>
          <w:tcPr/>
          <w:p>
            <w:pPr>
              <w:pStyle w:val="Compact"/>
            </w:pPr>
          </w:p>
        </w:tc>
      </w:tr>
      <w:tr>
        <w:tc>
          <w:tcPr/>
          <w:p>
            <w:pPr>
              <w:pStyle w:val="Compact"/>
              <w:jc w:val="left"/>
            </w:pPr>
            <w:r>
              <w:t xml:space="preserve">Integration</w:t>
            </w:r>
          </w:p>
        </w:tc>
        <w:tc>
          <w:tcPr/>
          <w:p>
            <w:pPr>
              <w:pStyle w:val="Compact"/>
              <w:jc w:val="left"/>
            </w:pPr>
            <w:r>
              <w:t xml:space="preserve">xAI API; official xai-sdk (Python 1.20.0, Apache-2.0, 24 September 2026).</w:t>
            </w:r>
          </w:p>
        </w:tc>
        <w:tc>
          <w:tcPr/>
          <w:p>
            <w:pPr>
              <w:pStyle w:val="Compact"/>
              <w:jc w:val="left"/>
            </w:pPr>
            <w:r>
              <w:t xml:space="preserve">Verified fact</w:t>
            </w:r>
          </w:p>
        </w:tc>
        <w:tc>
          <w:tcPr/>
          <w:p>
            <w:pPr>
              <w:pStyle w:val="Compact"/>
              <w:jc w:val="left"/>
            </w:pPr>
            <w:r>
              <w:t xml:space="preserve">A5-S047</w:t>
            </w:r>
          </w:p>
        </w:tc>
      </w:tr>
      <w:tr>
        <w:tc>
          <w:tcPr/>
          <w:p>
            <w:pPr>
              <w:pStyle w:val="Compact"/>
              <w:jc w:val="left"/>
            </w:pPr>
            <w:r>
              <w:t xml:space="preserve">Dependencies</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Certifications</w:t>
            </w:r>
          </w:p>
        </w:tc>
        <w:tc>
          <w:tcPr/>
          <w:p>
            <w:pPr>
              <w:pStyle w:val="Compact"/>
              <w:jc w:val="left"/>
            </w:pPr>
            <w:r>
              <w:t xml:space="preserve">SOC 2 Type II (per xAI API FAQ and business pages; Trust Center under NDA); HIPAA-eligible deployments with BAA. ISO certifications not found.</w:t>
            </w:r>
          </w:p>
        </w:tc>
        <w:tc>
          <w:tcPr/>
          <w:p>
            <w:pPr>
              <w:pStyle w:val="Compact"/>
              <w:jc w:val="left"/>
            </w:pPr>
            <w:r>
              <w:t xml:space="preserve">Verified fact</w:t>
            </w:r>
          </w:p>
        </w:tc>
        <w:tc>
          <w:tcPr/>
          <w:p>
            <w:pPr>
              <w:pStyle w:val="Compact"/>
              <w:jc w:val="left"/>
            </w:pPr>
            <w:r>
              <w:t xml:space="preserve">A5-S080</w:t>
            </w:r>
          </w:p>
        </w:tc>
      </w:tr>
      <w:tr>
        <w:tc>
          <w:tcPr/>
          <w:p>
            <w:pPr>
              <w:pStyle w:val="Compact"/>
              <w:jc w:val="left"/>
            </w:pPr>
            <w:r>
              <w:t xml:space="preserve">GDPR / residency</w:t>
            </w:r>
          </w:p>
        </w:tc>
        <w:tc>
          <w:tcPr/>
          <w:p>
            <w:pPr>
              <w:pStyle w:val="Compact"/>
              <w:jc w:val="left"/>
            </w:pPr>
            <w:r>
              <w:t xml:space="preserve">API inputs/outputs not used for training without explicit permission; default 30-day encrypted retention for abuse auditing; team-level Zero Data Retention (deleted within one hour; disables stateful APIs). Enterprise terms let xAI create and own de-identified/aggregated derived data except under ZDR. US regional endpoint (us.api.x.ai) available; default endpoint gives no region guarantee; EU residency mentioned only on voice/imagine product pages. Grok on Google Cloud follows Google Cloud data terms.</w:t>
            </w:r>
          </w:p>
        </w:tc>
        <w:tc>
          <w:tcPr/>
          <w:p>
            <w:pPr>
              <w:pStyle w:val="Compact"/>
              <w:jc w:val="left"/>
            </w:pPr>
            <w:r>
              <w:t xml:space="preserve">Verified fact</w:t>
            </w:r>
          </w:p>
        </w:tc>
        <w:tc>
          <w:tcPr/>
          <w:p>
            <w:pPr>
              <w:pStyle w:val="Compact"/>
              <w:jc w:val="left"/>
            </w:pPr>
            <w:r>
              <w:t xml:space="preserve">A5-S080</w:t>
            </w:r>
          </w:p>
        </w:tc>
      </w:tr>
      <w:tr>
        <w:tc>
          <w:tcPr/>
          <w:p>
            <w:pPr>
              <w:pStyle w:val="Compact"/>
              <w:jc w:val="left"/>
            </w:pPr>
            <w:r>
              <w:t xml:space="preserve">Security features</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Access controls</w:t>
            </w:r>
          </w:p>
        </w:tc>
        <w:tc>
          <w:tcPr/>
          <w:p>
            <w:pPr>
              <w:pStyle w:val="Compact"/>
              <w:jc w:val="left"/>
            </w:pPr>
            <w:r>
              <w:t xml:space="preserve">Team-level admin settings and audit logs of administrative events (content excluded under ZDR).</w:t>
            </w:r>
          </w:p>
        </w:tc>
        <w:tc>
          <w:tcPr/>
          <w:p>
            <w:pPr>
              <w:pStyle w:val="Compact"/>
              <w:jc w:val="left"/>
            </w:pPr>
            <w:r>
              <w:t xml:space="preserve">Verified fact</w:t>
            </w:r>
          </w:p>
        </w:tc>
        <w:tc>
          <w:tcPr/>
          <w:p>
            <w:pPr>
              <w:pStyle w:val="Compact"/>
              <w:jc w:val="left"/>
            </w:pPr>
            <w:r>
              <w:t xml:space="preserve">A5-S080</w:t>
            </w:r>
          </w:p>
        </w:tc>
      </w:tr>
      <w:tr>
        <w:tc>
          <w:tcPr/>
          <w:p>
            <w:pPr>
              <w:pStyle w:val="Compact"/>
              <w:jc w:val="left"/>
            </w:pPr>
            <w:r>
              <w:t xml:space="preserve">Enterprise support</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Pricing</w:t>
            </w:r>
          </w:p>
        </w:tc>
        <w:tc>
          <w:tcPr/>
          <w:p>
            <w:pPr>
              <w:pStyle w:val="Compact"/>
              <w:jc w:val="left"/>
            </w:pPr>
            <w:r>
              <w:t xml:space="preserve">Grok 4.7 (xAI API): US$2 input / US$6 output per 1M (&lt;=200K); US$4 / US$12 above 200K; cached US$0.50; US regional endpoint 1.1x; Grok 4.20 / 4.3 (Google Cloud): US$1.25 / US$2.50 per 1M; Grok 4.1 Fast (Google Cloud): US$0.20 / US$0.50 per 1M</w:t>
            </w:r>
          </w:p>
        </w:tc>
        <w:tc>
          <w:tcPr/>
          <w:p>
            <w:pPr>
              <w:pStyle w:val="Compact"/>
              <w:jc w:val="left"/>
            </w:pPr>
            <w:r>
              <w:t xml:space="preserve">Verified fact</w:t>
            </w:r>
          </w:p>
        </w:tc>
        <w:tc>
          <w:tcPr/>
          <w:p>
            <w:pPr>
              <w:pStyle w:val="Compact"/>
              <w:jc w:val="left"/>
            </w:pPr>
            <w:r>
              <w:t xml:space="preserve">A5-S079, A5-S027, V2-S012</w:t>
            </w:r>
          </w:p>
        </w:tc>
      </w:tr>
      <w:tr>
        <w:tc>
          <w:tcPr/>
          <w:p>
            <w:pPr>
              <w:pStyle w:val="Compact"/>
              <w:jc w:val="left"/>
            </w:pPr>
            <w:r>
              <w:t xml:space="preserve">Infrastructure cost</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Ecosystem</w:t>
            </w:r>
          </w:p>
        </w:tc>
        <w:tc>
          <w:tcPr/>
          <w:p>
            <w:pPr>
              <w:pStyle w:val="Compact"/>
              <w:jc w:val="left"/>
            </w:pPr>
            <w:r>
              <w:t xml:space="preserve">Google Cloud (Grok 4.7, 4.6, 4.20, 4.3, 4.1 Fast), Amazon Bedrock (Grok 4.6 global/US/US-Gov), Microsoft Foundry (Grok 4.6, 4.3, 4.20, 4.1 Fast, code-fast-1).</w:t>
            </w:r>
          </w:p>
        </w:tc>
        <w:tc>
          <w:tcPr/>
          <w:p>
            <w:pPr>
              <w:pStyle w:val="Compact"/>
              <w:jc w:val="left"/>
            </w:pPr>
            <w:r>
              <w:t xml:space="preserve">Verified fact</w:t>
            </w:r>
          </w:p>
        </w:tc>
        <w:tc>
          <w:tcPr/>
          <w:p>
            <w:pPr>
              <w:pStyle w:val="Compact"/>
              <w:jc w:val="left"/>
            </w:pPr>
            <w:r>
              <w:t xml:space="preserve">A5-S027, A5-S038</w:t>
            </w:r>
          </w:p>
        </w:tc>
      </w:tr>
      <w:tr>
        <w:tc>
          <w:tcPr/>
          <w:p>
            <w:pPr>
              <w:pStyle w:val="Compact"/>
              <w:jc w:val="left"/>
            </w:pPr>
            <w:r>
              <w:t xml:space="preserve">Adoption signals</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Maturity</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Deployment</w:t>
            </w:r>
          </w:p>
        </w:tc>
        <w:tc>
          <w:tcPr/>
          <w:p>
            <w:pPr>
              <w:pStyle w:val="Compact"/>
              <w:jc w:val="left"/>
            </w:pPr>
            <w:r>
              <w:t xml:space="preserve">saas: Yes; managed_cloud: Yes (Google Cloud; Amazon Bedrock incl. US GovCloud; Microsoft Foundry); vpc_byoc: Not publicly verified; private_cloud: Not publicly verified; self_hosted: Not publicly verified; on_prem: Not publicly verified</w:t>
            </w:r>
          </w:p>
        </w:tc>
        <w:tc>
          <w:tcPr/>
          <w:p>
            <w:pPr>
              <w:pStyle w:val="Compact"/>
            </w:pPr>
          </w:p>
        </w:tc>
        <w:tc>
          <w:tcPr/>
          <w:p>
            <w:pPr>
              <w:pStyle w:val="Compact"/>
            </w:pPr>
          </w:p>
        </w:tc>
      </w:tr>
    </w:tbl>
    <w:bookmarkEnd w:id="1626"/>
    <w:bookmarkStart w:id="1656" w:name="Xe22734f802930dec88ac15995c1c1ed764bcdb8"/>
    <w:p>
      <w:pPr>
        <w:pStyle w:val="Heading2"/>
      </w:pPr>
      <w:r>
        <w:t xml:space="preserve">DeepSeek V4 family (DeepSeek-V4-Pro; DeepSeek-V4.1-Flash, which replaced V4-Flash in the API) (</w:t>
      </w:r>
      <w:r>
        <w:rPr>
          <w:rStyle w:val="VerbatimChar"/>
        </w:rPr>
        <w:t xml:space="preserve">L1-deepseek</w:t>
      </w:r>
      <w:r>
        <w:t xml:space="preserve">)</w:t>
      </w:r>
    </w:p>
    <w:p>
      <w:pPr>
        <w:pStyle w:val="FirstParagraph"/>
      </w:pPr>
      <w:r>
        <w:rPr>
          <w:bCs/>
          <w:b/>
        </w:rPr>
        <w:t xml:space="preserve">Tier:</w:t>
      </w:r>
      <w:r>
        <w:t xml:space="preserve"> </w:t>
      </w:r>
      <w:r>
        <w:t xml:space="preserve">Tactical ·</w:t>
      </w:r>
      <w:r>
        <w:t xml:space="preserve"> </w:t>
      </w:r>
      <w:r>
        <w:rPr>
          <w:bCs/>
          <w:b/>
        </w:rPr>
        <w:t xml:space="preserve">Flags:</w:t>
      </w:r>
      <w:r>
        <w:t xml:space="preserve"> </w:t>
      </w:r>
      <w:r>
        <w:t xml:space="preserve">Not recommended ·</w:t>
      </w:r>
      <w:r>
        <w:t xml:space="preserve"> </w:t>
      </w:r>
      <w:r>
        <w:rPr>
          <w:bCs/>
          <w:b/>
        </w:rPr>
        <w:t xml:space="preserve">Original graphic label:</w:t>
      </w:r>
      <w:r>
        <w:t xml:space="preserve"> </w:t>
      </w:r>
      <w:r>
        <w:t xml:space="preserve">DeepSeek – V4</w:t>
      </w:r>
    </w:p>
    <w:p>
      <w:pPr>
        <w:pStyle w:val="BodyText"/>
      </w:pPr>
      <w:r>
        <w:rPr>
          <w:iCs/>
          <w:i/>
        </w:rPr>
        <w:t xml:space="preserve">Rationale:</w:t>
      </w:r>
      <w:r>
        <w:t xml:space="preserve"> </w:t>
      </w:r>
      <w:r>
        <w:t xml:space="preserve">Tactical, conditional: self-hosted MIT weights or Microsoft Foundry in-tenant only; the</w:t>
      </w:r>
      <w:r>
        <w:t xml:space="preserve"> </w:t>
      </w:r>
      <w:r>
        <w:t xml:space="preserve">‘</w:t>
      </w:r>
      <w:r>
        <w:t xml:space="preserve">Not recommended</w:t>
      </w:r>
      <w:r>
        <w:t xml:space="preserve">’</w:t>
      </w:r>
      <w:r>
        <w:t xml:space="preserve"> </w:t>
      </w:r>
      <w:r>
        <w:t xml:space="preserve">flag applies to DeepSeek’s hosted API (PRC storage, unremediated Garante limitation)</w:t>
      </w:r>
      <w:r>
        <w:t xml:space="preserve"> </w:t>
      </w:r>
      <w:r>
        <w:rPr>
          <w:rStyle w:val="ClaimLabel"/>
        </w:rPr>
        <w:t xml:space="preserve">AJ</w:t>
      </w:r>
      <w:r>
        <w:t xml:space="preserve">.</w:t>
      </w:r>
    </w:p>
    <w:tbl>
      <w:tblPr>
        <w:tblStyle w:val="Table"/>
        <w:tblW w:type="pct" w:w="5000"/>
        <w:tblLook w:firstRow="1" w:lastRow="0" w:firstColumn="0" w:lastColumn="0" w:noHBand="0" w:noVBand="0" w:val="0020"/>
        <w:jc w:val="start"/>
      </w:tblPr>
      <w:tblGrid>
        <w:gridCol w:w="1545"/>
        <w:gridCol w:w="579"/>
        <w:gridCol w:w="5795"/>
      </w:tblGrid>
      <w:tr>
        <w:trPr>
          <w:tblHeader w:val="true"/>
        </w:trPr>
        <w:tc>
          <w:tcPr/>
          <w:p>
            <w:pPr>
              <w:pStyle w:val="Compact"/>
              <w:jc w:val="left"/>
            </w:pPr>
            <w:r>
              <w:t xml:space="preserve">Criterion</w:t>
            </w:r>
          </w:p>
        </w:tc>
        <w:tc>
          <w:tcPr/>
          <w:p>
            <w:pPr>
              <w:pStyle w:val="Compact"/>
              <w:jc w:val="right"/>
            </w:pPr>
            <w:r>
              <w:t xml:space="preserve">Score</w:t>
            </w:r>
          </w:p>
        </w:tc>
        <w:tc>
          <w:tcPr/>
          <w:p>
            <w:pPr>
              <w:pStyle w:val="Compact"/>
              <w:jc w:val="left"/>
            </w:pPr>
            <w:r>
              <w:t xml:space="preserve">Rationale</w:t>
            </w:r>
          </w:p>
        </w:tc>
      </w:tr>
      <w:tr>
        <w:tc>
          <w:tcPr/>
          <w:p>
            <w:pPr>
              <w:pStyle w:val="Compact"/>
              <w:jc w:val="left"/>
            </w:pPr>
            <w:r>
              <w:t xml:space="preserve">Technical</w:t>
            </w:r>
          </w:p>
        </w:tc>
        <w:tc>
          <w:tcPr/>
          <w:p>
            <w:pPr>
              <w:pStyle w:val="Compact"/>
              <w:jc w:val="right"/>
            </w:pPr>
            <w:r>
              <w:t xml:space="preserve">4</w:t>
            </w:r>
          </w:p>
        </w:tc>
        <w:tc>
          <w:tcPr/>
          <w:p>
            <w:pPr>
              <w:pStyle w:val="Compact"/>
              <w:jc w:val="left"/>
            </w:pPr>
            <w:r>
              <w:t xml:space="preserve">Large MoE reasoning models with 1M context and vision in Flash (A5-S063, A5-S064); no capability claim taken from vendor benchmarks.</w:t>
            </w:r>
          </w:p>
        </w:tc>
      </w:tr>
      <w:tr>
        <w:tc>
          <w:tcPr/>
          <w:p>
            <w:pPr>
              <w:pStyle w:val="Compact"/>
              <w:jc w:val="left"/>
            </w:pPr>
            <w:r>
              <w:t xml:space="preserve">Enterprise readiness</w:t>
            </w:r>
          </w:p>
        </w:tc>
        <w:tc>
          <w:tcPr/>
          <w:p>
            <w:pPr>
              <w:pStyle w:val="Compact"/>
              <w:jc w:val="right"/>
            </w:pPr>
            <w:r>
              <w:t xml:space="preserve">4</w:t>
            </w:r>
          </w:p>
        </w:tc>
        <w:tc>
          <w:tcPr/>
          <w:p>
            <w:pPr>
              <w:pStyle w:val="Compact"/>
              <w:jc w:val="left"/>
            </w:pPr>
            <w:r>
              <w:t xml:space="preserve">4 only for the Microsoft Foundry route, where Azure sells DeepSeek V4 directly and processes it in-tenant in the customer’s geography (rule 6; A5-S087); DeepSeek’s own API has no verified SSO/RBAC/audit and would be capped at 2. Hosting caveat (CP4-3): on Azure, Microsoft Foundry’s Kimi K3 and GLM-5.x run on Fireworks outside the customer tenant, while DeepSeek V4 is sold directly and processed in-tenant (A5-S087). Kept at 4 by the reader at Checkpoint 4 (CP4-3). Platform controls presumed (CP2 Q1); confirm per service.</w:t>
            </w:r>
          </w:p>
        </w:tc>
      </w:tr>
      <w:tr>
        <w:tc>
          <w:tcPr/>
          <w:p>
            <w:pPr>
              <w:pStyle w:val="Compact"/>
              <w:jc w:val="left"/>
            </w:pPr>
            <w:r>
              <w:t xml:space="preserve">Security and compliance</w:t>
            </w:r>
          </w:p>
        </w:tc>
        <w:tc>
          <w:tcPr/>
          <w:p>
            <w:pPr>
              <w:pStyle w:val="Compact"/>
              <w:jc w:val="right"/>
            </w:pPr>
            <w:r>
              <w:t xml:space="preserve">1</w:t>
            </w:r>
          </w:p>
        </w:tc>
        <w:tc>
          <w:tcPr/>
          <w:p>
            <w:pPr>
              <w:pStyle w:val="Compact"/>
              <w:jc w:val="left"/>
            </w:pPr>
            <w:r>
              <w:t xml:space="preserve">Hosted API meets anchor 1: no verified certification, PRC storage (A5-S062) and an unremediated Garante limitation (A5-S048, V2-S023). Self-hosted weights would score about 3 under rule 2 (inherits host controls), with CAISI’s hijacking findings (A5-S049) as a model-behaviour risk.</w:t>
            </w:r>
          </w:p>
        </w:tc>
      </w:tr>
      <w:tr>
        <w:tc>
          <w:tcPr/>
          <w:p>
            <w:pPr>
              <w:pStyle w:val="Compact"/>
              <w:jc w:val="left"/>
            </w:pPr>
            <w:r>
              <w:t xml:space="preserve">Deployment flexibility</w:t>
            </w:r>
          </w:p>
        </w:tc>
        <w:tc>
          <w:tcPr/>
          <w:p>
            <w:pPr>
              <w:pStyle w:val="Compact"/>
              <w:jc w:val="right"/>
            </w:pPr>
            <w:r>
              <w:t xml:space="preserve">4</w:t>
            </w:r>
          </w:p>
        </w:tc>
        <w:tc>
          <w:tcPr/>
          <w:p>
            <w:pPr>
              <w:pStyle w:val="Compact"/>
              <w:jc w:val="left"/>
            </w:pPr>
            <w:r>
              <w:t xml:space="preserve">Self-host and air-gap possible (MIT), Foundry in-tenant, own SaaS; 4 not 5 because the vendor SaaS is PRC-only and V4 is not on Bedrock or Google Cloud (A5-S086, A5-S027).</w:t>
            </w:r>
          </w:p>
        </w:tc>
      </w:tr>
      <w:tr>
        <w:tc>
          <w:tcPr/>
          <w:p>
            <w:pPr>
              <w:pStyle w:val="Compact"/>
              <w:jc w:val="left"/>
            </w:pPr>
            <w:r>
              <w:t xml:space="preserve">Ecosystem</w:t>
            </w:r>
          </w:p>
        </w:tc>
        <w:tc>
          <w:tcPr/>
          <w:p>
            <w:pPr>
              <w:pStyle w:val="Compact"/>
              <w:jc w:val="right"/>
            </w:pPr>
            <w:r>
              <w:t xml:space="preserve">4</w:t>
            </w:r>
          </w:p>
        </w:tc>
        <w:tc>
          <w:tcPr/>
          <w:p>
            <w:pPr>
              <w:pStyle w:val="Compact"/>
              <w:jc w:val="left"/>
            </w:pPr>
            <w:r>
              <w:t xml:space="preserve">Broad open-serving support and third-party hosts (A5-S039, A5-S044, A5-S087).</w:t>
            </w:r>
          </w:p>
        </w:tc>
      </w:tr>
      <w:tr>
        <w:tc>
          <w:tcPr/>
          <w:p>
            <w:pPr>
              <w:pStyle w:val="Compact"/>
              <w:jc w:val="left"/>
            </w:pPr>
            <w:r>
              <w:t xml:space="preserve">Reliability and maturity</w:t>
            </w:r>
          </w:p>
        </w:tc>
        <w:tc>
          <w:tcPr/>
          <w:p>
            <w:pPr>
              <w:pStyle w:val="Compact"/>
              <w:jc w:val="right"/>
            </w:pPr>
            <w:r>
              <w:t xml:space="preserve">2</w:t>
            </w:r>
          </w:p>
        </w:tc>
        <w:tc>
          <w:tcPr/>
          <w:p>
            <w:pPr>
              <w:pStyle w:val="Compact"/>
              <w:jc w:val="left"/>
            </w:pPr>
            <w:r>
              <w:t xml:space="preserve">Phase-out of V4-Pro announced 10 September and reversed 17 September 2026 (V2-S013); certifications and support NPV.</w:t>
            </w:r>
          </w:p>
        </w:tc>
      </w:tr>
      <w:tr>
        <w:tc>
          <w:tcPr/>
          <w:p>
            <w:pPr>
              <w:pStyle w:val="Compact"/>
              <w:jc w:val="left"/>
            </w:pPr>
            <w:r>
              <w:t xml:space="preserve">Cost / TCO</w:t>
            </w:r>
          </w:p>
        </w:tc>
        <w:tc>
          <w:tcPr/>
          <w:p>
            <w:pPr>
              <w:pStyle w:val="Compact"/>
              <w:jc w:val="right"/>
            </w:pPr>
            <w:r>
              <w:t xml:space="preserve">3</w:t>
            </w:r>
          </w:p>
        </w:tc>
        <w:tc>
          <w:tcPr/>
          <w:p>
            <w:pPr>
              <w:pStyle w:val="Compact"/>
              <w:jc w:val="left"/>
            </w:pPr>
            <w:r>
              <w:t xml:space="preserve">Weights free (MIT) but V4-Pro needs a large multi-GPU cluster; hosted prices are aggregator-level and not used (V2 §4 item 3).</w:t>
            </w:r>
          </w:p>
        </w:tc>
      </w:tr>
      <w:tr>
        <w:tc>
          <w:tcPr/>
          <w:p>
            <w:pPr>
              <w:pStyle w:val="Compact"/>
              <w:jc w:val="left"/>
            </w:pPr>
            <w:r>
              <w:t xml:space="preserve">Lock-in / portability</w:t>
            </w:r>
          </w:p>
        </w:tc>
        <w:tc>
          <w:tcPr/>
          <w:p>
            <w:pPr>
              <w:pStyle w:val="Compact"/>
              <w:jc w:val="right"/>
            </w:pPr>
            <w:r>
              <w:t xml:space="preserve">4</w:t>
            </w:r>
          </w:p>
        </w:tc>
        <w:tc>
          <w:tcPr/>
          <w:p>
            <w:pPr>
              <w:pStyle w:val="Compact"/>
              <w:jc w:val="left"/>
            </w:pPr>
            <w:r>
              <w:t xml:space="preserve">MIT weights mean no model lock-in once self-hosted; jurisdictional exit risk is captured in security and tier.</w:t>
            </w:r>
          </w:p>
        </w:tc>
      </w:tr>
      <w:tr>
        <w:tc>
          <w:tcPr/>
          <w:p>
            <w:pPr>
              <w:pStyle w:val="Compact"/>
              <w:jc w:val="left"/>
            </w:pPr>
            <w:r>
              <w:rPr>
                <w:bCs/>
                <w:b/>
              </w:rPr>
              <w:t xml:space="preserve">Total (generic / FS)</w:t>
            </w:r>
          </w:p>
        </w:tc>
        <w:tc>
          <w:tcPr/>
          <w:p>
            <w:pPr>
              <w:pStyle w:val="Compact"/>
              <w:jc w:val="right"/>
            </w:pPr>
            <w:r>
              <w:rPr>
                <w:bCs/>
                <w:b/>
              </w:rPr>
              <w:t xml:space="preserve">3.25 / 3.15</w:t>
            </w:r>
          </w:p>
        </w:tc>
        <w:tc>
          <w:tcPr/>
          <w:p>
            <w:pPr>
              <w:pStyle w:val="Compact"/>
            </w:pPr>
          </w:p>
        </w:tc>
      </w:tr>
    </w:tbl>
    <w:p>
      <w:pPr>
        <w:pStyle w:val="BodyText"/>
      </w:pPr>
      <w:r>
        <w:rPr>
          <w:iCs/>
          <w:i/>
        </w:rPr>
        <w:t xml:space="preserve">Evidence rules applied:</w:t>
      </w:r>
      <w:r>
        <w:t xml:space="preserve"> </w:t>
      </w:r>
      <w:r>
        <w:t xml:space="preserve">security_compliance at 1 (below the NPV cap of 2): certifications NPV plus unremediated regulatory finding on the hosted API</w:t>
      </w:r>
    </w:p>
    <w:p>
      <w:pPr>
        <w:pStyle w:val="BodyText"/>
      </w:pPr>
      <w:r>
        <w:rPr>
          <w:bCs/>
          <w:b/>
        </w:rPr>
        <w:t xml:space="preserve">Capabilities.</w:t>
      </w:r>
      <w:r>
        <w:t xml:space="preserve"> </w:t>
      </w:r>
      <w:r>
        <w:t xml:space="preserve">DeepSeek V4 family: V4-Pro (1.6T total / 49B active, GA 13 August 2026, 1M context; a planned phase-out was reversed on 17 September 2026) and V4.1-Flash (10 September 2026, replaced V4-Flash in the API, native vision); thinking and non-thinking modes; open weights under MIT</w:t>
      </w:r>
      <w:r>
        <w:t xml:space="preserve"> </w:t>
      </w:r>
      <w:r>
        <w:rPr>
          <w:rStyle w:val="ClaimLabel"/>
        </w:rPr>
        <w:t xml:space="preserve">VF</w:t>
      </w:r>
      <w:r>
        <w:rPr>
          <w:rStyle w:val="FootnoteReference"/>
        </w:rPr>
        <w:footnoteReference w:id="1627"/>
      </w:r>
      <w:r>
        <w:t xml:space="preserve">.</w:t>
      </w:r>
    </w:p>
    <w:p>
      <w:pPr>
        <w:pStyle w:val="BodyText"/>
      </w:pPr>
      <w:r>
        <w:rPr>
          <w:bCs/>
          <w:b/>
        </w:rPr>
        <w:t xml:space="preserve">Strengths</w:t>
      </w:r>
    </w:p>
    <w:p>
      <w:pPr>
        <w:numPr>
          <w:ilvl w:val="0"/>
          <w:numId w:val="1345"/>
        </w:numPr>
        <w:pStyle w:val="Compact"/>
      </w:pPr>
      <w:r>
        <w:t xml:space="preserve">MIT-licensed open weights: the most permissive licence among the large Chinese-origin families</w:t>
      </w:r>
      <w:r>
        <w:t xml:space="preserve"> </w:t>
      </w:r>
      <w:r>
        <w:rPr>
          <w:rStyle w:val="ClaimLabel"/>
        </w:rPr>
        <w:t xml:space="preserve">VF</w:t>
      </w:r>
      <w:r>
        <w:rPr>
          <w:rStyle w:val="FootnoteReference"/>
        </w:rPr>
        <w:footnoteReference w:id="1631"/>
      </w:r>
    </w:p>
    <w:p>
      <w:pPr>
        <w:numPr>
          <w:ilvl w:val="0"/>
          <w:numId w:val="1345"/>
        </w:numPr>
        <w:pStyle w:val="Compact"/>
      </w:pPr>
      <w:r>
        <w:t xml:space="preserve">Microsoft Foundry sells V4-Pro and V4-Flash directly, processed in the customer’s geography or Data Zone</w:t>
      </w:r>
      <w:r>
        <w:t xml:space="preserve"> </w:t>
      </w:r>
      <w:r>
        <w:rPr>
          <w:rStyle w:val="ClaimLabel"/>
        </w:rPr>
        <w:t xml:space="preserve">VF</w:t>
      </w:r>
      <w:r>
        <w:rPr>
          <w:rStyle w:val="FootnoteReference"/>
        </w:rPr>
        <w:footnoteReference w:id="1632"/>
      </w:r>
    </w:p>
    <w:p>
      <w:pPr>
        <w:numPr>
          <w:ilvl w:val="0"/>
          <w:numId w:val="1345"/>
        </w:numPr>
        <w:pStyle w:val="Compact"/>
      </w:pPr>
      <w:r>
        <w:t xml:space="preserve">Day-0 support in common open serving engines (SGLang, LMDeploy, KTransformers)</w:t>
      </w:r>
      <w:r>
        <w:t xml:space="preserve"> </w:t>
      </w:r>
      <w:r>
        <w:rPr>
          <w:rStyle w:val="ClaimLabel"/>
        </w:rPr>
        <w:t xml:space="preserve">R</w:t>
      </w:r>
      <w:r>
        <w:rPr>
          <w:rStyle w:val="FootnoteReference"/>
        </w:rPr>
        <w:footnoteReference w:id="1634"/>
      </w:r>
    </w:p>
    <w:p>
      <w:pPr>
        <w:pStyle w:val="FirstParagraph"/>
      </w:pPr>
      <w:r>
        <w:rPr>
          <w:bCs/>
          <w:b/>
        </w:rPr>
        <w:t xml:space="preserve">Limitations and risks</w:t>
      </w:r>
    </w:p>
    <w:p>
      <w:pPr>
        <w:numPr>
          <w:ilvl w:val="0"/>
          <w:numId w:val="1346"/>
        </w:numPr>
        <w:pStyle w:val="Compact"/>
      </w:pPr>
      <w:r>
        <w:t xml:space="preserve">Hosted API: DeepSeek stores data in the PRC under PRC-law terms; API training position not stated; no EU/UK residency</w:t>
      </w:r>
      <w:r>
        <w:t xml:space="preserve"> </w:t>
      </w:r>
      <w:r>
        <w:rPr>
          <w:rStyle w:val="ClaimLabel"/>
        </w:rPr>
        <w:t xml:space="preserve">VF</w:t>
      </w:r>
      <w:r>
        <w:rPr>
          <w:rStyle w:val="FootnoteReference"/>
        </w:rPr>
        <w:footnoteReference w:id="1638"/>
      </w:r>
    </w:p>
    <w:p>
      <w:pPr>
        <w:numPr>
          <w:ilvl w:val="0"/>
          <w:numId w:val="1346"/>
        </w:numPr>
        <w:pStyle w:val="Compact"/>
      </w:pPr>
      <w:r>
        <w:t xml:space="preserve">Italy’s Garante imposed an urgent limitation on DeepSeek’s processing of Italian users’ data on 30 January 2025; no lifting or fine found</w:t>
      </w:r>
      <w:r>
        <w:t xml:space="preserve"> </w:t>
      </w:r>
      <w:r>
        <w:rPr>
          <w:rStyle w:val="ClaimLabel"/>
        </w:rPr>
        <w:t xml:space="preserve">VF</w:t>
      </w:r>
      <w:r>
        <w:rPr>
          <w:rStyle w:val="FootnoteReference"/>
        </w:rPr>
        <w:footnoteReference w:id="1640"/>
      </w:r>
    </w:p>
    <w:p>
      <w:pPr>
        <w:numPr>
          <w:ilvl w:val="0"/>
          <w:numId w:val="1346"/>
        </w:numPr>
        <w:pStyle w:val="Compact"/>
      </w:pPr>
      <w:r>
        <w:t xml:space="preserve">Korea PIPC found unconsented transfers of prompts and device data (24 April 2025); Berlin DPA reported the app under DSA Art. 16 (27 June 2025)</w:t>
      </w:r>
      <w:r>
        <w:t xml:space="preserve"> </w:t>
      </w:r>
      <w:r>
        <w:rPr>
          <w:rStyle w:val="ClaimLabel"/>
        </w:rPr>
        <w:t xml:space="preserve">VF</w:t>
      </w:r>
      <w:r>
        <w:rPr>
          <w:rStyle w:val="FootnoteReference"/>
        </w:rPr>
        <w:footnoteReference w:id="1643"/>
      </w:r>
    </w:p>
    <w:p>
      <w:pPr>
        <w:numPr>
          <w:ilvl w:val="0"/>
          <w:numId w:val="1346"/>
        </w:numPr>
        <w:pStyle w:val="Compact"/>
      </w:pPr>
      <w:r>
        <w:t xml:space="preserve">Government-device bans: Australia, Taiwan agencies, US DoD (FY2026 NDAA s.1532) and intelligence community, several US states and Commerce bureaus, UK DWP; no US private-sector ban as of October 2026</w:t>
      </w:r>
      <w:r>
        <w:t xml:space="preserve"> </w:t>
      </w:r>
      <w:r>
        <w:rPr>
          <w:rStyle w:val="ClaimLabel"/>
        </w:rPr>
        <w:t xml:space="preserve">VF</w:t>
      </w:r>
      <w:r>
        <w:rPr>
          <w:rStyle w:val="FootnoteReference"/>
        </w:rPr>
        <w:footnoteReference w:id="1646"/>
      </w:r>
    </w:p>
    <w:p>
      <w:pPr>
        <w:numPr>
          <w:ilvl w:val="0"/>
          <w:numId w:val="1346"/>
        </w:numPr>
        <w:pStyle w:val="Compact"/>
      </w:pPr>
      <w:r>
        <w:t xml:space="preserve">NIST CAISI (September 2025) found DeepSeek R1/V3.1 more susceptible to agent hijacking and jailbreaks, with censorship risk</w:t>
      </w:r>
      <w:r>
        <w:t xml:space="preserve"> </w:t>
      </w:r>
      <w:r>
        <w:rPr>
          <w:rStyle w:val="ClaimLabel"/>
        </w:rPr>
        <w:t xml:space="preserve">VF</w:t>
      </w:r>
      <w:r>
        <w:rPr>
          <w:rStyle w:val="FootnoteReference"/>
        </w:rPr>
        <w:footnoteReference w:id="1653"/>
      </w:r>
    </w:p>
    <w:p>
      <w:pPr>
        <w:numPr>
          <w:ilvl w:val="0"/>
          <w:numId w:val="1346"/>
        </w:numPr>
        <w:pStyle w:val="Compact"/>
      </w:pPr>
      <w:r>
        <w:t xml:space="preserve">Certifications, access controls and enterprise support not publicly verified</w:t>
      </w:r>
      <w:r>
        <w:t xml:space="preserve"> </w:t>
      </w:r>
      <w:r>
        <w:rPr>
          <w:rStyle w:val="ClaimLabel"/>
        </w:rPr>
        <w:t xml:space="preserve">NPV</w:t>
      </w:r>
    </w:p>
    <w:p>
      <w:pPr>
        <w:numPr>
          <w:ilvl w:val="0"/>
          <w:numId w:val="1346"/>
        </w:numPr>
        <w:pStyle w:val="Compact"/>
      </w:pPr>
      <w:r>
        <w:t xml:space="preserve">API prices are aggregator-sourced for decision purposes and not used as inputs</w:t>
      </w:r>
      <w:r>
        <w:t xml:space="preserve"> </w:t>
      </w:r>
      <w:r>
        <w:rPr>
          <w:rStyle w:val="ClaimLabel"/>
        </w:rPr>
        <w:t xml:space="preserve">R</w:t>
      </w:r>
      <w:r>
        <w:rPr>
          <w:rStyle w:val="FootnoteReference"/>
        </w:rPr>
        <w:footnoteReference w:id="1655"/>
      </w:r>
    </w:p>
    <w:p>
      <w:pPr>
        <w:pStyle w:val="FirstParagraph"/>
      </w:pPr>
      <w:r>
        <w:rPr>
          <w:bCs/>
          <w:b/>
        </w:rPr>
        <w:t xml:space="preserve">Choose when</w:t>
      </w:r>
    </w:p>
    <w:p>
      <w:pPr>
        <w:numPr>
          <w:ilvl w:val="0"/>
          <w:numId w:val="1347"/>
        </w:numPr>
        <w:pStyle w:val="Compact"/>
      </w:pPr>
      <w:r>
        <w:t xml:space="preserve">A firm’s sovereignty policy permits Chinese-origin weights and a self-hosted or Foundry in-tenant model is needed for low-risk, non-agentic internal tasks</w:t>
      </w:r>
      <w:r>
        <w:t xml:space="preserve"> </w:t>
      </w:r>
      <w:r>
        <w:rPr>
          <w:rStyle w:val="ClaimLabel"/>
        </w:rPr>
        <w:t xml:space="preserve">AJ</w:t>
      </w:r>
    </w:p>
    <w:p>
      <w:pPr>
        <w:pStyle w:val="FirstParagraph"/>
      </w:pPr>
      <w:r>
        <w:rPr>
          <w:bCs/>
          <w:b/>
        </w:rPr>
        <w:t xml:space="preserve">Avoid when</w:t>
      </w:r>
    </w:p>
    <w:p>
      <w:pPr>
        <w:numPr>
          <w:ilvl w:val="0"/>
          <w:numId w:val="1348"/>
        </w:numPr>
        <w:pStyle w:val="Compact"/>
      </w:pPr>
      <w:r>
        <w:t xml:space="preserve">Any route sends data to DeepSeek’s own API</w:t>
      </w:r>
      <w:r>
        <w:t xml:space="preserve"> </w:t>
      </w:r>
      <w:r>
        <w:rPr>
          <w:rStyle w:val="ClaimLabel"/>
        </w:rPr>
        <w:t xml:space="preserve">AJ</w:t>
      </w:r>
    </w:p>
    <w:p>
      <w:pPr>
        <w:numPr>
          <w:ilvl w:val="0"/>
          <w:numId w:val="1348"/>
        </w:numPr>
        <w:pStyle w:val="Compact"/>
      </w:pPr>
      <w:r>
        <w:t xml:space="preserve">The model would act agentically with tool access, given CAISI’s hijacking findings</w:t>
      </w:r>
      <w:r>
        <w:t xml:space="preserve"> </w:t>
      </w:r>
      <w:r>
        <w:rPr>
          <w:rStyle w:val="ClaimLabel"/>
        </w:rPr>
        <w:t xml:space="preserve">AJ</w:t>
      </w:r>
    </w:p>
    <w:p>
      <w:pPr>
        <w:numPr>
          <w:ilvl w:val="0"/>
          <w:numId w:val="1348"/>
        </w:numPr>
        <w:pStyle w:val="Compact"/>
      </w:pPr>
      <w:r>
        <w:t xml:space="preserve">The firm has US DoD contract exposure (s.1532)</w:t>
      </w:r>
      <w:r>
        <w:t xml:space="preserve"> </w:t>
      </w:r>
      <w:r>
        <w:rPr>
          <w:rStyle w:val="ClaimLabel"/>
        </w:rPr>
        <w:t xml:space="preserve">AJ</w:t>
      </w:r>
    </w:p>
    <w:p>
      <w:pPr>
        <w:pStyle w:val="FirstParagraph"/>
      </w:pPr>
      <w:r>
        <w:rPr>
          <w:bCs/>
          <w:b/>
        </w:rPr>
        <w:t xml:space="preserve">Nearest competitors:</w:t>
      </w:r>
      <w:r>
        <w:t xml:space="preserve"> </w:t>
      </w:r>
      <w:r>
        <w:t xml:space="preserve">L1-mistral, L1-google-gemma, L1-alibaba-qwen</w:t>
      </w:r>
    </w:p>
    <w:p>
      <w:pPr>
        <w:pStyle w:val="BodyText"/>
      </w:pPr>
      <w:r>
        <w:rPr>
          <w:bCs/>
          <w:b/>
        </w:rPr>
        <w:t xml:space="preserve">Regulated-FS note.</w:t>
      </w:r>
      <w:r>
        <w:t xml:space="preserve"> </w:t>
      </w:r>
      <w:r>
        <w:t xml:space="preserve">Hosted API not recommended for a regulated firm; if used at all, self-host the MIT weights or use Foundry in-tenant, behind the gateway and guardrails, with a documented sovereignty assessment</w:t>
      </w:r>
      <w:r>
        <w:t xml:space="preserve"> </w:t>
      </w:r>
      <w:r>
        <w:rPr>
          <w:rStyle w:val="ClaimLabel"/>
        </w:rPr>
        <w:t xml:space="preserve">Rec</w:t>
      </w:r>
      <w:r>
        <w:t xml:space="preserve">.</w:t>
      </w:r>
    </w:p>
    <w:p>
      <w:pPr>
        <w:pStyle w:val="BodyText"/>
      </w:pPr>
      <w:r>
        <w:rPr>
          <w:bCs/>
          <w:b/>
        </w:rPr>
        <w:t xml:space="preserve">Facts (as of 2026-10-08)</w:t>
      </w:r>
    </w:p>
    <w:tbl>
      <w:tblPr>
        <w:tblStyle w:val="Table"/>
        <w:tblW w:type="pct" w:w="5000"/>
        <w:tblLook w:firstRow="1" w:lastRow="0" w:firstColumn="0" w:lastColumn="0" w:noHBand="0" w:noVBand="0" w:val="0020"/>
        <w:jc w:val="start"/>
      </w:tblPr>
      <w:tblGrid>
        <w:gridCol w:w="1485"/>
        <w:gridCol w:w="4290"/>
        <w:gridCol w:w="1320"/>
        <w:gridCol w:w="825"/>
      </w:tblGrid>
      <w:tr>
        <w:trPr>
          <w:tblHeader w:val="true"/>
        </w:trPr>
        <w:tc>
          <w:tcPr/>
          <w:p>
            <w:pPr>
              <w:pStyle w:val="Compact"/>
              <w:jc w:val="left"/>
            </w:pPr>
            <w:r>
              <w:t xml:space="preserve">Field</w:t>
            </w:r>
          </w:p>
        </w:tc>
        <w:tc>
          <w:tcPr/>
          <w:p>
            <w:pPr>
              <w:pStyle w:val="Compact"/>
              <w:jc w:val="left"/>
            </w:pPr>
            <w:r>
              <w:t xml:space="preserve">Value</w:t>
            </w:r>
          </w:p>
        </w:tc>
        <w:tc>
          <w:tcPr/>
          <w:p>
            <w:pPr>
              <w:pStyle w:val="Compact"/>
              <w:jc w:val="left"/>
            </w:pPr>
            <w:r>
              <w:t xml:space="preserve">Label</w:t>
            </w:r>
          </w:p>
        </w:tc>
        <w:tc>
          <w:tcPr/>
          <w:p>
            <w:pPr>
              <w:pStyle w:val="Compact"/>
              <w:jc w:val="left"/>
            </w:pPr>
            <w:r>
              <w:t xml:space="preserve">Sources</w:t>
            </w:r>
          </w:p>
        </w:tc>
      </w:tr>
      <w:tr>
        <w:tc>
          <w:tcPr/>
          <w:p>
            <w:pPr>
              <w:pStyle w:val="Compact"/>
              <w:jc w:val="left"/>
            </w:pPr>
            <w:r>
              <w:t xml:space="preserve">Company</w:t>
            </w:r>
          </w:p>
        </w:tc>
        <w:tc>
          <w:tcPr/>
          <w:p>
            <w:pPr>
              <w:pStyle w:val="Compact"/>
              <w:jc w:val="left"/>
            </w:pPr>
            <w:r>
              <w:t xml:space="preserve">DeepSeek (Hangzhou DeepSeek AI; PRC). Open Platform terms governed by laws of mainland PRC; US bills name High Flyer as owner.</w:t>
            </w:r>
          </w:p>
        </w:tc>
        <w:tc>
          <w:tcPr/>
          <w:p>
            <w:pPr>
              <w:pStyle w:val="Compact"/>
              <w:jc w:val="left"/>
            </w:pPr>
            <w:r>
              <w:t xml:space="preserve">Reported</w:t>
            </w:r>
          </w:p>
        </w:tc>
        <w:tc>
          <w:tcPr/>
          <w:p>
            <w:pPr>
              <w:pStyle w:val="Compact"/>
              <w:jc w:val="left"/>
            </w:pPr>
            <w:r>
              <w:t xml:space="preserve">A5-S062, A5-S055, A5-S049</w:t>
            </w:r>
          </w:p>
        </w:tc>
      </w:tr>
      <w:tr>
        <w:tc>
          <w:tcPr/>
          <w:p>
            <w:pPr>
              <w:pStyle w:val="Compact"/>
              <w:jc w:val="left"/>
            </w:pPr>
            <w:r>
              <w:t xml:space="preserve">Category</w:t>
            </w:r>
          </w:p>
        </w:tc>
        <w:tc>
          <w:tcPr/>
          <w:p>
            <w:pPr>
              <w:pStyle w:val="Compact"/>
              <w:jc w:val="left"/>
            </w:pPr>
            <w:r>
              <w:t xml:space="preserve">Open-weight model vendor with hosted API (reasoning, coding; Flash vision experimental)</w:t>
            </w:r>
          </w:p>
        </w:tc>
        <w:tc>
          <w:tcPr/>
          <w:p>
            <w:pPr>
              <w:pStyle w:val="Compact"/>
              <w:jc w:val="left"/>
            </w:pPr>
            <w:r>
              <w:t xml:space="preserve">Reported</w:t>
            </w:r>
          </w:p>
        </w:tc>
        <w:tc>
          <w:tcPr/>
          <w:p>
            <w:pPr>
              <w:pStyle w:val="Compact"/>
              <w:jc w:val="left"/>
            </w:pPr>
            <w:r>
              <w:t xml:space="preserve">A5-S038, A5-S041</w:t>
            </w:r>
          </w:p>
        </w:tc>
      </w:tr>
      <w:tr>
        <w:tc>
          <w:tcPr/>
          <w:p>
            <w:pPr>
              <w:pStyle w:val="Compact"/>
              <w:jc w:val="left"/>
            </w:pPr>
            <w:r>
              <w:t xml:space="preserve">Version / lineup</w:t>
            </w:r>
          </w:p>
        </w:tc>
        <w:tc>
          <w:tcPr/>
          <w:p>
            <w:pPr>
              <w:pStyle w:val="Compact"/>
              <w:jc w:val="left"/>
            </w:pPr>
            <w:r>
              <w:t xml:space="preserve">flagship: DeepSeek-V4-Pro: preview 24 April 2026 (1.6T total / 49B active); GA 13 August 2026 (V4-Pro-0813); 1M context, 384K output. The planned phase-out (routing V4-Pro calls to V4.1-Flash from 14 September 2026) was reversed: the pricing-page footnote updated 17 September 2026 says the V4-Pro API continues with billing unchanged (the 10 September news post still carries the phase-out wording). [A5-S063, A5-S064, A5-S065]; small_fast: DeepSeek-V4.1-Flash: released 10 September 2026; 552B MoE, 8B/16B active; native vision; API name deepseek-flash; replaces V4-Flash (preview 24 April; officia</w:t>
            </w:r>
          </w:p>
        </w:tc>
        <w:tc>
          <w:tcPr/>
          <w:p>
            <w:pPr>
              <w:pStyle w:val="Compact"/>
              <w:jc w:val="left"/>
            </w:pPr>
            <w:r>
              <w:t xml:space="preserve">Verified fact</w:t>
            </w:r>
          </w:p>
        </w:tc>
        <w:tc>
          <w:tcPr/>
          <w:p>
            <w:pPr>
              <w:pStyle w:val="Compact"/>
              <w:jc w:val="left"/>
            </w:pPr>
            <w:r>
              <w:t xml:space="preserve">A5-S063, A5-S064, A5-S065, A5-S027, A5-S086, V2-S013</w:t>
            </w:r>
          </w:p>
        </w:tc>
      </w:tr>
      <w:tr>
        <w:tc>
          <w:tcPr/>
          <w:p>
            <w:pPr>
              <w:pStyle w:val="Compact"/>
              <w:jc w:val="left"/>
            </w:pPr>
            <w:r>
              <w:t xml:space="preserve">Licence</w:t>
            </w:r>
          </w:p>
        </w:tc>
        <w:tc>
          <w:tcPr/>
          <w:p>
            <w:pPr>
              <w:pStyle w:val="Compact"/>
              <w:jc w:val="left"/>
            </w:pPr>
            <w:r>
              <w:t xml:space="preserve">Open weights under MIT licence; also hosted API.</w:t>
            </w:r>
          </w:p>
        </w:tc>
        <w:tc>
          <w:tcPr/>
          <w:p>
            <w:pPr>
              <w:pStyle w:val="Compact"/>
              <w:jc w:val="left"/>
            </w:pPr>
            <w:r>
              <w:t xml:space="preserve">Verified fact</w:t>
            </w:r>
          </w:p>
        </w:tc>
        <w:tc>
          <w:tcPr/>
          <w:p>
            <w:pPr>
              <w:pStyle w:val="Compact"/>
              <w:jc w:val="left"/>
            </w:pPr>
            <w:r>
              <w:t xml:space="preserve">A5-S063</w:t>
            </w:r>
          </w:p>
        </w:tc>
      </w:tr>
      <w:tr>
        <w:tc>
          <w:tcPr/>
          <w:p>
            <w:pPr>
              <w:pStyle w:val="Compact"/>
              <w:jc w:val="left"/>
            </w:pPr>
            <w:r>
              <w:t xml:space="preserve">Status events</w:t>
            </w:r>
          </w:p>
        </w:tc>
        <w:tc>
          <w:tcPr/>
          <w:p>
            <w:pPr>
              <w:pStyle w:val="Compact"/>
              <w:jc w:val="left"/>
            </w:pPr>
            <w:r>
              <w:t xml:space="preserve">24 April 2026: V4 preview (Pro, Flash); 31 July 2026: V4-Flash-0731 official; 13 August 2026: V4-Pro GA; peak/off-peak pricing from 16 August; 10 September 2026: V4.1-Flash; price cuts; V4-Pro phase-out announced, then reversed on 17 September 2026 (V4-Pro API continues)</w:t>
            </w:r>
          </w:p>
        </w:tc>
        <w:tc>
          <w:tcPr/>
          <w:p>
            <w:pPr>
              <w:pStyle w:val="Compact"/>
              <w:jc w:val="left"/>
            </w:pPr>
            <w:r>
              <w:t xml:space="preserve">Verified fact</w:t>
            </w:r>
          </w:p>
        </w:tc>
        <w:tc>
          <w:tcPr/>
          <w:p>
            <w:pPr>
              <w:pStyle w:val="Compact"/>
              <w:jc w:val="left"/>
            </w:pPr>
            <w:r>
              <w:t xml:space="preserve">A5-S063, A5-S064, V2-S013</w:t>
            </w:r>
          </w:p>
        </w:tc>
      </w:tr>
      <w:tr>
        <w:tc>
          <w:tcPr/>
          <w:p>
            <w:pPr>
              <w:pStyle w:val="Compact"/>
              <w:jc w:val="left"/>
            </w:pPr>
            <w:r>
              <w:t xml:space="preserve">Strategic direction</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What it does</w:t>
            </w:r>
          </w:p>
        </w:tc>
        <w:tc>
          <w:tcPr/>
          <w:p>
            <w:pPr>
              <w:pStyle w:val="Compact"/>
              <w:jc w:val="left"/>
            </w:pPr>
            <w:r>
              <w:t xml:space="preserve">Large mixture-of-experts LLMs released as open weights and served via DeepSeek’s own API and third-party clouds.</w:t>
            </w:r>
          </w:p>
        </w:tc>
        <w:tc>
          <w:tcPr/>
          <w:p>
            <w:pPr>
              <w:pStyle w:val="Compact"/>
              <w:jc w:val="left"/>
            </w:pPr>
            <w:r>
              <w:t xml:space="preserve">Reported</w:t>
            </w:r>
          </w:p>
        </w:tc>
        <w:tc>
          <w:tcPr/>
          <w:p>
            <w:pPr>
              <w:pStyle w:val="Compact"/>
              <w:jc w:val="left"/>
            </w:pPr>
            <w:r>
              <w:t xml:space="preserve">A5-S044, A5-S038</w:t>
            </w:r>
          </w:p>
        </w:tc>
      </w:tr>
      <w:tr>
        <w:tc>
          <w:tcPr/>
          <w:p>
            <w:pPr>
              <w:pStyle w:val="Compact"/>
              <w:jc w:val="left"/>
            </w:pPr>
            <w:r>
              <w:t xml:space="preserve">Stack position</w:t>
            </w:r>
          </w:p>
        </w:tc>
        <w:tc>
          <w:tcPr/>
          <w:p>
            <w:pPr>
              <w:pStyle w:val="Compact"/>
              <w:jc w:val="left"/>
            </w:pPr>
            <w:r>
              <w:t xml:space="preserve">L1 foundation model; open weights also make it an L2 self-hosting candidate.</w:t>
            </w:r>
          </w:p>
        </w:tc>
        <w:tc>
          <w:tcPr/>
          <w:p>
            <w:pPr>
              <w:pStyle w:val="Compact"/>
              <w:jc w:val="left"/>
            </w:pPr>
            <w:r>
              <w:t xml:space="preserve">Architectural judgement</w:t>
            </w:r>
          </w:p>
        </w:tc>
        <w:tc>
          <w:tcPr/>
          <w:p>
            <w:pPr>
              <w:pStyle w:val="Compact"/>
            </w:pPr>
          </w:p>
        </w:tc>
      </w:tr>
      <w:tr>
        <w:tc>
          <w:tcPr/>
          <w:p>
            <w:pPr>
              <w:pStyle w:val="Compact"/>
              <w:jc w:val="left"/>
            </w:pPr>
            <w:r>
              <w:t xml:space="preserve">Integration</w:t>
            </w:r>
          </w:p>
        </w:tc>
        <w:tc>
          <w:tcPr/>
          <w:p>
            <w:pPr>
              <w:pStyle w:val="Compact"/>
              <w:jc w:val="left"/>
            </w:pPr>
            <w:r>
              <w:t xml:space="preserve">DeepSeek API (OpenAI-compatible model IDs per aggregator); open weights served by SGLang, vLLM-class engines, KTransformers, LMDeploy.</w:t>
            </w:r>
          </w:p>
        </w:tc>
        <w:tc>
          <w:tcPr/>
          <w:p>
            <w:pPr>
              <w:pStyle w:val="Compact"/>
              <w:jc w:val="left"/>
            </w:pPr>
            <w:r>
              <w:t xml:space="preserve">Reported</w:t>
            </w:r>
          </w:p>
        </w:tc>
        <w:tc>
          <w:tcPr/>
          <w:p>
            <w:pPr>
              <w:pStyle w:val="Compact"/>
              <w:jc w:val="left"/>
            </w:pPr>
            <w:r>
              <w:t xml:space="preserve">A5-S038, A5-S039, A5-S042, A5-S044</w:t>
            </w:r>
          </w:p>
        </w:tc>
      </w:tr>
      <w:tr>
        <w:tc>
          <w:tcPr/>
          <w:p>
            <w:pPr>
              <w:pStyle w:val="Compact"/>
              <w:jc w:val="left"/>
            </w:pPr>
            <w:r>
              <w:t xml:space="preserve">Dependencies</w:t>
            </w:r>
          </w:p>
        </w:tc>
        <w:tc>
          <w:tcPr/>
          <w:p>
            <w:pPr>
              <w:pStyle w:val="Compact"/>
              <w:jc w:val="left"/>
            </w:pPr>
            <w:r>
              <w:t xml:space="preserve">Self-hosting requires large multi-GPU clusters (V4-Pro ~1.6T parameters); V4-Flash demonstrated on single Ascend NPU with CPU expert offload (KTransformers).</w:t>
            </w:r>
          </w:p>
        </w:tc>
        <w:tc>
          <w:tcPr/>
          <w:p>
            <w:pPr>
              <w:pStyle w:val="Compact"/>
              <w:jc w:val="left"/>
            </w:pPr>
            <w:r>
              <w:t xml:space="preserve">Reported</w:t>
            </w:r>
          </w:p>
        </w:tc>
        <w:tc>
          <w:tcPr/>
          <w:p>
            <w:pPr>
              <w:pStyle w:val="Compact"/>
              <w:jc w:val="left"/>
            </w:pPr>
            <w:r>
              <w:t xml:space="preserve">A5-S044, A5-S042</w:t>
            </w:r>
          </w:p>
        </w:tc>
      </w:tr>
      <w:tr>
        <w:tc>
          <w:tcPr/>
          <w:p>
            <w:pPr>
              <w:pStyle w:val="Compact"/>
              <w:jc w:val="left"/>
            </w:pPr>
            <w:r>
              <w:t xml:space="preserve">Certifications</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GDPR / residency</w:t>
            </w:r>
          </w:p>
        </w:tc>
        <w:tc>
          <w:tcPr/>
          <w:p>
            <w:pPr>
              <w:pStyle w:val="Compact"/>
              <w:jc w:val="left"/>
            </w:pPr>
            <w:r>
              <w:t xml:space="preserve">DeepSeek states it collects, processes and stores personal data in the PRC (consumer and Open Platform policies); Open Platform terms under mainland PRC law; consumer data may be used for training with opt-out; API training position not stated. No EU/UK residency option. Non-China processing only via third-party hosting (e.g. Microsoft Foundry) or self-hosted weights.</w:t>
            </w:r>
          </w:p>
        </w:tc>
        <w:tc>
          <w:tcPr/>
          <w:p>
            <w:pPr>
              <w:pStyle w:val="Compact"/>
              <w:jc w:val="left"/>
            </w:pPr>
            <w:r>
              <w:t xml:space="preserve">Verified fact</w:t>
            </w:r>
          </w:p>
        </w:tc>
        <w:tc>
          <w:tcPr/>
          <w:p>
            <w:pPr>
              <w:pStyle w:val="Compact"/>
              <w:jc w:val="left"/>
            </w:pPr>
            <w:r>
              <w:t xml:space="preserve">A5-S062, A5-S087</w:t>
            </w:r>
          </w:p>
        </w:tc>
      </w:tr>
      <w:tr>
        <w:tc>
          <w:tcPr/>
          <w:p>
            <w:pPr>
              <w:pStyle w:val="Compact"/>
              <w:jc w:val="left"/>
            </w:pPr>
            <w:r>
              <w:t xml:space="preserve">Security features</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Access controls</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Enterprise support</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Pricing</w:t>
            </w:r>
          </w:p>
        </w:tc>
        <w:tc>
          <w:tcPr/>
          <w:p>
            <w:pPr>
              <w:pStyle w:val="Compact"/>
              <w:jc w:val="left"/>
            </w:pPr>
            <w:r>
              <w:t xml:space="preserve">deepseek-v4-pro (peak): US$1.32 input (cache miss) / US$3.96 output per 1M; off-peak half; deepseek-flash = V4.1-Flash (peak): US$0.30 / US$1.20 per 1M; off-peak US$0.15 / US$0.60; Microsoft Foundry V4-Pro: US$1.74 / US$3.48 per 1M (aggregator)</w:t>
            </w:r>
          </w:p>
        </w:tc>
        <w:tc>
          <w:tcPr/>
          <w:p>
            <w:pPr>
              <w:pStyle w:val="Compact"/>
              <w:jc w:val="left"/>
            </w:pPr>
            <w:r>
              <w:t xml:space="preserve">Verified fact</w:t>
            </w:r>
          </w:p>
        </w:tc>
        <w:tc>
          <w:tcPr/>
          <w:p>
            <w:pPr>
              <w:pStyle w:val="Compact"/>
              <w:jc w:val="left"/>
            </w:pPr>
            <w:r>
              <w:t xml:space="preserve">A5-S065, A5-S038</w:t>
            </w:r>
          </w:p>
        </w:tc>
      </w:tr>
      <w:tr>
        <w:tc>
          <w:tcPr/>
          <w:p>
            <w:pPr>
              <w:pStyle w:val="Compact"/>
              <w:jc w:val="left"/>
            </w:pPr>
            <w:r>
              <w:t xml:space="preserve">Infrastructure cost</w:t>
            </w:r>
          </w:p>
        </w:tc>
        <w:tc>
          <w:tcPr/>
          <w:p>
            <w:pPr>
              <w:pStyle w:val="Compact"/>
              <w:jc w:val="left"/>
            </w:pPr>
            <w:r>
              <w:t xml:space="preserve">V4-Pro ~1.6T and V4-Flash ~284B total parameters (LMDeploy); quantised V4-Flash runs on a single Ascend NPU with CPU offload (KTransformers).</w:t>
            </w:r>
          </w:p>
        </w:tc>
        <w:tc>
          <w:tcPr/>
          <w:p>
            <w:pPr>
              <w:pStyle w:val="Compact"/>
              <w:jc w:val="left"/>
            </w:pPr>
            <w:r>
              <w:t xml:space="preserve">Reported</w:t>
            </w:r>
          </w:p>
        </w:tc>
        <w:tc>
          <w:tcPr/>
          <w:p>
            <w:pPr>
              <w:pStyle w:val="Compact"/>
              <w:jc w:val="left"/>
            </w:pPr>
            <w:r>
              <w:t xml:space="preserve">A5-S044, A5-S042</w:t>
            </w:r>
          </w:p>
        </w:tc>
      </w:tr>
      <w:tr>
        <w:tc>
          <w:tcPr/>
          <w:p>
            <w:pPr>
              <w:pStyle w:val="Compact"/>
              <w:jc w:val="left"/>
            </w:pPr>
            <w:r>
              <w:t xml:space="preserve">Ecosystem</w:t>
            </w:r>
          </w:p>
        </w:tc>
        <w:tc>
          <w:tcPr/>
          <w:p>
            <w:pPr>
              <w:pStyle w:val="Compact"/>
              <w:jc w:val="left"/>
            </w:pPr>
            <w:r>
              <w:t xml:space="preserve">Day-0 support in SGLang; supported by LMDeploy, KTransformers, Xinference, Unsloth; hosted by Microsoft Foundry, Alibaba Model Studio, Together, Fireworks, Nebius, Databricks, OpenRouter.</w:t>
            </w:r>
          </w:p>
        </w:tc>
        <w:tc>
          <w:tcPr/>
          <w:p>
            <w:pPr>
              <w:pStyle w:val="Compact"/>
              <w:jc w:val="left"/>
            </w:pPr>
            <w:r>
              <w:t xml:space="preserve">Reported</w:t>
            </w:r>
          </w:p>
        </w:tc>
        <w:tc>
          <w:tcPr/>
          <w:p>
            <w:pPr>
              <w:pStyle w:val="Compact"/>
              <w:jc w:val="left"/>
            </w:pPr>
            <w:r>
              <w:t xml:space="preserve">A5-S039, A5-S044, A5-S042, A5-S041, A5-S043, A5-S038</w:t>
            </w:r>
          </w:p>
        </w:tc>
      </w:tr>
      <w:tr>
        <w:tc>
          <w:tcPr/>
          <w:p>
            <w:pPr>
              <w:pStyle w:val="Compact"/>
              <w:jc w:val="left"/>
            </w:pPr>
            <w:r>
              <w:t xml:space="preserve">Adoption signals</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Maturity</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Deployment</w:t>
            </w:r>
          </w:p>
        </w:tc>
        <w:tc>
          <w:tcPr/>
          <w:p>
            <w:pPr>
              <w:pStyle w:val="Compact"/>
              <w:jc w:val="left"/>
            </w:pPr>
            <w:r>
              <w:t xml:space="preserve">saas: Yes (DeepSeek API, data stored in PRC); managed_cloud: Yes: Microsoft Foundry sells V4-Pro/V4-Flash directly by Azure (customer geography, Global or DataZone processing); Bedrock and Google Cloud offer only V3.x/R1 (Bedrock V3.2 includes EU profile); vpc_byoc: Not publicly verified; private_cloud: Not publicly verified; self_hosted: Yes (open weights); on_prem: Yes (open weights)</w:t>
            </w:r>
          </w:p>
        </w:tc>
        <w:tc>
          <w:tcPr/>
          <w:p>
            <w:pPr>
              <w:pStyle w:val="Compact"/>
            </w:pPr>
          </w:p>
        </w:tc>
        <w:tc>
          <w:tcPr/>
          <w:p>
            <w:pPr>
              <w:pStyle w:val="Compact"/>
            </w:pPr>
          </w:p>
        </w:tc>
      </w:tr>
    </w:tbl>
    <w:bookmarkEnd w:id="1656"/>
    <w:bookmarkStart w:id="1675" w:name="Xc1aaf21c26a8dc133f9ec7a6821bbb141108818"/>
    <w:p>
      <w:pPr>
        <w:pStyle w:val="Heading2"/>
      </w:pPr>
      <w:r>
        <w:t xml:space="preserve">Z.ai (Zhipu) GLM model family (GLM-5.3, GLM-5.3-Flash, GLM-5.2, GLM-5.1, GLM-5; GLM-4.7) (</w:t>
      </w:r>
      <w:r>
        <w:rPr>
          <w:rStyle w:val="VerbatimChar"/>
        </w:rPr>
        <w:t xml:space="preserve">L1-zai-glm</w:t>
      </w:r>
      <w:r>
        <w:t xml:space="preserve">)</w:t>
      </w:r>
    </w:p>
    <w:p>
      <w:pPr>
        <w:pStyle w:val="FirstParagraph"/>
      </w:pPr>
      <w:r>
        <w:rPr>
          <w:bCs/>
          <w:b/>
        </w:rPr>
        <w:t xml:space="preserve">Tier:</w:t>
      </w:r>
      <w:r>
        <w:t xml:space="preserve"> </w:t>
      </w:r>
      <w:r>
        <w:t xml:space="preserve">Tactical ·</w:t>
      </w:r>
      <w:r>
        <w:t xml:space="preserve"> </w:t>
      </w:r>
      <w:r>
        <w:rPr>
          <w:bCs/>
          <w:b/>
        </w:rPr>
        <w:t xml:space="preserve">Flags:</w:t>
      </w:r>
      <w:r>
        <w:t xml:space="preserve"> </w:t>
      </w:r>
      <w:r>
        <w:t xml:space="preserve">none ·</w:t>
      </w:r>
      <w:r>
        <w:t xml:space="preserve"> </w:t>
      </w:r>
      <w:r>
        <w:rPr>
          <w:bCs/>
          <w:b/>
        </w:rPr>
        <w:t xml:space="preserve">Original graphic label:</w:t>
      </w:r>
      <w:r>
        <w:t xml:space="preserve"> </w:t>
      </w:r>
      <w:r>
        <w:t xml:space="preserve">QI4 (Z logo) – Q4</w:t>
      </w:r>
    </w:p>
    <w:p>
      <w:pPr>
        <w:pStyle w:val="BodyText"/>
      </w:pPr>
      <w:r>
        <w:rPr>
          <w:iCs/>
          <w:i/>
        </w:rPr>
        <w:t xml:space="preserve">Rationale:</w:t>
      </w:r>
      <w:r>
        <w:t xml:space="preserve"> </w:t>
      </w:r>
      <w:r>
        <w:t xml:space="preserve">Tactical, conditional: self-hosted GLM-5.3-Flash (MIT) only, after sanctions review; Entity List status and unverified data terms rule out the hosted API</w:t>
      </w:r>
      <w:r>
        <w:t xml:space="preserve"> </w:t>
      </w:r>
      <w:r>
        <w:rPr>
          <w:rStyle w:val="ClaimLabel"/>
        </w:rPr>
        <w:t xml:space="preserve">AJ</w:t>
      </w:r>
      <w:r>
        <w:t xml:space="preserve">.</w:t>
      </w:r>
    </w:p>
    <w:tbl>
      <w:tblPr>
        <w:tblStyle w:val="Table"/>
        <w:tblW w:type="pct" w:w="5000"/>
        <w:tblLook w:firstRow="1" w:lastRow="0" w:firstColumn="0" w:lastColumn="0" w:noHBand="0" w:noVBand="0" w:val="0020"/>
        <w:jc w:val="start"/>
      </w:tblPr>
      <w:tblGrid>
        <w:gridCol w:w="1545"/>
        <w:gridCol w:w="579"/>
        <w:gridCol w:w="5795"/>
      </w:tblGrid>
      <w:tr>
        <w:trPr>
          <w:tblHeader w:val="true"/>
        </w:trPr>
        <w:tc>
          <w:tcPr/>
          <w:p>
            <w:pPr>
              <w:pStyle w:val="Compact"/>
              <w:jc w:val="left"/>
            </w:pPr>
            <w:r>
              <w:t xml:space="preserve">Criterion</w:t>
            </w:r>
          </w:p>
        </w:tc>
        <w:tc>
          <w:tcPr/>
          <w:p>
            <w:pPr>
              <w:pStyle w:val="Compact"/>
              <w:jc w:val="right"/>
            </w:pPr>
            <w:r>
              <w:t xml:space="preserve">Score</w:t>
            </w:r>
          </w:p>
        </w:tc>
        <w:tc>
          <w:tcPr/>
          <w:p>
            <w:pPr>
              <w:pStyle w:val="Compact"/>
              <w:jc w:val="left"/>
            </w:pPr>
            <w:r>
              <w:t xml:space="preserve">Rationale</w:t>
            </w:r>
          </w:p>
        </w:tc>
      </w:tr>
      <w:tr>
        <w:tc>
          <w:tcPr/>
          <w:p>
            <w:pPr>
              <w:pStyle w:val="Compact"/>
              <w:jc w:val="left"/>
            </w:pPr>
            <w:r>
              <w:t xml:space="preserve">Technical</w:t>
            </w:r>
          </w:p>
        </w:tc>
        <w:tc>
          <w:tcPr/>
          <w:p>
            <w:pPr>
              <w:pStyle w:val="Compact"/>
              <w:jc w:val="right"/>
            </w:pPr>
            <w:r>
              <w:t xml:space="preserve">4</w:t>
            </w:r>
          </w:p>
        </w:tc>
        <w:tc>
          <w:tcPr/>
          <w:p>
            <w:pPr>
              <w:pStyle w:val="Compact"/>
              <w:jc w:val="left"/>
            </w:pPr>
            <w:r>
              <w:t xml:space="preserve">Large agentic/coding model, a multimodal MIT Flash tier and an image model; CAISI’s independent assessment places GLM-5.3 near the frontier on cyber tasks (A5-S052).</w:t>
            </w:r>
          </w:p>
        </w:tc>
      </w:tr>
      <w:tr>
        <w:tc>
          <w:tcPr/>
          <w:p>
            <w:pPr>
              <w:pStyle w:val="Compact"/>
              <w:jc w:val="left"/>
            </w:pPr>
            <w:r>
              <w:t xml:space="preserve">Enterprise readiness</w:t>
            </w:r>
          </w:p>
        </w:tc>
        <w:tc>
          <w:tcPr/>
          <w:p>
            <w:pPr>
              <w:pStyle w:val="Compact"/>
              <w:jc w:val="right"/>
            </w:pPr>
            <w:r>
              <w:t xml:space="preserve">4</w:t>
            </w:r>
          </w:p>
        </w:tc>
        <w:tc>
          <w:tcPr/>
          <w:p>
            <w:pPr>
              <w:pStyle w:val="Compact"/>
              <w:jc w:val="left"/>
            </w:pPr>
            <w:r>
              <w:t xml:space="preserve">The Bedrock (AWS-operated) route gives the hyperscaler presumption (rule 6): GLM 5.3 cross-Region only from 5 October 2026, GLM 5 in-Region in London (A5-S086). Hosting caveat (CP4-3): on Azure, Microsoft Foundry’s Kimi K3 and GLM-5.x run on Fireworks outside the customer tenant, while DeepSeek V4 is sold directly and processed in-tenant (A5-S087). The Azure route therefore does not support this score, and Z.ai API controls are NPV (would be 2). Kept at 4 by the reader at Checkpoint 4 (CP4-3). Platform controls presumed (CP2 Q1); confirm per service.</w:t>
            </w:r>
          </w:p>
        </w:tc>
      </w:tr>
      <w:tr>
        <w:tc>
          <w:tcPr/>
          <w:p>
            <w:pPr>
              <w:pStyle w:val="Compact"/>
              <w:jc w:val="left"/>
            </w:pPr>
            <w:r>
              <w:t xml:space="preserve">Security and compliance</w:t>
            </w:r>
          </w:p>
        </w:tc>
        <w:tc>
          <w:tcPr/>
          <w:p>
            <w:pPr>
              <w:pStyle w:val="Compact"/>
              <w:jc w:val="right"/>
            </w:pPr>
            <w:r>
              <w:t xml:space="preserve">2</w:t>
            </w:r>
          </w:p>
        </w:tc>
        <w:tc>
          <w:tcPr/>
          <w:p>
            <w:pPr>
              <w:pStyle w:val="Compact"/>
              <w:jc w:val="left"/>
            </w:pPr>
            <w:r>
              <w:t xml:space="preserve">Certifications NPV (cap 2); Singapore processing and DPA conflict (A5-S073).</w:t>
            </w:r>
          </w:p>
        </w:tc>
      </w:tr>
      <w:tr>
        <w:tc>
          <w:tcPr/>
          <w:p>
            <w:pPr>
              <w:pStyle w:val="Compact"/>
              <w:jc w:val="left"/>
            </w:pPr>
            <w:r>
              <w:t xml:space="preserve">Deployment flexibility</w:t>
            </w:r>
          </w:p>
        </w:tc>
        <w:tc>
          <w:tcPr/>
          <w:p>
            <w:pPr>
              <w:pStyle w:val="Compact"/>
              <w:jc w:val="right"/>
            </w:pPr>
            <w:r>
              <w:t xml:space="preserve">4</w:t>
            </w:r>
          </w:p>
        </w:tc>
        <w:tc>
          <w:tcPr/>
          <w:p>
            <w:pPr>
              <w:pStyle w:val="Compact"/>
              <w:jc w:val="left"/>
            </w:pPr>
            <w:r>
              <w:t xml:space="preserve">Own API, three hyperscalers (London in-Region for GLM 5), Mistral platform, self-host and on-premises.</w:t>
            </w:r>
          </w:p>
        </w:tc>
      </w:tr>
      <w:tr>
        <w:tc>
          <w:tcPr/>
          <w:p>
            <w:pPr>
              <w:pStyle w:val="Compact"/>
              <w:jc w:val="left"/>
            </w:pPr>
            <w:r>
              <w:t xml:space="preserve">Ecosystem</w:t>
            </w:r>
          </w:p>
        </w:tc>
        <w:tc>
          <w:tcPr/>
          <w:p>
            <w:pPr>
              <w:pStyle w:val="Compact"/>
              <w:jc w:val="right"/>
            </w:pPr>
            <w:r>
              <w:t xml:space="preserve">3</w:t>
            </w:r>
          </w:p>
        </w:tc>
        <w:tc>
          <w:tcPr/>
          <w:p>
            <w:pPr>
              <w:pStyle w:val="Compact"/>
              <w:jc w:val="left"/>
            </w:pPr>
            <w:r>
              <w:t xml:space="preserve">Present on many platforms, but the current GLM-5.3 reaches them via cross-Region or pass-through routes; Mistral retires GLM 5.2 on its platform on 31 October 2026 (B-L1-S002).</w:t>
            </w:r>
          </w:p>
        </w:tc>
      </w:tr>
      <w:tr>
        <w:tc>
          <w:tcPr/>
          <w:p>
            <w:pPr>
              <w:pStyle w:val="Compact"/>
              <w:jc w:val="left"/>
            </w:pPr>
            <w:r>
              <w:t xml:space="preserve">Reliability and maturity</w:t>
            </w:r>
          </w:p>
        </w:tc>
        <w:tc>
          <w:tcPr/>
          <w:p>
            <w:pPr>
              <w:pStyle w:val="Compact"/>
              <w:jc w:val="right"/>
            </w:pPr>
            <w:r>
              <w:t xml:space="preserve">2</w:t>
            </w:r>
          </w:p>
        </w:tc>
        <w:tc>
          <w:tcPr/>
          <w:p>
            <w:pPr>
              <w:pStyle w:val="Compact"/>
              <w:jc w:val="left"/>
            </w:pPr>
            <w:r>
              <w:t xml:space="preserve">Entity List exposure is a continuity risk for any commercial relationship (A5-S072); maturity and support NPV.</w:t>
            </w:r>
          </w:p>
        </w:tc>
      </w:tr>
      <w:tr>
        <w:tc>
          <w:tcPr/>
          <w:p>
            <w:pPr>
              <w:pStyle w:val="Compact"/>
              <w:jc w:val="left"/>
            </w:pPr>
            <w:r>
              <w:t xml:space="preserve">Cost / TCO</w:t>
            </w:r>
          </w:p>
        </w:tc>
        <w:tc>
          <w:tcPr/>
          <w:p>
            <w:pPr>
              <w:pStyle w:val="Compact"/>
              <w:jc w:val="right"/>
            </w:pPr>
            <w:r>
              <w:t xml:space="preserve">3</w:t>
            </w:r>
          </w:p>
        </w:tc>
        <w:tc>
          <w:tcPr/>
          <w:p>
            <w:pPr>
              <w:pStyle w:val="Compact"/>
              <w:jc w:val="left"/>
            </w:pPr>
            <w:r>
              <w:t xml:space="preserve">MIT Flash weights are cheap to run; GLM-5.3 needs multi-GPU serving; hosted prices not decision inputs (V2 §4 item 3).</w:t>
            </w:r>
          </w:p>
        </w:tc>
      </w:tr>
      <w:tr>
        <w:tc>
          <w:tcPr/>
          <w:p>
            <w:pPr>
              <w:pStyle w:val="Compact"/>
              <w:jc w:val="left"/>
            </w:pPr>
            <w:r>
              <w:t xml:space="preserve">Lock-in / portability</w:t>
            </w:r>
          </w:p>
        </w:tc>
        <w:tc>
          <w:tcPr/>
          <w:p>
            <w:pPr>
              <w:pStyle w:val="Compact"/>
              <w:jc w:val="right"/>
            </w:pPr>
            <w:r>
              <w:t xml:space="preserve">3</w:t>
            </w:r>
          </w:p>
        </w:tc>
        <w:tc>
          <w:tcPr/>
          <w:p>
            <w:pPr>
              <w:pStyle w:val="Compact"/>
              <w:jc w:val="left"/>
            </w:pPr>
            <w:r>
              <w:t xml:space="preserve">MIT for Flash; MIT-style grant with a MaaS condition for GLM-5.3 (rule 4).</w:t>
            </w:r>
          </w:p>
        </w:tc>
      </w:tr>
      <w:tr>
        <w:tc>
          <w:tcPr/>
          <w:p>
            <w:pPr>
              <w:pStyle w:val="Compact"/>
              <w:jc w:val="left"/>
            </w:pPr>
            <w:r>
              <w:rPr>
                <w:bCs/>
                <w:b/>
              </w:rPr>
              <w:t xml:space="preserve">Total (generic / FS)</w:t>
            </w:r>
          </w:p>
        </w:tc>
        <w:tc>
          <w:tcPr/>
          <w:p>
            <w:pPr>
              <w:pStyle w:val="Compact"/>
              <w:jc w:val="right"/>
            </w:pPr>
            <w:r>
              <w:rPr>
                <w:bCs/>
                <w:b/>
              </w:rPr>
              <w:t xml:space="preserve">3.25 / 3.15</w:t>
            </w:r>
          </w:p>
        </w:tc>
        <w:tc>
          <w:tcPr/>
          <w:p>
            <w:pPr>
              <w:pStyle w:val="Compact"/>
            </w:pPr>
          </w:p>
        </w:tc>
      </w:tr>
    </w:tbl>
    <w:p>
      <w:pPr>
        <w:pStyle w:val="BodyText"/>
      </w:pPr>
      <w:r>
        <w:rPr>
          <w:iCs/>
          <w:i/>
        </w:rPr>
        <w:t xml:space="preserve">Evidence rules applied:</w:t>
      </w:r>
      <w:r>
        <w:t xml:space="preserve"> </w:t>
      </w:r>
      <w:r>
        <w:t xml:space="preserve">security_compliance capped at 2: certifications NPV</w:t>
      </w:r>
    </w:p>
    <w:p>
      <w:pPr>
        <w:pStyle w:val="BodyText"/>
      </w:pPr>
      <w:r>
        <w:rPr>
          <w:bCs/>
          <w:b/>
        </w:rPr>
        <w:t xml:space="preserve">Capabilities.</w:t>
      </w:r>
      <w:r>
        <w:t xml:space="preserve"> </w:t>
      </w:r>
      <w:r>
        <w:t xml:space="preserve">Z.ai (Zhipu) GLM-5.x family: GLM-5.3 (753B, API mid-August 2026 (14 August per CAISI, 18 August per press), weights about 28 August under a bespoke licence), GLM-5.3-Flash (26 August 2026, 320B / 18B active, natively multimodal, MIT), GLM-5.2 open weights, GLM-Image; the graphic’s</w:t>
      </w:r>
      <w:r>
        <w:t xml:space="preserve"> </w:t>
      </w:r>
      <w:r>
        <w:t xml:space="preserve">‘</w:t>
      </w:r>
      <w:r>
        <w:t xml:space="preserve">QI4</w:t>
      </w:r>
      <w:r>
        <w:t xml:space="preserve">’</w:t>
      </w:r>
      <w:r>
        <w:t xml:space="preserve"> </w:t>
      </w:r>
      <w:r>
        <w:t xml:space="preserve">label matches no model</w:t>
      </w:r>
      <w:r>
        <w:t xml:space="preserve"> </w:t>
      </w:r>
      <w:r>
        <w:rPr>
          <w:rStyle w:val="ClaimLabel"/>
        </w:rPr>
        <w:t xml:space="preserve">VF</w:t>
      </w:r>
      <w:r>
        <w:rPr>
          <w:rStyle w:val="FootnoteReference"/>
        </w:rPr>
        <w:footnoteReference w:id="1657"/>
      </w:r>
      <w:r>
        <w:t xml:space="preserve"> </w:t>
      </w:r>
      <w:r>
        <w:rPr>
          <w:rStyle w:val="ClaimLabel"/>
        </w:rPr>
        <w:t xml:space="preserve">R</w:t>
      </w:r>
      <w:r>
        <w:rPr>
          <w:rStyle w:val="FootnoteReference"/>
        </w:rPr>
        <w:footnoteReference w:id="1660"/>
      </w:r>
      <w:r>
        <w:t xml:space="preserve">.</w:t>
      </w:r>
    </w:p>
    <w:p>
      <w:pPr>
        <w:pStyle w:val="BodyText"/>
      </w:pPr>
      <w:r>
        <w:rPr>
          <w:bCs/>
          <w:b/>
        </w:rPr>
        <w:t xml:space="preserve">Strengths</w:t>
      </w:r>
    </w:p>
    <w:p>
      <w:pPr>
        <w:numPr>
          <w:ilvl w:val="0"/>
          <w:numId w:val="1349"/>
        </w:numPr>
        <w:pStyle w:val="Compact"/>
      </w:pPr>
      <w:r>
        <w:t xml:space="preserve">GLM-5.3-Flash is MIT-licensed and targets consumer GPUs</w:t>
      </w:r>
      <w:r>
        <w:t xml:space="preserve"> </w:t>
      </w:r>
      <w:r>
        <w:rPr>
          <w:rStyle w:val="ClaimLabel"/>
        </w:rPr>
        <w:t xml:space="preserve">VF</w:t>
      </w:r>
      <w:r>
        <w:rPr>
          <w:rStyle w:val="FootnoteReference"/>
        </w:rPr>
        <w:footnoteReference w:id="1662"/>
      </w:r>
      <w:r>
        <w:t xml:space="preserve"> </w:t>
      </w:r>
      <w:r>
        <w:rPr>
          <w:rStyle w:val="ClaimLabel"/>
        </w:rPr>
        <w:t xml:space="preserve">R</w:t>
      </w:r>
      <w:r>
        <w:rPr>
          <w:rStyle w:val="FootnoteReference"/>
        </w:rPr>
        <w:footnoteReference w:id="1663"/>
      </w:r>
    </w:p>
    <w:p>
      <w:pPr>
        <w:numPr>
          <w:ilvl w:val="0"/>
          <w:numId w:val="1349"/>
        </w:numPr>
        <w:pStyle w:val="Compact"/>
      </w:pPr>
      <w:r>
        <w:t xml:space="preserve">Available on Google Cloud, Bedrock (GLM 5 in-Region in London), Microsoft Foundry and Mistral’s platform</w:t>
      </w:r>
      <w:r>
        <w:t xml:space="preserve"> </w:t>
      </w:r>
      <w:r>
        <w:rPr>
          <w:rStyle w:val="ClaimLabel"/>
        </w:rPr>
        <w:t xml:space="preserve">VF</w:t>
      </w:r>
      <w:r>
        <w:rPr>
          <w:rStyle w:val="FootnoteReference"/>
        </w:rPr>
        <w:footnoteReference w:id="1664"/>
      </w:r>
      <w:r>
        <w:t xml:space="preserve"> </w:t>
      </w:r>
      <w:r>
        <w:rPr>
          <w:rStyle w:val="ClaimLabel"/>
        </w:rPr>
        <w:t xml:space="preserve">R</w:t>
      </w:r>
      <w:r>
        <w:rPr>
          <w:rStyle w:val="FootnoteReference"/>
        </w:rPr>
        <w:footnoteReference w:id="1666"/>
      </w:r>
    </w:p>
    <w:p>
      <w:pPr>
        <w:numPr>
          <w:ilvl w:val="0"/>
          <w:numId w:val="1349"/>
        </w:numPr>
        <w:pStyle w:val="Compact"/>
      </w:pPr>
      <w:r>
        <w:t xml:space="preserve">NIST CAISI (September 2026) assessed GLM-5.3 as the most cyber-capable open-weight model to date, about four months behind the US frontier</w:t>
      </w:r>
      <w:r>
        <w:t xml:space="preserve"> </w:t>
      </w:r>
      <w:r>
        <w:rPr>
          <w:rStyle w:val="ClaimLabel"/>
        </w:rPr>
        <w:t xml:space="preserve">VF</w:t>
      </w:r>
      <w:r>
        <w:rPr>
          <w:rStyle w:val="FootnoteReference"/>
        </w:rPr>
        <w:footnoteReference w:id="1667"/>
      </w:r>
    </w:p>
    <w:p>
      <w:pPr>
        <w:pStyle w:val="FirstParagraph"/>
      </w:pPr>
      <w:r>
        <w:rPr>
          <w:bCs/>
          <w:b/>
        </w:rPr>
        <w:t xml:space="preserve">Limitations and risks</w:t>
      </w:r>
    </w:p>
    <w:p>
      <w:pPr>
        <w:numPr>
          <w:ilvl w:val="0"/>
          <w:numId w:val="1350"/>
        </w:numPr>
        <w:pStyle w:val="Compact"/>
      </w:pPr>
      <w:r>
        <w:t xml:space="preserve">Zhipu AI has been on the US Entity List since 16 January 2025, with a presumption of denial for EAR items</w:t>
      </w:r>
      <w:r>
        <w:t xml:space="preserve"> </w:t>
      </w:r>
      <w:r>
        <w:rPr>
          <w:rStyle w:val="ClaimLabel"/>
        </w:rPr>
        <w:t xml:space="preserve">VF</w:t>
      </w:r>
      <w:r>
        <w:rPr>
          <w:rStyle w:val="FootnoteReference"/>
        </w:rPr>
        <w:footnoteReference w:id="1669"/>
      </w:r>
    </w:p>
    <w:p>
      <w:pPr>
        <w:numPr>
          <w:ilvl w:val="0"/>
          <w:numId w:val="1350"/>
        </w:numPr>
        <w:pStyle w:val="Compact"/>
      </w:pPr>
      <w:r>
        <w:t xml:space="preserve">Data</w:t>
      </w:r>
      <w:r>
        <w:t xml:space="preserve"> </w:t>
      </w:r>
      <w:r>
        <w:t xml:space="preserve">‘</w:t>
      </w:r>
      <w:r>
        <w:t xml:space="preserve">generally processed in Singapore</w:t>
      </w:r>
      <w:r>
        <w:t xml:space="preserve">’</w:t>
      </w:r>
      <w:r>
        <w:t xml:space="preserve">; DPA versions conflict on storage; privacy policy cites training under legitimate interest</w:t>
      </w:r>
      <w:r>
        <w:t xml:space="preserve"> </w:t>
      </w:r>
      <w:r>
        <w:rPr>
          <w:rStyle w:val="ClaimLabel"/>
        </w:rPr>
        <w:t xml:space="preserve">VF</w:t>
      </w:r>
      <w:r>
        <w:rPr>
          <w:rStyle w:val="FootnoteReference"/>
        </w:rPr>
        <w:footnoteReference w:id="1671"/>
      </w:r>
    </w:p>
    <w:p>
      <w:pPr>
        <w:numPr>
          <w:ilvl w:val="0"/>
          <w:numId w:val="1350"/>
        </w:numPr>
        <w:pStyle w:val="Compact"/>
      </w:pPr>
      <w:r>
        <w:t xml:space="preserve">GLM-5.3 on Bedrock is US/global cross-Region only; Foundry’s GLM is Fireworks-operated outside the tenant</w:t>
      </w:r>
      <w:r>
        <w:t xml:space="preserve"> </w:t>
      </w:r>
      <w:r>
        <w:rPr>
          <w:rStyle w:val="ClaimLabel"/>
        </w:rPr>
        <w:t xml:space="preserve">VF</w:t>
      </w:r>
      <w:r>
        <w:rPr>
          <w:rStyle w:val="FootnoteReference"/>
        </w:rPr>
        <w:footnoteReference w:id="1673"/>
      </w:r>
    </w:p>
    <w:p>
      <w:pPr>
        <w:numPr>
          <w:ilvl w:val="0"/>
          <w:numId w:val="1350"/>
        </w:numPr>
        <w:pStyle w:val="Compact"/>
      </w:pPr>
      <w:r>
        <w:t xml:space="preserve">CAISI found GLM-5.2 safeguards allow agentic exploit assistance</w:t>
      </w:r>
      <w:r>
        <w:t xml:space="preserve"> </w:t>
      </w:r>
      <w:r>
        <w:rPr>
          <w:rStyle w:val="ClaimLabel"/>
        </w:rPr>
        <w:t xml:space="preserve">VF</w:t>
      </w:r>
      <w:r>
        <w:rPr>
          <w:rStyle w:val="FootnoteReference"/>
        </w:rPr>
        <w:footnoteReference w:id="1674"/>
      </w:r>
    </w:p>
    <w:p>
      <w:pPr>
        <w:numPr>
          <w:ilvl w:val="0"/>
          <w:numId w:val="1350"/>
        </w:numPr>
        <w:pStyle w:val="Compact"/>
      </w:pPr>
      <w:r>
        <w:t xml:space="preserve">Certifications, access controls and support not publicly verified</w:t>
      </w:r>
      <w:r>
        <w:t xml:space="preserve"> </w:t>
      </w:r>
      <w:r>
        <w:rPr>
          <w:rStyle w:val="ClaimLabel"/>
        </w:rPr>
        <w:t xml:space="preserve">NPV</w:t>
      </w:r>
    </w:p>
    <w:p>
      <w:pPr>
        <w:pStyle w:val="FirstParagraph"/>
      </w:pPr>
      <w:r>
        <w:rPr>
          <w:bCs/>
          <w:b/>
        </w:rPr>
        <w:t xml:space="preserve">Choose when</w:t>
      </w:r>
    </w:p>
    <w:p>
      <w:pPr>
        <w:numPr>
          <w:ilvl w:val="0"/>
          <w:numId w:val="1351"/>
        </w:numPr>
        <w:pStyle w:val="Compact"/>
      </w:pPr>
      <w:r>
        <w:t xml:space="preserve">Sovereignty policy and sanctions counsel permit it, and a small MIT model (GLM-5.3-Flash) is needed self-hosted</w:t>
      </w:r>
      <w:r>
        <w:t xml:space="preserve"> </w:t>
      </w:r>
      <w:r>
        <w:rPr>
          <w:rStyle w:val="ClaimLabel"/>
        </w:rPr>
        <w:t xml:space="preserve">AJ</w:t>
      </w:r>
    </w:p>
    <w:p>
      <w:pPr>
        <w:pStyle w:val="FirstParagraph"/>
      </w:pPr>
      <w:r>
        <w:rPr>
          <w:bCs/>
          <w:b/>
        </w:rPr>
        <w:t xml:space="preserve">Avoid when</w:t>
      </w:r>
    </w:p>
    <w:p>
      <w:pPr>
        <w:numPr>
          <w:ilvl w:val="0"/>
          <w:numId w:val="1352"/>
        </w:numPr>
        <w:pStyle w:val="Compact"/>
      </w:pPr>
      <w:r>
        <w:t xml:space="preserve">Any direct commercial relationship with Z.ai would be required, until legal review of the Entity List exposure</w:t>
      </w:r>
      <w:r>
        <w:t xml:space="preserve"> </w:t>
      </w:r>
      <w:r>
        <w:rPr>
          <w:rStyle w:val="ClaimLabel"/>
        </w:rPr>
        <w:t xml:space="preserve">AJ</w:t>
      </w:r>
    </w:p>
    <w:p>
      <w:pPr>
        <w:numPr>
          <w:ilvl w:val="0"/>
          <w:numId w:val="1352"/>
        </w:numPr>
        <w:pStyle w:val="Compact"/>
      </w:pPr>
      <w:r>
        <w:t xml:space="preserve">Client data would go to the Z.ai API</w:t>
      </w:r>
      <w:r>
        <w:t xml:space="preserve"> </w:t>
      </w:r>
      <w:r>
        <w:rPr>
          <w:rStyle w:val="ClaimLabel"/>
        </w:rPr>
        <w:t xml:space="preserve">AJ</w:t>
      </w:r>
    </w:p>
    <w:p>
      <w:pPr>
        <w:pStyle w:val="FirstParagraph"/>
      </w:pPr>
      <w:r>
        <w:rPr>
          <w:bCs/>
          <w:b/>
        </w:rPr>
        <w:t xml:space="preserve">Nearest competitors:</w:t>
      </w:r>
      <w:r>
        <w:t xml:space="preserve"> </w:t>
      </w:r>
      <w:r>
        <w:t xml:space="preserve">L1-deepseek, L1-alibaba-qwen, L1-mistral</w:t>
      </w:r>
    </w:p>
    <w:p>
      <w:pPr>
        <w:pStyle w:val="BodyText"/>
      </w:pPr>
      <w:r>
        <w:rPr>
          <w:bCs/>
          <w:b/>
        </w:rPr>
        <w:t xml:space="preserve">Regulated-FS note.</w:t>
      </w:r>
      <w:r>
        <w:t xml:space="preserve"> </w:t>
      </w:r>
      <w:r>
        <w:t xml:space="preserve">Self-hosted MIT weights only, after sanctions and licence review; no Z.ai API for client data</w:t>
      </w:r>
      <w:r>
        <w:t xml:space="preserve"> </w:t>
      </w:r>
      <w:r>
        <w:rPr>
          <w:rStyle w:val="ClaimLabel"/>
        </w:rPr>
        <w:t xml:space="preserve">Rec</w:t>
      </w:r>
      <w:r>
        <w:t xml:space="preserve">.</w:t>
      </w:r>
    </w:p>
    <w:p>
      <w:pPr>
        <w:pStyle w:val="BodyText"/>
      </w:pPr>
      <w:r>
        <w:rPr>
          <w:bCs/>
          <w:b/>
        </w:rPr>
        <w:t xml:space="preserve">Facts (as of 2026-10-08)</w:t>
      </w:r>
    </w:p>
    <w:tbl>
      <w:tblPr>
        <w:tblStyle w:val="Table"/>
        <w:tblW w:type="pct" w:w="5000"/>
        <w:tblLook w:firstRow="1" w:lastRow="0" w:firstColumn="0" w:lastColumn="0" w:noHBand="0" w:noVBand="0" w:val="0020"/>
        <w:jc w:val="start"/>
      </w:tblPr>
      <w:tblGrid>
        <w:gridCol w:w="1485"/>
        <w:gridCol w:w="4290"/>
        <w:gridCol w:w="1320"/>
        <w:gridCol w:w="825"/>
      </w:tblGrid>
      <w:tr>
        <w:trPr>
          <w:tblHeader w:val="true"/>
        </w:trPr>
        <w:tc>
          <w:tcPr/>
          <w:p>
            <w:pPr>
              <w:pStyle w:val="Compact"/>
              <w:jc w:val="left"/>
            </w:pPr>
            <w:r>
              <w:t xml:space="preserve">Field</w:t>
            </w:r>
          </w:p>
        </w:tc>
        <w:tc>
          <w:tcPr/>
          <w:p>
            <w:pPr>
              <w:pStyle w:val="Compact"/>
              <w:jc w:val="left"/>
            </w:pPr>
            <w:r>
              <w:t xml:space="preserve">Value</w:t>
            </w:r>
          </w:p>
        </w:tc>
        <w:tc>
          <w:tcPr/>
          <w:p>
            <w:pPr>
              <w:pStyle w:val="Compact"/>
              <w:jc w:val="left"/>
            </w:pPr>
            <w:r>
              <w:t xml:space="preserve">Label</w:t>
            </w:r>
          </w:p>
        </w:tc>
        <w:tc>
          <w:tcPr/>
          <w:p>
            <w:pPr>
              <w:pStyle w:val="Compact"/>
              <w:jc w:val="left"/>
            </w:pPr>
            <w:r>
              <w:t xml:space="preserve">Sources</w:t>
            </w:r>
          </w:p>
        </w:tc>
      </w:tr>
      <w:tr>
        <w:tc>
          <w:tcPr/>
          <w:p>
            <w:pPr>
              <w:pStyle w:val="Compact"/>
              <w:jc w:val="left"/>
            </w:pPr>
            <w:r>
              <w:t xml:space="preserve">Company</w:t>
            </w:r>
          </w:p>
        </w:tc>
        <w:tc>
          <w:tcPr/>
          <w:p>
            <w:pPr>
              <w:pStyle w:val="Compact"/>
              <w:jc w:val="left"/>
            </w:pPr>
            <w:r>
              <w:t xml:space="preserve">Z.ai (Zhipu AI; listed in US Entity List as Beijing Zhipu Huazhang Technology Co., Ltd. a.k.a. Zhipu AI). International services provided by Jingsheng Hengxing Technology Pte. Ltd. (Singapore).</w:t>
            </w:r>
          </w:p>
        </w:tc>
        <w:tc>
          <w:tcPr/>
          <w:p>
            <w:pPr>
              <w:pStyle w:val="Compact"/>
              <w:jc w:val="left"/>
            </w:pPr>
            <w:r>
              <w:t xml:space="preserve">Verified fact</w:t>
            </w:r>
          </w:p>
        </w:tc>
        <w:tc>
          <w:tcPr/>
          <w:p>
            <w:pPr>
              <w:pStyle w:val="Compact"/>
              <w:jc w:val="left"/>
            </w:pPr>
            <w:r>
              <w:t xml:space="preserve">A5-S072, A5-S073</w:t>
            </w:r>
          </w:p>
        </w:tc>
      </w:tr>
      <w:tr>
        <w:tc>
          <w:tcPr/>
          <w:p>
            <w:pPr>
              <w:pStyle w:val="Compact"/>
              <w:jc w:val="left"/>
            </w:pPr>
            <w:r>
              <w:t xml:space="preserve">Category</w:t>
            </w:r>
          </w:p>
        </w:tc>
        <w:tc>
          <w:tcPr/>
          <w:p>
            <w:pPr>
              <w:pStyle w:val="Compact"/>
              <w:jc w:val="left"/>
            </w:pPr>
            <w:r>
              <w:t xml:space="preserve">Open-weight and API model vendor (agentic/coding LLMs, multimodal, image)</w:t>
            </w:r>
          </w:p>
        </w:tc>
        <w:tc>
          <w:tcPr/>
          <w:p>
            <w:pPr>
              <w:pStyle w:val="Compact"/>
              <w:jc w:val="left"/>
            </w:pPr>
            <w:r>
              <w:t xml:space="preserve">Reported</w:t>
            </w:r>
          </w:p>
        </w:tc>
        <w:tc>
          <w:tcPr/>
          <w:p>
            <w:pPr>
              <w:pStyle w:val="Compact"/>
              <w:jc w:val="left"/>
            </w:pPr>
            <w:r>
              <w:t xml:space="preserve">A5-S038, A5-S041</w:t>
            </w:r>
          </w:p>
        </w:tc>
      </w:tr>
      <w:tr>
        <w:tc>
          <w:tcPr/>
          <w:p>
            <w:pPr>
              <w:pStyle w:val="Compact"/>
              <w:jc w:val="left"/>
            </w:pPr>
            <w:r>
              <w:t xml:space="preserve">Version / lineup</w:t>
            </w:r>
          </w:p>
        </w:tc>
        <w:tc>
          <w:tcPr/>
          <w:p>
            <w:pPr>
              <w:pStyle w:val="Compact"/>
              <w:jc w:val="left"/>
            </w:pPr>
            <w:r>
              <w:t xml:space="preserve">flagship: GLM-5.3 (753B; same base as GLM-5.2, post-trained; API launch mid-August 2026 (14 August per NIST CAISI, 18 August per press); weights about 28 August 2026 under a bespoke glm-5.3 licence; on Bedrock from 5 October 2026), GLM-5.2 (open weights, 1M context, June 2026). [A5-S071, A5-S086, A5-S042]; small_fast: GLM-5.3-Flash (320B total / 18B active, first natively multimodal GLM-5, MIT); GLM-5.3-FlashX. [A5-S071]; previous: GLM-5 (day-0 support 12 February 2026), GLM-5.1, GLM-5-Code, GLM-4.7 / 4.7-Flash. [A5-S042, A5-S038]; multimodal: GLM-Image. [A5-S041]; graphic_label_check:</w:t>
            </w:r>
            <w:r>
              <w:t xml:space="preserve"> </w:t>
            </w:r>
            <w:r>
              <w:t xml:space="preserve">“</w:t>
            </w:r>
            <w:r>
              <w:t xml:space="preserve">QI4</w:t>
            </w:r>
            <w:r>
              <w:t xml:space="preserve">”</w:t>
            </w:r>
            <w:r>
              <w:t xml:space="preserve"> </w:t>
            </w:r>
            <w:r>
              <w:t xml:space="preserve">/</w:t>
            </w:r>
          </w:p>
        </w:tc>
        <w:tc>
          <w:tcPr/>
          <w:p>
            <w:pPr>
              <w:pStyle w:val="Compact"/>
              <w:jc w:val="left"/>
            </w:pPr>
            <w:r>
              <w:t xml:space="preserve">Reported</w:t>
            </w:r>
          </w:p>
        </w:tc>
        <w:tc>
          <w:tcPr/>
          <w:p>
            <w:pPr>
              <w:pStyle w:val="Compact"/>
              <w:jc w:val="left"/>
            </w:pPr>
            <w:r>
              <w:t xml:space="preserve">A5-S038, A5-S041, A5-S042, A5-S043, A5-S044, A5-S071, A5-S086, V2-S016, V2-S021</w:t>
            </w:r>
          </w:p>
        </w:tc>
      </w:tr>
      <w:tr>
        <w:tc>
          <w:tcPr/>
          <w:p>
            <w:pPr>
              <w:pStyle w:val="Compact"/>
              <w:jc w:val="left"/>
            </w:pPr>
            <w:r>
              <w:t xml:space="preserve">Licence</w:t>
            </w:r>
          </w:p>
        </w:tc>
        <w:tc>
          <w:tcPr/>
          <w:p>
            <w:pPr>
              <w:pStyle w:val="Compact"/>
              <w:jc w:val="left"/>
            </w:pPr>
            <w:r>
              <w:t xml:space="preserve">GLM-5.3-Flash: MIT. GLM-5.3: MIT-style grant with</w:t>
            </w:r>
            <w:r>
              <w:t xml:space="preserve"> </w:t>
            </w:r>
            <w:r>
              <w:t xml:space="preserve">“</w:t>
            </w:r>
            <w:r>
              <w:t xml:space="preserve">Model as a Service</w:t>
            </w:r>
            <w:r>
              <w:t xml:space="preserve">”</w:t>
            </w:r>
            <w:r>
              <w:t xml:space="preserve"> </w:t>
            </w:r>
            <w:r>
              <w:t xml:space="preserve">condition (MaaS businesses &gt;US$10bn revenue need Z.ai security review).</w:t>
            </w:r>
          </w:p>
        </w:tc>
        <w:tc>
          <w:tcPr/>
          <w:p>
            <w:pPr>
              <w:pStyle w:val="Compact"/>
              <w:jc w:val="left"/>
            </w:pPr>
            <w:r>
              <w:t xml:space="preserve">Verified fact</w:t>
            </w:r>
          </w:p>
        </w:tc>
        <w:tc>
          <w:tcPr/>
          <w:p>
            <w:pPr>
              <w:pStyle w:val="Compact"/>
              <w:jc w:val="left"/>
            </w:pPr>
            <w:r>
              <w:t xml:space="preserve">A5-S071</w:t>
            </w:r>
          </w:p>
        </w:tc>
      </w:tr>
      <w:tr>
        <w:tc>
          <w:tcPr/>
          <w:p>
            <w:pPr>
              <w:pStyle w:val="Compact"/>
              <w:jc w:val="left"/>
            </w:pPr>
            <w:r>
              <w:t xml:space="preserve">Status events</w:t>
            </w:r>
          </w:p>
        </w:tc>
        <w:tc>
          <w:tcPr/>
          <w:p>
            <w:pPr>
              <w:pStyle w:val="Compact"/>
              <w:jc w:val="left"/>
            </w:pPr>
            <w:r>
              <w:t xml:space="preserve">12 February 2026: GLM-5; 17 June 2026: GLM-5.2; 26 August 2026: GLM-5.3-Flash open weights (MIT); 16 January 2025: Zhipu AI added to US Entity List (presumption of denial for EAR items); 5 October 2026: GLM 5.3 GA on Amazon Bedrock (eligible enterprise customers); 14 August 2026 (CAISI) / 18 August 2026 (press): GLM-5.3 released; weights about 28 August 2026; September 2026: NIST CAISI assessment finds GLM-5.3 the most cyber-capable open-weight model to date, about four months behind the US frontier</w:t>
            </w:r>
          </w:p>
        </w:tc>
        <w:tc>
          <w:tcPr/>
          <w:p>
            <w:pPr>
              <w:pStyle w:val="Compact"/>
              <w:jc w:val="left"/>
            </w:pPr>
            <w:r>
              <w:t xml:space="preserve">Reported</w:t>
            </w:r>
          </w:p>
        </w:tc>
        <w:tc>
          <w:tcPr/>
          <w:p>
            <w:pPr>
              <w:pStyle w:val="Compact"/>
              <w:jc w:val="left"/>
            </w:pPr>
            <w:r>
              <w:t xml:space="preserve">A5-S042, A5-S072, A5-S086, V2-S016, V2-S021</w:t>
            </w:r>
          </w:p>
        </w:tc>
      </w:tr>
      <w:tr>
        <w:tc>
          <w:tcPr/>
          <w:p>
            <w:pPr>
              <w:pStyle w:val="Compact"/>
              <w:jc w:val="left"/>
            </w:pPr>
            <w:r>
              <w:t xml:space="preserve">Strategic direction</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What it does</w:t>
            </w:r>
          </w:p>
        </w:tc>
        <w:tc>
          <w:tcPr/>
          <w:p>
            <w:pPr>
              <w:pStyle w:val="Compact"/>
              <w:jc w:val="left"/>
            </w:pPr>
            <w:r>
              <w:t xml:space="preserve">Large MoE LLMs for agentic and coding workloads released as open weights and via the Z.ai API.</w:t>
            </w:r>
          </w:p>
        </w:tc>
        <w:tc>
          <w:tcPr/>
          <w:p>
            <w:pPr>
              <w:pStyle w:val="Compact"/>
              <w:jc w:val="left"/>
            </w:pPr>
            <w:r>
              <w:t xml:space="preserve">Reported</w:t>
            </w:r>
          </w:p>
        </w:tc>
        <w:tc>
          <w:tcPr/>
          <w:p>
            <w:pPr>
              <w:pStyle w:val="Compact"/>
              <w:jc w:val="left"/>
            </w:pPr>
            <w:r>
              <w:t xml:space="preserve">A5-S043, A5-S038</w:t>
            </w:r>
          </w:p>
        </w:tc>
      </w:tr>
      <w:tr>
        <w:tc>
          <w:tcPr/>
          <w:p>
            <w:pPr>
              <w:pStyle w:val="Compact"/>
              <w:jc w:val="left"/>
            </w:pPr>
            <w:r>
              <w:t xml:space="preserve">Stack position</w:t>
            </w:r>
          </w:p>
        </w:tc>
        <w:tc>
          <w:tcPr/>
          <w:p>
            <w:pPr>
              <w:pStyle w:val="Compact"/>
              <w:jc w:val="left"/>
            </w:pPr>
            <w:r>
              <w:t xml:space="preserve">L1 foundation model.</w:t>
            </w:r>
          </w:p>
        </w:tc>
        <w:tc>
          <w:tcPr/>
          <w:p>
            <w:pPr>
              <w:pStyle w:val="Compact"/>
              <w:jc w:val="left"/>
            </w:pPr>
            <w:r>
              <w:t xml:space="preserve">Architectural judgement</w:t>
            </w:r>
          </w:p>
        </w:tc>
        <w:tc>
          <w:tcPr/>
          <w:p>
            <w:pPr>
              <w:pStyle w:val="Compact"/>
            </w:pPr>
          </w:p>
        </w:tc>
      </w:tr>
      <w:tr>
        <w:tc>
          <w:tcPr/>
          <w:p>
            <w:pPr>
              <w:pStyle w:val="Compact"/>
              <w:jc w:val="left"/>
            </w:pPr>
            <w:r>
              <w:t xml:space="preserve">Integration</w:t>
            </w:r>
          </w:p>
        </w:tc>
        <w:tc>
          <w:tcPr/>
          <w:p>
            <w:pPr>
              <w:pStyle w:val="Compact"/>
              <w:jc w:val="left"/>
            </w:pPr>
            <w:r>
              <w:t xml:space="preserve">Z.ai API (zai-sdk 0.2.3, 16 June 2026); open weights via SGLang, KTransformers, Unsloth, LMDeploy, Xinference; also resold on Mistral’s platform (zai-glm-5-3).</w:t>
            </w:r>
          </w:p>
        </w:tc>
        <w:tc>
          <w:tcPr/>
          <w:p>
            <w:pPr>
              <w:pStyle w:val="Compact"/>
              <w:jc w:val="left"/>
            </w:pPr>
            <w:r>
              <w:t xml:space="preserve">Verified fact</w:t>
            </w:r>
          </w:p>
        </w:tc>
        <w:tc>
          <w:tcPr/>
          <w:p>
            <w:pPr>
              <w:pStyle w:val="Compact"/>
              <w:jc w:val="left"/>
            </w:pPr>
            <w:r>
              <w:t xml:space="preserve">A5-S047, A5-S039, A5-S038</w:t>
            </w:r>
          </w:p>
        </w:tc>
      </w:tr>
      <w:tr>
        <w:tc>
          <w:tcPr/>
          <w:p>
            <w:pPr>
              <w:pStyle w:val="Compact"/>
              <w:jc w:val="left"/>
            </w:pPr>
            <w:r>
              <w:t xml:space="preserve">Dependencies</w:t>
            </w:r>
          </w:p>
        </w:tc>
        <w:tc>
          <w:tcPr/>
          <w:p>
            <w:pPr>
              <w:pStyle w:val="Compact"/>
              <w:jc w:val="left"/>
            </w:pPr>
            <w:r>
              <w:t xml:space="preserve">GLM-5.2 ~744-754B parameters requires multi-GPU serving; NVFP4 serving reported at 500 TPS with SGLang.</w:t>
            </w:r>
          </w:p>
        </w:tc>
        <w:tc>
          <w:tcPr/>
          <w:p>
            <w:pPr>
              <w:pStyle w:val="Compact"/>
              <w:jc w:val="left"/>
            </w:pPr>
            <w:r>
              <w:t xml:space="preserve">Reported</w:t>
            </w:r>
          </w:p>
        </w:tc>
        <w:tc>
          <w:tcPr/>
          <w:p>
            <w:pPr>
              <w:pStyle w:val="Compact"/>
              <w:jc w:val="left"/>
            </w:pPr>
            <w:r>
              <w:t xml:space="preserve">A5-S043, A5-S044, A5-S039</w:t>
            </w:r>
          </w:p>
        </w:tc>
      </w:tr>
      <w:tr>
        <w:tc>
          <w:tcPr/>
          <w:p>
            <w:pPr>
              <w:pStyle w:val="Compact"/>
              <w:jc w:val="left"/>
            </w:pPr>
            <w:r>
              <w:t xml:space="preserve">Certifications</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GDPR / residency</w:t>
            </w:r>
          </w:p>
        </w:tc>
        <w:tc>
          <w:tcPr/>
          <w:p>
            <w:pPr>
              <w:pStyle w:val="Compact"/>
              <w:jc w:val="left"/>
            </w:pPr>
            <w:r>
              <w:t xml:space="preserve">Personal data</w:t>
            </w:r>
            <w:r>
              <w:t xml:space="preserve"> </w:t>
            </w:r>
            <w:r>
              <w:t xml:space="preserve">“</w:t>
            </w:r>
            <w:r>
              <w:t xml:space="preserve">generally processed in Singapore</w:t>
            </w:r>
            <w:r>
              <w:t xml:space="preserve">”</w:t>
            </w:r>
            <w:r>
              <w:t xml:space="preserve">; may transfer to Z.ai Group affiliates overseas. Current DPA says API content is not stored (older version said temporary storage - conflict). General privacy policy cites model training under legitimate interest; API terms do not expressly exclude API inputs from training. No EU residency option found. Bedrock GLM 5 in-Region in eu-west-2 (London); GLM 5.3 via US/global cross-Region only.</w:t>
            </w:r>
          </w:p>
        </w:tc>
        <w:tc>
          <w:tcPr/>
          <w:p>
            <w:pPr>
              <w:pStyle w:val="Compact"/>
              <w:jc w:val="left"/>
            </w:pPr>
            <w:r>
              <w:t xml:space="preserve">Verified fact</w:t>
            </w:r>
          </w:p>
        </w:tc>
        <w:tc>
          <w:tcPr/>
          <w:p>
            <w:pPr>
              <w:pStyle w:val="Compact"/>
              <w:jc w:val="left"/>
            </w:pPr>
            <w:r>
              <w:t xml:space="preserve">A5-S073, A5-S086</w:t>
            </w:r>
          </w:p>
        </w:tc>
      </w:tr>
      <w:tr>
        <w:tc>
          <w:tcPr/>
          <w:p>
            <w:pPr>
              <w:pStyle w:val="Compact"/>
              <w:jc w:val="left"/>
            </w:pPr>
            <w:r>
              <w:t xml:space="preserve">Security features</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Access controls</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Enterprise support</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Pricing</w:t>
            </w:r>
          </w:p>
        </w:tc>
        <w:tc>
          <w:tcPr/>
          <w:p>
            <w:pPr>
              <w:pStyle w:val="Compact"/>
              <w:jc w:val="left"/>
            </w:pPr>
            <w:r>
              <w:t xml:space="preserve">GLM-5.3 (Z.ai): US$1.40 input / US$4.40 output per 1M; cached US$0.26; GLM-5.3-Flash: US$0.15 / US$0.50 per 1M; GLM-5.2 (Google Cloud): US$1.40 / US$4.40 per 1M</w:t>
            </w:r>
          </w:p>
        </w:tc>
        <w:tc>
          <w:tcPr/>
          <w:p>
            <w:pPr>
              <w:pStyle w:val="Compact"/>
              <w:jc w:val="left"/>
            </w:pPr>
            <w:r>
              <w:t xml:space="preserve">Verified fact</w:t>
            </w:r>
          </w:p>
        </w:tc>
        <w:tc>
          <w:tcPr/>
          <w:p>
            <w:pPr>
              <w:pStyle w:val="Compact"/>
              <w:jc w:val="left"/>
            </w:pPr>
            <w:r>
              <w:t xml:space="preserve">A5-S071, A5-S027</w:t>
            </w:r>
          </w:p>
        </w:tc>
      </w:tr>
      <w:tr>
        <w:tc>
          <w:tcPr/>
          <w:p>
            <w:pPr>
              <w:pStyle w:val="Compact"/>
              <w:jc w:val="left"/>
            </w:pPr>
            <w:r>
              <w:t xml:space="preserve">Infrastructure cost</w:t>
            </w:r>
          </w:p>
        </w:tc>
        <w:tc>
          <w:tcPr/>
          <w:p>
            <w:pPr>
              <w:pStyle w:val="Compact"/>
              <w:jc w:val="left"/>
            </w:pPr>
            <w:r>
              <w:t xml:space="preserve">GLM-5.2 runnable locally only with heavy quantisation (Unsloth dynamic GGUFs); GLM-5.3-Flash targets consumer GPUs.</w:t>
            </w:r>
          </w:p>
        </w:tc>
        <w:tc>
          <w:tcPr/>
          <w:p>
            <w:pPr>
              <w:pStyle w:val="Compact"/>
              <w:jc w:val="left"/>
            </w:pPr>
            <w:r>
              <w:t xml:space="preserve">Reported</w:t>
            </w:r>
          </w:p>
        </w:tc>
        <w:tc>
          <w:tcPr/>
          <w:p>
            <w:pPr>
              <w:pStyle w:val="Compact"/>
              <w:jc w:val="left"/>
            </w:pPr>
            <w:r>
              <w:t xml:space="preserve">A5-S043, A5-S042</w:t>
            </w:r>
          </w:p>
        </w:tc>
      </w:tr>
      <w:tr>
        <w:tc>
          <w:tcPr/>
          <w:p>
            <w:pPr>
              <w:pStyle w:val="Compact"/>
              <w:jc w:val="left"/>
            </w:pPr>
            <w:r>
              <w:t xml:space="preserve">Ecosystem</w:t>
            </w:r>
          </w:p>
        </w:tc>
        <w:tc>
          <w:tcPr/>
          <w:p>
            <w:pPr>
              <w:pStyle w:val="Compact"/>
              <w:jc w:val="left"/>
            </w:pPr>
            <w:r>
              <w:t xml:space="preserve">Google Cloud, Bedrock, Microsoft Foundry, Mistral platform; SGLang, KTransformers, Unsloth, LMDeploy, Xinference.</w:t>
            </w:r>
          </w:p>
        </w:tc>
        <w:tc>
          <w:tcPr/>
          <w:p>
            <w:pPr>
              <w:pStyle w:val="Compact"/>
              <w:jc w:val="left"/>
            </w:pPr>
            <w:r>
              <w:t xml:space="preserve">Reported</w:t>
            </w:r>
          </w:p>
        </w:tc>
        <w:tc>
          <w:tcPr/>
          <w:p>
            <w:pPr>
              <w:pStyle w:val="Compact"/>
              <w:jc w:val="left"/>
            </w:pPr>
            <w:r>
              <w:t xml:space="preserve">A5-S027, A5-S038, A5-S039, A5-S042, A5-S043, A5-S044, A5-S041</w:t>
            </w:r>
          </w:p>
        </w:tc>
      </w:tr>
      <w:tr>
        <w:tc>
          <w:tcPr/>
          <w:p>
            <w:pPr>
              <w:pStyle w:val="Compact"/>
              <w:jc w:val="left"/>
            </w:pPr>
            <w:r>
              <w:t xml:space="preserve">Adoption signals</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Maturity</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Deployment</w:t>
            </w:r>
          </w:p>
        </w:tc>
        <w:tc>
          <w:tcPr/>
          <w:p>
            <w:pPr>
              <w:pStyle w:val="Compact"/>
              <w:jc w:val="left"/>
            </w:pPr>
            <w:r>
              <w:t xml:space="preserve">saas: Yes (Z.ai API); managed_cloud: Yes (Google Cloud GLM-4.7/5/5.2; Amazon Bedrock GLM-5/4.7 US regions; Microsoft Foundry Fireworks-operated GLM-5 to 5.3; Mistral platform GLM-5.x); vpc_byoc: Not publicly verified; private_cloud: Not publicly verified; self_hosted: Yes (open weights); on_prem: Yes (open weights)</w:t>
            </w:r>
          </w:p>
        </w:tc>
        <w:tc>
          <w:tcPr/>
          <w:p>
            <w:pPr>
              <w:pStyle w:val="Compact"/>
            </w:pPr>
          </w:p>
        </w:tc>
        <w:tc>
          <w:tcPr/>
          <w:p>
            <w:pPr>
              <w:pStyle w:val="Compact"/>
            </w:pPr>
          </w:p>
        </w:tc>
      </w:tr>
    </w:tbl>
    <w:bookmarkEnd w:id="1675"/>
    <w:bookmarkStart w:id="1692" w:name="Xd82e4e2f58b4a6b4ecda478ae9f3688bac5343f"/>
    <w:p>
      <w:pPr>
        <w:pStyle w:val="Heading2"/>
      </w:pPr>
      <w:r>
        <w:t xml:space="preserve">Meta Muse family (Muse Spark 1.1-1.3 via Meta Model API; Muse Glimmer 30B open weights; Muse Code; Muse Image) plus Llama 4 (Scout, Maverick) (</w:t>
      </w:r>
      <w:r>
        <w:rPr>
          <w:rStyle w:val="VerbatimChar"/>
        </w:rPr>
        <w:t xml:space="preserve">L1-meta</w:t>
      </w:r>
      <w:r>
        <w:t xml:space="preserve">)</w:t>
      </w:r>
    </w:p>
    <w:p>
      <w:pPr>
        <w:pStyle w:val="FirstParagraph"/>
      </w:pPr>
      <w:r>
        <w:rPr>
          <w:bCs/>
          <w:b/>
        </w:rPr>
        <w:t xml:space="preserve">Tier:</w:t>
      </w:r>
      <w:r>
        <w:t xml:space="preserve"> </w:t>
      </w:r>
      <w:r>
        <w:t xml:space="preserve">Tactical ·</w:t>
      </w:r>
      <w:r>
        <w:t xml:space="preserve"> </w:t>
      </w:r>
      <w:r>
        <w:rPr>
          <w:bCs/>
          <w:b/>
        </w:rPr>
        <w:t xml:space="preserve">Flags:</w:t>
      </w:r>
      <w:r>
        <w:t xml:space="preserve"> </w:t>
      </w:r>
      <w:r>
        <w:t xml:space="preserve">Renamed ·</w:t>
      </w:r>
      <w:r>
        <w:t xml:space="preserve"> </w:t>
      </w:r>
      <w:r>
        <w:rPr>
          <w:bCs/>
          <w:b/>
        </w:rPr>
        <w:t xml:space="preserve">Original graphic label:</w:t>
      </w:r>
      <w:r>
        <w:t xml:space="preserve"> </w:t>
      </w:r>
      <w:r>
        <w:t xml:space="preserve">Meta – Llama (new: Muse)</w:t>
      </w:r>
    </w:p>
    <w:p>
      <w:pPr>
        <w:pStyle w:val="BodyText"/>
      </w:pPr>
      <w:r>
        <w:rPr>
          <w:iCs/>
          <w:i/>
        </w:rPr>
        <w:t xml:space="preserve">Rationale:</w:t>
      </w:r>
      <w:r>
        <w:t xml:space="preserve"> </w:t>
      </w:r>
      <w:r>
        <w:t xml:space="preserve">Brand transition from Llama to Muse is under way, the API is weeks past GA and its data terms are unverified; useful for open-weight continuity only</w:t>
      </w:r>
      <w:r>
        <w:t xml:space="preserve"> </w:t>
      </w:r>
      <w:r>
        <w:rPr>
          <w:rStyle w:val="ClaimLabel"/>
        </w:rPr>
        <w:t xml:space="preserve">AJ</w:t>
      </w:r>
      <w:r>
        <w:t xml:space="preserve">.</w:t>
      </w:r>
    </w:p>
    <w:tbl>
      <w:tblPr>
        <w:tblStyle w:val="Table"/>
        <w:tblW w:type="pct" w:w="5000"/>
        <w:tblLook w:firstRow="1" w:lastRow="0" w:firstColumn="0" w:lastColumn="0" w:noHBand="0" w:noVBand="0" w:val="0020"/>
        <w:jc w:val="start"/>
      </w:tblPr>
      <w:tblGrid>
        <w:gridCol w:w="1545"/>
        <w:gridCol w:w="579"/>
        <w:gridCol w:w="5795"/>
      </w:tblGrid>
      <w:tr>
        <w:trPr>
          <w:tblHeader w:val="true"/>
        </w:trPr>
        <w:tc>
          <w:tcPr/>
          <w:p>
            <w:pPr>
              <w:pStyle w:val="Compact"/>
              <w:jc w:val="left"/>
            </w:pPr>
            <w:r>
              <w:t xml:space="preserve">Criterion</w:t>
            </w:r>
          </w:p>
        </w:tc>
        <w:tc>
          <w:tcPr/>
          <w:p>
            <w:pPr>
              <w:pStyle w:val="Compact"/>
              <w:jc w:val="right"/>
            </w:pPr>
            <w:r>
              <w:t xml:space="preserve">Score</w:t>
            </w:r>
          </w:p>
        </w:tc>
        <w:tc>
          <w:tcPr/>
          <w:p>
            <w:pPr>
              <w:pStyle w:val="Compact"/>
              <w:jc w:val="left"/>
            </w:pPr>
            <w:r>
              <w:t xml:space="preserve">Rationale</w:t>
            </w:r>
          </w:p>
        </w:tc>
      </w:tr>
      <w:tr>
        <w:tc>
          <w:tcPr/>
          <w:p>
            <w:pPr>
              <w:pStyle w:val="Compact"/>
              <w:jc w:val="left"/>
            </w:pPr>
            <w:r>
              <w:t xml:space="preserve">Technical</w:t>
            </w:r>
          </w:p>
        </w:tc>
        <w:tc>
          <w:tcPr/>
          <w:p>
            <w:pPr>
              <w:pStyle w:val="Compact"/>
              <w:jc w:val="right"/>
            </w:pPr>
            <w:r>
              <w:t xml:space="preserve">3</w:t>
            </w:r>
          </w:p>
        </w:tc>
        <w:tc>
          <w:tcPr/>
          <w:p>
            <w:pPr>
              <w:pStyle w:val="Compact"/>
              <w:jc w:val="left"/>
            </w:pPr>
            <w:r>
              <w:t xml:space="preserve">API flagship, small open model, code and image models (A5-S077, A5-S078); capability evidence beyond names is thin and Llama has not been refreshed since April 2025.</w:t>
            </w:r>
          </w:p>
        </w:tc>
      </w:tr>
      <w:tr>
        <w:tc>
          <w:tcPr/>
          <w:p>
            <w:pPr>
              <w:pStyle w:val="Compact"/>
              <w:jc w:val="left"/>
            </w:pPr>
            <w:r>
              <w:t xml:space="preserve">Enterprise readiness</w:t>
            </w:r>
          </w:p>
        </w:tc>
        <w:tc>
          <w:tcPr/>
          <w:p>
            <w:pPr>
              <w:pStyle w:val="Compact"/>
              <w:jc w:val="right"/>
            </w:pPr>
            <w:r>
              <w:t xml:space="preserve">4</w:t>
            </w:r>
          </w:p>
        </w:tc>
        <w:tc>
          <w:tcPr/>
          <w:p>
            <w:pPr>
              <w:pStyle w:val="Compact"/>
              <w:jc w:val="left"/>
            </w:pPr>
            <w:r>
              <w:t xml:space="preserve">Muse Spark 1.3 on Foundry and Llama 4 on all three hyperscalers give the presumption (rule 6); Meta Model API controls NPV. Platform controls presumed (CP2 Q1); confirm per service.</w:t>
            </w:r>
          </w:p>
        </w:tc>
      </w:tr>
      <w:tr>
        <w:tc>
          <w:tcPr/>
          <w:p>
            <w:pPr>
              <w:pStyle w:val="Compact"/>
              <w:jc w:val="left"/>
            </w:pPr>
            <w:r>
              <w:t xml:space="preserve">Security and compliance</w:t>
            </w:r>
          </w:p>
        </w:tc>
        <w:tc>
          <w:tcPr/>
          <w:p>
            <w:pPr>
              <w:pStyle w:val="Compact"/>
              <w:jc w:val="right"/>
            </w:pPr>
            <w:r>
              <w:t xml:space="preserve">2</w:t>
            </w:r>
          </w:p>
        </w:tc>
        <w:tc>
          <w:tcPr/>
          <w:p>
            <w:pPr>
              <w:pStyle w:val="Compact"/>
              <w:jc w:val="left"/>
            </w:pPr>
            <w:r>
              <w:t xml:space="preserve">Certifications and data terms NPV (cap 2); contributor tier trains on data (V2-S019).</w:t>
            </w:r>
          </w:p>
        </w:tc>
      </w:tr>
      <w:tr>
        <w:tc>
          <w:tcPr/>
          <w:p>
            <w:pPr>
              <w:pStyle w:val="Compact"/>
              <w:jc w:val="left"/>
            </w:pPr>
            <w:r>
              <w:t xml:space="preserve">Deployment flexibility</w:t>
            </w:r>
          </w:p>
        </w:tc>
        <w:tc>
          <w:tcPr/>
          <w:p>
            <w:pPr>
              <w:pStyle w:val="Compact"/>
              <w:jc w:val="right"/>
            </w:pPr>
            <w:r>
              <w:t xml:space="preserve">4</w:t>
            </w:r>
          </w:p>
        </w:tc>
        <w:tc>
          <w:tcPr/>
          <w:p>
            <w:pPr>
              <w:pStyle w:val="Compact"/>
              <w:jc w:val="left"/>
            </w:pPr>
            <w:r>
              <w:t xml:space="preserve">Meta API, hyperscalers and self-hosted open weights.</w:t>
            </w:r>
          </w:p>
        </w:tc>
      </w:tr>
      <w:tr>
        <w:tc>
          <w:tcPr/>
          <w:p>
            <w:pPr>
              <w:pStyle w:val="Compact"/>
              <w:jc w:val="left"/>
            </w:pPr>
            <w:r>
              <w:t xml:space="preserve">Ecosystem</w:t>
            </w:r>
          </w:p>
        </w:tc>
        <w:tc>
          <w:tcPr/>
          <w:p>
            <w:pPr>
              <w:pStyle w:val="Compact"/>
              <w:jc w:val="right"/>
            </w:pPr>
            <w:r>
              <w:t xml:space="preserve">4</w:t>
            </w:r>
          </w:p>
        </w:tc>
        <w:tc>
          <w:tcPr/>
          <w:p>
            <w:pPr>
              <w:pStyle w:val="Compact"/>
              <w:jc w:val="left"/>
            </w:pPr>
            <w:r>
              <w:t xml:space="preserve">Llama’s broad hosting footprint plus Foundry, OCI and Google Cloud preview for Muse (A5-S077, A5-S027).</w:t>
            </w:r>
          </w:p>
        </w:tc>
      </w:tr>
      <w:tr>
        <w:tc>
          <w:tcPr/>
          <w:p>
            <w:pPr>
              <w:pStyle w:val="Compact"/>
              <w:jc w:val="left"/>
            </w:pPr>
            <w:r>
              <w:t xml:space="preserve">Reliability and maturity</w:t>
            </w:r>
          </w:p>
        </w:tc>
        <w:tc>
          <w:tcPr/>
          <w:p>
            <w:pPr>
              <w:pStyle w:val="Compact"/>
              <w:jc w:val="right"/>
            </w:pPr>
            <w:r>
              <w:t xml:space="preserve">2</w:t>
            </w:r>
          </w:p>
        </w:tc>
        <w:tc>
          <w:tcPr/>
          <w:p>
            <w:pPr>
              <w:pStyle w:val="Compact"/>
              <w:jc w:val="left"/>
            </w:pPr>
            <w:r>
              <w:t xml:space="preserve">Brand transition in 2026, API GA only since late September 2026, stale SDK (A5-S047).</w:t>
            </w:r>
          </w:p>
        </w:tc>
      </w:tr>
      <w:tr>
        <w:tc>
          <w:tcPr/>
          <w:p>
            <w:pPr>
              <w:pStyle w:val="Compact"/>
              <w:jc w:val="left"/>
            </w:pPr>
            <w:r>
              <w:t xml:space="preserve">Cost / TCO</w:t>
            </w:r>
          </w:p>
        </w:tc>
        <w:tc>
          <w:tcPr/>
          <w:p>
            <w:pPr>
              <w:pStyle w:val="Compact"/>
              <w:jc w:val="right"/>
            </w:pPr>
            <w:r>
              <w:t xml:space="preserve">3</w:t>
            </w:r>
          </w:p>
        </w:tc>
        <w:tc>
          <w:tcPr/>
          <w:p>
            <w:pPr>
              <w:pStyle w:val="Compact"/>
              <w:jc w:val="left"/>
            </w:pPr>
            <w:r>
              <w:t xml:space="preserve">Muse prices are aggregator-level; Llama 4 on Google Cloud is cheap (A5-S027); contributor pricing is excluded as a data-use condition.</w:t>
            </w:r>
          </w:p>
        </w:tc>
      </w:tr>
      <w:tr>
        <w:tc>
          <w:tcPr/>
          <w:p>
            <w:pPr>
              <w:pStyle w:val="Compact"/>
              <w:jc w:val="left"/>
            </w:pPr>
            <w:r>
              <w:t xml:space="preserve">Lock-in / portability</w:t>
            </w:r>
          </w:p>
        </w:tc>
        <w:tc>
          <w:tcPr/>
          <w:p>
            <w:pPr>
              <w:pStyle w:val="Compact"/>
              <w:jc w:val="right"/>
            </w:pPr>
            <w:r>
              <w:t xml:space="preserve">3</w:t>
            </w:r>
          </w:p>
        </w:tc>
        <w:tc>
          <w:tcPr/>
          <w:p>
            <w:pPr>
              <w:pStyle w:val="Compact"/>
              <w:jc w:val="left"/>
            </w:pPr>
            <w:r>
              <w:t xml:space="preserve">Mixed: Apache 2.0 (Glimmer, secondary), community licence with MAU threshold (Llama 4, rule 4), API-only flagship.</w:t>
            </w:r>
          </w:p>
        </w:tc>
      </w:tr>
      <w:tr>
        <w:tc>
          <w:tcPr/>
          <w:p>
            <w:pPr>
              <w:pStyle w:val="Compact"/>
              <w:jc w:val="left"/>
            </w:pPr>
            <w:r>
              <w:rPr>
                <w:bCs/>
                <w:b/>
              </w:rPr>
              <w:t xml:space="preserve">Total (generic / FS)</w:t>
            </w:r>
          </w:p>
        </w:tc>
        <w:tc>
          <w:tcPr/>
          <w:p>
            <w:pPr>
              <w:pStyle w:val="Compact"/>
              <w:jc w:val="right"/>
            </w:pPr>
            <w:r>
              <w:rPr>
                <w:bCs/>
                <w:b/>
              </w:rPr>
              <w:t xml:space="preserve">3.15 / 3.05</w:t>
            </w:r>
          </w:p>
        </w:tc>
        <w:tc>
          <w:tcPr/>
          <w:p>
            <w:pPr>
              <w:pStyle w:val="Compact"/>
            </w:pPr>
          </w:p>
        </w:tc>
      </w:tr>
    </w:tbl>
    <w:p>
      <w:pPr>
        <w:pStyle w:val="BodyText"/>
      </w:pPr>
      <w:r>
        <w:rPr>
          <w:iCs/>
          <w:i/>
        </w:rPr>
        <w:t xml:space="preserve">Evidence rules applied:</w:t>
      </w:r>
      <w:r>
        <w:t xml:space="preserve"> </w:t>
      </w:r>
      <w:r>
        <w:t xml:space="preserve">security_compliance capped at 2: certifications NPV</w:t>
      </w:r>
    </w:p>
    <w:p>
      <w:pPr>
        <w:pStyle w:val="BodyText"/>
      </w:pPr>
      <w:r>
        <w:rPr>
          <w:bCs/>
          <w:b/>
        </w:rPr>
        <w:t xml:space="preserve">Capabilities.</w:t>
      </w:r>
      <w:r>
        <w:t xml:space="preserve"> </w:t>
      </w:r>
      <w:r>
        <w:t xml:space="preserve">Meta Muse family from Meta Superintelligence Labs: Muse Spark (announced April 2026; 1.1 to 1.3 via the Meta Model API, GA at Meta Connect 23-24 September 2026; 1M context), Muse Glimmer 30B open weights (August 2026, Apache 2.0 per secondary sources), Muse Code and Muse Image; plus Llama 4 Scout and Maverick under the Llama 4 Community License</w:t>
      </w:r>
      <w:r>
        <w:t xml:space="preserve"> </w:t>
      </w:r>
      <w:r>
        <w:rPr>
          <w:rStyle w:val="ClaimLabel"/>
        </w:rPr>
        <w:t xml:space="preserve">VF</w:t>
      </w:r>
      <w:r>
        <w:rPr>
          <w:rStyle w:val="FootnoteReference"/>
        </w:rPr>
        <w:footnoteReference w:id="1676"/>
      </w:r>
      <w:r>
        <w:t xml:space="preserve"> </w:t>
      </w:r>
      <w:r>
        <w:rPr>
          <w:rStyle w:val="ClaimLabel"/>
        </w:rPr>
        <w:t xml:space="preserve">R</w:t>
      </w:r>
      <w:r>
        <w:rPr>
          <w:rStyle w:val="FootnoteReference"/>
        </w:rPr>
        <w:footnoteReference w:id="1680"/>
      </w:r>
      <w:r>
        <w:t xml:space="preserve">.</w:t>
      </w:r>
    </w:p>
    <w:p>
      <w:pPr>
        <w:pStyle w:val="BodyText"/>
      </w:pPr>
      <w:r>
        <w:rPr>
          <w:bCs/>
          <w:b/>
        </w:rPr>
        <w:t xml:space="preserve">Strengths</w:t>
      </w:r>
    </w:p>
    <w:p>
      <w:pPr>
        <w:numPr>
          <w:ilvl w:val="0"/>
          <w:numId w:val="1353"/>
        </w:numPr>
        <w:pStyle w:val="Compact"/>
      </w:pPr>
      <w:r>
        <w:t xml:space="preserve">Llama 4 is available on Google Cloud, Bedrock and Foundry; Muse Spark 1.3 is on Foundry</w:t>
      </w:r>
      <w:r>
        <w:t xml:space="preserve"> </w:t>
      </w:r>
      <w:r>
        <w:rPr>
          <w:rStyle w:val="ClaimLabel"/>
        </w:rPr>
        <w:t xml:space="preserve">VF</w:t>
      </w:r>
      <w:r>
        <w:rPr>
          <w:rStyle w:val="FootnoteReference"/>
        </w:rPr>
        <w:footnoteReference w:id="1682"/>
      </w:r>
      <w:r>
        <w:t xml:space="preserve"> </w:t>
      </w:r>
      <w:r>
        <w:rPr>
          <w:rStyle w:val="ClaimLabel"/>
        </w:rPr>
        <w:t xml:space="preserve">R</w:t>
      </w:r>
      <w:r>
        <w:rPr>
          <w:rStyle w:val="FootnoteReference"/>
        </w:rPr>
        <w:footnoteReference w:id="1683"/>
      </w:r>
    </w:p>
    <w:p>
      <w:pPr>
        <w:numPr>
          <w:ilvl w:val="0"/>
          <w:numId w:val="1353"/>
        </w:numPr>
        <w:pStyle w:val="Compact"/>
      </w:pPr>
      <w:r>
        <w:t xml:space="preserve">An open small model (Glimmer 30B) alongside the API flagship</w:t>
      </w:r>
      <w:r>
        <w:t xml:space="preserve"> </w:t>
      </w:r>
      <w:r>
        <w:rPr>
          <w:rStyle w:val="ClaimLabel"/>
        </w:rPr>
        <w:t xml:space="preserve">VF</w:t>
      </w:r>
      <w:r>
        <w:rPr>
          <w:rStyle w:val="FootnoteReference"/>
        </w:rPr>
        <w:footnoteReference w:id="1684"/>
      </w:r>
      <w:r>
        <w:t xml:space="preserve"> </w:t>
      </w:r>
      <w:r>
        <w:rPr>
          <w:rStyle w:val="ClaimLabel"/>
        </w:rPr>
        <w:t xml:space="preserve">R</w:t>
      </w:r>
      <w:r>
        <w:rPr>
          <w:rStyle w:val="FootnoteReference"/>
        </w:rPr>
        <w:footnoteReference w:id="1685"/>
      </w:r>
    </w:p>
    <w:p>
      <w:pPr>
        <w:pStyle w:val="FirstParagraph"/>
      </w:pPr>
      <w:r>
        <w:rPr>
          <w:bCs/>
          <w:b/>
        </w:rPr>
        <w:t xml:space="preserve">Limitations and risks</w:t>
      </w:r>
    </w:p>
    <w:p>
      <w:pPr>
        <w:numPr>
          <w:ilvl w:val="0"/>
          <w:numId w:val="1354"/>
        </w:numPr>
        <w:pStyle w:val="Compact"/>
      </w:pPr>
      <w:r>
        <w:t xml:space="preserve">Meta Model API data terms, certifications and EU residency not publicly verified</w:t>
      </w:r>
      <w:r>
        <w:t xml:space="preserve"> </w:t>
      </w:r>
      <w:r>
        <w:rPr>
          <w:rStyle w:val="ClaimLabel"/>
        </w:rPr>
        <w:t xml:space="preserve">NPV</w:t>
      </w:r>
    </w:p>
    <w:p>
      <w:pPr>
        <w:numPr>
          <w:ilvl w:val="0"/>
          <w:numId w:val="1354"/>
        </w:numPr>
        <w:pStyle w:val="Compact"/>
      </w:pPr>
      <w:r>
        <w:t xml:space="preserve">The</w:t>
      </w:r>
      <w:r>
        <w:t xml:space="preserve"> </w:t>
      </w:r>
      <w:r>
        <w:t xml:space="preserve">‘</w:t>
      </w:r>
      <w:r>
        <w:t xml:space="preserve">contributor</w:t>
      </w:r>
      <w:r>
        <w:t xml:space="preserve">’</w:t>
      </w:r>
      <w:r>
        <w:t xml:space="preserve"> </w:t>
      </w:r>
      <w:r>
        <w:t xml:space="preserve">tier is discounted in exchange for Meta training on prompts and completions: a data-use condition, not a cheaper price</w:t>
      </w:r>
      <w:r>
        <w:t xml:space="preserve"> </w:t>
      </w:r>
      <w:r>
        <w:rPr>
          <w:rStyle w:val="ClaimLabel"/>
        </w:rPr>
        <w:t xml:space="preserve">VF</w:t>
      </w:r>
      <w:r>
        <w:rPr>
          <w:rStyle w:val="FootnoteReference"/>
        </w:rPr>
        <w:footnoteReference w:id="1686"/>
      </w:r>
    </w:p>
    <w:p>
      <w:pPr>
        <w:numPr>
          <w:ilvl w:val="0"/>
          <w:numId w:val="1354"/>
        </w:numPr>
        <w:pStyle w:val="Compact"/>
      </w:pPr>
      <w:r>
        <w:t xml:space="preserve">Llama 4 Community License requires a separate licence above 700M MAU; no Llama release since Llama 4</w:t>
      </w:r>
      <w:r>
        <w:t xml:space="preserve"> </w:t>
      </w:r>
      <w:r>
        <w:rPr>
          <w:rStyle w:val="ClaimLabel"/>
        </w:rPr>
        <w:t xml:space="preserve">VF</w:t>
      </w:r>
      <w:r>
        <w:rPr>
          <w:rStyle w:val="FootnoteReference"/>
        </w:rPr>
        <w:footnoteReference w:id="1687"/>
      </w:r>
      <w:r>
        <w:t xml:space="preserve"> </w:t>
      </w:r>
      <w:r>
        <w:rPr>
          <w:rStyle w:val="ClaimLabel"/>
        </w:rPr>
        <w:t xml:space="preserve">R</w:t>
      </w:r>
      <w:r>
        <w:rPr>
          <w:rStyle w:val="FootnoteReference"/>
        </w:rPr>
        <w:footnoteReference w:id="1688"/>
      </w:r>
    </w:p>
    <w:p>
      <w:pPr>
        <w:numPr>
          <w:ilvl w:val="0"/>
          <w:numId w:val="1354"/>
        </w:numPr>
        <w:pStyle w:val="Compact"/>
      </w:pPr>
      <w:r>
        <w:t xml:space="preserve">Official llama-api-client SDK last released 18 December 2025</w:t>
      </w:r>
      <w:r>
        <w:t xml:space="preserve"> </w:t>
      </w:r>
      <w:r>
        <w:rPr>
          <w:rStyle w:val="ClaimLabel"/>
        </w:rPr>
        <w:t xml:space="preserve">VF</w:t>
      </w:r>
      <w:r>
        <w:rPr>
          <w:rStyle w:val="FootnoteReference"/>
        </w:rPr>
        <w:footnoteReference w:id="1689"/>
      </w:r>
    </w:p>
    <w:p>
      <w:pPr>
        <w:numPr>
          <w:ilvl w:val="0"/>
          <w:numId w:val="1354"/>
        </w:numPr>
        <w:pStyle w:val="Compact"/>
      </w:pPr>
      <w:r>
        <w:t xml:space="preserve">Glimmer’s Apache 2.0 licence rests on secondary sources</w:t>
      </w:r>
      <w:r>
        <w:t xml:space="preserve"> </w:t>
      </w:r>
      <w:r>
        <w:rPr>
          <w:rStyle w:val="ClaimLabel"/>
        </w:rPr>
        <w:t xml:space="preserve">R</w:t>
      </w:r>
      <w:r>
        <w:rPr>
          <w:rStyle w:val="FootnoteReference"/>
        </w:rPr>
        <w:footnoteReference w:id="1691"/>
      </w:r>
    </w:p>
    <w:p>
      <w:pPr>
        <w:pStyle w:val="FirstParagraph"/>
      </w:pPr>
      <w:r>
        <w:rPr>
          <w:bCs/>
          <w:b/>
        </w:rPr>
        <w:t xml:space="preserve">Choose when</w:t>
      </w:r>
    </w:p>
    <w:p>
      <w:pPr>
        <w:numPr>
          <w:ilvl w:val="0"/>
          <w:numId w:val="1355"/>
        </w:numPr>
        <w:pStyle w:val="Compact"/>
      </w:pPr>
      <w:r>
        <w:t xml:space="preserve">You already self-host Llama 4 and want continuity, or you want Glimmer 30B as an additional open-weight option</w:t>
      </w:r>
      <w:r>
        <w:t xml:space="preserve"> </w:t>
      </w:r>
      <w:r>
        <w:rPr>
          <w:rStyle w:val="ClaimLabel"/>
        </w:rPr>
        <w:t xml:space="preserve">AJ</w:t>
      </w:r>
    </w:p>
    <w:p>
      <w:pPr>
        <w:pStyle w:val="FirstParagraph"/>
      </w:pPr>
      <w:r>
        <w:rPr>
          <w:bCs/>
          <w:b/>
        </w:rPr>
        <w:t xml:space="preserve">Avoid when</w:t>
      </w:r>
    </w:p>
    <w:p>
      <w:pPr>
        <w:numPr>
          <w:ilvl w:val="0"/>
          <w:numId w:val="1356"/>
        </w:numPr>
        <w:pStyle w:val="Compact"/>
      </w:pPr>
      <w:r>
        <w:t xml:space="preserve">Client data would go to the Meta Model API before its data terms are verified</w:t>
      </w:r>
      <w:r>
        <w:t xml:space="preserve"> </w:t>
      </w:r>
      <w:r>
        <w:rPr>
          <w:rStyle w:val="ClaimLabel"/>
        </w:rPr>
        <w:t xml:space="preserve">AJ</w:t>
      </w:r>
    </w:p>
    <w:p>
      <w:pPr>
        <w:numPr>
          <w:ilvl w:val="0"/>
          <w:numId w:val="1356"/>
        </w:numPr>
        <w:pStyle w:val="Compact"/>
      </w:pPr>
      <w:r>
        <w:t xml:space="preserve">Any route would use the contributor tier</w:t>
      </w:r>
      <w:r>
        <w:t xml:space="preserve"> </w:t>
      </w:r>
      <w:r>
        <w:rPr>
          <w:rStyle w:val="ClaimLabel"/>
        </w:rPr>
        <w:t xml:space="preserve">AJ</w:t>
      </w:r>
    </w:p>
    <w:p>
      <w:pPr>
        <w:pStyle w:val="FirstParagraph"/>
      </w:pPr>
      <w:r>
        <w:rPr>
          <w:bCs/>
          <w:b/>
        </w:rPr>
        <w:t xml:space="preserve">Nearest competitors:</w:t>
      </w:r>
      <w:r>
        <w:t xml:space="preserve"> </w:t>
      </w:r>
      <w:r>
        <w:t xml:space="preserve">L1-google-gemma, L1-mistral, L1-openai</w:t>
      </w:r>
    </w:p>
    <w:p>
      <w:pPr>
        <w:pStyle w:val="BodyText"/>
      </w:pPr>
      <w:r>
        <w:rPr>
          <w:bCs/>
          <w:b/>
        </w:rPr>
        <w:t xml:space="preserve">Regulated-FS note.</w:t>
      </w:r>
      <w:r>
        <w:t xml:space="preserve"> </w:t>
      </w:r>
      <w:r>
        <w:t xml:space="preserve">Block the contributor tier at the gateway; use Llama 4 or Glimmer only self-hosted or via a hyperscaler</w:t>
      </w:r>
      <w:r>
        <w:t xml:space="preserve"> </w:t>
      </w:r>
      <w:r>
        <w:rPr>
          <w:rStyle w:val="ClaimLabel"/>
        </w:rPr>
        <w:t xml:space="preserve">Rec</w:t>
      </w:r>
      <w:r>
        <w:t xml:space="preserve">.</w:t>
      </w:r>
    </w:p>
    <w:p>
      <w:pPr>
        <w:pStyle w:val="BodyText"/>
      </w:pPr>
      <w:r>
        <w:rPr>
          <w:bCs/>
          <w:b/>
        </w:rPr>
        <w:t xml:space="preserve">Facts (as of 2026-10-08)</w:t>
      </w:r>
    </w:p>
    <w:tbl>
      <w:tblPr>
        <w:tblStyle w:val="Table"/>
        <w:tblW w:type="pct" w:w="5000"/>
        <w:tblLook w:firstRow="1" w:lastRow="0" w:firstColumn="0" w:lastColumn="0" w:noHBand="0" w:noVBand="0" w:val="0020"/>
        <w:jc w:val="start"/>
      </w:tblPr>
      <w:tblGrid>
        <w:gridCol w:w="1485"/>
        <w:gridCol w:w="4290"/>
        <w:gridCol w:w="1320"/>
        <w:gridCol w:w="825"/>
      </w:tblGrid>
      <w:tr>
        <w:trPr>
          <w:tblHeader w:val="true"/>
        </w:trPr>
        <w:tc>
          <w:tcPr/>
          <w:p>
            <w:pPr>
              <w:pStyle w:val="Compact"/>
              <w:jc w:val="left"/>
            </w:pPr>
            <w:r>
              <w:t xml:space="preserve">Field</w:t>
            </w:r>
          </w:p>
        </w:tc>
        <w:tc>
          <w:tcPr/>
          <w:p>
            <w:pPr>
              <w:pStyle w:val="Compact"/>
              <w:jc w:val="left"/>
            </w:pPr>
            <w:r>
              <w:t xml:space="preserve">Value</w:t>
            </w:r>
          </w:p>
        </w:tc>
        <w:tc>
          <w:tcPr/>
          <w:p>
            <w:pPr>
              <w:pStyle w:val="Compact"/>
              <w:jc w:val="left"/>
            </w:pPr>
            <w:r>
              <w:t xml:space="preserve">Label</w:t>
            </w:r>
          </w:p>
        </w:tc>
        <w:tc>
          <w:tcPr/>
          <w:p>
            <w:pPr>
              <w:pStyle w:val="Compact"/>
              <w:jc w:val="left"/>
            </w:pPr>
            <w:r>
              <w:t xml:space="preserve">Sources</w:t>
            </w:r>
          </w:p>
        </w:tc>
      </w:tr>
      <w:tr>
        <w:tc>
          <w:tcPr/>
          <w:p>
            <w:pPr>
              <w:pStyle w:val="Compact"/>
              <w:jc w:val="left"/>
            </w:pPr>
            <w:r>
              <w:t xml:space="preserve">Company</w:t>
            </w:r>
          </w:p>
        </w:tc>
        <w:tc>
          <w:tcPr/>
          <w:p>
            <w:pPr>
              <w:pStyle w:val="Compact"/>
              <w:jc w:val="left"/>
            </w:pPr>
            <w:r>
              <w:t xml:space="preserve">Meta (models built by Meta Superintelligence Labs)</w:t>
            </w:r>
          </w:p>
        </w:tc>
        <w:tc>
          <w:tcPr/>
          <w:p>
            <w:pPr>
              <w:pStyle w:val="Compact"/>
              <w:jc w:val="left"/>
            </w:pPr>
            <w:r>
              <w:t xml:space="preserve">Verified fact</w:t>
            </w:r>
          </w:p>
        </w:tc>
        <w:tc>
          <w:tcPr/>
          <w:p>
            <w:pPr>
              <w:pStyle w:val="Compact"/>
              <w:jc w:val="left"/>
            </w:pPr>
            <w:r>
              <w:t xml:space="preserve">A5-S077, A5-S078</w:t>
            </w:r>
          </w:p>
        </w:tc>
      </w:tr>
      <w:tr>
        <w:tc>
          <w:tcPr/>
          <w:p>
            <w:pPr>
              <w:pStyle w:val="Compact"/>
              <w:jc w:val="left"/>
            </w:pPr>
            <w:r>
              <w:t xml:space="preserve">Category</w:t>
            </w:r>
          </w:p>
        </w:tc>
        <w:tc>
          <w:tcPr/>
          <w:p>
            <w:pPr>
              <w:pStyle w:val="Compact"/>
              <w:jc w:val="left"/>
            </w:pPr>
            <w:r>
              <w:t xml:space="preserve">Model vendor: hosted API models (Muse Spark) and open-weight models (Muse Glimmer, Llama 4)</w:t>
            </w:r>
          </w:p>
        </w:tc>
        <w:tc>
          <w:tcPr/>
          <w:p>
            <w:pPr>
              <w:pStyle w:val="Compact"/>
              <w:jc w:val="left"/>
            </w:pPr>
            <w:r>
              <w:t xml:space="preserve">Reported</w:t>
            </w:r>
          </w:p>
        </w:tc>
        <w:tc>
          <w:tcPr/>
          <w:p>
            <w:pPr>
              <w:pStyle w:val="Compact"/>
              <w:jc w:val="left"/>
            </w:pPr>
            <w:r>
              <w:t xml:space="preserve">A5-S038, A5-S040</w:t>
            </w:r>
          </w:p>
        </w:tc>
      </w:tr>
      <w:tr>
        <w:tc>
          <w:tcPr/>
          <w:p>
            <w:pPr>
              <w:pStyle w:val="Compact"/>
              <w:jc w:val="left"/>
            </w:pPr>
            <w:r>
              <w:t xml:space="preserve">Version / lineup</w:t>
            </w:r>
          </w:p>
        </w:tc>
        <w:tc>
          <w:tcPr/>
          <w:p>
            <w:pPr>
              <w:pStyle w:val="Compact"/>
              <w:jc w:val="left"/>
            </w:pPr>
            <w:r>
              <w:t xml:space="preserve">flagship_api: Muse Spark announced April 2026 (Meta Superintelligence Labs); Muse Spark 1.1 with public Meta Model API preview 9 July 2026; 1.2 on 5 August 2026; 1.3 on 2 September 2026; Meta Model API GA globally (announced at Meta Connect, 23-24 September 2026; pre-Connect developer page still said public preview); 1,048,576 context; OpenAI/Anthropic-SDK compatible; on Oracle Cloud, Microsoft Foundry, Google Cloud private preview. [A5-S077, A5-S038]; open_weight: Muse Glimmer 30B, released August 2026 under Apache 2.0 (distilled from Muse Spark, agentic, consumer hardware). [A5-S078, A5-S040</w:t>
            </w:r>
          </w:p>
        </w:tc>
        <w:tc>
          <w:tcPr/>
          <w:p>
            <w:pPr>
              <w:pStyle w:val="Compact"/>
              <w:jc w:val="left"/>
            </w:pPr>
            <w:r>
              <w:t xml:space="preserve">Verified fact</w:t>
            </w:r>
          </w:p>
        </w:tc>
        <w:tc>
          <w:tcPr/>
          <w:p>
            <w:pPr>
              <w:pStyle w:val="Compact"/>
              <w:jc w:val="left"/>
            </w:pPr>
            <w:r>
              <w:t xml:space="preserve">A5-S038, A5-S040, A5-S027, A5-S047, A5-S077, A5-S078, V2-S019</w:t>
            </w:r>
          </w:p>
        </w:tc>
      </w:tr>
      <w:tr>
        <w:tc>
          <w:tcPr/>
          <w:p>
            <w:pPr>
              <w:pStyle w:val="Compact"/>
              <w:jc w:val="left"/>
            </w:pPr>
            <w:r>
              <w:t xml:space="preserve">Licence</w:t>
            </w:r>
          </w:p>
        </w:tc>
        <w:tc>
          <w:tcPr/>
          <w:p>
            <w:pPr>
              <w:pStyle w:val="Compact"/>
              <w:jc w:val="left"/>
            </w:pPr>
            <w:r>
              <w:t xml:space="preserve">Muse Spark: hosted API only. Muse Glimmer 30B: Apache 2.0. Llama 4: Llama 4 Community License (attribution; &gt;700M MAU need separate licence; California law).</w:t>
            </w:r>
          </w:p>
        </w:tc>
        <w:tc>
          <w:tcPr/>
          <w:p>
            <w:pPr>
              <w:pStyle w:val="Compact"/>
              <w:jc w:val="left"/>
            </w:pPr>
            <w:r>
              <w:t xml:space="preserve">Verified fact</w:t>
            </w:r>
          </w:p>
        </w:tc>
        <w:tc>
          <w:tcPr/>
          <w:p>
            <w:pPr>
              <w:pStyle w:val="Compact"/>
              <w:jc w:val="left"/>
            </w:pPr>
            <w:r>
              <w:t xml:space="preserve">A5-S077, A5-S078</w:t>
            </w:r>
          </w:p>
        </w:tc>
      </w:tr>
      <w:tr>
        <w:tc>
          <w:tcPr/>
          <w:p>
            <w:pPr>
              <w:pStyle w:val="Compact"/>
              <w:jc w:val="left"/>
            </w:pPr>
            <w:r>
              <w:t xml:space="preserve">Status events</w:t>
            </w:r>
          </w:p>
        </w:tc>
        <w:tc>
          <w:tcPr/>
          <w:p>
            <w:pPr>
              <w:pStyle w:val="Compact"/>
              <w:jc w:val="left"/>
            </w:pPr>
            <w:r>
              <w:t xml:space="preserve">April 2026: Muse Spark announced; 9 July 2026: Meta Model API public preview (Muse Spark 1.1); 5 August 2026: Muse Spark 1.2, Muse Code; August 2026: Muse Glimmer 30B (Apache 2.0); 2 September 2026: Muse Spark 1.3; Meta Connect 2026: Meta Model API GA</w:t>
            </w:r>
          </w:p>
        </w:tc>
        <w:tc>
          <w:tcPr/>
          <w:p>
            <w:pPr>
              <w:pStyle w:val="Compact"/>
              <w:jc w:val="left"/>
            </w:pPr>
            <w:r>
              <w:t xml:space="preserve">Verified fact</w:t>
            </w:r>
          </w:p>
        </w:tc>
        <w:tc>
          <w:tcPr/>
          <w:p>
            <w:pPr>
              <w:pStyle w:val="Compact"/>
              <w:jc w:val="left"/>
            </w:pPr>
            <w:r>
              <w:t xml:space="preserve">A5-S077, A5-S078, V2-S019</w:t>
            </w:r>
          </w:p>
        </w:tc>
      </w:tr>
      <w:tr>
        <w:tc>
          <w:tcPr/>
          <w:p>
            <w:pPr>
              <w:pStyle w:val="Compact"/>
              <w:jc w:val="left"/>
            </w:pPr>
            <w:r>
              <w:t xml:space="preserve">Strategic direction</w:t>
            </w:r>
          </w:p>
        </w:tc>
        <w:tc>
          <w:tcPr/>
          <w:p>
            <w:pPr>
              <w:pStyle w:val="Compact"/>
              <w:jc w:val="left"/>
            </w:pPr>
            <w:r>
              <w:t xml:space="preserve">Frontier effort moved to Meta Superintelligence Labs’ Muse brand: hosted API flagship (Muse Spark) plus a permissively licensed small open model (Muse Glimmer), distribution via Oracle, Microsoft and Google clouds.</w:t>
            </w:r>
          </w:p>
        </w:tc>
        <w:tc>
          <w:tcPr/>
          <w:p>
            <w:pPr>
              <w:pStyle w:val="Compact"/>
              <w:jc w:val="left"/>
            </w:pPr>
            <w:r>
              <w:t xml:space="preserve">Verified fact</w:t>
            </w:r>
          </w:p>
        </w:tc>
        <w:tc>
          <w:tcPr/>
          <w:p>
            <w:pPr>
              <w:pStyle w:val="Compact"/>
              <w:jc w:val="left"/>
            </w:pPr>
            <w:r>
              <w:t xml:space="preserve">A5-S077, A5-S078</w:t>
            </w:r>
          </w:p>
        </w:tc>
      </w:tr>
      <w:tr>
        <w:tc>
          <w:tcPr/>
          <w:p>
            <w:pPr>
              <w:pStyle w:val="Compact"/>
              <w:jc w:val="left"/>
            </w:pPr>
            <w:r>
              <w:t xml:space="preserve">What it does</w:t>
            </w:r>
          </w:p>
        </w:tc>
        <w:tc>
          <w:tcPr/>
          <w:p>
            <w:pPr>
              <w:pStyle w:val="Compact"/>
              <w:jc w:val="left"/>
            </w:pPr>
            <w:r>
              <w:t xml:space="preserve">Multimodal reasoning LLMs via Meta’s developer API and partner clouds; open-weight models for self-hosting.</w:t>
            </w:r>
          </w:p>
        </w:tc>
        <w:tc>
          <w:tcPr/>
          <w:p>
            <w:pPr>
              <w:pStyle w:val="Compact"/>
              <w:jc w:val="left"/>
            </w:pPr>
            <w:r>
              <w:t xml:space="preserve">Reported</w:t>
            </w:r>
          </w:p>
        </w:tc>
        <w:tc>
          <w:tcPr/>
          <w:p>
            <w:pPr>
              <w:pStyle w:val="Compact"/>
              <w:jc w:val="left"/>
            </w:pPr>
            <w:r>
              <w:t xml:space="preserve">A5-S038, A5-S040</w:t>
            </w:r>
          </w:p>
        </w:tc>
      </w:tr>
      <w:tr>
        <w:tc>
          <w:tcPr/>
          <w:p>
            <w:pPr>
              <w:pStyle w:val="Compact"/>
              <w:jc w:val="left"/>
            </w:pPr>
            <w:r>
              <w:t xml:space="preserve">Stack position</w:t>
            </w:r>
          </w:p>
        </w:tc>
        <w:tc>
          <w:tcPr/>
          <w:p>
            <w:pPr>
              <w:pStyle w:val="Compact"/>
              <w:jc w:val="left"/>
            </w:pPr>
            <w:r>
              <w:t xml:space="preserve">L1 foundation model.</w:t>
            </w:r>
          </w:p>
        </w:tc>
        <w:tc>
          <w:tcPr/>
          <w:p>
            <w:pPr>
              <w:pStyle w:val="Compact"/>
              <w:jc w:val="left"/>
            </w:pPr>
            <w:r>
              <w:t xml:space="preserve">Architectural judgement</w:t>
            </w:r>
          </w:p>
        </w:tc>
        <w:tc>
          <w:tcPr/>
          <w:p>
            <w:pPr>
              <w:pStyle w:val="Compact"/>
            </w:pPr>
          </w:p>
        </w:tc>
      </w:tr>
      <w:tr>
        <w:tc>
          <w:tcPr/>
          <w:p>
            <w:pPr>
              <w:pStyle w:val="Compact"/>
              <w:jc w:val="left"/>
            </w:pPr>
            <w:r>
              <w:t xml:space="preserve">Integration</w:t>
            </w:r>
          </w:p>
        </w:tc>
        <w:tc>
          <w:tcPr/>
          <w:p>
            <w:pPr>
              <w:pStyle w:val="Compact"/>
              <w:jc w:val="left"/>
            </w:pPr>
            <w:r>
              <w:t xml:space="preserve">Meta developer API (Llama API client SDK); Microsoft Foundry; open weights via ModelScope/Hugging Face and inference providers.</w:t>
            </w:r>
          </w:p>
        </w:tc>
        <w:tc>
          <w:tcPr/>
          <w:p>
            <w:pPr>
              <w:pStyle w:val="Compact"/>
              <w:jc w:val="left"/>
            </w:pPr>
            <w:r>
              <w:t xml:space="preserve">Reported</w:t>
            </w:r>
          </w:p>
        </w:tc>
        <w:tc>
          <w:tcPr/>
          <w:p>
            <w:pPr>
              <w:pStyle w:val="Compact"/>
              <w:jc w:val="left"/>
            </w:pPr>
            <w:r>
              <w:t xml:space="preserve">A5-S047, A5-S038, A5-S040</w:t>
            </w:r>
          </w:p>
        </w:tc>
      </w:tr>
      <w:tr>
        <w:tc>
          <w:tcPr/>
          <w:p>
            <w:pPr>
              <w:pStyle w:val="Compact"/>
              <w:jc w:val="left"/>
            </w:pPr>
            <w:r>
              <w:t xml:space="preserve">Dependencies</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Certifications</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GDPR / residency</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Security features</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Access controls</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Enterprise support</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Pricing</w:t>
            </w:r>
          </w:p>
        </w:tc>
        <w:tc>
          <w:tcPr/>
          <w:p>
            <w:pPr>
              <w:pStyle w:val="Compact"/>
              <w:jc w:val="left"/>
            </w:pPr>
            <w:r>
              <w:t xml:space="preserve">Muse Spark 1.3 (Meta API): US$1.25 input / US$4.25 output per 1M (aggregator); contributor variant US$0.10 / US$0.20; Muse Glimmer 30B (Together): US$0.35 / US$1.50 per 1M; Llama 4 Maverick (Google Cloud): US$0.35 / US$1.15 per 1M; Llama 4 Scout (Google Cloud): US$0.25 / US$0.70 per 1M</w:t>
            </w:r>
          </w:p>
        </w:tc>
        <w:tc>
          <w:tcPr/>
          <w:p>
            <w:pPr>
              <w:pStyle w:val="Compact"/>
              <w:jc w:val="left"/>
            </w:pPr>
            <w:r>
              <w:t xml:space="preserve">Reported</w:t>
            </w:r>
          </w:p>
        </w:tc>
        <w:tc>
          <w:tcPr/>
          <w:p>
            <w:pPr>
              <w:pStyle w:val="Compact"/>
              <w:jc w:val="left"/>
            </w:pPr>
            <w:r>
              <w:t xml:space="preserve">A5-S038, A5-S027</w:t>
            </w:r>
          </w:p>
        </w:tc>
      </w:tr>
      <w:tr>
        <w:tc>
          <w:tcPr/>
          <w:p>
            <w:pPr>
              <w:pStyle w:val="Compact"/>
              <w:jc w:val="left"/>
            </w:pPr>
            <w:r>
              <w:t xml:space="preserve">Infrastructure cost</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Ecosystem</w:t>
            </w:r>
          </w:p>
        </w:tc>
        <w:tc>
          <w:tcPr/>
          <w:p>
            <w:pPr>
              <w:pStyle w:val="Compact"/>
              <w:jc w:val="left"/>
            </w:pPr>
            <w:r>
              <w:t xml:space="preserve">Microsoft Foundry, Google Cloud, Amazon Bedrock, Together, Fireworks, DeepInfra, OpenRouter, ms-swift.</w:t>
            </w:r>
          </w:p>
        </w:tc>
        <w:tc>
          <w:tcPr/>
          <w:p>
            <w:pPr>
              <w:pStyle w:val="Compact"/>
              <w:jc w:val="left"/>
            </w:pPr>
            <w:r>
              <w:t xml:space="preserve">Reported</w:t>
            </w:r>
          </w:p>
        </w:tc>
        <w:tc>
          <w:tcPr/>
          <w:p>
            <w:pPr>
              <w:pStyle w:val="Compact"/>
              <w:jc w:val="left"/>
            </w:pPr>
            <w:r>
              <w:t xml:space="preserve">A5-S038, A5-S027, A5-S040</w:t>
            </w:r>
          </w:p>
        </w:tc>
      </w:tr>
      <w:tr>
        <w:tc>
          <w:tcPr/>
          <w:p>
            <w:pPr>
              <w:pStyle w:val="Compact"/>
              <w:jc w:val="left"/>
            </w:pPr>
            <w:r>
              <w:t xml:space="preserve">Adoption signals</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Maturity</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Deployment</w:t>
            </w:r>
          </w:p>
        </w:tc>
        <w:tc>
          <w:tcPr/>
          <w:p>
            <w:pPr>
              <w:pStyle w:val="Compact"/>
              <w:jc w:val="left"/>
            </w:pPr>
            <w:r>
              <w:t xml:space="preserve">saas: Yes (Meta API); managed_cloud: Yes (Microsoft Foundry Muse Spark 1.3; Llama 4 on Google Cloud, Bedrock, Foundry); vpc_byoc: Not publicly verified; private_cloud: Not publicly verified; self_hosted: Yes (Muse Glimmer 30B, Llama 4); on_prem: Yes (open-weight models)</w:t>
            </w:r>
          </w:p>
        </w:tc>
        <w:tc>
          <w:tcPr/>
          <w:p>
            <w:pPr>
              <w:pStyle w:val="Compact"/>
            </w:pPr>
          </w:p>
        </w:tc>
        <w:tc>
          <w:tcPr/>
          <w:p>
            <w:pPr>
              <w:pStyle w:val="Compact"/>
            </w:pPr>
          </w:p>
        </w:tc>
      </w:tr>
    </w:tbl>
    <w:bookmarkEnd w:id="1692"/>
    <w:bookmarkStart w:id="1709" w:name="X46dd0e23d679b36ea5b8a5aa8378fe015695a69"/>
    <w:p>
      <w:pPr>
        <w:pStyle w:val="Heading2"/>
      </w:pPr>
      <w:r>
        <w:t xml:space="preserve">Alibaba Qwen model family (Qwen3.8: Max, Flash, Omni-Flash API; open-weight Qwen3.8-27B, Qwen3.8-2.4T-A95B, Qwen3.8-Flash-Next) (</w:t>
      </w:r>
      <w:r>
        <w:rPr>
          <w:rStyle w:val="VerbatimChar"/>
        </w:rPr>
        <w:t xml:space="preserve">L1-alibaba-qwen</w:t>
      </w:r>
      <w:r>
        <w:t xml:space="preserve">)</w:t>
      </w:r>
    </w:p>
    <w:p>
      <w:pPr>
        <w:pStyle w:val="FirstParagraph"/>
      </w:pPr>
      <w:r>
        <w:rPr>
          <w:bCs/>
          <w:b/>
        </w:rPr>
        <w:t xml:space="preserve">Tier:</w:t>
      </w:r>
      <w:r>
        <w:t xml:space="preserve"> </w:t>
      </w:r>
      <w:r>
        <w:t xml:space="preserve">Tactical ·</w:t>
      </w:r>
      <w:r>
        <w:t xml:space="preserve"> </w:t>
      </w:r>
      <w:r>
        <w:rPr>
          <w:bCs/>
          <w:b/>
        </w:rPr>
        <w:t xml:space="preserve">Flags:</w:t>
      </w:r>
      <w:r>
        <w:t xml:space="preserve"> </w:t>
      </w:r>
      <w:r>
        <w:t xml:space="preserve">none ·</w:t>
      </w:r>
      <w:r>
        <w:t xml:space="preserve"> </w:t>
      </w:r>
      <w:r>
        <w:rPr>
          <w:bCs/>
          <w:b/>
        </w:rPr>
        <w:t xml:space="preserve">Original graphic label:</w:t>
      </w:r>
      <w:r>
        <w:t xml:space="preserve"> </w:t>
      </w:r>
      <w:r>
        <w:t xml:space="preserve">Qwen – 3.8</w:t>
      </w:r>
    </w:p>
    <w:p>
      <w:pPr>
        <w:pStyle w:val="BodyText"/>
      </w:pPr>
      <w:r>
        <w:rPr>
          <w:iCs/>
          <w:i/>
        </w:rPr>
        <w:t xml:space="preserve">Rationale:</w:t>
      </w:r>
      <w:r>
        <w:t xml:space="preserve"> </w:t>
      </w:r>
      <w:r>
        <w:t xml:space="preserve">Tactical, conditional: self-hosted Apache-2.0 sizes only, subject to sovereignty policy; hosted Max and Model Studio lack verified certifications and controls</w:t>
      </w:r>
      <w:r>
        <w:t xml:space="preserve"> </w:t>
      </w:r>
      <w:r>
        <w:rPr>
          <w:rStyle w:val="ClaimLabel"/>
        </w:rPr>
        <w:t xml:space="preserve">AJ</w:t>
      </w:r>
      <w:r>
        <w:t xml:space="preserve">.</w:t>
      </w:r>
    </w:p>
    <w:tbl>
      <w:tblPr>
        <w:tblStyle w:val="Table"/>
        <w:tblW w:type="pct" w:w="5000"/>
        <w:tblLook w:firstRow="1" w:lastRow="0" w:firstColumn="0" w:lastColumn="0" w:noHBand="0" w:noVBand="0" w:val="0020"/>
        <w:jc w:val="start"/>
      </w:tblPr>
      <w:tblGrid>
        <w:gridCol w:w="1545"/>
        <w:gridCol w:w="579"/>
        <w:gridCol w:w="5795"/>
      </w:tblGrid>
      <w:tr>
        <w:trPr>
          <w:tblHeader w:val="true"/>
        </w:trPr>
        <w:tc>
          <w:tcPr/>
          <w:p>
            <w:pPr>
              <w:pStyle w:val="Compact"/>
              <w:jc w:val="left"/>
            </w:pPr>
            <w:r>
              <w:t xml:space="preserve">Criterion</w:t>
            </w:r>
          </w:p>
        </w:tc>
        <w:tc>
          <w:tcPr/>
          <w:p>
            <w:pPr>
              <w:pStyle w:val="Compact"/>
              <w:jc w:val="right"/>
            </w:pPr>
            <w:r>
              <w:t xml:space="preserve">Score</w:t>
            </w:r>
          </w:p>
        </w:tc>
        <w:tc>
          <w:tcPr/>
          <w:p>
            <w:pPr>
              <w:pStyle w:val="Compact"/>
              <w:jc w:val="left"/>
            </w:pPr>
            <w:r>
              <w:t xml:space="preserve">Rationale</w:t>
            </w:r>
          </w:p>
        </w:tc>
      </w:tr>
      <w:tr>
        <w:tc>
          <w:tcPr/>
          <w:p>
            <w:pPr>
              <w:pStyle w:val="Compact"/>
              <w:jc w:val="left"/>
            </w:pPr>
            <w:r>
              <w:t xml:space="preserve">Technical</w:t>
            </w:r>
          </w:p>
        </w:tc>
        <w:tc>
          <w:tcPr/>
          <w:p>
            <w:pPr>
              <w:pStyle w:val="Compact"/>
              <w:jc w:val="right"/>
            </w:pPr>
            <w:r>
              <w:t xml:space="preserve">4</w:t>
            </w:r>
          </w:p>
        </w:tc>
        <w:tc>
          <w:tcPr/>
          <w:p>
            <w:pPr>
              <w:pStyle w:val="Compact"/>
              <w:jc w:val="left"/>
            </w:pPr>
            <w:r>
              <w:t xml:space="preserve">Dense and MoE sizes, omni-modal, coding and embedding variants (A5-S068, A5-S038); evidence is partly secondary.</w:t>
            </w:r>
          </w:p>
        </w:tc>
      </w:tr>
      <w:tr>
        <w:tc>
          <w:tcPr/>
          <w:p>
            <w:pPr>
              <w:pStyle w:val="Compact"/>
              <w:jc w:val="left"/>
            </w:pPr>
            <w:r>
              <w:t xml:space="preserve">Enterprise readiness</w:t>
            </w:r>
          </w:p>
        </w:tc>
        <w:tc>
          <w:tcPr/>
          <w:p>
            <w:pPr>
              <w:pStyle w:val="Compact"/>
              <w:jc w:val="right"/>
            </w:pPr>
            <w:r>
              <w:t xml:space="preserve">2</w:t>
            </w:r>
          </w:p>
        </w:tc>
        <w:tc>
          <w:tcPr/>
          <w:p>
            <w:pPr>
              <w:pStyle w:val="Compact"/>
              <w:jc w:val="left"/>
            </w:pPr>
            <w:r>
              <w:t xml:space="preserve">Qwen3.8 is on no hyperscaler, so rule 6 does not apply; Model Studio SSO/RBAC/audit NPV (cap 2).</w:t>
            </w:r>
          </w:p>
        </w:tc>
      </w:tr>
      <w:tr>
        <w:tc>
          <w:tcPr/>
          <w:p>
            <w:pPr>
              <w:pStyle w:val="Compact"/>
              <w:jc w:val="left"/>
            </w:pPr>
            <w:r>
              <w:t xml:space="preserve">Security and compliance</w:t>
            </w:r>
          </w:p>
        </w:tc>
        <w:tc>
          <w:tcPr/>
          <w:p>
            <w:pPr>
              <w:pStyle w:val="Compact"/>
              <w:jc w:val="right"/>
            </w:pPr>
            <w:r>
              <w:t xml:space="preserve">2</w:t>
            </w:r>
          </w:p>
        </w:tc>
        <w:tc>
          <w:tcPr/>
          <w:p>
            <w:pPr>
              <w:pStyle w:val="Compact"/>
              <w:jc w:val="left"/>
            </w:pPr>
            <w:r>
              <w:t xml:space="preserve">Certifications NPV (cap 2); Frankfurt region and no-training statement are positives (A5-S067).</w:t>
            </w:r>
          </w:p>
        </w:tc>
      </w:tr>
      <w:tr>
        <w:tc>
          <w:tcPr/>
          <w:p>
            <w:pPr>
              <w:pStyle w:val="Compact"/>
              <w:jc w:val="left"/>
            </w:pPr>
            <w:r>
              <w:t xml:space="preserve">Deployment flexibility</w:t>
            </w:r>
          </w:p>
        </w:tc>
        <w:tc>
          <w:tcPr/>
          <w:p>
            <w:pPr>
              <w:pStyle w:val="Compact"/>
              <w:jc w:val="right"/>
            </w:pPr>
            <w:r>
              <w:t xml:space="preserve">4</w:t>
            </w:r>
          </w:p>
        </w:tc>
        <w:tc>
          <w:tcPr/>
          <w:p>
            <w:pPr>
              <w:pStyle w:val="Compact"/>
              <w:jc w:val="left"/>
            </w:pPr>
            <w:r>
              <w:t xml:space="preserve">Model Studio (EU scope available) plus self-host and on-premises for open sizes; no current-generation hyperscaler route.</w:t>
            </w:r>
          </w:p>
        </w:tc>
      </w:tr>
      <w:tr>
        <w:tc>
          <w:tcPr/>
          <w:p>
            <w:pPr>
              <w:pStyle w:val="Compact"/>
              <w:jc w:val="left"/>
            </w:pPr>
            <w:r>
              <w:t xml:space="preserve">Ecosystem</w:t>
            </w:r>
          </w:p>
        </w:tc>
        <w:tc>
          <w:tcPr/>
          <w:p>
            <w:pPr>
              <w:pStyle w:val="Compact"/>
              <w:jc w:val="right"/>
            </w:pPr>
            <w:r>
              <w:t xml:space="preserve">4</w:t>
            </w:r>
          </w:p>
        </w:tc>
        <w:tc>
          <w:tcPr/>
          <w:p>
            <w:pPr>
              <w:pStyle w:val="Compact"/>
              <w:jc w:val="left"/>
            </w:pPr>
            <w:r>
              <w:t xml:space="preserve">Broad open-serving and third-party hosting support (A5-S038, A5-S041, A5-S043).</w:t>
            </w:r>
          </w:p>
        </w:tc>
      </w:tr>
      <w:tr>
        <w:tc>
          <w:tcPr/>
          <w:p>
            <w:pPr>
              <w:pStyle w:val="Compact"/>
              <w:jc w:val="left"/>
            </w:pPr>
            <w:r>
              <w:t xml:space="preserve">Reliability and maturity</w:t>
            </w:r>
          </w:p>
        </w:tc>
        <w:tc>
          <w:tcPr/>
          <w:p>
            <w:pPr>
              <w:pStyle w:val="Compact"/>
              <w:jc w:val="right"/>
            </w:pPr>
            <w:r>
              <w:t xml:space="preserve">3</w:t>
            </w:r>
          </w:p>
        </w:tc>
        <w:tc>
          <w:tcPr/>
          <w:p>
            <w:pPr>
              <w:pStyle w:val="Compact"/>
              <w:jc w:val="left"/>
            </w:pPr>
            <w:r>
              <w:t xml:space="preserve">Frequent generations (3.5 to 3.8 within 2026); maturity evidence NPV; 3 on observed cadence.</w:t>
            </w:r>
          </w:p>
        </w:tc>
      </w:tr>
      <w:tr>
        <w:tc>
          <w:tcPr/>
          <w:p>
            <w:pPr>
              <w:pStyle w:val="Compact"/>
              <w:jc w:val="left"/>
            </w:pPr>
            <w:r>
              <w:t xml:space="preserve">Cost / TCO</w:t>
            </w:r>
          </w:p>
        </w:tc>
        <w:tc>
          <w:tcPr/>
          <w:p>
            <w:pPr>
              <w:pStyle w:val="Compact"/>
              <w:jc w:val="right"/>
            </w:pPr>
            <w:r>
              <w:t xml:space="preserve">3</w:t>
            </w:r>
          </w:p>
        </w:tc>
        <w:tc>
          <w:tcPr/>
          <w:p>
            <w:pPr>
              <w:pStyle w:val="Compact"/>
              <w:jc w:val="left"/>
            </w:pPr>
            <w:r>
              <w:t xml:space="preserve">Apache-2.0 small sizes are cheap to run; hosted prices are not decision inputs (V2 §4 item 3); flagship needs multi-node serving.</w:t>
            </w:r>
          </w:p>
        </w:tc>
      </w:tr>
      <w:tr>
        <w:tc>
          <w:tcPr/>
          <w:p>
            <w:pPr>
              <w:pStyle w:val="Compact"/>
              <w:jc w:val="left"/>
            </w:pPr>
            <w:r>
              <w:t xml:space="preserve">Lock-in / portability</w:t>
            </w:r>
          </w:p>
        </w:tc>
        <w:tc>
          <w:tcPr/>
          <w:p>
            <w:pPr>
              <w:pStyle w:val="Compact"/>
              <w:jc w:val="right"/>
            </w:pPr>
            <w:r>
              <w:t xml:space="preserve">3</w:t>
            </w:r>
          </w:p>
        </w:tc>
        <w:tc>
          <w:tcPr/>
          <w:p>
            <w:pPr>
              <w:pStyle w:val="Compact"/>
              <w:jc w:val="left"/>
            </w:pPr>
            <w:r>
              <w:t xml:space="preserve">Apache-2.0 for small sizes; custom licence with a revenue threshold for the flagship (rule 4).</w:t>
            </w:r>
          </w:p>
        </w:tc>
      </w:tr>
      <w:tr>
        <w:tc>
          <w:tcPr/>
          <w:p>
            <w:pPr>
              <w:pStyle w:val="Compact"/>
              <w:jc w:val="left"/>
            </w:pPr>
            <w:r>
              <w:rPr>
                <w:bCs/>
                <w:b/>
              </w:rPr>
              <w:t xml:space="preserve">Total (generic / FS)</w:t>
            </w:r>
          </w:p>
        </w:tc>
        <w:tc>
          <w:tcPr/>
          <w:p>
            <w:pPr>
              <w:pStyle w:val="Compact"/>
              <w:jc w:val="right"/>
            </w:pPr>
            <w:r>
              <w:rPr>
                <w:bCs/>
                <w:b/>
              </w:rPr>
              <w:t xml:space="preserve">3.15 / 3.00</w:t>
            </w:r>
          </w:p>
        </w:tc>
        <w:tc>
          <w:tcPr/>
          <w:p>
            <w:pPr>
              <w:pStyle w:val="Compact"/>
            </w:pPr>
          </w:p>
        </w:tc>
      </w:tr>
    </w:tbl>
    <w:p>
      <w:pPr>
        <w:pStyle w:val="BodyText"/>
      </w:pPr>
      <w:r>
        <w:rPr>
          <w:iCs/>
          <w:i/>
        </w:rPr>
        <w:t xml:space="preserve">Evidence rules applied:</w:t>
      </w:r>
      <w:r>
        <w:t xml:space="preserve"> </w:t>
      </w:r>
      <w:r>
        <w:t xml:space="preserve">enterprise_readiness capped at 2: SSO/RBAC/audit NPV and no current-generation hyperscaler route; security_compliance capped at 2: certifications NPV</w:t>
      </w:r>
    </w:p>
    <w:p>
      <w:pPr>
        <w:pStyle w:val="BodyText"/>
      </w:pPr>
      <w:r>
        <w:rPr>
          <w:bCs/>
          <w:b/>
        </w:rPr>
        <w:t xml:space="preserve">Capabilities.</w:t>
      </w:r>
      <w:r>
        <w:t xml:space="preserve"> </w:t>
      </w:r>
      <w:r>
        <w:t xml:space="preserve">Qwen3.8 family: hosted qwen3.8-max (launched 3 August 2026), qwen3.8-flash and omni-flash through Alibaba Cloud Model Studio; open weights Qwen3.8-27B (Apache 2.0), Qwen3.8-2.4T-A95B (12 August 2026, custom Qwen3.8-Max License) and Qwen3.8-Flash-Next; coding and embedding lines</w:t>
      </w:r>
      <w:r>
        <w:t xml:space="preserve"> </w:t>
      </w:r>
      <w:r>
        <w:rPr>
          <w:rStyle w:val="ClaimLabel"/>
        </w:rPr>
        <w:t xml:space="preserve">VF</w:t>
      </w:r>
      <w:r>
        <w:rPr>
          <w:rStyle w:val="FootnoteReference"/>
        </w:rPr>
        <w:footnoteReference w:id="1693"/>
      </w:r>
      <w:r>
        <w:t xml:space="preserve"> </w:t>
      </w:r>
      <w:r>
        <w:rPr>
          <w:rStyle w:val="ClaimLabel"/>
        </w:rPr>
        <w:t xml:space="preserve">R</w:t>
      </w:r>
      <w:r>
        <w:rPr>
          <w:rStyle w:val="FootnoteReference"/>
        </w:rPr>
        <w:footnoteReference w:id="1696"/>
      </w:r>
      <w:r>
        <w:t xml:space="preserve">.</w:t>
      </w:r>
    </w:p>
    <w:p>
      <w:pPr>
        <w:pStyle w:val="BodyText"/>
      </w:pPr>
      <w:r>
        <w:rPr>
          <w:bCs/>
          <w:b/>
        </w:rPr>
        <w:t xml:space="preserve">Strengths</w:t>
      </w:r>
    </w:p>
    <w:p>
      <w:pPr>
        <w:numPr>
          <w:ilvl w:val="0"/>
          <w:numId w:val="1357"/>
        </w:numPr>
        <w:pStyle w:val="Compact"/>
      </w:pPr>
      <w:r>
        <w:t xml:space="preserve">Widest open-weight size range in the layer (27B to 2.4T total)</w:t>
      </w:r>
      <w:r>
        <w:t xml:space="preserve"> </w:t>
      </w:r>
      <w:r>
        <w:rPr>
          <w:rStyle w:val="ClaimLabel"/>
        </w:rPr>
        <w:t xml:space="preserve">VF</w:t>
      </w:r>
      <w:r>
        <w:rPr>
          <w:rStyle w:val="FootnoteReference"/>
        </w:rPr>
        <w:footnoteReference w:id="1698"/>
      </w:r>
      <w:r>
        <w:t xml:space="preserve"> </w:t>
      </w:r>
      <w:r>
        <w:rPr>
          <w:rStyle w:val="ClaimLabel"/>
        </w:rPr>
        <w:t xml:space="preserve">R</w:t>
      </w:r>
      <w:r>
        <w:rPr>
          <w:rStyle w:val="FootnoteReference"/>
        </w:rPr>
        <w:footnoteReference w:id="1699"/>
      </w:r>
    </w:p>
    <w:p>
      <w:pPr>
        <w:numPr>
          <w:ilvl w:val="0"/>
          <w:numId w:val="1357"/>
        </w:numPr>
        <w:pStyle w:val="Compact"/>
      </w:pPr>
      <w:r>
        <w:t xml:space="preserve">Model Studio is region-bound, with a Frankfurt EU scope, and says it never trains on customer data</w:t>
      </w:r>
      <w:r>
        <w:t xml:space="preserve"> </w:t>
      </w:r>
      <w:r>
        <w:rPr>
          <w:rStyle w:val="ClaimLabel"/>
        </w:rPr>
        <w:t xml:space="preserve">VF</w:t>
      </w:r>
      <w:r>
        <w:rPr>
          <w:rStyle w:val="FootnoteReference"/>
        </w:rPr>
        <w:footnoteReference w:id="1701"/>
      </w:r>
    </w:p>
    <w:p>
      <w:pPr>
        <w:numPr>
          <w:ilvl w:val="0"/>
          <w:numId w:val="1357"/>
        </w:numPr>
        <w:pStyle w:val="Compact"/>
      </w:pPr>
      <w:r>
        <w:t xml:space="preserve">Qwen3.8-27B under Apache 2.0</w:t>
      </w:r>
      <w:r>
        <w:t xml:space="preserve"> </w:t>
      </w:r>
      <w:r>
        <w:rPr>
          <w:rStyle w:val="ClaimLabel"/>
        </w:rPr>
        <w:t xml:space="preserve">VF</w:t>
      </w:r>
      <w:r>
        <w:rPr>
          <w:rStyle w:val="FootnoteReference"/>
        </w:rPr>
        <w:footnoteReference w:id="1703"/>
      </w:r>
    </w:p>
    <w:p>
      <w:pPr>
        <w:pStyle w:val="FirstParagraph"/>
      </w:pPr>
      <w:r>
        <w:rPr>
          <w:bCs/>
          <w:b/>
        </w:rPr>
        <w:t xml:space="preserve">Limitations and risks</w:t>
      </w:r>
    </w:p>
    <w:p>
      <w:pPr>
        <w:numPr>
          <w:ilvl w:val="0"/>
          <w:numId w:val="1358"/>
        </w:numPr>
        <w:pStyle w:val="Compact"/>
      </w:pPr>
      <w:r>
        <w:t xml:space="preserve">Qwen3.8 is not offered on any hyperscaler; Bedrock and Google Cloud carry only Qwen3</w:t>
      </w:r>
      <w:r>
        <w:t xml:space="preserve"> </w:t>
      </w:r>
      <w:r>
        <w:rPr>
          <w:rStyle w:val="ClaimLabel"/>
        </w:rPr>
        <w:t xml:space="preserve">VF</w:t>
      </w:r>
      <w:r>
        <w:rPr>
          <w:rStyle w:val="FootnoteReference"/>
        </w:rPr>
        <w:footnoteReference w:id="1704"/>
      </w:r>
    </w:p>
    <w:p>
      <w:pPr>
        <w:numPr>
          <w:ilvl w:val="0"/>
          <w:numId w:val="1358"/>
        </w:numPr>
        <w:pStyle w:val="Compact"/>
      </w:pPr>
      <w:r>
        <w:t xml:space="preserve">Flagship weights use a custom licence: Model-as-a-Service businesses above US$50m trailing revenue need a separate licence (licence file not read)</w:t>
      </w:r>
      <w:r>
        <w:t xml:space="preserve"> </w:t>
      </w:r>
      <w:r>
        <w:rPr>
          <w:rStyle w:val="ClaimLabel"/>
        </w:rPr>
        <w:t xml:space="preserve">R</w:t>
      </w:r>
      <w:r>
        <w:rPr>
          <w:rStyle w:val="FootnoteReference"/>
        </w:rPr>
        <w:footnoteReference w:id="1705"/>
      </w:r>
    </w:p>
    <w:p>
      <w:pPr>
        <w:numPr>
          <w:ilvl w:val="0"/>
          <w:numId w:val="1358"/>
        </w:numPr>
        <w:pStyle w:val="Compact"/>
      </w:pPr>
      <w:r>
        <w:t xml:space="preserve">Taiwan’s NSB (November 2025) found security and bias failings in Tongyi/Qwen among five PRC models; no CAISI evaluation of Qwen found</w:t>
      </w:r>
      <w:r>
        <w:t xml:space="preserve"> </w:t>
      </w:r>
      <w:r>
        <w:rPr>
          <w:rStyle w:val="ClaimLabel"/>
        </w:rPr>
        <w:t xml:space="preserve">VF</w:t>
      </w:r>
      <w:r>
        <w:rPr>
          <w:rStyle w:val="FootnoteReference"/>
        </w:rPr>
        <w:footnoteReference w:id="1706"/>
      </w:r>
    </w:p>
    <w:p>
      <w:pPr>
        <w:numPr>
          <w:ilvl w:val="0"/>
          <w:numId w:val="1358"/>
        </w:numPr>
        <w:pStyle w:val="Compact"/>
      </w:pPr>
      <w:r>
        <w:t xml:space="preserve">Reported July 2026 consideration in Beijing of restricting overseas access to leading Chinese models including open-weight Qwen (unenacted)</w:t>
      </w:r>
      <w:r>
        <w:t xml:space="preserve"> </w:t>
      </w:r>
      <w:r>
        <w:rPr>
          <w:rStyle w:val="ClaimLabel"/>
        </w:rPr>
        <w:t xml:space="preserve">R</w:t>
      </w:r>
      <w:r>
        <w:rPr>
          <w:rStyle w:val="FootnoteReference"/>
        </w:rPr>
        <w:footnoteReference w:id="1708"/>
      </w:r>
    </w:p>
    <w:p>
      <w:pPr>
        <w:numPr>
          <w:ilvl w:val="0"/>
          <w:numId w:val="1358"/>
        </w:numPr>
        <w:pStyle w:val="Compact"/>
      </w:pPr>
      <w:r>
        <w:t xml:space="preserve">Certifications, access controls and support for Model Studio not publicly verified</w:t>
      </w:r>
      <w:r>
        <w:t xml:space="preserve"> </w:t>
      </w:r>
      <w:r>
        <w:rPr>
          <w:rStyle w:val="ClaimLabel"/>
        </w:rPr>
        <w:t xml:space="preserve">NPV</w:t>
      </w:r>
    </w:p>
    <w:p>
      <w:pPr>
        <w:pStyle w:val="FirstParagraph"/>
      </w:pPr>
      <w:r>
        <w:rPr>
          <w:bCs/>
          <w:b/>
        </w:rPr>
        <w:t xml:space="preserve">Choose when</w:t>
      </w:r>
    </w:p>
    <w:p>
      <w:pPr>
        <w:numPr>
          <w:ilvl w:val="0"/>
          <w:numId w:val="1359"/>
        </w:numPr>
        <w:pStyle w:val="Compact"/>
      </w:pPr>
      <w:r>
        <w:t xml:space="preserve">A small Apache-2.0 model (Qwen3.8-27B) is needed self-hosted and the firm’s sovereignty policy permits Chinese-origin weights</w:t>
      </w:r>
      <w:r>
        <w:t xml:space="preserve"> </w:t>
      </w:r>
      <w:r>
        <w:rPr>
          <w:rStyle w:val="ClaimLabel"/>
        </w:rPr>
        <w:t xml:space="preserve">AJ</w:t>
      </w:r>
    </w:p>
    <w:p>
      <w:pPr>
        <w:pStyle w:val="FirstParagraph"/>
      </w:pPr>
      <w:r>
        <w:rPr>
          <w:bCs/>
          <w:b/>
        </w:rPr>
        <w:t xml:space="preserve">Avoid when</w:t>
      </w:r>
    </w:p>
    <w:p>
      <w:pPr>
        <w:numPr>
          <w:ilvl w:val="0"/>
          <w:numId w:val="1360"/>
        </w:numPr>
        <w:pStyle w:val="Compact"/>
      </w:pPr>
      <w:r>
        <w:t xml:space="preserve">The firm needs a hyperscaler-hosted current-generation route</w:t>
      </w:r>
      <w:r>
        <w:t xml:space="preserve"> </w:t>
      </w:r>
      <w:r>
        <w:rPr>
          <w:rStyle w:val="ClaimLabel"/>
        </w:rPr>
        <w:t xml:space="preserve">AJ</w:t>
      </w:r>
    </w:p>
    <w:p>
      <w:pPr>
        <w:numPr>
          <w:ilvl w:val="0"/>
          <w:numId w:val="1360"/>
        </w:numPr>
        <w:pStyle w:val="Compact"/>
      </w:pPr>
      <w:r>
        <w:t xml:space="preserve">You would deploy the flagship weights without legal review of the custom licence</w:t>
      </w:r>
      <w:r>
        <w:t xml:space="preserve"> </w:t>
      </w:r>
      <w:r>
        <w:rPr>
          <w:rStyle w:val="ClaimLabel"/>
        </w:rPr>
        <w:t xml:space="preserve">AJ</w:t>
      </w:r>
    </w:p>
    <w:p>
      <w:pPr>
        <w:pStyle w:val="FirstParagraph"/>
      </w:pPr>
      <w:r>
        <w:rPr>
          <w:bCs/>
          <w:b/>
        </w:rPr>
        <w:t xml:space="preserve">Nearest competitors:</w:t>
      </w:r>
      <w:r>
        <w:t xml:space="preserve"> </w:t>
      </w:r>
      <w:r>
        <w:t xml:space="preserve">L1-google-gemma, L1-mistral, L1-deepseek</w:t>
      </w:r>
    </w:p>
    <w:p>
      <w:pPr>
        <w:pStyle w:val="BodyText"/>
      </w:pPr>
      <w:r>
        <w:rPr>
          <w:bCs/>
          <w:b/>
        </w:rPr>
        <w:t xml:space="preserve">Regulated-FS note.</w:t>
      </w:r>
      <w:r>
        <w:t xml:space="preserve"> </w:t>
      </w:r>
      <w:r>
        <w:t xml:space="preserve">Self-host the Apache-2.0 sizes only; treat Model Studio Frankfurt as unassessed until certifications are verified</w:t>
      </w:r>
      <w:r>
        <w:t xml:space="preserve"> </w:t>
      </w:r>
      <w:r>
        <w:rPr>
          <w:rStyle w:val="ClaimLabel"/>
        </w:rPr>
        <w:t xml:space="preserve">Rec</w:t>
      </w:r>
      <w:r>
        <w:t xml:space="preserve">.</w:t>
      </w:r>
    </w:p>
    <w:p>
      <w:pPr>
        <w:pStyle w:val="BodyText"/>
      </w:pPr>
      <w:r>
        <w:rPr>
          <w:bCs/>
          <w:b/>
        </w:rPr>
        <w:t xml:space="preserve">Facts (as of 2026-10-08)</w:t>
      </w:r>
    </w:p>
    <w:tbl>
      <w:tblPr>
        <w:tblStyle w:val="Table"/>
        <w:tblW w:type="pct" w:w="5000"/>
        <w:tblLook w:firstRow="1" w:lastRow="0" w:firstColumn="0" w:lastColumn="0" w:noHBand="0" w:noVBand="0" w:val="0020"/>
        <w:jc w:val="start"/>
      </w:tblPr>
      <w:tblGrid>
        <w:gridCol w:w="1485"/>
        <w:gridCol w:w="4290"/>
        <w:gridCol w:w="1320"/>
        <w:gridCol w:w="825"/>
      </w:tblGrid>
      <w:tr>
        <w:trPr>
          <w:tblHeader w:val="true"/>
        </w:trPr>
        <w:tc>
          <w:tcPr/>
          <w:p>
            <w:pPr>
              <w:pStyle w:val="Compact"/>
              <w:jc w:val="left"/>
            </w:pPr>
            <w:r>
              <w:t xml:space="preserve">Field</w:t>
            </w:r>
          </w:p>
        </w:tc>
        <w:tc>
          <w:tcPr/>
          <w:p>
            <w:pPr>
              <w:pStyle w:val="Compact"/>
              <w:jc w:val="left"/>
            </w:pPr>
            <w:r>
              <w:t xml:space="preserve">Value</w:t>
            </w:r>
          </w:p>
        </w:tc>
        <w:tc>
          <w:tcPr/>
          <w:p>
            <w:pPr>
              <w:pStyle w:val="Compact"/>
              <w:jc w:val="left"/>
            </w:pPr>
            <w:r>
              <w:t xml:space="preserve">Label</w:t>
            </w:r>
          </w:p>
        </w:tc>
        <w:tc>
          <w:tcPr/>
          <w:p>
            <w:pPr>
              <w:pStyle w:val="Compact"/>
              <w:jc w:val="left"/>
            </w:pPr>
            <w:r>
              <w:t xml:space="preserve">Sources</w:t>
            </w:r>
          </w:p>
        </w:tc>
      </w:tr>
      <w:tr>
        <w:tc>
          <w:tcPr/>
          <w:p>
            <w:pPr>
              <w:pStyle w:val="Compact"/>
              <w:jc w:val="left"/>
            </w:pPr>
            <w:r>
              <w:t xml:space="preserve">Company</w:t>
            </w:r>
          </w:p>
        </w:tc>
        <w:tc>
          <w:tcPr/>
          <w:p>
            <w:pPr>
              <w:pStyle w:val="Compact"/>
              <w:jc w:val="left"/>
            </w:pPr>
            <w:r>
              <w:t xml:space="preserve">Alibaba Cloud (Qwen team); official dashscope SDK published by Alibaba Cloud</w:t>
            </w:r>
          </w:p>
        </w:tc>
        <w:tc>
          <w:tcPr/>
          <w:p>
            <w:pPr>
              <w:pStyle w:val="Compact"/>
              <w:jc w:val="left"/>
            </w:pPr>
            <w:r>
              <w:t xml:space="preserve">Verified fact</w:t>
            </w:r>
          </w:p>
        </w:tc>
        <w:tc>
          <w:tcPr/>
          <w:p>
            <w:pPr>
              <w:pStyle w:val="Compact"/>
              <w:jc w:val="left"/>
            </w:pPr>
            <w:r>
              <w:t xml:space="preserve">A5-S047</w:t>
            </w:r>
          </w:p>
        </w:tc>
      </w:tr>
      <w:tr>
        <w:tc>
          <w:tcPr/>
          <w:p>
            <w:pPr>
              <w:pStyle w:val="Compact"/>
              <w:jc w:val="left"/>
            </w:pPr>
            <w:r>
              <w:t xml:space="preserve">Category</w:t>
            </w:r>
          </w:p>
        </w:tc>
        <w:tc>
          <w:tcPr/>
          <w:p>
            <w:pPr>
              <w:pStyle w:val="Compact"/>
              <w:jc w:val="left"/>
            </w:pPr>
            <w:r>
              <w:t xml:space="preserve">Open-weight and API model vendor (general, reasoning, coding, omni-modal, embeddings)</w:t>
            </w:r>
          </w:p>
        </w:tc>
        <w:tc>
          <w:tcPr/>
          <w:p>
            <w:pPr>
              <w:pStyle w:val="Compact"/>
              <w:jc w:val="left"/>
            </w:pPr>
            <w:r>
              <w:t xml:space="preserve">Reported</w:t>
            </w:r>
          </w:p>
        </w:tc>
        <w:tc>
          <w:tcPr/>
          <w:p>
            <w:pPr>
              <w:pStyle w:val="Compact"/>
              <w:jc w:val="left"/>
            </w:pPr>
            <w:r>
              <w:t xml:space="preserve">A5-S038, A5-S040</w:t>
            </w:r>
          </w:p>
        </w:tc>
      </w:tr>
      <w:tr>
        <w:tc>
          <w:tcPr/>
          <w:p>
            <w:pPr>
              <w:pStyle w:val="Compact"/>
              <w:jc w:val="left"/>
            </w:pPr>
            <w:r>
              <w:t xml:space="preserve">Version / lineup</w:t>
            </w:r>
          </w:p>
        </w:tc>
        <w:tc>
          <w:tcPr/>
          <w:p>
            <w:pPr>
              <w:pStyle w:val="Compact"/>
              <w:jc w:val="left"/>
            </w:pPr>
            <w:r>
              <w:t xml:space="preserve">flagship_api: qwen3.8-max (snapshot qwen3.8-max-0902), 1M context, 128K output; US$2 / US$6 per 1M (International scope). [A5-S068, A5-S038]; small_api: qwen3.8-flash and qwen3.8-omni-flash, ~992K context. [A5-S038]; open_weight: Qwen3.8-2.4T-A95B flagship weights (hosted Qwen3.8-Max launched 3 August 2026; weights 12 August 2026; ~95B active; open weights reportedly text-only and without the full 1M context; custom Qwen3.8-Max License), Qwen3.8-27B (Apache 2.0, 262K native context), Qwen3.8-Flash (open-weight multimodal MoE, ~late August 2026), Qwen3.8-Flash-Next. [A5-S066, A5-S068, A5-S040,</w:t>
            </w:r>
          </w:p>
        </w:tc>
        <w:tc>
          <w:tcPr/>
          <w:p>
            <w:pPr>
              <w:pStyle w:val="Compact"/>
              <w:jc w:val="left"/>
            </w:pPr>
            <w:r>
              <w:t xml:space="preserve">Verified fact</w:t>
            </w:r>
          </w:p>
        </w:tc>
        <w:tc>
          <w:tcPr/>
          <w:p>
            <w:pPr>
              <w:pStyle w:val="Compact"/>
              <w:jc w:val="left"/>
            </w:pPr>
            <w:r>
              <w:t xml:space="preserve">A5-S038, A5-S040, A5-S041, A5-S044, A5-S027, A5-S066, A5-S068, V2-S014</w:t>
            </w:r>
          </w:p>
        </w:tc>
      </w:tr>
      <w:tr>
        <w:tc>
          <w:tcPr/>
          <w:p>
            <w:pPr>
              <w:pStyle w:val="Compact"/>
              <w:jc w:val="left"/>
            </w:pPr>
            <w:r>
              <w:t xml:space="preserve">Licence</w:t>
            </w:r>
          </w:p>
        </w:tc>
        <w:tc>
          <w:tcPr/>
          <w:p>
            <w:pPr>
              <w:pStyle w:val="Compact"/>
              <w:jc w:val="left"/>
            </w:pPr>
            <w:r>
              <w:t xml:space="preserve">Mixed: Qwen3.8-27B Apache 2.0; Qwen3.8-2.4T-A95B (open weights 12 August 2026) under a custom</w:t>
            </w:r>
            <w:r>
              <w:t xml:space="preserve"> </w:t>
            </w:r>
            <w:r>
              <w:t xml:space="preserve">“</w:t>
            </w:r>
            <w:r>
              <w:t xml:space="preserve">Qwen3.8-Max License</w:t>
            </w:r>
            <w:r>
              <w:t xml:space="preserve">”</w:t>
            </w:r>
            <w:r>
              <w:t xml:space="preserve">: Model-as-a-Service or AI-assistant businesses with over US$50m trailing revenue need a separate licence, with attribution duties for very large products (Reported; licence file not read); Max/Plus API tiers proprietary; Qwen-Image-2.1 reportedly research-only.</w:t>
            </w:r>
          </w:p>
        </w:tc>
        <w:tc>
          <w:tcPr/>
          <w:p>
            <w:pPr>
              <w:pStyle w:val="Compact"/>
              <w:jc w:val="left"/>
            </w:pPr>
            <w:r>
              <w:t xml:space="preserve">Reported</w:t>
            </w:r>
          </w:p>
        </w:tc>
        <w:tc>
          <w:tcPr/>
          <w:p>
            <w:pPr>
              <w:pStyle w:val="Compact"/>
              <w:jc w:val="left"/>
            </w:pPr>
            <w:r>
              <w:t xml:space="preserve">A5-S066, V2-S014</w:t>
            </w:r>
          </w:p>
        </w:tc>
      </w:tr>
      <w:tr>
        <w:tc>
          <w:tcPr/>
          <w:p>
            <w:pPr>
              <w:pStyle w:val="Compact"/>
              <w:jc w:val="left"/>
            </w:pPr>
            <w:r>
              <w:t xml:space="preserve">Status events</w:t>
            </w:r>
          </w:p>
        </w:tc>
        <w:tc>
          <w:tcPr/>
          <w:p>
            <w:pPr>
              <w:pStyle w:val="Compact"/>
              <w:jc w:val="left"/>
            </w:pPr>
            <w:r>
              <w:t xml:space="preserve">February 2026: Qwen3.5 (LMDeploy support); 26 August 2026: Qwen3.8-Flash-Next (ms-swift day-0); 3 August 2026: Qwen3.8-Max hosted launch (Reported); 12 August 2026: Qwen3.8-2.4T-A95B open weights under Qwen3.8-Max License (Reported)</w:t>
            </w:r>
          </w:p>
        </w:tc>
        <w:tc>
          <w:tcPr/>
          <w:p>
            <w:pPr>
              <w:pStyle w:val="Compact"/>
              <w:jc w:val="left"/>
            </w:pPr>
            <w:r>
              <w:t xml:space="preserve">Reported</w:t>
            </w:r>
          </w:p>
        </w:tc>
        <w:tc>
          <w:tcPr/>
          <w:p>
            <w:pPr>
              <w:pStyle w:val="Compact"/>
              <w:jc w:val="left"/>
            </w:pPr>
            <w:r>
              <w:t xml:space="preserve">A5-S044, A5-S040, V2-S014</w:t>
            </w:r>
          </w:p>
        </w:tc>
      </w:tr>
      <w:tr>
        <w:tc>
          <w:tcPr/>
          <w:p>
            <w:pPr>
              <w:pStyle w:val="Compact"/>
              <w:jc w:val="left"/>
            </w:pPr>
            <w:r>
              <w:t xml:space="preserve">Strategic direction</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What it does</w:t>
            </w:r>
          </w:p>
        </w:tc>
        <w:tc>
          <w:tcPr/>
          <w:p>
            <w:pPr>
              <w:pStyle w:val="Compact"/>
              <w:jc w:val="left"/>
            </w:pPr>
            <w:r>
              <w:t xml:space="preserve">Family of dense and MoE LLMs, multimodal and coding variants, offered as open weights and via Alibaba Cloud Model Studio (DashScope) API.</w:t>
            </w:r>
          </w:p>
        </w:tc>
        <w:tc>
          <w:tcPr/>
          <w:p>
            <w:pPr>
              <w:pStyle w:val="Compact"/>
              <w:jc w:val="left"/>
            </w:pPr>
            <w:r>
              <w:t xml:space="preserve">Reported</w:t>
            </w:r>
          </w:p>
        </w:tc>
        <w:tc>
          <w:tcPr/>
          <w:p>
            <w:pPr>
              <w:pStyle w:val="Compact"/>
              <w:jc w:val="left"/>
            </w:pPr>
            <w:r>
              <w:t xml:space="preserve">A5-S038, A5-S041</w:t>
            </w:r>
          </w:p>
        </w:tc>
      </w:tr>
      <w:tr>
        <w:tc>
          <w:tcPr/>
          <w:p>
            <w:pPr>
              <w:pStyle w:val="Compact"/>
              <w:jc w:val="left"/>
            </w:pPr>
            <w:r>
              <w:t xml:space="preserve">Stack position</w:t>
            </w:r>
          </w:p>
        </w:tc>
        <w:tc>
          <w:tcPr/>
          <w:p>
            <w:pPr>
              <w:pStyle w:val="Compact"/>
              <w:jc w:val="left"/>
            </w:pPr>
            <w:r>
              <w:t xml:space="preserve">L1 foundation model; Qwen3 embeddings also appear at L7.</w:t>
            </w:r>
          </w:p>
        </w:tc>
        <w:tc>
          <w:tcPr/>
          <w:p>
            <w:pPr>
              <w:pStyle w:val="Compact"/>
              <w:jc w:val="left"/>
            </w:pPr>
            <w:r>
              <w:t xml:space="preserve">Architectural judgement</w:t>
            </w:r>
          </w:p>
        </w:tc>
        <w:tc>
          <w:tcPr/>
          <w:p>
            <w:pPr>
              <w:pStyle w:val="Compact"/>
            </w:pPr>
          </w:p>
        </w:tc>
      </w:tr>
      <w:tr>
        <w:tc>
          <w:tcPr/>
          <w:p>
            <w:pPr>
              <w:pStyle w:val="Compact"/>
              <w:jc w:val="left"/>
            </w:pPr>
            <w:r>
              <w:t xml:space="preserve">Integration</w:t>
            </w:r>
          </w:p>
        </w:tc>
        <w:tc>
          <w:tcPr/>
          <w:p>
            <w:pPr>
              <w:pStyle w:val="Compact"/>
              <w:jc w:val="left"/>
            </w:pPr>
            <w:r>
              <w:t xml:space="preserve">DashScope API (dashscope SDK 1.27.7, Apache 2.0, 24 September 2026); open weights via Hugging Face/ModelScope served by vLLM, SGLang, LMDeploy, Xinference.</w:t>
            </w:r>
          </w:p>
        </w:tc>
        <w:tc>
          <w:tcPr/>
          <w:p>
            <w:pPr>
              <w:pStyle w:val="Compact"/>
              <w:jc w:val="left"/>
            </w:pPr>
            <w:r>
              <w:t xml:space="preserve">Verified fact</w:t>
            </w:r>
          </w:p>
        </w:tc>
        <w:tc>
          <w:tcPr/>
          <w:p>
            <w:pPr>
              <w:pStyle w:val="Compact"/>
              <w:jc w:val="left"/>
            </w:pPr>
            <w:r>
              <w:t xml:space="preserve">A5-S047, A5-S041</w:t>
            </w:r>
          </w:p>
        </w:tc>
      </w:tr>
      <w:tr>
        <w:tc>
          <w:tcPr/>
          <w:p>
            <w:pPr>
              <w:pStyle w:val="Compact"/>
              <w:jc w:val="left"/>
            </w:pPr>
            <w:r>
              <w:t xml:space="preserve">Dependencies</w:t>
            </w:r>
          </w:p>
        </w:tc>
        <w:tc>
          <w:tcPr/>
          <w:p>
            <w:pPr>
              <w:pStyle w:val="Compact"/>
              <w:jc w:val="left"/>
            </w:pPr>
            <w:r>
              <w:t xml:space="preserve">Self-hosting: model sizes range from 27B to 2.4T total parameters (Qwen3.8).</w:t>
            </w:r>
          </w:p>
        </w:tc>
        <w:tc>
          <w:tcPr/>
          <w:p>
            <w:pPr>
              <w:pStyle w:val="Compact"/>
              <w:jc w:val="left"/>
            </w:pPr>
            <w:r>
              <w:t xml:space="preserve">Reported</w:t>
            </w:r>
          </w:p>
        </w:tc>
        <w:tc>
          <w:tcPr/>
          <w:p>
            <w:pPr>
              <w:pStyle w:val="Compact"/>
              <w:jc w:val="left"/>
            </w:pPr>
            <w:r>
              <w:t xml:space="preserve">A5-S041</w:t>
            </w:r>
          </w:p>
        </w:tc>
      </w:tr>
      <w:tr>
        <w:tc>
          <w:tcPr/>
          <w:p>
            <w:pPr>
              <w:pStyle w:val="Compact"/>
              <w:jc w:val="left"/>
            </w:pPr>
            <w:r>
              <w:t xml:space="preserve">Certifications</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GDPR / residency</w:t>
            </w:r>
          </w:p>
        </w:tc>
        <w:tc>
          <w:tcPr/>
          <w:p>
            <w:pPr>
              <w:pStyle w:val="Compact"/>
              <w:jc w:val="left"/>
            </w:pPr>
            <w:r>
              <w:t xml:space="preserve">Alibaba says it never uses customer data for model training (Model Studio FAQ). Region-bound storage: Frankfurt region supports an EU deployment scope (workspace-dedicated endpoint), Singapore</w:t>
            </w:r>
            <w:r>
              <w:t xml:space="preserve"> </w:t>
            </w:r>
            <w:r>
              <w:t xml:space="preserve">“</w:t>
            </w:r>
            <w:r>
              <w:t xml:space="preserve">International</w:t>
            </w:r>
            <w:r>
              <w:t xml:space="preserve">”</w:t>
            </w:r>
            <w:r>
              <w:t xml:space="preserve"> </w:t>
            </w:r>
            <w:r>
              <w:t xml:space="preserve">scope, US (Virginia) US scope, Beijing mainland scope; static data remains in the selected region. Bedrock-hosted Qwen3 available in London, Ireland, Stockholm, Milan regions.</w:t>
            </w:r>
          </w:p>
        </w:tc>
        <w:tc>
          <w:tcPr/>
          <w:p>
            <w:pPr>
              <w:pStyle w:val="Compact"/>
              <w:jc w:val="left"/>
            </w:pPr>
            <w:r>
              <w:t xml:space="preserve">Verified fact</w:t>
            </w:r>
          </w:p>
        </w:tc>
        <w:tc>
          <w:tcPr/>
          <w:p>
            <w:pPr>
              <w:pStyle w:val="Compact"/>
              <w:jc w:val="left"/>
            </w:pPr>
            <w:r>
              <w:t xml:space="preserve">A5-S067, A5-S086</w:t>
            </w:r>
          </w:p>
        </w:tc>
      </w:tr>
      <w:tr>
        <w:tc>
          <w:tcPr/>
          <w:p>
            <w:pPr>
              <w:pStyle w:val="Compact"/>
              <w:jc w:val="left"/>
            </w:pPr>
            <w:r>
              <w:t xml:space="preserve">Security features</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Access controls</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Enterprise support</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Pricing</w:t>
            </w:r>
          </w:p>
        </w:tc>
        <w:tc>
          <w:tcPr/>
          <w:p>
            <w:pPr>
              <w:pStyle w:val="Compact"/>
              <w:jc w:val="left"/>
            </w:pPr>
            <w:r>
              <w:t xml:space="preserve">qwen3.8-max (International): US$2 input / US$6 output per 1M; cached US$0.25; qwen3.8-flash (Singapore): US$0.15 / US$0.47 per 1M; Global/US US$0.113 / US$0.382; Google Cloud Qwen3-235B-A22B-2507: US$0.22 / US$0.88 per 1M</w:t>
            </w:r>
          </w:p>
        </w:tc>
        <w:tc>
          <w:tcPr/>
          <w:p>
            <w:pPr>
              <w:pStyle w:val="Compact"/>
              <w:jc w:val="left"/>
            </w:pPr>
            <w:r>
              <w:t xml:space="preserve">Verified fact</w:t>
            </w:r>
          </w:p>
        </w:tc>
        <w:tc>
          <w:tcPr/>
          <w:p>
            <w:pPr>
              <w:pStyle w:val="Compact"/>
              <w:jc w:val="left"/>
            </w:pPr>
            <w:r>
              <w:t xml:space="preserve">A5-S068, A5-S027</w:t>
            </w:r>
          </w:p>
        </w:tc>
      </w:tr>
      <w:tr>
        <w:tc>
          <w:tcPr/>
          <w:p>
            <w:pPr>
              <w:pStyle w:val="Compact"/>
              <w:jc w:val="left"/>
            </w:pPr>
            <w:r>
              <w:t xml:space="preserve">Infrastructure cost</w:t>
            </w:r>
          </w:p>
        </w:tc>
        <w:tc>
          <w:tcPr/>
          <w:p>
            <w:pPr>
              <w:pStyle w:val="Compact"/>
              <w:jc w:val="left"/>
            </w:pPr>
            <w:r>
              <w:t xml:space="preserve">Qwen3.8 open sizes 27B (single-GPU class with quantisation) to 2.4T-A95B (multi-node).</w:t>
            </w:r>
          </w:p>
        </w:tc>
        <w:tc>
          <w:tcPr/>
          <w:p>
            <w:pPr>
              <w:pStyle w:val="Compact"/>
              <w:jc w:val="left"/>
            </w:pPr>
            <w:r>
              <w:t xml:space="preserve">Reported</w:t>
            </w:r>
          </w:p>
        </w:tc>
        <w:tc>
          <w:tcPr/>
          <w:p>
            <w:pPr>
              <w:pStyle w:val="Compact"/>
              <w:jc w:val="left"/>
            </w:pPr>
            <w:r>
              <w:t xml:space="preserve">A5-S041, A5-S043</w:t>
            </w:r>
          </w:p>
        </w:tc>
      </w:tr>
      <w:tr>
        <w:tc>
          <w:tcPr/>
          <w:p>
            <w:pPr>
              <w:pStyle w:val="Compact"/>
              <w:jc w:val="left"/>
            </w:pPr>
            <w:r>
              <w:t xml:space="preserve">Ecosystem</w:t>
            </w:r>
          </w:p>
        </w:tc>
        <w:tc>
          <w:tcPr/>
          <w:p>
            <w:pPr>
              <w:pStyle w:val="Compact"/>
              <w:jc w:val="left"/>
            </w:pPr>
            <w:r>
              <w:t xml:space="preserve">Google Cloud, Amazon Bedrock (Qwen3 incl. eu-west-2 London), Together, DeepInfra, Groq, OpenRouter; Unsloth, ms-swift, LLaMA-Factory, Xinference support.</w:t>
            </w:r>
          </w:p>
        </w:tc>
        <w:tc>
          <w:tcPr/>
          <w:p>
            <w:pPr>
              <w:pStyle w:val="Compact"/>
              <w:jc w:val="left"/>
            </w:pPr>
            <w:r>
              <w:t xml:space="preserve">Reported</w:t>
            </w:r>
          </w:p>
        </w:tc>
        <w:tc>
          <w:tcPr/>
          <w:p>
            <w:pPr>
              <w:pStyle w:val="Compact"/>
              <w:jc w:val="left"/>
            </w:pPr>
            <w:r>
              <w:t xml:space="preserve">A5-S027, A5-S038, A5-S040, A5-S041, A5-S043</w:t>
            </w:r>
          </w:p>
        </w:tc>
      </w:tr>
      <w:tr>
        <w:tc>
          <w:tcPr/>
          <w:p>
            <w:pPr>
              <w:pStyle w:val="Compact"/>
              <w:jc w:val="left"/>
            </w:pPr>
            <w:r>
              <w:t xml:space="preserve">Adoption signals</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Maturity</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Deployment</w:t>
            </w:r>
          </w:p>
        </w:tc>
        <w:tc>
          <w:tcPr/>
          <w:p>
            <w:pPr>
              <w:pStyle w:val="Compact"/>
              <w:jc w:val="left"/>
            </w:pPr>
            <w:r>
              <w:t xml:space="preserve">saas: Yes (Alibaba Cloud Model Studio); managed_cloud: Yes (Google Cloud Qwen3 models; Amazon Bedrock Qwen3 family incl. EU/UK regions); Qwen3.8 not listed on hyperscalers; vpc_byoc: Not publicly verified; private_cloud: Not publicly verified; self_hosted: Yes (open-weight sizes); on_prem: Yes (open-weight sizes)</w:t>
            </w:r>
          </w:p>
        </w:tc>
        <w:tc>
          <w:tcPr/>
          <w:p>
            <w:pPr>
              <w:pStyle w:val="Compact"/>
            </w:pPr>
          </w:p>
        </w:tc>
        <w:tc>
          <w:tcPr/>
          <w:p>
            <w:pPr>
              <w:pStyle w:val="Compact"/>
            </w:pPr>
          </w:p>
        </w:tc>
      </w:tr>
    </w:tbl>
    <w:bookmarkEnd w:id="1709"/>
    <w:bookmarkStart w:id="1724" w:name="X803c994186d6f3c86dd41300be9ca34125bfee3"/>
    <w:p>
      <w:pPr>
        <w:pStyle w:val="Heading2"/>
      </w:pPr>
      <w:r>
        <w:t xml:space="preserve">Moonshot AI Kimi model family (Kimi K3; K2.7-Code, K2.6, K2.5, K2-Thinking) (</w:t>
      </w:r>
      <w:r>
        <w:rPr>
          <w:rStyle w:val="VerbatimChar"/>
        </w:rPr>
        <w:t xml:space="preserve">L1-moonshot-kimi</w:t>
      </w:r>
      <w:r>
        <w:t xml:space="preserve">)</w:t>
      </w:r>
    </w:p>
    <w:p>
      <w:pPr>
        <w:pStyle w:val="FirstParagraph"/>
      </w:pPr>
      <w:r>
        <w:rPr>
          <w:bCs/>
          <w:b/>
        </w:rPr>
        <w:t xml:space="preserve">Tier:</w:t>
      </w:r>
      <w:r>
        <w:t xml:space="preserve"> </w:t>
      </w:r>
      <w:r>
        <w:t xml:space="preserve">Experimental ·</w:t>
      </w:r>
      <w:r>
        <w:t xml:space="preserve"> </w:t>
      </w:r>
      <w:r>
        <w:rPr>
          <w:bCs/>
          <w:b/>
        </w:rPr>
        <w:t xml:space="preserve">Flags:</w:t>
      </w:r>
      <w:r>
        <w:t xml:space="preserve"> </w:t>
      </w:r>
      <w:r>
        <w:t xml:space="preserve">none ·</w:t>
      </w:r>
      <w:r>
        <w:t xml:space="preserve"> </w:t>
      </w:r>
      <w:r>
        <w:rPr>
          <w:bCs/>
          <w:b/>
        </w:rPr>
        <w:t xml:space="preserve">Original graphic label:</w:t>
      </w:r>
      <w:r>
        <w:t xml:space="preserve"> </w:t>
      </w:r>
      <w:r>
        <w:t xml:space="preserve">Kimi – K3</w:t>
      </w:r>
    </w:p>
    <w:p>
      <w:pPr>
        <w:pStyle w:val="BodyText"/>
      </w:pPr>
      <w:r>
        <w:rPr>
          <w:iCs/>
          <w:i/>
        </w:rPr>
        <w:t xml:space="preserve">Rationale:</w:t>
      </w:r>
      <w:r>
        <w:t xml:space="preserve"> </w:t>
      </w:r>
      <w:r>
        <w:t xml:space="preserve">Large and capable on paper, but evidence is largely secondary, the weights are expensive to host, the licence is custom and no in-region hyperscaler route exists</w:t>
      </w:r>
      <w:r>
        <w:t xml:space="preserve"> </w:t>
      </w:r>
      <w:r>
        <w:rPr>
          <w:rStyle w:val="ClaimLabel"/>
        </w:rPr>
        <w:t xml:space="preserve">AJ</w:t>
      </w:r>
      <w:r>
        <w:t xml:space="preserve">.</w:t>
      </w:r>
    </w:p>
    <w:tbl>
      <w:tblPr>
        <w:tblStyle w:val="Table"/>
        <w:tblW w:type="pct" w:w="5000"/>
        <w:tblLook w:firstRow="1" w:lastRow="0" w:firstColumn="0" w:lastColumn="0" w:noHBand="0" w:noVBand="0" w:val="0020"/>
        <w:jc w:val="start"/>
      </w:tblPr>
      <w:tblGrid>
        <w:gridCol w:w="1545"/>
        <w:gridCol w:w="579"/>
        <w:gridCol w:w="5795"/>
      </w:tblGrid>
      <w:tr>
        <w:trPr>
          <w:tblHeader w:val="true"/>
        </w:trPr>
        <w:tc>
          <w:tcPr/>
          <w:p>
            <w:pPr>
              <w:pStyle w:val="Compact"/>
              <w:jc w:val="left"/>
            </w:pPr>
            <w:r>
              <w:t xml:space="preserve">Criterion</w:t>
            </w:r>
          </w:p>
        </w:tc>
        <w:tc>
          <w:tcPr/>
          <w:p>
            <w:pPr>
              <w:pStyle w:val="Compact"/>
              <w:jc w:val="right"/>
            </w:pPr>
            <w:r>
              <w:t xml:space="preserve">Score</w:t>
            </w:r>
          </w:p>
        </w:tc>
        <w:tc>
          <w:tcPr/>
          <w:p>
            <w:pPr>
              <w:pStyle w:val="Compact"/>
              <w:jc w:val="left"/>
            </w:pPr>
            <w:r>
              <w:t xml:space="preserve">Rationale</w:t>
            </w:r>
          </w:p>
        </w:tc>
      </w:tr>
      <w:tr>
        <w:tc>
          <w:tcPr/>
          <w:p>
            <w:pPr>
              <w:pStyle w:val="Compact"/>
              <w:jc w:val="left"/>
            </w:pPr>
            <w:r>
              <w:t xml:space="preserve">Technical</w:t>
            </w:r>
          </w:p>
        </w:tc>
        <w:tc>
          <w:tcPr/>
          <w:p>
            <w:pPr>
              <w:pStyle w:val="Compact"/>
              <w:jc w:val="right"/>
            </w:pPr>
            <w:r>
              <w:t xml:space="preserve">3</w:t>
            </w:r>
          </w:p>
        </w:tc>
        <w:tc>
          <w:tcPr/>
          <w:p>
            <w:pPr>
              <w:pStyle w:val="Compact"/>
              <w:jc w:val="left"/>
            </w:pPr>
            <w:r>
              <w:t xml:space="preserve">One flagship plus a coding variant; CAISI places K3 below frontier cyber capability (A5-S051); narrower lineup than peers.</w:t>
            </w:r>
          </w:p>
        </w:tc>
      </w:tr>
      <w:tr>
        <w:tc>
          <w:tcPr/>
          <w:p>
            <w:pPr>
              <w:pStyle w:val="Compact"/>
              <w:jc w:val="left"/>
            </w:pPr>
            <w:r>
              <w:t xml:space="preserve">Enterprise readiness</w:t>
            </w:r>
          </w:p>
        </w:tc>
        <w:tc>
          <w:tcPr/>
          <w:p>
            <w:pPr>
              <w:pStyle w:val="Compact"/>
              <w:jc w:val="right"/>
            </w:pPr>
            <w:r>
              <w:t xml:space="preserve">4</w:t>
            </w:r>
          </w:p>
        </w:tc>
        <w:tc>
          <w:tcPr/>
          <w:p>
            <w:pPr>
              <w:pStyle w:val="Compact"/>
              <w:jc w:val="left"/>
            </w:pPr>
            <w:r>
              <w:t xml:space="preserve">The Bedrock (AWS-operated) route, through US, India and global cross-Region profiles only (A5-S086), gives the hyperscaler presumption (rule 6). Hosting caveat (CP4-3): on Azure, Microsoft Foundry’s Kimi K3 and GLM-5.x run on Fireworks outside the customer tenant, while DeepSeek V4 is sold directly and processed in-tenant (A5-S087). The Azure route therefore does not support this score, and the Kimi API’s controls are NPV (would be 2). Kept at 4 by the reader at Checkpoint 4 (CP4-3). Platform controls presumed (CP2 Q1); confirm per service.</w:t>
            </w:r>
          </w:p>
        </w:tc>
      </w:tr>
      <w:tr>
        <w:tc>
          <w:tcPr/>
          <w:p>
            <w:pPr>
              <w:pStyle w:val="Compact"/>
              <w:jc w:val="left"/>
            </w:pPr>
            <w:r>
              <w:t xml:space="preserve">Security and compliance</w:t>
            </w:r>
          </w:p>
        </w:tc>
        <w:tc>
          <w:tcPr/>
          <w:p>
            <w:pPr>
              <w:pStyle w:val="Compact"/>
              <w:jc w:val="right"/>
            </w:pPr>
            <w:r>
              <w:t xml:space="preserve">2</w:t>
            </w:r>
          </w:p>
        </w:tc>
        <w:tc>
          <w:tcPr/>
          <w:p>
            <w:pPr>
              <w:pStyle w:val="Compact"/>
              <w:jc w:val="left"/>
            </w:pPr>
            <w:r>
              <w:t xml:space="preserve">Certifications NPV (cap 2); Singapore storage; training-policy conflict (A5-S070).</w:t>
            </w:r>
          </w:p>
        </w:tc>
      </w:tr>
      <w:tr>
        <w:tc>
          <w:tcPr/>
          <w:p>
            <w:pPr>
              <w:pStyle w:val="Compact"/>
              <w:jc w:val="left"/>
            </w:pPr>
            <w:r>
              <w:t xml:space="preserve">Deployment flexibility</w:t>
            </w:r>
          </w:p>
        </w:tc>
        <w:tc>
          <w:tcPr/>
          <w:p>
            <w:pPr>
              <w:pStyle w:val="Compact"/>
              <w:jc w:val="right"/>
            </w:pPr>
            <w:r>
              <w:t xml:space="preserve">3</w:t>
            </w:r>
          </w:p>
        </w:tc>
        <w:tc>
          <w:tcPr/>
          <w:p>
            <w:pPr>
              <w:pStyle w:val="Compact"/>
              <w:jc w:val="left"/>
            </w:pPr>
            <w:r>
              <w:t xml:space="preserve">Own API, Bedrock cross-Region only, Foundry outside tenant, self-host of 2.8T weights; no in-region managed route.</w:t>
            </w:r>
          </w:p>
        </w:tc>
      </w:tr>
      <w:tr>
        <w:tc>
          <w:tcPr/>
          <w:p>
            <w:pPr>
              <w:pStyle w:val="Compact"/>
              <w:jc w:val="left"/>
            </w:pPr>
            <w:r>
              <w:t xml:space="preserve">Ecosystem</w:t>
            </w:r>
          </w:p>
        </w:tc>
        <w:tc>
          <w:tcPr/>
          <w:p>
            <w:pPr>
              <w:pStyle w:val="Compact"/>
              <w:jc w:val="right"/>
            </w:pPr>
            <w:r>
              <w:t xml:space="preserve">3</w:t>
            </w:r>
          </w:p>
        </w:tc>
        <w:tc>
          <w:tcPr/>
          <w:p>
            <w:pPr>
              <w:pStyle w:val="Compact"/>
              <w:jc w:val="left"/>
            </w:pPr>
            <w:r>
              <w:t xml:space="preserve">SGLang, Xinference and two hyperscalers, but the current model reaches them only through cross-Region or pass-through routes.</w:t>
            </w:r>
          </w:p>
        </w:tc>
      </w:tr>
      <w:tr>
        <w:tc>
          <w:tcPr/>
          <w:p>
            <w:pPr>
              <w:pStyle w:val="Compact"/>
              <w:jc w:val="left"/>
            </w:pPr>
            <w:r>
              <w:t xml:space="preserve">Reliability and maturity</w:t>
            </w:r>
          </w:p>
        </w:tc>
        <w:tc>
          <w:tcPr/>
          <w:p>
            <w:pPr>
              <w:pStyle w:val="Compact"/>
              <w:jc w:val="right"/>
            </w:pPr>
            <w:r>
              <w:t xml:space="preserve">2</w:t>
            </w:r>
          </w:p>
        </w:tc>
        <w:tc>
          <w:tcPr/>
          <w:p>
            <w:pPr>
              <w:pStyle w:val="Compact"/>
              <w:jc w:val="left"/>
            </w:pPr>
            <w:r>
              <w:t xml:space="preserve">Maturity, support and adoption NPV; facts rest on secondary sources (V2-S015).</w:t>
            </w:r>
          </w:p>
        </w:tc>
      </w:tr>
      <w:tr>
        <w:tc>
          <w:tcPr/>
          <w:p>
            <w:pPr>
              <w:pStyle w:val="Compact"/>
              <w:jc w:val="left"/>
            </w:pPr>
            <w:r>
              <w:t xml:space="preserve">Cost / TCO</w:t>
            </w:r>
          </w:p>
        </w:tc>
        <w:tc>
          <w:tcPr/>
          <w:p>
            <w:pPr>
              <w:pStyle w:val="Compact"/>
              <w:jc w:val="right"/>
            </w:pPr>
            <w:r>
              <w:t xml:space="preserve">2</w:t>
            </w:r>
          </w:p>
        </w:tc>
        <w:tc>
          <w:tcPr/>
          <w:p>
            <w:pPr>
              <w:pStyle w:val="Compact"/>
              <w:jc w:val="left"/>
            </w:pPr>
            <w:r>
              <w:t xml:space="preserve">Self-hosting a 2.8T MoE is a heavy operations burden; hosted prices are not decision inputs (V2 §4 item 3).</w:t>
            </w:r>
          </w:p>
        </w:tc>
      </w:tr>
      <w:tr>
        <w:tc>
          <w:tcPr/>
          <w:p>
            <w:pPr>
              <w:pStyle w:val="Compact"/>
              <w:jc w:val="left"/>
            </w:pPr>
            <w:r>
              <w:t xml:space="preserve">Lock-in / portability</w:t>
            </w:r>
          </w:p>
        </w:tc>
        <w:tc>
          <w:tcPr/>
          <w:p>
            <w:pPr>
              <w:pStyle w:val="Compact"/>
              <w:jc w:val="right"/>
            </w:pPr>
            <w:r>
              <w:t xml:space="preserve">3</w:t>
            </w:r>
          </w:p>
        </w:tc>
        <w:tc>
          <w:tcPr/>
          <w:p>
            <w:pPr>
              <w:pStyle w:val="Compact"/>
              <w:jc w:val="left"/>
            </w:pPr>
            <w:r>
              <w:t xml:space="preserve">Open weights, but under a custom licence with thresholds (rule 4).</w:t>
            </w:r>
          </w:p>
        </w:tc>
      </w:tr>
      <w:tr>
        <w:tc>
          <w:tcPr/>
          <w:p>
            <w:pPr>
              <w:pStyle w:val="Compact"/>
              <w:jc w:val="left"/>
            </w:pPr>
            <w:r>
              <w:rPr>
                <w:bCs/>
                <w:b/>
              </w:rPr>
              <w:t xml:space="preserve">Total (generic / FS)</w:t>
            </w:r>
          </w:p>
        </w:tc>
        <w:tc>
          <w:tcPr/>
          <w:p>
            <w:pPr>
              <w:pStyle w:val="Compact"/>
              <w:jc w:val="right"/>
            </w:pPr>
            <w:r>
              <w:rPr>
                <w:bCs/>
                <w:b/>
              </w:rPr>
              <w:t xml:space="preserve">2.80 / 2.80</w:t>
            </w:r>
          </w:p>
        </w:tc>
        <w:tc>
          <w:tcPr/>
          <w:p>
            <w:pPr>
              <w:pStyle w:val="Compact"/>
            </w:pPr>
          </w:p>
        </w:tc>
      </w:tr>
    </w:tbl>
    <w:p>
      <w:pPr>
        <w:pStyle w:val="BodyText"/>
      </w:pPr>
      <w:r>
        <w:rPr>
          <w:iCs/>
          <w:i/>
        </w:rPr>
        <w:t xml:space="preserve">Evidence rules applied:</w:t>
      </w:r>
      <w:r>
        <w:t xml:space="preserve"> </w:t>
      </w:r>
      <w:r>
        <w:t xml:space="preserve">security_compliance capped at 2: certifications NPV</w:t>
      </w:r>
    </w:p>
    <w:p>
      <w:pPr>
        <w:pStyle w:val="BodyText"/>
      </w:pPr>
      <w:r>
        <w:rPr>
          <w:bCs/>
          <w:b/>
        </w:rPr>
        <w:t xml:space="preserve">Capabilities.</w:t>
      </w:r>
      <w:r>
        <w:t xml:space="preserve"> </w:t>
      </w:r>
      <w:r>
        <w:t xml:space="preserve">Kimi K3 (launched 16 July 2026; weights by 27 July 2026; 2.8T-parameter MoE, about 104B active reported; native multimodal; 1M context) plus K2.7-Code and earlier K2.x models</w:t>
      </w:r>
      <w:r>
        <w:t xml:space="preserve"> </w:t>
      </w:r>
      <w:r>
        <w:rPr>
          <w:rStyle w:val="ClaimLabel"/>
        </w:rPr>
        <w:t xml:space="preserve">VF</w:t>
      </w:r>
      <w:r>
        <w:rPr>
          <w:rStyle w:val="FootnoteReference"/>
        </w:rPr>
        <w:footnoteReference w:id="1710"/>
      </w:r>
      <w:r>
        <w:t xml:space="preserve"> </w:t>
      </w:r>
      <w:r>
        <w:rPr>
          <w:rStyle w:val="ClaimLabel"/>
        </w:rPr>
        <w:t xml:space="preserve">R</w:t>
      </w:r>
      <w:r>
        <w:rPr>
          <w:rStyle w:val="FootnoteReference"/>
        </w:rPr>
        <w:footnoteReference w:id="1712"/>
      </w:r>
      <w:r>
        <w:t xml:space="preserve">.</w:t>
      </w:r>
    </w:p>
    <w:p>
      <w:pPr>
        <w:pStyle w:val="BodyText"/>
      </w:pPr>
      <w:r>
        <w:rPr>
          <w:bCs/>
          <w:b/>
        </w:rPr>
        <w:t xml:space="preserve">Strengths</w:t>
      </w:r>
    </w:p>
    <w:p>
      <w:pPr>
        <w:numPr>
          <w:ilvl w:val="0"/>
          <w:numId w:val="1361"/>
        </w:numPr>
        <w:pStyle w:val="Compact"/>
      </w:pPr>
      <w:r>
        <w:t xml:space="preserve">Open weights for a very large multimodal model</w:t>
      </w:r>
      <w:r>
        <w:t xml:space="preserve"> </w:t>
      </w:r>
      <w:r>
        <w:rPr>
          <w:rStyle w:val="ClaimLabel"/>
        </w:rPr>
        <w:t xml:space="preserve">VF</w:t>
      </w:r>
      <w:r>
        <w:rPr>
          <w:rStyle w:val="FootnoteReference"/>
        </w:rPr>
        <w:footnoteReference w:id="1714"/>
      </w:r>
    </w:p>
    <w:p>
      <w:pPr>
        <w:numPr>
          <w:ilvl w:val="0"/>
          <w:numId w:val="1361"/>
        </w:numPr>
        <w:pStyle w:val="Compact"/>
      </w:pPr>
      <w:r>
        <w:t xml:space="preserve">Offered on Amazon Bedrock and Microsoft Foundry</w:t>
      </w:r>
      <w:r>
        <w:t xml:space="preserve"> </w:t>
      </w:r>
      <w:r>
        <w:rPr>
          <w:rStyle w:val="ClaimLabel"/>
        </w:rPr>
        <w:t xml:space="preserve">VF</w:t>
      </w:r>
      <w:r>
        <w:rPr>
          <w:rStyle w:val="FootnoteReference"/>
        </w:rPr>
        <w:footnoteReference w:id="1715"/>
      </w:r>
    </w:p>
    <w:p>
      <w:pPr>
        <w:pStyle w:val="FirstParagraph"/>
      </w:pPr>
      <w:r>
        <w:rPr>
          <w:bCs/>
          <w:b/>
        </w:rPr>
        <w:t xml:space="preserve">Limitations and risks</w:t>
      </w:r>
    </w:p>
    <w:p>
      <w:pPr>
        <w:numPr>
          <w:ilvl w:val="0"/>
          <w:numId w:val="1362"/>
        </w:numPr>
        <w:pStyle w:val="Compact"/>
      </w:pPr>
      <w:r>
        <w:t xml:space="preserve">International API stores data in Singapore; mainland platform in the PRC; API page says no training but the privacy policy lists training as a purpose</w:t>
      </w:r>
      <w:r>
        <w:t xml:space="preserve"> </w:t>
      </w:r>
      <w:r>
        <w:rPr>
          <w:rStyle w:val="ClaimLabel"/>
        </w:rPr>
        <w:t xml:space="preserve">VF</w:t>
      </w:r>
      <w:r>
        <w:rPr>
          <w:rStyle w:val="FootnoteReference"/>
        </w:rPr>
        <w:footnoteReference w:id="1716"/>
      </w:r>
    </w:p>
    <w:p>
      <w:pPr>
        <w:numPr>
          <w:ilvl w:val="0"/>
          <w:numId w:val="1362"/>
        </w:numPr>
        <w:pStyle w:val="Compact"/>
      </w:pPr>
      <w:r>
        <w:t xml:space="preserve">Bedrock offers K3 only through cross-Region profiles (US, India, global); Foundry’s K3 is Fireworks-operated with inference outside the customer’s tenant</w:t>
      </w:r>
      <w:r>
        <w:t xml:space="preserve"> </w:t>
      </w:r>
      <w:r>
        <w:rPr>
          <w:rStyle w:val="ClaimLabel"/>
        </w:rPr>
        <w:t xml:space="preserve">VF</w:t>
      </w:r>
      <w:r>
        <w:rPr>
          <w:rStyle w:val="FootnoteReference"/>
        </w:rPr>
        <w:footnoteReference w:id="1718"/>
      </w:r>
    </w:p>
    <w:p>
      <w:pPr>
        <w:numPr>
          <w:ilvl w:val="0"/>
          <w:numId w:val="1362"/>
        </w:numPr>
        <w:pStyle w:val="Compact"/>
      </w:pPr>
      <w:r>
        <w:t xml:space="preserve">Custom Kimi K3 License with revenue and MAU thresholds, not MIT</w:t>
      </w:r>
      <w:r>
        <w:t xml:space="preserve"> </w:t>
      </w:r>
      <w:r>
        <w:rPr>
          <w:rStyle w:val="ClaimLabel"/>
        </w:rPr>
        <w:t xml:space="preserve">VF</w:t>
      </w:r>
      <w:r>
        <w:rPr>
          <w:rStyle w:val="FootnoteReference"/>
        </w:rPr>
        <w:footnoteReference w:id="1719"/>
      </w:r>
      <w:r>
        <w:t xml:space="preserve"> </w:t>
      </w:r>
      <w:r>
        <w:rPr>
          <w:rStyle w:val="ClaimLabel"/>
        </w:rPr>
        <w:t xml:space="preserve">R</w:t>
      </w:r>
      <w:r>
        <w:rPr>
          <w:rStyle w:val="FootnoteReference"/>
        </w:rPr>
        <w:footnoteReference w:id="1720"/>
      </w:r>
    </w:p>
    <w:p>
      <w:pPr>
        <w:numPr>
          <w:ilvl w:val="0"/>
          <w:numId w:val="1362"/>
        </w:numPr>
        <w:pStyle w:val="Compact"/>
      </w:pPr>
      <w:r>
        <w:t xml:space="preserve">CAISI with UK AISI (July 2026): below frontier cyber capability; safeguards did not stop attempted exploit development; K2 Thinking heavily censored in Chinese</w:t>
      </w:r>
      <w:r>
        <w:t xml:space="preserve"> </w:t>
      </w:r>
      <w:r>
        <w:rPr>
          <w:rStyle w:val="ClaimLabel"/>
        </w:rPr>
        <w:t xml:space="preserve">VF</w:t>
      </w:r>
      <w:r>
        <w:rPr>
          <w:rStyle w:val="FootnoteReference"/>
        </w:rPr>
        <w:footnoteReference w:id="1721"/>
      </w:r>
    </w:p>
    <w:p>
      <w:pPr>
        <w:numPr>
          <w:ilvl w:val="0"/>
          <w:numId w:val="1362"/>
        </w:numPr>
        <w:pStyle w:val="Compact"/>
      </w:pPr>
      <w:r>
        <w:t xml:space="preserve">Context only, not a scored limitation: Anthropic alleges that Moonshot distilled Claude; this is an unadjudicated competitor allegation and the author is an Anthropic model, so it is not used in any score</w:t>
      </w:r>
      <w:r>
        <w:t xml:space="preserve"> </w:t>
      </w:r>
      <w:r>
        <w:rPr>
          <w:rStyle w:val="ClaimLabel"/>
        </w:rPr>
        <w:t xml:space="preserve">VF</w:t>
      </w:r>
      <w:r>
        <w:rPr>
          <w:rStyle w:val="FootnoteReference"/>
        </w:rPr>
        <w:footnoteReference w:id="1722"/>
      </w:r>
    </w:p>
    <w:p>
      <w:pPr>
        <w:numPr>
          <w:ilvl w:val="0"/>
          <w:numId w:val="1362"/>
        </w:numPr>
        <w:pStyle w:val="Compact"/>
      </w:pPr>
      <w:r>
        <w:t xml:space="preserve">Certifications, access controls and support not publicly verified</w:t>
      </w:r>
      <w:r>
        <w:t xml:space="preserve"> </w:t>
      </w:r>
      <w:r>
        <w:rPr>
          <w:rStyle w:val="ClaimLabel"/>
        </w:rPr>
        <w:t xml:space="preserve">NPV</w:t>
      </w:r>
    </w:p>
    <w:p>
      <w:pPr>
        <w:pStyle w:val="FirstParagraph"/>
      </w:pPr>
      <w:r>
        <w:rPr>
          <w:bCs/>
          <w:b/>
        </w:rPr>
        <w:t xml:space="preserve">Choose when</w:t>
      </w:r>
    </w:p>
    <w:p>
      <w:pPr>
        <w:numPr>
          <w:ilvl w:val="0"/>
          <w:numId w:val="1363"/>
        </w:numPr>
        <w:pStyle w:val="Compact"/>
      </w:pPr>
      <w:r>
        <w:t xml:space="preserve">Research or evaluation of large open-weight multimodal models in an isolated environment</w:t>
      </w:r>
      <w:r>
        <w:t xml:space="preserve"> </w:t>
      </w:r>
      <w:r>
        <w:rPr>
          <w:rStyle w:val="ClaimLabel"/>
        </w:rPr>
        <w:t xml:space="preserve">AJ</w:t>
      </w:r>
    </w:p>
    <w:p>
      <w:pPr>
        <w:pStyle w:val="FirstParagraph"/>
      </w:pPr>
      <w:r>
        <w:rPr>
          <w:bCs/>
          <w:b/>
        </w:rPr>
        <w:t xml:space="preserve">Avoid when</w:t>
      </w:r>
    </w:p>
    <w:p>
      <w:pPr>
        <w:numPr>
          <w:ilvl w:val="0"/>
          <w:numId w:val="1364"/>
        </w:numPr>
        <w:pStyle w:val="Compact"/>
      </w:pPr>
      <w:r>
        <w:t xml:space="preserve">Any production use with client data in a regulated firm today</w:t>
      </w:r>
      <w:r>
        <w:t xml:space="preserve"> </w:t>
      </w:r>
      <w:r>
        <w:rPr>
          <w:rStyle w:val="ClaimLabel"/>
        </w:rPr>
        <w:t xml:space="preserve">AJ</w:t>
      </w:r>
    </w:p>
    <w:p>
      <w:pPr>
        <w:pStyle w:val="FirstParagraph"/>
      </w:pPr>
      <w:r>
        <w:rPr>
          <w:bCs/>
          <w:b/>
        </w:rPr>
        <w:t xml:space="preserve">Nearest competitors:</w:t>
      </w:r>
      <w:r>
        <w:t xml:space="preserve"> </w:t>
      </w:r>
      <w:r>
        <w:t xml:space="preserve">L1-deepseek, L1-zai-glm, L1-alibaba-qwen</w:t>
      </w:r>
    </w:p>
    <w:p>
      <w:pPr>
        <w:pStyle w:val="BodyText"/>
      </w:pPr>
      <w:r>
        <w:rPr>
          <w:bCs/>
          <w:b/>
        </w:rPr>
        <w:t xml:space="preserve">Regulated-FS note.</w:t>
      </w:r>
      <w:r>
        <w:t xml:space="preserve"> </w:t>
      </w:r>
      <w:r>
        <w:t xml:space="preserve">Do not use for client data; if evaluated, self-host in an isolated sandbox after licence review</w:t>
      </w:r>
      <w:r>
        <w:t xml:space="preserve"> </w:t>
      </w:r>
      <w:r>
        <w:rPr>
          <w:rStyle w:val="ClaimLabel"/>
        </w:rPr>
        <w:t xml:space="preserve">Rec</w:t>
      </w:r>
      <w:r>
        <w:t xml:space="preserve">.</w:t>
      </w:r>
    </w:p>
    <w:p>
      <w:pPr>
        <w:pStyle w:val="BodyText"/>
      </w:pPr>
      <w:r>
        <w:rPr>
          <w:bCs/>
          <w:b/>
        </w:rPr>
        <w:t xml:space="preserve">Facts (as of 2026-10-08)</w:t>
      </w:r>
    </w:p>
    <w:tbl>
      <w:tblPr>
        <w:tblStyle w:val="Table"/>
        <w:tblW w:type="pct" w:w="5000"/>
        <w:tblLook w:firstRow="1" w:lastRow="0" w:firstColumn="0" w:lastColumn="0" w:noHBand="0" w:noVBand="0" w:val="0020"/>
        <w:jc w:val="start"/>
      </w:tblPr>
      <w:tblGrid>
        <w:gridCol w:w="1485"/>
        <w:gridCol w:w="4290"/>
        <w:gridCol w:w="1320"/>
        <w:gridCol w:w="825"/>
      </w:tblGrid>
      <w:tr>
        <w:trPr>
          <w:tblHeader w:val="true"/>
        </w:trPr>
        <w:tc>
          <w:tcPr/>
          <w:p>
            <w:pPr>
              <w:pStyle w:val="Compact"/>
              <w:jc w:val="left"/>
            </w:pPr>
            <w:r>
              <w:t xml:space="preserve">Field</w:t>
            </w:r>
          </w:p>
        </w:tc>
        <w:tc>
          <w:tcPr/>
          <w:p>
            <w:pPr>
              <w:pStyle w:val="Compact"/>
              <w:jc w:val="left"/>
            </w:pPr>
            <w:r>
              <w:t xml:space="preserve">Value</w:t>
            </w:r>
          </w:p>
        </w:tc>
        <w:tc>
          <w:tcPr/>
          <w:p>
            <w:pPr>
              <w:pStyle w:val="Compact"/>
              <w:jc w:val="left"/>
            </w:pPr>
            <w:r>
              <w:t xml:space="preserve">Label</w:t>
            </w:r>
          </w:p>
        </w:tc>
        <w:tc>
          <w:tcPr/>
          <w:p>
            <w:pPr>
              <w:pStyle w:val="Compact"/>
              <w:jc w:val="left"/>
            </w:pPr>
            <w:r>
              <w:t xml:space="preserve">Sources</w:t>
            </w:r>
          </w:p>
        </w:tc>
      </w:tr>
      <w:tr>
        <w:tc>
          <w:tcPr/>
          <w:p>
            <w:pPr>
              <w:pStyle w:val="Compact"/>
              <w:jc w:val="left"/>
            </w:pPr>
            <w:r>
              <w:t xml:space="preserve">Company</w:t>
            </w:r>
          </w:p>
        </w:tc>
        <w:tc>
          <w:tcPr/>
          <w:p>
            <w:pPr>
              <w:pStyle w:val="Compact"/>
              <w:jc w:val="left"/>
            </w:pPr>
            <w:r>
              <w:t xml:space="preserve">Moonshot AI: international API operated by Moonshot AI PTE. LTD. (Singapore); mainland platform by Beijing Moonshot Technology (PRC)</w:t>
            </w:r>
          </w:p>
        </w:tc>
        <w:tc>
          <w:tcPr/>
          <w:p>
            <w:pPr>
              <w:pStyle w:val="Compact"/>
              <w:jc w:val="left"/>
            </w:pPr>
            <w:r>
              <w:t xml:space="preserve">Verified fact</w:t>
            </w:r>
          </w:p>
        </w:tc>
        <w:tc>
          <w:tcPr/>
          <w:p>
            <w:pPr>
              <w:pStyle w:val="Compact"/>
              <w:jc w:val="left"/>
            </w:pPr>
            <w:r>
              <w:t xml:space="preserve">A5-S070</w:t>
            </w:r>
          </w:p>
        </w:tc>
      </w:tr>
      <w:tr>
        <w:tc>
          <w:tcPr/>
          <w:p>
            <w:pPr>
              <w:pStyle w:val="Compact"/>
              <w:jc w:val="left"/>
            </w:pPr>
            <w:r>
              <w:t xml:space="preserve">Category</w:t>
            </w:r>
          </w:p>
        </w:tc>
        <w:tc>
          <w:tcPr/>
          <w:p>
            <w:pPr>
              <w:pStyle w:val="Compact"/>
              <w:jc w:val="left"/>
            </w:pPr>
            <w:r>
              <w:t xml:space="preserve">Open-weight and API model vendor (agentic, reasoning, multimodal)</w:t>
            </w:r>
          </w:p>
        </w:tc>
        <w:tc>
          <w:tcPr/>
          <w:p>
            <w:pPr>
              <w:pStyle w:val="Compact"/>
              <w:jc w:val="left"/>
            </w:pPr>
            <w:r>
              <w:t xml:space="preserve">Reported</w:t>
            </w:r>
          </w:p>
        </w:tc>
        <w:tc>
          <w:tcPr/>
          <w:p>
            <w:pPr>
              <w:pStyle w:val="Compact"/>
              <w:jc w:val="left"/>
            </w:pPr>
            <w:r>
              <w:t xml:space="preserve">A5-S038, A5-S040</w:t>
            </w:r>
          </w:p>
        </w:tc>
      </w:tr>
      <w:tr>
        <w:tc>
          <w:tcPr/>
          <w:p>
            <w:pPr>
              <w:pStyle w:val="Compact"/>
              <w:jc w:val="left"/>
            </w:pPr>
            <w:r>
              <w:t xml:space="preserve">Version / lineup</w:t>
            </w:r>
          </w:p>
        </w:tc>
        <w:tc>
          <w:tcPr/>
          <w:p>
            <w:pPr>
              <w:pStyle w:val="Compact"/>
              <w:jc w:val="left"/>
            </w:pPr>
            <w:r>
              <w:t xml:space="preserve">flagship: Kimi K3, launched 16 July 2026; weights released by 27 July 2026 on Hugging Face; 2.8T-parameter MoE (about 104B active, reported); native multimodal; 1M context. [A5-S069, A5-S039, A5-S040]; coding: Kimi K2.7-Code (262K context). [A5-S038]; previous: Kimi K2.6, K2.5 (January 2026 per KTransformers), K2-Thinking (on Google Cloud and Bedrock). [A5-S038, A5-S042, A5-S027]; graphic_label_check:</w:t>
            </w:r>
            <w:r>
              <w:t xml:space="preserve"> </w:t>
            </w:r>
            <w:r>
              <w:t xml:space="preserve">“</w:t>
            </w:r>
            <w:r>
              <w:t xml:space="preserve">K3</w:t>
            </w:r>
            <w:r>
              <w:t xml:space="preserve">”</w:t>
            </w:r>
            <w:r>
              <w:t xml:space="preserve"> </w:t>
            </w:r>
            <w:r>
              <w:t xml:space="preserve">is CORRECT (16 July 2026), verified from Moonshot pages.</w:t>
            </w:r>
          </w:p>
        </w:tc>
        <w:tc>
          <w:tcPr/>
          <w:p>
            <w:pPr>
              <w:pStyle w:val="Compact"/>
              <w:jc w:val="left"/>
            </w:pPr>
            <w:r>
              <w:t xml:space="preserve">Verified fact</w:t>
            </w:r>
          </w:p>
        </w:tc>
        <w:tc>
          <w:tcPr/>
          <w:p>
            <w:pPr>
              <w:pStyle w:val="Compact"/>
              <w:jc w:val="left"/>
            </w:pPr>
            <w:r>
              <w:t xml:space="preserve">A5-S038, A5-S039, A5-S040, A5-S041, A5-S042, A5-S027, A5-S069, V2-S015, V2-S021</w:t>
            </w:r>
          </w:p>
        </w:tc>
      </w:tr>
      <w:tr>
        <w:tc>
          <w:tcPr/>
          <w:p>
            <w:pPr>
              <w:pStyle w:val="Compact"/>
              <w:jc w:val="left"/>
            </w:pPr>
            <w:r>
              <w:t xml:space="preserve">Licence</w:t>
            </w:r>
          </w:p>
        </w:tc>
        <w:tc>
          <w:tcPr/>
          <w:p>
            <w:pPr>
              <w:pStyle w:val="Compact"/>
              <w:jc w:val="left"/>
            </w:pPr>
            <w:r>
              <w:t xml:space="preserve">Open weights under the custom</w:t>
            </w:r>
            <w:r>
              <w:t xml:space="preserve"> </w:t>
            </w:r>
            <w:r>
              <w:t xml:space="preserve">“</w:t>
            </w:r>
            <w:r>
              <w:t xml:space="preserve">Kimi K3 License</w:t>
            </w:r>
            <w:r>
              <w:t xml:space="preserve">”</w:t>
            </w:r>
            <w:r>
              <w:t xml:space="preserve"> </w:t>
            </w:r>
            <w:r>
              <w:t xml:space="preserve">(MIT-style grant; hosted-service providers above a revenue threshold need a separate agreement; attribution for products &gt;100M MAU or &gt;US$20M monthly revenue). Kimi K2.7-Code uses a</w:t>
            </w:r>
            <w:r>
              <w:t xml:space="preserve"> </w:t>
            </w:r>
            <w:r>
              <w:t xml:space="preserve">“</w:t>
            </w:r>
            <w:r>
              <w:t xml:space="preserve">Modified MIT</w:t>
            </w:r>
            <w:r>
              <w:t xml:space="preserve">”</w:t>
            </w:r>
            <w:r>
              <w:t xml:space="preserve"> </w:t>
            </w:r>
            <w:r>
              <w:t xml:space="preserve">licence.</w:t>
            </w:r>
          </w:p>
        </w:tc>
        <w:tc>
          <w:tcPr/>
          <w:p>
            <w:pPr>
              <w:pStyle w:val="Compact"/>
              <w:jc w:val="left"/>
            </w:pPr>
            <w:r>
              <w:t xml:space="preserve">Verified fact</w:t>
            </w:r>
          </w:p>
        </w:tc>
        <w:tc>
          <w:tcPr/>
          <w:p>
            <w:pPr>
              <w:pStyle w:val="Compact"/>
              <w:jc w:val="left"/>
            </w:pPr>
            <w:r>
              <w:t xml:space="preserve">A5-S069, V2-S015</w:t>
            </w:r>
          </w:p>
        </w:tc>
      </w:tr>
      <w:tr>
        <w:tc>
          <w:tcPr/>
          <w:p>
            <w:pPr>
              <w:pStyle w:val="Compact"/>
              <w:jc w:val="left"/>
            </w:pPr>
            <w:r>
              <w:t xml:space="preserve">Status events</w:t>
            </w:r>
          </w:p>
        </w:tc>
        <w:tc>
          <w:tcPr/>
          <w:p>
            <w:pPr>
              <w:pStyle w:val="Compact"/>
              <w:jc w:val="left"/>
            </w:pPr>
            <w:r>
              <w:t xml:space="preserve">January 2026: Kimi K2.5; July 2026: Kimi K3 open release</w:t>
            </w:r>
          </w:p>
        </w:tc>
        <w:tc>
          <w:tcPr/>
          <w:p>
            <w:pPr>
              <w:pStyle w:val="Compact"/>
              <w:jc w:val="left"/>
            </w:pPr>
            <w:r>
              <w:t xml:space="preserve">Reported</w:t>
            </w:r>
          </w:p>
        </w:tc>
        <w:tc>
          <w:tcPr/>
          <w:p>
            <w:pPr>
              <w:pStyle w:val="Compact"/>
              <w:jc w:val="left"/>
            </w:pPr>
            <w:r>
              <w:t xml:space="preserve">A5-S042, A5-S039, A5-S040</w:t>
            </w:r>
          </w:p>
        </w:tc>
      </w:tr>
      <w:tr>
        <w:tc>
          <w:tcPr/>
          <w:p>
            <w:pPr>
              <w:pStyle w:val="Compact"/>
              <w:jc w:val="left"/>
            </w:pPr>
            <w:r>
              <w:t xml:space="preserve">Strategic direction</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What it does</w:t>
            </w:r>
          </w:p>
        </w:tc>
        <w:tc>
          <w:tcPr/>
          <w:p>
            <w:pPr>
              <w:pStyle w:val="Compact"/>
              <w:jc w:val="left"/>
            </w:pPr>
            <w:r>
              <w:t xml:space="preserve">Large multimodal agentic LLMs offered as open weights and via Moonshot’s Kimi platform API.</w:t>
            </w:r>
          </w:p>
        </w:tc>
        <w:tc>
          <w:tcPr/>
          <w:p>
            <w:pPr>
              <w:pStyle w:val="Compact"/>
              <w:jc w:val="left"/>
            </w:pPr>
            <w:r>
              <w:t xml:space="preserve">Reported</w:t>
            </w:r>
          </w:p>
        </w:tc>
        <w:tc>
          <w:tcPr/>
          <w:p>
            <w:pPr>
              <w:pStyle w:val="Compact"/>
              <w:jc w:val="left"/>
            </w:pPr>
            <w:r>
              <w:t xml:space="preserve">A5-S040, A5-S038</w:t>
            </w:r>
          </w:p>
        </w:tc>
      </w:tr>
      <w:tr>
        <w:tc>
          <w:tcPr/>
          <w:p>
            <w:pPr>
              <w:pStyle w:val="Compact"/>
              <w:jc w:val="left"/>
            </w:pPr>
            <w:r>
              <w:t xml:space="preserve">Stack position</w:t>
            </w:r>
          </w:p>
        </w:tc>
        <w:tc>
          <w:tcPr/>
          <w:p>
            <w:pPr>
              <w:pStyle w:val="Compact"/>
              <w:jc w:val="left"/>
            </w:pPr>
            <w:r>
              <w:t xml:space="preserve">L1 foundation model.</w:t>
            </w:r>
          </w:p>
        </w:tc>
        <w:tc>
          <w:tcPr/>
          <w:p>
            <w:pPr>
              <w:pStyle w:val="Compact"/>
              <w:jc w:val="left"/>
            </w:pPr>
            <w:r>
              <w:t xml:space="preserve">Architectural judgement</w:t>
            </w:r>
          </w:p>
        </w:tc>
        <w:tc>
          <w:tcPr/>
          <w:p>
            <w:pPr>
              <w:pStyle w:val="Compact"/>
            </w:pPr>
          </w:p>
        </w:tc>
      </w:tr>
      <w:tr>
        <w:tc>
          <w:tcPr/>
          <w:p>
            <w:pPr>
              <w:pStyle w:val="Compact"/>
              <w:jc w:val="left"/>
            </w:pPr>
            <w:r>
              <w:t xml:space="preserve">Integration</w:t>
            </w:r>
          </w:p>
        </w:tc>
        <w:tc>
          <w:tcPr/>
          <w:p>
            <w:pPr>
              <w:pStyle w:val="Compact"/>
              <w:jc w:val="left"/>
            </w:pPr>
            <w:r>
              <w:t xml:space="preserve">Kimi platform API (platform.kimi.ai per aggregator source links); open weights via SGLang, Xinference, ms-swift, Unsloth.</w:t>
            </w:r>
          </w:p>
        </w:tc>
        <w:tc>
          <w:tcPr/>
          <w:p>
            <w:pPr>
              <w:pStyle w:val="Compact"/>
              <w:jc w:val="left"/>
            </w:pPr>
            <w:r>
              <w:t xml:space="preserve">Reported</w:t>
            </w:r>
          </w:p>
        </w:tc>
        <w:tc>
          <w:tcPr/>
          <w:p>
            <w:pPr>
              <w:pStyle w:val="Compact"/>
              <w:jc w:val="left"/>
            </w:pPr>
            <w:r>
              <w:t xml:space="preserve">A5-S038, A5-S039, A5-S041</w:t>
            </w:r>
          </w:p>
        </w:tc>
      </w:tr>
      <w:tr>
        <w:tc>
          <w:tcPr/>
          <w:p>
            <w:pPr>
              <w:pStyle w:val="Compact"/>
              <w:jc w:val="left"/>
            </w:pPr>
            <w:r>
              <w:t xml:space="preserve">Dependencies</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Certifications</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GDPR / residency</w:t>
            </w:r>
          </w:p>
        </w:tc>
        <w:tc>
          <w:tcPr/>
          <w:p>
            <w:pPr>
              <w:pStyle w:val="Compact"/>
              <w:jc w:val="left"/>
            </w:pPr>
            <w:r>
              <w:t xml:space="preserve">International API platform stores data on servers in Singapore; mainland platform keeps data in the PRC. Kimi API help page says API inputs/outputs are not used for training; the international privacy policy (30 April 2025) lists model training as a purpose (conflict). No EU residency option found. Bedrock offers Kimi K3 via US, India and global cross-Region profiles (no in-Region); Microsoft Foundry offers K3 via Fireworks pass-through (US Data Zone).</w:t>
            </w:r>
          </w:p>
        </w:tc>
        <w:tc>
          <w:tcPr/>
          <w:p>
            <w:pPr>
              <w:pStyle w:val="Compact"/>
              <w:jc w:val="left"/>
            </w:pPr>
            <w:r>
              <w:t xml:space="preserve">Verified fact</w:t>
            </w:r>
          </w:p>
        </w:tc>
        <w:tc>
          <w:tcPr/>
          <w:p>
            <w:pPr>
              <w:pStyle w:val="Compact"/>
              <w:jc w:val="left"/>
            </w:pPr>
            <w:r>
              <w:t xml:space="preserve">A5-S070, A5-S086, A5-S087</w:t>
            </w:r>
          </w:p>
        </w:tc>
      </w:tr>
      <w:tr>
        <w:tc>
          <w:tcPr/>
          <w:p>
            <w:pPr>
              <w:pStyle w:val="Compact"/>
              <w:jc w:val="left"/>
            </w:pPr>
            <w:r>
              <w:t xml:space="preserve">Security features</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Access controls</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Enterprise support</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Pricing</w:t>
            </w:r>
          </w:p>
        </w:tc>
        <w:tc>
          <w:tcPr/>
          <w:p>
            <w:pPr>
              <w:pStyle w:val="Compact"/>
              <w:jc w:val="left"/>
            </w:pPr>
            <w:r>
              <w:t xml:space="preserve">Kimi K3 (Kimi API): US$3 input / US$15 output per 1M; cached input US$0.30; flat across 1M context; Kimi K3 (Bedrock global): US$3 / US$15 per 1M (aggregator)</w:t>
            </w:r>
          </w:p>
        </w:tc>
        <w:tc>
          <w:tcPr/>
          <w:p>
            <w:pPr>
              <w:pStyle w:val="Compact"/>
              <w:jc w:val="left"/>
            </w:pPr>
            <w:r>
              <w:t xml:space="preserve">Verified fact</w:t>
            </w:r>
          </w:p>
        </w:tc>
        <w:tc>
          <w:tcPr/>
          <w:p>
            <w:pPr>
              <w:pStyle w:val="Compact"/>
              <w:jc w:val="left"/>
            </w:pPr>
            <w:r>
              <w:t xml:space="preserve">A5-S069, A5-S038</w:t>
            </w:r>
          </w:p>
        </w:tc>
      </w:tr>
      <w:tr>
        <w:tc>
          <w:tcPr/>
          <w:p>
            <w:pPr>
              <w:pStyle w:val="Compact"/>
              <w:jc w:val="left"/>
            </w:pPr>
            <w:r>
              <w:t xml:space="preserve">Infrastructure cost</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Ecosystem</w:t>
            </w:r>
          </w:p>
        </w:tc>
        <w:tc>
          <w:tcPr/>
          <w:p>
            <w:pPr>
              <w:pStyle w:val="Compact"/>
              <w:jc w:val="left"/>
            </w:pPr>
            <w:r>
              <w:t xml:space="preserve">Amazon Bedrock, Microsoft Foundry, Google Cloud (K2-Thinking), SGLang, Xinference, ms-swift, Unsloth.</w:t>
            </w:r>
          </w:p>
        </w:tc>
        <w:tc>
          <w:tcPr/>
          <w:p>
            <w:pPr>
              <w:pStyle w:val="Compact"/>
              <w:jc w:val="left"/>
            </w:pPr>
            <w:r>
              <w:t xml:space="preserve">Reported</w:t>
            </w:r>
          </w:p>
        </w:tc>
        <w:tc>
          <w:tcPr/>
          <w:p>
            <w:pPr>
              <w:pStyle w:val="Compact"/>
              <w:jc w:val="left"/>
            </w:pPr>
            <w:r>
              <w:t xml:space="preserve">A5-S038, A5-S027, A5-S039, A5-S041, A5-S040, A5-S043</w:t>
            </w:r>
          </w:p>
        </w:tc>
      </w:tr>
      <w:tr>
        <w:tc>
          <w:tcPr/>
          <w:p>
            <w:pPr>
              <w:pStyle w:val="Compact"/>
              <w:jc w:val="left"/>
            </w:pPr>
            <w:r>
              <w:t xml:space="preserve">Adoption signals</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Maturity</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Deployment</w:t>
            </w:r>
          </w:p>
        </w:tc>
        <w:tc>
          <w:tcPr/>
          <w:p>
            <w:pPr>
              <w:pStyle w:val="Compact"/>
              <w:jc w:val="left"/>
            </w:pPr>
            <w:r>
              <w:t xml:space="preserve">saas: Yes (Kimi platform API); managed_cloud: Yes (Bedrock Kimi K3 cross-Region profiles; Microsoft Foundry via Fireworks - inference on Fireworks GPUs outside customer tenant; Google Cloud K2-Thinking); vpc_byoc: Not publicly verified; private_cloud: Not publicly verified; self_hosted: Yes (open weights); on_prem: Yes (open weights)</w:t>
            </w:r>
          </w:p>
        </w:tc>
        <w:tc>
          <w:tcPr/>
          <w:p>
            <w:pPr>
              <w:pStyle w:val="Compact"/>
            </w:pPr>
          </w:p>
        </w:tc>
        <w:tc>
          <w:tcPr/>
          <w:p>
            <w:pPr>
              <w:pStyle w:val="Compact"/>
            </w:pPr>
          </w:p>
        </w:tc>
      </w:tr>
    </w:tbl>
    <w:bookmarkEnd w:id="1724"/>
    <w:bookmarkEnd w:id="1725"/>
    <w:bookmarkStart w:id="1921" w:name="c1-ai-llm-gateway"/>
    <w:p>
      <w:pPr>
        <w:pStyle w:val="Heading1"/>
      </w:pPr>
      <w:r>
        <w:t xml:space="preserve">C1: AI / LLM gateway</w:t>
      </w:r>
    </w:p>
    <w:bookmarkStart w:id="1754" w:name="Xbc08fb6d8f098f9946c082c5f4ca80a0f76b6a4"/>
    <w:p>
      <w:pPr>
        <w:pStyle w:val="Heading2"/>
      </w:pPr>
      <w:r>
        <w:t xml:space="preserve">LiteLLM (Python SDK and LiteLLM Proxy /</w:t>
      </w:r>
      <w:r>
        <w:t xml:space="preserve"> </w:t>
      </w:r>
      <w:r>
        <w:t xml:space="preserve">‘</w:t>
      </w:r>
      <w:r>
        <w:t xml:space="preserve">AI Gateway</w:t>
      </w:r>
      <w:r>
        <w:t xml:space="preserve">’</w:t>
      </w:r>
      <w:r>
        <w:t xml:space="preserve">) (</w:t>
      </w:r>
      <w:r>
        <w:rPr>
          <w:rStyle w:val="VerbatimChar"/>
        </w:rPr>
        <w:t xml:space="preserve">C1-litellm</w:t>
      </w:r>
      <w:r>
        <w:t xml:space="preserve">)</w:t>
      </w:r>
    </w:p>
    <w:p>
      <w:pPr>
        <w:pStyle w:val="FirstParagraph"/>
      </w:pPr>
      <w:r>
        <w:rPr>
          <w:bCs/>
          <w:b/>
        </w:rPr>
        <w:t xml:space="preserve">Tier:</w:t>
      </w:r>
      <w:r>
        <w:t xml:space="preserve"> </w:t>
      </w:r>
      <w:r>
        <w:t xml:space="preserve">Strategic ·</w:t>
      </w:r>
      <w:r>
        <w:t xml:space="preserve"> </w:t>
      </w:r>
      <w:r>
        <w:rPr>
          <w:bCs/>
          <w:b/>
        </w:rPr>
        <w:t xml:space="preserve">Flags:</w:t>
      </w:r>
      <w:r>
        <w:t xml:space="preserve"> </w:t>
      </w:r>
      <w:r>
        <w:t xml:space="preserve">none ·</w:t>
      </w:r>
      <w:r>
        <w:t xml:space="preserve"> </w:t>
      </w:r>
      <w:r>
        <w:rPr>
          <w:bCs/>
          <w:b/>
        </w:rPr>
        <w:t xml:space="preserve">Original graphic label:</w:t>
      </w:r>
      <w:r>
        <w:t xml:space="preserve"> </w:t>
      </w:r>
      <w:r>
        <w:t xml:space="preserve">not in graphic</w:t>
      </w:r>
    </w:p>
    <w:p>
      <w:pPr>
        <w:pStyle w:val="BodyText"/>
      </w:pPr>
      <w:r>
        <w:rPr>
          <w:iCs/>
          <w:i/>
        </w:rPr>
        <w:t xml:space="preserve">Rationale:</w:t>
      </w:r>
      <w:r>
        <w:t xml:space="preserve"> </w:t>
      </w:r>
      <w:r>
        <w:t xml:space="preserve">Strategic, conditional: only as a hardened, pinned, Enterprise-licensed internal service, because the March 2026 compromise and fail-open defaults put security and maturity at 3</w:t>
      </w:r>
      <w:r>
        <w:t xml:space="preserve"> </w:t>
      </w:r>
      <w:r>
        <w:rPr>
          <w:rStyle w:val="ClaimLabel"/>
        </w:rPr>
        <w:t xml:space="preserve">AJ</w:t>
      </w:r>
      <w:r>
        <w:t xml:space="preserve">.</w:t>
      </w:r>
    </w:p>
    <w:tbl>
      <w:tblPr>
        <w:tblStyle w:val="Table"/>
        <w:tblW w:type="pct" w:w="5000"/>
        <w:tblLook w:firstRow="1" w:lastRow="0" w:firstColumn="0" w:lastColumn="0" w:noHBand="0" w:noVBand="0" w:val="0020"/>
        <w:jc w:val="start"/>
      </w:tblPr>
      <w:tblGrid>
        <w:gridCol w:w="1545"/>
        <w:gridCol w:w="579"/>
        <w:gridCol w:w="5795"/>
      </w:tblGrid>
      <w:tr>
        <w:trPr>
          <w:tblHeader w:val="true"/>
        </w:trPr>
        <w:tc>
          <w:tcPr/>
          <w:p>
            <w:pPr>
              <w:pStyle w:val="Compact"/>
              <w:jc w:val="left"/>
            </w:pPr>
            <w:r>
              <w:t xml:space="preserve">Criterion</w:t>
            </w:r>
          </w:p>
        </w:tc>
        <w:tc>
          <w:tcPr/>
          <w:p>
            <w:pPr>
              <w:pStyle w:val="Compact"/>
              <w:jc w:val="right"/>
            </w:pPr>
            <w:r>
              <w:t xml:space="preserve">Score</w:t>
            </w:r>
          </w:p>
        </w:tc>
        <w:tc>
          <w:tcPr/>
          <w:p>
            <w:pPr>
              <w:pStyle w:val="Compact"/>
              <w:jc w:val="left"/>
            </w:pPr>
            <w:r>
              <w:t xml:space="preserve">Rationale</w:t>
            </w:r>
          </w:p>
        </w:tc>
      </w:tr>
      <w:tr>
        <w:tc>
          <w:tcPr/>
          <w:p>
            <w:pPr>
              <w:pStyle w:val="Compact"/>
              <w:jc w:val="left"/>
            </w:pPr>
            <w:r>
              <w:t xml:space="preserve">Technical</w:t>
            </w:r>
          </w:p>
        </w:tc>
        <w:tc>
          <w:tcPr/>
          <w:p>
            <w:pPr>
              <w:pStyle w:val="Compact"/>
              <w:jc w:val="right"/>
            </w:pPr>
            <w:r>
              <w:t xml:space="preserve">5</w:t>
            </w:r>
          </w:p>
        </w:tc>
        <w:tc>
          <w:tcPr/>
          <w:p>
            <w:pPr>
              <w:pStyle w:val="Compact"/>
              <w:jc w:val="left"/>
            </w:pPr>
            <w:r>
              <w:t xml:space="preserve">Leading coverage of the C1 research questions: routing, fallback, budgets, rate limits, semantic cache, guardrail hooks, logging, LLM+MCP+A2A</w:t>
            </w:r>
            <w:r>
              <w:t xml:space="preserve"> </w:t>
            </w:r>
            <w:r>
              <w:rPr>
                <w:rStyle w:val="ClaimLabel"/>
              </w:rPr>
              <w:t xml:space="preserve">VF</w:t>
            </w:r>
            <w:r>
              <w:rPr>
                <w:rStyle w:val="FootnoteReference"/>
              </w:rPr>
              <w:footnoteReference w:id="1726"/>
            </w:r>
          </w:p>
        </w:tc>
      </w:tr>
      <w:tr>
        <w:tc>
          <w:tcPr/>
          <w:p>
            <w:pPr>
              <w:pStyle w:val="Compact"/>
              <w:jc w:val="left"/>
            </w:pPr>
            <w:r>
              <w:t xml:space="preserve">Enterprise readiness</w:t>
            </w:r>
          </w:p>
        </w:tc>
        <w:tc>
          <w:tcPr/>
          <w:p>
            <w:pPr>
              <w:pStyle w:val="Compact"/>
              <w:jc w:val="right"/>
            </w:pPr>
            <w:r>
              <w:t xml:space="preserve">4</w:t>
            </w:r>
          </w:p>
        </w:tc>
        <w:tc>
          <w:tcPr/>
          <w:p>
            <w:pPr>
              <w:pStyle w:val="Compact"/>
              <w:jc w:val="left"/>
            </w:pPr>
            <w:r>
              <w:t xml:space="preserve">SSO, RBAC, SCIM and audit logs on the Enterprise tier, custom SLAs and named support channels</w:t>
            </w:r>
            <w:r>
              <w:t xml:space="preserve"> </w:t>
            </w:r>
            <w:r>
              <w:rPr>
                <w:rStyle w:val="ClaimLabel"/>
              </w:rPr>
              <w:t xml:space="preserve">VF</w:t>
            </w:r>
            <w:r>
              <w:rPr>
                <w:rStyle w:val="FootnoteReference"/>
              </w:rPr>
              <w:footnoteReference w:id="1728"/>
            </w:r>
            <w:r>
              <w:t xml:space="preserve">; rule 2 lets an OSS product with commercial support exceed 4, but the licence gating keeps it at 4</w:t>
            </w:r>
          </w:p>
        </w:tc>
      </w:tr>
      <w:tr>
        <w:tc>
          <w:tcPr/>
          <w:p>
            <w:pPr>
              <w:pStyle w:val="Compact"/>
              <w:jc w:val="left"/>
            </w:pPr>
            <w:r>
              <w:t xml:space="preserve">Security and compliance</w:t>
            </w:r>
          </w:p>
        </w:tc>
        <w:tc>
          <w:tcPr/>
          <w:p>
            <w:pPr>
              <w:pStyle w:val="Compact"/>
              <w:jc w:val="right"/>
            </w:pPr>
            <w:r>
              <w:t xml:space="preserve">3</w:t>
            </w:r>
          </w:p>
        </w:tc>
        <w:tc>
          <w:tcPr/>
          <w:p>
            <w:pPr>
              <w:pStyle w:val="Compact"/>
              <w:jc w:val="left"/>
            </w:pPr>
            <w:r>
              <w:t xml:space="preserve">SOC 2 Type 2 refreshed September 2026; ISO 27001 unconfirmed</w:t>
            </w:r>
            <w:r>
              <w:t xml:space="preserve"> </w:t>
            </w:r>
            <w:r>
              <w:rPr>
                <w:rStyle w:val="ClaimLabel"/>
              </w:rPr>
              <w:t xml:space="preserve">VF</w:t>
            </w:r>
            <w:r>
              <w:rPr>
                <w:rStyle w:val="FootnoteReference"/>
              </w:rPr>
              <w:footnoteReference w:id="1731"/>
            </w:r>
            <w:r>
              <w:t xml:space="preserve">. Serious supply-chain incident in March 2026, remediated (CI/CD v2, cosign, Mandiant review)</w:t>
            </w:r>
            <w:r>
              <w:t xml:space="preserve"> </w:t>
            </w:r>
            <w:r>
              <w:rPr>
                <w:rStyle w:val="ClaimLabel"/>
              </w:rPr>
              <w:t xml:space="preserve">VF</w:t>
            </w:r>
            <w:r>
              <w:rPr>
                <w:rStyle w:val="FootnoteReference"/>
              </w:rPr>
              <w:footnoteReference w:id="1733"/>
            </w:r>
            <w:r>
              <w:t xml:space="preserve">; held at 3</w:t>
            </w:r>
          </w:p>
        </w:tc>
      </w:tr>
      <w:tr>
        <w:tc>
          <w:tcPr/>
          <w:p>
            <w:pPr>
              <w:pStyle w:val="Compact"/>
              <w:jc w:val="left"/>
            </w:pPr>
            <w:r>
              <w:t xml:space="preserve">Deployment flexibility</w:t>
            </w:r>
          </w:p>
        </w:tc>
        <w:tc>
          <w:tcPr/>
          <w:p>
            <w:pPr>
              <w:pStyle w:val="Compact"/>
              <w:jc w:val="right"/>
            </w:pPr>
            <w:r>
              <w:t xml:space="preserve">4</w:t>
            </w:r>
          </w:p>
        </w:tc>
        <w:tc>
          <w:tcPr/>
          <w:p>
            <w:pPr>
              <w:pStyle w:val="Compact"/>
              <w:jc w:val="left"/>
            </w:pPr>
            <w:r>
              <w:t xml:space="preserve">Self-hosted, customer-account (VPC) and hosted options verified</w:t>
            </w:r>
            <w:r>
              <w:t xml:space="preserve"> </w:t>
            </w:r>
            <w:r>
              <w:rPr>
                <w:rStyle w:val="ClaimLabel"/>
              </w:rPr>
              <w:t xml:space="preserve">VF</w:t>
            </w:r>
            <w:r>
              <w:rPr>
                <w:rStyle w:val="FootnoteReference"/>
              </w:rPr>
              <w:footnoteReference w:id="1736"/>
            </w:r>
            <w:r>
              <w:t xml:space="preserve">; on-prem and air-gap not verified</w:t>
            </w:r>
            <w:r>
              <w:t xml:space="preserve"> </w:t>
            </w:r>
            <w:r>
              <w:rPr>
                <w:rStyle w:val="ClaimLabel"/>
              </w:rPr>
              <w:t xml:space="preserve">NPV</w:t>
            </w:r>
          </w:p>
        </w:tc>
      </w:tr>
      <w:tr>
        <w:tc>
          <w:tcPr/>
          <w:p>
            <w:pPr>
              <w:pStyle w:val="Compact"/>
              <w:jc w:val="left"/>
            </w:pPr>
            <w:r>
              <w:t xml:space="preserve">Ecosystem</w:t>
            </w:r>
          </w:p>
        </w:tc>
        <w:tc>
          <w:tcPr/>
          <w:p>
            <w:pPr>
              <w:pStyle w:val="Compact"/>
              <w:jc w:val="right"/>
            </w:pPr>
            <w:r>
              <w:t xml:space="preserve">5</w:t>
            </w:r>
          </w:p>
        </w:tc>
        <w:tc>
          <w:tcPr/>
          <w:p>
            <w:pPr>
              <w:pStyle w:val="Compact"/>
              <w:jc w:val="left"/>
            </w:pPr>
            <w:r>
              <w:t xml:space="preserve">De facto open interface (OpenAI format), 100+ providers, MCP, A2A, logging callbacks; used by AWS’s Guidance</w:t>
            </w:r>
            <w:r>
              <w:t xml:space="preserve"> </w:t>
            </w:r>
            <w:r>
              <w:rPr>
                <w:rStyle w:val="ClaimLabel"/>
              </w:rPr>
              <w:t xml:space="preserve">VF</w:t>
            </w:r>
            <w:r>
              <w:rPr>
                <w:rStyle w:val="FootnoteReference"/>
              </w:rPr>
              <w:footnoteReference w:id="1738"/>
            </w:r>
          </w:p>
        </w:tc>
      </w:tr>
      <w:tr>
        <w:tc>
          <w:tcPr/>
          <w:p>
            <w:pPr>
              <w:pStyle w:val="Compact"/>
              <w:jc w:val="left"/>
            </w:pPr>
            <w:r>
              <w:t xml:space="preserve">Reliability and maturity</w:t>
            </w:r>
          </w:p>
        </w:tc>
        <w:tc>
          <w:tcPr/>
          <w:p>
            <w:pPr>
              <w:pStyle w:val="Compact"/>
              <w:jc w:val="right"/>
            </w:pPr>
            <w:r>
              <w:t xml:space="preserve">3</w:t>
            </w:r>
          </w:p>
        </w:tc>
        <w:tc>
          <w:tcPr/>
          <w:p>
            <w:pPr>
              <w:pStyle w:val="Compact"/>
              <w:jc w:val="left"/>
            </w:pPr>
            <w:r>
              <w:t xml:space="preserve">Since July 2023 with very high cadence</w:t>
            </w:r>
            <w:r>
              <w:t xml:space="preserve"> </w:t>
            </w:r>
            <w:r>
              <w:rPr>
                <w:rStyle w:val="ClaimLabel"/>
              </w:rPr>
              <w:t xml:space="preserve">VF</w:t>
            </w:r>
            <w:r>
              <w:rPr>
                <w:rStyle w:val="FootnoteReference"/>
              </w:rPr>
              <w:footnoteReference w:id="1739"/>
            </w:r>
            <w:r>
              <w:t xml:space="preserve">, but a 2026 supply-chain compromise and fail-open defaults</w:t>
            </w:r>
            <w:r>
              <w:t xml:space="preserve"> </w:t>
            </w:r>
            <w:r>
              <w:rPr>
                <w:rStyle w:val="ClaimLabel"/>
              </w:rPr>
              <w:t xml:space="preserve">VF</w:t>
            </w:r>
            <w:r>
              <w:rPr>
                <w:rStyle w:val="FootnoteReference"/>
              </w:rPr>
              <w:footnoteReference w:id="1741"/>
            </w:r>
          </w:p>
        </w:tc>
      </w:tr>
      <w:tr>
        <w:tc>
          <w:tcPr/>
          <w:p>
            <w:pPr>
              <w:pStyle w:val="Compact"/>
              <w:jc w:val="left"/>
            </w:pPr>
            <w:r>
              <w:t xml:space="preserve">Cost / TCO</w:t>
            </w:r>
          </w:p>
        </w:tc>
        <w:tc>
          <w:tcPr/>
          <w:p>
            <w:pPr>
              <w:pStyle w:val="Compact"/>
              <w:jc w:val="right"/>
            </w:pPr>
            <w:r>
              <w:t xml:space="preserve">4</w:t>
            </w:r>
          </w:p>
        </w:tc>
        <w:tc>
          <w:tcPr/>
          <w:p>
            <w:pPr>
              <w:pStyle w:val="Compact"/>
              <w:jc w:val="left"/>
            </w:pPr>
            <w:r>
              <w:t xml:space="preserve">Free to self-host; Enterprise licence priced on capacity (pricing description conflicts); database and Redis to operate</w:t>
            </w:r>
            <w:r>
              <w:t xml:space="preserve"> </w:t>
            </w:r>
            <w:r>
              <w:rPr>
                <w:rStyle w:val="ClaimLabel"/>
              </w:rPr>
              <w:t xml:space="preserve">VF</w:t>
            </w:r>
            <w:r>
              <w:rPr>
                <w:rStyle w:val="FootnoteReference"/>
              </w:rPr>
              <w:footnoteReference w:id="1742"/>
            </w:r>
          </w:p>
        </w:tc>
      </w:tr>
      <w:tr>
        <w:tc>
          <w:tcPr/>
          <w:p>
            <w:pPr>
              <w:pStyle w:val="Compact"/>
              <w:jc w:val="left"/>
            </w:pPr>
            <w:r>
              <w:t xml:space="preserve">Lock-in / portability</w:t>
            </w:r>
          </w:p>
        </w:tc>
        <w:tc>
          <w:tcPr/>
          <w:p>
            <w:pPr>
              <w:pStyle w:val="Compact"/>
              <w:jc w:val="right"/>
            </w:pPr>
            <w:r>
              <w:t xml:space="preserve">4</w:t>
            </w:r>
          </w:p>
        </w:tc>
        <w:tc>
          <w:tcPr/>
          <w:p>
            <w:pPr>
              <w:pStyle w:val="Compact"/>
              <w:jc w:val="left"/>
            </w:pPr>
            <w:r>
              <w:t xml:space="preserve">MIT core and OpenAI-format API; enterprise features proprietary</w:t>
            </w:r>
            <w:r>
              <w:t xml:space="preserve"> </w:t>
            </w:r>
            <w:r>
              <w:rPr>
                <w:rStyle w:val="ClaimLabel"/>
              </w:rPr>
              <w:t xml:space="preserve">VF</w:t>
            </w:r>
            <w:r>
              <w:rPr>
                <w:rStyle w:val="FootnoteReference"/>
              </w:rPr>
              <w:footnoteReference w:id="1743"/>
            </w:r>
            <w:r>
              <w:t xml:space="preserve">; no ownership change found</w:t>
            </w:r>
          </w:p>
        </w:tc>
      </w:tr>
      <w:tr>
        <w:tc>
          <w:tcPr/>
          <w:p>
            <w:pPr>
              <w:pStyle w:val="Compact"/>
              <w:jc w:val="left"/>
            </w:pPr>
            <w:r>
              <w:rPr>
                <w:bCs/>
                <w:b/>
              </w:rPr>
              <w:t xml:space="preserve">Total (generic / FS)</w:t>
            </w:r>
          </w:p>
        </w:tc>
        <w:tc>
          <w:tcPr/>
          <w:p>
            <w:pPr>
              <w:pStyle w:val="Compact"/>
              <w:jc w:val="right"/>
            </w:pPr>
            <w:r>
              <w:rPr>
                <w:bCs/>
                <w:b/>
              </w:rPr>
              <w:t xml:space="preserve">4.05 / 3.90</w:t>
            </w:r>
          </w:p>
        </w:tc>
        <w:tc>
          <w:tcPr/>
          <w:p>
            <w:pPr>
              <w:pStyle w:val="Compact"/>
            </w:pPr>
          </w:p>
        </w:tc>
      </w:tr>
    </w:tbl>
    <w:p>
      <w:pPr>
        <w:pStyle w:val="BodyText"/>
      </w:pPr>
      <w:r>
        <w:rPr>
          <w:iCs/>
          <w:i/>
        </w:rPr>
        <w:t xml:space="preserve">Evidence rules applied:</w:t>
      </w:r>
      <w:r>
        <w:t xml:space="preserve"> </w:t>
      </w:r>
      <w:r>
        <w:t xml:space="preserve">Rule 2 basis: self-hosted open-core software with commercial support; NPV cap not applied</w:t>
      </w:r>
    </w:p>
    <w:p>
      <w:pPr>
        <w:pStyle w:val="BodyText"/>
      </w:pPr>
      <w:r>
        <w:rPr>
          <w:bCs/>
          <w:b/>
        </w:rPr>
        <w:t xml:space="preserve">Capabilities.</w:t>
      </w:r>
      <w:r>
        <w:t xml:space="preserve"> </w:t>
      </w:r>
      <w:r>
        <w:t xml:space="preserve">Open-core Python SDK and proxy exposing 100+ providers through an OpenAI-format API, with virtual keys, budgets per key/user/team/customer, TPM/RPM limits, fallbacks, exact and semantic caching, pre/during/post-call guardrail hooks and logging callbacks; the same proxy fronts MCP servers and A2A agents</w:t>
      </w:r>
      <w:r>
        <w:t xml:space="preserve"> </w:t>
      </w:r>
      <w:r>
        <w:rPr>
          <w:rStyle w:val="ClaimLabel"/>
        </w:rPr>
        <w:t xml:space="preserve">VF</w:t>
      </w:r>
      <w:r>
        <w:rPr>
          <w:rStyle w:val="FootnoteReference"/>
        </w:rPr>
        <w:footnoteReference w:id="1745"/>
      </w:r>
      <w:r>
        <w:t xml:space="preserve">.</w:t>
      </w:r>
    </w:p>
    <w:p>
      <w:pPr>
        <w:pStyle w:val="BodyText"/>
      </w:pPr>
      <w:r>
        <w:rPr>
          <w:bCs/>
          <w:b/>
        </w:rPr>
        <w:t xml:space="preserve">Strengths</w:t>
      </w:r>
    </w:p>
    <w:p>
      <w:pPr>
        <w:numPr>
          <w:ilvl w:val="0"/>
          <w:numId w:val="1365"/>
        </w:numPr>
        <w:pStyle w:val="Compact"/>
      </w:pPr>
      <w:r>
        <w:t xml:space="preserve">Widest provider coverage and the de facto open-source gateway; basis of AWS’s own multi-provider Guidance</w:t>
      </w:r>
      <w:r>
        <w:t xml:space="preserve"> </w:t>
      </w:r>
      <w:r>
        <w:rPr>
          <w:rStyle w:val="ClaimLabel"/>
        </w:rPr>
        <w:t xml:space="preserve">VF</w:t>
      </w:r>
      <w:r>
        <w:rPr>
          <w:rStyle w:val="FootnoteReference"/>
        </w:rPr>
        <w:footnoteReference w:id="1746"/>
      </w:r>
      <w:r>
        <w:t xml:space="preserve"> </w:t>
      </w:r>
      <w:r>
        <w:rPr>
          <w:rStyle w:val="ClaimLabel"/>
        </w:rPr>
        <w:t xml:space="preserve">AJ</w:t>
      </w:r>
    </w:p>
    <w:p>
      <w:pPr>
        <w:numPr>
          <w:ilvl w:val="0"/>
          <w:numId w:val="1365"/>
        </w:numPr>
        <w:pStyle w:val="Compact"/>
      </w:pPr>
      <w:r>
        <w:t xml:space="preserve">One control plane for LLM, MCP and A2A traffic with shared auth, limits and spend tracking</w:t>
      </w:r>
      <w:r>
        <w:t xml:space="preserve"> </w:t>
      </w:r>
      <w:r>
        <w:rPr>
          <w:rStyle w:val="ClaimLabel"/>
        </w:rPr>
        <w:t xml:space="preserve">VF</w:t>
      </w:r>
      <w:r>
        <w:rPr>
          <w:rStyle w:val="FootnoteReference"/>
        </w:rPr>
        <w:footnoteReference w:id="1747"/>
      </w:r>
    </w:p>
    <w:p>
      <w:pPr>
        <w:numPr>
          <w:ilvl w:val="0"/>
          <w:numId w:val="1365"/>
        </w:numPr>
        <w:pStyle w:val="Compact"/>
      </w:pPr>
      <w:r>
        <w:t xml:space="preserve">MIT core and OpenAI-format API keep the application exit cheap</w:t>
      </w:r>
      <w:r>
        <w:t xml:space="preserve"> </w:t>
      </w:r>
      <w:r>
        <w:rPr>
          <w:rStyle w:val="ClaimLabel"/>
        </w:rPr>
        <w:t xml:space="preserve">VF</w:t>
      </w:r>
      <w:r>
        <w:rPr>
          <w:rStyle w:val="FootnoteReference"/>
        </w:rPr>
        <w:footnoteReference w:id="1748"/>
      </w:r>
      <w:r>
        <w:t xml:space="preserve"> </w:t>
      </w:r>
      <w:r>
        <w:rPr>
          <w:rStyle w:val="ClaimLabel"/>
        </w:rPr>
        <w:t xml:space="preserve">AJ</w:t>
      </w:r>
    </w:p>
    <w:p>
      <w:pPr>
        <w:pStyle w:val="FirstParagraph"/>
      </w:pPr>
      <w:r>
        <w:rPr>
          <w:bCs/>
          <w:b/>
        </w:rPr>
        <w:t xml:space="preserve">Limitations and risks</w:t>
      </w:r>
    </w:p>
    <w:p>
      <w:pPr>
        <w:numPr>
          <w:ilvl w:val="0"/>
          <w:numId w:val="1366"/>
        </w:numPr>
        <w:pStyle w:val="Compact"/>
      </w:pPr>
      <w:r>
        <w:t xml:space="preserve">PyPI supply-chain compromise on 24 March 2026 (1.82.7 and 1.82.8) via CI credentials; clean v1.83.0 released 30 March 2026 (US time) from a rebuilt pipeline</w:t>
      </w:r>
      <w:r>
        <w:t xml:space="preserve"> </w:t>
      </w:r>
      <w:r>
        <w:rPr>
          <w:rStyle w:val="ClaimLabel"/>
        </w:rPr>
        <w:t xml:space="preserve">VF</w:t>
      </w:r>
      <w:r>
        <w:rPr>
          <w:rStyle w:val="FootnoteReference"/>
        </w:rPr>
        <w:footnoteReference w:id="1749"/>
      </w:r>
    </w:p>
    <w:p>
      <w:pPr>
        <w:numPr>
          <w:ilvl w:val="0"/>
          <w:numId w:val="1366"/>
        </w:numPr>
        <w:pStyle w:val="Compact"/>
      </w:pPr>
      <w:r>
        <w:t xml:space="preserve">Several controls fail open or are off by default: max_budget without a database, prompt-injection guardrails off, admin key bypasses budgets; A2A agents open to all callers until an allowlist is set</w:t>
      </w:r>
      <w:r>
        <w:t xml:space="preserve"> </w:t>
      </w:r>
      <w:r>
        <w:rPr>
          <w:rStyle w:val="ClaimLabel"/>
        </w:rPr>
        <w:t xml:space="preserve">VF</w:t>
      </w:r>
      <w:r>
        <w:rPr>
          <w:rStyle w:val="FootnoteReference"/>
        </w:rPr>
        <w:footnoteReference w:id="1751"/>
      </w:r>
    </w:p>
    <w:p>
      <w:pPr>
        <w:numPr>
          <w:ilvl w:val="0"/>
          <w:numId w:val="1366"/>
        </w:numPr>
        <w:pStyle w:val="Compact"/>
      </w:pPr>
      <w:r>
        <w:t xml:space="preserve">SSO beyond 5 users, RBAC, SCIM and audit logs need the commercial licence; pricing model described inconsistently</w:t>
      </w:r>
      <w:r>
        <w:t xml:space="preserve"> </w:t>
      </w:r>
      <w:r>
        <w:rPr>
          <w:rStyle w:val="ClaimLabel"/>
        </w:rPr>
        <w:t xml:space="preserve">VF</w:t>
      </w:r>
      <w:r>
        <w:rPr>
          <w:rStyle w:val="FootnoteReference"/>
        </w:rPr>
        <w:footnoteReference w:id="1752"/>
      </w:r>
    </w:p>
    <w:p>
      <w:pPr>
        <w:numPr>
          <w:ilvl w:val="0"/>
          <w:numId w:val="1366"/>
        </w:numPr>
        <w:pStyle w:val="Compact"/>
      </w:pPr>
      <w:r>
        <w:t xml:space="preserve">ISO 27001 recertification not confirmed</w:t>
      </w:r>
      <w:r>
        <w:t xml:space="preserve"> </w:t>
      </w:r>
      <w:r>
        <w:rPr>
          <w:rStyle w:val="ClaimLabel"/>
        </w:rPr>
        <w:t xml:space="preserve">VF</w:t>
      </w:r>
      <w:r>
        <w:rPr>
          <w:rStyle w:val="FootnoteReference"/>
        </w:rPr>
        <w:footnoteReference w:id="1753"/>
      </w:r>
    </w:p>
    <w:p>
      <w:pPr>
        <w:pStyle w:val="FirstParagraph"/>
      </w:pPr>
      <w:r>
        <w:rPr>
          <w:bCs/>
          <w:b/>
        </w:rPr>
        <w:t xml:space="preserve">Choose when</w:t>
      </w:r>
    </w:p>
    <w:p>
      <w:pPr>
        <w:numPr>
          <w:ilvl w:val="0"/>
          <w:numId w:val="1367"/>
        </w:numPr>
        <w:pStyle w:val="Compact"/>
      </w:pPr>
      <w:r>
        <w:t xml:space="preserve">You want a self-hosted, provider-neutral gateway for LLM, MCP and A2A traffic and will run it as a hardened internal service</w:t>
      </w:r>
      <w:r>
        <w:t xml:space="preserve"> </w:t>
      </w:r>
      <w:r>
        <w:rPr>
          <w:rStyle w:val="ClaimLabel"/>
        </w:rPr>
        <w:t xml:space="preserve">AJ</w:t>
      </w:r>
    </w:p>
    <w:p>
      <w:pPr>
        <w:numPr>
          <w:ilvl w:val="0"/>
          <w:numId w:val="1367"/>
        </w:numPr>
        <w:pStyle w:val="Compact"/>
      </w:pPr>
      <w:r>
        <w:t xml:space="preserve">You will buy the Enterprise licence for SSO, RBAC and audit logs</w:t>
      </w:r>
      <w:r>
        <w:t xml:space="preserve"> </w:t>
      </w:r>
      <w:r>
        <w:rPr>
          <w:rStyle w:val="ClaimLabel"/>
        </w:rPr>
        <w:t xml:space="preserve">AJ</w:t>
      </w:r>
    </w:p>
    <w:p>
      <w:pPr>
        <w:pStyle w:val="FirstParagraph"/>
      </w:pPr>
      <w:r>
        <w:rPr>
          <w:bCs/>
          <w:b/>
        </w:rPr>
        <w:t xml:space="preserve">Avoid when</w:t>
      </w:r>
    </w:p>
    <w:p>
      <w:pPr>
        <w:numPr>
          <w:ilvl w:val="0"/>
          <w:numId w:val="1368"/>
        </w:numPr>
        <w:pStyle w:val="Compact"/>
      </w:pPr>
      <w:r>
        <w:t xml:space="preserve">You cannot pin versions, mirror packages and verify signed images</w:t>
      </w:r>
      <w:r>
        <w:t xml:space="preserve"> </w:t>
      </w:r>
      <w:r>
        <w:rPr>
          <w:rStyle w:val="ClaimLabel"/>
        </w:rPr>
        <w:t xml:space="preserve">AJ</w:t>
      </w:r>
    </w:p>
    <w:p>
      <w:pPr>
        <w:numPr>
          <w:ilvl w:val="0"/>
          <w:numId w:val="1368"/>
        </w:numPr>
        <w:pStyle w:val="Compact"/>
      </w:pPr>
      <w:r>
        <w:t xml:space="preserve">You would run the open edition without a database and accept fail-open budgets</w:t>
      </w:r>
      <w:r>
        <w:t xml:space="preserve"> </w:t>
      </w:r>
      <w:r>
        <w:rPr>
          <w:rStyle w:val="ClaimLabel"/>
        </w:rPr>
        <w:t xml:space="preserve">AJ</w:t>
      </w:r>
    </w:p>
    <w:p>
      <w:pPr>
        <w:pStyle w:val="FirstParagraph"/>
      </w:pPr>
      <w:r>
        <w:rPr>
          <w:bCs/>
          <w:b/>
        </w:rPr>
        <w:t xml:space="preserve">Nearest competitors:</w:t>
      </w:r>
      <w:r>
        <w:t xml:space="preserve"> </w:t>
      </w:r>
      <w:r>
        <w:t xml:space="preserve">C1-kong-ai-gateway, C1-portkey, C1-agentgateway</w:t>
      </w:r>
    </w:p>
    <w:p>
      <w:pPr>
        <w:pStyle w:val="BodyText"/>
      </w:pPr>
      <w:r>
        <w:rPr>
          <w:bCs/>
          <w:b/>
        </w:rPr>
        <w:t xml:space="preserve">Regulated-FS note.</w:t>
      </w:r>
      <w:r>
        <w:t xml:space="preserve"> </w:t>
      </w:r>
      <w:r>
        <w:t xml:space="preserve">Treat as a Tier-1 internal service: install only from a private mirror with pinned hashes, deploy the cosign-signed images, run fail-closed configuration and buy Enterprise for audit evidence</w:t>
      </w:r>
      <w:r>
        <w:t xml:space="preserve"> </w:t>
      </w:r>
      <w:r>
        <w:rPr>
          <w:rStyle w:val="ClaimLabel"/>
        </w:rPr>
        <w:t xml:space="preserve">Rec</w:t>
      </w:r>
      <w:r>
        <w:t xml:space="preserve">.</w:t>
      </w:r>
    </w:p>
    <w:p>
      <w:pPr>
        <w:pStyle w:val="BodyText"/>
      </w:pPr>
      <w:r>
        <w:rPr>
          <w:bCs/>
          <w:b/>
        </w:rPr>
        <w:t xml:space="preserve">Facts (as of 2026-10-08)</w:t>
      </w:r>
    </w:p>
    <w:tbl>
      <w:tblPr>
        <w:tblStyle w:val="Table"/>
        <w:tblW w:type="pct" w:w="5000"/>
        <w:tblLook w:firstRow="1" w:lastRow="0" w:firstColumn="0" w:lastColumn="0" w:noHBand="0" w:noVBand="0" w:val="0020"/>
        <w:jc w:val="start"/>
      </w:tblPr>
      <w:tblGrid>
        <w:gridCol w:w="1485"/>
        <w:gridCol w:w="4290"/>
        <w:gridCol w:w="1320"/>
        <w:gridCol w:w="825"/>
      </w:tblGrid>
      <w:tr>
        <w:trPr>
          <w:tblHeader w:val="true"/>
        </w:trPr>
        <w:tc>
          <w:tcPr/>
          <w:p>
            <w:pPr>
              <w:pStyle w:val="Compact"/>
              <w:jc w:val="left"/>
            </w:pPr>
            <w:r>
              <w:t xml:space="preserve">Field</w:t>
            </w:r>
          </w:p>
        </w:tc>
        <w:tc>
          <w:tcPr/>
          <w:p>
            <w:pPr>
              <w:pStyle w:val="Compact"/>
              <w:jc w:val="left"/>
            </w:pPr>
            <w:r>
              <w:t xml:space="preserve">Value</w:t>
            </w:r>
          </w:p>
        </w:tc>
        <w:tc>
          <w:tcPr/>
          <w:p>
            <w:pPr>
              <w:pStyle w:val="Compact"/>
              <w:jc w:val="left"/>
            </w:pPr>
            <w:r>
              <w:t xml:space="preserve">Label</w:t>
            </w:r>
          </w:p>
        </w:tc>
        <w:tc>
          <w:tcPr/>
          <w:p>
            <w:pPr>
              <w:pStyle w:val="Compact"/>
              <w:jc w:val="left"/>
            </w:pPr>
            <w:r>
              <w:t xml:space="preserve">Sources</w:t>
            </w:r>
          </w:p>
        </w:tc>
      </w:tr>
      <w:tr>
        <w:tc>
          <w:tcPr/>
          <w:p>
            <w:pPr>
              <w:pStyle w:val="Compact"/>
              <w:jc w:val="left"/>
            </w:pPr>
            <w:r>
              <w:t xml:space="preserve">Company</w:t>
            </w:r>
          </w:p>
        </w:tc>
        <w:tc>
          <w:tcPr/>
          <w:p>
            <w:pPr>
              <w:pStyle w:val="Compact"/>
              <w:jc w:val="left"/>
            </w:pPr>
            <w:r>
              <w:t xml:space="preserve">BerriAI (PyPI author of litellm); no acquisition found in sources consulted</w:t>
            </w:r>
          </w:p>
        </w:tc>
        <w:tc>
          <w:tcPr/>
          <w:p>
            <w:pPr>
              <w:pStyle w:val="Compact"/>
              <w:jc w:val="left"/>
            </w:pPr>
            <w:r>
              <w:t xml:space="preserve">Verified fact</w:t>
            </w:r>
          </w:p>
        </w:tc>
        <w:tc>
          <w:tcPr/>
          <w:p>
            <w:pPr>
              <w:pStyle w:val="Compact"/>
              <w:jc w:val="left"/>
            </w:pPr>
            <w:r>
              <w:t xml:space="preserve">A6-S001</w:t>
            </w:r>
          </w:p>
        </w:tc>
      </w:tr>
      <w:tr>
        <w:tc>
          <w:tcPr/>
          <w:p>
            <w:pPr>
              <w:pStyle w:val="Compact"/>
              <w:jc w:val="left"/>
            </w:pPr>
            <w:r>
              <w:t xml:space="preserve">Category</w:t>
            </w:r>
          </w:p>
        </w:tc>
        <w:tc>
          <w:tcPr/>
          <w:p>
            <w:pPr>
              <w:pStyle w:val="Compact"/>
              <w:jc w:val="left"/>
            </w:pPr>
            <w:r>
              <w:t xml:space="preserve">AI/LLM gateway (open-source proxy) that also acts as MCP gateway and A2A agent gateway</w:t>
            </w:r>
          </w:p>
        </w:tc>
        <w:tc>
          <w:tcPr/>
          <w:p>
            <w:pPr>
              <w:pStyle w:val="Compact"/>
              <w:jc w:val="left"/>
            </w:pPr>
            <w:r>
              <w:t xml:space="preserve">Verified fact</w:t>
            </w:r>
          </w:p>
        </w:tc>
        <w:tc>
          <w:tcPr/>
          <w:p>
            <w:pPr>
              <w:pStyle w:val="Compact"/>
              <w:jc w:val="left"/>
            </w:pPr>
            <w:r>
              <w:t xml:space="preserve">A6-S015, A6-S051</w:t>
            </w:r>
          </w:p>
        </w:tc>
      </w:tr>
      <w:tr>
        <w:tc>
          <w:tcPr/>
          <w:p>
            <w:pPr>
              <w:pStyle w:val="Compact"/>
              <w:jc w:val="left"/>
            </w:pPr>
            <w:r>
              <w:t xml:space="preserve">Version / lineup</w:t>
            </w:r>
          </w:p>
        </w:tc>
        <w:tc>
          <w:tcPr/>
          <w:p>
            <w:pPr>
              <w:pStyle w:val="Compact"/>
              <w:jc w:val="left"/>
            </w:pPr>
            <w:r>
              <w:t xml:space="preserve">litellm 1.104.1 (PyPI, 7 October 2026; 1.105.0rc2 pre-release the same day); proprietary litellm-enterprise 0.1.74 (7 October 2026)</w:t>
            </w:r>
          </w:p>
        </w:tc>
        <w:tc>
          <w:tcPr/>
          <w:p>
            <w:pPr>
              <w:pStyle w:val="Compact"/>
              <w:jc w:val="left"/>
            </w:pPr>
            <w:r>
              <w:t xml:space="preserve">Verified fact</w:t>
            </w:r>
          </w:p>
        </w:tc>
        <w:tc>
          <w:tcPr/>
          <w:p>
            <w:pPr>
              <w:pStyle w:val="Compact"/>
              <w:jc w:val="left"/>
            </w:pPr>
            <w:r>
              <w:t xml:space="preserve">A6-S001, A6-S002, V2-S028</w:t>
            </w:r>
          </w:p>
        </w:tc>
      </w:tr>
      <w:tr>
        <w:tc>
          <w:tcPr/>
          <w:p>
            <w:pPr>
              <w:pStyle w:val="Compact"/>
              <w:jc w:val="left"/>
            </w:pPr>
            <w:r>
              <w:t xml:space="preserve">Licence</w:t>
            </w:r>
          </w:p>
        </w:tc>
        <w:tc>
          <w:tcPr/>
          <w:p>
            <w:pPr>
              <w:pStyle w:val="Compact"/>
              <w:jc w:val="left"/>
            </w:pPr>
            <w:r>
              <w:t xml:space="preserve">Open core: core package MIT; enterprise features under the LiteLLM Commercial License, shipped as litellm-enterprise (LicenseRef-Proprietary)</w:t>
            </w:r>
          </w:p>
        </w:tc>
        <w:tc>
          <w:tcPr/>
          <w:p>
            <w:pPr>
              <w:pStyle w:val="Compact"/>
              <w:jc w:val="left"/>
            </w:pPr>
            <w:r>
              <w:t xml:space="preserve">Verified fact</w:t>
            </w:r>
          </w:p>
        </w:tc>
        <w:tc>
          <w:tcPr/>
          <w:p>
            <w:pPr>
              <w:pStyle w:val="Compact"/>
              <w:jc w:val="left"/>
            </w:pPr>
            <w:r>
              <w:t xml:space="preserve">A6-S001, A6-S002, A6-S051</w:t>
            </w:r>
          </w:p>
        </w:tc>
      </w:tr>
      <w:tr>
        <w:tc>
          <w:tcPr/>
          <w:p>
            <w:pPr>
              <w:pStyle w:val="Compact"/>
              <w:jc w:val="left"/>
            </w:pPr>
            <w:r>
              <w:t xml:space="preserve">Status events</w:t>
            </w:r>
          </w:p>
        </w:tc>
        <w:tc>
          <w:tcPr/>
          <w:p>
            <w:pPr>
              <w:pStyle w:val="Compact"/>
              <w:jc w:val="left"/>
            </w:pPr>
            <w:r>
              <w:t xml:space="preserve">24 March 2026: malicious litellm 1.82.7 and 1.82.8 published to PyPI using release credentials stolen via a compromised Trivy scanner in CI; quarantined after about 40 minutes per LiteLLM (Snyk reports an exposure window of about three hours); both versions are no longer listed on PyPI; 30 March 2026 (US time; PyPI upload 31 March 2026 05:08 UTC): v1.83.0 released as first build from rebuilt CI/CD v2 pipeline after forensic review with Mandiant and Veria Labs</w:t>
            </w:r>
          </w:p>
        </w:tc>
        <w:tc>
          <w:tcPr/>
          <w:p>
            <w:pPr>
              <w:pStyle w:val="Compact"/>
              <w:jc w:val="left"/>
            </w:pPr>
            <w:r>
              <w:t xml:space="preserve">Verified fact</w:t>
            </w:r>
          </w:p>
        </w:tc>
        <w:tc>
          <w:tcPr/>
          <w:p>
            <w:pPr>
              <w:pStyle w:val="Compact"/>
              <w:jc w:val="left"/>
            </w:pPr>
            <w:r>
              <w:t xml:space="preserve">A6-S008, A6-S009, A6-S010, V2-S027, V2-S028</w:t>
            </w:r>
          </w:p>
        </w:tc>
      </w:tr>
      <w:tr>
        <w:tc>
          <w:tcPr/>
          <w:p>
            <w:pPr>
              <w:pStyle w:val="Compact"/>
              <w:jc w:val="left"/>
            </w:pPr>
            <w:r>
              <w:t xml:space="preserve">Strategic direction</w:t>
            </w:r>
          </w:p>
        </w:tc>
        <w:tc>
          <w:tcPr/>
          <w:p>
            <w:pPr>
              <w:pStyle w:val="Compact"/>
              <w:jc w:val="left"/>
            </w:pPr>
            <w:r>
              <w:t xml:space="preserve">Positions the proxy as one control plane for LLMs, MCP servers and A2A agents with shared auth, rate limiting and usage dashboard; v1.89.0 added A2A agent providers and per-MCP-server controls; after March 2026 incident moved to CI/CD v2 with ephemeral credentials and cosign-signed images</w:t>
            </w:r>
          </w:p>
        </w:tc>
        <w:tc>
          <w:tcPr/>
          <w:p>
            <w:pPr>
              <w:pStyle w:val="Compact"/>
              <w:jc w:val="left"/>
            </w:pPr>
            <w:r>
              <w:t xml:space="preserve">Verified fact</w:t>
            </w:r>
          </w:p>
        </w:tc>
        <w:tc>
          <w:tcPr/>
          <w:p>
            <w:pPr>
              <w:pStyle w:val="Compact"/>
              <w:jc w:val="left"/>
            </w:pPr>
            <w:r>
              <w:t xml:space="preserve">A6-S015, A6-S009, A6-S051</w:t>
            </w:r>
          </w:p>
        </w:tc>
      </w:tr>
      <w:tr>
        <w:tc>
          <w:tcPr/>
          <w:p>
            <w:pPr>
              <w:pStyle w:val="Compact"/>
              <w:jc w:val="left"/>
            </w:pPr>
            <w:r>
              <w:t xml:space="preserve">What it does</w:t>
            </w:r>
          </w:p>
        </w:tc>
        <w:tc>
          <w:tcPr/>
          <w:p>
            <w:pPr>
              <w:pStyle w:val="Compact"/>
              <w:jc w:val="left"/>
            </w:pPr>
            <w:r>
              <w:t xml:space="preserve">Python SDK and proxy server that expose 100+ LLM providers through an OpenAI-format API, with virtual keys, budgets (key/user/team/customer), TPM/RPM limits, fallbacks, exact and semantic caching, guardrail hooks (pre-call, during-call, post-call) and logging callbacks; the same proxy fronts registered MCP servers and A2A agents with access control, cost tracking and guardrails.</w:t>
            </w:r>
          </w:p>
        </w:tc>
        <w:tc>
          <w:tcPr/>
          <w:p>
            <w:pPr>
              <w:pStyle w:val="Compact"/>
              <w:jc w:val="left"/>
            </w:pPr>
            <w:r>
              <w:t xml:space="preserve">Verified fact</w:t>
            </w:r>
          </w:p>
        </w:tc>
        <w:tc>
          <w:tcPr/>
          <w:p>
            <w:pPr>
              <w:pStyle w:val="Compact"/>
              <w:jc w:val="left"/>
            </w:pPr>
            <w:r>
              <w:t xml:space="preserve">A6-S015, A6-S051</w:t>
            </w:r>
          </w:p>
        </w:tc>
      </w:tr>
      <w:tr>
        <w:tc>
          <w:tcPr/>
          <w:p>
            <w:pPr>
              <w:pStyle w:val="Compact"/>
              <w:jc w:val="left"/>
            </w:pPr>
            <w:r>
              <w:t xml:space="preserve">Stack position</w:t>
            </w:r>
          </w:p>
        </w:tc>
        <w:tc>
          <w:tcPr/>
          <w:p>
            <w:pPr>
              <w:pStyle w:val="Compact"/>
              <w:jc w:val="left"/>
            </w:pPr>
            <w:r>
              <w:t xml:space="preserve">Gateway/control plane between applications or agents and model providers, MCP tool servers and A2A agents. Absent from the graphic (L2 shows OpenRouter, a hosted router, not an enterprise gateway).</w:t>
            </w:r>
          </w:p>
        </w:tc>
        <w:tc>
          <w:tcPr/>
          <w:p>
            <w:pPr>
              <w:pStyle w:val="Compact"/>
              <w:jc w:val="left"/>
            </w:pPr>
            <w:r>
              <w:t xml:space="preserve">Verified fact</w:t>
            </w:r>
          </w:p>
        </w:tc>
        <w:tc>
          <w:tcPr/>
          <w:p>
            <w:pPr>
              <w:pStyle w:val="Compact"/>
              <w:jc w:val="left"/>
            </w:pPr>
            <w:r>
              <w:t xml:space="preserve">A6-S015</w:t>
            </w:r>
          </w:p>
        </w:tc>
      </w:tr>
      <w:tr>
        <w:tc>
          <w:tcPr/>
          <w:p>
            <w:pPr>
              <w:pStyle w:val="Compact"/>
              <w:jc w:val="left"/>
            </w:pPr>
            <w:r>
              <w:t xml:space="preserve">Integration</w:t>
            </w:r>
          </w:p>
        </w:tc>
        <w:tc>
          <w:tcPr/>
          <w:p>
            <w:pPr>
              <w:pStyle w:val="Compact"/>
              <w:jc w:val="left"/>
            </w:pPr>
            <w:r>
              <w:t xml:space="preserve">OpenAI-compatible REST API; MCP endpoint (fixed endpoint for all registered MCP tools, OAuth passthrough with issuer-scoped JWT auth); A2A message/send and message/stream; logging callbacks (e.g. per-team Langfuse projects), log export to S3/GCS/Azure Blob; JWT/OIDC request auth</w:t>
            </w:r>
          </w:p>
        </w:tc>
        <w:tc>
          <w:tcPr/>
          <w:p>
            <w:pPr>
              <w:pStyle w:val="Compact"/>
              <w:jc w:val="left"/>
            </w:pPr>
            <w:r>
              <w:t xml:space="preserve">Verified fact</w:t>
            </w:r>
          </w:p>
        </w:tc>
        <w:tc>
          <w:tcPr/>
          <w:p>
            <w:pPr>
              <w:pStyle w:val="Compact"/>
              <w:jc w:val="left"/>
            </w:pPr>
            <w:r>
              <w:t xml:space="preserve">A6-S015, A6-S007</w:t>
            </w:r>
          </w:p>
        </w:tc>
      </w:tr>
      <w:tr>
        <w:tc>
          <w:tcPr/>
          <w:p>
            <w:pPr>
              <w:pStyle w:val="Compact"/>
              <w:jc w:val="left"/>
            </w:pPr>
            <w:r>
              <w:t xml:space="preserve">Dependencies</w:t>
            </w:r>
          </w:p>
        </w:tc>
        <w:tc>
          <w:tcPr/>
          <w:p>
            <w:pPr>
              <w:pStyle w:val="Compact"/>
              <w:jc w:val="left"/>
            </w:pPr>
            <w:r>
              <w:t xml:space="preserve">Python &gt;=3.10,&lt;3.15; a database is required for global budgets and spend tracking; Redis, Valkey or Qdrant back semantic caching; official Docker images on GHCR</w:t>
            </w:r>
          </w:p>
        </w:tc>
        <w:tc>
          <w:tcPr/>
          <w:p>
            <w:pPr>
              <w:pStyle w:val="Compact"/>
              <w:jc w:val="left"/>
            </w:pPr>
            <w:r>
              <w:t xml:space="preserve">Verified fact</w:t>
            </w:r>
          </w:p>
        </w:tc>
        <w:tc>
          <w:tcPr/>
          <w:p>
            <w:pPr>
              <w:pStyle w:val="Compact"/>
              <w:jc w:val="left"/>
            </w:pPr>
            <w:r>
              <w:t xml:space="preserve">A6-S001, A6-S015, A6-S051</w:t>
            </w:r>
          </w:p>
        </w:tc>
      </w:tr>
      <w:tr>
        <w:tc>
          <w:tcPr/>
          <w:p>
            <w:pPr>
              <w:pStyle w:val="Compact"/>
              <w:jc w:val="left"/>
            </w:pPr>
            <w:r>
              <w:t xml:space="preserve">Certifications</w:t>
            </w:r>
          </w:p>
        </w:tc>
        <w:tc>
          <w:tcPr/>
          <w:p>
            <w:pPr>
              <w:pStyle w:val="Compact"/>
              <w:jc w:val="left"/>
            </w:pPr>
            <w:r>
              <w:t xml:space="preserve">SOC 2 Type 2: updated report announced September 2026 (recertification with Vanta, independent auditor), available via trust.litellm.ai on request. ISO 27001: recertification announced March 2026; completion not confirmed (Data Privacy page lists only SOC 2 Type II)</w:t>
            </w:r>
          </w:p>
        </w:tc>
        <w:tc>
          <w:tcPr/>
          <w:p>
            <w:pPr>
              <w:pStyle w:val="Compact"/>
              <w:jc w:val="left"/>
            </w:pPr>
            <w:r>
              <w:t xml:space="preserve">Verified fact</w:t>
            </w:r>
          </w:p>
        </w:tc>
        <w:tc>
          <w:tcPr/>
          <w:p>
            <w:pPr>
              <w:pStyle w:val="Compact"/>
              <w:jc w:val="left"/>
            </w:pPr>
            <w:r>
              <w:t xml:space="preserve">A6-S108</w:t>
            </w:r>
          </w:p>
        </w:tc>
      </w:tr>
      <w:tr>
        <w:tc>
          <w:tcPr/>
          <w:p>
            <w:pPr>
              <w:pStyle w:val="Compact"/>
              <w:jc w:val="left"/>
            </w:pPr>
            <w:r>
              <w:t xml:space="preserve">GDPR / residency</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Security features</w:t>
            </w:r>
          </w:p>
        </w:tc>
        <w:tc>
          <w:tcPr/>
          <w:p>
            <w:pPr>
              <w:pStyle w:val="Compact"/>
              <w:jc w:val="left"/>
            </w:pPr>
            <w:r>
              <w:t xml:space="preserve">Docker images on GHCR signed with cosign from v1.83.0; virtual keys; guardrail framework applied across chat, embeddings, MCP and A2A routes (prompt-injection guardrails off by default); ISMS, regular vulnerability scans and a vulnerability disclosure policy</w:t>
            </w:r>
          </w:p>
        </w:tc>
        <w:tc>
          <w:tcPr/>
          <w:p>
            <w:pPr>
              <w:pStyle w:val="Compact"/>
              <w:jc w:val="left"/>
            </w:pPr>
            <w:r>
              <w:t xml:space="preserve">Verified fact</w:t>
            </w:r>
          </w:p>
        </w:tc>
        <w:tc>
          <w:tcPr/>
          <w:p>
            <w:pPr>
              <w:pStyle w:val="Compact"/>
              <w:jc w:val="left"/>
            </w:pPr>
            <w:r>
              <w:t xml:space="preserve">A6-S051, A6-S009, A6-S015, A6-S108</w:t>
            </w:r>
          </w:p>
        </w:tc>
      </w:tr>
      <w:tr>
        <w:tc>
          <w:tcPr/>
          <w:p>
            <w:pPr>
              <w:pStyle w:val="Compact"/>
              <w:jc w:val="left"/>
            </w:pPr>
            <w:r>
              <w:t xml:space="preserve">Access controls</w:t>
            </w:r>
          </w:p>
        </w:tc>
        <w:tc>
          <w:tcPr/>
          <w:p>
            <w:pPr>
              <w:pStyle w:val="Compact"/>
              <w:jc w:val="left"/>
            </w:pPr>
            <w:r>
              <w:t xml:space="preserve">Admin UI SSO via Okta, Azure AD, Google Workspace or any OIDC/SAML IdP (free up to 5 users, then enterprise licence); RBAC, SCIM and audit logs of key/team/user/model changes in Enterprise tier</w:t>
            </w:r>
          </w:p>
        </w:tc>
        <w:tc>
          <w:tcPr/>
          <w:p>
            <w:pPr>
              <w:pStyle w:val="Compact"/>
              <w:jc w:val="left"/>
            </w:pPr>
            <w:r>
              <w:t xml:space="preserve">Verified fact</w:t>
            </w:r>
          </w:p>
        </w:tc>
        <w:tc>
          <w:tcPr/>
          <w:p>
            <w:pPr>
              <w:pStyle w:val="Compact"/>
              <w:jc w:val="left"/>
            </w:pPr>
            <w:r>
              <w:t xml:space="preserve">A6-S007</w:t>
            </w:r>
          </w:p>
        </w:tc>
      </w:tr>
      <w:tr>
        <w:tc>
          <w:tcPr/>
          <w:p>
            <w:pPr>
              <w:pStyle w:val="Compact"/>
              <w:jc w:val="left"/>
            </w:pPr>
            <w:r>
              <w:t xml:space="preserve">Enterprise support</w:t>
            </w:r>
          </w:p>
        </w:tc>
        <w:tc>
          <w:tcPr/>
          <w:p>
            <w:pPr>
              <w:pStyle w:val="Compact"/>
              <w:jc w:val="left"/>
            </w:pPr>
            <w:r>
              <w:t xml:space="preserve">Enterprise tier: professional support via dedicated Discord/Slack, custom SLAs, feature prioritisation, custom integrations</w:t>
            </w:r>
          </w:p>
        </w:tc>
        <w:tc>
          <w:tcPr/>
          <w:p>
            <w:pPr>
              <w:pStyle w:val="Compact"/>
              <w:jc w:val="left"/>
            </w:pPr>
            <w:r>
              <w:t xml:space="preserve">Verified fact</w:t>
            </w:r>
          </w:p>
        </w:tc>
        <w:tc>
          <w:tcPr/>
          <w:p>
            <w:pPr>
              <w:pStyle w:val="Compact"/>
              <w:jc w:val="left"/>
            </w:pPr>
            <w:r>
              <w:t xml:space="preserve">A6-S051</w:t>
            </w:r>
          </w:p>
        </w:tc>
      </w:tr>
      <w:tr>
        <w:tc>
          <w:tcPr/>
          <w:p>
            <w:pPr>
              <w:pStyle w:val="Compact"/>
              <w:jc w:val="left"/>
            </w:pPr>
            <w:r>
              <w:t xml:space="preserve">Pricing</w:t>
            </w:r>
          </w:p>
        </w:tc>
        <w:tc>
          <w:tcPr/>
          <w:p>
            <w:pPr>
              <w:pStyle w:val="Compact"/>
              <w:jc w:val="left"/>
            </w:pPr>
            <w:r>
              <w:t xml:space="preserve">Open-source proxy free to self-host. Enterprise: annual licence priced on gateway request capacity, deployment architecture and support (</w:t>
            </w:r>
            <w:r>
              <w:t xml:space="preserve">‘</w:t>
            </w:r>
            <w:r>
              <w:t xml:space="preserve">never per token</w:t>
            </w:r>
            <w:r>
              <w:t xml:space="preserve">’</w:t>
            </w:r>
            <w:r>
              <w:t xml:space="preserve">); 30-day trial key by email. Docs Enterprise page instead describes usage-based pricing (conflict).</w:t>
            </w:r>
          </w:p>
        </w:tc>
        <w:tc>
          <w:tcPr/>
          <w:p>
            <w:pPr>
              <w:pStyle w:val="Compact"/>
              <w:jc w:val="left"/>
            </w:pPr>
            <w:r>
              <w:t xml:space="preserve">Verified fact</w:t>
            </w:r>
          </w:p>
        </w:tc>
        <w:tc>
          <w:tcPr/>
          <w:p>
            <w:pPr>
              <w:pStyle w:val="Compact"/>
              <w:jc w:val="left"/>
            </w:pPr>
            <w:r>
              <w:t xml:space="preserve">A6-S007</w:t>
            </w:r>
          </w:p>
        </w:tc>
      </w:tr>
      <w:tr>
        <w:tc>
          <w:tcPr/>
          <w:p>
            <w:pPr>
              <w:pStyle w:val="Compact"/>
              <w:jc w:val="left"/>
            </w:pPr>
            <w:r>
              <w:t xml:space="preserve">Infrastructure cost</w:t>
            </w:r>
          </w:p>
        </w:tc>
        <w:tc>
          <w:tcPr/>
          <w:p>
            <w:pPr>
              <w:pStyle w:val="Compact"/>
              <w:jc w:val="left"/>
            </w:pPr>
            <w:r>
              <w:t xml:space="preserve">Self-hosted cost is container compute plus the database needed for budgets/spend and Redis/Valkey for caching and multi-instance rate limits</w:t>
            </w:r>
          </w:p>
        </w:tc>
        <w:tc>
          <w:tcPr/>
          <w:p>
            <w:pPr>
              <w:pStyle w:val="Compact"/>
              <w:jc w:val="left"/>
            </w:pPr>
            <w:r>
              <w:t xml:space="preserve">Verified fact</w:t>
            </w:r>
          </w:p>
        </w:tc>
        <w:tc>
          <w:tcPr/>
          <w:p>
            <w:pPr>
              <w:pStyle w:val="Compact"/>
              <w:jc w:val="left"/>
            </w:pPr>
            <w:r>
              <w:t xml:space="preserve">A6-S015</w:t>
            </w:r>
          </w:p>
        </w:tc>
      </w:tr>
      <w:tr>
        <w:tc>
          <w:tcPr/>
          <w:p>
            <w:pPr>
              <w:pStyle w:val="Compact"/>
              <w:jc w:val="left"/>
            </w:pPr>
            <w:r>
              <w:t xml:space="preserve">Ecosystem</w:t>
            </w:r>
          </w:p>
        </w:tc>
        <w:tc>
          <w:tcPr/>
          <w:p>
            <w:pPr>
              <w:pStyle w:val="Compact"/>
              <w:jc w:val="left"/>
            </w:pPr>
            <w:r>
              <w:t xml:space="preserve">100+ LLM providers; MCP and A2A; Langfuse and other logging callbacks; basis of AWS</w:t>
            </w:r>
            <w:r>
              <w:t xml:space="preserve"> </w:t>
            </w:r>
            <w:r>
              <w:t xml:space="preserve">‘</w:t>
            </w:r>
            <w:r>
              <w:t xml:space="preserve">Guidance for Multi-Provider Generative AI Gateway on AWS</w:t>
            </w:r>
            <w:r>
              <w:t xml:space="preserve">’</w:t>
            </w:r>
          </w:p>
        </w:tc>
        <w:tc>
          <w:tcPr/>
          <w:p>
            <w:pPr>
              <w:pStyle w:val="Compact"/>
              <w:jc w:val="left"/>
            </w:pPr>
            <w:r>
              <w:t xml:space="preserve">Verified fact</w:t>
            </w:r>
          </w:p>
        </w:tc>
        <w:tc>
          <w:tcPr/>
          <w:p>
            <w:pPr>
              <w:pStyle w:val="Compact"/>
              <w:jc w:val="left"/>
            </w:pPr>
            <w:r>
              <w:t xml:space="preserve">A6-S015, A6-S022</w:t>
            </w:r>
          </w:p>
        </w:tc>
      </w:tr>
      <w:tr>
        <w:tc>
          <w:tcPr/>
          <w:p>
            <w:pPr>
              <w:pStyle w:val="Compact"/>
              <w:jc w:val="left"/>
            </w:pPr>
            <w:r>
              <w:t xml:space="preserve">Adoption signals</w:t>
            </w:r>
          </w:p>
        </w:tc>
        <w:tc>
          <w:tcPr/>
          <w:p>
            <w:pPr>
              <w:pStyle w:val="Compact"/>
              <w:jc w:val="left"/>
            </w:pPr>
            <w:r>
              <w:t xml:space="preserve">About 3 to 3.4 million PyPI downloads per day (InfoQ and Trend Micro, March 2026)</w:t>
            </w:r>
          </w:p>
        </w:tc>
        <w:tc>
          <w:tcPr/>
          <w:p>
            <w:pPr>
              <w:pStyle w:val="Compact"/>
              <w:jc w:val="left"/>
            </w:pPr>
            <w:r>
              <w:t xml:space="preserve">Reported</w:t>
            </w:r>
          </w:p>
        </w:tc>
        <w:tc>
          <w:tcPr/>
          <w:p>
            <w:pPr>
              <w:pStyle w:val="Compact"/>
              <w:jc w:val="left"/>
            </w:pPr>
            <w:r>
              <w:t xml:space="preserve">A6-S010</w:t>
            </w:r>
          </w:p>
        </w:tc>
      </w:tr>
      <w:tr>
        <w:tc>
          <w:tcPr/>
          <w:p>
            <w:pPr>
              <w:pStyle w:val="Compact"/>
              <w:jc w:val="left"/>
            </w:pPr>
            <w:r>
              <w:t xml:space="preserve">Maturity</w:t>
            </w:r>
          </w:p>
        </w:tc>
        <w:tc>
          <w:tcPr/>
          <w:p>
            <w:pPr>
              <w:pStyle w:val="Compact"/>
              <w:jc w:val="left"/>
            </w:pPr>
            <w:r>
              <w:t xml:space="preserve">First PyPI release 27 July 2023; very high release cadence (several releases on 7 October 2026 alone)</w:t>
            </w:r>
          </w:p>
        </w:tc>
        <w:tc>
          <w:tcPr/>
          <w:p>
            <w:pPr>
              <w:pStyle w:val="Compact"/>
              <w:jc w:val="left"/>
            </w:pPr>
            <w:r>
              <w:t xml:space="preserve">Verified fact</w:t>
            </w:r>
          </w:p>
        </w:tc>
        <w:tc>
          <w:tcPr/>
          <w:p>
            <w:pPr>
              <w:pStyle w:val="Compact"/>
              <w:jc w:val="left"/>
            </w:pPr>
            <w:r>
              <w:t xml:space="preserve">A6-S001</w:t>
            </w:r>
          </w:p>
        </w:tc>
      </w:tr>
      <w:tr>
        <w:tc>
          <w:tcPr/>
          <w:p>
            <w:pPr>
              <w:pStyle w:val="Compact"/>
              <w:jc w:val="left"/>
            </w:pPr>
            <w:r>
              <w:t xml:space="preserve">Deployment</w:t>
            </w:r>
          </w:p>
        </w:tc>
        <w:tc>
          <w:tcPr/>
          <w:p>
            <w:pPr>
              <w:pStyle w:val="Compact"/>
              <w:jc w:val="left"/>
            </w:pPr>
            <w:r>
              <w:t xml:space="preserve">saas: Yes (hosted LiteLLM proxy referenced in README and Enterprise docs); managed_cloud: Not publicly verified; vpc_byoc: Yes (customer-account deployment pattern, e.g. AWS Guidance deploys LiteLLM on ECS/EKS); private_cloud: Not publicly verified; self_hosted: Yes (free to self-host; Docker images); on_prem: Not publicly verified</w:t>
            </w:r>
          </w:p>
        </w:tc>
        <w:tc>
          <w:tcPr/>
          <w:p>
            <w:pPr>
              <w:pStyle w:val="Compact"/>
            </w:pPr>
          </w:p>
        </w:tc>
        <w:tc>
          <w:tcPr/>
          <w:p>
            <w:pPr>
              <w:pStyle w:val="Compact"/>
            </w:pPr>
          </w:p>
        </w:tc>
      </w:tr>
    </w:tbl>
    <w:bookmarkEnd w:id="1754"/>
    <w:bookmarkStart w:id="1775" w:name="Xeec15c88e84827a06c6296a18c017547df3c75e"/>
    <w:p>
      <w:pPr>
        <w:pStyle w:val="Heading2"/>
      </w:pPr>
      <w:r>
        <w:t xml:space="preserve">Kong AI Gateway (AI Gateway 2.x runtime in Kong Konnect; AI plugins in Kong Gateway 3.x) (</w:t>
      </w:r>
      <w:r>
        <w:rPr>
          <w:rStyle w:val="VerbatimChar"/>
        </w:rPr>
        <w:t xml:space="preserve">C1-kong-ai-gateway</w:t>
      </w:r>
      <w:r>
        <w:t xml:space="preserve">)</w:t>
      </w:r>
    </w:p>
    <w:p>
      <w:pPr>
        <w:pStyle w:val="FirstParagraph"/>
      </w:pPr>
      <w:r>
        <w:rPr>
          <w:bCs/>
          <w:b/>
        </w:rPr>
        <w:t xml:space="preserve">Tier:</w:t>
      </w:r>
      <w:r>
        <w:t xml:space="preserve"> </w:t>
      </w:r>
      <w:r>
        <w:t xml:space="preserve">Strategic ·</w:t>
      </w:r>
      <w:r>
        <w:t xml:space="preserve"> </w:t>
      </w:r>
      <w:r>
        <w:rPr>
          <w:bCs/>
          <w:b/>
        </w:rPr>
        <w:t xml:space="preserve">Flags:</w:t>
      </w:r>
      <w:r>
        <w:t xml:space="preserve"> </w:t>
      </w:r>
      <w:r>
        <w:t xml:space="preserve">none ·</w:t>
      </w:r>
      <w:r>
        <w:t xml:space="preserve"> </w:t>
      </w:r>
      <w:r>
        <w:rPr>
          <w:bCs/>
          <w:b/>
        </w:rPr>
        <w:t xml:space="preserve">Original graphic label:</w:t>
      </w:r>
      <w:r>
        <w:t xml:space="preserve"> </w:t>
      </w:r>
      <w:r>
        <w:t xml:space="preserve">not in graphic</w:t>
      </w:r>
    </w:p>
    <w:p>
      <w:pPr>
        <w:pStyle w:val="BodyText"/>
      </w:pPr>
      <w:r>
        <w:rPr>
          <w:iCs/>
          <w:i/>
        </w:rPr>
        <w:t xml:space="preserve">Rationale:</w:t>
      </w:r>
      <w:r>
        <w:t xml:space="preserve"> </w:t>
      </w:r>
      <w:r>
        <w:t xml:space="preserve">Strategic, conditional: where Kong is the API standard; cost (2) is a stated condition because pricing is not public</w:t>
      </w:r>
      <w:r>
        <w:t xml:space="preserve"> </w:t>
      </w:r>
      <w:r>
        <w:rPr>
          <w:rStyle w:val="ClaimLabel"/>
        </w:rPr>
        <w:t xml:space="preserve">AJ</w:t>
      </w:r>
      <w:r>
        <w:t xml:space="preserve">.</w:t>
      </w:r>
    </w:p>
    <w:tbl>
      <w:tblPr>
        <w:tblStyle w:val="Table"/>
        <w:tblW w:type="pct" w:w="5000"/>
        <w:tblLook w:firstRow="1" w:lastRow="0" w:firstColumn="0" w:lastColumn="0" w:noHBand="0" w:noVBand="0" w:val="0020"/>
        <w:jc w:val="start"/>
      </w:tblPr>
      <w:tblGrid>
        <w:gridCol w:w="1545"/>
        <w:gridCol w:w="579"/>
        <w:gridCol w:w="5795"/>
      </w:tblGrid>
      <w:tr>
        <w:trPr>
          <w:tblHeader w:val="true"/>
        </w:trPr>
        <w:tc>
          <w:tcPr/>
          <w:p>
            <w:pPr>
              <w:pStyle w:val="Compact"/>
              <w:jc w:val="left"/>
            </w:pPr>
            <w:r>
              <w:t xml:space="preserve">Criterion</w:t>
            </w:r>
          </w:p>
        </w:tc>
        <w:tc>
          <w:tcPr/>
          <w:p>
            <w:pPr>
              <w:pStyle w:val="Compact"/>
              <w:jc w:val="right"/>
            </w:pPr>
            <w:r>
              <w:t xml:space="preserve">Score</w:t>
            </w:r>
          </w:p>
        </w:tc>
        <w:tc>
          <w:tcPr/>
          <w:p>
            <w:pPr>
              <w:pStyle w:val="Compact"/>
              <w:jc w:val="left"/>
            </w:pPr>
            <w:r>
              <w:t xml:space="preserve">Rationale</w:t>
            </w:r>
          </w:p>
        </w:tc>
      </w:tr>
      <w:tr>
        <w:tc>
          <w:tcPr/>
          <w:p>
            <w:pPr>
              <w:pStyle w:val="Compact"/>
              <w:jc w:val="left"/>
            </w:pPr>
            <w:r>
              <w:t xml:space="preserve">Technical</w:t>
            </w:r>
          </w:p>
        </w:tc>
        <w:tc>
          <w:tcPr/>
          <w:p>
            <w:pPr>
              <w:pStyle w:val="Compact"/>
              <w:jc w:val="right"/>
            </w:pPr>
            <w:r>
              <w:t xml:space="preserve">5</w:t>
            </w:r>
          </w:p>
        </w:tc>
        <w:tc>
          <w:tcPr/>
          <w:p>
            <w:pPr>
              <w:pStyle w:val="Compact"/>
              <w:jc w:val="left"/>
            </w:pPr>
            <w:r>
              <w:t xml:space="preserve">Leading coverage across LLM, MCP and A2A, including guardrails, PII sanitisation and cost governance</w:t>
            </w:r>
            <w:r>
              <w:t xml:space="preserve"> </w:t>
            </w:r>
            <w:r>
              <w:rPr>
                <w:rStyle w:val="ClaimLabel"/>
              </w:rPr>
              <w:t xml:space="preserve">VF</w:t>
            </w:r>
            <w:r>
              <w:rPr>
                <w:rStyle w:val="FootnoteReference"/>
              </w:rPr>
              <w:footnoteReference w:id="1755"/>
            </w:r>
          </w:p>
        </w:tc>
      </w:tr>
      <w:tr>
        <w:tc>
          <w:tcPr/>
          <w:p>
            <w:pPr>
              <w:pStyle w:val="Compact"/>
              <w:jc w:val="left"/>
            </w:pPr>
            <w:r>
              <w:t xml:space="preserve">Enterprise readiness</w:t>
            </w:r>
          </w:p>
        </w:tc>
        <w:tc>
          <w:tcPr/>
          <w:p>
            <w:pPr>
              <w:pStyle w:val="Compact"/>
              <w:jc w:val="right"/>
            </w:pPr>
            <w:r>
              <w:t xml:space="preserve">4</w:t>
            </w:r>
          </w:p>
        </w:tc>
        <w:tc>
          <w:tcPr/>
          <w:p>
            <w:pPr>
              <w:pStyle w:val="Compact"/>
              <w:jc w:val="left"/>
            </w:pPr>
            <w:r>
              <w:t xml:space="preserve">Konnect SSO (SAML or OIDC) with teams, predefined roles and IdP group mapping (B-REVA-S004), audit logs, Kong Identity principals and a 99.99% Konnect SLA (A6-S109, A6-S016, A6-S018): all three controls plus SLA reach 4 under rule 7</w:t>
            </w:r>
          </w:p>
        </w:tc>
      </w:tr>
      <w:tr>
        <w:tc>
          <w:tcPr/>
          <w:p>
            <w:pPr>
              <w:pStyle w:val="Compact"/>
              <w:jc w:val="left"/>
            </w:pPr>
            <w:r>
              <w:t xml:space="preserve">Security and compliance</w:t>
            </w:r>
          </w:p>
        </w:tc>
        <w:tc>
          <w:tcPr/>
          <w:p>
            <w:pPr>
              <w:pStyle w:val="Compact"/>
              <w:jc w:val="right"/>
            </w:pPr>
            <w:r>
              <w:t xml:space="preserve">4</w:t>
            </w:r>
          </w:p>
        </w:tc>
        <w:tc>
          <w:tcPr/>
          <w:p>
            <w:pPr>
              <w:pStyle w:val="Compact"/>
              <w:jc w:val="left"/>
            </w:pPr>
            <w:r>
              <w:t xml:space="preserve">ISO 27001:2022 and SOC 2 Type II both naming AI Gateway; PCI DSS for Konnect</w:t>
            </w:r>
            <w:r>
              <w:t xml:space="preserve"> </w:t>
            </w:r>
            <w:r>
              <w:rPr>
                <w:rStyle w:val="ClaimLabel"/>
              </w:rPr>
              <w:t xml:space="preserve">VF</w:t>
            </w:r>
            <w:r>
              <w:rPr>
                <w:rStyle w:val="FootnoteReference"/>
              </w:rPr>
              <w:footnoteReference w:id="1758"/>
            </w:r>
            <w:r>
              <w:t xml:space="preserve">; no CMK, ISO 42001 or FedRAMP evidence, so not 5</w:t>
            </w:r>
          </w:p>
        </w:tc>
      </w:tr>
      <w:tr>
        <w:tc>
          <w:tcPr/>
          <w:p>
            <w:pPr>
              <w:pStyle w:val="Compact"/>
              <w:jc w:val="left"/>
            </w:pPr>
            <w:r>
              <w:t xml:space="preserve">Deployment flexibility</w:t>
            </w:r>
          </w:p>
        </w:tc>
        <w:tc>
          <w:tcPr/>
          <w:p>
            <w:pPr>
              <w:pStyle w:val="Compact"/>
              <w:jc w:val="right"/>
            </w:pPr>
            <w:r>
              <w:t xml:space="preserve">4</w:t>
            </w:r>
          </w:p>
        </w:tc>
        <w:tc>
          <w:tcPr/>
          <w:p>
            <w:pPr>
              <w:pStyle w:val="Compact"/>
              <w:jc w:val="left"/>
            </w:pPr>
            <w:r>
              <w:t xml:space="preserve">Konnect SaaS, Dedicated Cloud Gateways, hybrid and self-managed</w:t>
            </w:r>
            <w:r>
              <w:t xml:space="preserve"> </w:t>
            </w:r>
            <w:r>
              <w:rPr>
                <w:rStyle w:val="ClaimLabel"/>
              </w:rPr>
              <w:t xml:space="preserve">VF</w:t>
            </w:r>
            <w:r>
              <w:rPr>
                <w:rStyle w:val="FootnoteReference"/>
              </w:rPr>
              <w:footnoteReference w:id="1760"/>
            </w:r>
            <w:r>
              <w:t xml:space="preserve">; on-prem and air-gap not verified</w:t>
            </w:r>
            <w:r>
              <w:t xml:space="preserve"> </w:t>
            </w:r>
            <w:r>
              <w:rPr>
                <w:rStyle w:val="ClaimLabel"/>
              </w:rPr>
              <w:t xml:space="preserve">NPV</w:t>
            </w:r>
          </w:p>
        </w:tc>
      </w:tr>
      <w:tr>
        <w:tc>
          <w:tcPr/>
          <w:p>
            <w:pPr>
              <w:pStyle w:val="Compact"/>
              <w:jc w:val="left"/>
            </w:pPr>
            <w:r>
              <w:t xml:space="preserve">Ecosystem</w:t>
            </w:r>
          </w:p>
        </w:tc>
        <w:tc>
          <w:tcPr/>
          <w:p>
            <w:pPr>
              <w:pStyle w:val="Compact"/>
              <w:jc w:val="right"/>
            </w:pPr>
            <w:r>
              <w:t xml:space="preserve">4</w:t>
            </w:r>
          </w:p>
        </w:tc>
        <w:tc>
          <w:tcPr/>
          <w:p>
            <w:pPr>
              <w:pStyle w:val="Compact"/>
              <w:jc w:val="left"/>
            </w:pPr>
            <w:r>
              <w:t xml:space="preserve">Large API-gateway ecosystem; AWS SigV4, Foundry, SageMaker and NeMo integrations</w:t>
            </w:r>
            <w:r>
              <w:t xml:space="preserve"> </w:t>
            </w:r>
            <w:r>
              <w:rPr>
                <w:rStyle w:val="ClaimLabel"/>
              </w:rPr>
              <w:t xml:space="preserve">VF</w:t>
            </w:r>
            <w:r>
              <w:rPr>
                <w:rStyle w:val="FootnoteReference"/>
              </w:rPr>
              <w:footnoteReference w:id="1762"/>
            </w:r>
          </w:p>
        </w:tc>
      </w:tr>
      <w:tr>
        <w:tc>
          <w:tcPr/>
          <w:p>
            <w:pPr>
              <w:pStyle w:val="Compact"/>
              <w:jc w:val="left"/>
            </w:pPr>
            <w:r>
              <w:t xml:space="preserve">Reliability and maturity</w:t>
            </w:r>
          </w:p>
        </w:tc>
        <w:tc>
          <w:tcPr/>
          <w:p>
            <w:pPr>
              <w:pStyle w:val="Compact"/>
              <w:jc w:val="right"/>
            </w:pPr>
            <w:r>
              <w:t xml:space="preserve">3</w:t>
            </w:r>
          </w:p>
        </w:tc>
        <w:tc>
          <w:tcPr/>
          <w:p>
            <w:pPr>
              <w:pStyle w:val="Compact"/>
              <w:jc w:val="left"/>
            </w:pPr>
            <w:r>
              <w:t xml:space="preserve">AI plugins since 3.6 (2024) but AI Gateway 2.0 GA only on 1 September 2026, with a configuration-model change</w:t>
            </w:r>
            <w:r>
              <w:t xml:space="preserve"> </w:t>
            </w:r>
            <w:r>
              <w:rPr>
                <w:rStyle w:val="ClaimLabel"/>
              </w:rPr>
              <w:t xml:space="preserve">VF</w:t>
            </w:r>
            <w:r>
              <w:rPr>
                <w:rStyle w:val="FootnoteReference"/>
              </w:rPr>
              <w:footnoteReference w:id="1763"/>
            </w:r>
          </w:p>
        </w:tc>
      </w:tr>
      <w:tr>
        <w:tc>
          <w:tcPr/>
          <w:p>
            <w:pPr>
              <w:pStyle w:val="Compact"/>
              <w:jc w:val="left"/>
            </w:pPr>
            <w:r>
              <w:t xml:space="preserve">Cost / TCO</w:t>
            </w:r>
          </w:p>
        </w:tc>
        <w:tc>
          <w:tcPr/>
          <w:p>
            <w:pPr>
              <w:pStyle w:val="Compact"/>
              <w:jc w:val="right"/>
            </w:pPr>
            <w:r>
              <w:t xml:space="preserve">2</w:t>
            </w:r>
          </w:p>
        </w:tc>
        <w:tc>
          <w:tcPr/>
          <w:p>
            <w:pPr>
              <w:pStyle w:val="Compact"/>
              <w:jc w:val="left"/>
            </w:pPr>
            <w:r>
              <w:t xml:space="preserve">Pricing</w:t>
            </w:r>
            <w:r>
              <w:t xml:space="preserve"> </w:t>
            </w:r>
            <w:r>
              <w:t xml:space="preserve">‘</w:t>
            </w:r>
            <w:r>
              <w:t xml:space="preserve">contact sales</w:t>
            </w:r>
            <w:r>
              <w:t xml:space="preserve">’</w:t>
            </w:r>
            <w:r>
              <w:t xml:space="preserve">; advanced plugins licence-gated</w:t>
            </w:r>
            <w:r>
              <w:t xml:space="preserve"> </w:t>
            </w:r>
            <w:r>
              <w:rPr>
                <w:rStyle w:val="ClaimLabel"/>
              </w:rPr>
              <w:t xml:space="preserve">VF</w:t>
            </w:r>
            <w:r>
              <w:rPr>
                <w:rStyle w:val="FootnoteReference"/>
              </w:rPr>
              <w:footnoteReference w:id="1764"/>
            </w:r>
          </w:p>
        </w:tc>
      </w:tr>
      <w:tr>
        <w:tc>
          <w:tcPr/>
          <w:p>
            <w:pPr>
              <w:pStyle w:val="Compact"/>
              <w:jc w:val="left"/>
            </w:pPr>
            <w:r>
              <w:t xml:space="preserve">Lock-in / portability</w:t>
            </w:r>
          </w:p>
        </w:tc>
        <w:tc>
          <w:tcPr/>
          <w:p>
            <w:pPr>
              <w:pStyle w:val="Compact"/>
              <w:jc w:val="right"/>
            </w:pPr>
            <w:r>
              <w:t xml:space="preserve">3</w:t>
            </w:r>
          </w:p>
        </w:tc>
        <w:tc>
          <w:tcPr/>
          <w:p>
            <w:pPr>
              <w:pStyle w:val="Compact"/>
              <w:jc w:val="left"/>
            </w:pPr>
            <w:r>
              <w:t xml:space="preserve">Apache-2.0 OSS core, but 2.x runtime and advanced plugins licence-gated</w:t>
            </w:r>
            <w:r>
              <w:t xml:space="preserve"> </w:t>
            </w:r>
            <w:r>
              <w:rPr>
                <w:rStyle w:val="ClaimLabel"/>
              </w:rPr>
              <w:t xml:space="preserve">VF</w:t>
            </w:r>
            <w:r>
              <w:rPr>
                <w:rStyle w:val="FootnoteReference"/>
              </w:rPr>
              <w:footnoteReference w:id="1765"/>
            </w:r>
          </w:p>
        </w:tc>
      </w:tr>
      <w:tr>
        <w:tc>
          <w:tcPr/>
          <w:p>
            <w:pPr>
              <w:pStyle w:val="Compact"/>
              <w:jc w:val="left"/>
            </w:pPr>
            <w:r>
              <w:rPr>
                <w:bCs/>
                <w:b/>
              </w:rPr>
              <w:t xml:space="preserve">Total (generic / FS)</w:t>
            </w:r>
          </w:p>
        </w:tc>
        <w:tc>
          <w:tcPr/>
          <w:p>
            <w:pPr>
              <w:pStyle w:val="Compact"/>
              <w:jc w:val="right"/>
            </w:pPr>
            <w:r>
              <w:rPr>
                <w:bCs/>
                <w:b/>
              </w:rPr>
              <w:t xml:space="preserve">3.85 / 3.80</w:t>
            </w:r>
          </w:p>
        </w:tc>
        <w:tc>
          <w:tcPr/>
          <w:p>
            <w:pPr>
              <w:pStyle w:val="Compact"/>
            </w:pPr>
          </w:p>
        </w:tc>
      </w:tr>
    </w:tbl>
    <w:p>
      <w:pPr>
        <w:pStyle w:val="BodyText"/>
      </w:pPr>
      <w:r>
        <w:rPr>
          <w:bCs/>
          <w:b/>
        </w:rPr>
        <w:t xml:space="preserve">Capabilities.</w:t>
      </w:r>
      <w:r>
        <w:t xml:space="preserve"> </w:t>
      </w:r>
      <w:r>
        <w:t xml:space="preserve">AI gateway for LLM, MCP and A2A traffic on Kong’s API platform: multi-provider routing and load balancing, token budgets and rate limits, semantic caching, semantic prompt/response guards, PII sanitisation, cloud guardrail and NeMo Guardrails integrations, MCP access control and tool filtering; AI Gateway 2.x is a dedicated runtime in Konnect</w:t>
      </w:r>
      <w:r>
        <w:t xml:space="preserve"> </w:t>
      </w:r>
      <w:r>
        <w:rPr>
          <w:rStyle w:val="ClaimLabel"/>
        </w:rPr>
        <w:t xml:space="preserve">VF</w:t>
      </w:r>
      <w:r>
        <w:rPr>
          <w:rStyle w:val="FootnoteReference"/>
        </w:rPr>
        <w:footnoteReference w:id="1766"/>
      </w:r>
      <w:r>
        <w:t xml:space="preserve">.</w:t>
      </w:r>
    </w:p>
    <w:p>
      <w:pPr>
        <w:pStyle w:val="BodyText"/>
      </w:pPr>
      <w:r>
        <w:rPr>
          <w:bCs/>
          <w:b/>
        </w:rPr>
        <w:t xml:space="preserve">Strengths</w:t>
      </w:r>
    </w:p>
    <w:p>
      <w:pPr>
        <w:numPr>
          <w:ilvl w:val="0"/>
          <w:numId w:val="1369"/>
        </w:numPr>
        <w:pStyle w:val="Compact"/>
      </w:pPr>
      <w:r>
        <w:t xml:space="preserve">Broad AI policy set on an enterprise API-gateway estate many firms already run</w:t>
      </w:r>
      <w:r>
        <w:t xml:space="preserve"> </w:t>
      </w:r>
      <w:r>
        <w:rPr>
          <w:rStyle w:val="ClaimLabel"/>
        </w:rPr>
        <w:t xml:space="preserve">VF</w:t>
      </w:r>
      <w:r>
        <w:rPr>
          <w:rStyle w:val="FootnoteReference"/>
        </w:rPr>
        <w:footnoteReference w:id="1767"/>
      </w:r>
      <w:r>
        <w:t xml:space="preserve"> </w:t>
      </w:r>
      <w:r>
        <w:rPr>
          <w:rStyle w:val="ClaimLabel"/>
        </w:rPr>
        <w:t xml:space="preserve">AJ</w:t>
      </w:r>
    </w:p>
    <w:p>
      <w:pPr>
        <w:numPr>
          <w:ilvl w:val="0"/>
          <w:numId w:val="1369"/>
        </w:numPr>
        <w:pStyle w:val="Compact"/>
      </w:pPr>
      <w:r>
        <w:t xml:space="preserve">Product-scoped SOC 2 Type II and ISO 27001:2022 covering AI Gateway</w:t>
      </w:r>
      <w:r>
        <w:t xml:space="preserve"> </w:t>
      </w:r>
      <w:r>
        <w:rPr>
          <w:rStyle w:val="ClaimLabel"/>
        </w:rPr>
        <w:t xml:space="preserve">VF</w:t>
      </w:r>
      <w:r>
        <w:rPr>
          <w:rStyle w:val="FootnoteReference"/>
        </w:rPr>
        <w:footnoteReference w:id="1768"/>
      </w:r>
    </w:p>
    <w:p>
      <w:pPr>
        <w:numPr>
          <w:ilvl w:val="0"/>
          <w:numId w:val="1369"/>
        </w:numPr>
        <w:pStyle w:val="Compact"/>
      </w:pPr>
      <w:r>
        <w:t xml:space="preserve">Tracks the MCP 2026-07-28 revision and offers per-caller MCP tool exposure</w:t>
      </w:r>
      <w:r>
        <w:t xml:space="preserve"> </w:t>
      </w:r>
      <w:r>
        <w:rPr>
          <w:rStyle w:val="ClaimLabel"/>
        </w:rPr>
        <w:t xml:space="preserve">VF</w:t>
      </w:r>
      <w:r>
        <w:rPr>
          <w:rStyle w:val="FootnoteReference"/>
        </w:rPr>
        <w:footnoteReference w:id="1769"/>
      </w:r>
    </w:p>
    <w:p>
      <w:pPr>
        <w:numPr>
          <w:ilvl w:val="0"/>
          <w:numId w:val="1369"/>
        </w:numPr>
        <w:pStyle w:val="Compact"/>
      </w:pPr>
      <w:r>
        <w:t xml:space="preserve">Konnect organisation SSO (SAML or OIDC), teams and roles with IdP group mapping</w:t>
      </w:r>
      <w:r>
        <w:t xml:space="preserve"> </w:t>
      </w:r>
      <w:r>
        <w:rPr>
          <w:rStyle w:val="ClaimLabel"/>
        </w:rPr>
        <w:t xml:space="preserve">VF</w:t>
      </w:r>
      <w:r>
        <w:rPr>
          <w:rStyle w:val="FootnoteReference"/>
        </w:rPr>
        <w:footnoteReference w:id="1770"/>
      </w:r>
    </w:p>
    <w:p>
      <w:pPr>
        <w:pStyle w:val="FirstParagraph"/>
      </w:pPr>
      <w:r>
        <w:rPr>
          <w:bCs/>
          <w:b/>
        </w:rPr>
        <w:t xml:space="preserve">Limitations and risks</w:t>
      </w:r>
    </w:p>
    <w:p>
      <w:pPr>
        <w:numPr>
          <w:ilvl w:val="0"/>
          <w:numId w:val="1370"/>
        </w:numPr>
        <w:pStyle w:val="Compact"/>
      </w:pPr>
      <w:r>
        <w:t xml:space="preserve">Configuration model changed from 3.x plugins to 2.x entities; migration needed before 3.18</w:t>
      </w:r>
      <w:r>
        <w:t xml:space="preserve"> </w:t>
      </w:r>
      <w:r>
        <w:rPr>
          <w:rStyle w:val="ClaimLabel"/>
        </w:rPr>
        <w:t xml:space="preserve">VF</w:t>
      </w:r>
      <w:r>
        <w:rPr>
          <w:rStyle w:val="FootnoteReference"/>
        </w:rPr>
        <w:footnoteReference w:id="1772"/>
      </w:r>
    </w:p>
    <w:p>
      <w:pPr>
        <w:numPr>
          <w:ilvl w:val="0"/>
          <w:numId w:val="1370"/>
        </w:numPr>
        <w:pStyle w:val="Compact"/>
      </w:pPr>
      <w:r>
        <w:t xml:space="preserve">Advanced AI plugins and AI Gateway 2.x are licence-gated or Konnect-delivered</w:t>
      </w:r>
      <w:r>
        <w:t xml:space="preserve"> </w:t>
      </w:r>
      <w:r>
        <w:rPr>
          <w:rStyle w:val="ClaimLabel"/>
        </w:rPr>
        <w:t xml:space="preserve">VF</w:t>
      </w:r>
      <w:r>
        <w:rPr>
          <w:rStyle w:val="FootnoteReference"/>
        </w:rPr>
        <w:footnoteReference w:id="1773"/>
      </w:r>
    </w:p>
    <w:p>
      <w:pPr>
        <w:numPr>
          <w:ilvl w:val="0"/>
          <w:numId w:val="1370"/>
        </w:numPr>
        <w:pStyle w:val="Compact"/>
      </w:pPr>
      <w:r>
        <w:t xml:space="preserve">Pricing not published</w:t>
      </w:r>
      <w:r>
        <w:t xml:space="preserve"> </w:t>
      </w:r>
      <w:r>
        <w:rPr>
          <w:rStyle w:val="ClaimLabel"/>
        </w:rPr>
        <w:t xml:space="preserve">VF</w:t>
      </w:r>
      <w:r>
        <w:rPr>
          <w:rStyle w:val="FootnoteReference"/>
        </w:rPr>
        <w:footnoteReference w:id="1774"/>
      </w:r>
    </w:p>
    <w:p>
      <w:pPr>
        <w:pStyle w:val="FirstParagraph"/>
      </w:pPr>
      <w:r>
        <w:rPr>
          <w:bCs/>
          <w:b/>
        </w:rPr>
        <w:t xml:space="preserve">Choose when</w:t>
      </w:r>
    </w:p>
    <w:p>
      <w:pPr>
        <w:numPr>
          <w:ilvl w:val="0"/>
          <w:numId w:val="1371"/>
        </w:numPr>
        <w:pStyle w:val="Compact"/>
      </w:pPr>
      <w:r>
        <w:t xml:space="preserve">Kong is already your API gateway standard</w:t>
      </w:r>
      <w:r>
        <w:t xml:space="preserve"> </w:t>
      </w:r>
      <w:r>
        <w:rPr>
          <w:rStyle w:val="ClaimLabel"/>
        </w:rPr>
        <w:t xml:space="preserve">AJ</w:t>
      </w:r>
    </w:p>
    <w:p>
      <w:pPr>
        <w:numPr>
          <w:ilvl w:val="0"/>
          <w:numId w:val="1371"/>
        </w:numPr>
        <w:pStyle w:val="Compact"/>
      </w:pPr>
      <w:r>
        <w:t xml:space="preserve">You need product-scoped certifications for the gateway itself</w:t>
      </w:r>
      <w:r>
        <w:t xml:space="preserve"> </w:t>
      </w:r>
      <w:r>
        <w:rPr>
          <w:rStyle w:val="ClaimLabel"/>
        </w:rPr>
        <w:t xml:space="preserve">AJ</w:t>
      </w:r>
    </w:p>
    <w:p>
      <w:pPr>
        <w:pStyle w:val="FirstParagraph"/>
      </w:pPr>
      <w:r>
        <w:rPr>
          <w:bCs/>
          <w:b/>
        </w:rPr>
        <w:t xml:space="preserve">Avoid when</w:t>
      </w:r>
    </w:p>
    <w:p>
      <w:pPr>
        <w:numPr>
          <w:ilvl w:val="0"/>
          <w:numId w:val="1372"/>
        </w:numPr>
        <w:pStyle w:val="Compact"/>
      </w:pPr>
      <w:r>
        <w:t xml:space="preserve">You want a free, self-hosted gateway with no licence dependency</w:t>
      </w:r>
      <w:r>
        <w:t xml:space="preserve"> </w:t>
      </w:r>
      <w:r>
        <w:rPr>
          <w:rStyle w:val="ClaimLabel"/>
        </w:rPr>
        <w:t xml:space="preserve">AJ</w:t>
      </w:r>
    </w:p>
    <w:p>
      <w:pPr>
        <w:numPr>
          <w:ilvl w:val="0"/>
          <w:numId w:val="1372"/>
        </w:numPr>
        <w:pStyle w:val="Compact"/>
      </w:pPr>
      <w:r>
        <w:t xml:space="preserve">You cannot plan the 3.x-to-2.x migration in the next year</w:t>
      </w:r>
      <w:r>
        <w:t xml:space="preserve"> </w:t>
      </w:r>
      <w:r>
        <w:rPr>
          <w:rStyle w:val="ClaimLabel"/>
        </w:rPr>
        <w:t xml:space="preserve">AJ</w:t>
      </w:r>
    </w:p>
    <w:p>
      <w:pPr>
        <w:pStyle w:val="FirstParagraph"/>
      </w:pPr>
      <w:r>
        <w:rPr>
          <w:bCs/>
          <w:b/>
        </w:rPr>
        <w:t xml:space="preserve">Nearest competitors:</w:t>
      </w:r>
      <w:r>
        <w:t xml:space="preserve"> </w:t>
      </w:r>
      <w:r>
        <w:t xml:space="preserve">C1-litellm, C1-google-apigee-ai-gateway, C1-azure-apim-ai-gateway</w:t>
      </w:r>
    </w:p>
    <w:p>
      <w:pPr>
        <w:pStyle w:val="BodyText"/>
      </w:pPr>
      <w:r>
        <w:rPr>
          <w:bCs/>
          <w:b/>
        </w:rPr>
        <w:t xml:space="preserve">Regulated-FS note.</w:t>
      </w:r>
      <w:r>
        <w:t xml:space="preserve"> </w:t>
      </w:r>
      <w:r>
        <w:t xml:space="preserve">Prefer the hybrid mode (customer-run data plane) so prompts and logs stay in region; confirm audit-log export on Konnect</w:t>
      </w:r>
      <w:r>
        <w:t xml:space="preserve"> </w:t>
      </w:r>
      <w:r>
        <w:rPr>
          <w:rStyle w:val="ClaimLabel"/>
        </w:rPr>
        <w:t xml:space="preserve">Rec</w:t>
      </w:r>
      <w:r>
        <w:t xml:space="preserve">.</w:t>
      </w:r>
    </w:p>
    <w:p>
      <w:pPr>
        <w:pStyle w:val="BodyText"/>
      </w:pPr>
      <w:r>
        <w:rPr>
          <w:bCs/>
          <w:b/>
        </w:rPr>
        <w:t xml:space="preserve">Facts (as of 2026-10-08)</w:t>
      </w:r>
    </w:p>
    <w:tbl>
      <w:tblPr>
        <w:tblStyle w:val="Table"/>
        <w:tblW w:type="pct" w:w="5000"/>
        <w:tblLook w:firstRow="1" w:lastRow="0" w:firstColumn="0" w:lastColumn="0" w:noHBand="0" w:noVBand="0" w:val="0020"/>
        <w:jc w:val="start"/>
      </w:tblPr>
      <w:tblGrid>
        <w:gridCol w:w="1485"/>
        <w:gridCol w:w="4290"/>
        <w:gridCol w:w="1320"/>
        <w:gridCol w:w="825"/>
      </w:tblGrid>
      <w:tr>
        <w:trPr>
          <w:tblHeader w:val="true"/>
        </w:trPr>
        <w:tc>
          <w:tcPr/>
          <w:p>
            <w:pPr>
              <w:pStyle w:val="Compact"/>
              <w:jc w:val="left"/>
            </w:pPr>
            <w:r>
              <w:t xml:space="preserve">Field</w:t>
            </w:r>
          </w:p>
        </w:tc>
        <w:tc>
          <w:tcPr/>
          <w:p>
            <w:pPr>
              <w:pStyle w:val="Compact"/>
              <w:jc w:val="left"/>
            </w:pPr>
            <w:r>
              <w:t xml:space="preserve">Value</w:t>
            </w:r>
          </w:p>
        </w:tc>
        <w:tc>
          <w:tcPr/>
          <w:p>
            <w:pPr>
              <w:pStyle w:val="Compact"/>
              <w:jc w:val="left"/>
            </w:pPr>
            <w:r>
              <w:t xml:space="preserve">Label</w:t>
            </w:r>
          </w:p>
        </w:tc>
        <w:tc>
          <w:tcPr/>
          <w:p>
            <w:pPr>
              <w:pStyle w:val="Compact"/>
              <w:jc w:val="left"/>
            </w:pPr>
            <w:r>
              <w:t xml:space="preserve">Sources</w:t>
            </w:r>
          </w:p>
        </w:tc>
      </w:tr>
      <w:tr>
        <w:tc>
          <w:tcPr/>
          <w:p>
            <w:pPr>
              <w:pStyle w:val="Compact"/>
              <w:jc w:val="left"/>
            </w:pPr>
            <w:r>
              <w:t xml:space="preserve">Company</w:t>
            </w:r>
          </w:p>
        </w:tc>
        <w:tc>
          <w:tcPr/>
          <w:p>
            <w:pPr>
              <w:pStyle w:val="Compact"/>
              <w:jc w:val="left"/>
            </w:pPr>
            <w:r>
              <w:t xml:space="preserve">Kong Inc.</w:t>
            </w:r>
          </w:p>
        </w:tc>
        <w:tc>
          <w:tcPr/>
          <w:p>
            <w:pPr>
              <w:pStyle w:val="Compact"/>
              <w:jc w:val="left"/>
            </w:pPr>
            <w:r>
              <w:t xml:space="preserve">Verified fact</w:t>
            </w:r>
          </w:p>
        </w:tc>
        <w:tc>
          <w:tcPr/>
          <w:p>
            <w:pPr>
              <w:pStyle w:val="Compact"/>
              <w:jc w:val="left"/>
            </w:pPr>
            <w:r>
              <w:t xml:space="preserve">A6-S016</w:t>
            </w:r>
          </w:p>
        </w:tc>
      </w:tr>
      <w:tr>
        <w:tc>
          <w:tcPr/>
          <w:p>
            <w:pPr>
              <w:pStyle w:val="Compact"/>
              <w:jc w:val="left"/>
            </w:pPr>
            <w:r>
              <w:t xml:space="preserve">Category</w:t>
            </w:r>
          </w:p>
        </w:tc>
        <w:tc>
          <w:tcPr/>
          <w:p>
            <w:pPr>
              <w:pStyle w:val="Compact"/>
              <w:jc w:val="left"/>
            </w:pPr>
            <w:r>
              <w:t xml:space="preserve">AI gateway (LLM, MCP and A2A traffic) built on an API gateway vendor’s platform</w:t>
            </w:r>
          </w:p>
        </w:tc>
        <w:tc>
          <w:tcPr/>
          <w:p>
            <w:pPr>
              <w:pStyle w:val="Compact"/>
              <w:jc w:val="left"/>
            </w:pPr>
            <w:r>
              <w:t xml:space="preserve">Verified fact</w:t>
            </w:r>
          </w:p>
        </w:tc>
        <w:tc>
          <w:tcPr/>
          <w:p>
            <w:pPr>
              <w:pStyle w:val="Compact"/>
              <w:jc w:val="left"/>
            </w:pPr>
            <w:r>
              <w:t xml:space="preserve">A6-S016, A6-S017</w:t>
            </w:r>
          </w:p>
        </w:tc>
      </w:tr>
      <w:tr>
        <w:tc>
          <w:tcPr/>
          <w:p>
            <w:pPr>
              <w:pStyle w:val="Compact"/>
              <w:jc w:val="left"/>
            </w:pPr>
            <w:r>
              <w:t xml:space="preserve">Version / lineup</w:t>
            </w:r>
          </w:p>
        </w:tc>
        <w:tc>
          <w:tcPr/>
          <w:p>
            <w:pPr>
              <w:pStyle w:val="Compact"/>
              <w:jc w:val="left"/>
            </w:pPr>
            <w:r>
              <w:t xml:space="preserve">AI Gateway 2.0 GA on 1 September 2026; 2.1.0 (22 September 2026) and 2.2.0 (30 September 2026); AI plugins supported on Kong Gateway 3.14 LTS (3.14.0.0, 7 April 2026)</w:t>
            </w:r>
          </w:p>
        </w:tc>
        <w:tc>
          <w:tcPr/>
          <w:p>
            <w:pPr>
              <w:pStyle w:val="Compact"/>
              <w:jc w:val="left"/>
            </w:pPr>
            <w:r>
              <w:t xml:space="preserve">Verified fact</w:t>
            </w:r>
          </w:p>
        </w:tc>
        <w:tc>
          <w:tcPr/>
          <w:p>
            <w:pPr>
              <w:pStyle w:val="Compact"/>
              <w:jc w:val="left"/>
            </w:pPr>
            <w:r>
              <w:t xml:space="preserve">A6-S016, A6-S017, V2-S034</w:t>
            </w:r>
          </w:p>
        </w:tc>
      </w:tr>
      <w:tr>
        <w:tc>
          <w:tcPr/>
          <w:p>
            <w:pPr>
              <w:pStyle w:val="Compact"/>
              <w:jc w:val="left"/>
            </w:pPr>
            <w:r>
              <w:t xml:space="preserve">Licence</w:t>
            </w:r>
          </w:p>
        </w:tc>
        <w:tc>
          <w:tcPr/>
          <w:p>
            <w:pPr>
              <w:pStyle w:val="Compact"/>
              <w:jc w:val="left"/>
            </w:pPr>
            <w:r>
              <w:t xml:space="preserve">Open core: Kong Gateway OSS (Apache-2.0) with basic AI plugins released as open source in 3.6; advanced AI plugins (e.g. AI Proxy Advanced) require an AI/Enterprise licence; AI Gateway 2.x delivered via Konnect</w:t>
            </w:r>
          </w:p>
        </w:tc>
        <w:tc>
          <w:tcPr/>
          <w:p>
            <w:pPr>
              <w:pStyle w:val="Compact"/>
              <w:jc w:val="left"/>
            </w:pPr>
            <w:r>
              <w:t xml:space="preserve">Verified fact</w:t>
            </w:r>
          </w:p>
        </w:tc>
        <w:tc>
          <w:tcPr/>
          <w:p>
            <w:pPr>
              <w:pStyle w:val="Compact"/>
              <w:jc w:val="left"/>
            </w:pPr>
            <w:r>
              <w:t xml:space="preserve">A6-S017, A6-S018</w:t>
            </w:r>
          </w:p>
        </w:tc>
      </w:tr>
      <w:tr>
        <w:tc>
          <w:tcPr/>
          <w:p>
            <w:pPr>
              <w:pStyle w:val="Compact"/>
              <w:jc w:val="left"/>
            </w:pPr>
            <w:r>
              <w:t xml:space="preserve">Status events</w:t>
            </w:r>
          </w:p>
        </w:tc>
        <w:tc>
          <w:tcPr/>
          <w:p>
            <w:pPr>
              <w:pStyle w:val="Compact"/>
              <w:jc w:val="left"/>
            </w:pPr>
            <w:r>
              <w:t xml:space="preserve">1 September 2026: Kong AI Gateway 2.0 GA as a dedicated runtime (configuration moves from plugins to AI Model Provider/AI Model entities)</w:t>
            </w:r>
          </w:p>
        </w:tc>
        <w:tc>
          <w:tcPr/>
          <w:p>
            <w:pPr>
              <w:pStyle w:val="Compact"/>
              <w:jc w:val="left"/>
            </w:pPr>
            <w:r>
              <w:t xml:space="preserve">Verified fact</w:t>
            </w:r>
          </w:p>
        </w:tc>
        <w:tc>
          <w:tcPr/>
          <w:p>
            <w:pPr>
              <w:pStyle w:val="Compact"/>
              <w:jc w:val="left"/>
            </w:pPr>
            <w:r>
              <w:t xml:space="preserve">A6-S016, A6-S017, V2-S034</w:t>
            </w:r>
          </w:p>
        </w:tc>
      </w:tr>
      <w:tr>
        <w:tc>
          <w:tcPr/>
          <w:p>
            <w:pPr>
              <w:pStyle w:val="Compact"/>
              <w:jc w:val="left"/>
            </w:pPr>
            <w:r>
              <w:t xml:space="preserve">Strategic direction</w:t>
            </w:r>
          </w:p>
        </w:tc>
        <w:tc>
          <w:tcPr/>
          <w:p>
            <w:pPr>
              <w:pStyle w:val="Compact"/>
              <w:jc w:val="left"/>
            </w:pPr>
            <w:r>
              <w:t xml:space="preserve">Separate AI runtime with its own control plane, admin API and release cadence for LLM, MCP and agent workloads; MCP Server Bundling, principal-aware AI traffic policies via Kong Identity, modality-aware cost governance; migration from 3.x plugins recommended before 3.18</w:t>
            </w:r>
          </w:p>
        </w:tc>
        <w:tc>
          <w:tcPr/>
          <w:p>
            <w:pPr>
              <w:pStyle w:val="Compact"/>
              <w:jc w:val="left"/>
            </w:pPr>
            <w:r>
              <w:t xml:space="preserve">Verified fact</w:t>
            </w:r>
          </w:p>
        </w:tc>
        <w:tc>
          <w:tcPr/>
          <w:p>
            <w:pPr>
              <w:pStyle w:val="Compact"/>
              <w:jc w:val="left"/>
            </w:pPr>
            <w:r>
              <w:t xml:space="preserve">A6-S016, A6-S017</w:t>
            </w:r>
          </w:p>
        </w:tc>
      </w:tr>
      <w:tr>
        <w:tc>
          <w:tcPr/>
          <w:p>
            <w:pPr>
              <w:pStyle w:val="Compact"/>
              <w:jc w:val="left"/>
            </w:pPr>
            <w:r>
              <w:t xml:space="preserve">What it does</w:t>
            </w:r>
          </w:p>
        </w:tc>
        <w:tc>
          <w:tcPr/>
          <w:p>
            <w:pPr>
              <w:pStyle w:val="Compact"/>
              <w:jc w:val="left"/>
            </w:pPr>
            <w:r>
              <w:t xml:space="preserve">Governs LLM, MCP and A2A traffic: multi-provider routing and load balancing, token budgeting and rate limiting, semantic caching, semantic prompt/response guards, PII sanitisation, integrations with cloud guardrail services and NVIDIA NeMo Guardrails, MCP access control and tool filtering, A2A traffic management.</w:t>
            </w:r>
          </w:p>
        </w:tc>
        <w:tc>
          <w:tcPr/>
          <w:p>
            <w:pPr>
              <w:pStyle w:val="Compact"/>
              <w:jc w:val="left"/>
            </w:pPr>
            <w:r>
              <w:t xml:space="preserve">Verified fact</w:t>
            </w:r>
          </w:p>
        </w:tc>
        <w:tc>
          <w:tcPr/>
          <w:p>
            <w:pPr>
              <w:pStyle w:val="Compact"/>
              <w:jc w:val="left"/>
            </w:pPr>
            <w:r>
              <w:t xml:space="preserve">A6-S016, A6-S017</w:t>
            </w:r>
          </w:p>
        </w:tc>
      </w:tr>
      <w:tr>
        <w:tc>
          <w:tcPr/>
          <w:p>
            <w:pPr>
              <w:pStyle w:val="Compact"/>
              <w:jc w:val="left"/>
            </w:pPr>
            <w:r>
              <w:t xml:space="preserve">Stack position</w:t>
            </w:r>
          </w:p>
        </w:tc>
        <w:tc>
          <w:tcPr/>
          <w:p>
            <w:pPr>
              <w:pStyle w:val="Compact"/>
              <w:jc w:val="left"/>
            </w:pPr>
            <w:r>
              <w:t xml:space="preserve">Gateway/control plane; extends an existing enterprise API gateway estate to AI traffic</w:t>
            </w:r>
          </w:p>
        </w:tc>
        <w:tc>
          <w:tcPr/>
          <w:p>
            <w:pPr>
              <w:pStyle w:val="Compact"/>
              <w:jc w:val="left"/>
            </w:pPr>
            <w:r>
              <w:t xml:space="preserve">Verified fact</w:t>
            </w:r>
          </w:p>
        </w:tc>
        <w:tc>
          <w:tcPr/>
          <w:p>
            <w:pPr>
              <w:pStyle w:val="Compact"/>
              <w:jc w:val="left"/>
            </w:pPr>
            <w:r>
              <w:t xml:space="preserve">A6-S016</w:t>
            </w:r>
          </w:p>
        </w:tc>
      </w:tr>
      <w:tr>
        <w:tc>
          <w:tcPr/>
          <w:p>
            <w:pPr>
              <w:pStyle w:val="Compact"/>
              <w:jc w:val="left"/>
            </w:pPr>
            <w:r>
              <w:t xml:space="preserve">Integration</w:t>
            </w:r>
          </w:p>
        </w:tc>
        <w:tc>
          <w:tcPr/>
          <w:p>
            <w:pPr>
              <w:pStyle w:val="Compact"/>
              <w:jc w:val="left"/>
            </w:pPr>
            <w:r>
              <w:t xml:space="preserve">Gateway plugins/entities; supports MCP protocol revision 2026-07-28 (2.1.0); AWS SigV4 upstream auth for Bedrock AgentCore; providers incl. Microsoft Foundry, Amazon SageMaker, Kimi</w:t>
            </w:r>
          </w:p>
        </w:tc>
        <w:tc>
          <w:tcPr/>
          <w:p>
            <w:pPr>
              <w:pStyle w:val="Compact"/>
              <w:jc w:val="left"/>
            </w:pPr>
            <w:r>
              <w:t xml:space="preserve">Verified fact</w:t>
            </w:r>
          </w:p>
        </w:tc>
        <w:tc>
          <w:tcPr/>
          <w:p>
            <w:pPr>
              <w:pStyle w:val="Compact"/>
              <w:jc w:val="left"/>
            </w:pPr>
            <w:r>
              <w:t xml:space="preserve">A6-S016, A6-S017</w:t>
            </w:r>
          </w:p>
        </w:tc>
      </w:tr>
      <w:tr>
        <w:tc>
          <w:tcPr/>
          <w:p>
            <w:pPr>
              <w:pStyle w:val="Compact"/>
              <w:jc w:val="left"/>
            </w:pPr>
            <w:r>
              <w:t xml:space="preserve">Dependencies</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Certifications</w:t>
            </w:r>
          </w:p>
        </w:tc>
        <w:tc>
          <w:tcPr/>
          <w:p>
            <w:pPr>
              <w:pStyle w:val="Compact"/>
              <w:jc w:val="left"/>
            </w:pPr>
            <w:r>
              <w:t xml:space="preserve">ISO/IEC 27001:2022 certificate LC-516-21 (Linford &amp; Company, issued 1 September 2026, valid to 31 August 2029) covering the API and AI Connectivity Platform; SOC 2 Type II (security, availability, confidentiality) covering Konnect, Dedicated Cloud Gateways, Kong Gateway Enterprise, Kong AI Gateway, Kong Mesh, Insomnia; PCI DSS v4.0.1 (Konnect, Dedicated Cloud Gateways); CSA STAR Level 1 self-assessment</w:t>
            </w:r>
          </w:p>
        </w:tc>
        <w:tc>
          <w:tcPr/>
          <w:p>
            <w:pPr>
              <w:pStyle w:val="Compact"/>
              <w:jc w:val="left"/>
            </w:pPr>
            <w:r>
              <w:t xml:space="preserve">Verified fact</w:t>
            </w:r>
          </w:p>
        </w:tc>
        <w:tc>
          <w:tcPr/>
          <w:p>
            <w:pPr>
              <w:pStyle w:val="Compact"/>
              <w:jc w:val="left"/>
            </w:pPr>
            <w:r>
              <w:t xml:space="preserve">A6-S109</w:t>
            </w:r>
          </w:p>
        </w:tc>
      </w:tr>
      <w:tr>
        <w:tc>
          <w:tcPr/>
          <w:p>
            <w:pPr>
              <w:pStyle w:val="Compact"/>
              <w:jc w:val="left"/>
            </w:pPr>
            <w:r>
              <w:t xml:space="preserve">GDPR / residency</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Security features</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Access controls</w:t>
            </w:r>
          </w:p>
        </w:tc>
        <w:tc>
          <w:tcPr/>
          <w:p>
            <w:pPr>
              <w:pStyle w:val="Compact"/>
              <w:jc w:val="left"/>
            </w:pPr>
            <w:r>
              <w:t xml:space="preserve">Konnect and Dev Portal audit logs; Kong Identity principals usable in AI Gateway policies</w:t>
            </w:r>
          </w:p>
        </w:tc>
        <w:tc>
          <w:tcPr/>
          <w:p>
            <w:pPr>
              <w:pStyle w:val="Compact"/>
              <w:jc w:val="left"/>
            </w:pPr>
            <w:r>
              <w:t xml:space="preserve">Verified fact</w:t>
            </w:r>
          </w:p>
        </w:tc>
        <w:tc>
          <w:tcPr/>
          <w:p>
            <w:pPr>
              <w:pStyle w:val="Compact"/>
              <w:jc w:val="left"/>
            </w:pPr>
            <w:r>
              <w:t xml:space="preserve">A6-S109, A6-S016</w:t>
            </w:r>
          </w:p>
        </w:tc>
      </w:tr>
      <w:tr>
        <w:tc>
          <w:tcPr/>
          <w:p>
            <w:pPr>
              <w:pStyle w:val="Compact"/>
              <w:jc w:val="left"/>
            </w:pPr>
            <w:r>
              <w:t xml:space="preserve">Enterprise support</w:t>
            </w:r>
          </w:p>
        </w:tc>
        <w:tc>
          <w:tcPr/>
          <w:p>
            <w:pPr>
              <w:pStyle w:val="Compact"/>
              <w:jc w:val="left"/>
            </w:pPr>
            <w:r>
              <w:t xml:space="preserve">99.99% SLA advertised for Konnect cloud</w:t>
            </w:r>
          </w:p>
        </w:tc>
        <w:tc>
          <w:tcPr/>
          <w:p>
            <w:pPr>
              <w:pStyle w:val="Compact"/>
              <w:jc w:val="left"/>
            </w:pPr>
            <w:r>
              <w:t xml:space="preserve">Verified fact</w:t>
            </w:r>
          </w:p>
        </w:tc>
        <w:tc>
          <w:tcPr/>
          <w:p>
            <w:pPr>
              <w:pStyle w:val="Compact"/>
              <w:jc w:val="left"/>
            </w:pPr>
            <w:r>
              <w:t xml:space="preserve">A6-S018</w:t>
            </w:r>
          </w:p>
        </w:tc>
      </w:tr>
      <w:tr>
        <w:tc>
          <w:tcPr/>
          <w:p>
            <w:pPr>
              <w:pStyle w:val="Compact"/>
              <w:jc w:val="left"/>
            </w:pPr>
            <w:r>
              <w:t xml:space="preserve">Pricing</w:t>
            </w:r>
          </w:p>
        </w:tc>
        <w:tc>
          <w:tcPr/>
          <w:p>
            <w:pPr>
              <w:pStyle w:val="Compact"/>
              <w:jc w:val="left"/>
            </w:pPr>
            <w:r>
              <w:t xml:space="preserve">Not published in sources consulted beyond</w:t>
            </w:r>
            <w:r>
              <w:t xml:space="preserve"> </w:t>
            </w:r>
            <w:r>
              <w:t xml:space="preserve">‘</w:t>
            </w:r>
            <w:r>
              <w:t xml:space="preserve">Contact sales</w:t>
            </w:r>
            <w:r>
              <w:t xml:space="preserve">’</w:t>
            </w:r>
            <w:r>
              <w:t xml:space="preserve">/consumption model; AI Gateway paid plugins listed as add-on or included depending on tier</w:t>
            </w:r>
          </w:p>
        </w:tc>
        <w:tc>
          <w:tcPr/>
          <w:p>
            <w:pPr>
              <w:pStyle w:val="Compact"/>
              <w:jc w:val="left"/>
            </w:pPr>
            <w:r>
              <w:t xml:space="preserve">Verified fact</w:t>
            </w:r>
          </w:p>
        </w:tc>
        <w:tc>
          <w:tcPr/>
          <w:p>
            <w:pPr>
              <w:pStyle w:val="Compact"/>
              <w:jc w:val="left"/>
            </w:pPr>
            <w:r>
              <w:t xml:space="preserve">A6-S017, A6-S018</w:t>
            </w:r>
          </w:p>
        </w:tc>
      </w:tr>
      <w:tr>
        <w:tc>
          <w:tcPr/>
          <w:p>
            <w:pPr>
              <w:pStyle w:val="Compact"/>
              <w:jc w:val="left"/>
            </w:pPr>
            <w:r>
              <w:t xml:space="preserve">Infrastructure cost</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Ecosystem</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Adoption signals</w:t>
            </w:r>
          </w:p>
        </w:tc>
        <w:tc>
          <w:tcPr/>
          <w:p>
            <w:pPr>
              <w:pStyle w:val="Compact"/>
              <w:jc w:val="left"/>
            </w:pPr>
            <w:r>
              <w:t xml:space="preserve">Series E of US$175m at US$2bn valuation (date not verified); total equity raised estimated at US$345m (Sacra)</w:t>
            </w:r>
          </w:p>
        </w:tc>
        <w:tc>
          <w:tcPr/>
          <w:p>
            <w:pPr>
              <w:pStyle w:val="Compact"/>
              <w:jc w:val="left"/>
            </w:pPr>
            <w:r>
              <w:t xml:space="preserve">Reported</w:t>
            </w:r>
          </w:p>
        </w:tc>
        <w:tc>
          <w:tcPr/>
          <w:p>
            <w:pPr>
              <w:pStyle w:val="Compact"/>
              <w:jc w:val="left"/>
            </w:pPr>
            <w:r>
              <w:t xml:space="preserve">A6-S018</w:t>
            </w:r>
          </w:p>
        </w:tc>
      </w:tr>
      <w:tr>
        <w:tc>
          <w:tcPr/>
          <w:p>
            <w:pPr>
              <w:pStyle w:val="Compact"/>
              <w:jc w:val="left"/>
            </w:pPr>
            <w:r>
              <w:t xml:space="preserve">Maturity</w:t>
            </w:r>
          </w:p>
        </w:tc>
        <w:tc>
          <w:tcPr/>
          <w:p>
            <w:pPr>
              <w:pStyle w:val="Compact"/>
              <w:jc w:val="left"/>
            </w:pPr>
            <w:r>
              <w:t xml:space="preserve">AI plugins since Kong Gateway 3.6 (2024); AI Gateway 2.x GA since 1 September 2026</w:t>
            </w:r>
          </w:p>
        </w:tc>
        <w:tc>
          <w:tcPr/>
          <w:p>
            <w:pPr>
              <w:pStyle w:val="Compact"/>
              <w:jc w:val="left"/>
            </w:pPr>
            <w:r>
              <w:t xml:space="preserve">Verified fact</w:t>
            </w:r>
          </w:p>
        </w:tc>
        <w:tc>
          <w:tcPr/>
          <w:p>
            <w:pPr>
              <w:pStyle w:val="Compact"/>
              <w:jc w:val="left"/>
            </w:pPr>
            <w:r>
              <w:t xml:space="preserve">A6-S016, A6-S017</w:t>
            </w:r>
          </w:p>
        </w:tc>
      </w:tr>
      <w:tr>
        <w:tc>
          <w:tcPr/>
          <w:p>
            <w:pPr>
              <w:pStyle w:val="Compact"/>
              <w:jc w:val="left"/>
            </w:pPr>
            <w:r>
              <w:t xml:space="preserve">Deployment</w:t>
            </w:r>
          </w:p>
        </w:tc>
        <w:tc>
          <w:tcPr/>
          <w:p>
            <w:pPr>
              <w:pStyle w:val="Compact"/>
              <w:jc w:val="left"/>
            </w:pPr>
            <w:r>
              <w:t xml:space="preserve">saas: Yes (Konnect managed control plane); managed_cloud: Yes (Dedicated Cloud Gateways on AWS, Azure or GCP); vpc_byoc: Yes (hybrid: Kong-run control plane, customer-run data plane); private_cloud: Not publicly verified; self_hosted: Yes (fully self-managed gateways); on_prem: Not publicly verified</w:t>
            </w:r>
          </w:p>
        </w:tc>
        <w:tc>
          <w:tcPr/>
          <w:p>
            <w:pPr>
              <w:pStyle w:val="Compact"/>
            </w:pPr>
          </w:p>
        </w:tc>
        <w:tc>
          <w:tcPr/>
          <w:p>
            <w:pPr>
              <w:pStyle w:val="Compact"/>
            </w:pPr>
          </w:p>
        </w:tc>
      </w:tr>
    </w:tbl>
    <w:bookmarkEnd w:id="1775"/>
    <w:bookmarkStart w:id="1796" w:name="X39ceb65a89cb761991e3cc2dad145d903f3f839"/>
    <w:p>
      <w:pPr>
        <w:pStyle w:val="Heading2"/>
      </w:pPr>
      <w:r>
        <w:t xml:space="preserve">Apigee (API management) used as an AI gateway (</w:t>
      </w:r>
      <w:r>
        <w:rPr>
          <w:rStyle w:val="VerbatimChar"/>
        </w:rPr>
        <w:t xml:space="preserve">C1-google-apigee-ai-gateway</w:t>
      </w:r>
      <w:r>
        <w:t xml:space="preserve">)</w:t>
      </w:r>
    </w:p>
    <w:p>
      <w:pPr>
        <w:pStyle w:val="FirstParagraph"/>
      </w:pPr>
      <w:r>
        <w:rPr>
          <w:bCs/>
          <w:b/>
        </w:rPr>
        <w:t xml:space="preserve">Tier:</w:t>
      </w:r>
      <w:r>
        <w:t xml:space="preserve"> </w:t>
      </w:r>
      <w:r>
        <w:t xml:space="preserve">Strategic ·</w:t>
      </w:r>
      <w:r>
        <w:t xml:space="preserve"> </w:t>
      </w:r>
      <w:r>
        <w:rPr>
          <w:bCs/>
          <w:b/>
        </w:rPr>
        <w:t xml:space="preserve">Flags:</w:t>
      </w:r>
      <w:r>
        <w:t xml:space="preserve"> </w:t>
      </w:r>
      <w:r>
        <w:t xml:space="preserve">none ·</w:t>
      </w:r>
      <w:r>
        <w:t xml:space="preserve"> </w:t>
      </w:r>
      <w:r>
        <w:rPr>
          <w:bCs/>
          <w:b/>
        </w:rPr>
        <w:t xml:space="preserve">Original graphic label:</w:t>
      </w:r>
      <w:r>
        <w:t xml:space="preserve"> </w:t>
      </w:r>
      <w:r>
        <w:t xml:space="preserve">not in graphic</w:t>
      </w:r>
    </w:p>
    <w:p>
      <w:pPr>
        <w:pStyle w:val="BodyText"/>
      </w:pPr>
      <w:r>
        <w:rPr>
          <w:iCs/>
          <w:i/>
        </w:rPr>
        <w:t xml:space="preserve">Rationale:</w:t>
      </w:r>
      <w:r>
        <w:t xml:space="preserve"> </w:t>
      </w:r>
      <w:r>
        <w:t xml:space="preserve">Strategic, conditional: where Google Cloud is your primary cloud or Apigee is already the API standard (CP3 Q2, rubric rule 10); lock-in at 2 is the stated condition</w:t>
      </w:r>
      <w:r>
        <w:t xml:space="preserve"> </w:t>
      </w:r>
      <w:r>
        <w:rPr>
          <w:rStyle w:val="ClaimLabel"/>
        </w:rPr>
        <w:t xml:space="preserve">AJ</w:t>
      </w:r>
      <w:r>
        <w:t xml:space="preserve">.</w:t>
      </w:r>
    </w:p>
    <w:tbl>
      <w:tblPr>
        <w:tblStyle w:val="Table"/>
        <w:tblW w:type="pct" w:w="5000"/>
        <w:tblLook w:firstRow="1" w:lastRow="0" w:firstColumn="0" w:lastColumn="0" w:noHBand="0" w:noVBand="0" w:val="0020"/>
        <w:jc w:val="start"/>
      </w:tblPr>
      <w:tblGrid>
        <w:gridCol w:w="1545"/>
        <w:gridCol w:w="579"/>
        <w:gridCol w:w="5795"/>
      </w:tblGrid>
      <w:tr>
        <w:trPr>
          <w:tblHeader w:val="true"/>
        </w:trPr>
        <w:tc>
          <w:tcPr/>
          <w:p>
            <w:pPr>
              <w:pStyle w:val="Compact"/>
              <w:jc w:val="left"/>
            </w:pPr>
            <w:r>
              <w:t xml:space="preserve">Criterion</w:t>
            </w:r>
          </w:p>
        </w:tc>
        <w:tc>
          <w:tcPr/>
          <w:p>
            <w:pPr>
              <w:pStyle w:val="Compact"/>
              <w:jc w:val="right"/>
            </w:pPr>
            <w:r>
              <w:t xml:space="preserve">Score</w:t>
            </w:r>
          </w:p>
        </w:tc>
        <w:tc>
          <w:tcPr/>
          <w:p>
            <w:pPr>
              <w:pStyle w:val="Compact"/>
              <w:jc w:val="left"/>
            </w:pPr>
            <w:r>
              <w:t xml:space="preserve">Rationale</w:t>
            </w:r>
          </w:p>
        </w:tc>
      </w:tr>
      <w:tr>
        <w:tc>
          <w:tcPr/>
          <w:p>
            <w:pPr>
              <w:pStyle w:val="Compact"/>
              <w:jc w:val="left"/>
            </w:pPr>
            <w:r>
              <w:t xml:space="preserve">Technical</w:t>
            </w:r>
          </w:p>
        </w:tc>
        <w:tc>
          <w:tcPr/>
          <w:p>
            <w:pPr>
              <w:pStyle w:val="Compact"/>
              <w:jc w:val="right"/>
            </w:pPr>
            <w:r>
              <w:t xml:space="preserve">4</w:t>
            </w:r>
          </w:p>
        </w:tc>
        <w:tc>
          <w:tcPr/>
          <w:p>
            <w:pPr>
              <w:pStyle w:val="Compact"/>
              <w:jc w:val="left"/>
            </w:pPr>
            <w:r>
              <w:t xml:space="preserve">Token limits, semantic cache, routing with circuit breaking, auditing, Model Armor, MCP, A2A</w:t>
            </w:r>
            <w:r>
              <w:t xml:space="preserve"> </w:t>
            </w:r>
            <w:r>
              <w:rPr>
                <w:rStyle w:val="ClaimLabel"/>
              </w:rPr>
              <w:t xml:space="preserve">VF</w:t>
            </w:r>
            <w:r>
              <w:rPr>
                <w:rStyle w:val="FootnoteReference"/>
              </w:rPr>
              <w:footnoteReference w:id="1776"/>
            </w:r>
          </w:p>
        </w:tc>
      </w:tr>
      <w:tr>
        <w:tc>
          <w:tcPr/>
          <w:p>
            <w:pPr>
              <w:pStyle w:val="Compact"/>
              <w:jc w:val="left"/>
            </w:pPr>
            <w:r>
              <w:t xml:space="preserve">Enterprise readiness</w:t>
            </w:r>
          </w:p>
        </w:tc>
        <w:tc>
          <w:tcPr/>
          <w:p>
            <w:pPr>
              <w:pStyle w:val="Compact"/>
              <w:jc w:val="right"/>
            </w:pPr>
            <w:r>
              <w:t xml:space="preserve">4</w:t>
            </w:r>
          </w:p>
        </w:tc>
        <w:tc>
          <w:tcPr/>
          <w:p>
            <w:pPr>
              <w:pStyle w:val="Compact"/>
              <w:jc w:val="left"/>
            </w:pPr>
            <w:r>
              <w:t xml:space="preserve">Hyperscaler presumption (CP2 Q1); access-control detail not in the fact base</w:t>
            </w:r>
            <w:r>
              <w:t xml:space="preserve"> </w:t>
            </w:r>
            <w:r>
              <w:rPr>
                <w:rStyle w:val="ClaimLabel"/>
              </w:rPr>
              <w:t xml:space="preserve">NPV</w:t>
            </w:r>
            <w:r>
              <w:t xml:space="preserve">; confirm per service</w:t>
            </w:r>
          </w:p>
        </w:tc>
      </w:tr>
      <w:tr>
        <w:tc>
          <w:tcPr/>
          <w:p>
            <w:pPr>
              <w:pStyle w:val="Compact"/>
              <w:jc w:val="left"/>
            </w:pPr>
            <w:r>
              <w:t xml:space="preserve">Security and compliance</w:t>
            </w:r>
          </w:p>
        </w:tc>
        <w:tc>
          <w:tcPr/>
          <w:p>
            <w:pPr>
              <w:pStyle w:val="Compact"/>
              <w:jc w:val="right"/>
            </w:pPr>
            <w:r>
              <w:t xml:space="preserve">4</w:t>
            </w:r>
          </w:p>
        </w:tc>
        <w:tc>
          <w:tcPr/>
          <w:p>
            <w:pPr>
              <w:pStyle w:val="Compact"/>
              <w:jc w:val="left"/>
            </w:pPr>
            <w:r>
              <w:t xml:space="preserve">Apigee named in Google Cloud SOC 2 and ISO/IEC 27001 scope</w:t>
            </w:r>
            <w:r>
              <w:t xml:space="preserve"> </w:t>
            </w:r>
            <w:r>
              <w:rPr>
                <w:rStyle w:val="ClaimLabel"/>
              </w:rPr>
              <w:t xml:space="preserve">VF</w:t>
            </w:r>
            <w:r>
              <w:rPr>
                <w:rStyle w:val="FootnoteReference"/>
              </w:rPr>
              <w:footnoteReference w:id="1779"/>
            </w:r>
            <w:r>
              <w:t xml:space="preserve">; CMK not verified, so not 5</w:t>
            </w:r>
          </w:p>
        </w:tc>
      </w:tr>
      <w:tr>
        <w:tc>
          <w:tcPr/>
          <w:p>
            <w:pPr>
              <w:pStyle w:val="Compact"/>
              <w:jc w:val="left"/>
            </w:pPr>
            <w:r>
              <w:t xml:space="preserve">Deployment flexibility</w:t>
            </w:r>
          </w:p>
        </w:tc>
        <w:tc>
          <w:tcPr/>
          <w:p>
            <w:pPr>
              <w:pStyle w:val="Compact"/>
              <w:jc w:val="right"/>
            </w:pPr>
            <w:r>
              <w:t xml:space="preserve">4</w:t>
            </w:r>
          </w:p>
        </w:tc>
        <w:tc>
          <w:tcPr/>
          <w:p>
            <w:pPr>
              <w:pStyle w:val="Compact"/>
              <w:jc w:val="left"/>
            </w:pPr>
            <w:r>
              <w:t xml:space="preserve">Apigee X SaaS and Apigee hybrid self-managed runtime</w:t>
            </w:r>
            <w:r>
              <w:t xml:space="preserve"> </w:t>
            </w:r>
            <w:r>
              <w:rPr>
                <w:rStyle w:val="ClaimLabel"/>
              </w:rPr>
              <w:t xml:space="preserve">VF</w:t>
            </w:r>
            <w:r>
              <w:rPr>
                <w:rStyle w:val="FootnoteReference"/>
              </w:rPr>
              <w:footnoteReference w:id="1782"/>
            </w:r>
          </w:p>
        </w:tc>
      </w:tr>
      <w:tr>
        <w:tc>
          <w:tcPr/>
          <w:p>
            <w:pPr>
              <w:pStyle w:val="Compact"/>
              <w:jc w:val="left"/>
            </w:pPr>
            <w:r>
              <w:t xml:space="preserve">Ecosystem</w:t>
            </w:r>
          </w:p>
        </w:tc>
        <w:tc>
          <w:tcPr/>
          <w:p>
            <w:pPr>
              <w:pStyle w:val="Compact"/>
              <w:jc w:val="right"/>
            </w:pPr>
            <w:r>
              <w:t xml:space="preserve">4</w:t>
            </w:r>
          </w:p>
        </w:tc>
        <w:tc>
          <w:tcPr/>
          <w:p>
            <w:pPr>
              <w:pStyle w:val="Compact"/>
              <w:jc w:val="left"/>
            </w:pPr>
            <w:r>
              <w:t xml:space="preserve">OAuth/JWT, MCP, A2A, AP2, multicloud routing</w:t>
            </w:r>
            <w:r>
              <w:t xml:space="preserve"> </w:t>
            </w:r>
            <w:r>
              <w:rPr>
                <w:rStyle w:val="ClaimLabel"/>
              </w:rPr>
              <w:t xml:space="preserve">VF</w:t>
            </w:r>
            <w:r>
              <w:rPr>
                <w:rStyle w:val="FootnoteReference"/>
              </w:rPr>
              <w:footnoteReference w:id="1785"/>
            </w:r>
          </w:p>
        </w:tc>
      </w:tr>
      <w:tr>
        <w:tc>
          <w:tcPr/>
          <w:p>
            <w:pPr>
              <w:pStyle w:val="Compact"/>
              <w:jc w:val="left"/>
            </w:pPr>
            <w:r>
              <w:t xml:space="preserve">Reliability and maturity</w:t>
            </w:r>
          </w:p>
        </w:tc>
        <w:tc>
          <w:tcPr/>
          <w:p>
            <w:pPr>
              <w:pStyle w:val="Compact"/>
              <w:jc w:val="right"/>
            </w:pPr>
            <w:r>
              <w:t xml:space="preserve">4</w:t>
            </w:r>
          </w:p>
        </w:tc>
        <w:tc>
          <w:tcPr/>
          <w:p>
            <w:pPr>
              <w:pStyle w:val="Compact"/>
              <w:jc w:val="left"/>
            </w:pPr>
            <w:r>
              <w:t xml:space="preserve">Mature API management; AI and MCP features added 2025–26</w:t>
            </w:r>
            <w:r>
              <w:t xml:space="preserve"> </w:t>
            </w:r>
            <w:r>
              <w:rPr>
                <w:rStyle w:val="ClaimLabel"/>
              </w:rPr>
              <w:t xml:space="preserve">VF</w:t>
            </w:r>
            <w:r>
              <w:rPr>
                <w:rStyle w:val="FootnoteReference"/>
              </w:rPr>
              <w:footnoteReference w:id="1786"/>
            </w:r>
          </w:p>
        </w:tc>
      </w:tr>
      <w:tr>
        <w:tc>
          <w:tcPr/>
          <w:p>
            <w:pPr>
              <w:pStyle w:val="Compact"/>
              <w:jc w:val="left"/>
            </w:pPr>
            <w:r>
              <w:t xml:space="preserve">Cost / TCO</w:t>
            </w:r>
          </w:p>
        </w:tc>
        <w:tc>
          <w:tcPr/>
          <w:p>
            <w:pPr>
              <w:pStyle w:val="Compact"/>
              <w:jc w:val="right"/>
            </w:pPr>
            <w:r>
              <w:t xml:space="preserve">3</w:t>
            </w:r>
          </w:p>
        </w:tc>
        <w:tc>
          <w:tcPr/>
          <w:p>
            <w:pPr>
              <w:pStyle w:val="Compact"/>
              <w:jc w:val="left"/>
            </w:pPr>
            <w:r>
              <w:t xml:space="preserve">Transparent pay-as-you-go per call, with paid analytics and security add-ons</w:t>
            </w:r>
            <w:r>
              <w:t xml:space="preserve"> </w:t>
            </w:r>
            <w:r>
              <w:rPr>
                <w:rStyle w:val="ClaimLabel"/>
              </w:rPr>
              <w:t xml:space="preserve">VF</w:t>
            </w:r>
            <w:r>
              <w:rPr>
                <w:rStyle w:val="FootnoteReference"/>
              </w:rPr>
              <w:footnoteReference w:id="1787"/>
            </w:r>
          </w:p>
        </w:tc>
      </w:tr>
      <w:tr>
        <w:tc>
          <w:tcPr/>
          <w:p>
            <w:pPr>
              <w:pStyle w:val="Compact"/>
              <w:jc w:val="left"/>
            </w:pPr>
            <w:r>
              <w:t xml:space="preserve">Lock-in / portability</w:t>
            </w:r>
          </w:p>
        </w:tc>
        <w:tc>
          <w:tcPr/>
          <w:p>
            <w:pPr>
              <w:pStyle w:val="Compact"/>
              <w:jc w:val="right"/>
            </w:pPr>
            <w:r>
              <w:t xml:space="preserve">2</w:t>
            </w:r>
          </w:p>
        </w:tc>
        <w:tc>
          <w:tcPr/>
          <w:p>
            <w:pPr>
              <w:pStyle w:val="Compact"/>
              <w:jc w:val="left"/>
            </w:pPr>
            <w:r>
              <w:t xml:space="preserve">Proprietary policy model</w:t>
            </w:r>
            <w:r>
              <w:t xml:space="preserve"> </w:t>
            </w:r>
            <w:r>
              <w:rPr>
                <w:rStyle w:val="ClaimLabel"/>
              </w:rPr>
              <w:t xml:space="preserve">VF</w:t>
            </w:r>
            <w:r>
              <w:rPr>
                <w:rStyle w:val="FootnoteReference"/>
              </w:rPr>
              <w:footnoteReference w:id="1788"/>
            </w:r>
          </w:p>
        </w:tc>
      </w:tr>
      <w:tr>
        <w:tc>
          <w:tcPr/>
          <w:p>
            <w:pPr>
              <w:pStyle w:val="Compact"/>
              <w:jc w:val="left"/>
            </w:pPr>
            <w:r>
              <w:rPr>
                <w:bCs/>
                <w:b/>
              </w:rPr>
              <w:t xml:space="preserve">Total (generic / FS)</w:t>
            </w:r>
          </w:p>
        </w:tc>
        <w:tc>
          <w:tcPr/>
          <w:p>
            <w:pPr>
              <w:pStyle w:val="Compact"/>
              <w:jc w:val="right"/>
            </w:pPr>
            <w:r>
              <w:rPr>
                <w:bCs/>
                <w:b/>
              </w:rPr>
              <w:t xml:space="preserve">3.80 / 3.65</w:t>
            </w:r>
          </w:p>
        </w:tc>
        <w:tc>
          <w:tcPr/>
          <w:p>
            <w:pPr>
              <w:pStyle w:val="Compact"/>
            </w:pPr>
          </w:p>
        </w:tc>
      </w:tr>
    </w:tbl>
    <w:p>
      <w:pPr>
        <w:pStyle w:val="BodyText"/>
      </w:pPr>
      <w:r>
        <w:rPr>
          <w:iCs/>
          <w:i/>
        </w:rPr>
        <w:t xml:space="preserve">Evidence rules applied:</w:t>
      </w:r>
      <w:r>
        <w:t xml:space="preserve"> </w:t>
      </w:r>
      <w:r>
        <w:t xml:space="preserve">enterprise_readiness set to 4 under the hyperscaler presumption (CP2 Q1): platform controls presumed; confirm per service</w:t>
      </w:r>
    </w:p>
    <w:p>
      <w:pPr>
        <w:pStyle w:val="BodyText"/>
      </w:pPr>
      <w:r>
        <w:rPr>
          <w:bCs/>
          <w:b/>
        </w:rPr>
        <w:t xml:space="preserve">Capabilities.</w:t>
      </w:r>
      <w:r>
        <w:t xml:space="preserve"> </w:t>
      </w:r>
      <w:r>
        <w:t xml:space="preserve">Apigee API management marketed as an AI gateway: token limits and monitoring, semantic caching, multicloud model routing with circuit breaking, LLM auditing and logging, Model Armor screening, MCP (GA 31 March 2026) and A2A support; SaaS or hybrid self-managed runtime</w:t>
      </w:r>
      <w:r>
        <w:t xml:space="preserve"> </w:t>
      </w:r>
      <w:r>
        <w:rPr>
          <w:rStyle w:val="ClaimLabel"/>
        </w:rPr>
        <w:t xml:space="preserve">VF</w:t>
      </w:r>
      <w:r>
        <w:rPr>
          <w:rStyle w:val="FootnoteReference"/>
        </w:rPr>
        <w:footnoteReference w:id="1789"/>
      </w:r>
      <w:r>
        <w:t xml:space="preserve">.</w:t>
      </w:r>
    </w:p>
    <w:p>
      <w:pPr>
        <w:pStyle w:val="BodyText"/>
      </w:pPr>
      <w:r>
        <w:rPr>
          <w:bCs/>
          <w:b/>
        </w:rPr>
        <w:t xml:space="preserve">Strengths</w:t>
      </w:r>
    </w:p>
    <w:p>
      <w:pPr>
        <w:numPr>
          <w:ilvl w:val="0"/>
          <w:numId w:val="1373"/>
        </w:numPr>
        <w:pStyle w:val="Compact"/>
      </w:pPr>
      <w:r>
        <w:t xml:space="preserve">Mature API-management product with product-scoped SOC 2 and ISO 27001</w:t>
      </w:r>
      <w:r>
        <w:t xml:space="preserve"> </w:t>
      </w:r>
      <w:r>
        <w:rPr>
          <w:rStyle w:val="ClaimLabel"/>
        </w:rPr>
        <w:t xml:space="preserve">VF</w:t>
      </w:r>
      <w:r>
        <w:rPr>
          <w:rStyle w:val="FootnoteReference"/>
        </w:rPr>
        <w:footnoteReference w:id="1790"/>
      </w:r>
    </w:p>
    <w:p>
      <w:pPr>
        <w:numPr>
          <w:ilvl w:val="0"/>
          <w:numId w:val="1373"/>
        </w:numPr>
        <w:pStyle w:val="Compact"/>
      </w:pPr>
      <w:r>
        <w:t xml:space="preserve">Hybrid runtime gives a customer-run data plane</w:t>
      </w:r>
      <w:r>
        <w:t xml:space="preserve"> </w:t>
      </w:r>
      <w:r>
        <w:rPr>
          <w:rStyle w:val="ClaimLabel"/>
        </w:rPr>
        <w:t xml:space="preserve">VF</w:t>
      </w:r>
      <w:r>
        <w:rPr>
          <w:rStyle w:val="FootnoteReference"/>
        </w:rPr>
        <w:footnoteReference w:id="1791"/>
      </w:r>
    </w:p>
    <w:p>
      <w:pPr>
        <w:numPr>
          <w:ilvl w:val="0"/>
          <w:numId w:val="1373"/>
        </w:numPr>
        <w:pStyle w:val="Compact"/>
      </w:pPr>
      <w:r>
        <w:t xml:space="preserve">Inline Model Armor screening</w:t>
      </w:r>
      <w:r>
        <w:t xml:space="preserve"> </w:t>
      </w:r>
      <w:r>
        <w:rPr>
          <w:rStyle w:val="ClaimLabel"/>
        </w:rPr>
        <w:t xml:space="preserve">VF</w:t>
      </w:r>
      <w:r>
        <w:rPr>
          <w:rStyle w:val="FootnoteReference"/>
        </w:rPr>
        <w:footnoteReference w:id="1792"/>
      </w:r>
    </w:p>
    <w:p>
      <w:pPr>
        <w:pStyle w:val="FirstParagraph"/>
      </w:pPr>
      <w:r>
        <w:rPr>
          <w:bCs/>
          <w:b/>
        </w:rPr>
        <w:t xml:space="preserve">Limitations and risks</w:t>
      </w:r>
    </w:p>
    <w:p>
      <w:pPr>
        <w:numPr>
          <w:ilvl w:val="0"/>
          <w:numId w:val="1374"/>
        </w:numPr>
        <w:pStyle w:val="Compact"/>
      </w:pPr>
      <w:r>
        <w:t xml:space="preserve">Proprietary policy model</w:t>
      </w:r>
      <w:r>
        <w:t xml:space="preserve"> </w:t>
      </w:r>
      <w:r>
        <w:rPr>
          <w:rStyle w:val="ClaimLabel"/>
        </w:rPr>
        <w:t xml:space="preserve">VF</w:t>
      </w:r>
      <w:r>
        <w:rPr>
          <w:rStyle w:val="FootnoteReference"/>
        </w:rPr>
        <w:footnoteReference w:id="1793"/>
      </w:r>
    </w:p>
    <w:p>
      <w:pPr>
        <w:numPr>
          <w:ilvl w:val="0"/>
          <w:numId w:val="1374"/>
        </w:numPr>
        <w:pStyle w:val="Compact"/>
      </w:pPr>
      <w:r>
        <w:t xml:space="preserve">Per-call pricing plus add-ons for analytics and security</w:t>
      </w:r>
      <w:r>
        <w:t xml:space="preserve"> </w:t>
      </w:r>
      <w:r>
        <w:rPr>
          <w:rStyle w:val="ClaimLabel"/>
        </w:rPr>
        <w:t xml:space="preserve">VF</w:t>
      </w:r>
      <w:r>
        <w:rPr>
          <w:rStyle w:val="FootnoteReference"/>
        </w:rPr>
        <w:footnoteReference w:id="1794"/>
      </w:r>
    </w:p>
    <w:p>
      <w:pPr>
        <w:numPr>
          <w:ilvl w:val="0"/>
          <w:numId w:val="1374"/>
        </w:numPr>
        <w:pStyle w:val="Compact"/>
      </w:pPr>
      <w:r>
        <w:t xml:space="preserve">Semantic cache needed an SSRF fix on 30 September 2026</w:t>
      </w:r>
      <w:r>
        <w:t xml:space="preserve"> </w:t>
      </w:r>
      <w:r>
        <w:rPr>
          <w:rStyle w:val="ClaimLabel"/>
        </w:rPr>
        <w:t xml:space="preserve">VF</w:t>
      </w:r>
      <w:r>
        <w:rPr>
          <w:rStyle w:val="FootnoteReference"/>
        </w:rPr>
        <w:footnoteReference w:id="1795"/>
      </w:r>
    </w:p>
    <w:p>
      <w:pPr>
        <w:pStyle w:val="FirstParagraph"/>
      </w:pPr>
      <w:r>
        <w:rPr>
          <w:bCs/>
          <w:b/>
        </w:rPr>
        <w:t xml:space="preserve">Choose when</w:t>
      </w:r>
    </w:p>
    <w:p>
      <w:pPr>
        <w:numPr>
          <w:ilvl w:val="0"/>
          <w:numId w:val="1375"/>
        </w:numPr>
        <w:pStyle w:val="Compact"/>
      </w:pPr>
      <w:r>
        <w:t xml:space="preserve">Google Cloud is primary, or Apigee is already your API standard</w:t>
      </w:r>
      <w:r>
        <w:t xml:space="preserve"> </w:t>
      </w:r>
      <w:r>
        <w:rPr>
          <w:rStyle w:val="ClaimLabel"/>
        </w:rPr>
        <w:t xml:space="preserve">AJ</w:t>
      </w:r>
    </w:p>
    <w:p>
      <w:pPr>
        <w:numPr>
          <w:ilvl w:val="0"/>
          <w:numId w:val="1375"/>
        </w:numPr>
        <w:pStyle w:val="Compact"/>
      </w:pPr>
      <w:r>
        <w:t xml:space="preserve">You want the gateway data plane in your own Kubernetes (hybrid)</w:t>
      </w:r>
      <w:r>
        <w:t xml:space="preserve"> </w:t>
      </w:r>
      <w:r>
        <w:rPr>
          <w:rStyle w:val="ClaimLabel"/>
        </w:rPr>
        <w:t xml:space="preserve">AJ</w:t>
      </w:r>
    </w:p>
    <w:p>
      <w:pPr>
        <w:pStyle w:val="FirstParagraph"/>
      </w:pPr>
      <w:r>
        <w:rPr>
          <w:bCs/>
          <w:b/>
        </w:rPr>
        <w:t xml:space="preserve">Avoid when</w:t>
      </w:r>
    </w:p>
    <w:p>
      <w:pPr>
        <w:numPr>
          <w:ilvl w:val="0"/>
          <w:numId w:val="1376"/>
        </w:numPr>
        <w:pStyle w:val="Compact"/>
      </w:pPr>
      <w:r>
        <w:t xml:space="preserve">You want a light, low-cost model gateway with no API-management estate</w:t>
      </w:r>
      <w:r>
        <w:t xml:space="preserve"> </w:t>
      </w:r>
      <w:r>
        <w:rPr>
          <w:rStyle w:val="ClaimLabel"/>
        </w:rPr>
        <w:t xml:space="preserve">AJ</w:t>
      </w:r>
    </w:p>
    <w:p>
      <w:pPr>
        <w:pStyle w:val="FirstParagraph"/>
      </w:pPr>
      <w:r>
        <w:rPr>
          <w:bCs/>
          <w:b/>
        </w:rPr>
        <w:t xml:space="preserve">Nearest competitors:</w:t>
      </w:r>
      <w:r>
        <w:t xml:space="preserve"> </w:t>
      </w:r>
      <w:r>
        <w:t xml:space="preserve">C1-azure-apim-ai-gateway, C1-kong-ai-gateway, C1-litellm</w:t>
      </w:r>
    </w:p>
    <w:p>
      <w:pPr>
        <w:pStyle w:val="BodyText"/>
      </w:pPr>
      <w:r>
        <w:rPr>
          <w:bCs/>
          <w:b/>
        </w:rPr>
        <w:t xml:space="preserve">Regulated-FS note.</w:t>
      </w:r>
      <w:r>
        <w:t xml:space="preserve"> </w:t>
      </w:r>
      <w:r>
        <w:t xml:space="preserve">Run hybrid in a UK or EU region and confirm residency of LLM audit logs; keep semantic caching off for client-specific routes</w:t>
      </w:r>
      <w:r>
        <w:t xml:space="preserve"> </w:t>
      </w:r>
      <w:r>
        <w:rPr>
          <w:rStyle w:val="ClaimLabel"/>
        </w:rPr>
        <w:t xml:space="preserve">Rec</w:t>
      </w:r>
      <w:r>
        <w:t xml:space="preserve">.</w:t>
      </w:r>
    </w:p>
    <w:p>
      <w:pPr>
        <w:pStyle w:val="BodyText"/>
      </w:pPr>
      <w:r>
        <w:rPr>
          <w:bCs/>
          <w:b/>
        </w:rPr>
        <w:t xml:space="preserve">Facts (as of 2026-10-07)</w:t>
      </w:r>
    </w:p>
    <w:tbl>
      <w:tblPr>
        <w:tblStyle w:val="Table"/>
        <w:tblW w:type="pct" w:w="5000"/>
        <w:tblLook w:firstRow="1" w:lastRow="0" w:firstColumn="0" w:lastColumn="0" w:noHBand="0" w:noVBand="0" w:val="0020"/>
        <w:jc w:val="start"/>
      </w:tblPr>
      <w:tblGrid>
        <w:gridCol w:w="1485"/>
        <w:gridCol w:w="4290"/>
        <w:gridCol w:w="1320"/>
        <w:gridCol w:w="825"/>
      </w:tblGrid>
      <w:tr>
        <w:trPr>
          <w:tblHeader w:val="true"/>
        </w:trPr>
        <w:tc>
          <w:tcPr/>
          <w:p>
            <w:pPr>
              <w:pStyle w:val="Compact"/>
              <w:jc w:val="left"/>
            </w:pPr>
            <w:r>
              <w:t xml:space="preserve">Field</w:t>
            </w:r>
          </w:p>
        </w:tc>
        <w:tc>
          <w:tcPr/>
          <w:p>
            <w:pPr>
              <w:pStyle w:val="Compact"/>
              <w:jc w:val="left"/>
            </w:pPr>
            <w:r>
              <w:t xml:space="preserve">Value</w:t>
            </w:r>
          </w:p>
        </w:tc>
        <w:tc>
          <w:tcPr/>
          <w:p>
            <w:pPr>
              <w:pStyle w:val="Compact"/>
              <w:jc w:val="left"/>
            </w:pPr>
            <w:r>
              <w:t xml:space="preserve">Label</w:t>
            </w:r>
          </w:p>
        </w:tc>
        <w:tc>
          <w:tcPr/>
          <w:p>
            <w:pPr>
              <w:pStyle w:val="Compact"/>
              <w:jc w:val="left"/>
            </w:pPr>
            <w:r>
              <w:t xml:space="preserve">Sources</w:t>
            </w:r>
          </w:p>
        </w:tc>
      </w:tr>
      <w:tr>
        <w:tc>
          <w:tcPr/>
          <w:p>
            <w:pPr>
              <w:pStyle w:val="Compact"/>
              <w:jc w:val="left"/>
            </w:pPr>
            <w:r>
              <w:t xml:space="preserve">Company</w:t>
            </w:r>
          </w:p>
        </w:tc>
        <w:tc>
          <w:tcPr/>
          <w:p>
            <w:pPr>
              <w:pStyle w:val="Compact"/>
              <w:jc w:val="left"/>
            </w:pPr>
            <w:r>
              <w:t xml:space="preserve">Google Cloud</w:t>
            </w:r>
          </w:p>
        </w:tc>
        <w:tc>
          <w:tcPr/>
          <w:p>
            <w:pPr>
              <w:pStyle w:val="Compact"/>
              <w:jc w:val="left"/>
            </w:pPr>
            <w:r>
              <w:t xml:space="preserve">Verified fact</w:t>
            </w:r>
          </w:p>
        </w:tc>
        <w:tc>
          <w:tcPr/>
          <w:p>
            <w:pPr>
              <w:pStyle w:val="Compact"/>
              <w:jc w:val="left"/>
            </w:pPr>
            <w:r>
              <w:t xml:space="preserve">A6-S024</w:t>
            </w:r>
          </w:p>
        </w:tc>
      </w:tr>
      <w:tr>
        <w:tc>
          <w:tcPr/>
          <w:p>
            <w:pPr>
              <w:pStyle w:val="Compact"/>
              <w:jc w:val="left"/>
            </w:pPr>
            <w:r>
              <w:t xml:space="preserve">Category</w:t>
            </w:r>
          </w:p>
        </w:tc>
        <w:tc>
          <w:tcPr/>
          <w:p>
            <w:pPr>
              <w:pStyle w:val="Compact"/>
              <w:jc w:val="left"/>
            </w:pPr>
            <w:r>
              <w:t xml:space="preserve">Cloud API management platform with AI gateway policies (LLM, MCP, A2A)</w:t>
            </w:r>
          </w:p>
        </w:tc>
        <w:tc>
          <w:tcPr/>
          <w:p>
            <w:pPr>
              <w:pStyle w:val="Compact"/>
              <w:jc w:val="left"/>
            </w:pPr>
            <w:r>
              <w:t xml:space="preserve">Verified fact</w:t>
            </w:r>
          </w:p>
        </w:tc>
        <w:tc>
          <w:tcPr/>
          <w:p>
            <w:pPr>
              <w:pStyle w:val="Compact"/>
              <w:jc w:val="left"/>
            </w:pPr>
            <w:r>
              <w:t xml:space="preserve">A6-S024</w:t>
            </w:r>
          </w:p>
        </w:tc>
      </w:tr>
      <w:tr>
        <w:tc>
          <w:tcPr/>
          <w:p>
            <w:pPr>
              <w:pStyle w:val="Compact"/>
              <w:jc w:val="left"/>
            </w:pPr>
            <w:r>
              <w:t xml:space="preserve">Version / lineup</w:t>
            </w:r>
          </w:p>
        </w:tc>
        <w:tc>
          <w:tcPr/>
          <w:p>
            <w:pPr>
              <w:pStyle w:val="Compact"/>
              <w:jc w:val="left"/>
            </w:pPr>
            <w:r>
              <w:t xml:space="preserve">Apigee X (SaaS) and Apigee hybrid 1.17 (1.17.1 on 30 September 2026); Apigee MCP support GA 31 March 2026; API hub MCP server GA 24 July 2026</w:t>
            </w:r>
          </w:p>
        </w:tc>
        <w:tc>
          <w:tcPr/>
          <w:p>
            <w:pPr>
              <w:pStyle w:val="Compact"/>
              <w:jc w:val="left"/>
            </w:pPr>
            <w:r>
              <w:t xml:space="preserve">Verified fact</w:t>
            </w:r>
          </w:p>
        </w:tc>
        <w:tc>
          <w:tcPr/>
          <w:p>
            <w:pPr>
              <w:pStyle w:val="Compact"/>
              <w:jc w:val="left"/>
            </w:pPr>
            <w:r>
              <w:t xml:space="preserve">A6-S023, A6-S025</w:t>
            </w:r>
          </w:p>
        </w:tc>
      </w:tr>
      <w:tr>
        <w:tc>
          <w:tcPr/>
          <w:p>
            <w:pPr>
              <w:pStyle w:val="Compact"/>
              <w:jc w:val="left"/>
            </w:pPr>
            <w:r>
              <w:t xml:space="preserve">Licence</w:t>
            </w:r>
          </w:p>
        </w:tc>
        <w:tc>
          <w:tcPr/>
          <w:p>
            <w:pPr>
              <w:pStyle w:val="Compact"/>
              <w:jc w:val="left"/>
            </w:pPr>
            <w:r>
              <w:t xml:space="preserve">Proprietary managed service (hybrid runtime self-managed)</w:t>
            </w:r>
          </w:p>
        </w:tc>
        <w:tc>
          <w:tcPr/>
          <w:p>
            <w:pPr>
              <w:pStyle w:val="Compact"/>
              <w:jc w:val="left"/>
            </w:pPr>
            <w:r>
              <w:t xml:space="preserve">Verified fact</w:t>
            </w:r>
          </w:p>
        </w:tc>
        <w:tc>
          <w:tcPr/>
          <w:p>
            <w:pPr>
              <w:pStyle w:val="Compact"/>
              <w:jc w:val="left"/>
            </w:pPr>
            <w:r>
              <w:t xml:space="preserve">A6-S069</w:t>
            </w:r>
          </w:p>
        </w:tc>
      </w:tr>
      <w:tr>
        <w:tc>
          <w:tcPr/>
          <w:p>
            <w:pPr>
              <w:pStyle w:val="Compact"/>
              <w:jc w:val="left"/>
            </w:pPr>
            <w:r>
              <w:t xml:space="preserve">Strategic direction</w:t>
            </w:r>
          </w:p>
        </w:tc>
        <w:tc>
          <w:tcPr/>
          <w:p>
            <w:pPr>
              <w:pStyle w:val="Compact"/>
              <w:jc w:val="left"/>
            </w:pPr>
            <w:r>
              <w:t xml:space="preserve">Apigee marketed as the AI gateway for agentic AI: supports SSE and JSON-RPC for MCP, A2A and AP2; multicloud model routing; MCP server and MCP transcoding; Model Armor integration</w:t>
            </w:r>
          </w:p>
        </w:tc>
        <w:tc>
          <w:tcPr/>
          <w:p>
            <w:pPr>
              <w:pStyle w:val="Compact"/>
              <w:jc w:val="left"/>
            </w:pPr>
            <w:r>
              <w:t xml:space="preserve">Verified fact</w:t>
            </w:r>
          </w:p>
        </w:tc>
        <w:tc>
          <w:tcPr/>
          <w:p>
            <w:pPr>
              <w:pStyle w:val="Compact"/>
              <w:jc w:val="left"/>
            </w:pPr>
            <w:r>
              <w:t xml:space="preserve">A6-S024</w:t>
            </w:r>
          </w:p>
        </w:tc>
      </w:tr>
      <w:tr>
        <w:tc>
          <w:tcPr/>
          <w:p>
            <w:pPr>
              <w:pStyle w:val="Compact"/>
              <w:jc w:val="left"/>
            </w:pPr>
            <w:r>
              <w:t xml:space="preserve">What it does</w:t>
            </w:r>
          </w:p>
        </w:tc>
        <w:tc>
          <w:tcPr/>
          <w:p>
            <w:pPr>
              <w:pStyle w:val="Compact"/>
              <w:jc w:val="left"/>
            </w:pPr>
            <w:r>
              <w:t xml:space="preserve">Token limit enforcement and token consumption monitoring, semantic caching, multicloud model routing with circuit breaking, LLM auditing and logging, API keys/OAuth 2.0/JWT, quotas, Model Armor prompt/response screening, exposing existing APIs as MCP tools.</w:t>
            </w:r>
          </w:p>
        </w:tc>
        <w:tc>
          <w:tcPr/>
          <w:p>
            <w:pPr>
              <w:pStyle w:val="Compact"/>
              <w:jc w:val="left"/>
            </w:pPr>
            <w:r>
              <w:t xml:space="preserve">Verified fact</w:t>
            </w:r>
          </w:p>
        </w:tc>
        <w:tc>
          <w:tcPr/>
          <w:p>
            <w:pPr>
              <w:pStyle w:val="Compact"/>
              <w:jc w:val="left"/>
            </w:pPr>
            <w:r>
              <w:t xml:space="preserve">A6-S024, A6-S023</w:t>
            </w:r>
          </w:p>
        </w:tc>
      </w:tr>
      <w:tr>
        <w:tc>
          <w:tcPr/>
          <w:p>
            <w:pPr>
              <w:pStyle w:val="Compact"/>
              <w:jc w:val="left"/>
            </w:pPr>
            <w:r>
              <w:t xml:space="preserve">Stack position</w:t>
            </w:r>
          </w:p>
        </w:tc>
        <w:tc>
          <w:tcPr/>
          <w:p>
            <w:pPr>
              <w:pStyle w:val="Compact"/>
              <w:jc w:val="left"/>
            </w:pPr>
            <w:r>
              <w:t xml:space="preserve">Gateway/control plane for AI traffic in Google Cloud and multicloud estates</w:t>
            </w:r>
          </w:p>
        </w:tc>
        <w:tc>
          <w:tcPr/>
          <w:p>
            <w:pPr>
              <w:pStyle w:val="Compact"/>
              <w:jc w:val="left"/>
            </w:pPr>
            <w:r>
              <w:t xml:space="preserve">Verified fact</w:t>
            </w:r>
          </w:p>
        </w:tc>
        <w:tc>
          <w:tcPr/>
          <w:p>
            <w:pPr>
              <w:pStyle w:val="Compact"/>
              <w:jc w:val="left"/>
            </w:pPr>
            <w:r>
              <w:t xml:space="preserve">A6-S024</w:t>
            </w:r>
          </w:p>
        </w:tc>
      </w:tr>
      <w:tr>
        <w:tc>
          <w:tcPr/>
          <w:p>
            <w:pPr>
              <w:pStyle w:val="Compact"/>
              <w:jc w:val="left"/>
            </w:pPr>
            <w:r>
              <w:t xml:space="preserve">Integration</w:t>
            </w:r>
          </w:p>
        </w:tc>
        <w:tc>
          <w:tcPr/>
          <w:p>
            <w:pPr>
              <w:pStyle w:val="Compact"/>
              <w:jc w:val="left"/>
            </w:pPr>
            <w:r>
              <w:t xml:space="preserve">Apigee proxies and policies; extension processor applies policies to traffic that bypasses a proxy; MCP endpoints (hybrid 1.17)</w:t>
            </w:r>
          </w:p>
        </w:tc>
        <w:tc>
          <w:tcPr/>
          <w:p>
            <w:pPr>
              <w:pStyle w:val="Compact"/>
              <w:jc w:val="left"/>
            </w:pPr>
            <w:r>
              <w:t xml:space="preserve">Verified fact</w:t>
            </w:r>
          </w:p>
        </w:tc>
        <w:tc>
          <w:tcPr/>
          <w:p>
            <w:pPr>
              <w:pStyle w:val="Compact"/>
              <w:jc w:val="left"/>
            </w:pPr>
            <w:r>
              <w:t xml:space="preserve">A6-S023, A6-S025</w:t>
            </w:r>
          </w:p>
        </w:tc>
      </w:tr>
      <w:tr>
        <w:tc>
          <w:tcPr/>
          <w:p>
            <w:pPr>
              <w:pStyle w:val="Compact"/>
              <w:jc w:val="left"/>
            </w:pPr>
            <w:r>
              <w:t xml:space="preserve">Dependencies</w:t>
            </w:r>
          </w:p>
        </w:tc>
        <w:tc>
          <w:tcPr/>
          <w:p>
            <w:pPr>
              <w:pStyle w:val="Compact"/>
              <w:jc w:val="left"/>
            </w:pPr>
            <w:r>
              <w:t xml:space="preserve">Model Armor for prompt/response screening; vector search index and embeddings for semantic cache</w:t>
            </w:r>
          </w:p>
        </w:tc>
        <w:tc>
          <w:tcPr/>
          <w:p>
            <w:pPr>
              <w:pStyle w:val="Compact"/>
              <w:jc w:val="left"/>
            </w:pPr>
            <w:r>
              <w:t xml:space="preserve">Verified fact</w:t>
            </w:r>
          </w:p>
        </w:tc>
        <w:tc>
          <w:tcPr/>
          <w:p>
            <w:pPr>
              <w:pStyle w:val="Compact"/>
              <w:jc w:val="left"/>
            </w:pPr>
            <w:r>
              <w:t xml:space="preserve">A6-S023, A6-S024</w:t>
            </w:r>
          </w:p>
        </w:tc>
      </w:tr>
      <w:tr>
        <w:tc>
          <w:tcPr/>
          <w:p>
            <w:pPr>
              <w:pStyle w:val="Compact"/>
              <w:jc w:val="left"/>
            </w:pPr>
            <w:r>
              <w:t xml:space="preserve">Certifications</w:t>
            </w:r>
          </w:p>
        </w:tc>
        <w:tc>
          <w:tcPr/>
          <w:p>
            <w:pPr>
              <w:pStyle w:val="Compact"/>
              <w:jc w:val="left"/>
            </w:pPr>
            <w:r>
              <w:t xml:space="preserve">Apigee listed in Google Cloud SOC 2 and ISO/IEC 27001 scope</w:t>
            </w:r>
          </w:p>
        </w:tc>
        <w:tc>
          <w:tcPr/>
          <w:p>
            <w:pPr>
              <w:pStyle w:val="Compact"/>
              <w:jc w:val="left"/>
            </w:pPr>
            <w:r>
              <w:t xml:space="preserve">Verified fact</w:t>
            </w:r>
          </w:p>
        </w:tc>
        <w:tc>
          <w:tcPr/>
          <w:p>
            <w:pPr>
              <w:pStyle w:val="Compact"/>
              <w:jc w:val="left"/>
            </w:pPr>
            <w:r>
              <w:t xml:space="preserve">A6-S070, A6-S071</w:t>
            </w:r>
          </w:p>
        </w:tc>
      </w:tr>
      <w:tr>
        <w:tc>
          <w:tcPr/>
          <w:p>
            <w:pPr>
              <w:pStyle w:val="Compact"/>
              <w:jc w:val="left"/>
            </w:pPr>
            <w:r>
              <w:t xml:space="preserve">GDPR / residency</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Security features</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Access controls</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Enterprise support</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Pricing</w:t>
            </w:r>
          </w:p>
        </w:tc>
        <w:tc>
          <w:tcPr/>
          <w:p>
            <w:pPr>
              <w:pStyle w:val="Compact"/>
              <w:jc w:val="left"/>
            </w:pPr>
            <w:r>
              <w:t xml:space="preserve">Pay-as-you-go: Standard proxy US$20 per 1M calls (up to 50M), Extensible proxy US$100 per 1M calls (up to 50M), tiered down at volume; API Analytics add-on US$20 per 1M calls; Advanced API Security US$350 per 1M calls; subscription tiers also offered</w:t>
            </w:r>
          </w:p>
        </w:tc>
        <w:tc>
          <w:tcPr/>
          <w:p>
            <w:pPr>
              <w:pStyle w:val="Compact"/>
              <w:jc w:val="left"/>
            </w:pPr>
            <w:r>
              <w:t xml:space="preserve">Verified fact</w:t>
            </w:r>
          </w:p>
        </w:tc>
        <w:tc>
          <w:tcPr/>
          <w:p>
            <w:pPr>
              <w:pStyle w:val="Compact"/>
              <w:jc w:val="left"/>
            </w:pPr>
            <w:r>
              <w:t xml:space="preserve">A6-S069</w:t>
            </w:r>
          </w:p>
        </w:tc>
      </w:tr>
      <w:tr>
        <w:tc>
          <w:tcPr/>
          <w:p>
            <w:pPr>
              <w:pStyle w:val="Compact"/>
              <w:jc w:val="left"/>
            </w:pPr>
            <w:r>
              <w:t xml:space="preserve">Infrastructure cost</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Ecosystem</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Adoption signals</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Maturity</w:t>
            </w:r>
          </w:p>
        </w:tc>
        <w:tc>
          <w:tcPr/>
          <w:p>
            <w:pPr>
              <w:pStyle w:val="Compact"/>
              <w:jc w:val="left"/>
            </w:pPr>
            <w:r>
              <w:t xml:space="preserve">Mature API management product; AI-specific policies and MCP support added 2025-2026</w:t>
            </w:r>
          </w:p>
        </w:tc>
        <w:tc>
          <w:tcPr/>
          <w:p>
            <w:pPr>
              <w:pStyle w:val="Compact"/>
              <w:jc w:val="left"/>
            </w:pPr>
            <w:r>
              <w:t xml:space="preserve">Verified fact</w:t>
            </w:r>
          </w:p>
        </w:tc>
        <w:tc>
          <w:tcPr/>
          <w:p>
            <w:pPr>
              <w:pStyle w:val="Compact"/>
              <w:jc w:val="left"/>
            </w:pPr>
            <w:r>
              <w:t xml:space="preserve">A6-S023, A6-S025</w:t>
            </w:r>
          </w:p>
        </w:tc>
      </w:tr>
      <w:tr>
        <w:tc>
          <w:tcPr/>
          <w:p>
            <w:pPr>
              <w:pStyle w:val="Compact"/>
              <w:jc w:val="left"/>
            </w:pPr>
            <w:r>
              <w:t xml:space="preserve">Deployment</w:t>
            </w:r>
          </w:p>
        </w:tc>
        <w:tc>
          <w:tcPr/>
          <w:p>
            <w:pPr>
              <w:pStyle w:val="Compact"/>
              <w:jc w:val="left"/>
            </w:pPr>
            <w:r>
              <w:t xml:space="preserve">saas: Yes (Apigee on Google Cloud); managed_cloud: Not publicly verified; vpc_byoc: Not publicly verified; private_cloud: Not publicly verified; self_hosted: Yes (Apigee hybrid runtime); on_prem: Not publicly verified</w:t>
            </w:r>
          </w:p>
        </w:tc>
        <w:tc>
          <w:tcPr/>
          <w:p>
            <w:pPr>
              <w:pStyle w:val="Compact"/>
            </w:pPr>
          </w:p>
        </w:tc>
        <w:tc>
          <w:tcPr/>
          <w:p>
            <w:pPr>
              <w:pStyle w:val="Compact"/>
            </w:pPr>
          </w:p>
        </w:tc>
      </w:tr>
    </w:tbl>
    <w:bookmarkEnd w:id="1796"/>
    <w:bookmarkStart w:id="1824" w:name="Xc28a2ea95f1c32376906a60a1e452945a6d6d41"/>
    <w:p>
      <w:pPr>
        <w:pStyle w:val="Heading2"/>
      </w:pPr>
      <w:r>
        <w:t xml:space="preserve">Portkey AI Gateway, now branded</w:t>
      </w:r>
      <w:r>
        <w:t xml:space="preserve"> </w:t>
      </w:r>
      <w:r>
        <w:t xml:space="preserve">‘</w:t>
      </w:r>
      <w:r>
        <w:t xml:space="preserve">Prisma AIRS AI Gateway</w:t>
      </w:r>
      <w:r>
        <w:t xml:space="preserve">’</w:t>
      </w:r>
      <w:r>
        <w:t xml:space="preserve"> </w:t>
      </w:r>
      <w:r>
        <w:t xml:space="preserve">(Palo Alto Networks) (</w:t>
      </w:r>
      <w:r>
        <w:rPr>
          <w:rStyle w:val="VerbatimChar"/>
        </w:rPr>
        <w:t xml:space="preserve">C1-portkey</w:t>
      </w:r>
      <w:r>
        <w:t xml:space="preserve">)</w:t>
      </w:r>
    </w:p>
    <w:p>
      <w:pPr>
        <w:pStyle w:val="FirstParagraph"/>
      </w:pPr>
      <w:r>
        <w:rPr>
          <w:bCs/>
          <w:b/>
        </w:rPr>
        <w:t xml:space="preserve">Tier:</w:t>
      </w:r>
      <w:r>
        <w:t xml:space="preserve"> </w:t>
      </w:r>
      <w:r>
        <w:t xml:space="preserve">Tactical ·</w:t>
      </w:r>
      <w:r>
        <w:t xml:space="preserve"> </w:t>
      </w:r>
      <w:r>
        <w:rPr>
          <w:bCs/>
          <w:b/>
        </w:rPr>
        <w:t xml:space="preserve">Flags:</w:t>
      </w:r>
      <w:r>
        <w:t xml:space="preserve"> </w:t>
      </w:r>
      <w:r>
        <w:t xml:space="preserve">Acquired, Renamed ·</w:t>
      </w:r>
      <w:r>
        <w:t xml:space="preserve"> </w:t>
      </w:r>
      <w:r>
        <w:rPr>
          <w:bCs/>
          <w:b/>
        </w:rPr>
        <w:t xml:space="preserve">Original graphic label:</w:t>
      </w:r>
      <w:r>
        <w:t xml:space="preserve"> </w:t>
      </w:r>
      <w:r>
        <w:t xml:space="preserve">not in graphic</w:t>
      </w:r>
    </w:p>
    <w:p>
      <w:pPr>
        <w:pStyle w:val="BodyText"/>
      </w:pPr>
      <w:r>
        <w:rPr>
          <w:iCs/>
          <w:i/>
        </w:rPr>
        <w:t xml:space="preserve">Rationale:</w:t>
      </w:r>
      <w:r>
        <w:t xml:space="preserve"> </w:t>
      </w:r>
      <w:r>
        <w:t xml:space="preserve">Tactical: capable, but ownership and branding changed four months ago and the post-acquisition commercial terms are not public</w:t>
      </w:r>
      <w:r>
        <w:t xml:space="preserve"> </w:t>
      </w:r>
      <w:r>
        <w:rPr>
          <w:rStyle w:val="ClaimLabel"/>
        </w:rPr>
        <w:t xml:space="preserve">AJ</w:t>
      </w:r>
      <w:r>
        <w:t xml:space="preserve">.</w:t>
      </w:r>
    </w:p>
    <w:tbl>
      <w:tblPr>
        <w:tblStyle w:val="Table"/>
        <w:tblW w:type="pct" w:w="5000"/>
        <w:tblLook w:firstRow="1" w:lastRow="0" w:firstColumn="0" w:lastColumn="0" w:noHBand="0" w:noVBand="0" w:val="0020"/>
        <w:jc w:val="start"/>
      </w:tblPr>
      <w:tblGrid>
        <w:gridCol w:w="1545"/>
        <w:gridCol w:w="579"/>
        <w:gridCol w:w="5795"/>
      </w:tblGrid>
      <w:tr>
        <w:trPr>
          <w:tblHeader w:val="true"/>
        </w:trPr>
        <w:tc>
          <w:tcPr/>
          <w:p>
            <w:pPr>
              <w:pStyle w:val="Compact"/>
              <w:jc w:val="left"/>
            </w:pPr>
            <w:r>
              <w:t xml:space="preserve">Criterion</w:t>
            </w:r>
          </w:p>
        </w:tc>
        <w:tc>
          <w:tcPr/>
          <w:p>
            <w:pPr>
              <w:pStyle w:val="Compact"/>
              <w:jc w:val="right"/>
            </w:pPr>
            <w:r>
              <w:t xml:space="preserve">Score</w:t>
            </w:r>
          </w:p>
        </w:tc>
        <w:tc>
          <w:tcPr/>
          <w:p>
            <w:pPr>
              <w:pStyle w:val="Compact"/>
              <w:jc w:val="left"/>
            </w:pPr>
            <w:r>
              <w:t xml:space="preserve">Rationale</w:t>
            </w:r>
          </w:p>
        </w:tc>
      </w:tr>
      <w:tr>
        <w:tc>
          <w:tcPr/>
          <w:p>
            <w:pPr>
              <w:pStyle w:val="Compact"/>
              <w:jc w:val="left"/>
            </w:pPr>
            <w:r>
              <w:t xml:space="preserve">Technical</w:t>
            </w:r>
          </w:p>
        </w:tc>
        <w:tc>
          <w:tcPr/>
          <w:p>
            <w:pPr>
              <w:pStyle w:val="Compact"/>
              <w:jc w:val="right"/>
            </w:pPr>
            <w:r>
              <w:t xml:space="preserve">4</w:t>
            </w:r>
          </w:p>
        </w:tc>
        <w:tc>
          <w:tcPr/>
          <w:p>
            <w:pPr>
              <w:pStyle w:val="Compact"/>
              <w:jc w:val="left"/>
            </w:pPr>
            <w:r>
              <w:t xml:space="preserve">Routing, fallback, budgets, guardrails, MCP gateway</w:t>
            </w:r>
            <w:r>
              <w:t xml:space="preserve"> </w:t>
            </w:r>
            <w:r>
              <w:rPr>
                <w:rStyle w:val="ClaimLabel"/>
              </w:rPr>
              <w:t xml:space="preserve">VF</w:t>
            </w:r>
            <w:r>
              <w:rPr>
                <w:rStyle w:val="FootnoteReference"/>
              </w:rPr>
              <w:footnoteReference w:id="1797"/>
            </w:r>
            <w:r>
              <w:t xml:space="preserve">; A2A not evidenced</w:t>
            </w:r>
            <w:r>
              <w:t xml:space="preserve"> </w:t>
            </w:r>
            <w:r>
              <w:rPr>
                <w:rStyle w:val="ClaimLabel"/>
              </w:rPr>
              <w:t xml:space="preserve">NPV</w:t>
            </w:r>
          </w:p>
        </w:tc>
      </w:tr>
      <w:tr>
        <w:tc>
          <w:tcPr/>
          <w:p>
            <w:pPr>
              <w:pStyle w:val="Compact"/>
              <w:jc w:val="left"/>
            </w:pPr>
            <w:r>
              <w:t xml:space="preserve">Enterprise readiness</w:t>
            </w:r>
          </w:p>
        </w:tc>
        <w:tc>
          <w:tcPr/>
          <w:p>
            <w:pPr>
              <w:pStyle w:val="Compact"/>
              <w:jc w:val="right"/>
            </w:pPr>
            <w:r>
              <w:t xml:space="preserve">4</w:t>
            </w:r>
          </w:p>
        </w:tc>
        <w:tc>
          <w:tcPr/>
          <w:p>
            <w:pPr>
              <w:pStyle w:val="Compact"/>
              <w:jc w:val="left"/>
            </w:pPr>
            <w:r>
              <w:t xml:space="preserve">SSO/SAML 2.0, SCIM, organisation and workspace roles and organisation-wide audit logs (B-C1-S001, B-C1-S002), with IdP group mapping in the docs changelog (B-C1-S003): all three controls plus SCIM reach 4 under rule 7 (CP3 review A, consistent with Firecrawl); condition: evidence is mainly vendor pages and post-acquisition terms are not public</w:t>
            </w:r>
          </w:p>
        </w:tc>
      </w:tr>
      <w:tr>
        <w:tc>
          <w:tcPr/>
          <w:p>
            <w:pPr>
              <w:pStyle w:val="Compact"/>
              <w:jc w:val="left"/>
            </w:pPr>
            <w:r>
              <w:t xml:space="preserve">Security and compliance</w:t>
            </w:r>
          </w:p>
        </w:tc>
        <w:tc>
          <w:tcPr/>
          <w:p>
            <w:pPr>
              <w:pStyle w:val="Compact"/>
              <w:jc w:val="right"/>
            </w:pPr>
            <w:r>
              <w:t xml:space="preserve">3</w:t>
            </w:r>
          </w:p>
        </w:tc>
        <w:tc>
          <w:tcPr/>
          <w:p>
            <w:pPr>
              <w:pStyle w:val="Compact"/>
              <w:jc w:val="left"/>
            </w:pPr>
            <w:r>
              <w:t xml:space="preserve">SOC 2 Type 2, ISO 27001, GDPR and HIPAA claimed, tier coverage unclear</w:t>
            </w:r>
            <w:r>
              <w:t xml:space="preserve"> </w:t>
            </w:r>
            <w:r>
              <w:rPr>
                <w:rStyle w:val="ClaimLabel"/>
              </w:rPr>
              <w:t xml:space="preserve">VF</w:t>
            </w:r>
            <w:r>
              <w:rPr>
                <w:rStyle w:val="FootnoteReference"/>
              </w:rPr>
              <w:footnoteReference w:id="1800"/>
            </w:r>
            <w:r>
              <w:t xml:space="preserve">; scope rule (CP2 Q4) applied</w:t>
            </w:r>
          </w:p>
        </w:tc>
      </w:tr>
      <w:tr>
        <w:tc>
          <w:tcPr/>
          <w:p>
            <w:pPr>
              <w:pStyle w:val="Compact"/>
              <w:jc w:val="left"/>
            </w:pPr>
            <w:r>
              <w:t xml:space="preserve">Deployment flexibility</w:t>
            </w:r>
          </w:p>
        </w:tc>
        <w:tc>
          <w:tcPr/>
          <w:p>
            <w:pPr>
              <w:pStyle w:val="Compact"/>
              <w:jc w:val="right"/>
            </w:pPr>
            <w:r>
              <w:t xml:space="preserve">4</w:t>
            </w:r>
          </w:p>
        </w:tc>
        <w:tc>
          <w:tcPr/>
          <w:p>
            <w:pPr>
              <w:pStyle w:val="Compact"/>
              <w:jc w:val="left"/>
            </w:pPr>
            <w:r>
              <w:t xml:space="preserve">SaaS, VPC, private cloud and self-hosted OSS; air-gap no longer offered</w:t>
            </w:r>
            <w:r>
              <w:t xml:space="preserve"> </w:t>
            </w:r>
            <w:r>
              <w:rPr>
                <w:rStyle w:val="ClaimLabel"/>
              </w:rPr>
              <w:t xml:space="preserve">VF</w:t>
            </w:r>
            <w:r>
              <w:rPr>
                <w:rStyle w:val="FootnoteReference"/>
              </w:rPr>
              <w:footnoteReference w:id="1802"/>
            </w:r>
          </w:p>
        </w:tc>
      </w:tr>
      <w:tr>
        <w:tc>
          <w:tcPr/>
          <w:p>
            <w:pPr>
              <w:pStyle w:val="Compact"/>
              <w:jc w:val="left"/>
            </w:pPr>
            <w:r>
              <w:t xml:space="preserve">Ecosystem</w:t>
            </w:r>
          </w:p>
        </w:tc>
        <w:tc>
          <w:tcPr/>
          <w:p>
            <w:pPr>
              <w:pStyle w:val="Compact"/>
              <w:jc w:val="right"/>
            </w:pPr>
            <w:r>
              <w:t xml:space="preserve">4</w:t>
            </w:r>
          </w:p>
        </w:tc>
        <w:tc>
          <w:tcPr/>
          <w:p>
            <w:pPr>
              <w:pStyle w:val="Compact"/>
              <w:jc w:val="left"/>
            </w:pPr>
            <w:r>
              <w:t xml:space="preserve">OpenAI-compatible API and SDKs, 1,600+ models, MCP, Cloudflare Workers</w:t>
            </w:r>
            <w:r>
              <w:t xml:space="preserve"> </w:t>
            </w:r>
            <w:r>
              <w:rPr>
                <w:rStyle w:val="ClaimLabel"/>
              </w:rPr>
              <w:t xml:space="preserve">VF</w:t>
            </w:r>
            <w:r>
              <w:rPr>
                <w:rStyle w:val="FootnoteReference"/>
              </w:rPr>
              <w:footnoteReference w:id="1803"/>
            </w:r>
          </w:p>
        </w:tc>
      </w:tr>
      <w:tr>
        <w:tc>
          <w:tcPr/>
          <w:p>
            <w:pPr>
              <w:pStyle w:val="Compact"/>
              <w:jc w:val="left"/>
            </w:pPr>
            <w:r>
              <w:t xml:space="preserve">Reliability and maturity</w:t>
            </w:r>
          </w:p>
        </w:tc>
        <w:tc>
          <w:tcPr/>
          <w:p>
            <w:pPr>
              <w:pStyle w:val="Compact"/>
              <w:jc w:val="right"/>
            </w:pPr>
            <w:r>
              <w:t xml:space="preserve">3</w:t>
            </w:r>
          </w:p>
        </w:tc>
        <w:tc>
          <w:tcPr/>
          <w:p>
            <w:pPr>
              <w:pStyle w:val="Compact"/>
              <w:jc w:val="left"/>
            </w:pPr>
            <w:r>
              <w:t xml:space="preserve">Acquired May 2026; Prisma AIRS AI Gateway GA 16 July 2026</w:t>
            </w:r>
            <w:r>
              <w:t xml:space="preserve"> </w:t>
            </w:r>
            <w:r>
              <w:rPr>
                <w:rStyle w:val="ClaimLabel"/>
              </w:rPr>
              <w:t xml:space="preserve">VF</w:t>
            </w:r>
            <w:r>
              <w:rPr>
                <w:rStyle w:val="FootnoteReference"/>
              </w:rPr>
              <w:footnoteReference w:id="1804"/>
            </w:r>
            <w:r>
              <w:t xml:space="preserve">; OSS Gateway 2.0 pre-release</w:t>
            </w:r>
            <w:r>
              <w:t xml:space="preserve"> </w:t>
            </w:r>
            <w:r>
              <w:rPr>
                <w:rStyle w:val="ClaimLabel"/>
              </w:rPr>
              <w:t xml:space="preserve">VF</w:t>
            </w:r>
            <w:r>
              <w:rPr>
                <w:rStyle w:val="FootnoteReference"/>
              </w:rPr>
              <w:footnoteReference w:id="1806"/>
            </w:r>
          </w:p>
        </w:tc>
      </w:tr>
      <w:tr>
        <w:tc>
          <w:tcPr/>
          <w:p>
            <w:pPr>
              <w:pStyle w:val="Compact"/>
              <w:jc w:val="left"/>
            </w:pPr>
            <w:r>
              <w:t xml:space="preserve">Cost / TCO</w:t>
            </w:r>
          </w:p>
        </w:tc>
        <w:tc>
          <w:tcPr/>
          <w:p>
            <w:pPr>
              <w:pStyle w:val="Compact"/>
              <w:jc w:val="right"/>
            </w:pPr>
            <w:r>
              <w:t xml:space="preserve">3</w:t>
            </w:r>
          </w:p>
        </w:tc>
        <w:tc>
          <w:tcPr/>
          <w:p>
            <w:pPr>
              <w:pStyle w:val="Compact"/>
              <w:jc w:val="left"/>
            </w:pPr>
            <w:r>
              <w:t xml:space="preserve">Published tiers (free, US$49/month Production, custom Enterprise) may be stale; post-acquisition pricing not verified</w:t>
            </w:r>
            <w:r>
              <w:t xml:space="preserve"> </w:t>
            </w:r>
            <w:r>
              <w:rPr>
                <w:rStyle w:val="ClaimLabel"/>
              </w:rPr>
              <w:t xml:space="preserve">VF</w:t>
            </w:r>
            <w:r>
              <w:rPr>
                <w:rStyle w:val="FootnoteReference"/>
              </w:rPr>
              <w:footnoteReference w:id="1807"/>
            </w:r>
          </w:p>
        </w:tc>
      </w:tr>
      <w:tr>
        <w:tc>
          <w:tcPr/>
          <w:p>
            <w:pPr>
              <w:pStyle w:val="Compact"/>
              <w:jc w:val="left"/>
            </w:pPr>
            <w:r>
              <w:t xml:space="preserve">Lock-in / portability</w:t>
            </w:r>
          </w:p>
        </w:tc>
        <w:tc>
          <w:tcPr/>
          <w:p>
            <w:pPr>
              <w:pStyle w:val="Compact"/>
              <w:jc w:val="right"/>
            </w:pPr>
            <w:r>
              <w:t xml:space="preserve">3</w:t>
            </w:r>
          </w:p>
        </w:tc>
        <w:tc>
          <w:tcPr/>
          <w:p>
            <w:pPr>
              <w:pStyle w:val="Compact"/>
              <w:jc w:val="left"/>
            </w:pPr>
            <w:r>
              <w:t xml:space="preserve">MIT core reduces lock-in, but governance features are proprietary; ownership change minus 1 (rule 3)</w:t>
            </w:r>
            <w:r>
              <w:t xml:space="preserve"> </w:t>
            </w:r>
            <w:r>
              <w:rPr>
                <w:rStyle w:val="ClaimLabel"/>
              </w:rPr>
              <w:t xml:space="preserve">VF</w:t>
            </w:r>
            <w:r>
              <w:rPr>
                <w:rStyle w:val="FootnoteReference"/>
              </w:rPr>
              <w:footnoteReference w:id="1808"/>
            </w:r>
          </w:p>
        </w:tc>
      </w:tr>
      <w:tr>
        <w:tc>
          <w:tcPr/>
          <w:p>
            <w:pPr>
              <w:pStyle w:val="Compact"/>
              <w:jc w:val="left"/>
            </w:pPr>
            <w:r>
              <w:rPr>
                <w:bCs/>
                <w:b/>
              </w:rPr>
              <w:t xml:space="preserve">Total (generic / FS)</w:t>
            </w:r>
          </w:p>
        </w:tc>
        <w:tc>
          <w:tcPr/>
          <w:p>
            <w:pPr>
              <w:pStyle w:val="Compact"/>
              <w:jc w:val="right"/>
            </w:pPr>
            <w:r>
              <w:rPr>
                <w:bCs/>
                <w:b/>
              </w:rPr>
              <w:t xml:space="preserve">3.60 / 3.50</w:t>
            </w:r>
          </w:p>
        </w:tc>
        <w:tc>
          <w:tcPr/>
          <w:p>
            <w:pPr>
              <w:pStyle w:val="Compact"/>
            </w:pPr>
          </w:p>
        </w:tc>
      </w:tr>
    </w:tbl>
    <w:p>
      <w:pPr>
        <w:pStyle w:val="BodyText"/>
      </w:pPr>
      <w:r>
        <w:rPr>
          <w:iCs/>
          <w:i/>
        </w:rPr>
        <w:t xml:space="preserve">Evidence rules applied:</w:t>
      </w:r>
      <w:r>
        <w:t xml:space="preserve"> </w:t>
      </w:r>
      <w:r>
        <w:t xml:space="preserve">enterprise_readiness: NPV cap lifted by verified SSO, roles, audit logs and SCIM (rule 7)</w:t>
      </w:r>
    </w:p>
    <w:p>
      <w:pPr>
        <w:pStyle w:val="BodyText"/>
      </w:pPr>
      <w:r>
        <w:rPr>
          <w:bCs/>
          <w:b/>
        </w:rPr>
        <w:t xml:space="preserve">Capabilities.</w:t>
      </w:r>
      <w:r>
        <w:t xml:space="preserve"> </w:t>
      </w:r>
      <w:r>
        <w:t xml:space="preserve">AI gateway routing to 1,600+ models with fallbacks, retries, load balancing, caching, budgets, guardrails and logging, plus an MCP Gateway with a single auth layer; now Palo Alto Networks’ Prisma AIRS AI Gateway</w:t>
      </w:r>
      <w:r>
        <w:t xml:space="preserve"> </w:t>
      </w:r>
      <w:r>
        <w:rPr>
          <w:rStyle w:val="ClaimLabel"/>
        </w:rPr>
        <w:t xml:space="preserve">VF</w:t>
      </w:r>
      <w:r>
        <w:rPr>
          <w:rStyle w:val="FootnoteReference"/>
        </w:rPr>
        <w:footnoteReference w:id="1811"/>
      </w:r>
      <w:r>
        <w:t xml:space="preserve">.</w:t>
      </w:r>
    </w:p>
    <w:p>
      <w:pPr>
        <w:pStyle w:val="BodyText"/>
      </w:pPr>
      <w:r>
        <w:rPr>
          <w:bCs/>
          <w:b/>
        </w:rPr>
        <w:t xml:space="preserve">Strengths</w:t>
      </w:r>
    </w:p>
    <w:p>
      <w:pPr>
        <w:numPr>
          <w:ilvl w:val="0"/>
          <w:numId w:val="1377"/>
        </w:numPr>
        <w:pStyle w:val="Compact"/>
      </w:pPr>
      <w:r>
        <w:t xml:space="preserve">Mature routing and fallback configuration as JSON Configs, with guardrails in the same config</w:t>
      </w:r>
      <w:r>
        <w:t xml:space="preserve"> </w:t>
      </w:r>
      <w:r>
        <w:rPr>
          <w:rStyle w:val="ClaimLabel"/>
        </w:rPr>
        <w:t xml:space="preserve">VF</w:t>
      </w:r>
      <w:r>
        <w:rPr>
          <w:rStyle w:val="FootnoteReference"/>
        </w:rPr>
        <w:footnoteReference w:id="1812"/>
      </w:r>
    </w:p>
    <w:p>
      <w:pPr>
        <w:numPr>
          <w:ilvl w:val="0"/>
          <w:numId w:val="1377"/>
        </w:numPr>
        <w:pStyle w:val="Compact"/>
      </w:pPr>
      <w:r>
        <w:t xml:space="preserve">MIT open-source gateway with a pre-release Gateway 2.0 that merges enterprise gateway code into open source</w:t>
      </w:r>
      <w:r>
        <w:t xml:space="preserve"> </w:t>
      </w:r>
      <w:r>
        <w:rPr>
          <w:rStyle w:val="ClaimLabel"/>
        </w:rPr>
        <w:t xml:space="preserve">VF</w:t>
      </w:r>
      <w:r>
        <w:rPr>
          <w:rStyle w:val="FootnoteReference"/>
        </w:rPr>
        <w:footnoteReference w:id="1813"/>
      </w:r>
    </w:p>
    <w:p>
      <w:pPr>
        <w:numPr>
          <w:ilvl w:val="0"/>
          <w:numId w:val="1377"/>
        </w:numPr>
        <w:pStyle w:val="Compact"/>
      </w:pPr>
      <w:r>
        <w:t xml:space="preserve">Now sits inside a security vendor’s runtime-inspection platform</w:t>
      </w:r>
      <w:r>
        <w:t xml:space="preserve"> </w:t>
      </w:r>
      <w:r>
        <w:rPr>
          <w:rStyle w:val="ClaimLabel"/>
        </w:rPr>
        <w:t xml:space="preserve">VF</w:t>
      </w:r>
      <w:r>
        <w:rPr>
          <w:rStyle w:val="FootnoteReference"/>
        </w:rPr>
        <w:footnoteReference w:id="1814"/>
      </w:r>
    </w:p>
    <w:p>
      <w:pPr>
        <w:pStyle w:val="FirstParagraph"/>
      </w:pPr>
      <w:r>
        <w:rPr>
          <w:bCs/>
          <w:b/>
        </w:rPr>
        <w:t xml:space="preserve">Limitations and risks</w:t>
      </w:r>
    </w:p>
    <w:p>
      <w:pPr>
        <w:numPr>
          <w:ilvl w:val="0"/>
          <w:numId w:val="1378"/>
        </w:numPr>
        <w:pStyle w:val="Compact"/>
      </w:pPr>
      <w:r>
        <w:t xml:space="preserve">Acquired by Palo Alto Networks, completed 29 May 2026; US$117m per the 10-K</w:t>
      </w:r>
      <w:r>
        <w:t xml:space="preserve"> </w:t>
      </w:r>
      <w:r>
        <w:rPr>
          <w:rStyle w:val="ClaimLabel"/>
        </w:rPr>
        <w:t xml:space="preserve">VF</w:t>
      </w:r>
      <w:r>
        <w:rPr>
          <w:rStyle w:val="FootnoteReference"/>
        </w:rPr>
        <w:footnoteReference w:id="1815"/>
      </w:r>
      <w:r>
        <w:t xml:space="preserve">; roadmap now tied to Prisma AIRS</w:t>
      </w:r>
      <w:r>
        <w:t xml:space="preserve"> </w:t>
      </w:r>
      <w:r>
        <w:rPr>
          <w:rStyle w:val="ClaimLabel"/>
        </w:rPr>
        <w:t xml:space="preserve">VF</w:t>
      </w:r>
      <w:r>
        <w:rPr>
          <w:rStyle w:val="FootnoteReference"/>
        </w:rPr>
        <w:footnoteReference w:id="1817"/>
      </w:r>
    </w:p>
    <w:p>
      <w:pPr>
        <w:numPr>
          <w:ilvl w:val="0"/>
          <w:numId w:val="1378"/>
        </w:numPr>
        <w:pStyle w:val="Compact"/>
      </w:pPr>
      <w:r>
        <w:t xml:space="preserve">Certifications claimed on pricing pages with unclear tier coverage; pricing page possibly stale</w:t>
      </w:r>
      <w:r>
        <w:t xml:space="preserve"> </w:t>
      </w:r>
      <w:r>
        <w:rPr>
          <w:rStyle w:val="ClaimLabel"/>
        </w:rPr>
        <w:t xml:space="preserve">VF</w:t>
      </w:r>
      <w:r>
        <w:rPr>
          <w:rStyle w:val="FootnoteReference"/>
        </w:rPr>
        <w:footnoteReference w:id="1818"/>
      </w:r>
    </w:p>
    <w:p>
      <w:pPr>
        <w:numPr>
          <w:ilvl w:val="0"/>
          <w:numId w:val="1378"/>
        </w:numPr>
        <w:pStyle w:val="Compact"/>
      </w:pPr>
      <w:r>
        <w:t xml:space="preserve">Gateway 2.0 is pre-release; fully air-gapped deployment no longer offered</w:t>
      </w:r>
      <w:r>
        <w:t xml:space="preserve"> </w:t>
      </w:r>
      <w:r>
        <w:rPr>
          <w:rStyle w:val="ClaimLabel"/>
        </w:rPr>
        <w:t xml:space="preserve">VF</w:t>
      </w:r>
      <w:r>
        <w:rPr>
          <w:rStyle w:val="FootnoteReference"/>
        </w:rPr>
        <w:footnoteReference w:id="1819"/>
      </w:r>
    </w:p>
    <w:p>
      <w:pPr>
        <w:numPr>
          <w:ilvl w:val="0"/>
          <w:numId w:val="1378"/>
        </w:numPr>
        <w:pStyle w:val="Compact"/>
      </w:pPr>
      <w:r>
        <w:t xml:space="preserve">Access-control evidence comes largely from marketing pages</w:t>
      </w:r>
      <w:r>
        <w:t xml:space="preserve"> </w:t>
      </w:r>
      <w:r>
        <w:rPr>
          <w:rStyle w:val="ClaimLabel"/>
        </w:rPr>
        <w:t xml:space="preserve">VF</w:t>
      </w:r>
      <w:r>
        <w:rPr>
          <w:rStyle w:val="FootnoteReference"/>
        </w:rPr>
        <w:footnoteReference w:id="1820"/>
      </w:r>
    </w:p>
    <w:p>
      <w:pPr>
        <w:pStyle w:val="FirstParagraph"/>
      </w:pPr>
      <w:r>
        <w:rPr>
          <w:bCs/>
          <w:b/>
        </w:rPr>
        <w:t xml:space="preserve">Choose when</w:t>
      </w:r>
    </w:p>
    <w:p>
      <w:pPr>
        <w:numPr>
          <w:ilvl w:val="0"/>
          <w:numId w:val="1379"/>
        </w:numPr>
        <w:pStyle w:val="Compact"/>
      </w:pPr>
      <w:r>
        <w:t xml:space="preserve">You already run Prisma AIRS and want gateway and runtime inspection from one security vendor</w:t>
      </w:r>
      <w:r>
        <w:t xml:space="preserve"> </w:t>
      </w:r>
      <w:r>
        <w:rPr>
          <w:rStyle w:val="ClaimLabel"/>
        </w:rPr>
        <w:t xml:space="preserve">AJ</w:t>
      </w:r>
    </w:p>
    <w:p>
      <w:pPr>
        <w:numPr>
          <w:ilvl w:val="0"/>
          <w:numId w:val="1379"/>
        </w:numPr>
        <w:pStyle w:val="Compact"/>
      </w:pPr>
      <w:r>
        <w:t xml:space="preserve">You want a managed gateway with VPC or private-cloud options</w:t>
      </w:r>
      <w:r>
        <w:t xml:space="preserve"> </w:t>
      </w:r>
      <w:r>
        <w:rPr>
          <w:rStyle w:val="ClaimLabel"/>
        </w:rPr>
        <w:t xml:space="preserve">VF</w:t>
      </w:r>
      <w:r>
        <w:rPr>
          <w:rStyle w:val="FootnoteReference"/>
        </w:rPr>
        <w:footnoteReference w:id="1823"/>
      </w:r>
      <w:r>
        <w:t xml:space="preserve"> </w:t>
      </w:r>
      <w:r>
        <w:rPr>
          <w:rStyle w:val="ClaimLabel"/>
        </w:rPr>
        <w:t xml:space="preserve">AJ</w:t>
      </w:r>
    </w:p>
    <w:p>
      <w:pPr>
        <w:pStyle w:val="FirstParagraph"/>
      </w:pPr>
      <w:r>
        <w:rPr>
          <w:bCs/>
          <w:b/>
        </w:rPr>
        <w:t xml:space="preserve">Avoid when</w:t>
      </w:r>
    </w:p>
    <w:p>
      <w:pPr>
        <w:numPr>
          <w:ilvl w:val="0"/>
          <w:numId w:val="1380"/>
        </w:numPr>
        <w:pStyle w:val="Compact"/>
      </w:pPr>
      <w:r>
        <w:t xml:space="preserve">You need vendor-neutral governance of the traffic path, or air-gapped deployment</w:t>
      </w:r>
      <w:r>
        <w:t xml:space="preserve"> </w:t>
      </w:r>
      <w:r>
        <w:rPr>
          <w:rStyle w:val="ClaimLabel"/>
        </w:rPr>
        <w:t xml:space="preserve">AJ</w:t>
      </w:r>
    </w:p>
    <w:p>
      <w:pPr>
        <w:numPr>
          <w:ilvl w:val="0"/>
          <w:numId w:val="1380"/>
        </w:numPr>
        <w:pStyle w:val="Compact"/>
      </w:pPr>
      <w:r>
        <w:t xml:space="preserve">You cannot absorb a contract re-papering after the change of control</w:t>
      </w:r>
      <w:r>
        <w:t xml:space="preserve"> </w:t>
      </w:r>
      <w:r>
        <w:rPr>
          <w:rStyle w:val="ClaimLabel"/>
        </w:rPr>
        <w:t xml:space="preserve">AJ</w:t>
      </w:r>
    </w:p>
    <w:p>
      <w:pPr>
        <w:pStyle w:val="FirstParagraph"/>
      </w:pPr>
      <w:r>
        <w:rPr>
          <w:bCs/>
          <w:b/>
        </w:rPr>
        <w:t xml:space="preserve">Nearest competitors:</w:t>
      </w:r>
      <w:r>
        <w:t xml:space="preserve"> </w:t>
      </w:r>
      <w:r>
        <w:t xml:space="preserve">C1-litellm, C1-kong-ai-gateway, C1-cloudflare-ai-gateway</w:t>
      </w:r>
    </w:p>
    <w:p>
      <w:pPr>
        <w:pStyle w:val="BodyText"/>
      </w:pPr>
      <w:r>
        <w:rPr>
          <w:bCs/>
          <w:b/>
        </w:rPr>
        <w:t xml:space="preserve">Regulated-FS note.</w:t>
      </w:r>
      <w:r>
        <w:t xml:space="preserve"> </w:t>
      </w:r>
      <w:r>
        <w:t xml:space="preserve">Refresh third-party due diligence and the DORA register entry after the change of control; confirm which certifications cover the Prisma AIRS-branded service</w:t>
      </w:r>
      <w:r>
        <w:t xml:space="preserve"> </w:t>
      </w:r>
      <w:r>
        <w:rPr>
          <w:rStyle w:val="ClaimLabel"/>
        </w:rPr>
        <w:t xml:space="preserve">Rec</w:t>
      </w:r>
      <w:r>
        <w:t xml:space="preserve">.</w:t>
      </w:r>
    </w:p>
    <w:p>
      <w:pPr>
        <w:pStyle w:val="BodyText"/>
      </w:pPr>
      <w:r>
        <w:rPr>
          <w:bCs/>
          <w:b/>
        </w:rPr>
        <w:t xml:space="preserve">Facts (as of 2026-10-08)</w:t>
      </w:r>
    </w:p>
    <w:tbl>
      <w:tblPr>
        <w:tblStyle w:val="Table"/>
        <w:tblW w:type="pct" w:w="5000"/>
        <w:tblLook w:firstRow="1" w:lastRow="0" w:firstColumn="0" w:lastColumn="0" w:noHBand="0" w:noVBand="0" w:val="0020"/>
        <w:jc w:val="start"/>
      </w:tblPr>
      <w:tblGrid>
        <w:gridCol w:w="1485"/>
        <w:gridCol w:w="4290"/>
        <w:gridCol w:w="1320"/>
        <w:gridCol w:w="825"/>
      </w:tblGrid>
      <w:tr>
        <w:trPr>
          <w:tblHeader w:val="true"/>
        </w:trPr>
        <w:tc>
          <w:tcPr/>
          <w:p>
            <w:pPr>
              <w:pStyle w:val="Compact"/>
              <w:jc w:val="left"/>
            </w:pPr>
            <w:r>
              <w:t xml:space="preserve">Field</w:t>
            </w:r>
          </w:p>
        </w:tc>
        <w:tc>
          <w:tcPr/>
          <w:p>
            <w:pPr>
              <w:pStyle w:val="Compact"/>
              <w:jc w:val="left"/>
            </w:pPr>
            <w:r>
              <w:t xml:space="preserve">Value</w:t>
            </w:r>
          </w:p>
        </w:tc>
        <w:tc>
          <w:tcPr/>
          <w:p>
            <w:pPr>
              <w:pStyle w:val="Compact"/>
              <w:jc w:val="left"/>
            </w:pPr>
            <w:r>
              <w:t xml:space="preserve">Label</w:t>
            </w:r>
          </w:p>
        </w:tc>
        <w:tc>
          <w:tcPr/>
          <w:p>
            <w:pPr>
              <w:pStyle w:val="Compact"/>
              <w:jc w:val="left"/>
            </w:pPr>
            <w:r>
              <w:t xml:space="preserve">Sources</w:t>
            </w:r>
          </w:p>
        </w:tc>
      </w:tr>
      <w:tr>
        <w:tc>
          <w:tcPr/>
          <w:p>
            <w:pPr>
              <w:pStyle w:val="Compact"/>
              <w:jc w:val="left"/>
            </w:pPr>
            <w:r>
              <w:t xml:space="preserve">Company</w:t>
            </w:r>
          </w:p>
        </w:tc>
        <w:tc>
          <w:tcPr/>
          <w:p>
            <w:pPr>
              <w:pStyle w:val="Compact"/>
              <w:jc w:val="left"/>
            </w:pPr>
            <w:r>
              <w:t xml:space="preserve">Palo Alto Networks (acquired Portkey, Inc.; completed 29 May 2026)</w:t>
            </w:r>
          </w:p>
        </w:tc>
        <w:tc>
          <w:tcPr/>
          <w:p>
            <w:pPr>
              <w:pStyle w:val="Compact"/>
              <w:jc w:val="left"/>
            </w:pPr>
            <w:r>
              <w:t xml:space="preserve">Verified fact</w:t>
            </w:r>
          </w:p>
        </w:tc>
        <w:tc>
          <w:tcPr/>
          <w:p>
            <w:pPr>
              <w:pStyle w:val="Compact"/>
              <w:jc w:val="left"/>
            </w:pPr>
            <w:r>
              <w:t xml:space="preserve">A6-S011, A6-S012, V2-S025</w:t>
            </w:r>
          </w:p>
        </w:tc>
      </w:tr>
      <w:tr>
        <w:tc>
          <w:tcPr/>
          <w:p>
            <w:pPr>
              <w:pStyle w:val="Compact"/>
              <w:jc w:val="left"/>
            </w:pPr>
            <w:r>
              <w:t xml:space="preserve">Category</w:t>
            </w:r>
          </w:p>
        </w:tc>
        <w:tc>
          <w:tcPr/>
          <w:p>
            <w:pPr>
              <w:pStyle w:val="Compact"/>
              <w:jc w:val="left"/>
            </w:pPr>
            <w:r>
              <w:t xml:space="preserve">AI gateway (LLM gateway plus MCP gateway) with guardrails, observability and governance</w:t>
            </w:r>
          </w:p>
        </w:tc>
        <w:tc>
          <w:tcPr/>
          <w:p>
            <w:pPr>
              <w:pStyle w:val="Compact"/>
              <w:jc w:val="left"/>
            </w:pPr>
            <w:r>
              <w:t xml:space="preserve">Verified fact</w:t>
            </w:r>
          </w:p>
        </w:tc>
        <w:tc>
          <w:tcPr/>
          <w:p>
            <w:pPr>
              <w:pStyle w:val="Compact"/>
              <w:jc w:val="left"/>
            </w:pPr>
            <w:r>
              <w:t xml:space="preserve">A6-S049, A6-S014</w:t>
            </w:r>
          </w:p>
        </w:tc>
      </w:tr>
      <w:tr>
        <w:tc>
          <w:tcPr/>
          <w:p>
            <w:pPr>
              <w:pStyle w:val="Compact"/>
              <w:jc w:val="left"/>
            </w:pPr>
            <w:r>
              <w:t xml:space="preserve">Version / lineup</w:t>
            </w:r>
          </w:p>
        </w:tc>
        <w:tc>
          <w:tcPr/>
          <w:p>
            <w:pPr>
              <w:pStyle w:val="Compact"/>
              <w:jc w:val="left"/>
            </w:pPr>
            <w:r>
              <w:t xml:space="preserve">Open-source gateway on GitHub with</w:t>
            </w:r>
            <w:r>
              <w:t xml:space="preserve"> </w:t>
            </w:r>
            <w:r>
              <w:t xml:space="preserve">‘</w:t>
            </w:r>
            <w:r>
              <w:t xml:space="preserve">Gateway 2.0 (Pre-Release)</w:t>
            </w:r>
            <w:r>
              <w:t xml:space="preserve">’</w:t>
            </w:r>
            <w:r>
              <w:t xml:space="preserve"> </w:t>
            </w:r>
            <w:r>
              <w:t xml:space="preserve">that merges Portkey’s core enterprise gateway into open source; Prisma AIRS AI Gateway described by PANW as generally available</w:t>
            </w:r>
          </w:p>
        </w:tc>
        <w:tc>
          <w:tcPr/>
          <w:p>
            <w:pPr>
              <w:pStyle w:val="Compact"/>
              <w:jc w:val="left"/>
            </w:pPr>
            <w:r>
              <w:t xml:space="preserve">Verified fact</w:t>
            </w:r>
          </w:p>
        </w:tc>
        <w:tc>
          <w:tcPr/>
          <w:p>
            <w:pPr>
              <w:pStyle w:val="Compact"/>
              <w:jc w:val="left"/>
            </w:pPr>
            <w:r>
              <w:t xml:space="preserve">A6-S049, A6-S011</w:t>
            </w:r>
          </w:p>
        </w:tc>
      </w:tr>
      <w:tr>
        <w:tc>
          <w:tcPr/>
          <w:p>
            <w:pPr>
              <w:pStyle w:val="Compact"/>
              <w:jc w:val="left"/>
            </w:pPr>
            <w:r>
              <w:t xml:space="preserve">Licence</w:t>
            </w:r>
          </w:p>
        </w:tc>
        <w:tc>
          <w:tcPr/>
          <w:p>
            <w:pPr>
              <w:pStyle w:val="Compact"/>
              <w:jc w:val="left"/>
            </w:pPr>
            <w:r>
              <w:t xml:space="preserve">Open core: open-source gateway MIT (Copyright 2024 Portkey, Inc.); hosted and enterprise platform proprietary</w:t>
            </w:r>
          </w:p>
        </w:tc>
        <w:tc>
          <w:tcPr/>
          <w:p>
            <w:pPr>
              <w:pStyle w:val="Compact"/>
              <w:jc w:val="left"/>
            </w:pPr>
            <w:r>
              <w:t xml:space="preserve">Verified fact</w:t>
            </w:r>
          </w:p>
        </w:tc>
        <w:tc>
          <w:tcPr/>
          <w:p>
            <w:pPr>
              <w:pStyle w:val="Compact"/>
              <w:jc w:val="left"/>
            </w:pPr>
            <w:r>
              <w:t xml:space="preserve">A6-S050, A6-S013</w:t>
            </w:r>
          </w:p>
        </w:tc>
      </w:tr>
      <w:tr>
        <w:tc>
          <w:tcPr/>
          <w:p>
            <w:pPr>
              <w:pStyle w:val="Compact"/>
              <w:jc w:val="left"/>
            </w:pPr>
            <w:r>
              <w:t xml:space="preserve">Status events</w:t>
            </w:r>
          </w:p>
        </w:tc>
        <w:tc>
          <w:tcPr/>
          <w:p>
            <w:pPr>
              <w:pStyle w:val="Compact"/>
              <w:jc w:val="left"/>
            </w:pPr>
            <w:r>
              <w:t xml:space="preserve">30 April 2026: Palo Alto Networks announced intent to acquire Portkey; 29 May 2026: acquisition completed; FY2026 Form 10-K reports total purchase consideration of US$117m (10-Q had stated US$140m incl. replacement awards); 2026: product documentation retitled</w:t>
            </w:r>
            <w:r>
              <w:t xml:space="preserve"> </w:t>
            </w:r>
            <w:r>
              <w:t xml:space="preserve">‘</w:t>
            </w:r>
            <w:r>
              <w:t xml:space="preserve">Portkey (Prisma AIRS AI Gateway)</w:t>
            </w:r>
            <w:r>
              <w:t xml:space="preserve">’</w:t>
            </w:r>
          </w:p>
        </w:tc>
        <w:tc>
          <w:tcPr/>
          <w:p>
            <w:pPr>
              <w:pStyle w:val="Compact"/>
              <w:jc w:val="left"/>
            </w:pPr>
            <w:r>
              <w:t xml:space="preserve">Verified fact</w:t>
            </w:r>
          </w:p>
        </w:tc>
        <w:tc>
          <w:tcPr/>
          <w:p>
            <w:pPr>
              <w:pStyle w:val="Compact"/>
              <w:jc w:val="left"/>
            </w:pPr>
            <w:r>
              <w:t xml:space="preserve">A6-S011, A6-S012, A6-S014, V2-S025, V2-S048</w:t>
            </w:r>
          </w:p>
        </w:tc>
      </w:tr>
      <w:tr>
        <w:tc>
          <w:tcPr/>
          <w:p>
            <w:pPr>
              <w:pStyle w:val="Compact"/>
              <w:jc w:val="left"/>
            </w:pPr>
            <w:r>
              <w:t xml:space="preserve">Strategic direction</w:t>
            </w:r>
          </w:p>
        </w:tc>
        <w:tc>
          <w:tcPr/>
          <w:p>
            <w:pPr>
              <w:pStyle w:val="Compact"/>
              <w:jc w:val="left"/>
            </w:pPr>
            <w:r>
              <w:t xml:space="preserve">Becoming the AI gateway inside PANW’s Prisma AIRS platform, inspecting AI traffic at runtime and enforcing security and governance policy for agents; core enterprise gateway being merged into open source with Gateway 2.0</w:t>
            </w:r>
          </w:p>
        </w:tc>
        <w:tc>
          <w:tcPr/>
          <w:p>
            <w:pPr>
              <w:pStyle w:val="Compact"/>
              <w:jc w:val="left"/>
            </w:pPr>
            <w:r>
              <w:t xml:space="preserve">Verified fact</w:t>
            </w:r>
          </w:p>
        </w:tc>
        <w:tc>
          <w:tcPr/>
          <w:p>
            <w:pPr>
              <w:pStyle w:val="Compact"/>
              <w:jc w:val="left"/>
            </w:pPr>
            <w:r>
              <w:t xml:space="preserve">A6-S011, A6-S049</w:t>
            </w:r>
          </w:p>
        </w:tc>
      </w:tr>
      <w:tr>
        <w:tc>
          <w:tcPr/>
          <w:p>
            <w:pPr>
              <w:pStyle w:val="Compact"/>
              <w:jc w:val="left"/>
            </w:pPr>
            <w:r>
              <w:t xml:space="preserve">What it does</w:t>
            </w:r>
          </w:p>
        </w:tc>
        <w:tc>
          <w:tcPr/>
          <w:p>
            <w:pPr>
              <w:pStyle w:val="Compact"/>
              <w:jc w:val="left"/>
            </w:pPr>
            <w:r>
              <w:t xml:space="preserve">Routes requests to 1,600+ models through one API with fallbacks, retries, load balancing, timeouts, caching, budgets/quotas, guardrails and logging; MCP Gateway gives a single auth layer, access control and observability for agent-to-tool connections.</w:t>
            </w:r>
          </w:p>
        </w:tc>
        <w:tc>
          <w:tcPr/>
          <w:p>
            <w:pPr>
              <w:pStyle w:val="Compact"/>
              <w:jc w:val="left"/>
            </w:pPr>
            <w:r>
              <w:t xml:space="preserve">Verified fact</w:t>
            </w:r>
          </w:p>
        </w:tc>
        <w:tc>
          <w:tcPr/>
          <w:p>
            <w:pPr>
              <w:pStyle w:val="Compact"/>
              <w:jc w:val="left"/>
            </w:pPr>
            <w:r>
              <w:t xml:space="preserve">A6-S049, A6-S011, A6-S014</w:t>
            </w:r>
          </w:p>
        </w:tc>
      </w:tr>
      <w:tr>
        <w:tc>
          <w:tcPr/>
          <w:p>
            <w:pPr>
              <w:pStyle w:val="Compact"/>
              <w:jc w:val="left"/>
            </w:pPr>
            <w:r>
              <w:t xml:space="preserve">Stack position</w:t>
            </w:r>
          </w:p>
        </w:tc>
        <w:tc>
          <w:tcPr/>
          <w:p>
            <w:pPr>
              <w:pStyle w:val="Compact"/>
              <w:jc w:val="left"/>
            </w:pPr>
            <w:r>
              <w:t xml:space="preserve">Gateway/control plane in the traffic path between applications or agents and model providers and MCP servers; now also a security enforcement point for PANW</w:t>
            </w:r>
          </w:p>
        </w:tc>
        <w:tc>
          <w:tcPr/>
          <w:p>
            <w:pPr>
              <w:pStyle w:val="Compact"/>
              <w:jc w:val="left"/>
            </w:pPr>
            <w:r>
              <w:t xml:space="preserve">Verified fact</w:t>
            </w:r>
          </w:p>
        </w:tc>
        <w:tc>
          <w:tcPr/>
          <w:p>
            <w:pPr>
              <w:pStyle w:val="Compact"/>
              <w:jc w:val="left"/>
            </w:pPr>
            <w:r>
              <w:t xml:space="preserve">A6-S011</w:t>
            </w:r>
          </w:p>
        </w:tc>
      </w:tr>
      <w:tr>
        <w:tc>
          <w:tcPr/>
          <w:p>
            <w:pPr>
              <w:pStyle w:val="Compact"/>
              <w:jc w:val="left"/>
            </w:pPr>
            <w:r>
              <w:t xml:space="preserve">Integration</w:t>
            </w:r>
          </w:p>
        </w:tc>
        <w:tc>
          <w:tcPr/>
          <w:p>
            <w:pPr>
              <w:pStyle w:val="Compact"/>
              <w:jc w:val="left"/>
            </w:pPr>
            <w:r>
              <w:t xml:space="preserve">OpenAI-compatible API and SDKs; JSON</w:t>
            </w:r>
            <w:r>
              <w:t xml:space="preserve"> </w:t>
            </w:r>
            <w:r>
              <w:t xml:space="preserve">‘</w:t>
            </w:r>
            <w:r>
              <w:t xml:space="preserve">Configs</w:t>
            </w:r>
            <w:r>
              <w:t xml:space="preserve">’</w:t>
            </w:r>
            <w:r>
              <w:t xml:space="preserve"> </w:t>
            </w:r>
            <w:r>
              <w:t xml:space="preserve">for routing rules, retries and input/output guardrails; MCP Gateway</w:t>
            </w:r>
          </w:p>
        </w:tc>
        <w:tc>
          <w:tcPr/>
          <w:p>
            <w:pPr>
              <w:pStyle w:val="Compact"/>
              <w:jc w:val="left"/>
            </w:pPr>
            <w:r>
              <w:t xml:space="preserve">Verified fact</w:t>
            </w:r>
          </w:p>
        </w:tc>
        <w:tc>
          <w:tcPr/>
          <w:p>
            <w:pPr>
              <w:pStyle w:val="Compact"/>
              <w:jc w:val="left"/>
            </w:pPr>
            <w:r>
              <w:t xml:space="preserve">A6-S049</w:t>
            </w:r>
          </w:p>
        </w:tc>
      </w:tr>
      <w:tr>
        <w:tc>
          <w:tcPr/>
          <w:p>
            <w:pPr>
              <w:pStyle w:val="Compact"/>
              <w:jc w:val="left"/>
            </w:pPr>
            <w:r>
              <w:t xml:space="preserve">Dependencies</w:t>
            </w:r>
          </w:p>
        </w:tc>
        <w:tc>
          <w:tcPr/>
          <w:p>
            <w:pPr>
              <w:pStyle w:val="Compact"/>
              <w:jc w:val="left"/>
            </w:pPr>
            <w:r>
              <w:t xml:space="preserve">Open-source gateway runs on Node.js (npx), Docker or Cloudflare Workers</w:t>
            </w:r>
          </w:p>
        </w:tc>
        <w:tc>
          <w:tcPr/>
          <w:p>
            <w:pPr>
              <w:pStyle w:val="Compact"/>
              <w:jc w:val="left"/>
            </w:pPr>
            <w:r>
              <w:t xml:space="preserve">Verified fact</w:t>
            </w:r>
          </w:p>
        </w:tc>
        <w:tc>
          <w:tcPr/>
          <w:p>
            <w:pPr>
              <w:pStyle w:val="Compact"/>
              <w:jc w:val="left"/>
            </w:pPr>
            <w:r>
              <w:t xml:space="preserve">A6-S049</w:t>
            </w:r>
          </w:p>
        </w:tc>
      </w:tr>
      <w:tr>
        <w:tc>
          <w:tcPr/>
          <w:p>
            <w:pPr>
              <w:pStyle w:val="Compact"/>
              <w:jc w:val="left"/>
            </w:pPr>
            <w:r>
              <w:t xml:space="preserve">Certifications</w:t>
            </w:r>
          </w:p>
        </w:tc>
        <w:tc>
          <w:tcPr/>
          <w:p>
            <w:pPr>
              <w:pStyle w:val="Compact"/>
              <w:jc w:val="left"/>
            </w:pPr>
            <w:r>
              <w:t xml:space="preserve">SOC 2 Type 2, ISO 27001, GDPR and HIPAA claimed on Portkey enterprise/pricing pages; tier coverage unclear</w:t>
            </w:r>
          </w:p>
        </w:tc>
        <w:tc>
          <w:tcPr/>
          <w:p>
            <w:pPr>
              <w:pStyle w:val="Compact"/>
              <w:jc w:val="left"/>
            </w:pPr>
            <w:r>
              <w:t xml:space="preserve">Verified fact</w:t>
            </w:r>
          </w:p>
        </w:tc>
        <w:tc>
          <w:tcPr/>
          <w:p>
            <w:pPr>
              <w:pStyle w:val="Compact"/>
              <w:jc w:val="left"/>
            </w:pPr>
            <w:r>
              <w:t xml:space="preserve">A6-S013</w:t>
            </w:r>
          </w:p>
        </w:tc>
      </w:tr>
      <w:tr>
        <w:tc>
          <w:tcPr/>
          <w:p>
            <w:pPr>
              <w:pStyle w:val="Compact"/>
              <w:jc w:val="left"/>
            </w:pPr>
            <w:r>
              <w:t xml:space="preserve">GDPR / residency</w:t>
            </w:r>
          </w:p>
        </w:tc>
        <w:tc>
          <w:tcPr/>
          <w:p>
            <w:pPr>
              <w:pStyle w:val="Compact"/>
              <w:jc w:val="left"/>
            </w:pPr>
            <w:r>
              <w:t xml:space="preserve">GDPR compliance claimed; custom BAAs and data isolation on Enterprise; EU processing region not verified</w:t>
            </w:r>
          </w:p>
        </w:tc>
        <w:tc>
          <w:tcPr/>
          <w:p>
            <w:pPr>
              <w:pStyle w:val="Compact"/>
              <w:jc w:val="left"/>
            </w:pPr>
            <w:r>
              <w:t xml:space="preserve">Verified fact</w:t>
            </w:r>
          </w:p>
        </w:tc>
        <w:tc>
          <w:tcPr/>
          <w:p>
            <w:pPr>
              <w:pStyle w:val="Compact"/>
              <w:jc w:val="left"/>
            </w:pPr>
            <w:r>
              <w:t xml:space="preserve">A6-S013</w:t>
            </w:r>
          </w:p>
        </w:tc>
      </w:tr>
      <w:tr>
        <w:tc>
          <w:tcPr/>
          <w:p>
            <w:pPr>
              <w:pStyle w:val="Compact"/>
              <w:jc w:val="left"/>
            </w:pPr>
            <w:r>
              <w:t xml:space="preserve">Security features</w:t>
            </w:r>
          </w:p>
        </w:tc>
        <w:tc>
          <w:tcPr/>
          <w:p>
            <w:pPr>
              <w:pStyle w:val="Compact"/>
              <w:jc w:val="left"/>
            </w:pPr>
            <w:r>
              <w:t xml:space="preserve">Data isolation and export to customer data lakes (Enterprise); runtime inspection of AI traffic under Prisma AIRS</w:t>
            </w:r>
          </w:p>
        </w:tc>
        <w:tc>
          <w:tcPr/>
          <w:p>
            <w:pPr>
              <w:pStyle w:val="Compact"/>
              <w:jc w:val="left"/>
            </w:pPr>
            <w:r>
              <w:t xml:space="preserve">Verified fact</w:t>
            </w:r>
          </w:p>
        </w:tc>
        <w:tc>
          <w:tcPr/>
          <w:p>
            <w:pPr>
              <w:pStyle w:val="Compact"/>
              <w:jc w:val="left"/>
            </w:pPr>
            <w:r>
              <w:t xml:space="preserve">A6-S013, A6-S011</w:t>
            </w:r>
          </w:p>
        </w:tc>
      </w:tr>
      <w:tr>
        <w:tc>
          <w:tcPr/>
          <w:p>
            <w:pPr>
              <w:pStyle w:val="Compact"/>
              <w:jc w:val="left"/>
            </w:pPr>
            <w:r>
              <w:t xml:space="preserve">Access controls</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Enterprise support</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Pricing</w:t>
            </w:r>
          </w:p>
        </w:tc>
        <w:tc>
          <w:tcPr/>
          <w:p>
            <w:pPr>
              <w:pStyle w:val="Compact"/>
              <w:jc w:val="left"/>
            </w:pPr>
            <w:r>
              <w:t xml:space="preserve">Developer: free (10k recorded logs/month, 3-day retention). Production: US$49/month (100k requests; US$9 per extra 100k up to 3M). Enterprise: custom. Post-acquisition pricing under Prisma AIRS not verified.</w:t>
            </w:r>
          </w:p>
        </w:tc>
        <w:tc>
          <w:tcPr/>
          <w:p>
            <w:pPr>
              <w:pStyle w:val="Compact"/>
              <w:jc w:val="left"/>
            </w:pPr>
            <w:r>
              <w:t xml:space="preserve">Verified fact</w:t>
            </w:r>
          </w:p>
        </w:tc>
        <w:tc>
          <w:tcPr/>
          <w:p>
            <w:pPr>
              <w:pStyle w:val="Compact"/>
              <w:jc w:val="left"/>
            </w:pPr>
            <w:r>
              <w:t xml:space="preserve">A6-S013</w:t>
            </w:r>
          </w:p>
        </w:tc>
      </w:tr>
      <w:tr>
        <w:tc>
          <w:tcPr/>
          <w:p>
            <w:pPr>
              <w:pStyle w:val="Compact"/>
              <w:jc w:val="left"/>
            </w:pPr>
            <w:r>
              <w:t xml:space="preserve">Infrastructure cost</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Ecosystem</w:t>
            </w:r>
          </w:p>
        </w:tc>
        <w:tc>
          <w:tcPr/>
          <w:p>
            <w:pPr>
              <w:pStyle w:val="Compact"/>
              <w:jc w:val="left"/>
            </w:pPr>
            <w:r>
              <w:t xml:space="preserve">1,600+ language, vision, audio and image models; MCP servers; deployable on Cloudflare Workers</w:t>
            </w:r>
          </w:p>
        </w:tc>
        <w:tc>
          <w:tcPr/>
          <w:p>
            <w:pPr>
              <w:pStyle w:val="Compact"/>
              <w:jc w:val="left"/>
            </w:pPr>
            <w:r>
              <w:t xml:space="preserve">Verified fact</w:t>
            </w:r>
          </w:p>
        </w:tc>
        <w:tc>
          <w:tcPr/>
          <w:p>
            <w:pPr>
              <w:pStyle w:val="Compact"/>
              <w:jc w:val="left"/>
            </w:pPr>
            <w:r>
              <w:t xml:space="preserve">A6-S049</w:t>
            </w:r>
          </w:p>
        </w:tc>
      </w:tr>
      <w:tr>
        <w:tc>
          <w:tcPr/>
          <w:p>
            <w:pPr>
              <w:pStyle w:val="Compact"/>
              <w:jc w:val="left"/>
            </w:pPr>
            <w:r>
              <w:t xml:space="preserve">Adoption signals</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Maturity</w:t>
            </w:r>
          </w:p>
        </w:tc>
        <w:tc>
          <w:tcPr/>
          <w:p>
            <w:pPr>
              <w:pStyle w:val="Compact"/>
              <w:jc w:val="left"/>
            </w:pPr>
            <w:r>
              <w:t xml:space="preserve">Prisma AIRS AI Gateway described as generally available; open-source Gateway 2.0 still pre-release</w:t>
            </w:r>
          </w:p>
        </w:tc>
        <w:tc>
          <w:tcPr/>
          <w:p>
            <w:pPr>
              <w:pStyle w:val="Compact"/>
              <w:jc w:val="left"/>
            </w:pPr>
            <w:r>
              <w:t xml:space="preserve">Verified fact</w:t>
            </w:r>
          </w:p>
        </w:tc>
        <w:tc>
          <w:tcPr/>
          <w:p>
            <w:pPr>
              <w:pStyle w:val="Compact"/>
              <w:jc w:val="left"/>
            </w:pPr>
            <w:r>
              <w:t xml:space="preserve">A6-S011, A6-S049</w:t>
            </w:r>
          </w:p>
        </w:tc>
      </w:tr>
      <w:tr>
        <w:tc>
          <w:tcPr/>
          <w:p>
            <w:pPr>
              <w:pStyle w:val="Compact"/>
              <w:jc w:val="left"/>
            </w:pPr>
            <w:r>
              <w:t xml:space="preserve">Deployment</w:t>
            </w:r>
          </w:p>
        </w:tc>
        <w:tc>
          <w:tcPr/>
          <w:p>
            <w:pPr>
              <w:pStyle w:val="Compact"/>
              <w:jc w:val="left"/>
            </w:pPr>
            <w:r>
              <w:t xml:space="preserve">saas: Yes (hosted gateway / managed SaaS); managed_cloud: Not publicly verified; vpc_byoc: Yes (VPC hosting on Enterprise plan); private_cloud: Yes (private cloud deployment on Enterprise plan); self_hosted: Yes (open-source gateway); on_prem: No for fully air-gapped deployment (</w:t>
            </w:r>
            <w:r>
              <w:t xml:space="preserve">‘</w:t>
            </w:r>
            <w:r>
              <w:t xml:space="preserve">No Longer Offered</w:t>
            </w:r>
            <w:r>
              <w:t xml:space="preserve">’</w:t>
            </w:r>
            <w:r>
              <w:t xml:space="preserve"> </w:t>
            </w:r>
            <w:r>
              <w:t xml:space="preserve">in feature comparison)</w:t>
            </w:r>
          </w:p>
        </w:tc>
        <w:tc>
          <w:tcPr/>
          <w:p>
            <w:pPr>
              <w:pStyle w:val="Compact"/>
            </w:pPr>
          </w:p>
        </w:tc>
        <w:tc>
          <w:tcPr/>
          <w:p>
            <w:pPr>
              <w:pStyle w:val="Compact"/>
            </w:pPr>
          </w:p>
        </w:tc>
      </w:tr>
    </w:tbl>
    <w:bookmarkEnd w:id="1824"/>
    <w:bookmarkStart w:id="1842" w:name="agentgateway-c1-agentgateway"/>
    <w:p>
      <w:pPr>
        <w:pStyle w:val="Heading2"/>
      </w:pPr>
      <w:r>
        <w:t xml:space="preserve">agentgateway (</w:t>
      </w:r>
      <w:r>
        <w:rPr>
          <w:rStyle w:val="VerbatimChar"/>
        </w:rPr>
        <w:t xml:space="preserve">C1-agentgateway</w:t>
      </w:r>
      <w:r>
        <w:t xml:space="preserve">)</w:t>
      </w:r>
    </w:p>
    <w:p>
      <w:pPr>
        <w:pStyle w:val="FirstParagraph"/>
      </w:pPr>
      <w:r>
        <w:rPr>
          <w:bCs/>
          <w:b/>
        </w:rPr>
        <w:t xml:space="preserve">Tier:</w:t>
      </w:r>
      <w:r>
        <w:t xml:space="preserve"> </w:t>
      </w:r>
      <w:r>
        <w:t xml:space="preserve">Tactical ·</w:t>
      </w:r>
      <w:r>
        <w:t xml:space="preserve"> </w:t>
      </w:r>
      <w:r>
        <w:rPr>
          <w:bCs/>
          <w:b/>
        </w:rPr>
        <w:t xml:space="preserve">Flags:</w:t>
      </w:r>
      <w:r>
        <w:t xml:space="preserve"> </w:t>
      </w:r>
      <w:r>
        <w:t xml:space="preserve">none ·</w:t>
      </w:r>
      <w:r>
        <w:t xml:space="preserve"> </w:t>
      </w:r>
      <w:r>
        <w:rPr>
          <w:bCs/>
          <w:b/>
        </w:rPr>
        <w:t xml:space="preserve">Original graphic label:</w:t>
      </w:r>
      <w:r>
        <w:t xml:space="preserve"> </w:t>
      </w:r>
      <w:r>
        <w:t xml:space="preserve">not in graphic</w:t>
      </w:r>
    </w:p>
    <w:p>
      <w:pPr>
        <w:pStyle w:val="BodyText"/>
      </w:pPr>
      <w:r>
        <w:rPr>
          <w:iCs/>
          <w:i/>
        </w:rPr>
        <w:t xml:space="preserve">Rationale:</w:t>
      </w:r>
      <w:r>
        <w:t xml:space="preserve"> </w:t>
      </w:r>
      <w:r>
        <w:t xml:space="preserve">Tactical: the most neutral governance in the layer, but young and with unverified hygiene</w:t>
      </w:r>
      <w:r>
        <w:t xml:space="preserve"> </w:t>
      </w:r>
      <w:r>
        <w:rPr>
          <w:rStyle w:val="ClaimLabel"/>
        </w:rPr>
        <w:t xml:space="preserve">AJ</w:t>
      </w:r>
      <w:r>
        <w:t xml:space="preserve">.</w:t>
      </w:r>
    </w:p>
    <w:tbl>
      <w:tblPr>
        <w:tblStyle w:val="Table"/>
        <w:tblW w:type="pct" w:w="5000"/>
        <w:tblLook w:firstRow="1" w:lastRow="0" w:firstColumn="0" w:lastColumn="0" w:noHBand="0" w:noVBand="0" w:val="0020"/>
        <w:jc w:val="start"/>
      </w:tblPr>
      <w:tblGrid>
        <w:gridCol w:w="1545"/>
        <w:gridCol w:w="579"/>
        <w:gridCol w:w="5795"/>
      </w:tblGrid>
      <w:tr>
        <w:trPr>
          <w:tblHeader w:val="true"/>
        </w:trPr>
        <w:tc>
          <w:tcPr/>
          <w:p>
            <w:pPr>
              <w:pStyle w:val="Compact"/>
              <w:jc w:val="left"/>
            </w:pPr>
            <w:r>
              <w:t xml:space="preserve">Criterion</w:t>
            </w:r>
          </w:p>
        </w:tc>
        <w:tc>
          <w:tcPr/>
          <w:p>
            <w:pPr>
              <w:pStyle w:val="Compact"/>
              <w:jc w:val="right"/>
            </w:pPr>
            <w:r>
              <w:t xml:space="preserve">Score</w:t>
            </w:r>
          </w:p>
        </w:tc>
        <w:tc>
          <w:tcPr/>
          <w:p>
            <w:pPr>
              <w:pStyle w:val="Compact"/>
              <w:jc w:val="left"/>
            </w:pPr>
            <w:r>
              <w:t xml:space="preserve">Rationale</w:t>
            </w:r>
          </w:p>
        </w:tc>
      </w:tr>
      <w:tr>
        <w:tc>
          <w:tcPr/>
          <w:p>
            <w:pPr>
              <w:pStyle w:val="Compact"/>
              <w:jc w:val="left"/>
            </w:pPr>
            <w:r>
              <w:t xml:space="preserve">Technical</w:t>
            </w:r>
          </w:p>
        </w:tc>
        <w:tc>
          <w:tcPr/>
          <w:p>
            <w:pPr>
              <w:pStyle w:val="Compact"/>
              <w:jc w:val="right"/>
            </w:pPr>
            <w:r>
              <w:t xml:space="preserve">4</w:t>
            </w:r>
          </w:p>
        </w:tc>
        <w:tc>
          <w:tcPr/>
          <w:p>
            <w:pPr>
              <w:pStyle w:val="Compact"/>
              <w:jc w:val="left"/>
            </w:pPr>
            <w:r>
              <w:t xml:space="preserve">LLM, MCP and A2A gateway with budgets, failover and OAuth</w:t>
            </w:r>
            <w:r>
              <w:t xml:space="preserve"> </w:t>
            </w:r>
            <w:r>
              <w:rPr>
                <w:rStyle w:val="ClaimLabel"/>
              </w:rPr>
              <w:t xml:space="preserve">VF</w:t>
            </w:r>
            <w:r>
              <w:rPr>
                <w:rStyle w:val="FootnoteReference"/>
              </w:rPr>
              <w:footnoteReference w:id="1825"/>
            </w:r>
            <w:r>
              <w:t xml:space="preserve">; caching and guardrail depth not verified</w:t>
            </w:r>
            <w:r>
              <w:t xml:space="preserve"> </w:t>
            </w:r>
            <w:r>
              <w:rPr>
                <w:rStyle w:val="ClaimLabel"/>
              </w:rPr>
              <w:t xml:space="preserve">NPV</w:t>
            </w:r>
          </w:p>
        </w:tc>
      </w:tr>
      <w:tr>
        <w:tc>
          <w:tcPr/>
          <w:p>
            <w:pPr>
              <w:pStyle w:val="Compact"/>
              <w:jc w:val="left"/>
            </w:pPr>
            <w:r>
              <w:t xml:space="preserve">Enterprise readiness</w:t>
            </w:r>
          </w:p>
        </w:tc>
        <w:tc>
          <w:tcPr/>
          <w:p>
            <w:pPr>
              <w:pStyle w:val="Compact"/>
              <w:jc w:val="right"/>
            </w:pPr>
            <w:r>
              <w:t xml:space="preserve">3</w:t>
            </w:r>
          </w:p>
        </w:tc>
        <w:tc>
          <w:tcPr/>
          <w:p>
            <w:pPr>
              <w:pStyle w:val="Compact"/>
              <w:jc w:val="left"/>
            </w:pPr>
            <w:r>
              <w:t xml:space="preserve">Rule 2: OAuth on MCP and a commercial enterprise distribution with audit tooling</w:t>
            </w:r>
            <w:r>
              <w:t xml:space="preserve"> </w:t>
            </w:r>
            <w:r>
              <w:rPr>
                <w:rStyle w:val="ClaimLabel"/>
              </w:rPr>
              <w:t xml:space="preserve">VF</w:t>
            </w:r>
            <w:r>
              <w:rPr>
                <w:rStyle w:val="FootnoteReference"/>
              </w:rPr>
              <w:footnoteReference w:id="1827"/>
            </w:r>
          </w:p>
        </w:tc>
      </w:tr>
      <w:tr>
        <w:tc>
          <w:tcPr/>
          <w:p>
            <w:pPr>
              <w:pStyle w:val="Compact"/>
              <w:jc w:val="left"/>
            </w:pPr>
            <w:r>
              <w:t xml:space="preserve">Security and compliance</w:t>
            </w:r>
          </w:p>
        </w:tc>
        <w:tc>
          <w:tcPr/>
          <w:p>
            <w:pPr>
              <w:pStyle w:val="Compact"/>
              <w:jc w:val="right"/>
            </w:pPr>
            <w:r>
              <w:t xml:space="preserve">2</w:t>
            </w:r>
          </w:p>
        </w:tc>
        <w:tc>
          <w:tcPr/>
          <w:p>
            <w:pPr>
              <w:pStyle w:val="Compact"/>
              <w:jc w:val="left"/>
            </w:pPr>
            <w:r>
              <w:t xml:space="preserve">Rule 2 hygiene (security policy, CVE handling, signed releases) not verified</w:t>
            </w:r>
            <w:r>
              <w:t xml:space="preserve"> </w:t>
            </w:r>
            <w:r>
              <w:rPr>
                <w:rStyle w:val="ClaimLabel"/>
              </w:rPr>
              <w:t xml:space="preserve">NPV</w:t>
            </w:r>
          </w:p>
        </w:tc>
      </w:tr>
      <w:tr>
        <w:tc>
          <w:tcPr/>
          <w:p>
            <w:pPr>
              <w:pStyle w:val="Compact"/>
              <w:jc w:val="left"/>
            </w:pPr>
            <w:r>
              <w:t xml:space="preserve">Deployment flexibility</w:t>
            </w:r>
          </w:p>
        </w:tc>
        <w:tc>
          <w:tcPr/>
          <w:p>
            <w:pPr>
              <w:pStyle w:val="Compact"/>
              <w:jc w:val="right"/>
            </w:pPr>
            <w:r>
              <w:t xml:space="preserve">4</w:t>
            </w:r>
          </w:p>
        </w:tc>
        <w:tc>
          <w:tcPr/>
          <w:p>
            <w:pPr>
              <w:pStyle w:val="Compact"/>
              <w:jc w:val="left"/>
            </w:pPr>
            <w:r>
              <w:t xml:space="preserve">Self-hosted</w:t>
            </w:r>
            <w:r>
              <w:t xml:space="preserve"> </w:t>
            </w:r>
            <w:r>
              <w:rPr>
                <w:rStyle w:val="ClaimLabel"/>
              </w:rPr>
              <w:t xml:space="preserve">VF</w:t>
            </w:r>
            <w:r>
              <w:rPr>
                <w:rStyle w:val="FootnoteReference"/>
              </w:rPr>
              <w:footnoteReference w:id="1829"/>
            </w:r>
            <w:r>
              <w:t xml:space="preserve">; enterprise distribution from Solo</w:t>
            </w:r>
            <w:r>
              <w:t xml:space="preserve"> </w:t>
            </w:r>
            <w:r>
              <w:rPr>
                <w:rStyle w:val="ClaimLabel"/>
              </w:rPr>
              <w:t xml:space="preserve">VF</w:t>
            </w:r>
            <w:r>
              <w:rPr>
                <w:rStyle w:val="FootnoteReference"/>
              </w:rPr>
              <w:footnoteReference w:id="1830"/>
            </w:r>
          </w:p>
        </w:tc>
      </w:tr>
      <w:tr>
        <w:tc>
          <w:tcPr/>
          <w:p>
            <w:pPr>
              <w:pStyle w:val="Compact"/>
              <w:jc w:val="left"/>
            </w:pPr>
            <w:r>
              <w:t xml:space="preserve">Ecosystem</w:t>
            </w:r>
          </w:p>
        </w:tc>
        <w:tc>
          <w:tcPr/>
          <w:p>
            <w:pPr>
              <w:pStyle w:val="Compact"/>
              <w:jc w:val="right"/>
            </w:pPr>
            <w:r>
              <w:t xml:space="preserve">3</w:t>
            </w:r>
          </w:p>
        </w:tc>
        <w:tc>
          <w:tcPr/>
          <w:p>
            <w:pPr>
              <w:pStyle w:val="Compact"/>
              <w:jc w:val="left"/>
            </w:pPr>
            <w:r>
              <w:t xml:space="preserve">OpenAI-compatible, MCP, A2A, OpenAPI; multi-vendor contributors</w:t>
            </w:r>
            <w:r>
              <w:t xml:space="preserve"> </w:t>
            </w:r>
            <w:r>
              <w:rPr>
                <w:rStyle w:val="ClaimLabel"/>
              </w:rPr>
              <w:t xml:space="preserve">VF</w:t>
            </w:r>
            <w:r>
              <w:rPr>
                <w:rStyle w:val="FootnoteReference"/>
              </w:rPr>
              <w:footnoteReference w:id="1831"/>
            </w:r>
          </w:p>
        </w:tc>
      </w:tr>
      <w:tr>
        <w:tc>
          <w:tcPr/>
          <w:p>
            <w:pPr>
              <w:pStyle w:val="Compact"/>
              <w:jc w:val="left"/>
            </w:pPr>
            <w:r>
              <w:t xml:space="preserve">Reliability and maturity</w:t>
            </w:r>
          </w:p>
        </w:tc>
        <w:tc>
          <w:tcPr/>
          <w:p>
            <w:pPr>
              <w:pStyle w:val="Compact"/>
              <w:jc w:val="right"/>
            </w:pPr>
            <w:r>
              <w:t xml:space="preserve">3</w:t>
            </w:r>
          </w:p>
        </w:tc>
        <w:tc>
          <w:tcPr/>
          <w:p>
            <w:pPr>
              <w:pStyle w:val="Compact"/>
              <w:jc w:val="left"/>
            </w:pPr>
            <w:r>
              <w:t xml:space="preserve">1.x line, v1.6.0 on 2 October 2026; foundation-hosted since August 2025</w:t>
            </w:r>
            <w:r>
              <w:t xml:space="preserve"> </w:t>
            </w:r>
            <w:r>
              <w:rPr>
                <w:rStyle w:val="ClaimLabel"/>
              </w:rPr>
              <w:t xml:space="preserve">VF</w:t>
            </w:r>
            <w:r>
              <w:rPr>
                <w:rStyle w:val="FootnoteReference"/>
              </w:rPr>
              <w:footnoteReference w:id="1833"/>
            </w:r>
          </w:p>
        </w:tc>
      </w:tr>
      <w:tr>
        <w:tc>
          <w:tcPr/>
          <w:p>
            <w:pPr>
              <w:pStyle w:val="Compact"/>
              <w:jc w:val="left"/>
            </w:pPr>
            <w:r>
              <w:t xml:space="preserve">Cost / TCO</w:t>
            </w:r>
          </w:p>
        </w:tc>
        <w:tc>
          <w:tcPr/>
          <w:p>
            <w:pPr>
              <w:pStyle w:val="Compact"/>
              <w:jc w:val="right"/>
            </w:pPr>
            <w:r>
              <w:t xml:space="preserve">4</w:t>
            </w:r>
          </w:p>
        </w:tc>
        <w:tc>
          <w:tcPr/>
          <w:p>
            <w:pPr>
              <w:pStyle w:val="Compact"/>
              <w:jc w:val="left"/>
            </w:pPr>
            <w:r>
              <w:t xml:space="preserve">Free open source; operations cost is your own</w:t>
            </w:r>
            <w:r>
              <w:t xml:space="preserve"> </w:t>
            </w:r>
            <w:r>
              <w:rPr>
                <w:rStyle w:val="ClaimLabel"/>
              </w:rPr>
              <w:t xml:space="preserve">VF</w:t>
            </w:r>
            <w:r>
              <w:rPr>
                <w:rStyle w:val="FootnoteReference"/>
              </w:rPr>
              <w:footnoteReference w:id="1835"/>
            </w:r>
          </w:p>
        </w:tc>
      </w:tr>
      <w:tr>
        <w:tc>
          <w:tcPr/>
          <w:p>
            <w:pPr>
              <w:pStyle w:val="Compact"/>
              <w:jc w:val="left"/>
            </w:pPr>
            <w:r>
              <w:t xml:space="preserve">Lock-in / portability</w:t>
            </w:r>
          </w:p>
        </w:tc>
        <w:tc>
          <w:tcPr/>
          <w:p>
            <w:pPr>
              <w:pStyle w:val="Compact"/>
              <w:jc w:val="right"/>
            </w:pPr>
            <w:r>
              <w:t xml:space="preserve">5</w:t>
            </w:r>
          </w:p>
        </w:tc>
        <w:tc>
          <w:tcPr/>
          <w:p>
            <w:pPr>
              <w:pStyle w:val="Compact"/>
              <w:jc w:val="left"/>
            </w:pPr>
            <w:r>
              <w:t xml:space="preserve">Apache-2.0 with neutral governance</w:t>
            </w:r>
            <w:r>
              <w:t xml:space="preserve"> </w:t>
            </w:r>
            <w:r>
              <w:rPr>
                <w:rStyle w:val="ClaimLabel"/>
              </w:rPr>
              <w:t xml:space="preserve">VF</w:t>
            </w:r>
            <w:r>
              <w:rPr>
                <w:rStyle w:val="FootnoteReference"/>
              </w:rPr>
              <w:footnoteReference w:id="1836"/>
            </w:r>
          </w:p>
        </w:tc>
      </w:tr>
      <w:tr>
        <w:tc>
          <w:tcPr/>
          <w:p>
            <w:pPr>
              <w:pStyle w:val="Compact"/>
              <w:jc w:val="left"/>
            </w:pPr>
            <w:r>
              <w:rPr>
                <w:bCs/>
                <w:b/>
              </w:rPr>
              <w:t xml:space="preserve">Total (generic / FS)</w:t>
            </w:r>
          </w:p>
        </w:tc>
        <w:tc>
          <w:tcPr/>
          <w:p>
            <w:pPr>
              <w:pStyle w:val="Compact"/>
              <w:jc w:val="right"/>
            </w:pPr>
            <w:r>
              <w:rPr>
                <w:bCs/>
                <w:b/>
              </w:rPr>
              <w:t xml:space="preserve">3.40 / 3.45</w:t>
            </w:r>
          </w:p>
        </w:tc>
        <w:tc>
          <w:tcPr/>
          <w:p>
            <w:pPr>
              <w:pStyle w:val="Compact"/>
            </w:pPr>
          </w:p>
        </w:tc>
      </w:tr>
    </w:tbl>
    <w:p>
      <w:pPr>
        <w:pStyle w:val="BodyText"/>
      </w:pPr>
      <w:r>
        <w:rPr>
          <w:iCs/>
          <w:i/>
        </w:rPr>
        <w:t xml:space="preserve">Evidence rules applied:</w:t>
      </w:r>
      <w:r>
        <w:t xml:space="preserve"> </w:t>
      </w:r>
      <w:r>
        <w:t xml:space="preserve">Rule 2 basis: self-hosted open-source software; NPV cap not applied; commercial support exists (B-C1-S010)</w:t>
      </w:r>
    </w:p>
    <w:p>
      <w:pPr>
        <w:pStyle w:val="BodyText"/>
      </w:pPr>
      <w:r>
        <w:rPr>
          <w:bCs/>
          <w:b/>
        </w:rPr>
        <w:t xml:space="preserve">Capabilities.</w:t>
      </w:r>
      <w:r>
        <w:t xml:space="preserve"> </w:t>
      </w:r>
      <w:r>
        <w:t xml:space="preserve">Open-source proxy for agent-to-LLM, agent-to-tool and agent-to-agent traffic: OpenAI-compatible routing with budget and spend controls, load balancing and failover, MCP federation with OAuth, and an A2A gateway</w:t>
      </w:r>
      <w:r>
        <w:t xml:space="preserve"> </w:t>
      </w:r>
      <w:r>
        <w:rPr>
          <w:rStyle w:val="ClaimLabel"/>
        </w:rPr>
        <w:t xml:space="preserve">VF</w:t>
      </w:r>
      <w:r>
        <w:rPr>
          <w:rStyle w:val="FootnoteReference"/>
        </w:rPr>
        <w:footnoteReference w:id="1837"/>
      </w:r>
      <w:r>
        <w:t xml:space="preserve">.</w:t>
      </w:r>
    </w:p>
    <w:p>
      <w:pPr>
        <w:pStyle w:val="BodyText"/>
      </w:pPr>
      <w:r>
        <w:rPr>
          <w:bCs/>
          <w:b/>
        </w:rPr>
        <w:t xml:space="preserve">Strengths</w:t>
      </w:r>
    </w:p>
    <w:p>
      <w:pPr>
        <w:numPr>
          <w:ilvl w:val="0"/>
          <w:numId w:val="1381"/>
        </w:numPr>
        <w:pStyle w:val="Compact"/>
      </w:pPr>
      <w:r>
        <w:t xml:space="preserve">Apache-2.0 under vendor-neutral foundation governance</w:t>
      </w:r>
      <w:r>
        <w:t xml:space="preserve"> </w:t>
      </w:r>
      <w:r>
        <w:rPr>
          <w:rStyle w:val="ClaimLabel"/>
        </w:rPr>
        <w:t xml:space="preserve">VF</w:t>
      </w:r>
      <w:r>
        <w:rPr>
          <w:rStyle w:val="FootnoteReference"/>
        </w:rPr>
        <w:footnoteReference w:id="1838"/>
      </w:r>
    </w:p>
    <w:p>
      <w:pPr>
        <w:numPr>
          <w:ilvl w:val="0"/>
          <w:numId w:val="1381"/>
        </w:numPr>
        <w:pStyle w:val="Compact"/>
      </w:pPr>
      <w:r>
        <w:t xml:space="preserve">Covers LLM, MCP and A2A in one data plane</w:t>
      </w:r>
      <w:r>
        <w:t xml:space="preserve"> </w:t>
      </w:r>
      <w:r>
        <w:rPr>
          <w:rStyle w:val="ClaimLabel"/>
        </w:rPr>
        <w:t xml:space="preserve">VF</w:t>
      </w:r>
      <w:r>
        <w:rPr>
          <w:rStyle w:val="FootnoteReference"/>
        </w:rPr>
        <w:footnoteReference w:id="1839"/>
      </w:r>
    </w:p>
    <w:p>
      <w:pPr>
        <w:numPr>
          <w:ilvl w:val="0"/>
          <w:numId w:val="1381"/>
        </w:numPr>
        <w:pStyle w:val="Compact"/>
      </w:pPr>
      <w:r>
        <w:t xml:space="preserve">Commercial distribution and support exist (Solo Enterprise for agentgateway)</w:t>
      </w:r>
      <w:r>
        <w:t xml:space="preserve"> </w:t>
      </w:r>
      <w:r>
        <w:rPr>
          <w:rStyle w:val="ClaimLabel"/>
        </w:rPr>
        <w:t xml:space="preserve">VF</w:t>
      </w:r>
      <w:r>
        <w:rPr>
          <w:rStyle w:val="FootnoteReference"/>
        </w:rPr>
        <w:footnoteReference w:id="1840"/>
      </w:r>
    </w:p>
    <w:p>
      <w:pPr>
        <w:pStyle w:val="FirstParagraph"/>
      </w:pPr>
      <w:r>
        <w:rPr>
          <w:bCs/>
          <w:b/>
        </w:rPr>
        <w:t xml:space="preserve">Limitations and risks</w:t>
      </w:r>
    </w:p>
    <w:p>
      <w:pPr>
        <w:numPr>
          <w:ilvl w:val="0"/>
          <w:numId w:val="1382"/>
        </w:numPr>
        <w:pStyle w:val="Compact"/>
      </w:pPr>
      <w:r>
        <w:t xml:space="preserve">Security hygiene (policy, signed releases) and access-control detail not verified</w:t>
      </w:r>
      <w:r>
        <w:t xml:space="preserve"> </w:t>
      </w:r>
      <w:r>
        <w:rPr>
          <w:rStyle w:val="ClaimLabel"/>
        </w:rPr>
        <w:t xml:space="preserve">NPV</w:t>
      </w:r>
    </w:p>
    <w:p>
      <w:pPr>
        <w:numPr>
          <w:ilvl w:val="0"/>
          <w:numId w:val="1382"/>
        </w:numPr>
        <w:pStyle w:val="Compact"/>
      </w:pPr>
      <w:r>
        <w:t xml:space="preserve">Current foundation home reported differently (Linux Foundation vs Agentic AI Foundation)</w:t>
      </w:r>
      <w:r>
        <w:t xml:space="preserve"> </w:t>
      </w:r>
      <w:r>
        <w:rPr>
          <w:rStyle w:val="ClaimLabel"/>
        </w:rPr>
        <w:t xml:space="preserve">VF</w:t>
      </w:r>
      <w:r>
        <w:rPr>
          <w:rStyle w:val="FootnoteReference"/>
        </w:rPr>
        <w:footnoteReference w:id="1841"/>
      </w:r>
    </w:p>
    <w:p>
      <w:pPr>
        <w:numPr>
          <w:ilvl w:val="0"/>
          <w:numId w:val="1382"/>
        </w:numPr>
        <w:pStyle w:val="Compact"/>
      </w:pPr>
      <w:r>
        <w:t xml:space="preserve">Adoption not verified</w:t>
      </w:r>
      <w:r>
        <w:t xml:space="preserve"> </w:t>
      </w:r>
      <w:r>
        <w:rPr>
          <w:rStyle w:val="ClaimLabel"/>
        </w:rPr>
        <w:t xml:space="preserve">NPV</w:t>
      </w:r>
    </w:p>
    <w:p>
      <w:pPr>
        <w:pStyle w:val="FirstParagraph"/>
      </w:pPr>
      <w:r>
        <w:rPr>
          <w:bCs/>
          <w:b/>
        </w:rPr>
        <w:t xml:space="preserve">Choose when</w:t>
      </w:r>
    </w:p>
    <w:p>
      <w:pPr>
        <w:numPr>
          <w:ilvl w:val="0"/>
          <w:numId w:val="1383"/>
        </w:numPr>
        <w:pStyle w:val="Compact"/>
      </w:pPr>
      <w:r>
        <w:t xml:space="preserve">You want a neutral, open-source gateway for MCP and A2A traffic in Kubernetes estates</w:t>
      </w:r>
      <w:r>
        <w:t xml:space="preserve"> </w:t>
      </w:r>
      <w:r>
        <w:rPr>
          <w:rStyle w:val="ClaimLabel"/>
        </w:rPr>
        <w:t xml:space="preserve">AJ</w:t>
      </w:r>
    </w:p>
    <w:p>
      <w:pPr>
        <w:pStyle w:val="FirstParagraph"/>
      </w:pPr>
      <w:r>
        <w:rPr>
          <w:bCs/>
          <w:b/>
        </w:rPr>
        <w:t xml:space="preserve">Avoid when</w:t>
      </w:r>
    </w:p>
    <w:p>
      <w:pPr>
        <w:numPr>
          <w:ilvl w:val="0"/>
          <w:numId w:val="1384"/>
        </w:numPr>
        <w:pStyle w:val="Compact"/>
      </w:pPr>
      <w:r>
        <w:t xml:space="preserve">You need certified SaaS or turnkey cost attribution today</w:t>
      </w:r>
      <w:r>
        <w:t xml:space="preserve"> </w:t>
      </w:r>
      <w:r>
        <w:rPr>
          <w:rStyle w:val="ClaimLabel"/>
        </w:rPr>
        <w:t xml:space="preserve">AJ</w:t>
      </w:r>
    </w:p>
    <w:p>
      <w:pPr>
        <w:pStyle w:val="FirstParagraph"/>
      </w:pPr>
      <w:r>
        <w:rPr>
          <w:bCs/>
          <w:b/>
        </w:rPr>
        <w:t xml:space="preserve">Nearest competitors:</w:t>
      </w:r>
      <w:r>
        <w:t xml:space="preserve"> </w:t>
      </w:r>
      <w:r>
        <w:t xml:space="preserve">C1-litellm, C1-envoy-ai-gateway, C1-kong-ai-gateway</w:t>
      </w:r>
    </w:p>
    <w:p>
      <w:pPr>
        <w:pStyle w:val="BodyText"/>
      </w:pPr>
      <w:r>
        <w:rPr>
          <w:bCs/>
          <w:b/>
        </w:rPr>
        <w:t xml:space="preserve">Regulated-FS note.</w:t>
      </w:r>
      <w:r>
        <w:t xml:space="preserve"> </w:t>
      </w:r>
      <w:r>
        <w:t xml:space="preserve">Pilot for MCP and A2A traffic with the enterprise distribution, and verify its release-signing and CVE process before production</w:t>
      </w:r>
      <w:r>
        <w:t xml:space="preserve"> </w:t>
      </w:r>
      <w:r>
        <w:rPr>
          <w:rStyle w:val="ClaimLabel"/>
        </w:rPr>
        <w:t xml:space="preserve">Rec</w:t>
      </w:r>
      <w:r>
        <w:t xml:space="preserve">.</w:t>
      </w:r>
    </w:p>
    <w:p>
      <w:pPr>
        <w:pStyle w:val="BodyText"/>
      </w:pPr>
      <w:r>
        <w:rPr>
          <w:bCs/>
          <w:b/>
        </w:rPr>
        <w:t xml:space="preserve">Facts (as of 2026-10-08)</w:t>
      </w:r>
    </w:p>
    <w:tbl>
      <w:tblPr>
        <w:tblStyle w:val="Table"/>
        <w:tblW w:type="pct" w:w="5000"/>
        <w:tblLook w:firstRow="1" w:lastRow="0" w:firstColumn="0" w:lastColumn="0" w:noHBand="0" w:noVBand="0" w:val="0020"/>
        <w:jc w:val="start"/>
      </w:tblPr>
      <w:tblGrid>
        <w:gridCol w:w="1485"/>
        <w:gridCol w:w="4290"/>
        <w:gridCol w:w="1320"/>
        <w:gridCol w:w="825"/>
      </w:tblGrid>
      <w:tr>
        <w:trPr>
          <w:tblHeader w:val="true"/>
        </w:trPr>
        <w:tc>
          <w:tcPr/>
          <w:p>
            <w:pPr>
              <w:pStyle w:val="Compact"/>
              <w:jc w:val="left"/>
            </w:pPr>
            <w:r>
              <w:t xml:space="preserve">Field</w:t>
            </w:r>
          </w:p>
        </w:tc>
        <w:tc>
          <w:tcPr/>
          <w:p>
            <w:pPr>
              <w:pStyle w:val="Compact"/>
              <w:jc w:val="left"/>
            </w:pPr>
            <w:r>
              <w:t xml:space="preserve">Value</w:t>
            </w:r>
          </w:p>
        </w:tc>
        <w:tc>
          <w:tcPr/>
          <w:p>
            <w:pPr>
              <w:pStyle w:val="Compact"/>
              <w:jc w:val="left"/>
            </w:pPr>
            <w:r>
              <w:t xml:space="preserve">Label</w:t>
            </w:r>
          </w:p>
        </w:tc>
        <w:tc>
          <w:tcPr/>
          <w:p>
            <w:pPr>
              <w:pStyle w:val="Compact"/>
              <w:jc w:val="left"/>
            </w:pPr>
            <w:r>
              <w:t xml:space="preserve">Sources</w:t>
            </w:r>
          </w:p>
        </w:tc>
      </w:tr>
      <w:tr>
        <w:tc>
          <w:tcPr/>
          <w:p>
            <w:pPr>
              <w:pStyle w:val="Compact"/>
              <w:jc w:val="left"/>
            </w:pPr>
            <w:r>
              <w:t xml:space="preserve">Company</w:t>
            </w:r>
          </w:p>
        </w:tc>
        <w:tc>
          <w:tcPr/>
          <w:p>
            <w:pPr>
              <w:pStyle w:val="Compact"/>
              <w:jc w:val="left"/>
            </w:pPr>
            <w:r>
              <w:t xml:space="preserve">agentgateway project, a Linux Foundation project</w:t>
            </w:r>
          </w:p>
        </w:tc>
        <w:tc>
          <w:tcPr/>
          <w:p>
            <w:pPr>
              <w:pStyle w:val="Compact"/>
              <w:jc w:val="left"/>
            </w:pPr>
            <w:r>
              <w:t xml:space="preserve">Verified fact</w:t>
            </w:r>
          </w:p>
        </w:tc>
        <w:tc>
          <w:tcPr/>
          <w:p>
            <w:pPr>
              <w:pStyle w:val="Compact"/>
              <w:jc w:val="left"/>
            </w:pPr>
            <w:r>
              <w:t xml:space="preserve">A6-S061</w:t>
            </w:r>
          </w:p>
        </w:tc>
      </w:tr>
      <w:tr>
        <w:tc>
          <w:tcPr/>
          <w:p>
            <w:pPr>
              <w:pStyle w:val="Compact"/>
              <w:jc w:val="left"/>
            </w:pPr>
            <w:r>
              <w:t xml:space="preserve">Category</w:t>
            </w:r>
          </w:p>
        </w:tc>
        <w:tc>
          <w:tcPr/>
          <w:p>
            <w:pPr>
              <w:pStyle w:val="Compact"/>
              <w:jc w:val="left"/>
            </w:pPr>
            <w:r>
              <w:t xml:space="preserve">Open-source AI-native proxy: LLM gateway, MCP gateway and A2A gateway</w:t>
            </w:r>
          </w:p>
        </w:tc>
        <w:tc>
          <w:tcPr/>
          <w:p>
            <w:pPr>
              <w:pStyle w:val="Compact"/>
              <w:jc w:val="left"/>
            </w:pPr>
            <w:r>
              <w:t xml:space="preserve">Verified fact</w:t>
            </w:r>
          </w:p>
        </w:tc>
        <w:tc>
          <w:tcPr/>
          <w:p>
            <w:pPr>
              <w:pStyle w:val="Compact"/>
              <w:jc w:val="left"/>
            </w:pPr>
            <w:r>
              <w:t xml:space="preserve">A6-S061</w:t>
            </w:r>
          </w:p>
        </w:tc>
      </w:tr>
      <w:tr>
        <w:tc>
          <w:tcPr/>
          <w:p>
            <w:pPr>
              <w:pStyle w:val="Compact"/>
              <w:jc w:val="left"/>
            </w:pPr>
            <w:r>
              <w:t xml:space="preserve">Version / lineup</w:t>
            </w:r>
          </w:p>
        </w:tc>
        <w:tc>
          <w:tcPr/>
          <w:p>
            <w:pPr>
              <w:pStyle w:val="Compact"/>
              <w:jc w:val="left"/>
            </w:pPr>
            <w:r>
              <w:t xml:space="preserve">v1.6.0 (2 October 2026)</w:t>
            </w:r>
          </w:p>
        </w:tc>
        <w:tc>
          <w:tcPr/>
          <w:p>
            <w:pPr>
              <w:pStyle w:val="Compact"/>
              <w:jc w:val="left"/>
            </w:pPr>
            <w:r>
              <w:t xml:space="preserve">Verified fact</w:t>
            </w:r>
          </w:p>
        </w:tc>
        <w:tc>
          <w:tcPr/>
          <w:p>
            <w:pPr>
              <w:pStyle w:val="Compact"/>
              <w:jc w:val="left"/>
            </w:pPr>
            <w:r>
              <w:t xml:space="preserve">A6-S062, V2-S061</w:t>
            </w:r>
          </w:p>
        </w:tc>
      </w:tr>
      <w:tr>
        <w:tc>
          <w:tcPr/>
          <w:p>
            <w:pPr>
              <w:pStyle w:val="Compact"/>
              <w:jc w:val="left"/>
            </w:pPr>
            <w:r>
              <w:t xml:space="preserve">Licence</w:t>
            </w:r>
          </w:p>
        </w:tc>
        <w:tc>
          <w:tcPr/>
          <w:p>
            <w:pPr>
              <w:pStyle w:val="Compact"/>
              <w:jc w:val="left"/>
            </w:pPr>
            <w:r>
              <w:t xml:space="preserve">Open source (Apache-2.0)</w:t>
            </w:r>
          </w:p>
        </w:tc>
        <w:tc>
          <w:tcPr/>
          <w:p>
            <w:pPr>
              <w:pStyle w:val="Compact"/>
              <w:jc w:val="left"/>
            </w:pPr>
            <w:r>
              <w:t xml:space="preserve">Verified fact</w:t>
            </w:r>
          </w:p>
        </w:tc>
        <w:tc>
          <w:tcPr/>
          <w:p>
            <w:pPr>
              <w:pStyle w:val="Compact"/>
              <w:jc w:val="left"/>
            </w:pPr>
            <w:r>
              <w:t xml:space="preserve">A6-S061</w:t>
            </w:r>
          </w:p>
        </w:tc>
      </w:tr>
      <w:tr>
        <w:tc>
          <w:tcPr/>
          <w:p>
            <w:pPr>
              <w:pStyle w:val="Compact"/>
              <w:jc w:val="left"/>
            </w:pPr>
            <w:r>
              <w:t xml:space="preserve">Strategic direction</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What it does</w:t>
            </w:r>
          </w:p>
        </w:tc>
        <w:tc>
          <w:tcPr/>
          <w:p>
            <w:pPr>
              <w:pStyle w:val="Compact"/>
              <w:jc w:val="left"/>
            </w:pPr>
            <w:r>
              <w:t xml:space="preserve">Proxy providing security, observability and governance for agent-to-LLM, agent-to-tool and agent-to-agent traffic: OpenAI-compatible LLM routing with budget and spend controls, load balancing and failover; MCP tool federation over stdio/HTTP/SSE/Streamable HTTP with OAuth; A2A gateway.</w:t>
            </w:r>
          </w:p>
        </w:tc>
        <w:tc>
          <w:tcPr/>
          <w:p>
            <w:pPr>
              <w:pStyle w:val="Compact"/>
              <w:jc w:val="left"/>
            </w:pPr>
            <w:r>
              <w:t xml:space="preserve">Verified fact</w:t>
            </w:r>
          </w:p>
        </w:tc>
        <w:tc>
          <w:tcPr/>
          <w:p>
            <w:pPr>
              <w:pStyle w:val="Compact"/>
              <w:jc w:val="left"/>
            </w:pPr>
            <w:r>
              <w:t xml:space="preserve">A6-S061</w:t>
            </w:r>
          </w:p>
        </w:tc>
      </w:tr>
      <w:tr>
        <w:tc>
          <w:tcPr/>
          <w:p>
            <w:pPr>
              <w:pStyle w:val="Compact"/>
              <w:jc w:val="left"/>
            </w:pPr>
            <w:r>
              <w:t xml:space="preserve">Stack position</w:t>
            </w:r>
          </w:p>
        </w:tc>
        <w:tc>
          <w:tcPr/>
          <w:p>
            <w:pPr>
              <w:pStyle w:val="Compact"/>
              <w:jc w:val="left"/>
            </w:pPr>
            <w:r>
              <w:t xml:space="preserve">Gateway/control plane spanning model, tool and agent traffic</w:t>
            </w:r>
          </w:p>
        </w:tc>
        <w:tc>
          <w:tcPr/>
          <w:p>
            <w:pPr>
              <w:pStyle w:val="Compact"/>
              <w:jc w:val="left"/>
            </w:pPr>
            <w:r>
              <w:t xml:space="preserve">Verified fact</w:t>
            </w:r>
          </w:p>
        </w:tc>
        <w:tc>
          <w:tcPr/>
          <w:p>
            <w:pPr>
              <w:pStyle w:val="Compact"/>
              <w:jc w:val="left"/>
            </w:pPr>
            <w:r>
              <w:t xml:space="preserve">A6-S061</w:t>
            </w:r>
          </w:p>
        </w:tc>
      </w:tr>
      <w:tr>
        <w:tc>
          <w:tcPr/>
          <w:p>
            <w:pPr>
              <w:pStyle w:val="Compact"/>
              <w:jc w:val="left"/>
            </w:pPr>
            <w:r>
              <w:t xml:space="preserve">Integration</w:t>
            </w:r>
          </w:p>
        </w:tc>
        <w:tc>
          <w:tcPr/>
          <w:p>
            <w:pPr>
              <w:pStyle w:val="Compact"/>
              <w:jc w:val="left"/>
            </w:pPr>
            <w:r>
              <w:t xml:space="preserve">OpenAI-compatible API, MCP, A2A, OpenAPI integration</w:t>
            </w:r>
          </w:p>
        </w:tc>
        <w:tc>
          <w:tcPr/>
          <w:p>
            <w:pPr>
              <w:pStyle w:val="Compact"/>
              <w:jc w:val="left"/>
            </w:pPr>
            <w:r>
              <w:t xml:space="preserve">Verified fact</w:t>
            </w:r>
          </w:p>
        </w:tc>
        <w:tc>
          <w:tcPr/>
          <w:p>
            <w:pPr>
              <w:pStyle w:val="Compact"/>
              <w:jc w:val="left"/>
            </w:pPr>
            <w:r>
              <w:t xml:space="preserve">A6-S061</w:t>
            </w:r>
          </w:p>
        </w:tc>
      </w:tr>
      <w:tr>
        <w:tc>
          <w:tcPr/>
          <w:p>
            <w:pPr>
              <w:pStyle w:val="Compact"/>
              <w:jc w:val="left"/>
            </w:pPr>
            <w:r>
              <w:t xml:space="preserve">Dependencies</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Certifications</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GDPR / residency</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Security features</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Access controls</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Enterprise support</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Pricing</w:t>
            </w:r>
          </w:p>
        </w:tc>
        <w:tc>
          <w:tcPr/>
          <w:p>
            <w:pPr>
              <w:pStyle w:val="Compact"/>
              <w:jc w:val="left"/>
            </w:pPr>
            <w:r>
              <w:t xml:space="preserve">Free open source</w:t>
            </w:r>
          </w:p>
        </w:tc>
        <w:tc>
          <w:tcPr/>
          <w:p>
            <w:pPr>
              <w:pStyle w:val="Compact"/>
              <w:jc w:val="left"/>
            </w:pPr>
            <w:r>
              <w:t xml:space="preserve">Verified fact</w:t>
            </w:r>
          </w:p>
        </w:tc>
        <w:tc>
          <w:tcPr/>
          <w:p>
            <w:pPr>
              <w:pStyle w:val="Compact"/>
              <w:jc w:val="left"/>
            </w:pPr>
            <w:r>
              <w:t xml:space="preserve">A6-S061</w:t>
            </w:r>
          </w:p>
        </w:tc>
      </w:tr>
      <w:tr>
        <w:tc>
          <w:tcPr/>
          <w:p>
            <w:pPr>
              <w:pStyle w:val="Compact"/>
              <w:jc w:val="left"/>
            </w:pPr>
            <w:r>
              <w:t xml:space="preserve">Infrastructure cost</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Ecosystem</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Adoption signals</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Maturity</w:t>
            </w:r>
          </w:p>
        </w:tc>
        <w:tc>
          <w:tcPr/>
          <w:p>
            <w:pPr>
              <w:pStyle w:val="Compact"/>
              <w:jc w:val="left"/>
            </w:pPr>
            <w:r>
              <w:t xml:space="preserve">1.x release line; latest v1.6.0 on 2 October 2026</w:t>
            </w:r>
          </w:p>
        </w:tc>
        <w:tc>
          <w:tcPr/>
          <w:p>
            <w:pPr>
              <w:pStyle w:val="Compact"/>
              <w:jc w:val="left"/>
            </w:pPr>
            <w:r>
              <w:t xml:space="preserve">Verified fact</w:t>
            </w:r>
          </w:p>
        </w:tc>
        <w:tc>
          <w:tcPr/>
          <w:p>
            <w:pPr>
              <w:pStyle w:val="Compact"/>
              <w:jc w:val="left"/>
            </w:pPr>
            <w:r>
              <w:t xml:space="preserve">A6-S062</w:t>
            </w:r>
          </w:p>
        </w:tc>
      </w:tr>
      <w:tr>
        <w:tc>
          <w:tcPr/>
          <w:p>
            <w:pPr>
              <w:pStyle w:val="Compact"/>
              <w:jc w:val="left"/>
            </w:pPr>
            <w:r>
              <w:t xml:space="preserve">Deployment</w:t>
            </w:r>
          </w:p>
        </w:tc>
        <w:tc>
          <w:tcPr/>
          <w:p>
            <w:pPr>
              <w:pStyle w:val="Compact"/>
              <w:jc w:val="left"/>
            </w:pPr>
            <w:r>
              <w:t xml:space="preserve">saas: Not publicly verified; managed_cloud: Not publicly verified; vpc_byoc: Not publicly verified; private_cloud: Not publicly verified; self_hosted: Yes; on_prem: Not publicly verified</w:t>
            </w:r>
          </w:p>
        </w:tc>
        <w:tc>
          <w:tcPr/>
          <w:p>
            <w:pPr>
              <w:pStyle w:val="Compact"/>
            </w:pPr>
          </w:p>
        </w:tc>
        <w:tc>
          <w:tcPr/>
          <w:p>
            <w:pPr>
              <w:pStyle w:val="Compact"/>
            </w:pPr>
          </w:p>
        </w:tc>
      </w:tr>
    </w:tbl>
    <w:bookmarkEnd w:id="1842"/>
    <w:bookmarkStart w:id="1863" w:name="Xc5478df9fcdfaf604b7c7f159249ef13c6b3c58"/>
    <w:p>
      <w:pPr>
        <w:pStyle w:val="Heading2"/>
      </w:pPr>
      <w:r>
        <w:t xml:space="preserve">AI gateway in Azure API Management (plus the AI Gateway tier, preview) (</w:t>
      </w:r>
      <w:r>
        <w:rPr>
          <w:rStyle w:val="VerbatimChar"/>
        </w:rPr>
        <w:t xml:space="preserve">C1-azure-apim-ai-gateway</w:t>
      </w:r>
      <w:r>
        <w:t xml:space="preserve">)</w:t>
      </w:r>
    </w:p>
    <w:p>
      <w:pPr>
        <w:pStyle w:val="FirstParagraph"/>
      </w:pPr>
      <w:r>
        <w:rPr>
          <w:bCs/>
          <w:b/>
        </w:rPr>
        <w:t xml:space="preserve">Tier:</w:t>
      </w:r>
      <w:r>
        <w:t xml:space="preserve"> </w:t>
      </w:r>
      <w:r>
        <w:t xml:space="preserve">Strategic ·</w:t>
      </w:r>
      <w:r>
        <w:t xml:space="preserve"> </w:t>
      </w:r>
      <w:r>
        <w:rPr>
          <w:bCs/>
          <w:b/>
        </w:rPr>
        <w:t xml:space="preserve">Flags:</w:t>
      </w:r>
      <w:r>
        <w:t xml:space="preserve"> </w:t>
      </w:r>
      <w:r>
        <w:t xml:space="preserve">none ·</w:t>
      </w:r>
      <w:r>
        <w:t xml:space="preserve"> </w:t>
      </w:r>
      <w:r>
        <w:rPr>
          <w:bCs/>
          <w:b/>
        </w:rPr>
        <w:t xml:space="preserve">Original graphic label:</w:t>
      </w:r>
      <w:r>
        <w:t xml:space="preserve"> </w:t>
      </w:r>
      <w:r>
        <w:t xml:space="preserve">not in graphic</w:t>
      </w:r>
    </w:p>
    <w:p>
      <w:pPr>
        <w:pStyle w:val="BodyText"/>
      </w:pPr>
      <w:r>
        <w:rPr>
          <w:iCs/>
          <w:i/>
        </w:rPr>
        <w:t xml:space="preserve">Rationale:</w:t>
      </w:r>
      <w:r>
        <w:t xml:space="preserve"> </w:t>
      </w:r>
      <w:r>
        <w:t xml:space="preserve">Strategic, conditional: where Azure is your primary cloud (CP3 Q2, rubric rule 10), using the GA AI gateway policies in existing APIM tiers, not the preview AI Gateway tier (no SLA); lock-in 2 is accepted under rule 11 because the condition is an existing platform commitment</w:t>
      </w:r>
      <w:r>
        <w:t xml:space="preserve"> </w:t>
      </w:r>
      <w:r>
        <w:rPr>
          <w:rStyle w:val="ClaimLabel"/>
        </w:rPr>
        <w:t xml:space="preserve">AJ</w:t>
      </w:r>
      <w:r>
        <w:t xml:space="preserve">.</w:t>
      </w:r>
    </w:p>
    <w:tbl>
      <w:tblPr>
        <w:tblStyle w:val="Table"/>
        <w:tblW w:type="pct" w:w="5000"/>
        <w:tblLook w:firstRow="1" w:lastRow="0" w:firstColumn="0" w:lastColumn="0" w:noHBand="0" w:noVBand="0" w:val="0020"/>
        <w:jc w:val="start"/>
      </w:tblPr>
      <w:tblGrid>
        <w:gridCol w:w="1545"/>
        <w:gridCol w:w="579"/>
        <w:gridCol w:w="5795"/>
      </w:tblGrid>
      <w:tr>
        <w:trPr>
          <w:tblHeader w:val="true"/>
        </w:trPr>
        <w:tc>
          <w:tcPr/>
          <w:p>
            <w:pPr>
              <w:pStyle w:val="Compact"/>
              <w:jc w:val="left"/>
            </w:pPr>
            <w:r>
              <w:t xml:space="preserve">Criterion</w:t>
            </w:r>
          </w:p>
        </w:tc>
        <w:tc>
          <w:tcPr/>
          <w:p>
            <w:pPr>
              <w:pStyle w:val="Compact"/>
              <w:jc w:val="right"/>
            </w:pPr>
            <w:r>
              <w:t xml:space="preserve">Score</w:t>
            </w:r>
          </w:p>
        </w:tc>
        <w:tc>
          <w:tcPr/>
          <w:p>
            <w:pPr>
              <w:pStyle w:val="Compact"/>
              <w:jc w:val="left"/>
            </w:pPr>
            <w:r>
              <w:t xml:space="preserve">Rationale</w:t>
            </w:r>
          </w:p>
        </w:tc>
      </w:tr>
      <w:tr>
        <w:tc>
          <w:tcPr/>
          <w:p>
            <w:pPr>
              <w:pStyle w:val="Compact"/>
              <w:jc w:val="left"/>
            </w:pPr>
            <w:r>
              <w:t xml:space="preserve">Technical</w:t>
            </w:r>
          </w:p>
        </w:tc>
        <w:tc>
          <w:tcPr/>
          <w:p>
            <w:pPr>
              <w:pStyle w:val="Compact"/>
              <w:jc w:val="right"/>
            </w:pPr>
            <w:r>
              <w:t xml:space="preserve">4</w:t>
            </w:r>
          </w:p>
        </w:tc>
        <w:tc>
          <w:tcPr/>
          <w:p>
            <w:pPr>
              <w:pStyle w:val="Compact"/>
              <w:jc w:val="left"/>
            </w:pPr>
            <w:r>
              <w:t xml:space="preserve">Token limits, metrics, semantic cache, load balancing, circuit breaking, content safety on LLM/MCP/A2A</w:t>
            </w:r>
            <w:r>
              <w:t xml:space="preserve"> </w:t>
            </w:r>
            <w:r>
              <w:rPr>
                <w:rStyle w:val="ClaimLabel"/>
              </w:rPr>
              <w:t xml:space="preserve">VF</w:t>
            </w:r>
            <w:r>
              <w:rPr>
                <w:rStyle w:val="FootnoteReference"/>
              </w:rPr>
              <w:footnoteReference w:id="1843"/>
            </w:r>
          </w:p>
        </w:tc>
      </w:tr>
      <w:tr>
        <w:tc>
          <w:tcPr/>
          <w:p>
            <w:pPr>
              <w:pStyle w:val="Compact"/>
              <w:jc w:val="left"/>
            </w:pPr>
            <w:r>
              <w:t xml:space="preserve">Enterprise readiness</w:t>
            </w:r>
          </w:p>
        </w:tc>
        <w:tc>
          <w:tcPr/>
          <w:p>
            <w:pPr>
              <w:pStyle w:val="Compact"/>
              <w:jc w:val="right"/>
            </w:pPr>
            <w:r>
              <w:t xml:space="preserve">4</w:t>
            </w:r>
          </w:p>
        </w:tc>
        <w:tc>
          <w:tcPr/>
          <w:p>
            <w:pPr>
              <w:pStyle w:val="Compact"/>
              <w:jc w:val="left"/>
            </w:pPr>
            <w:r>
              <w:t xml:space="preserve">Hyperscaler presumption (CP2 Q1): platform controls presumed; Entra sign-in and caller-keyed limits verified</w:t>
            </w:r>
            <w:r>
              <w:t xml:space="preserve"> </w:t>
            </w:r>
            <w:r>
              <w:rPr>
                <w:rStyle w:val="ClaimLabel"/>
              </w:rPr>
              <w:t xml:space="preserve">VF</w:t>
            </w:r>
            <w:r>
              <w:rPr>
                <w:rStyle w:val="FootnoteReference"/>
              </w:rPr>
              <w:footnoteReference w:id="1846"/>
            </w:r>
            <w:r>
              <w:t xml:space="preserve">; confirm per service</w:t>
            </w:r>
          </w:p>
        </w:tc>
      </w:tr>
      <w:tr>
        <w:tc>
          <w:tcPr/>
          <w:p>
            <w:pPr>
              <w:pStyle w:val="Compact"/>
              <w:jc w:val="left"/>
            </w:pPr>
            <w:r>
              <w:t xml:space="preserve">Security and compliance</w:t>
            </w:r>
          </w:p>
        </w:tc>
        <w:tc>
          <w:tcPr/>
          <w:p>
            <w:pPr>
              <w:pStyle w:val="Compact"/>
              <w:jc w:val="right"/>
            </w:pPr>
            <w:r>
              <w:t xml:space="preserve">4</w:t>
            </w:r>
          </w:p>
        </w:tc>
        <w:tc>
          <w:tcPr/>
          <w:p>
            <w:pPr>
              <w:pStyle w:val="Compact"/>
              <w:jc w:val="left"/>
            </w:pPr>
            <w:r>
              <w:t xml:space="preserve">FedRAMP High audit scope names API Management</w:t>
            </w:r>
            <w:r>
              <w:t xml:space="preserve"> </w:t>
            </w:r>
            <w:r>
              <w:rPr>
                <w:rStyle w:val="ClaimLabel"/>
              </w:rPr>
              <w:t xml:space="preserve">VF</w:t>
            </w:r>
            <w:r>
              <w:rPr>
                <w:rStyle w:val="FootnoteReference"/>
              </w:rPr>
              <w:footnoteReference w:id="1847"/>
            </w:r>
            <w:r>
              <w:t xml:space="preserve">; Azure ISO 27001 and SOC 2 are platform-level without naming the service</w:t>
            </w:r>
            <w:r>
              <w:t xml:space="preserve"> </w:t>
            </w:r>
            <w:r>
              <w:rPr>
                <w:rStyle w:val="ClaimLabel"/>
              </w:rPr>
              <w:t xml:space="preserve">VF</w:t>
            </w:r>
            <w:r>
              <w:rPr>
                <w:rStyle w:val="FootnoteReference"/>
              </w:rPr>
              <w:footnoteReference w:id="1849"/>
            </w:r>
            <w:r>
              <w:t xml:space="preserve">; scope rule applied, so 4</w:t>
            </w:r>
          </w:p>
        </w:tc>
      </w:tr>
      <w:tr>
        <w:tc>
          <w:tcPr/>
          <w:p>
            <w:pPr>
              <w:pStyle w:val="Compact"/>
              <w:jc w:val="left"/>
            </w:pPr>
            <w:r>
              <w:t xml:space="preserve">Deployment flexibility</w:t>
            </w:r>
          </w:p>
        </w:tc>
        <w:tc>
          <w:tcPr/>
          <w:p>
            <w:pPr>
              <w:pStyle w:val="Compact"/>
              <w:jc w:val="right"/>
            </w:pPr>
            <w:r>
              <w:t xml:space="preserve">2</w:t>
            </w:r>
          </w:p>
        </w:tc>
        <w:tc>
          <w:tcPr/>
          <w:p>
            <w:pPr>
              <w:pStyle w:val="Compact"/>
              <w:jc w:val="left"/>
            </w:pPr>
            <w:r>
              <w:t xml:space="preserve">Managed Azure service only in the fact base; preview tier in two regions</w:t>
            </w:r>
            <w:r>
              <w:t xml:space="preserve"> </w:t>
            </w:r>
            <w:r>
              <w:rPr>
                <w:rStyle w:val="ClaimLabel"/>
              </w:rPr>
              <w:t xml:space="preserve">VF</w:t>
            </w:r>
            <w:r>
              <w:rPr>
                <w:rStyle w:val="FootnoteReference"/>
              </w:rPr>
              <w:footnoteReference w:id="1852"/>
            </w:r>
            <w:r>
              <w:t xml:space="preserve">; self-hosted gateway not verified</w:t>
            </w:r>
            <w:r>
              <w:t xml:space="preserve"> </w:t>
            </w:r>
            <w:r>
              <w:rPr>
                <w:rStyle w:val="ClaimLabel"/>
              </w:rPr>
              <w:t xml:space="preserve">NPV</w:t>
            </w:r>
          </w:p>
        </w:tc>
      </w:tr>
      <w:tr>
        <w:tc>
          <w:tcPr/>
          <w:p>
            <w:pPr>
              <w:pStyle w:val="Compact"/>
              <w:jc w:val="left"/>
            </w:pPr>
            <w:r>
              <w:t xml:space="preserve">Ecosystem</w:t>
            </w:r>
          </w:p>
        </w:tc>
        <w:tc>
          <w:tcPr/>
          <w:p>
            <w:pPr>
              <w:pStyle w:val="Compact"/>
              <w:jc w:val="right"/>
            </w:pPr>
            <w:r>
              <w:t xml:space="preserve">4</w:t>
            </w:r>
          </w:p>
        </w:tc>
        <w:tc>
          <w:tcPr/>
          <w:p>
            <w:pPr>
              <w:pStyle w:val="Compact"/>
              <w:jc w:val="left"/>
            </w:pPr>
            <w:r>
              <w:t xml:space="preserve">OpenAI-compatible unified API (preview), Anthropic Messages API, Foundry, MCP and A2A import</w:t>
            </w:r>
            <w:r>
              <w:t xml:space="preserve"> </w:t>
            </w:r>
            <w:r>
              <w:rPr>
                <w:rStyle w:val="ClaimLabel"/>
              </w:rPr>
              <w:t xml:space="preserve">VF</w:t>
            </w:r>
            <w:r>
              <w:rPr>
                <w:rStyle w:val="FootnoteReference"/>
              </w:rPr>
              <w:footnoteReference w:id="1853"/>
            </w:r>
          </w:p>
        </w:tc>
      </w:tr>
      <w:tr>
        <w:tc>
          <w:tcPr/>
          <w:p>
            <w:pPr>
              <w:pStyle w:val="Compact"/>
              <w:jc w:val="left"/>
            </w:pPr>
            <w:r>
              <w:t xml:space="preserve">Reliability and maturity</w:t>
            </w:r>
          </w:p>
        </w:tc>
        <w:tc>
          <w:tcPr/>
          <w:p>
            <w:pPr>
              <w:pStyle w:val="Compact"/>
              <w:jc w:val="right"/>
            </w:pPr>
            <w:r>
              <w:t xml:space="preserve">3</w:t>
            </w:r>
          </w:p>
        </w:tc>
        <w:tc>
          <w:tcPr/>
          <w:p>
            <w:pPr>
              <w:pStyle w:val="Compact"/>
              <w:jc w:val="left"/>
            </w:pPr>
            <w:r>
              <w:t xml:space="preserve">Core LLM policies GA; tier and unified API preview without SLA</w:t>
            </w:r>
            <w:r>
              <w:t xml:space="preserve"> </w:t>
            </w:r>
            <w:r>
              <w:rPr>
                <w:rStyle w:val="ClaimLabel"/>
              </w:rPr>
              <w:t xml:space="preserve">VF</w:t>
            </w:r>
            <w:r>
              <w:rPr>
                <w:rStyle w:val="FootnoteReference"/>
              </w:rPr>
              <w:footnoteReference w:id="1854"/>
            </w:r>
          </w:p>
        </w:tc>
      </w:tr>
      <w:tr>
        <w:tc>
          <w:tcPr/>
          <w:p>
            <w:pPr>
              <w:pStyle w:val="Compact"/>
              <w:jc w:val="left"/>
            </w:pPr>
            <w:r>
              <w:t xml:space="preserve">Cost / TCO</w:t>
            </w:r>
          </w:p>
        </w:tc>
        <w:tc>
          <w:tcPr/>
          <w:p>
            <w:pPr>
              <w:pStyle w:val="Compact"/>
              <w:jc w:val="right"/>
            </w:pPr>
            <w:r>
              <w:t xml:space="preserve">3</w:t>
            </w:r>
          </w:p>
        </w:tc>
        <w:tc>
          <w:tcPr/>
          <w:p>
            <w:pPr>
              <w:pStyle w:val="Compact"/>
              <w:jc w:val="left"/>
            </w:pPr>
            <w:r>
              <w:t xml:space="preserve">Preview tier free; classic tier prices not verified</w:t>
            </w:r>
            <w:r>
              <w:t xml:space="preserve"> </w:t>
            </w:r>
            <w:r>
              <w:rPr>
                <w:rStyle w:val="ClaimLabel"/>
              </w:rPr>
              <w:t xml:space="preserve">VF</w:t>
            </w:r>
            <w:r>
              <w:rPr>
                <w:rStyle w:val="FootnoteReference"/>
              </w:rPr>
              <w:footnoteReference w:id="1855"/>
            </w:r>
            <w:r>
              <w:t xml:space="preserve"> </w:t>
            </w:r>
            <w:r>
              <w:rPr>
                <w:rStyle w:val="ClaimLabel"/>
              </w:rPr>
              <w:t xml:space="preserve">NPV</w:t>
            </w:r>
          </w:p>
        </w:tc>
      </w:tr>
      <w:tr>
        <w:tc>
          <w:tcPr/>
          <w:p>
            <w:pPr>
              <w:pStyle w:val="Compact"/>
              <w:jc w:val="left"/>
            </w:pPr>
            <w:r>
              <w:t xml:space="preserve">Lock-in / portability</w:t>
            </w:r>
          </w:p>
        </w:tc>
        <w:tc>
          <w:tcPr/>
          <w:p>
            <w:pPr>
              <w:pStyle w:val="Compact"/>
              <w:jc w:val="right"/>
            </w:pPr>
            <w:r>
              <w:t xml:space="preserve">2</w:t>
            </w:r>
          </w:p>
        </w:tc>
        <w:tc>
          <w:tcPr/>
          <w:p>
            <w:pPr>
              <w:pStyle w:val="Compact"/>
              <w:jc w:val="left"/>
            </w:pPr>
            <w:r>
              <w:t xml:space="preserve">APIM-specific policy XML and Azure dependency</w:t>
            </w:r>
            <w:r>
              <w:t xml:space="preserve"> </w:t>
            </w:r>
            <w:r>
              <w:rPr>
                <w:rStyle w:val="ClaimLabel"/>
              </w:rPr>
              <w:t xml:space="preserve">VF</w:t>
            </w:r>
            <w:r>
              <w:rPr>
                <w:rStyle w:val="FootnoteReference"/>
              </w:rPr>
              <w:footnoteReference w:id="1856"/>
            </w:r>
          </w:p>
        </w:tc>
      </w:tr>
      <w:tr>
        <w:tc>
          <w:tcPr/>
          <w:p>
            <w:pPr>
              <w:pStyle w:val="Compact"/>
              <w:jc w:val="left"/>
            </w:pPr>
            <w:r>
              <w:rPr>
                <w:bCs/>
                <w:b/>
              </w:rPr>
              <w:t xml:space="preserve">Total (generic / FS)</w:t>
            </w:r>
          </w:p>
        </w:tc>
        <w:tc>
          <w:tcPr/>
          <w:p>
            <w:pPr>
              <w:pStyle w:val="Compact"/>
              <w:jc w:val="right"/>
            </w:pPr>
            <w:r>
              <w:rPr>
                <w:bCs/>
                <w:b/>
              </w:rPr>
              <w:t xml:space="preserve">3.40 / 3.25</w:t>
            </w:r>
          </w:p>
        </w:tc>
        <w:tc>
          <w:tcPr/>
          <w:p>
            <w:pPr>
              <w:pStyle w:val="Compact"/>
            </w:pPr>
          </w:p>
        </w:tc>
      </w:tr>
    </w:tbl>
    <w:p>
      <w:pPr>
        <w:pStyle w:val="BodyText"/>
      </w:pPr>
      <w:r>
        <w:rPr>
          <w:iCs/>
          <w:i/>
        </w:rPr>
        <w:t xml:space="preserve">Evidence rules applied:</w:t>
      </w:r>
      <w:r>
        <w:t xml:space="preserve"> </w:t>
      </w:r>
      <w:r>
        <w:t xml:space="preserve">enterprise_readiness set to 4 under the hyperscaler presumption (CP2 Q1): platform controls presumed; confirm per service</w:t>
      </w:r>
    </w:p>
    <w:p>
      <w:pPr>
        <w:pStyle w:val="BodyText"/>
      </w:pPr>
      <w:r>
        <w:rPr>
          <w:bCs/>
          <w:b/>
        </w:rPr>
        <w:t xml:space="preserve">Capabilities.</w:t>
      </w:r>
      <w:r>
        <w:t xml:space="preserve"> </w:t>
      </w:r>
      <w:r>
        <w:t xml:space="preserve">AI gateway policies in Azure API Management: token limits and quotas per consumer, token metrics, semantic caching, load balancing and circuit breaking, Content Safety (incl. Prompt Shields) on LLM, MCP and A2A traffic, MCP exposure and governance, OAuth via credential manager; plus a dedicated AI Gateway tier in preview</w:t>
      </w:r>
      <w:r>
        <w:t xml:space="preserve"> </w:t>
      </w:r>
      <w:r>
        <w:rPr>
          <w:rStyle w:val="ClaimLabel"/>
        </w:rPr>
        <w:t xml:space="preserve">VF</w:t>
      </w:r>
      <w:r>
        <w:rPr>
          <w:rStyle w:val="FootnoteReference"/>
        </w:rPr>
        <w:footnoteReference w:id="1857"/>
      </w:r>
      <w:r>
        <w:t xml:space="preserve">.</w:t>
      </w:r>
    </w:p>
    <w:p>
      <w:pPr>
        <w:pStyle w:val="BodyText"/>
      </w:pPr>
      <w:r>
        <w:rPr>
          <w:bCs/>
          <w:b/>
        </w:rPr>
        <w:t xml:space="preserve">Strengths</w:t>
      </w:r>
    </w:p>
    <w:p>
      <w:pPr>
        <w:numPr>
          <w:ilvl w:val="0"/>
          <w:numId w:val="1385"/>
        </w:numPr>
        <w:pStyle w:val="Compact"/>
      </w:pPr>
      <w:r>
        <w:t xml:space="preserve">Extends an API gateway many Azure estates already operate; Microsoft calls it</w:t>
      </w:r>
      <w:r>
        <w:t xml:space="preserve"> </w:t>
      </w:r>
      <w:r>
        <w:t xml:space="preserve">‘</w:t>
      </w:r>
      <w:r>
        <w:t xml:space="preserve">not a separate offering</w:t>
      </w:r>
      <w:r>
        <w:t xml:space="preserve">’</w:t>
      </w:r>
      <w:r>
        <w:t xml:space="preserve"> </w:t>
      </w:r>
      <w:r>
        <w:rPr>
          <w:rStyle w:val="ClaimLabel"/>
        </w:rPr>
        <w:t xml:space="preserve">VF</w:t>
      </w:r>
      <w:r>
        <w:rPr>
          <w:rStyle w:val="FootnoteReference"/>
        </w:rPr>
        <w:footnoteReference w:id="1858"/>
      </w:r>
    </w:p>
    <w:p>
      <w:pPr>
        <w:numPr>
          <w:ilvl w:val="0"/>
          <w:numId w:val="1385"/>
        </w:numPr>
        <w:pStyle w:val="Compact"/>
      </w:pPr>
      <w:r>
        <w:t xml:space="preserve">Content safety applies to MCP tool-call arguments and A2A payloads, not only prompts</w:t>
      </w:r>
      <w:r>
        <w:t xml:space="preserve"> </w:t>
      </w:r>
      <w:r>
        <w:rPr>
          <w:rStyle w:val="ClaimLabel"/>
        </w:rPr>
        <w:t xml:space="preserve">VF</w:t>
      </w:r>
      <w:r>
        <w:rPr>
          <w:rStyle w:val="FootnoteReference"/>
        </w:rPr>
        <w:footnoteReference w:id="1859"/>
      </w:r>
    </w:p>
    <w:p>
      <w:pPr>
        <w:numPr>
          <w:ilvl w:val="0"/>
          <w:numId w:val="1385"/>
        </w:numPr>
        <w:pStyle w:val="Compact"/>
      </w:pPr>
      <w:r>
        <w:t xml:space="preserve">API Management is in Azure FedRAMP High audit scope</w:t>
      </w:r>
      <w:r>
        <w:t xml:space="preserve"> </w:t>
      </w:r>
      <w:r>
        <w:rPr>
          <w:rStyle w:val="ClaimLabel"/>
        </w:rPr>
        <w:t xml:space="preserve">VF</w:t>
      </w:r>
      <w:r>
        <w:rPr>
          <w:rStyle w:val="FootnoteReference"/>
        </w:rPr>
        <w:footnoteReference w:id="1860"/>
      </w:r>
    </w:p>
    <w:p>
      <w:pPr>
        <w:pStyle w:val="FirstParagraph"/>
      </w:pPr>
      <w:r>
        <w:rPr>
          <w:bCs/>
          <w:b/>
        </w:rPr>
        <w:t xml:space="preserve">Limitations and risks</w:t>
      </w:r>
    </w:p>
    <w:p>
      <w:pPr>
        <w:numPr>
          <w:ilvl w:val="0"/>
          <w:numId w:val="1386"/>
        </w:numPr>
        <w:pStyle w:val="Compact"/>
      </w:pPr>
      <w:r>
        <w:t xml:space="preserve">AI Gateway tier is preview: East US 2 and Sweden Central only, free, no SLA</w:t>
      </w:r>
      <w:r>
        <w:t xml:space="preserve"> </w:t>
      </w:r>
      <w:r>
        <w:rPr>
          <w:rStyle w:val="ClaimLabel"/>
        </w:rPr>
        <w:t xml:space="preserve">VF</w:t>
      </w:r>
      <w:r>
        <w:rPr>
          <w:rStyle w:val="FootnoteReference"/>
        </w:rPr>
        <w:footnoteReference w:id="1861"/>
      </w:r>
    </w:p>
    <w:p>
      <w:pPr>
        <w:numPr>
          <w:ilvl w:val="0"/>
          <w:numId w:val="1386"/>
        </w:numPr>
        <w:pStyle w:val="Compact"/>
      </w:pPr>
      <w:r>
        <w:t xml:space="preserve">Policies are APIM-specific XML</w:t>
      </w:r>
      <w:r>
        <w:t xml:space="preserve"> </w:t>
      </w:r>
      <w:r>
        <w:rPr>
          <w:rStyle w:val="ClaimLabel"/>
        </w:rPr>
        <w:t xml:space="preserve">VF</w:t>
      </w:r>
      <w:r>
        <w:rPr>
          <w:rStyle w:val="FootnoteReference"/>
        </w:rPr>
        <w:footnoteReference w:id="1862"/>
      </w:r>
    </w:p>
    <w:p>
      <w:pPr>
        <w:numPr>
          <w:ilvl w:val="0"/>
          <w:numId w:val="1386"/>
        </w:numPr>
        <w:pStyle w:val="Compact"/>
      </w:pPr>
      <w:r>
        <w:t xml:space="preserve">Classic tier pricing and self-hosted options not verified</w:t>
      </w:r>
      <w:r>
        <w:t xml:space="preserve"> </w:t>
      </w:r>
      <w:r>
        <w:rPr>
          <w:rStyle w:val="ClaimLabel"/>
        </w:rPr>
        <w:t xml:space="preserve">NPV</w:t>
      </w:r>
    </w:p>
    <w:p>
      <w:pPr>
        <w:pStyle w:val="FirstParagraph"/>
      </w:pPr>
      <w:r>
        <w:rPr>
          <w:bCs/>
          <w:b/>
        </w:rPr>
        <w:t xml:space="preserve">Choose when</w:t>
      </w:r>
    </w:p>
    <w:p>
      <w:pPr>
        <w:numPr>
          <w:ilvl w:val="0"/>
          <w:numId w:val="1387"/>
        </w:numPr>
        <w:pStyle w:val="Compact"/>
      </w:pPr>
      <w:r>
        <w:t xml:space="preserve">Azure is your primary cloud and APIM your API standard</w:t>
      </w:r>
      <w:r>
        <w:t xml:space="preserve"> </w:t>
      </w:r>
      <w:r>
        <w:rPr>
          <w:rStyle w:val="ClaimLabel"/>
        </w:rPr>
        <w:t xml:space="preserve">AJ</w:t>
      </w:r>
    </w:p>
    <w:p>
      <w:pPr>
        <w:numPr>
          <w:ilvl w:val="0"/>
          <w:numId w:val="1387"/>
        </w:numPr>
        <w:pStyle w:val="Compact"/>
      </w:pPr>
      <w:r>
        <w:t xml:space="preserve">You want content safety enforced on tool and agent traffic at the gateway</w:t>
      </w:r>
      <w:r>
        <w:t xml:space="preserve"> </w:t>
      </w:r>
      <w:r>
        <w:rPr>
          <w:rStyle w:val="ClaimLabel"/>
        </w:rPr>
        <w:t xml:space="preserve">AJ</w:t>
      </w:r>
    </w:p>
    <w:p>
      <w:pPr>
        <w:pStyle w:val="FirstParagraph"/>
      </w:pPr>
      <w:r>
        <w:rPr>
          <w:bCs/>
          <w:b/>
        </w:rPr>
        <w:t xml:space="preserve">Avoid when</w:t>
      </w:r>
    </w:p>
    <w:p>
      <w:pPr>
        <w:numPr>
          <w:ilvl w:val="0"/>
          <w:numId w:val="1388"/>
        </w:numPr>
        <w:pStyle w:val="Compact"/>
      </w:pPr>
      <w:r>
        <w:t xml:space="preserve">You need the AI Gateway tier in production now (no SLA)</w:t>
      </w:r>
      <w:r>
        <w:t xml:space="preserve"> </w:t>
      </w:r>
      <w:r>
        <w:rPr>
          <w:rStyle w:val="ClaimLabel"/>
        </w:rPr>
        <w:t xml:space="preserve">AJ</w:t>
      </w:r>
    </w:p>
    <w:p>
      <w:pPr>
        <w:numPr>
          <w:ilvl w:val="0"/>
          <w:numId w:val="1388"/>
        </w:numPr>
        <w:pStyle w:val="Compact"/>
      </w:pPr>
      <w:r>
        <w:t xml:space="preserve">Your multi-cloud exit plan needs a gateway outside any one hyperscaler</w:t>
      </w:r>
      <w:r>
        <w:t xml:space="preserve"> </w:t>
      </w:r>
      <w:r>
        <w:rPr>
          <w:rStyle w:val="ClaimLabel"/>
        </w:rPr>
        <w:t xml:space="preserve">AJ</w:t>
      </w:r>
    </w:p>
    <w:p>
      <w:pPr>
        <w:pStyle w:val="FirstParagraph"/>
      </w:pPr>
      <w:r>
        <w:rPr>
          <w:bCs/>
          <w:b/>
        </w:rPr>
        <w:t xml:space="preserve">Nearest competitors:</w:t>
      </w:r>
      <w:r>
        <w:t xml:space="preserve"> </w:t>
      </w:r>
      <w:r>
        <w:t xml:space="preserve">C1-google-apigee-ai-gateway, C1-kong-ai-gateway, C1-litellm</w:t>
      </w:r>
    </w:p>
    <w:p>
      <w:pPr>
        <w:pStyle w:val="BodyText"/>
      </w:pPr>
      <w:r>
        <w:rPr>
          <w:bCs/>
          <w:b/>
        </w:rPr>
        <w:t xml:space="preserve">Regulated-FS note.</w:t>
      </w:r>
      <w:r>
        <w:t xml:space="preserve"> </w:t>
      </w:r>
      <w:r>
        <w:t xml:space="preserve">Use the GA policies in existing tiers for production; do not place regulated traffic on the preview tier; keep policy logic documented so it can be re-expressed elsewhere</w:t>
      </w:r>
      <w:r>
        <w:t xml:space="preserve"> </w:t>
      </w:r>
      <w:r>
        <w:rPr>
          <w:rStyle w:val="ClaimLabel"/>
        </w:rPr>
        <w:t xml:space="preserve">Rec</w:t>
      </w:r>
      <w:r>
        <w:t xml:space="preserve">.</w:t>
      </w:r>
    </w:p>
    <w:p>
      <w:pPr>
        <w:pStyle w:val="BodyText"/>
      </w:pPr>
      <w:r>
        <w:rPr>
          <w:bCs/>
          <w:b/>
        </w:rPr>
        <w:t xml:space="preserve">Facts (as of 2026-10-08)</w:t>
      </w:r>
    </w:p>
    <w:tbl>
      <w:tblPr>
        <w:tblStyle w:val="Table"/>
        <w:tblW w:type="pct" w:w="5000"/>
        <w:tblLook w:firstRow="1" w:lastRow="0" w:firstColumn="0" w:lastColumn="0" w:noHBand="0" w:noVBand="0" w:val="0020"/>
        <w:jc w:val="start"/>
      </w:tblPr>
      <w:tblGrid>
        <w:gridCol w:w="1485"/>
        <w:gridCol w:w="4290"/>
        <w:gridCol w:w="1320"/>
        <w:gridCol w:w="825"/>
      </w:tblGrid>
      <w:tr>
        <w:trPr>
          <w:tblHeader w:val="true"/>
        </w:trPr>
        <w:tc>
          <w:tcPr/>
          <w:p>
            <w:pPr>
              <w:pStyle w:val="Compact"/>
              <w:jc w:val="left"/>
            </w:pPr>
            <w:r>
              <w:t xml:space="preserve">Field</w:t>
            </w:r>
          </w:p>
        </w:tc>
        <w:tc>
          <w:tcPr/>
          <w:p>
            <w:pPr>
              <w:pStyle w:val="Compact"/>
              <w:jc w:val="left"/>
            </w:pPr>
            <w:r>
              <w:t xml:space="preserve">Value</w:t>
            </w:r>
          </w:p>
        </w:tc>
        <w:tc>
          <w:tcPr/>
          <w:p>
            <w:pPr>
              <w:pStyle w:val="Compact"/>
              <w:jc w:val="left"/>
            </w:pPr>
            <w:r>
              <w:t xml:space="preserve">Label</w:t>
            </w:r>
          </w:p>
        </w:tc>
        <w:tc>
          <w:tcPr/>
          <w:p>
            <w:pPr>
              <w:pStyle w:val="Compact"/>
              <w:jc w:val="left"/>
            </w:pPr>
            <w:r>
              <w:t xml:space="preserve">Sources</w:t>
            </w:r>
          </w:p>
        </w:tc>
      </w:tr>
      <w:tr>
        <w:tc>
          <w:tcPr/>
          <w:p>
            <w:pPr>
              <w:pStyle w:val="Compact"/>
              <w:jc w:val="left"/>
            </w:pPr>
            <w:r>
              <w:t xml:space="preserve">Company</w:t>
            </w:r>
          </w:p>
        </w:tc>
        <w:tc>
          <w:tcPr/>
          <w:p>
            <w:pPr>
              <w:pStyle w:val="Compact"/>
              <w:jc w:val="left"/>
            </w:pPr>
            <w:r>
              <w:t xml:space="preserve">Microsoft</w:t>
            </w:r>
          </w:p>
        </w:tc>
        <w:tc>
          <w:tcPr/>
          <w:p>
            <w:pPr>
              <w:pStyle w:val="Compact"/>
              <w:jc w:val="left"/>
            </w:pPr>
            <w:r>
              <w:t xml:space="preserve">Verified fact</w:t>
            </w:r>
          </w:p>
        </w:tc>
        <w:tc>
          <w:tcPr/>
          <w:p>
            <w:pPr>
              <w:pStyle w:val="Compact"/>
              <w:jc w:val="left"/>
            </w:pPr>
            <w:r>
              <w:t xml:space="preserve">A6-S053</w:t>
            </w:r>
          </w:p>
        </w:tc>
      </w:tr>
      <w:tr>
        <w:tc>
          <w:tcPr/>
          <w:p>
            <w:pPr>
              <w:pStyle w:val="Compact"/>
              <w:jc w:val="left"/>
            </w:pPr>
            <w:r>
              <w:t xml:space="preserve">Category</w:t>
            </w:r>
          </w:p>
        </w:tc>
        <w:tc>
          <w:tcPr/>
          <w:p>
            <w:pPr>
              <w:pStyle w:val="Compact"/>
              <w:jc w:val="left"/>
            </w:pPr>
            <w:r>
              <w:t xml:space="preserve">Cloud-native API management platform with AI gateway policies (LLM, MCP and A2A)</w:t>
            </w:r>
          </w:p>
        </w:tc>
        <w:tc>
          <w:tcPr/>
          <w:p>
            <w:pPr>
              <w:pStyle w:val="Compact"/>
              <w:jc w:val="left"/>
            </w:pPr>
            <w:r>
              <w:t xml:space="preserve">Verified fact</w:t>
            </w:r>
          </w:p>
        </w:tc>
        <w:tc>
          <w:tcPr/>
          <w:p>
            <w:pPr>
              <w:pStyle w:val="Compact"/>
              <w:jc w:val="left"/>
            </w:pPr>
            <w:r>
              <w:t xml:space="preserve">A6-S053</w:t>
            </w:r>
          </w:p>
        </w:tc>
      </w:tr>
      <w:tr>
        <w:tc>
          <w:tcPr/>
          <w:p>
            <w:pPr>
              <w:pStyle w:val="Compact"/>
              <w:jc w:val="left"/>
            </w:pPr>
            <w:r>
              <w:t xml:space="preserve">Version / lineup</w:t>
            </w:r>
          </w:p>
        </w:tc>
        <w:tc>
          <w:tcPr/>
          <w:p>
            <w:pPr>
              <w:pStyle w:val="Compact"/>
              <w:jc w:val="left"/>
            </w:pPr>
            <w:r>
              <w:t xml:space="preserve">Policy-based AI gateway available across APIM tiers (doc dated 29 May 2026); AI Gateway tier in public preview since about late July 2026; unified model API (preview)</w:t>
            </w:r>
          </w:p>
        </w:tc>
        <w:tc>
          <w:tcPr/>
          <w:p>
            <w:pPr>
              <w:pStyle w:val="Compact"/>
              <w:jc w:val="left"/>
            </w:pPr>
            <w:r>
              <w:t xml:space="preserve">Verified fact</w:t>
            </w:r>
          </w:p>
        </w:tc>
        <w:tc>
          <w:tcPr/>
          <w:p>
            <w:pPr>
              <w:pStyle w:val="Compact"/>
              <w:jc w:val="left"/>
            </w:pPr>
            <w:r>
              <w:t xml:space="preserve">A6-S053, A6-S020, V2-S073</w:t>
            </w:r>
          </w:p>
        </w:tc>
      </w:tr>
      <w:tr>
        <w:tc>
          <w:tcPr/>
          <w:p>
            <w:pPr>
              <w:pStyle w:val="Compact"/>
              <w:jc w:val="left"/>
            </w:pPr>
            <w:r>
              <w:t xml:space="preserve">Licence</w:t>
            </w:r>
          </w:p>
        </w:tc>
        <w:tc>
          <w:tcPr/>
          <w:p>
            <w:pPr>
              <w:pStyle w:val="Compact"/>
              <w:jc w:val="left"/>
            </w:pPr>
            <w:r>
              <w:t xml:space="preserve">Proprietary managed Azure service</w:t>
            </w:r>
          </w:p>
        </w:tc>
        <w:tc>
          <w:tcPr/>
          <w:p>
            <w:pPr>
              <w:pStyle w:val="Compact"/>
              <w:jc w:val="left"/>
            </w:pPr>
            <w:r>
              <w:t xml:space="preserve">Verified fact</w:t>
            </w:r>
          </w:p>
        </w:tc>
        <w:tc>
          <w:tcPr/>
          <w:p>
            <w:pPr>
              <w:pStyle w:val="Compact"/>
              <w:jc w:val="left"/>
            </w:pPr>
            <w:r>
              <w:t xml:space="preserve">A6-S053</w:t>
            </w:r>
          </w:p>
        </w:tc>
      </w:tr>
      <w:tr>
        <w:tc>
          <w:tcPr/>
          <w:p>
            <w:pPr>
              <w:pStyle w:val="Compact"/>
              <w:jc w:val="left"/>
            </w:pPr>
            <w:r>
              <w:t xml:space="preserve">Strategic direction</w:t>
            </w:r>
          </w:p>
        </w:tc>
        <w:tc>
          <w:tcPr/>
          <w:p>
            <w:pPr>
              <w:pStyle w:val="Compact"/>
              <w:jc w:val="left"/>
            </w:pPr>
            <w:r>
              <w:t xml:space="preserve">Extends APIM to govern models from Foundry, OpenAI-compatible third parties, Anthropic and Google Vertex AI, MCP servers and A2A agents; integration into Microsoft Foundry as its AI gateway control plane (preview)</w:t>
            </w:r>
          </w:p>
        </w:tc>
        <w:tc>
          <w:tcPr/>
          <w:p>
            <w:pPr>
              <w:pStyle w:val="Compact"/>
              <w:jc w:val="left"/>
            </w:pPr>
            <w:r>
              <w:t xml:space="preserve">Verified fact</w:t>
            </w:r>
          </w:p>
        </w:tc>
        <w:tc>
          <w:tcPr/>
          <w:p>
            <w:pPr>
              <w:pStyle w:val="Compact"/>
              <w:jc w:val="left"/>
            </w:pPr>
            <w:r>
              <w:t xml:space="preserve">A6-S053, A6-S020</w:t>
            </w:r>
          </w:p>
        </w:tc>
      </w:tr>
      <w:tr>
        <w:tc>
          <w:tcPr/>
          <w:p>
            <w:pPr>
              <w:pStyle w:val="Compact"/>
              <w:jc w:val="left"/>
            </w:pPr>
            <w:r>
              <w:t xml:space="preserve">What it does</w:t>
            </w:r>
          </w:p>
        </w:tc>
        <w:tc>
          <w:tcPr/>
          <w:p>
            <w:pPr>
              <w:pStyle w:val="Compact"/>
              <w:jc w:val="left"/>
            </w:pPr>
            <w:r>
              <w:t xml:space="preserve">Token limit and quota policies per consumer key, token metrics, semantic caching (Azure Managed Redis), load balancing and circuit breaking across AI backends, content safety checks via Azure AI Content Safety (incl. Prompt Shields) on LLM, MCP and A2A traffic, exposing REST APIs as MCP servers and governing existing MCP servers, OAuth via credential manager.</w:t>
            </w:r>
          </w:p>
        </w:tc>
        <w:tc>
          <w:tcPr/>
          <w:p>
            <w:pPr>
              <w:pStyle w:val="Compact"/>
              <w:jc w:val="left"/>
            </w:pPr>
            <w:r>
              <w:t xml:space="preserve">Verified fact</w:t>
            </w:r>
          </w:p>
        </w:tc>
        <w:tc>
          <w:tcPr/>
          <w:p>
            <w:pPr>
              <w:pStyle w:val="Compact"/>
              <w:jc w:val="left"/>
            </w:pPr>
            <w:r>
              <w:t xml:space="preserve">A6-S053, A6-S020</w:t>
            </w:r>
          </w:p>
        </w:tc>
      </w:tr>
      <w:tr>
        <w:tc>
          <w:tcPr/>
          <w:p>
            <w:pPr>
              <w:pStyle w:val="Compact"/>
              <w:jc w:val="left"/>
            </w:pPr>
            <w:r>
              <w:t xml:space="preserve">Stack position</w:t>
            </w:r>
          </w:p>
        </w:tc>
        <w:tc>
          <w:tcPr/>
          <w:p>
            <w:pPr>
              <w:pStyle w:val="Compact"/>
              <w:jc w:val="left"/>
            </w:pPr>
            <w:r>
              <w:t xml:space="preserve">Extension of APIM’s existing API gateway,</w:t>
            </w:r>
            <w:r>
              <w:t xml:space="preserve"> </w:t>
            </w:r>
            <w:r>
              <w:t xml:space="preserve">‘</w:t>
            </w:r>
            <w:r>
              <w:t xml:space="preserve">not a separate offering</w:t>
            </w:r>
            <w:r>
              <w:t xml:space="preserve">’</w:t>
            </w:r>
            <w:r>
              <w:t xml:space="preserve">; control plane for AI traffic in Azure estates</w:t>
            </w:r>
          </w:p>
        </w:tc>
        <w:tc>
          <w:tcPr/>
          <w:p>
            <w:pPr>
              <w:pStyle w:val="Compact"/>
              <w:jc w:val="left"/>
            </w:pPr>
            <w:r>
              <w:t xml:space="preserve">Verified fact</w:t>
            </w:r>
          </w:p>
        </w:tc>
        <w:tc>
          <w:tcPr/>
          <w:p>
            <w:pPr>
              <w:pStyle w:val="Compact"/>
              <w:jc w:val="left"/>
            </w:pPr>
            <w:r>
              <w:t xml:space="preserve">A6-S053</w:t>
            </w:r>
          </w:p>
        </w:tc>
      </w:tr>
      <w:tr>
        <w:tc>
          <w:tcPr/>
          <w:p>
            <w:pPr>
              <w:pStyle w:val="Compact"/>
              <w:jc w:val="left"/>
            </w:pPr>
            <w:r>
              <w:t xml:space="preserve">Integration</w:t>
            </w:r>
          </w:p>
        </w:tc>
        <w:tc>
          <w:tcPr/>
          <w:p>
            <w:pPr>
              <w:pStyle w:val="Compact"/>
              <w:jc w:val="left"/>
            </w:pPr>
            <w:r>
              <w:t xml:space="preserve">Policy XML (e.g. llm-token-limit), OpenAI-compatible unified model API (preview), Anthropic Messages API (v2 tiers), MCP and A2A API import</w:t>
            </w:r>
          </w:p>
        </w:tc>
        <w:tc>
          <w:tcPr/>
          <w:p>
            <w:pPr>
              <w:pStyle w:val="Compact"/>
              <w:jc w:val="left"/>
            </w:pPr>
            <w:r>
              <w:t xml:space="preserve">Verified fact</w:t>
            </w:r>
          </w:p>
        </w:tc>
        <w:tc>
          <w:tcPr/>
          <w:p>
            <w:pPr>
              <w:pStyle w:val="Compact"/>
              <w:jc w:val="left"/>
            </w:pPr>
            <w:r>
              <w:t xml:space="preserve">A6-S053</w:t>
            </w:r>
          </w:p>
        </w:tc>
      </w:tr>
      <w:tr>
        <w:tc>
          <w:tcPr/>
          <w:p>
            <w:pPr>
              <w:pStyle w:val="Compact"/>
              <w:jc w:val="left"/>
            </w:pPr>
            <w:r>
              <w:t xml:space="preserve">Dependencies</w:t>
            </w:r>
          </w:p>
        </w:tc>
        <w:tc>
          <w:tcPr/>
          <w:p>
            <w:pPr>
              <w:pStyle w:val="Compact"/>
              <w:jc w:val="left"/>
            </w:pPr>
            <w:r>
              <w:t xml:space="preserve">Azure API Management instance; Azure Managed Redis (or RediSearch-compatible cache) and an embeddings deployment for semantic caching; Azure AI Content Safety for moderation; Application Insights for metrics</w:t>
            </w:r>
          </w:p>
        </w:tc>
        <w:tc>
          <w:tcPr/>
          <w:p>
            <w:pPr>
              <w:pStyle w:val="Compact"/>
              <w:jc w:val="left"/>
            </w:pPr>
            <w:r>
              <w:t xml:space="preserve">Verified fact</w:t>
            </w:r>
          </w:p>
        </w:tc>
        <w:tc>
          <w:tcPr/>
          <w:p>
            <w:pPr>
              <w:pStyle w:val="Compact"/>
              <w:jc w:val="left"/>
            </w:pPr>
            <w:r>
              <w:t xml:space="preserve">A6-S053, A6-S020</w:t>
            </w:r>
          </w:p>
        </w:tc>
      </w:tr>
      <w:tr>
        <w:tc>
          <w:tcPr/>
          <w:p>
            <w:pPr>
              <w:pStyle w:val="Compact"/>
              <w:jc w:val="left"/>
            </w:pPr>
            <w:r>
              <w:t xml:space="preserve">Certifications</w:t>
            </w:r>
          </w:p>
        </w:tc>
        <w:tc>
          <w:tcPr/>
          <w:p>
            <w:pPr>
              <w:pStyle w:val="Compact"/>
              <w:jc w:val="left"/>
            </w:pPr>
            <w:r>
              <w:t xml:space="preserve">API Management is in Azure FedRAMP High and DoD IL2 audit scope (Azure public, list updated February 2026)</w:t>
            </w:r>
          </w:p>
        </w:tc>
        <w:tc>
          <w:tcPr/>
          <w:p>
            <w:pPr>
              <w:pStyle w:val="Compact"/>
              <w:jc w:val="left"/>
            </w:pPr>
            <w:r>
              <w:t xml:space="preserve">Verified fact</w:t>
            </w:r>
          </w:p>
        </w:tc>
        <w:tc>
          <w:tcPr/>
          <w:p>
            <w:pPr>
              <w:pStyle w:val="Compact"/>
              <w:jc w:val="left"/>
            </w:pPr>
            <w:r>
              <w:t xml:space="preserve">A6-S056</w:t>
            </w:r>
          </w:p>
        </w:tc>
      </w:tr>
      <w:tr>
        <w:tc>
          <w:tcPr/>
          <w:p>
            <w:pPr>
              <w:pStyle w:val="Compact"/>
              <w:jc w:val="left"/>
            </w:pPr>
            <w:r>
              <w:t xml:space="preserve">GDPR / residency</w:t>
            </w:r>
          </w:p>
        </w:tc>
        <w:tc>
          <w:tcPr/>
          <w:p>
            <w:pPr>
              <w:pStyle w:val="Compact"/>
              <w:jc w:val="left"/>
            </w:pPr>
            <w:r>
              <w:t xml:space="preserve">AI Gateway tier preview limited to East US 2 and Sweden Central regions</w:t>
            </w:r>
          </w:p>
        </w:tc>
        <w:tc>
          <w:tcPr/>
          <w:p>
            <w:pPr>
              <w:pStyle w:val="Compact"/>
              <w:jc w:val="left"/>
            </w:pPr>
            <w:r>
              <w:t xml:space="preserve">Verified fact</w:t>
            </w:r>
          </w:p>
        </w:tc>
        <w:tc>
          <w:tcPr/>
          <w:p>
            <w:pPr>
              <w:pStyle w:val="Compact"/>
              <w:jc w:val="left"/>
            </w:pPr>
            <w:r>
              <w:t xml:space="preserve">A6-S020</w:t>
            </w:r>
          </w:p>
        </w:tc>
      </w:tr>
      <w:tr>
        <w:tc>
          <w:tcPr/>
          <w:p>
            <w:pPr>
              <w:pStyle w:val="Compact"/>
              <w:jc w:val="left"/>
            </w:pPr>
            <w:r>
              <w:t xml:space="preserve">Security features</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Access controls</w:t>
            </w:r>
          </w:p>
        </w:tc>
        <w:tc>
          <w:tcPr/>
          <w:p>
            <w:pPr>
              <w:pStyle w:val="Compact"/>
              <w:jc w:val="left"/>
            </w:pPr>
            <w:r>
              <w:t xml:space="preserve">Microsoft Entra ID sign-in required for AI Gateway tier quickstart; token limits keyed on subscription, IP or caller identity; OAuth for MCP via credential manager</w:t>
            </w:r>
          </w:p>
        </w:tc>
        <w:tc>
          <w:tcPr/>
          <w:p>
            <w:pPr>
              <w:pStyle w:val="Compact"/>
              <w:jc w:val="left"/>
            </w:pPr>
            <w:r>
              <w:t xml:space="preserve">Verified fact</w:t>
            </w:r>
          </w:p>
        </w:tc>
        <w:tc>
          <w:tcPr/>
          <w:p>
            <w:pPr>
              <w:pStyle w:val="Compact"/>
              <w:jc w:val="left"/>
            </w:pPr>
            <w:r>
              <w:t xml:space="preserve">A6-S020, A6-S053</w:t>
            </w:r>
          </w:p>
        </w:tc>
      </w:tr>
      <w:tr>
        <w:tc>
          <w:tcPr/>
          <w:p>
            <w:pPr>
              <w:pStyle w:val="Compact"/>
              <w:jc w:val="left"/>
            </w:pPr>
            <w:r>
              <w:t xml:space="preserve">Enterprise support</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Pricing</w:t>
            </w:r>
          </w:p>
        </w:tc>
        <w:tc>
          <w:tcPr/>
          <w:p>
            <w:pPr>
              <w:pStyle w:val="Compact"/>
              <w:jc w:val="left"/>
            </w:pPr>
            <w:r>
              <w:t xml:space="preserve">AI Gateway tier free during public preview, pricing to be announced; classic APIM tier pricing not verified</w:t>
            </w:r>
          </w:p>
        </w:tc>
        <w:tc>
          <w:tcPr/>
          <w:p>
            <w:pPr>
              <w:pStyle w:val="Compact"/>
              <w:jc w:val="left"/>
            </w:pPr>
            <w:r>
              <w:t xml:space="preserve">Verified fact</w:t>
            </w:r>
          </w:p>
        </w:tc>
        <w:tc>
          <w:tcPr/>
          <w:p>
            <w:pPr>
              <w:pStyle w:val="Compact"/>
              <w:jc w:val="left"/>
            </w:pPr>
            <w:r>
              <w:t xml:space="preserve">A6-S020</w:t>
            </w:r>
          </w:p>
        </w:tc>
      </w:tr>
      <w:tr>
        <w:tc>
          <w:tcPr/>
          <w:p>
            <w:pPr>
              <w:pStyle w:val="Compact"/>
              <w:jc w:val="left"/>
            </w:pPr>
            <w:r>
              <w:t xml:space="preserve">Infrastructure cost</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Ecosystem</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Adoption signals</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Maturity</w:t>
            </w:r>
          </w:p>
        </w:tc>
        <w:tc>
          <w:tcPr/>
          <w:p>
            <w:pPr>
              <w:pStyle w:val="Compact"/>
              <w:jc w:val="left"/>
            </w:pPr>
            <w:r>
              <w:t xml:space="preserve">Core LLM policies GA; AI Gateway tier and unified model API in preview with no SLA</w:t>
            </w:r>
          </w:p>
        </w:tc>
        <w:tc>
          <w:tcPr/>
          <w:p>
            <w:pPr>
              <w:pStyle w:val="Compact"/>
              <w:jc w:val="left"/>
            </w:pPr>
            <w:r>
              <w:t xml:space="preserve">Verified fact</w:t>
            </w:r>
          </w:p>
        </w:tc>
        <w:tc>
          <w:tcPr/>
          <w:p>
            <w:pPr>
              <w:pStyle w:val="Compact"/>
              <w:jc w:val="left"/>
            </w:pPr>
            <w:r>
              <w:t xml:space="preserve">A6-S020, A6-S053</w:t>
            </w:r>
          </w:p>
        </w:tc>
      </w:tr>
      <w:tr>
        <w:tc>
          <w:tcPr/>
          <w:p>
            <w:pPr>
              <w:pStyle w:val="Compact"/>
              <w:jc w:val="left"/>
            </w:pPr>
            <w:r>
              <w:t xml:space="preserve">Deployment</w:t>
            </w:r>
          </w:p>
        </w:tc>
        <w:tc>
          <w:tcPr/>
          <w:p>
            <w:pPr>
              <w:pStyle w:val="Compact"/>
              <w:jc w:val="left"/>
            </w:pPr>
            <w:r>
              <w:t xml:space="preserve">saas: Yes (managed Azure service); managed_cloud: Not publicly verified; vpc_byoc: Not publicly verified; private_cloud: Not publicly verified; self_hosted: Not publicly verified; on_prem: Not publicly verified</w:t>
            </w:r>
          </w:p>
        </w:tc>
        <w:tc>
          <w:tcPr/>
          <w:p>
            <w:pPr>
              <w:pStyle w:val="Compact"/>
            </w:pPr>
          </w:p>
        </w:tc>
        <w:tc>
          <w:tcPr/>
          <w:p>
            <w:pPr>
              <w:pStyle w:val="Compact"/>
            </w:pPr>
          </w:p>
        </w:tc>
      </w:tr>
    </w:tbl>
    <w:bookmarkEnd w:id="1863"/>
    <w:bookmarkStart w:id="1884" w:name="Xad7af05e82be67cf2d58d59a8168d426cf26ecb"/>
    <w:p>
      <w:pPr>
        <w:pStyle w:val="Heading2"/>
      </w:pPr>
      <w:r>
        <w:t xml:space="preserve">Amazon Bedrock AgentCore Gateway (plus</w:t>
      </w:r>
      <w:r>
        <w:t xml:space="preserve"> </w:t>
      </w:r>
      <w:r>
        <w:t xml:space="preserve">‘</w:t>
      </w:r>
      <w:r>
        <w:t xml:space="preserve">Guidance for Multi-Provider Generative AI Gateway on AWS</w:t>
      </w:r>
      <w:r>
        <w:t xml:space="preserve">’</w:t>
      </w:r>
      <w:r>
        <w:t xml:space="preserve">) (</w:t>
      </w:r>
      <w:r>
        <w:rPr>
          <w:rStyle w:val="VerbatimChar"/>
        </w:rPr>
        <w:t xml:space="preserve">C1-aws-agentcore-gateway</w:t>
      </w:r>
      <w:r>
        <w:t xml:space="preserve">)</w:t>
      </w:r>
    </w:p>
    <w:p>
      <w:pPr>
        <w:pStyle w:val="FirstParagraph"/>
      </w:pPr>
      <w:r>
        <w:rPr>
          <w:bCs/>
          <w:b/>
        </w:rPr>
        <w:t xml:space="preserve">Tier:</w:t>
      </w:r>
      <w:r>
        <w:t xml:space="preserve"> </w:t>
      </w:r>
      <w:r>
        <w:t xml:space="preserve">Strategic ·</w:t>
      </w:r>
      <w:r>
        <w:t xml:space="preserve"> </w:t>
      </w:r>
      <w:r>
        <w:rPr>
          <w:bCs/>
          <w:b/>
        </w:rPr>
        <w:t xml:space="preserve">Flags:</w:t>
      </w:r>
      <w:r>
        <w:t xml:space="preserve"> </w:t>
      </w:r>
      <w:r>
        <w:t xml:space="preserve">none ·</w:t>
      </w:r>
      <w:r>
        <w:t xml:space="preserve"> </w:t>
      </w:r>
      <w:r>
        <w:rPr>
          <w:bCs/>
          <w:b/>
        </w:rPr>
        <w:t xml:space="preserve">Original graphic label:</w:t>
      </w:r>
      <w:r>
        <w:t xml:space="preserve"> </w:t>
      </w:r>
      <w:r>
        <w:t xml:space="preserve">not in graphic</w:t>
      </w:r>
    </w:p>
    <w:p>
      <w:pPr>
        <w:pStyle w:val="BodyText"/>
      </w:pPr>
      <w:r>
        <w:rPr>
          <w:iCs/>
          <w:i/>
        </w:rPr>
        <w:t xml:space="preserve">Rationale:</w:t>
      </w:r>
      <w:r>
        <w:t xml:space="preserve"> </w:t>
      </w:r>
      <w:r>
        <w:t xml:space="preserve">Strategic, conditional: where AWS is your primary cloud (CP3 Q2, rubric rule 10), as the gateway for MCP and tool traffic. Maturity 2 is a stated condition: keep model routing on a gateway with GA inference routing until AWS states GA and Regions for inference targets. Same tier as L4-aws-agentcore-gateway-identity</w:t>
      </w:r>
      <w:r>
        <w:t xml:space="preserve"> </w:t>
      </w:r>
      <w:r>
        <w:rPr>
          <w:rStyle w:val="ClaimLabel"/>
        </w:rPr>
        <w:t xml:space="preserve">AJ</w:t>
      </w:r>
      <w:r>
        <w:t xml:space="preserve">.</w:t>
      </w:r>
    </w:p>
    <w:tbl>
      <w:tblPr>
        <w:tblStyle w:val="Table"/>
        <w:tblW w:type="pct" w:w="5000"/>
        <w:tblLook w:firstRow="1" w:lastRow="0" w:firstColumn="0" w:lastColumn="0" w:noHBand="0" w:noVBand="0" w:val="0020"/>
        <w:jc w:val="start"/>
      </w:tblPr>
      <w:tblGrid>
        <w:gridCol w:w="1545"/>
        <w:gridCol w:w="579"/>
        <w:gridCol w:w="5795"/>
      </w:tblGrid>
      <w:tr>
        <w:trPr>
          <w:tblHeader w:val="true"/>
        </w:trPr>
        <w:tc>
          <w:tcPr/>
          <w:p>
            <w:pPr>
              <w:pStyle w:val="Compact"/>
              <w:jc w:val="left"/>
            </w:pPr>
            <w:r>
              <w:t xml:space="preserve">Criterion</w:t>
            </w:r>
          </w:p>
        </w:tc>
        <w:tc>
          <w:tcPr/>
          <w:p>
            <w:pPr>
              <w:pStyle w:val="Compact"/>
              <w:jc w:val="right"/>
            </w:pPr>
            <w:r>
              <w:t xml:space="preserve">Score</w:t>
            </w:r>
          </w:p>
        </w:tc>
        <w:tc>
          <w:tcPr/>
          <w:p>
            <w:pPr>
              <w:pStyle w:val="Compact"/>
              <w:jc w:val="left"/>
            </w:pPr>
            <w:r>
              <w:t xml:space="preserve">Rationale</w:t>
            </w:r>
          </w:p>
        </w:tc>
      </w:tr>
      <w:tr>
        <w:tc>
          <w:tcPr/>
          <w:p>
            <w:pPr>
              <w:pStyle w:val="Compact"/>
              <w:jc w:val="left"/>
            </w:pPr>
            <w:r>
              <w:t xml:space="preserve">Technical</w:t>
            </w:r>
          </w:p>
        </w:tc>
        <w:tc>
          <w:tcPr/>
          <w:p>
            <w:pPr>
              <w:pStyle w:val="Compact"/>
              <w:jc w:val="right"/>
            </w:pPr>
            <w:r>
              <w:t xml:space="preserve">3</w:t>
            </w:r>
          </w:p>
        </w:tc>
        <w:tc>
          <w:tcPr/>
          <w:p>
            <w:pPr>
              <w:pStyle w:val="Compact"/>
              <w:jc w:val="left"/>
            </w:pPr>
            <w:r>
              <w:t xml:space="preserve">Strong MCP gateway and policy; LLM routing new with no GA wording; no semantic cache evidenced</w:t>
            </w:r>
            <w:r>
              <w:t xml:space="preserve"> </w:t>
            </w:r>
            <w:r>
              <w:rPr>
                <w:rStyle w:val="ClaimLabel"/>
              </w:rPr>
              <w:t xml:space="preserve">VF</w:t>
            </w:r>
            <w:r>
              <w:rPr>
                <w:rStyle w:val="FootnoteReference"/>
              </w:rPr>
              <w:footnoteReference w:id="1864"/>
            </w:r>
            <w:r>
              <w:t xml:space="preserve"> </w:t>
            </w:r>
            <w:r>
              <w:rPr>
                <w:rStyle w:val="ClaimLabel"/>
              </w:rPr>
              <w:t xml:space="preserve">NPV</w:t>
            </w:r>
          </w:p>
        </w:tc>
      </w:tr>
      <w:tr>
        <w:tc>
          <w:tcPr/>
          <w:p>
            <w:pPr>
              <w:pStyle w:val="Compact"/>
              <w:jc w:val="left"/>
            </w:pPr>
            <w:r>
              <w:t xml:space="preserve">Enterprise readiness</w:t>
            </w:r>
          </w:p>
        </w:tc>
        <w:tc>
          <w:tcPr/>
          <w:p>
            <w:pPr>
              <w:pStyle w:val="Compact"/>
              <w:jc w:val="right"/>
            </w:pPr>
            <w:r>
              <w:t xml:space="preserve">4</w:t>
            </w:r>
          </w:p>
        </w:tc>
        <w:tc>
          <w:tcPr/>
          <w:p>
            <w:pPr>
              <w:pStyle w:val="Compact"/>
              <w:jc w:val="left"/>
            </w:pPr>
            <w:r>
              <w:t xml:space="preserve">Hyperscaler presumption (CP2 Q1); IAM/JWT auth and principal rules verified</w:t>
            </w:r>
            <w:r>
              <w:t xml:space="preserve"> </w:t>
            </w:r>
            <w:r>
              <w:rPr>
                <w:rStyle w:val="ClaimLabel"/>
              </w:rPr>
              <w:t xml:space="preserve">VF</w:t>
            </w:r>
            <w:r>
              <w:rPr>
                <w:rStyle w:val="FootnoteReference"/>
              </w:rPr>
              <w:footnoteReference w:id="1865"/>
            </w:r>
            <w:r>
              <w:t xml:space="preserve">; confirm per service</w:t>
            </w:r>
          </w:p>
        </w:tc>
      </w:tr>
      <w:tr>
        <w:tc>
          <w:tcPr/>
          <w:p>
            <w:pPr>
              <w:pStyle w:val="Compact"/>
              <w:jc w:val="left"/>
            </w:pPr>
            <w:r>
              <w:t xml:space="preserve">Security and compliance</w:t>
            </w:r>
          </w:p>
        </w:tc>
        <w:tc>
          <w:tcPr/>
          <w:p>
            <w:pPr>
              <w:pStyle w:val="Compact"/>
              <w:jc w:val="right"/>
            </w:pPr>
            <w:r>
              <w:t xml:space="preserve">4</w:t>
            </w:r>
          </w:p>
        </w:tc>
        <w:tc>
          <w:tcPr/>
          <w:p>
            <w:pPr>
              <w:pStyle w:val="Compact"/>
              <w:jc w:val="left"/>
            </w:pPr>
            <w:r>
              <w:t xml:space="preserve">AgentCore in SOC 1/2/3 scope (July 2026) and assessed for ISO/IEC 27001 (February 2026)</w:t>
            </w:r>
            <w:r>
              <w:t xml:space="preserve"> </w:t>
            </w:r>
            <w:r>
              <w:rPr>
                <w:rStyle w:val="ClaimLabel"/>
              </w:rPr>
              <w:t xml:space="preserve">VF</w:t>
            </w:r>
            <w:r>
              <w:rPr>
                <w:rStyle w:val="FootnoteReference"/>
              </w:rPr>
              <w:footnoteReference w:id="1866"/>
            </w:r>
            <w:r>
              <w:t xml:space="preserve">; CMK for the token vault</w:t>
            </w:r>
            <w:r>
              <w:t xml:space="preserve"> </w:t>
            </w:r>
            <w:r>
              <w:rPr>
                <w:rStyle w:val="ClaimLabel"/>
              </w:rPr>
              <w:t xml:space="preserve">VF</w:t>
            </w:r>
            <w:r>
              <w:rPr>
                <w:rStyle w:val="FootnoteReference"/>
              </w:rPr>
              <w:footnoteReference w:id="1868"/>
            </w:r>
            <w:r>
              <w:t xml:space="preserve">. Held at 4, not 5: the ISO evidence is a partly garbled search extract and FedRAMP status conflicts</w:t>
            </w:r>
          </w:p>
        </w:tc>
      </w:tr>
      <w:tr>
        <w:tc>
          <w:tcPr/>
          <w:p>
            <w:pPr>
              <w:pStyle w:val="Compact"/>
              <w:jc w:val="left"/>
            </w:pPr>
            <w:r>
              <w:t xml:space="preserve">Deployment flexibility</w:t>
            </w:r>
          </w:p>
        </w:tc>
        <w:tc>
          <w:tcPr/>
          <w:p>
            <w:pPr>
              <w:pStyle w:val="Compact"/>
              <w:jc w:val="right"/>
            </w:pPr>
            <w:r>
              <w:t xml:space="preserve">2</w:t>
            </w:r>
          </w:p>
        </w:tc>
        <w:tc>
          <w:tcPr/>
          <w:p>
            <w:pPr>
              <w:pStyle w:val="Compact"/>
              <w:jc w:val="left"/>
            </w:pPr>
            <w:r>
              <w:t xml:space="preserve">Managed AWS service only; Gateway regional list not verified</w:t>
            </w:r>
            <w:r>
              <w:t xml:space="preserve"> </w:t>
            </w:r>
            <w:r>
              <w:rPr>
                <w:rStyle w:val="ClaimLabel"/>
              </w:rPr>
              <w:t xml:space="preserve">VF</w:t>
            </w:r>
            <w:r>
              <w:rPr>
                <w:rStyle w:val="FootnoteReference"/>
              </w:rPr>
              <w:footnoteReference w:id="1869"/>
            </w:r>
          </w:p>
        </w:tc>
      </w:tr>
      <w:tr>
        <w:tc>
          <w:tcPr/>
          <w:p>
            <w:pPr>
              <w:pStyle w:val="Compact"/>
              <w:jc w:val="left"/>
            </w:pPr>
            <w:r>
              <w:t xml:space="preserve">Ecosystem</w:t>
            </w:r>
          </w:p>
        </w:tc>
        <w:tc>
          <w:tcPr/>
          <w:p>
            <w:pPr>
              <w:pStyle w:val="Compact"/>
              <w:jc w:val="right"/>
            </w:pPr>
            <w:r>
              <w:t xml:space="preserve">3</w:t>
            </w:r>
          </w:p>
        </w:tc>
        <w:tc>
          <w:tcPr/>
          <w:p>
            <w:pPr>
              <w:pStyle w:val="Compact"/>
              <w:jc w:val="left"/>
            </w:pPr>
            <w:r>
              <w:t xml:space="preserve">MCP-native; Kong SigV4 and Entra Agent ID integrations</w:t>
            </w:r>
            <w:r>
              <w:t xml:space="preserve"> </w:t>
            </w:r>
            <w:r>
              <w:rPr>
                <w:rStyle w:val="ClaimLabel"/>
              </w:rPr>
              <w:t xml:space="preserve">VF</w:t>
            </w:r>
            <w:r>
              <w:rPr>
                <w:rStyle w:val="FootnoteReference"/>
              </w:rPr>
              <w:footnoteReference w:id="1870"/>
            </w:r>
          </w:p>
        </w:tc>
      </w:tr>
      <w:tr>
        <w:tc>
          <w:tcPr/>
          <w:p>
            <w:pPr>
              <w:pStyle w:val="Compact"/>
              <w:jc w:val="left"/>
            </w:pPr>
            <w:r>
              <w:t xml:space="preserve">Reliability and maturity</w:t>
            </w:r>
          </w:p>
        </w:tc>
        <w:tc>
          <w:tcPr/>
          <w:p>
            <w:pPr>
              <w:pStyle w:val="Compact"/>
              <w:jc w:val="right"/>
            </w:pPr>
            <w:r>
              <w:t xml:space="preserve">2</w:t>
            </w:r>
          </w:p>
        </w:tc>
        <w:tc>
          <w:tcPr/>
          <w:p>
            <w:pPr>
              <w:pStyle w:val="Compact"/>
              <w:jc w:val="left"/>
            </w:pPr>
            <w:r>
              <w:t xml:space="preserve">AgentCore GA October 2025; inference targets and token limits announced 6 August 2026 without GA wording</w:t>
            </w:r>
            <w:r>
              <w:t xml:space="preserve"> </w:t>
            </w:r>
            <w:r>
              <w:rPr>
                <w:rStyle w:val="ClaimLabel"/>
              </w:rPr>
              <w:t xml:space="preserve">VF</w:t>
            </w:r>
            <w:r>
              <w:rPr>
                <w:rStyle w:val="FootnoteReference"/>
              </w:rPr>
              <w:footnoteReference w:id="1872"/>
            </w:r>
          </w:p>
        </w:tc>
      </w:tr>
      <w:tr>
        <w:tc>
          <w:tcPr/>
          <w:p>
            <w:pPr>
              <w:pStyle w:val="Compact"/>
              <w:jc w:val="left"/>
            </w:pPr>
            <w:r>
              <w:t xml:space="preserve">Cost / TCO</w:t>
            </w:r>
          </w:p>
        </w:tc>
        <w:tc>
          <w:tcPr/>
          <w:p>
            <w:pPr>
              <w:pStyle w:val="Compact"/>
              <w:jc w:val="right"/>
            </w:pPr>
            <w:r>
              <w:t xml:space="preserve">4</w:t>
            </w:r>
          </w:p>
        </w:tc>
        <w:tc>
          <w:tcPr/>
          <w:p>
            <w:pPr>
              <w:pStyle w:val="Compact"/>
              <w:jc w:val="left"/>
            </w:pPr>
            <w:r>
              <w:t xml:space="preserve">US$0.005 per 1,000 invocations and similar unit prices</w:t>
            </w:r>
            <w:r>
              <w:t xml:space="preserve"> </w:t>
            </w:r>
            <w:r>
              <w:rPr>
                <w:rStyle w:val="ClaimLabel"/>
              </w:rPr>
              <w:t xml:space="preserve">VF</w:t>
            </w:r>
            <w:r>
              <w:rPr>
                <w:rStyle w:val="FootnoteReference"/>
              </w:rPr>
              <w:footnoteReference w:id="1874"/>
            </w:r>
          </w:p>
        </w:tc>
      </w:tr>
      <w:tr>
        <w:tc>
          <w:tcPr/>
          <w:p>
            <w:pPr>
              <w:pStyle w:val="Compact"/>
              <w:jc w:val="left"/>
            </w:pPr>
            <w:r>
              <w:t xml:space="preserve">Lock-in / portability</w:t>
            </w:r>
          </w:p>
        </w:tc>
        <w:tc>
          <w:tcPr/>
          <w:p>
            <w:pPr>
              <w:pStyle w:val="Compact"/>
              <w:jc w:val="right"/>
            </w:pPr>
            <w:r>
              <w:t xml:space="preserve">2</w:t>
            </w:r>
          </w:p>
        </w:tc>
        <w:tc>
          <w:tcPr/>
          <w:p>
            <w:pPr>
              <w:pStyle w:val="Compact"/>
              <w:jc w:val="left"/>
            </w:pPr>
            <w:r>
              <w:t xml:space="preserve">AWS-specific control plane and IAM</w:t>
            </w:r>
            <w:r>
              <w:t xml:space="preserve"> </w:t>
            </w:r>
            <w:r>
              <w:rPr>
                <w:rStyle w:val="ClaimLabel"/>
              </w:rPr>
              <w:t xml:space="preserve">VF</w:t>
            </w:r>
            <w:r>
              <w:rPr>
                <w:rStyle w:val="FootnoteReference"/>
              </w:rPr>
              <w:footnoteReference w:id="1875"/>
            </w:r>
          </w:p>
        </w:tc>
      </w:tr>
      <w:tr>
        <w:tc>
          <w:tcPr/>
          <w:p>
            <w:pPr>
              <w:pStyle w:val="Compact"/>
              <w:jc w:val="left"/>
            </w:pPr>
            <w:r>
              <w:rPr>
                <w:bCs/>
                <w:b/>
              </w:rPr>
              <w:t xml:space="preserve">Total (generic / FS)</w:t>
            </w:r>
          </w:p>
        </w:tc>
        <w:tc>
          <w:tcPr/>
          <w:p>
            <w:pPr>
              <w:pStyle w:val="Compact"/>
              <w:jc w:val="right"/>
            </w:pPr>
            <w:r>
              <w:rPr>
                <w:bCs/>
                <w:b/>
              </w:rPr>
              <w:t xml:space="preserve">3.10 / 3.00</w:t>
            </w:r>
          </w:p>
        </w:tc>
        <w:tc>
          <w:tcPr/>
          <w:p>
            <w:pPr>
              <w:pStyle w:val="Compact"/>
            </w:pPr>
          </w:p>
        </w:tc>
      </w:tr>
    </w:tbl>
    <w:p>
      <w:pPr>
        <w:pStyle w:val="BodyText"/>
      </w:pPr>
      <w:r>
        <w:rPr>
          <w:iCs/>
          <w:i/>
        </w:rPr>
        <w:t xml:space="preserve">Evidence rules applied:</w:t>
      </w:r>
      <w:r>
        <w:t xml:space="preserve"> </w:t>
      </w:r>
      <w:r>
        <w:t xml:space="preserve">enterprise_readiness set to 4 under the hyperscaler presumption (CP2 Q1): platform controls presumed; confirm per service</w:t>
      </w:r>
    </w:p>
    <w:p>
      <w:pPr>
        <w:pStyle w:val="BodyText"/>
      </w:pPr>
      <w:r>
        <w:rPr>
          <w:bCs/>
          <w:b/>
        </w:rPr>
        <w:t xml:space="preserve">Capabilities.</w:t>
      </w:r>
      <w:r>
        <w:t xml:space="preserve"> </w:t>
      </w:r>
      <w:r>
        <w:t xml:space="preserve">Managed gateway that turns APIs, Lambda functions and MCP servers into MCP tools behind one endpoint, with IAM or JWT inbound auth, request/response interceptors, Cedar policy enforcement and, newly, inference targets that route to LLM providers with token-aware rate limits; AWS has no product named</w:t>
      </w:r>
      <w:r>
        <w:t xml:space="preserve"> </w:t>
      </w:r>
      <w:r>
        <w:t xml:space="preserve">‘</w:t>
      </w:r>
      <w:r>
        <w:t xml:space="preserve">AI gateway</w:t>
      </w:r>
      <w:r>
        <w:t xml:space="preserve">’</w:t>
      </w:r>
      <w:r>
        <w:t xml:space="preserve"> </w:t>
      </w:r>
      <w:r>
        <w:rPr>
          <w:rStyle w:val="ClaimLabel"/>
        </w:rPr>
        <w:t xml:space="preserve">VF</w:t>
      </w:r>
      <w:r>
        <w:rPr>
          <w:rStyle w:val="FootnoteReference"/>
        </w:rPr>
        <w:footnoteReference w:id="1876"/>
      </w:r>
      <w:r>
        <w:t xml:space="preserve">.</w:t>
      </w:r>
    </w:p>
    <w:p>
      <w:pPr>
        <w:pStyle w:val="BodyText"/>
      </w:pPr>
      <w:r>
        <w:rPr>
          <w:bCs/>
          <w:b/>
        </w:rPr>
        <w:t xml:space="preserve">Strengths</w:t>
      </w:r>
    </w:p>
    <w:p>
      <w:pPr>
        <w:numPr>
          <w:ilvl w:val="0"/>
          <w:numId w:val="1389"/>
        </w:numPr>
        <w:pStyle w:val="Compact"/>
      </w:pPr>
      <w:r>
        <w:t xml:space="preserve">Strongest policy model for tool calls: deny-by-default Cedar policies with decisions logged to CloudWatch</w:t>
      </w:r>
      <w:r>
        <w:t xml:space="preserve"> </w:t>
      </w:r>
      <w:r>
        <w:rPr>
          <w:rStyle w:val="ClaimLabel"/>
        </w:rPr>
        <w:t xml:space="preserve">VF</w:t>
      </w:r>
      <w:r>
        <w:rPr>
          <w:rStyle w:val="FootnoteReference"/>
        </w:rPr>
        <w:footnoteReference w:id="1877"/>
      </w:r>
    </w:p>
    <w:p>
      <w:pPr>
        <w:numPr>
          <w:ilvl w:val="0"/>
          <w:numId w:val="1389"/>
        </w:numPr>
        <w:pStyle w:val="Compact"/>
      </w:pPr>
      <w:r>
        <w:t xml:space="preserve">Tracks MCP 2026-07-28</w:t>
      </w:r>
      <w:r>
        <w:t xml:space="preserve"> </w:t>
      </w:r>
      <w:r>
        <w:rPr>
          <w:rStyle w:val="ClaimLabel"/>
        </w:rPr>
        <w:t xml:space="preserve">VF</w:t>
      </w:r>
      <w:r>
        <w:rPr>
          <w:rStyle w:val="FootnoteReference"/>
        </w:rPr>
        <w:footnoteReference w:id="1878"/>
      </w:r>
    </w:p>
    <w:p>
      <w:pPr>
        <w:numPr>
          <w:ilvl w:val="0"/>
          <w:numId w:val="1389"/>
        </w:numPr>
        <w:pStyle w:val="Compact"/>
      </w:pPr>
      <w:r>
        <w:t xml:space="preserve">Low, transparent per-invocation pricing</w:t>
      </w:r>
      <w:r>
        <w:t xml:space="preserve"> </w:t>
      </w:r>
      <w:r>
        <w:rPr>
          <w:rStyle w:val="ClaimLabel"/>
        </w:rPr>
        <w:t xml:space="preserve">VF</w:t>
      </w:r>
      <w:r>
        <w:rPr>
          <w:rStyle w:val="FootnoteReference"/>
        </w:rPr>
        <w:footnoteReference w:id="1879"/>
      </w:r>
    </w:p>
    <w:p>
      <w:pPr>
        <w:pStyle w:val="FirstParagraph"/>
      </w:pPr>
      <w:r>
        <w:rPr>
          <w:bCs/>
          <w:b/>
        </w:rPr>
        <w:t xml:space="preserve">Limitations and risks</w:t>
      </w:r>
    </w:p>
    <w:p>
      <w:pPr>
        <w:numPr>
          <w:ilvl w:val="0"/>
          <w:numId w:val="1390"/>
        </w:numPr>
        <w:pStyle w:val="Compact"/>
      </w:pPr>
      <w:r>
        <w:t xml:space="preserve">No explicit GA statement or regional list for inference targets; documentation conflicts on multi-target selection</w:t>
      </w:r>
      <w:r>
        <w:t xml:space="preserve"> </w:t>
      </w:r>
      <w:r>
        <w:rPr>
          <w:rStyle w:val="ClaimLabel"/>
        </w:rPr>
        <w:t xml:space="preserve">VF</w:t>
      </w:r>
      <w:r>
        <w:rPr>
          <w:rStyle w:val="FootnoteReference"/>
        </w:rPr>
        <w:footnoteReference w:id="1880"/>
      </w:r>
    </w:p>
    <w:p>
      <w:pPr>
        <w:numPr>
          <w:ilvl w:val="0"/>
          <w:numId w:val="1390"/>
        </w:numPr>
        <w:pStyle w:val="Compact"/>
      </w:pPr>
      <w:r>
        <w:t xml:space="preserve">Fast-moving API surface (171 control-plane operations)</w:t>
      </w:r>
      <w:r>
        <w:t xml:space="preserve"> </w:t>
      </w:r>
      <w:r>
        <w:rPr>
          <w:rStyle w:val="ClaimLabel"/>
        </w:rPr>
        <w:t xml:space="preserve">VF</w:t>
      </w:r>
      <w:r>
        <w:rPr>
          <w:rStyle w:val="FootnoteReference"/>
        </w:rPr>
        <w:footnoteReference w:id="1881"/>
      </w:r>
    </w:p>
    <w:p>
      <w:pPr>
        <w:numPr>
          <w:ilvl w:val="0"/>
          <w:numId w:val="1390"/>
        </w:numPr>
        <w:pStyle w:val="Compact"/>
      </w:pPr>
      <w:r>
        <w:t xml:space="preserve">AWS-specific control plane</w:t>
      </w:r>
      <w:r>
        <w:t xml:space="preserve"> </w:t>
      </w:r>
      <w:r>
        <w:rPr>
          <w:rStyle w:val="ClaimLabel"/>
        </w:rPr>
        <w:t xml:space="preserve">VF</w:t>
      </w:r>
      <w:r>
        <w:rPr>
          <w:rStyle w:val="FootnoteReference"/>
        </w:rPr>
        <w:footnoteReference w:id="1882"/>
      </w:r>
    </w:p>
    <w:p>
      <w:pPr>
        <w:pStyle w:val="FirstParagraph"/>
      </w:pPr>
      <w:r>
        <w:rPr>
          <w:bCs/>
          <w:b/>
        </w:rPr>
        <w:t xml:space="preserve">Choose when</w:t>
      </w:r>
    </w:p>
    <w:p>
      <w:pPr>
        <w:numPr>
          <w:ilvl w:val="0"/>
          <w:numId w:val="1391"/>
        </w:numPr>
        <w:pStyle w:val="Compact"/>
      </w:pPr>
      <w:r>
        <w:t xml:space="preserve">You run agents on AWS and need governed MCP tool access with policy enforcement</w:t>
      </w:r>
      <w:r>
        <w:t xml:space="preserve"> </w:t>
      </w:r>
      <w:r>
        <w:rPr>
          <w:rStyle w:val="ClaimLabel"/>
        </w:rPr>
        <w:t xml:space="preserve">AJ</w:t>
      </w:r>
    </w:p>
    <w:p>
      <w:pPr>
        <w:pStyle w:val="FirstParagraph"/>
      </w:pPr>
      <w:r>
        <w:rPr>
          <w:bCs/>
          <w:b/>
        </w:rPr>
        <w:t xml:space="preserve">Avoid when</w:t>
      </w:r>
    </w:p>
    <w:p>
      <w:pPr>
        <w:numPr>
          <w:ilvl w:val="0"/>
          <w:numId w:val="1392"/>
        </w:numPr>
        <w:pStyle w:val="Compact"/>
      </w:pPr>
      <w:r>
        <w:t xml:space="preserve">You need a mature multi-provider LLM gateway today; use AWS’s LiteLLM-based Guidance or another C1 product for model traffic</w:t>
      </w:r>
      <w:r>
        <w:t xml:space="preserve"> </w:t>
      </w:r>
      <w:r>
        <w:rPr>
          <w:rStyle w:val="ClaimLabel"/>
        </w:rPr>
        <w:t xml:space="preserve">VF</w:t>
      </w:r>
      <w:r>
        <w:rPr>
          <w:rStyle w:val="FootnoteReference"/>
        </w:rPr>
        <w:footnoteReference w:id="1883"/>
      </w:r>
      <w:r>
        <w:t xml:space="preserve"> </w:t>
      </w:r>
      <w:r>
        <w:rPr>
          <w:rStyle w:val="ClaimLabel"/>
        </w:rPr>
        <w:t xml:space="preserve">AJ</w:t>
      </w:r>
    </w:p>
    <w:p>
      <w:pPr>
        <w:pStyle w:val="FirstParagraph"/>
      </w:pPr>
      <w:r>
        <w:rPr>
          <w:bCs/>
          <w:b/>
        </w:rPr>
        <w:t xml:space="preserve">Nearest competitors:</w:t>
      </w:r>
      <w:r>
        <w:t xml:space="preserve"> </w:t>
      </w:r>
      <w:r>
        <w:t xml:space="preserve">C1-litellm, C1-kong-ai-gateway, C1-agentgateway</w:t>
      </w:r>
    </w:p>
    <w:p>
      <w:pPr>
        <w:pStyle w:val="BodyText"/>
      </w:pPr>
      <w:r>
        <w:rPr>
          <w:bCs/>
          <w:b/>
        </w:rPr>
        <w:t xml:space="preserve">Regulated-FS note.</w:t>
      </w:r>
      <w:r>
        <w:t xml:space="preserve"> </w:t>
      </w:r>
      <w:r>
        <w:t xml:space="preserve">Use it for tool traffic first; keep model routing on a gateway with GA inference routing until AWS states GA and regions for inference targets</w:t>
      </w:r>
      <w:r>
        <w:t xml:space="preserve"> </w:t>
      </w:r>
      <w:r>
        <w:rPr>
          <w:rStyle w:val="ClaimLabel"/>
        </w:rPr>
        <w:t xml:space="preserve">Rec</w:t>
      </w:r>
      <w:r>
        <w:t xml:space="preserve">.</w:t>
      </w:r>
    </w:p>
    <w:p>
      <w:pPr>
        <w:pStyle w:val="BodyText"/>
      </w:pPr>
      <w:r>
        <w:rPr>
          <w:bCs/>
          <w:b/>
        </w:rPr>
        <w:t xml:space="preserve">Facts (as of 2026-10-07)</w:t>
      </w:r>
    </w:p>
    <w:tbl>
      <w:tblPr>
        <w:tblStyle w:val="Table"/>
        <w:tblW w:type="pct" w:w="5000"/>
        <w:tblLook w:firstRow="1" w:lastRow="0" w:firstColumn="0" w:lastColumn="0" w:noHBand="0" w:noVBand="0" w:val="0020"/>
        <w:jc w:val="start"/>
      </w:tblPr>
      <w:tblGrid>
        <w:gridCol w:w="1485"/>
        <w:gridCol w:w="4290"/>
        <w:gridCol w:w="1320"/>
        <w:gridCol w:w="825"/>
      </w:tblGrid>
      <w:tr>
        <w:trPr>
          <w:tblHeader w:val="true"/>
        </w:trPr>
        <w:tc>
          <w:tcPr/>
          <w:p>
            <w:pPr>
              <w:pStyle w:val="Compact"/>
              <w:jc w:val="left"/>
            </w:pPr>
            <w:r>
              <w:t xml:space="preserve">Field</w:t>
            </w:r>
          </w:p>
        </w:tc>
        <w:tc>
          <w:tcPr/>
          <w:p>
            <w:pPr>
              <w:pStyle w:val="Compact"/>
              <w:jc w:val="left"/>
            </w:pPr>
            <w:r>
              <w:t xml:space="preserve">Value</w:t>
            </w:r>
          </w:p>
        </w:tc>
        <w:tc>
          <w:tcPr/>
          <w:p>
            <w:pPr>
              <w:pStyle w:val="Compact"/>
              <w:jc w:val="left"/>
            </w:pPr>
            <w:r>
              <w:t xml:space="preserve">Label</w:t>
            </w:r>
          </w:p>
        </w:tc>
        <w:tc>
          <w:tcPr/>
          <w:p>
            <w:pPr>
              <w:pStyle w:val="Compact"/>
              <w:jc w:val="left"/>
            </w:pPr>
            <w:r>
              <w:t xml:space="preserve">Sources</w:t>
            </w:r>
          </w:p>
        </w:tc>
      </w:tr>
      <w:tr>
        <w:tc>
          <w:tcPr/>
          <w:p>
            <w:pPr>
              <w:pStyle w:val="Compact"/>
              <w:jc w:val="left"/>
            </w:pPr>
            <w:r>
              <w:t xml:space="preserve">Company</w:t>
            </w:r>
          </w:p>
        </w:tc>
        <w:tc>
          <w:tcPr/>
          <w:p>
            <w:pPr>
              <w:pStyle w:val="Compact"/>
              <w:jc w:val="left"/>
            </w:pPr>
            <w:r>
              <w:t xml:space="preserve">Amazon Web Services</w:t>
            </w:r>
          </w:p>
        </w:tc>
        <w:tc>
          <w:tcPr/>
          <w:p>
            <w:pPr>
              <w:pStyle w:val="Compact"/>
              <w:jc w:val="left"/>
            </w:pPr>
            <w:r>
              <w:t xml:space="preserve">Verified fact</w:t>
            </w:r>
          </w:p>
        </w:tc>
        <w:tc>
          <w:tcPr/>
          <w:p>
            <w:pPr>
              <w:pStyle w:val="Compact"/>
              <w:jc w:val="left"/>
            </w:pPr>
            <w:r>
              <w:t xml:space="preserve">A6-S021</w:t>
            </w:r>
          </w:p>
        </w:tc>
      </w:tr>
      <w:tr>
        <w:tc>
          <w:tcPr/>
          <w:p>
            <w:pPr>
              <w:pStyle w:val="Compact"/>
              <w:jc w:val="left"/>
            </w:pPr>
            <w:r>
              <w:t xml:space="preserve">Category</w:t>
            </w:r>
          </w:p>
        </w:tc>
        <w:tc>
          <w:tcPr/>
          <w:p>
            <w:pPr>
              <w:pStyle w:val="Compact"/>
              <w:jc w:val="left"/>
            </w:pPr>
            <w:r>
              <w:t xml:space="preserve">Managed agent/MCP gateway with emerging LLM inference routing; plus a LiteLLM-based reference pattern</w:t>
            </w:r>
          </w:p>
        </w:tc>
        <w:tc>
          <w:tcPr/>
          <w:p>
            <w:pPr>
              <w:pStyle w:val="Compact"/>
              <w:jc w:val="left"/>
            </w:pPr>
            <w:r>
              <w:t xml:space="preserve">Verified fact</w:t>
            </w:r>
          </w:p>
        </w:tc>
        <w:tc>
          <w:tcPr/>
          <w:p>
            <w:pPr>
              <w:pStyle w:val="Compact"/>
              <w:jc w:val="left"/>
            </w:pPr>
            <w:r>
              <w:t xml:space="preserve">A6-S021, A6-S074, A6-S022</w:t>
            </w:r>
          </w:p>
        </w:tc>
      </w:tr>
      <w:tr>
        <w:tc>
          <w:tcPr/>
          <w:p>
            <w:pPr>
              <w:pStyle w:val="Compact"/>
              <w:jc w:val="left"/>
            </w:pPr>
            <w:r>
              <w:t xml:space="preserve">Version / lineup</w:t>
            </w:r>
          </w:p>
        </w:tc>
        <w:tc>
          <w:tcPr/>
          <w:p>
            <w:pPr>
              <w:pStyle w:val="Compact"/>
              <w:jc w:val="left"/>
            </w:pPr>
            <w:r>
              <w:t xml:space="preserve">AgentCore GA October 2025; Gateway supports MCP versions 2026-07-28, 2025-11-25, 2025-06-18, 2025-03-26; inference targets documented (connectors for bedrock-mantle, openai, anthropic; provider configs for OpenAI-compatible endpoints); token-based rate limiting announced 6 August 2026</w:t>
            </w:r>
          </w:p>
        </w:tc>
        <w:tc>
          <w:tcPr/>
          <w:p>
            <w:pPr>
              <w:pStyle w:val="Compact"/>
              <w:jc w:val="left"/>
            </w:pPr>
            <w:r>
              <w:t xml:space="preserve">Verified fact</w:t>
            </w:r>
          </w:p>
        </w:tc>
        <w:tc>
          <w:tcPr/>
          <w:p>
            <w:pPr>
              <w:pStyle w:val="Compact"/>
              <w:jc w:val="left"/>
            </w:pPr>
            <w:r>
              <w:t xml:space="preserve">A6-S021, A6-S105, A6-S106, A6-S074</w:t>
            </w:r>
          </w:p>
        </w:tc>
      </w:tr>
      <w:tr>
        <w:tc>
          <w:tcPr/>
          <w:p>
            <w:pPr>
              <w:pStyle w:val="Compact"/>
              <w:jc w:val="left"/>
            </w:pPr>
            <w:r>
              <w:t xml:space="preserve">Licence</w:t>
            </w:r>
          </w:p>
        </w:tc>
        <w:tc>
          <w:tcPr/>
          <w:p>
            <w:pPr>
              <w:pStyle w:val="Compact"/>
              <w:jc w:val="left"/>
            </w:pPr>
            <w:r>
              <w:t xml:space="preserve">Proprietary managed service (Guidance pattern uses open-source LiteLLM, MIT)</w:t>
            </w:r>
          </w:p>
        </w:tc>
        <w:tc>
          <w:tcPr/>
          <w:p>
            <w:pPr>
              <w:pStyle w:val="Compact"/>
              <w:jc w:val="left"/>
            </w:pPr>
            <w:r>
              <w:t xml:space="preserve">Verified fact</w:t>
            </w:r>
          </w:p>
        </w:tc>
        <w:tc>
          <w:tcPr/>
          <w:p>
            <w:pPr>
              <w:pStyle w:val="Compact"/>
              <w:jc w:val="left"/>
            </w:pPr>
            <w:r>
              <w:t xml:space="preserve">A6-S021, A6-S022</w:t>
            </w:r>
          </w:p>
        </w:tc>
      </w:tr>
      <w:tr>
        <w:tc>
          <w:tcPr/>
          <w:p>
            <w:pPr>
              <w:pStyle w:val="Compact"/>
              <w:jc w:val="left"/>
            </w:pPr>
            <w:r>
              <w:t xml:space="preserve">Strategic direction</w:t>
            </w:r>
          </w:p>
        </w:tc>
        <w:tc>
          <w:tcPr/>
          <w:p>
            <w:pPr>
              <w:pStyle w:val="Compact"/>
              <w:jc w:val="left"/>
            </w:pPr>
            <w:r>
              <w:t xml:space="preserve">AgentCore Gateway is growing from an MCP tool gateway into a combined tool and model gateway: inference targets route to LLM providers; rate limits cover request rates, token consumption and concurrency; rules give principal-based access control and routing; Policy engines (Cedar) authorise every tool call</w:t>
            </w:r>
          </w:p>
        </w:tc>
        <w:tc>
          <w:tcPr/>
          <w:p>
            <w:pPr>
              <w:pStyle w:val="Compact"/>
              <w:jc w:val="left"/>
            </w:pPr>
            <w:r>
              <w:t xml:space="preserve">Verified fact</w:t>
            </w:r>
          </w:p>
        </w:tc>
        <w:tc>
          <w:tcPr/>
          <w:p>
            <w:pPr>
              <w:pStyle w:val="Compact"/>
              <w:jc w:val="left"/>
            </w:pPr>
            <w:r>
              <w:t xml:space="preserve">A6-S074, A6-S026</w:t>
            </w:r>
          </w:p>
        </w:tc>
      </w:tr>
      <w:tr>
        <w:tc>
          <w:tcPr/>
          <w:p>
            <w:pPr>
              <w:pStyle w:val="Compact"/>
              <w:jc w:val="left"/>
            </w:pPr>
            <w:r>
              <w:t xml:space="preserve">What it does</w:t>
            </w:r>
          </w:p>
        </w:tc>
        <w:tc>
          <w:tcPr/>
          <w:p>
            <w:pPr>
              <w:pStyle w:val="Compact"/>
              <w:jc w:val="left"/>
            </w:pPr>
            <w:r>
              <w:t xml:space="preserve">Turns APIs (OpenAPI, Smithy), Lambda functions and existing MCP servers into MCP tools behind one endpoint with inbound auth (custom JWT, IAM) and outbound credentials via AgentCore Identity, semantic tool search, request/response interceptors and policy enforcement; can route to LLM providers via inference targets. Inference targets expose an /inference path usable with the OpenAI or Anthropic SDK (route by model field;</w:t>
            </w:r>
            <w:r>
              <w:t xml:space="preserve"> </w:t>
            </w:r>
            <w:r>
              <w:t xml:space="preserve">‘</w:t>
            </w:r>
            <w:r>
              <w:t xml:space="preserve">target/model</w:t>
            </w:r>
            <w:r>
              <w:t xml:space="preserve">’</w:t>
            </w:r>
            <w:r>
              <w:t xml:space="preserve"> </w:t>
            </w:r>
            <w:r>
              <w:t xml:space="preserve">pins a provider); rate limits cover requests, tokens per minute (estimated up front, reconciled with provider usage) and connections, scoped by JWT claims, IAM</w:t>
            </w:r>
          </w:p>
        </w:tc>
        <w:tc>
          <w:tcPr/>
          <w:p>
            <w:pPr>
              <w:pStyle w:val="Compact"/>
              <w:jc w:val="left"/>
            </w:pPr>
            <w:r>
              <w:t xml:space="preserve">Verified fact</w:t>
            </w:r>
          </w:p>
        </w:tc>
        <w:tc>
          <w:tcPr/>
          <w:p>
            <w:pPr>
              <w:pStyle w:val="Compact"/>
              <w:jc w:val="left"/>
            </w:pPr>
            <w:r>
              <w:t xml:space="preserve">A6-S021, A6-S074, A6-S026, A6-S105</w:t>
            </w:r>
          </w:p>
        </w:tc>
      </w:tr>
      <w:tr>
        <w:tc>
          <w:tcPr/>
          <w:p>
            <w:pPr>
              <w:pStyle w:val="Compact"/>
              <w:jc w:val="left"/>
            </w:pPr>
            <w:r>
              <w:t xml:space="preserve">Stack position</w:t>
            </w:r>
          </w:p>
        </w:tc>
        <w:tc>
          <w:tcPr/>
          <w:p>
            <w:pPr>
              <w:pStyle w:val="Compact"/>
              <w:jc w:val="left"/>
            </w:pPr>
            <w:r>
              <w:t xml:space="preserve">Combined tool (MCP) and model (inference) gateway in the AWS agent stack; the LiteLLM-based Guidance remains AWS’s published multi-provider gateway pattern</w:t>
            </w:r>
          </w:p>
        </w:tc>
        <w:tc>
          <w:tcPr/>
          <w:p>
            <w:pPr>
              <w:pStyle w:val="Compact"/>
              <w:jc w:val="left"/>
            </w:pPr>
            <w:r>
              <w:t xml:space="preserve">Verified fact</w:t>
            </w:r>
          </w:p>
        </w:tc>
        <w:tc>
          <w:tcPr/>
          <w:p>
            <w:pPr>
              <w:pStyle w:val="Compact"/>
              <w:jc w:val="left"/>
            </w:pPr>
            <w:r>
              <w:t xml:space="preserve">A6-S105, A6-S022</w:t>
            </w:r>
          </w:p>
        </w:tc>
      </w:tr>
      <w:tr>
        <w:tc>
          <w:tcPr/>
          <w:p>
            <w:pPr>
              <w:pStyle w:val="Compact"/>
              <w:jc w:val="left"/>
            </w:pPr>
            <w:r>
              <w:t xml:space="preserve">Integration</w:t>
            </w:r>
          </w:p>
        </w:tc>
        <w:tc>
          <w:tcPr/>
          <w:p>
            <w:pPr>
              <w:pStyle w:val="Compact"/>
              <w:jc w:val="left"/>
            </w:pPr>
            <w:r>
              <w:t xml:space="preserve">MCP (protocol type MCP); authoriser types CUSTOM_JWT, AWS_IAM, NONE, AUTHENTICATE_ONLY; interception points REQUEST/RESPONSE; MCP target types OpenAPI schema, Smithy model, Lambda, MCP server, API Gateway, connector</w:t>
            </w:r>
          </w:p>
        </w:tc>
        <w:tc>
          <w:tcPr/>
          <w:p>
            <w:pPr>
              <w:pStyle w:val="Compact"/>
              <w:jc w:val="left"/>
            </w:pPr>
            <w:r>
              <w:t xml:space="preserve">Verified fact</w:t>
            </w:r>
          </w:p>
        </w:tc>
        <w:tc>
          <w:tcPr/>
          <w:p>
            <w:pPr>
              <w:pStyle w:val="Compact"/>
              <w:jc w:val="left"/>
            </w:pPr>
            <w:r>
              <w:t xml:space="preserve">A6-S074</w:t>
            </w:r>
          </w:p>
        </w:tc>
      </w:tr>
      <w:tr>
        <w:tc>
          <w:tcPr/>
          <w:p>
            <w:pPr>
              <w:pStyle w:val="Compact"/>
              <w:jc w:val="left"/>
            </w:pPr>
            <w:r>
              <w:t xml:space="preserve">Dependencies</w:t>
            </w:r>
          </w:p>
        </w:tc>
        <w:tc>
          <w:tcPr/>
          <w:p>
            <w:pPr>
              <w:pStyle w:val="Compact"/>
              <w:jc w:val="left"/>
            </w:pPr>
            <w:r>
              <w:t xml:space="preserve">AWS account; AgentCore Identity for credentials; optional AgentCore Policy engine; Guidance pattern uses ECS/EKS, ALB, WAF, CloudFront/Route 53</w:t>
            </w:r>
          </w:p>
        </w:tc>
        <w:tc>
          <w:tcPr/>
          <w:p>
            <w:pPr>
              <w:pStyle w:val="Compact"/>
              <w:jc w:val="left"/>
            </w:pPr>
            <w:r>
              <w:t xml:space="preserve">Verified fact</w:t>
            </w:r>
          </w:p>
        </w:tc>
        <w:tc>
          <w:tcPr/>
          <w:p>
            <w:pPr>
              <w:pStyle w:val="Compact"/>
              <w:jc w:val="left"/>
            </w:pPr>
            <w:r>
              <w:t xml:space="preserve">A6-S021, A6-S022, A6-S074</w:t>
            </w:r>
          </w:p>
        </w:tc>
      </w:tr>
      <w:tr>
        <w:tc>
          <w:tcPr/>
          <w:p>
            <w:pPr>
              <w:pStyle w:val="Compact"/>
              <w:jc w:val="left"/>
            </w:pPr>
            <w:r>
              <w:t xml:space="preserve">Certifications</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GDPR / residency</w:t>
            </w:r>
          </w:p>
        </w:tc>
        <w:tc>
          <w:tcPr/>
          <w:p>
            <w:pPr>
              <w:pStyle w:val="Compact"/>
              <w:jc w:val="left"/>
            </w:pPr>
            <w:r>
              <w:t xml:space="preserve">AgentCore Policy GA in 13 regions incl. Europe (Ireland); Gateway regional list not verified</w:t>
            </w:r>
          </w:p>
        </w:tc>
        <w:tc>
          <w:tcPr/>
          <w:p>
            <w:pPr>
              <w:pStyle w:val="Compact"/>
              <w:jc w:val="left"/>
            </w:pPr>
            <w:r>
              <w:t xml:space="preserve">Verified fact</w:t>
            </w:r>
          </w:p>
        </w:tc>
        <w:tc>
          <w:tcPr/>
          <w:p>
            <w:pPr>
              <w:pStyle w:val="Compact"/>
              <w:jc w:val="left"/>
            </w:pPr>
            <w:r>
              <w:t xml:space="preserve">A6-S026</w:t>
            </w:r>
          </w:p>
        </w:tc>
      </w:tr>
      <w:tr>
        <w:tc>
          <w:tcPr/>
          <w:p>
            <w:pPr>
              <w:pStyle w:val="Compact"/>
              <w:jc w:val="left"/>
            </w:pPr>
            <w:r>
              <w:t xml:space="preserve">Security features</w:t>
            </w:r>
          </w:p>
        </w:tc>
        <w:tc>
          <w:tcPr/>
          <w:p>
            <w:pPr>
              <w:pStyle w:val="Compact"/>
              <w:jc w:val="left"/>
            </w:pPr>
            <w:r>
              <w:t xml:space="preserve">Customer-managed KMS key for AgentCore token vault (SetTokenVaultCMK API); policy decisions logged to CloudWatch</w:t>
            </w:r>
          </w:p>
        </w:tc>
        <w:tc>
          <w:tcPr/>
          <w:p>
            <w:pPr>
              <w:pStyle w:val="Compact"/>
              <w:jc w:val="left"/>
            </w:pPr>
            <w:r>
              <w:t xml:space="preserve">Verified fact</w:t>
            </w:r>
          </w:p>
        </w:tc>
        <w:tc>
          <w:tcPr/>
          <w:p>
            <w:pPr>
              <w:pStyle w:val="Compact"/>
              <w:jc w:val="left"/>
            </w:pPr>
            <w:r>
              <w:t xml:space="preserve">A6-S074, A6-S026</w:t>
            </w:r>
          </w:p>
        </w:tc>
      </w:tr>
      <w:tr>
        <w:tc>
          <w:tcPr/>
          <w:p>
            <w:pPr>
              <w:pStyle w:val="Compact"/>
              <w:jc w:val="left"/>
            </w:pPr>
            <w:r>
              <w:t xml:space="preserve">Access controls</w:t>
            </w:r>
          </w:p>
        </w:tc>
        <w:tc>
          <w:tcPr/>
          <w:p>
            <w:pPr>
              <w:pStyle w:val="Compact"/>
              <w:jc w:val="left"/>
            </w:pPr>
            <w:r>
              <w:t xml:space="preserve">IAM or custom JWT inbound auth; gateway rules keyed on IAM principals; Cedar policy engine with default deny on tool calls</w:t>
            </w:r>
          </w:p>
        </w:tc>
        <w:tc>
          <w:tcPr/>
          <w:p>
            <w:pPr>
              <w:pStyle w:val="Compact"/>
              <w:jc w:val="left"/>
            </w:pPr>
            <w:r>
              <w:t xml:space="preserve">Verified fact</w:t>
            </w:r>
          </w:p>
        </w:tc>
        <w:tc>
          <w:tcPr/>
          <w:p>
            <w:pPr>
              <w:pStyle w:val="Compact"/>
              <w:jc w:val="left"/>
            </w:pPr>
            <w:r>
              <w:t xml:space="preserve">A6-S074, A6-S026</w:t>
            </w:r>
          </w:p>
        </w:tc>
      </w:tr>
      <w:tr>
        <w:tc>
          <w:tcPr/>
          <w:p>
            <w:pPr>
              <w:pStyle w:val="Compact"/>
              <w:jc w:val="left"/>
            </w:pPr>
            <w:r>
              <w:t xml:space="preserve">Enterprise support</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Pricing</w:t>
            </w:r>
          </w:p>
        </w:tc>
        <w:tc>
          <w:tcPr/>
          <w:p>
            <w:pPr>
              <w:pStyle w:val="Compact"/>
              <w:jc w:val="left"/>
            </w:pPr>
            <w:r>
              <w:t xml:space="preserve">Gateway: US$0.005 per 1,000 API invocations (ListTools, InvokeTool, Ping); US$0.025 per 1,000 Search API calls; US$0.02 per 100 tools indexed per month; data egress to customer VPC US$0.006/GB</w:t>
            </w:r>
          </w:p>
        </w:tc>
        <w:tc>
          <w:tcPr/>
          <w:p>
            <w:pPr>
              <w:pStyle w:val="Compact"/>
              <w:jc w:val="left"/>
            </w:pPr>
            <w:r>
              <w:t xml:space="preserve">Verified fact</w:t>
            </w:r>
          </w:p>
        </w:tc>
        <w:tc>
          <w:tcPr/>
          <w:p>
            <w:pPr>
              <w:pStyle w:val="Compact"/>
              <w:jc w:val="left"/>
            </w:pPr>
            <w:r>
              <w:t xml:space="preserve">A6-S021</w:t>
            </w:r>
          </w:p>
        </w:tc>
      </w:tr>
      <w:tr>
        <w:tc>
          <w:tcPr/>
          <w:p>
            <w:pPr>
              <w:pStyle w:val="Compact"/>
              <w:jc w:val="left"/>
            </w:pPr>
            <w:r>
              <w:t xml:space="preserve">Infrastructure cost</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Ecosystem</w:t>
            </w:r>
          </w:p>
        </w:tc>
        <w:tc>
          <w:tcPr/>
          <w:p>
            <w:pPr>
              <w:pStyle w:val="Compact"/>
              <w:jc w:val="left"/>
            </w:pPr>
            <w:r>
              <w:t xml:space="preserve">Kong AI Gateway 2.0 adds SigV4 auth for Bedrock AgentCore endpoints; Microsoft Entra Agent ID documents securing Bedrock agents</w:t>
            </w:r>
          </w:p>
        </w:tc>
        <w:tc>
          <w:tcPr/>
          <w:p>
            <w:pPr>
              <w:pStyle w:val="Compact"/>
              <w:jc w:val="left"/>
            </w:pPr>
            <w:r>
              <w:t xml:space="preserve">Verified fact</w:t>
            </w:r>
          </w:p>
        </w:tc>
        <w:tc>
          <w:tcPr/>
          <w:p>
            <w:pPr>
              <w:pStyle w:val="Compact"/>
              <w:jc w:val="left"/>
            </w:pPr>
            <w:r>
              <w:t xml:space="preserve">A6-S016, A6-S058</w:t>
            </w:r>
          </w:p>
        </w:tc>
      </w:tr>
      <w:tr>
        <w:tc>
          <w:tcPr/>
          <w:p>
            <w:pPr>
              <w:pStyle w:val="Compact"/>
              <w:jc w:val="left"/>
            </w:pPr>
            <w:r>
              <w:t xml:space="preserve">Adoption signals</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Maturity</w:t>
            </w:r>
          </w:p>
        </w:tc>
        <w:tc>
          <w:tcPr/>
          <w:p>
            <w:pPr>
              <w:pStyle w:val="Compact"/>
              <w:jc w:val="left"/>
            </w:pPr>
            <w:r>
              <w:t xml:space="preserve">AgentCore GA October 2025; inference targets documented and token rate limiting announced 6 August 2026, but no explicit GA statement or regional list for inference targets was found; docs conflict on multi-target selection (round-robin vs random)</w:t>
            </w:r>
          </w:p>
        </w:tc>
        <w:tc>
          <w:tcPr/>
          <w:p>
            <w:pPr>
              <w:pStyle w:val="Compact"/>
              <w:jc w:val="left"/>
            </w:pPr>
            <w:r>
              <w:t xml:space="preserve">Verified fact</w:t>
            </w:r>
          </w:p>
        </w:tc>
        <w:tc>
          <w:tcPr/>
          <w:p>
            <w:pPr>
              <w:pStyle w:val="Compact"/>
              <w:jc w:val="left"/>
            </w:pPr>
            <w:r>
              <w:t xml:space="preserve">A6-S021, A6-S105, A6-S106</w:t>
            </w:r>
          </w:p>
        </w:tc>
      </w:tr>
      <w:tr>
        <w:tc>
          <w:tcPr/>
          <w:p>
            <w:pPr>
              <w:pStyle w:val="Compact"/>
              <w:jc w:val="left"/>
            </w:pPr>
            <w:r>
              <w:t xml:space="preserve">Deployment</w:t>
            </w:r>
          </w:p>
        </w:tc>
        <w:tc>
          <w:tcPr/>
          <w:p>
            <w:pPr>
              <w:pStyle w:val="Compact"/>
              <w:jc w:val="left"/>
            </w:pPr>
            <w:r>
              <w:t xml:space="preserve">saas: Yes (managed AWS service); managed_cloud: Not publicly verified; vpc_byoc: Guidance pattern deploys into the customer’s own AWS account (ECS/EKS); private_cloud: Not publicly verified; self_hosted: Not publicly verified; on_prem: Not publicly verified</w:t>
            </w:r>
          </w:p>
        </w:tc>
        <w:tc>
          <w:tcPr/>
          <w:p>
            <w:pPr>
              <w:pStyle w:val="Compact"/>
            </w:pPr>
          </w:p>
        </w:tc>
        <w:tc>
          <w:tcPr/>
          <w:p>
            <w:pPr>
              <w:pStyle w:val="Compact"/>
            </w:pPr>
          </w:p>
        </w:tc>
      </w:tr>
    </w:tbl>
    <w:bookmarkEnd w:id="1884"/>
    <w:bookmarkStart w:id="1901" w:name="X36e0596ae4ae49aa2148092a32798a0c12bad4d"/>
    <w:p>
      <w:pPr>
        <w:pStyle w:val="Heading2"/>
      </w:pPr>
      <w:r>
        <w:t xml:space="preserve">Agent Router (formerly Envoy AI Gateway) (</w:t>
      </w:r>
      <w:r>
        <w:rPr>
          <w:rStyle w:val="VerbatimChar"/>
        </w:rPr>
        <w:t xml:space="preserve">C1-envoy-ai-gateway</w:t>
      </w:r>
      <w:r>
        <w:t xml:space="preserve">)</w:t>
      </w:r>
    </w:p>
    <w:p>
      <w:pPr>
        <w:pStyle w:val="FirstParagraph"/>
      </w:pPr>
      <w:r>
        <w:rPr>
          <w:bCs/>
          <w:b/>
        </w:rPr>
        <w:t xml:space="preserve">Tier:</w:t>
      </w:r>
      <w:r>
        <w:t xml:space="preserve"> </w:t>
      </w:r>
      <w:r>
        <w:t xml:space="preserve">Tactical ·</w:t>
      </w:r>
      <w:r>
        <w:t xml:space="preserve"> </w:t>
      </w:r>
      <w:r>
        <w:rPr>
          <w:bCs/>
          <w:b/>
        </w:rPr>
        <w:t xml:space="preserve">Flags:</w:t>
      </w:r>
      <w:r>
        <w:t xml:space="preserve"> </w:t>
      </w:r>
      <w:r>
        <w:t xml:space="preserve">Renamed ·</w:t>
      </w:r>
      <w:r>
        <w:t xml:space="preserve"> </w:t>
      </w:r>
      <w:r>
        <w:rPr>
          <w:bCs/>
          <w:b/>
        </w:rPr>
        <w:t xml:space="preserve">Original graphic label:</w:t>
      </w:r>
      <w:r>
        <w:t xml:space="preserve"> </w:t>
      </w:r>
      <w:r>
        <w:t xml:space="preserve">not in graphic</w:t>
      </w:r>
    </w:p>
    <w:p>
      <w:pPr>
        <w:pStyle w:val="BodyText"/>
      </w:pPr>
      <w:r>
        <w:rPr>
          <w:iCs/>
          <w:i/>
        </w:rPr>
        <w:t xml:space="preserve">Rationale:</w:t>
      </w:r>
      <w:r>
        <w:t xml:space="preserve"> </w:t>
      </w:r>
      <w:r>
        <w:t xml:space="preserve">Tactical: sound plumbing for Envoy estates, but narrower than the leaders and with unverified hygiene</w:t>
      </w:r>
      <w:r>
        <w:t xml:space="preserve"> </w:t>
      </w:r>
      <w:r>
        <w:rPr>
          <w:rStyle w:val="ClaimLabel"/>
        </w:rPr>
        <w:t xml:space="preserve">AJ</w:t>
      </w:r>
      <w:r>
        <w:t xml:space="preserve">.</w:t>
      </w:r>
    </w:p>
    <w:tbl>
      <w:tblPr>
        <w:tblStyle w:val="Table"/>
        <w:tblW w:type="pct" w:w="5000"/>
        <w:tblLook w:firstRow="1" w:lastRow="0" w:firstColumn="0" w:lastColumn="0" w:noHBand="0" w:noVBand="0" w:val="0020"/>
        <w:jc w:val="start"/>
      </w:tblPr>
      <w:tblGrid>
        <w:gridCol w:w="1545"/>
        <w:gridCol w:w="579"/>
        <w:gridCol w:w="5795"/>
      </w:tblGrid>
      <w:tr>
        <w:trPr>
          <w:tblHeader w:val="true"/>
        </w:trPr>
        <w:tc>
          <w:tcPr/>
          <w:p>
            <w:pPr>
              <w:pStyle w:val="Compact"/>
              <w:jc w:val="left"/>
            </w:pPr>
            <w:r>
              <w:t xml:space="preserve">Criterion</w:t>
            </w:r>
          </w:p>
        </w:tc>
        <w:tc>
          <w:tcPr/>
          <w:p>
            <w:pPr>
              <w:pStyle w:val="Compact"/>
              <w:jc w:val="right"/>
            </w:pPr>
            <w:r>
              <w:t xml:space="preserve">Score</w:t>
            </w:r>
          </w:p>
        </w:tc>
        <w:tc>
          <w:tcPr/>
          <w:p>
            <w:pPr>
              <w:pStyle w:val="Compact"/>
              <w:jc w:val="left"/>
            </w:pPr>
            <w:r>
              <w:t xml:space="preserve">Rationale</w:t>
            </w:r>
          </w:p>
        </w:tc>
      </w:tr>
      <w:tr>
        <w:tc>
          <w:tcPr/>
          <w:p>
            <w:pPr>
              <w:pStyle w:val="Compact"/>
              <w:jc w:val="left"/>
            </w:pPr>
            <w:r>
              <w:t xml:space="preserve">Technical</w:t>
            </w:r>
          </w:p>
        </w:tc>
        <w:tc>
          <w:tcPr/>
          <w:p>
            <w:pPr>
              <w:pStyle w:val="Compact"/>
              <w:jc w:val="right"/>
            </w:pPr>
            <w:r>
              <w:t xml:space="preserve">3</w:t>
            </w:r>
          </w:p>
        </w:tc>
        <w:tc>
          <w:tcPr/>
          <w:p>
            <w:pPr>
              <w:pStyle w:val="Compact"/>
              <w:jc w:val="left"/>
            </w:pPr>
            <w:r>
              <w:t xml:space="preserve">Routing, quotas, failover, credentials and attribution for LLM and MCP</w:t>
            </w:r>
            <w:r>
              <w:t xml:space="preserve"> </w:t>
            </w:r>
            <w:r>
              <w:rPr>
                <w:rStyle w:val="ClaimLabel"/>
              </w:rPr>
              <w:t xml:space="preserve">VF</w:t>
            </w:r>
            <w:r>
              <w:rPr>
                <w:rStyle w:val="FootnoteReference"/>
              </w:rPr>
              <w:footnoteReference w:id="1885"/>
            </w:r>
            <w:r>
              <w:t xml:space="preserve">; guardrails and caching not verified</w:t>
            </w:r>
            <w:r>
              <w:t xml:space="preserve"> </w:t>
            </w:r>
            <w:r>
              <w:rPr>
                <w:rStyle w:val="ClaimLabel"/>
              </w:rPr>
              <w:t xml:space="preserve">NPV</w:t>
            </w:r>
          </w:p>
        </w:tc>
      </w:tr>
      <w:tr>
        <w:tc>
          <w:tcPr/>
          <w:p>
            <w:pPr>
              <w:pStyle w:val="Compact"/>
              <w:jc w:val="left"/>
            </w:pPr>
            <w:r>
              <w:t xml:space="preserve">Enterprise readiness</w:t>
            </w:r>
          </w:p>
        </w:tc>
        <w:tc>
          <w:tcPr/>
          <w:p>
            <w:pPr>
              <w:pStyle w:val="Compact"/>
              <w:jc w:val="right"/>
            </w:pPr>
            <w:r>
              <w:t xml:space="preserve">2</w:t>
            </w:r>
          </w:p>
        </w:tc>
        <w:tc>
          <w:tcPr/>
          <w:p>
            <w:pPr>
              <w:pStyle w:val="Compact"/>
              <w:jc w:val="left"/>
            </w:pPr>
            <w:r>
              <w:t xml:space="preserve">Rule 2: Tier One gateway centralises auth and rate limits</w:t>
            </w:r>
            <w:r>
              <w:t xml:space="preserve"> </w:t>
            </w:r>
            <w:r>
              <w:rPr>
                <w:rStyle w:val="ClaimLabel"/>
              </w:rPr>
              <w:t xml:space="preserve">VF</w:t>
            </w:r>
            <w:r>
              <w:rPr>
                <w:rStyle w:val="FootnoteReference"/>
              </w:rPr>
              <w:footnoteReference w:id="1887"/>
            </w:r>
            <w:r>
              <w:t xml:space="preserve">; RBAC and audit not verified; no commercial support offer verified beyond a listed</w:t>
            </w:r>
            <w:r>
              <w:t xml:space="preserve"> </w:t>
            </w:r>
            <w:r>
              <w:t xml:space="preserve">‘</w:t>
            </w:r>
            <w:r>
              <w:t xml:space="preserve">Tetrate Agent Router Service</w:t>
            </w:r>
            <w:r>
              <w:t xml:space="preserve">’</w:t>
            </w:r>
            <w:r>
              <w:t xml:space="preserve"> </w:t>
            </w:r>
            <w:r>
              <w:t xml:space="preserve">provider</w:t>
            </w:r>
            <w:r>
              <w:t xml:space="preserve"> </w:t>
            </w:r>
            <w:r>
              <w:rPr>
                <w:rStyle w:val="ClaimLabel"/>
              </w:rPr>
              <w:t xml:space="preserve">VF</w:t>
            </w:r>
            <w:r>
              <w:rPr>
                <w:rStyle w:val="FootnoteReference"/>
              </w:rPr>
              <w:footnoteReference w:id="1888"/>
            </w:r>
          </w:p>
        </w:tc>
      </w:tr>
      <w:tr>
        <w:tc>
          <w:tcPr/>
          <w:p>
            <w:pPr>
              <w:pStyle w:val="Compact"/>
              <w:jc w:val="left"/>
            </w:pPr>
            <w:r>
              <w:t xml:space="preserve">Security and compliance</w:t>
            </w:r>
          </w:p>
        </w:tc>
        <w:tc>
          <w:tcPr/>
          <w:p>
            <w:pPr>
              <w:pStyle w:val="Compact"/>
              <w:jc w:val="right"/>
            </w:pPr>
            <w:r>
              <w:t xml:space="preserve">2</w:t>
            </w:r>
          </w:p>
        </w:tc>
        <w:tc>
          <w:tcPr/>
          <w:p>
            <w:pPr>
              <w:pStyle w:val="Compact"/>
              <w:jc w:val="left"/>
            </w:pPr>
            <w:r>
              <w:t xml:space="preserve">Rule 2 hygiene not verified</w:t>
            </w:r>
            <w:r>
              <w:t xml:space="preserve"> </w:t>
            </w:r>
            <w:r>
              <w:rPr>
                <w:rStyle w:val="ClaimLabel"/>
              </w:rPr>
              <w:t xml:space="preserve">NPV</w:t>
            </w:r>
          </w:p>
        </w:tc>
      </w:tr>
      <w:tr>
        <w:tc>
          <w:tcPr/>
          <w:p>
            <w:pPr>
              <w:pStyle w:val="Compact"/>
              <w:jc w:val="left"/>
            </w:pPr>
            <w:r>
              <w:t xml:space="preserve">Deployment flexibility</w:t>
            </w:r>
          </w:p>
        </w:tc>
        <w:tc>
          <w:tcPr/>
          <w:p>
            <w:pPr>
              <w:pStyle w:val="Compact"/>
              <w:jc w:val="right"/>
            </w:pPr>
            <w:r>
              <w:t xml:space="preserve">3</w:t>
            </w:r>
          </w:p>
        </w:tc>
        <w:tc>
          <w:tcPr/>
          <w:p>
            <w:pPr>
              <w:pStyle w:val="Compact"/>
              <w:jc w:val="left"/>
            </w:pPr>
            <w:r>
              <w:t xml:space="preserve">Self-hosted on Kubernetes only</w:t>
            </w:r>
            <w:r>
              <w:t xml:space="preserve"> </w:t>
            </w:r>
            <w:r>
              <w:rPr>
                <w:rStyle w:val="ClaimLabel"/>
              </w:rPr>
              <w:t xml:space="preserve">VF</w:t>
            </w:r>
            <w:r>
              <w:rPr>
                <w:rStyle w:val="FootnoteReference"/>
              </w:rPr>
              <w:footnoteReference w:id="1889"/>
            </w:r>
          </w:p>
        </w:tc>
      </w:tr>
      <w:tr>
        <w:tc>
          <w:tcPr/>
          <w:p>
            <w:pPr>
              <w:pStyle w:val="Compact"/>
              <w:jc w:val="left"/>
            </w:pPr>
            <w:r>
              <w:t xml:space="preserve">Ecosystem</w:t>
            </w:r>
          </w:p>
        </w:tc>
        <w:tc>
          <w:tcPr/>
          <w:p>
            <w:pPr>
              <w:pStyle w:val="Compact"/>
              <w:jc w:val="right"/>
            </w:pPr>
            <w:r>
              <w:t xml:space="preserve">3</w:t>
            </w:r>
          </w:p>
        </w:tc>
        <w:tc>
          <w:tcPr/>
          <w:p>
            <w:pPr>
              <w:pStyle w:val="Compact"/>
              <w:jc w:val="left"/>
            </w:pPr>
            <w:r>
              <w:t xml:space="preserve">Envoy ecosystem; OpenAI-compatible API</w:t>
            </w:r>
            <w:r>
              <w:t xml:space="preserve"> </w:t>
            </w:r>
            <w:r>
              <w:rPr>
                <w:rStyle w:val="ClaimLabel"/>
              </w:rPr>
              <w:t xml:space="preserve">VF</w:t>
            </w:r>
            <w:r>
              <w:rPr>
                <w:rStyle w:val="FootnoteReference"/>
              </w:rPr>
              <w:footnoteReference w:id="1890"/>
            </w:r>
          </w:p>
        </w:tc>
      </w:tr>
      <w:tr>
        <w:tc>
          <w:tcPr/>
          <w:p>
            <w:pPr>
              <w:pStyle w:val="Compact"/>
              <w:jc w:val="left"/>
            </w:pPr>
            <w:r>
              <w:t xml:space="preserve">Reliability and maturity</w:t>
            </w:r>
          </w:p>
        </w:tc>
        <w:tc>
          <w:tcPr/>
          <w:p>
            <w:pPr>
              <w:pStyle w:val="Compact"/>
              <w:jc w:val="right"/>
            </w:pPr>
            <w:r>
              <w:t xml:space="preserve">3</w:t>
            </w:r>
          </w:p>
        </w:tc>
        <w:tc>
          <w:tcPr/>
          <w:p>
            <w:pPr>
              <w:pStyle w:val="Compact"/>
              <w:jc w:val="left"/>
            </w:pPr>
            <w:r>
              <w:t xml:space="preserve">1.x line, v1.2.0 on 6 October 2026; renamed and moved in 2026</w:t>
            </w:r>
            <w:r>
              <w:t xml:space="preserve"> </w:t>
            </w:r>
            <w:r>
              <w:rPr>
                <w:rStyle w:val="ClaimLabel"/>
              </w:rPr>
              <w:t xml:space="preserve">VF</w:t>
            </w:r>
            <w:r>
              <w:rPr>
                <w:rStyle w:val="FootnoteReference"/>
              </w:rPr>
              <w:footnoteReference w:id="1891"/>
            </w:r>
          </w:p>
        </w:tc>
      </w:tr>
      <w:tr>
        <w:tc>
          <w:tcPr/>
          <w:p>
            <w:pPr>
              <w:pStyle w:val="Compact"/>
              <w:jc w:val="left"/>
            </w:pPr>
            <w:r>
              <w:t xml:space="preserve">Cost / TCO</w:t>
            </w:r>
          </w:p>
        </w:tc>
        <w:tc>
          <w:tcPr/>
          <w:p>
            <w:pPr>
              <w:pStyle w:val="Compact"/>
              <w:jc w:val="right"/>
            </w:pPr>
            <w:r>
              <w:t xml:space="preserve">4</w:t>
            </w:r>
          </w:p>
        </w:tc>
        <w:tc>
          <w:tcPr/>
          <w:p>
            <w:pPr>
              <w:pStyle w:val="Compact"/>
              <w:jc w:val="left"/>
            </w:pPr>
            <w:r>
              <w:t xml:space="preserve">Free open source; Kubernetes operations</w:t>
            </w:r>
            <w:r>
              <w:t xml:space="preserve"> </w:t>
            </w:r>
            <w:r>
              <w:rPr>
                <w:rStyle w:val="ClaimLabel"/>
              </w:rPr>
              <w:t xml:space="preserve">VF</w:t>
            </w:r>
            <w:r>
              <w:rPr>
                <w:rStyle w:val="FootnoteReference"/>
              </w:rPr>
              <w:footnoteReference w:id="1893"/>
            </w:r>
          </w:p>
        </w:tc>
      </w:tr>
      <w:tr>
        <w:tc>
          <w:tcPr/>
          <w:p>
            <w:pPr>
              <w:pStyle w:val="Compact"/>
              <w:jc w:val="left"/>
            </w:pPr>
            <w:r>
              <w:t xml:space="preserve">Lock-in / portability</w:t>
            </w:r>
          </w:p>
        </w:tc>
        <w:tc>
          <w:tcPr/>
          <w:p>
            <w:pPr>
              <w:pStyle w:val="Compact"/>
              <w:jc w:val="right"/>
            </w:pPr>
            <w:r>
              <w:t xml:space="preserve">5</w:t>
            </w:r>
          </w:p>
        </w:tc>
        <w:tc>
          <w:tcPr/>
          <w:p>
            <w:pPr>
              <w:pStyle w:val="Compact"/>
              <w:jc w:val="left"/>
            </w:pPr>
            <w:r>
              <w:t xml:space="preserve">Apache-2.0, neutral foundation</w:t>
            </w:r>
            <w:r>
              <w:t xml:space="preserve"> </w:t>
            </w:r>
            <w:r>
              <w:rPr>
                <w:rStyle w:val="ClaimLabel"/>
              </w:rPr>
              <w:t xml:space="preserve">VF</w:t>
            </w:r>
            <w:r>
              <w:rPr>
                <w:rStyle w:val="FootnoteReference"/>
              </w:rPr>
              <w:footnoteReference w:id="1894"/>
            </w:r>
          </w:p>
        </w:tc>
      </w:tr>
      <w:tr>
        <w:tc>
          <w:tcPr/>
          <w:p>
            <w:pPr>
              <w:pStyle w:val="Compact"/>
              <w:jc w:val="left"/>
            </w:pPr>
            <w:r>
              <w:rPr>
                <w:bCs/>
                <w:b/>
              </w:rPr>
              <w:t xml:space="preserve">Total (generic / FS)</w:t>
            </w:r>
          </w:p>
        </w:tc>
        <w:tc>
          <w:tcPr/>
          <w:p>
            <w:pPr>
              <w:pStyle w:val="Compact"/>
              <w:jc w:val="right"/>
            </w:pPr>
            <w:r>
              <w:rPr>
                <w:bCs/>
                <w:b/>
              </w:rPr>
              <w:t xml:space="preserve">2.90 / 3.00</w:t>
            </w:r>
          </w:p>
        </w:tc>
        <w:tc>
          <w:tcPr/>
          <w:p>
            <w:pPr>
              <w:pStyle w:val="Compact"/>
            </w:pPr>
          </w:p>
        </w:tc>
      </w:tr>
    </w:tbl>
    <w:p>
      <w:pPr>
        <w:pStyle w:val="BodyText"/>
      </w:pPr>
      <w:r>
        <w:rPr>
          <w:iCs/>
          <w:i/>
        </w:rPr>
        <w:t xml:space="preserve">Evidence rules applied:</w:t>
      </w:r>
      <w:r>
        <w:t xml:space="preserve"> </w:t>
      </w:r>
      <w:r>
        <w:t xml:space="preserve">Rule 2 basis: self-hosted open-source software; NPV cap not applied</w:t>
      </w:r>
    </w:p>
    <w:p>
      <w:pPr>
        <w:pStyle w:val="BodyText"/>
      </w:pPr>
      <w:r>
        <w:rPr>
          <w:bCs/>
          <w:b/>
        </w:rPr>
        <w:t xml:space="preserve">Capabilities.</w:t>
      </w:r>
      <w:r>
        <w:t xml:space="preserve"> </w:t>
      </w:r>
      <w:r>
        <w:t xml:space="preserve">Agent Router (formerly Envoy AI Gateway): one OpenAI-compatible API for hosted and self-hosted models and MCP servers, with centralised credentials, routing, quotas, failover and usage attribution enforced by Envoy and Envoy Gateway, in a two-tier design</w:t>
      </w:r>
      <w:r>
        <w:t xml:space="preserve"> </w:t>
      </w:r>
      <w:r>
        <w:rPr>
          <w:rStyle w:val="ClaimLabel"/>
        </w:rPr>
        <w:t xml:space="preserve">VF</w:t>
      </w:r>
      <w:r>
        <w:rPr>
          <w:rStyle w:val="FootnoteReference"/>
        </w:rPr>
        <w:footnoteReference w:id="1895"/>
      </w:r>
      <w:r>
        <w:t xml:space="preserve">.</w:t>
      </w:r>
    </w:p>
    <w:p>
      <w:pPr>
        <w:pStyle w:val="BodyText"/>
      </w:pPr>
      <w:r>
        <w:rPr>
          <w:bCs/>
          <w:b/>
        </w:rPr>
        <w:t xml:space="preserve">Strengths</w:t>
      </w:r>
    </w:p>
    <w:p>
      <w:pPr>
        <w:numPr>
          <w:ilvl w:val="0"/>
          <w:numId w:val="1393"/>
        </w:numPr>
        <w:pStyle w:val="Compact"/>
      </w:pPr>
      <w:r>
        <w:t xml:space="preserve">Built on Envoy, which many Kubernetes platforms already run</w:t>
      </w:r>
      <w:r>
        <w:t xml:space="preserve"> </w:t>
      </w:r>
      <w:r>
        <w:rPr>
          <w:rStyle w:val="ClaimLabel"/>
        </w:rPr>
        <w:t xml:space="preserve">VF</w:t>
      </w:r>
      <w:r>
        <w:rPr>
          <w:rStyle w:val="FootnoteReference"/>
        </w:rPr>
        <w:footnoteReference w:id="1896"/>
      </w:r>
      <w:r>
        <w:t xml:space="preserve"> </w:t>
      </w:r>
      <w:r>
        <w:rPr>
          <w:rStyle w:val="ClaimLabel"/>
        </w:rPr>
        <w:t xml:space="preserve">AJ</w:t>
      </w:r>
    </w:p>
    <w:p>
      <w:pPr>
        <w:numPr>
          <w:ilvl w:val="0"/>
          <w:numId w:val="1393"/>
        </w:numPr>
        <w:pStyle w:val="Compact"/>
      </w:pPr>
      <w:r>
        <w:t xml:space="preserve">Apache-2.0 under the Agentic AI Foundation</w:t>
      </w:r>
      <w:r>
        <w:t xml:space="preserve"> </w:t>
      </w:r>
      <w:r>
        <w:rPr>
          <w:rStyle w:val="ClaimLabel"/>
        </w:rPr>
        <w:t xml:space="preserve">VF</w:t>
      </w:r>
      <w:r>
        <w:rPr>
          <w:rStyle w:val="FootnoteReference"/>
        </w:rPr>
        <w:footnoteReference w:id="1897"/>
      </w:r>
    </w:p>
    <w:p>
      <w:pPr>
        <w:numPr>
          <w:ilvl w:val="0"/>
          <w:numId w:val="1393"/>
        </w:numPr>
        <w:pStyle w:val="Compact"/>
      </w:pPr>
      <w:r>
        <w:t xml:space="preserve">Usage attribution and quotas suit chargeback</w:t>
      </w:r>
      <w:r>
        <w:t xml:space="preserve"> </w:t>
      </w:r>
      <w:r>
        <w:rPr>
          <w:rStyle w:val="ClaimLabel"/>
        </w:rPr>
        <w:t xml:space="preserve">VF</w:t>
      </w:r>
      <w:r>
        <w:rPr>
          <w:rStyle w:val="FootnoteReference"/>
        </w:rPr>
        <w:footnoteReference w:id="1898"/>
      </w:r>
    </w:p>
    <w:p>
      <w:pPr>
        <w:pStyle w:val="FirstParagraph"/>
      </w:pPr>
      <w:r>
        <w:rPr>
          <w:bCs/>
          <w:b/>
        </w:rPr>
        <w:t xml:space="preserve">Limitations and risks</w:t>
      </w:r>
    </w:p>
    <w:p>
      <w:pPr>
        <w:numPr>
          <w:ilvl w:val="0"/>
          <w:numId w:val="1394"/>
        </w:numPr>
        <w:pStyle w:val="Compact"/>
      </w:pPr>
      <w:r>
        <w:t xml:space="preserve">Renamed and moved foundation in 2026; repository moved</w:t>
      </w:r>
      <w:r>
        <w:t xml:space="preserve"> </w:t>
      </w:r>
      <w:r>
        <w:rPr>
          <w:rStyle w:val="ClaimLabel"/>
        </w:rPr>
        <w:t xml:space="preserve">VF</w:t>
      </w:r>
      <w:r>
        <w:rPr>
          <w:rStyle w:val="FootnoteReference"/>
        </w:rPr>
        <w:footnoteReference w:id="1899"/>
      </w:r>
    </w:p>
    <w:p>
      <w:pPr>
        <w:numPr>
          <w:ilvl w:val="0"/>
          <w:numId w:val="1394"/>
        </w:numPr>
        <w:pStyle w:val="Compact"/>
      </w:pPr>
      <w:r>
        <w:t xml:space="preserve">Access control, security features and hygiene not verified</w:t>
      </w:r>
      <w:r>
        <w:t xml:space="preserve"> </w:t>
      </w:r>
      <w:r>
        <w:rPr>
          <w:rStyle w:val="ClaimLabel"/>
        </w:rPr>
        <w:t xml:space="preserve">NPV</w:t>
      </w:r>
    </w:p>
    <w:p>
      <w:pPr>
        <w:numPr>
          <w:ilvl w:val="0"/>
          <w:numId w:val="1394"/>
        </w:numPr>
        <w:pStyle w:val="Compact"/>
      </w:pPr>
      <w:r>
        <w:t xml:space="preserve">Kubernetes and Envoy Gateway required</w:t>
      </w:r>
      <w:r>
        <w:t xml:space="preserve"> </w:t>
      </w:r>
      <w:r>
        <w:rPr>
          <w:rStyle w:val="ClaimLabel"/>
        </w:rPr>
        <w:t xml:space="preserve">VF</w:t>
      </w:r>
      <w:r>
        <w:rPr>
          <w:rStyle w:val="FootnoteReference"/>
        </w:rPr>
        <w:footnoteReference w:id="1900"/>
      </w:r>
    </w:p>
    <w:p>
      <w:pPr>
        <w:pStyle w:val="FirstParagraph"/>
      </w:pPr>
      <w:r>
        <w:rPr>
          <w:bCs/>
          <w:b/>
        </w:rPr>
        <w:t xml:space="preserve">Choose when</w:t>
      </w:r>
    </w:p>
    <w:p>
      <w:pPr>
        <w:numPr>
          <w:ilvl w:val="0"/>
          <w:numId w:val="1395"/>
        </w:numPr>
        <w:pStyle w:val="Compact"/>
      </w:pPr>
      <w:r>
        <w:t xml:space="preserve">Your platform team runs Envoy Gateway and wants AI routing in the same mesh</w:t>
      </w:r>
      <w:r>
        <w:t xml:space="preserve"> </w:t>
      </w:r>
      <w:r>
        <w:rPr>
          <w:rStyle w:val="ClaimLabel"/>
        </w:rPr>
        <w:t xml:space="preserve">AJ</w:t>
      </w:r>
    </w:p>
    <w:p>
      <w:pPr>
        <w:pStyle w:val="FirstParagraph"/>
      </w:pPr>
      <w:r>
        <w:rPr>
          <w:bCs/>
          <w:b/>
        </w:rPr>
        <w:t xml:space="preserve">Avoid when</w:t>
      </w:r>
    </w:p>
    <w:p>
      <w:pPr>
        <w:numPr>
          <w:ilvl w:val="0"/>
          <w:numId w:val="1396"/>
        </w:numPr>
        <w:pStyle w:val="Compact"/>
      </w:pPr>
      <w:r>
        <w:t xml:space="preserve">You do not run Kubernetes, or need guardrail and caching features in the gateway itself</w:t>
      </w:r>
      <w:r>
        <w:t xml:space="preserve"> </w:t>
      </w:r>
      <w:r>
        <w:rPr>
          <w:rStyle w:val="ClaimLabel"/>
        </w:rPr>
        <w:t xml:space="preserve">AJ</w:t>
      </w:r>
    </w:p>
    <w:p>
      <w:pPr>
        <w:pStyle w:val="FirstParagraph"/>
      </w:pPr>
      <w:r>
        <w:rPr>
          <w:bCs/>
          <w:b/>
        </w:rPr>
        <w:t xml:space="preserve">Nearest competitors:</w:t>
      </w:r>
      <w:r>
        <w:t xml:space="preserve"> </w:t>
      </w:r>
      <w:r>
        <w:t xml:space="preserve">C1-agentgateway, C1-litellm, C1-kong-ai-gateway</w:t>
      </w:r>
    </w:p>
    <w:p>
      <w:pPr>
        <w:pStyle w:val="BodyText"/>
      </w:pPr>
      <w:r>
        <w:rPr>
          <w:bCs/>
          <w:b/>
        </w:rPr>
        <w:t xml:space="preserve">Regulated-FS note.</w:t>
      </w:r>
      <w:r>
        <w:t xml:space="preserve"> </w:t>
      </w:r>
      <w:r>
        <w:t xml:space="preserve">Treat as platform plumbing: pair with a separate guardrail service and log store, and track the rename in the software inventory</w:t>
      </w:r>
      <w:r>
        <w:t xml:space="preserve"> </w:t>
      </w:r>
      <w:r>
        <w:rPr>
          <w:rStyle w:val="ClaimLabel"/>
        </w:rPr>
        <w:t xml:space="preserve">Rec</w:t>
      </w:r>
      <w:r>
        <w:t xml:space="preserve">.</w:t>
      </w:r>
    </w:p>
    <w:p>
      <w:pPr>
        <w:pStyle w:val="BodyText"/>
      </w:pPr>
      <w:r>
        <w:rPr>
          <w:bCs/>
          <w:b/>
        </w:rPr>
        <w:t xml:space="preserve">Facts (as of 2026-10-08)</w:t>
      </w:r>
    </w:p>
    <w:tbl>
      <w:tblPr>
        <w:tblStyle w:val="Table"/>
        <w:tblW w:type="pct" w:w="5000"/>
        <w:tblLook w:firstRow="1" w:lastRow="0" w:firstColumn="0" w:lastColumn="0" w:noHBand="0" w:noVBand="0" w:val="0020"/>
        <w:jc w:val="start"/>
      </w:tblPr>
      <w:tblGrid>
        <w:gridCol w:w="1485"/>
        <w:gridCol w:w="4290"/>
        <w:gridCol w:w="1320"/>
        <w:gridCol w:w="825"/>
      </w:tblGrid>
      <w:tr>
        <w:trPr>
          <w:tblHeader w:val="true"/>
        </w:trPr>
        <w:tc>
          <w:tcPr/>
          <w:p>
            <w:pPr>
              <w:pStyle w:val="Compact"/>
              <w:jc w:val="left"/>
            </w:pPr>
            <w:r>
              <w:t xml:space="preserve">Field</w:t>
            </w:r>
          </w:p>
        </w:tc>
        <w:tc>
          <w:tcPr/>
          <w:p>
            <w:pPr>
              <w:pStyle w:val="Compact"/>
              <w:jc w:val="left"/>
            </w:pPr>
            <w:r>
              <w:t xml:space="preserve">Value</w:t>
            </w:r>
          </w:p>
        </w:tc>
        <w:tc>
          <w:tcPr/>
          <w:p>
            <w:pPr>
              <w:pStyle w:val="Compact"/>
              <w:jc w:val="left"/>
            </w:pPr>
            <w:r>
              <w:t xml:space="preserve">Label</w:t>
            </w:r>
          </w:p>
        </w:tc>
        <w:tc>
          <w:tcPr/>
          <w:p>
            <w:pPr>
              <w:pStyle w:val="Compact"/>
              <w:jc w:val="left"/>
            </w:pPr>
            <w:r>
              <w:t xml:space="preserve">Sources</w:t>
            </w:r>
          </w:p>
        </w:tc>
      </w:tr>
      <w:tr>
        <w:tc>
          <w:tcPr/>
          <w:p>
            <w:pPr>
              <w:pStyle w:val="Compact"/>
              <w:jc w:val="left"/>
            </w:pPr>
            <w:r>
              <w:t xml:space="preserve">Company</w:t>
            </w:r>
          </w:p>
        </w:tc>
        <w:tc>
          <w:tcPr/>
          <w:p>
            <w:pPr>
              <w:pStyle w:val="Compact"/>
              <w:jc w:val="left"/>
            </w:pPr>
            <w:r>
              <w:t xml:space="preserve">Agentic AI Foundation project (formerly under the Envoy project)</w:t>
            </w:r>
          </w:p>
        </w:tc>
        <w:tc>
          <w:tcPr/>
          <w:p>
            <w:pPr>
              <w:pStyle w:val="Compact"/>
              <w:jc w:val="left"/>
            </w:pPr>
            <w:r>
              <w:t xml:space="preserve">Verified fact</w:t>
            </w:r>
          </w:p>
        </w:tc>
        <w:tc>
          <w:tcPr/>
          <w:p>
            <w:pPr>
              <w:pStyle w:val="Compact"/>
              <w:jc w:val="left"/>
            </w:pPr>
            <w:r>
              <w:t xml:space="preserve">A6-S063</w:t>
            </w:r>
          </w:p>
        </w:tc>
      </w:tr>
      <w:tr>
        <w:tc>
          <w:tcPr/>
          <w:p>
            <w:pPr>
              <w:pStyle w:val="Compact"/>
              <w:jc w:val="left"/>
            </w:pPr>
            <w:r>
              <w:t xml:space="preserve">Category</w:t>
            </w:r>
          </w:p>
        </w:tc>
        <w:tc>
          <w:tcPr/>
          <w:p>
            <w:pPr>
              <w:pStyle w:val="Compact"/>
              <w:jc w:val="left"/>
            </w:pPr>
            <w:r>
              <w:t xml:space="preserve">Open-source AI gateway on Envoy Proxy / Envoy Gateway (Kubernetes)</w:t>
            </w:r>
          </w:p>
        </w:tc>
        <w:tc>
          <w:tcPr/>
          <w:p>
            <w:pPr>
              <w:pStyle w:val="Compact"/>
              <w:jc w:val="left"/>
            </w:pPr>
            <w:r>
              <w:t xml:space="preserve">Verified fact</w:t>
            </w:r>
          </w:p>
        </w:tc>
        <w:tc>
          <w:tcPr/>
          <w:p>
            <w:pPr>
              <w:pStyle w:val="Compact"/>
              <w:jc w:val="left"/>
            </w:pPr>
            <w:r>
              <w:t xml:space="preserve">A6-S063</w:t>
            </w:r>
          </w:p>
        </w:tc>
      </w:tr>
      <w:tr>
        <w:tc>
          <w:tcPr/>
          <w:p>
            <w:pPr>
              <w:pStyle w:val="Compact"/>
              <w:jc w:val="left"/>
            </w:pPr>
            <w:r>
              <w:t xml:space="preserve">Version / lineup</w:t>
            </w:r>
          </w:p>
        </w:tc>
        <w:tc>
          <w:tcPr/>
          <w:p>
            <w:pPr>
              <w:pStyle w:val="Compact"/>
              <w:jc w:val="left"/>
            </w:pPr>
            <w:r>
              <w:t xml:space="preserve">v1.2.0 (6 October 2026)</w:t>
            </w:r>
          </w:p>
        </w:tc>
        <w:tc>
          <w:tcPr/>
          <w:p>
            <w:pPr>
              <w:pStyle w:val="Compact"/>
              <w:jc w:val="left"/>
            </w:pPr>
            <w:r>
              <w:t xml:space="preserve">Verified fact</w:t>
            </w:r>
          </w:p>
        </w:tc>
        <w:tc>
          <w:tcPr/>
          <w:p>
            <w:pPr>
              <w:pStyle w:val="Compact"/>
              <w:jc w:val="left"/>
            </w:pPr>
            <w:r>
              <w:t xml:space="preserve">A6-S064, V2-S061</w:t>
            </w:r>
          </w:p>
        </w:tc>
      </w:tr>
      <w:tr>
        <w:tc>
          <w:tcPr/>
          <w:p>
            <w:pPr>
              <w:pStyle w:val="Compact"/>
              <w:jc w:val="left"/>
            </w:pPr>
            <w:r>
              <w:t xml:space="preserve">Licence</w:t>
            </w:r>
          </w:p>
        </w:tc>
        <w:tc>
          <w:tcPr/>
          <w:p>
            <w:pPr>
              <w:pStyle w:val="Compact"/>
              <w:jc w:val="left"/>
            </w:pPr>
            <w:r>
              <w:t xml:space="preserve">Open source (Apache-2.0)</w:t>
            </w:r>
          </w:p>
        </w:tc>
        <w:tc>
          <w:tcPr/>
          <w:p>
            <w:pPr>
              <w:pStyle w:val="Compact"/>
              <w:jc w:val="left"/>
            </w:pPr>
            <w:r>
              <w:t xml:space="preserve">Verified fact</w:t>
            </w:r>
          </w:p>
        </w:tc>
        <w:tc>
          <w:tcPr/>
          <w:p>
            <w:pPr>
              <w:pStyle w:val="Compact"/>
              <w:jc w:val="left"/>
            </w:pPr>
            <w:r>
              <w:t xml:space="preserve">A6-S063</w:t>
            </w:r>
          </w:p>
        </w:tc>
      </w:tr>
      <w:tr>
        <w:tc>
          <w:tcPr/>
          <w:p>
            <w:pPr>
              <w:pStyle w:val="Compact"/>
              <w:jc w:val="left"/>
            </w:pPr>
            <w:r>
              <w:t xml:space="preserve">Status events</w:t>
            </w:r>
          </w:p>
        </w:tc>
        <w:tc>
          <w:tcPr/>
          <w:p>
            <w:pPr>
              <w:pStyle w:val="Compact"/>
              <w:jc w:val="left"/>
            </w:pPr>
            <w:r>
              <w:t xml:space="preserve">2026: renamed from Envoy AI Gateway to Agent Router and moved to the Agentic AI Foundation; deployed resources not renamed</w:t>
            </w:r>
          </w:p>
        </w:tc>
        <w:tc>
          <w:tcPr/>
          <w:p>
            <w:pPr>
              <w:pStyle w:val="Compact"/>
              <w:jc w:val="left"/>
            </w:pPr>
            <w:r>
              <w:t xml:space="preserve">Verified fact</w:t>
            </w:r>
          </w:p>
        </w:tc>
        <w:tc>
          <w:tcPr/>
          <w:p>
            <w:pPr>
              <w:pStyle w:val="Compact"/>
              <w:jc w:val="left"/>
            </w:pPr>
            <w:r>
              <w:t xml:space="preserve">A6-S063, V2-S029</w:t>
            </w:r>
          </w:p>
        </w:tc>
      </w:tr>
      <w:tr>
        <w:tc>
          <w:tcPr/>
          <w:p>
            <w:pPr>
              <w:pStyle w:val="Compact"/>
              <w:jc w:val="left"/>
            </w:pPr>
            <w:r>
              <w:t xml:space="preserve">Strategic direction</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What it does</w:t>
            </w:r>
          </w:p>
        </w:tc>
        <w:tc>
          <w:tcPr/>
          <w:p>
            <w:pPr>
              <w:pStyle w:val="Compact"/>
              <w:jc w:val="left"/>
            </w:pPr>
            <w:r>
              <w:t xml:space="preserve">One OpenAI-compatible API for hosted and self-hosted models and MCP servers; platform teams centralise credentials, routing, quotas, failover and usage attribution, enforced by Envoy and Envoy Gateway; two-tier design with a Tier One gateway for auth, top-level routing and global rate limiting.</w:t>
            </w:r>
          </w:p>
        </w:tc>
        <w:tc>
          <w:tcPr/>
          <w:p>
            <w:pPr>
              <w:pStyle w:val="Compact"/>
              <w:jc w:val="left"/>
            </w:pPr>
            <w:r>
              <w:t xml:space="preserve">Verified fact</w:t>
            </w:r>
          </w:p>
        </w:tc>
        <w:tc>
          <w:tcPr/>
          <w:p>
            <w:pPr>
              <w:pStyle w:val="Compact"/>
              <w:jc w:val="left"/>
            </w:pPr>
            <w:r>
              <w:t xml:space="preserve">A6-S063</w:t>
            </w:r>
          </w:p>
        </w:tc>
      </w:tr>
      <w:tr>
        <w:tc>
          <w:tcPr/>
          <w:p>
            <w:pPr>
              <w:pStyle w:val="Compact"/>
              <w:jc w:val="left"/>
            </w:pPr>
            <w:r>
              <w:t xml:space="preserve">Stack position</w:t>
            </w:r>
          </w:p>
        </w:tc>
        <w:tc>
          <w:tcPr/>
          <w:p>
            <w:pPr>
              <w:pStyle w:val="Compact"/>
              <w:jc w:val="left"/>
            </w:pPr>
            <w:r>
              <w:t xml:space="preserve">Gateway/control plane in Kubernetes-based platforms</w:t>
            </w:r>
          </w:p>
        </w:tc>
        <w:tc>
          <w:tcPr/>
          <w:p>
            <w:pPr>
              <w:pStyle w:val="Compact"/>
              <w:jc w:val="left"/>
            </w:pPr>
            <w:r>
              <w:t xml:space="preserve">Verified fact</w:t>
            </w:r>
          </w:p>
        </w:tc>
        <w:tc>
          <w:tcPr/>
          <w:p>
            <w:pPr>
              <w:pStyle w:val="Compact"/>
              <w:jc w:val="left"/>
            </w:pPr>
            <w:r>
              <w:t xml:space="preserve">A6-S063</w:t>
            </w:r>
          </w:p>
        </w:tc>
      </w:tr>
      <w:tr>
        <w:tc>
          <w:tcPr/>
          <w:p>
            <w:pPr>
              <w:pStyle w:val="Compact"/>
              <w:jc w:val="left"/>
            </w:pPr>
            <w:r>
              <w:t xml:space="preserve">Integration</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Dependencies</w:t>
            </w:r>
          </w:p>
        </w:tc>
        <w:tc>
          <w:tcPr/>
          <w:p>
            <w:pPr>
              <w:pStyle w:val="Compact"/>
              <w:jc w:val="left"/>
            </w:pPr>
            <w:r>
              <w:t xml:space="preserve">Envoy Proxy and Envoy Gateway on Kubernetes (CLI also available)</w:t>
            </w:r>
          </w:p>
        </w:tc>
        <w:tc>
          <w:tcPr/>
          <w:p>
            <w:pPr>
              <w:pStyle w:val="Compact"/>
              <w:jc w:val="left"/>
            </w:pPr>
            <w:r>
              <w:t xml:space="preserve">Verified fact</w:t>
            </w:r>
          </w:p>
        </w:tc>
        <w:tc>
          <w:tcPr/>
          <w:p>
            <w:pPr>
              <w:pStyle w:val="Compact"/>
              <w:jc w:val="left"/>
            </w:pPr>
            <w:r>
              <w:t xml:space="preserve">A6-S063</w:t>
            </w:r>
          </w:p>
        </w:tc>
      </w:tr>
      <w:tr>
        <w:tc>
          <w:tcPr/>
          <w:p>
            <w:pPr>
              <w:pStyle w:val="Compact"/>
              <w:jc w:val="left"/>
            </w:pPr>
            <w:r>
              <w:t xml:space="preserve">Certifications</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GDPR / residency</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Security features</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Access controls</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Enterprise support</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Pricing</w:t>
            </w:r>
          </w:p>
        </w:tc>
        <w:tc>
          <w:tcPr/>
          <w:p>
            <w:pPr>
              <w:pStyle w:val="Compact"/>
              <w:jc w:val="left"/>
            </w:pPr>
            <w:r>
              <w:t xml:space="preserve">Free open source; a commercial</w:t>
            </w:r>
            <w:r>
              <w:t xml:space="preserve"> </w:t>
            </w:r>
            <w:r>
              <w:t xml:space="preserve">‘</w:t>
            </w:r>
            <w:r>
              <w:t xml:space="preserve">Tetrate Agent Router Service</w:t>
            </w:r>
            <w:r>
              <w:t xml:space="preserve">’</w:t>
            </w:r>
            <w:r>
              <w:t xml:space="preserve"> </w:t>
            </w:r>
            <w:r>
              <w:t xml:space="preserve">is listed among providers</w:t>
            </w:r>
          </w:p>
        </w:tc>
        <w:tc>
          <w:tcPr/>
          <w:p>
            <w:pPr>
              <w:pStyle w:val="Compact"/>
              <w:jc w:val="left"/>
            </w:pPr>
            <w:r>
              <w:t xml:space="preserve">Verified fact</w:t>
            </w:r>
          </w:p>
        </w:tc>
        <w:tc>
          <w:tcPr/>
          <w:p>
            <w:pPr>
              <w:pStyle w:val="Compact"/>
              <w:jc w:val="left"/>
            </w:pPr>
            <w:r>
              <w:t xml:space="preserve">A6-S063</w:t>
            </w:r>
          </w:p>
        </w:tc>
      </w:tr>
      <w:tr>
        <w:tc>
          <w:tcPr/>
          <w:p>
            <w:pPr>
              <w:pStyle w:val="Compact"/>
              <w:jc w:val="left"/>
            </w:pPr>
            <w:r>
              <w:t xml:space="preserve">Infrastructure cost</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Ecosystem</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Adoption signals</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Maturity</w:t>
            </w:r>
          </w:p>
        </w:tc>
        <w:tc>
          <w:tcPr/>
          <w:p>
            <w:pPr>
              <w:pStyle w:val="Compact"/>
              <w:jc w:val="left"/>
            </w:pPr>
            <w:r>
              <w:t xml:space="preserve">1.x release line; v1.2.0 on 6 October 2026</w:t>
            </w:r>
          </w:p>
        </w:tc>
        <w:tc>
          <w:tcPr/>
          <w:p>
            <w:pPr>
              <w:pStyle w:val="Compact"/>
              <w:jc w:val="left"/>
            </w:pPr>
            <w:r>
              <w:t xml:space="preserve">Verified fact</w:t>
            </w:r>
          </w:p>
        </w:tc>
        <w:tc>
          <w:tcPr/>
          <w:p>
            <w:pPr>
              <w:pStyle w:val="Compact"/>
              <w:jc w:val="left"/>
            </w:pPr>
            <w:r>
              <w:t xml:space="preserve">A6-S064</w:t>
            </w:r>
          </w:p>
        </w:tc>
      </w:tr>
      <w:tr>
        <w:tc>
          <w:tcPr/>
          <w:p>
            <w:pPr>
              <w:pStyle w:val="Compact"/>
              <w:jc w:val="left"/>
            </w:pPr>
            <w:r>
              <w:t xml:space="preserve">Deployment</w:t>
            </w:r>
          </w:p>
        </w:tc>
        <w:tc>
          <w:tcPr/>
          <w:p>
            <w:pPr>
              <w:pStyle w:val="Compact"/>
              <w:jc w:val="left"/>
            </w:pPr>
            <w:r>
              <w:t xml:space="preserve">saas: Not publicly verified; managed_cloud: Not publicly verified; vpc_byoc: Not publicly verified; private_cloud: Not publicly verified; self_hosted: Yes; on_prem: Not publicly verified</w:t>
            </w:r>
          </w:p>
        </w:tc>
        <w:tc>
          <w:tcPr/>
          <w:p>
            <w:pPr>
              <w:pStyle w:val="Compact"/>
            </w:pPr>
          </w:p>
        </w:tc>
        <w:tc>
          <w:tcPr/>
          <w:p>
            <w:pPr>
              <w:pStyle w:val="Compact"/>
            </w:pPr>
          </w:p>
        </w:tc>
      </w:tr>
    </w:tbl>
    <w:bookmarkEnd w:id="1901"/>
    <w:bookmarkStart w:id="1920" w:name="X4fbf4f56aa4b41fe273baccda78ad6a482152d0"/>
    <w:p>
      <w:pPr>
        <w:pStyle w:val="Heading2"/>
      </w:pPr>
      <w:r>
        <w:t xml:space="preserve">Cloudflare AI Gateway (</w:t>
      </w:r>
      <w:r>
        <w:rPr>
          <w:rStyle w:val="VerbatimChar"/>
        </w:rPr>
        <w:t xml:space="preserve">C1-cloudflare-ai-gateway</w:t>
      </w:r>
      <w:r>
        <w:t xml:space="preserve">)</w:t>
      </w:r>
    </w:p>
    <w:p>
      <w:pPr>
        <w:pStyle w:val="FirstParagraph"/>
      </w:pPr>
      <w:r>
        <w:rPr>
          <w:bCs/>
          <w:b/>
        </w:rPr>
        <w:t xml:space="preserve">Tier:</w:t>
      </w:r>
      <w:r>
        <w:t xml:space="preserve"> </w:t>
      </w:r>
      <w:r>
        <w:t xml:space="preserve">Tactical ·</w:t>
      </w:r>
      <w:r>
        <w:t xml:space="preserve"> </w:t>
      </w:r>
      <w:r>
        <w:rPr>
          <w:bCs/>
          <w:b/>
        </w:rPr>
        <w:t xml:space="preserve">Flags:</w:t>
      </w:r>
      <w:r>
        <w:t xml:space="preserve"> </w:t>
      </w:r>
      <w:r>
        <w:t xml:space="preserve">none ·</w:t>
      </w:r>
      <w:r>
        <w:t xml:space="preserve"> </w:t>
      </w:r>
      <w:r>
        <w:rPr>
          <w:bCs/>
          <w:b/>
        </w:rPr>
        <w:t xml:space="preserve">Original graphic label:</w:t>
      </w:r>
      <w:r>
        <w:t xml:space="preserve"> </w:t>
      </w:r>
      <w:r>
        <w:t xml:space="preserve">not in graphic</w:t>
      </w:r>
    </w:p>
    <w:p>
      <w:pPr>
        <w:pStyle w:val="BodyText"/>
      </w:pPr>
      <w:r>
        <w:rPr>
          <w:iCs/>
          <w:i/>
        </w:rPr>
        <w:t xml:space="preserve">Rationale:</w:t>
      </w:r>
      <w:r>
        <w:t xml:space="preserve"> </w:t>
      </w:r>
      <w:r>
        <w:t xml:space="preserve">Tactical: useful edge controls, but managed-only with unverified log localisation and no MCP evidence</w:t>
      </w:r>
      <w:r>
        <w:t xml:space="preserve"> </w:t>
      </w:r>
      <w:r>
        <w:rPr>
          <w:rStyle w:val="ClaimLabel"/>
        </w:rPr>
        <w:t xml:space="preserve">AJ</w:t>
      </w:r>
      <w:r>
        <w:t xml:space="preserve">.</w:t>
      </w:r>
    </w:p>
    <w:tbl>
      <w:tblPr>
        <w:tblStyle w:val="Table"/>
        <w:tblW w:type="pct" w:w="5000"/>
        <w:tblLook w:firstRow="1" w:lastRow="0" w:firstColumn="0" w:lastColumn="0" w:noHBand="0" w:noVBand="0" w:val="0020"/>
        <w:jc w:val="start"/>
      </w:tblPr>
      <w:tblGrid>
        <w:gridCol w:w="1545"/>
        <w:gridCol w:w="579"/>
        <w:gridCol w:w="5795"/>
      </w:tblGrid>
      <w:tr>
        <w:trPr>
          <w:tblHeader w:val="true"/>
        </w:trPr>
        <w:tc>
          <w:tcPr/>
          <w:p>
            <w:pPr>
              <w:pStyle w:val="Compact"/>
              <w:jc w:val="left"/>
            </w:pPr>
            <w:r>
              <w:t xml:space="preserve">Criterion</w:t>
            </w:r>
          </w:p>
        </w:tc>
        <w:tc>
          <w:tcPr/>
          <w:p>
            <w:pPr>
              <w:pStyle w:val="Compact"/>
              <w:jc w:val="right"/>
            </w:pPr>
            <w:r>
              <w:t xml:space="preserve">Score</w:t>
            </w:r>
          </w:p>
        </w:tc>
        <w:tc>
          <w:tcPr/>
          <w:p>
            <w:pPr>
              <w:pStyle w:val="Compact"/>
              <w:jc w:val="left"/>
            </w:pPr>
            <w:r>
              <w:t xml:space="preserve">Rationale</w:t>
            </w:r>
          </w:p>
        </w:tc>
      </w:tr>
      <w:tr>
        <w:tc>
          <w:tcPr/>
          <w:p>
            <w:pPr>
              <w:pStyle w:val="Compact"/>
              <w:jc w:val="left"/>
            </w:pPr>
            <w:r>
              <w:t xml:space="preserve">Technical</w:t>
            </w:r>
          </w:p>
        </w:tc>
        <w:tc>
          <w:tcPr/>
          <w:p>
            <w:pPr>
              <w:pStyle w:val="Compact"/>
              <w:jc w:val="right"/>
            </w:pPr>
            <w:r>
              <w:t xml:space="preserve">3</w:t>
            </w:r>
          </w:p>
        </w:tc>
        <w:tc>
          <w:tcPr/>
          <w:p>
            <w:pPr>
              <w:pStyle w:val="Compact"/>
              <w:jc w:val="left"/>
            </w:pPr>
            <w:r>
              <w:t xml:space="preserve">Covers routing, fallback, caching, rate limits, spend limits, DLP and guardrails</w:t>
            </w:r>
            <w:r>
              <w:t xml:space="preserve"> </w:t>
            </w:r>
            <w:r>
              <w:rPr>
                <w:rStyle w:val="ClaimLabel"/>
              </w:rPr>
              <w:t xml:space="preserve">VF</w:t>
            </w:r>
            <w:r>
              <w:rPr>
                <w:rStyle w:val="FootnoteReference"/>
              </w:rPr>
              <w:footnoteReference w:id="1902"/>
            </w:r>
            <w:r>
              <w:t xml:space="preserve">; MCP/A2A and policy depth not evidenced</w:t>
            </w:r>
            <w:r>
              <w:t xml:space="preserve"> </w:t>
            </w:r>
            <w:r>
              <w:rPr>
                <w:rStyle w:val="ClaimLabel"/>
              </w:rPr>
              <w:t xml:space="preserve">NPV</w:t>
            </w:r>
          </w:p>
        </w:tc>
      </w:tr>
      <w:tr>
        <w:tc>
          <w:tcPr/>
          <w:p>
            <w:pPr>
              <w:pStyle w:val="Compact"/>
              <w:jc w:val="left"/>
            </w:pPr>
            <w:r>
              <w:t xml:space="preserve">Enterprise readiness</w:t>
            </w:r>
          </w:p>
        </w:tc>
        <w:tc>
          <w:tcPr/>
          <w:p>
            <w:pPr>
              <w:pStyle w:val="Compact"/>
              <w:jc w:val="right"/>
            </w:pPr>
            <w:r>
              <w:t xml:space="preserve">3</w:t>
            </w:r>
          </w:p>
        </w:tc>
        <w:tc>
          <w:tcPr/>
          <w:p>
            <w:pPr>
              <w:pStyle w:val="Compact"/>
              <w:jc w:val="left"/>
            </w:pPr>
            <w:r>
              <w:t xml:space="preserve">Identity-based budgets via Cloudflare Access verified</w:t>
            </w:r>
            <w:r>
              <w:t xml:space="preserve"> </w:t>
            </w:r>
            <w:r>
              <w:rPr>
                <w:rStyle w:val="ClaimLabel"/>
              </w:rPr>
              <w:t xml:space="preserve">VF</w:t>
            </w:r>
            <w:r>
              <w:rPr>
                <w:rStyle w:val="FootnoteReference"/>
              </w:rPr>
              <w:footnoteReference w:id="1905"/>
            </w:r>
            <w:r>
              <w:t xml:space="preserve">; one control verified lifts the cap to a maximum of 3 (rule 7); enterprise support NPV</w:t>
            </w:r>
          </w:p>
        </w:tc>
      </w:tr>
      <w:tr>
        <w:tc>
          <w:tcPr/>
          <w:p>
            <w:pPr>
              <w:pStyle w:val="Compact"/>
              <w:jc w:val="left"/>
            </w:pPr>
            <w:r>
              <w:t xml:space="preserve">Security and compliance</w:t>
            </w:r>
          </w:p>
        </w:tc>
        <w:tc>
          <w:tcPr/>
          <w:p>
            <w:pPr>
              <w:pStyle w:val="Compact"/>
              <w:jc w:val="right"/>
            </w:pPr>
            <w:r>
              <w:t xml:space="preserve">3</w:t>
            </w:r>
          </w:p>
        </w:tc>
        <w:tc>
          <w:tcPr/>
          <w:p>
            <w:pPr>
              <w:pStyle w:val="Compact"/>
              <w:jc w:val="left"/>
            </w:pPr>
            <w:r>
              <w:t xml:space="preserve">SOC 2 Type II names AI Gateway; ISO 27001:2022 is platform-wide without naming it</w:t>
            </w:r>
            <w:r>
              <w:t xml:space="preserve"> </w:t>
            </w:r>
            <w:r>
              <w:rPr>
                <w:rStyle w:val="ClaimLabel"/>
              </w:rPr>
              <w:t xml:space="preserve">VF</w:t>
            </w:r>
            <w:r>
              <w:rPr>
                <w:rStyle w:val="FootnoteReference"/>
              </w:rPr>
              <w:footnoteReference w:id="1906"/>
            </w:r>
            <w:r>
              <w:t xml:space="preserve">; Trust Hub pages flagged as possibly old, so 3</w:t>
            </w:r>
          </w:p>
        </w:tc>
      </w:tr>
      <w:tr>
        <w:tc>
          <w:tcPr/>
          <w:p>
            <w:pPr>
              <w:pStyle w:val="Compact"/>
              <w:jc w:val="left"/>
            </w:pPr>
            <w:r>
              <w:t xml:space="preserve">Deployment flexibility</w:t>
            </w:r>
          </w:p>
        </w:tc>
        <w:tc>
          <w:tcPr/>
          <w:p>
            <w:pPr>
              <w:pStyle w:val="Compact"/>
              <w:jc w:val="right"/>
            </w:pPr>
            <w:r>
              <w:t xml:space="preserve">2</w:t>
            </w:r>
          </w:p>
        </w:tc>
        <w:tc>
          <w:tcPr/>
          <w:p>
            <w:pPr>
              <w:pStyle w:val="Compact"/>
              <w:jc w:val="left"/>
            </w:pPr>
            <w:r>
              <w:t xml:space="preserve">SaaS only; no self-host or on-prem</w:t>
            </w:r>
            <w:r>
              <w:t xml:space="preserve"> </w:t>
            </w:r>
            <w:r>
              <w:rPr>
                <w:rStyle w:val="ClaimLabel"/>
              </w:rPr>
              <w:t xml:space="preserve">VF</w:t>
            </w:r>
            <w:r>
              <w:rPr>
                <w:rStyle w:val="FootnoteReference"/>
              </w:rPr>
              <w:footnoteReference w:id="1908"/>
            </w:r>
          </w:p>
        </w:tc>
      </w:tr>
      <w:tr>
        <w:tc>
          <w:tcPr/>
          <w:p>
            <w:pPr>
              <w:pStyle w:val="Compact"/>
              <w:jc w:val="left"/>
            </w:pPr>
            <w:r>
              <w:t xml:space="preserve">Ecosystem</w:t>
            </w:r>
          </w:p>
        </w:tc>
        <w:tc>
          <w:tcPr/>
          <w:p>
            <w:pPr>
              <w:pStyle w:val="Compact"/>
              <w:jc w:val="right"/>
            </w:pPr>
            <w:r>
              <w:t xml:space="preserve">4</w:t>
            </w:r>
          </w:p>
        </w:tc>
        <w:tc>
          <w:tcPr/>
          <w:p>
            <w:pPr>
              <w:pStyle w:val="Compact"/>
              <w:jc w:val="left"/>
            </w:pPr>
            <w:r>
              <w:t xml:space="preserve">Many providers via BYOK or Unified Billing, Workers AI, Logpush, Cloudflare One DLP</w:t>
            </w:r>
            <w:r>
              <w:t xml:space="preserve"> </w:t>
            </w:r>
            <w:r>
              <w:rPr>
                <w:rStyle w:val="ClaimLabel"/>
              </w:rPr>
              <w:t xml:space="preserve">VF</w:t>
            </w:r>
            <w:r>
              <w:rPr>
                <w:rStyle w:val="FootnoteReference"/>
              </w:rPr>
              <w:footnoteReference w:id="1909"/>
            </w:r>
          </w:p>
        </w:tc>
      </w:tr>
      <w:tr>
        <w:tc>
          <w:tcPr/>
          <w:p>
            <w:pPr>
              <w:pStyle w:val="Compact"/>
              <w:jc w:val="left"/>
            </w:pPr>
            <w:r>
              <w:t xml:space="preserve">Reliability and maturity</w:t>
            </w:r>
          </w:p>
        </w:tc>
        <w:tc>
          <w:tcPr/>
          <w:p>
            <w:pPr>
              <w:pStyle w:val="Compact"/>
              <w:jc w:val="right"/>
            </w:pPr>
            <w:r>
              <w:t xml:space="preserve">3</w:t>
            </w:r>
          </w:p>
        </w:tc>
        <w:tc>
          <w:tcPr/>
          <w:p>
            <w:pPr>
              <w:pStyle w:val="Compact"/>
              <w:jc w:val="left"/>
            </w:pPr>
            <w:r>
              <w:t xml:space="preserve">GA with frequent 2026 changes, including two log-pricing changes</w:t>
            </w:r>
            <w:r>
              <w:t xml:space="preserve"> </w:t>
            </w:r>
            <w:r>
              <w:rPr>
                <w:rStyle w:val="ClaimLabel"/>
              </w:rPr>
              <w:t xml:space="preserve">VF</w:t>
            </w:r>
            <w:r>
              <w:rPr>
                <w:rStyle w:val="FootnoteReference"/>
              </w:rPr>
              <w:footnoteReference w:id="1910"/>
            </w:r>
          </w:p>
        </w:tc>
      </w:tr>
      <w:tr>
        <w:tc>
          <w:tcPr/>
          <w:p>
            <w:pPr>
              <w:pStyle w:val="Compact"/>
              <w:jc w:val="left"/>
            </w:pPr>
            <w:r>
              <w:t xml:space="preserve">Cost / TCO</w:t>
            </w:r>
          </w:p>
        </w:tc>
        <w:tc>
          <w:tcPr/>
          <w:p>
            <w:pPr>
              <w:pStyle w:val="Compact"/>
              <w:jc w:val="right"/>
            </w:pPr>
            <w:r>
              <w:t xml:space="preserve">4</w:t>
            </w:r>
          </w:p>
        </w:tc>
        <w:tc>
          <w:tcPr/>
          <w:p>
            <w:pPr>
              <w:pStyle w:val="Compact"/>
              <w:jc w:val="left"/>
            </w:pPr>
            <w:r>
              <w:t xml:space="preserve">Core features and DLP free; guardrails billed as Workers AI inference; 5% Unified Billing fee; per-GB log pricing from 1 December 2026</w:t>
            </w:r>
            <w:r>
              <w:t xml:space="preserve"> </w:t>
            </w:r>
            <w:r>
              <w:rPr>
                <w:rStyle w:val="ClaimLabel"/>
              </w:rPr>
              <w:t xml:space="preserve">VF</w:t>
            </w:r>
            <w:r>
              <w:rPr>
                <w:rStyle w:val="FootnoteReference"/>
              </w:rPr>
              <w:footnoteReference w:id="1911"/>
            </w:r>
          </w:p>
        </w:tc>
      </w:tr>
      <w:tr>
        <w:tc>
          <w:tcPr/>
          <w:p>
            <w:pPr>
              <w:pStyle w:val="Compact"/>
              <w:jc w:val="left"/>
            </w:pPr>
            <w:r>
              <w:t xml:space="preserve">Lock-in / portability</w:t>
            </w:r>
          </w:p>
        </w:tc>
        <w:tc>
          <w:tcPr/>
          <w:p>
            <w:pPr>
              <w:pStyle w:val="Compact"/>
              <w:jc w:val="right"/>
            </w:pPr>
            <w:r>
              <w:t xml:space="preserve">2</w:t>
            </w:r>
          </w:p>
        </w:tc>
        <w:tc>
          <w:tcPr/>
          <w:p>
            <w:pPr>
              <w:pStyle w:val="Compact"/>
              <w:jc w:val="left"/>
            </w:pPr>
            <w:r>
              <w:t xml:space="preserve">Proprietary managed service in the data path; Unified Billing deepens dependency</w:t>
            </w:r>
            <w:r>
              <w:t xml:space="preserve"> </w:t>
            </w:r>
            <w:r>
              <w:rPr>
                <w:rStyle w:val="ClaimLabel"/>
              </w:rPr>
              <w:t xml:space="preserve">VF</w:t>
            </w:r>
            <w:r>
              <w:rPr>
                <w:rStyle w:val="FootnoteReference"/>
              </w:rPr>
              <w:footnoteReference w:id="1912"/>
            </w:r>
          </w:p>
        </w:tc>
      </w:tr>
      <w:tr>
        <w:tc>
          <w:tcPr/>
          <w:p>
            <w:pPr>
              <w:pStyle w:val="Compact"/>
              <w:jc w:val="left"/>
            </w:pPr>
            <w:r>
              <w:rPr>
                <w:bCs/>
                <w:b/>
              </w:rPr>
              <w:t xml:space="preserve">Total (generic / FS)</w:t>
            </w:r>
          </w:p>
        </w:tc>
        <w:tc>
          <w:tcPr/>
          <w:p>
            <w:pPr>
              <w:pStyle w:val="Compact"/>
              <w:jc w:val="right"/>
            </w:pPr>
            <w:r>
              <w:rPr>
                <w:bCs/>
                <w:b/>
              </w:rPr>
              <w:t xml:space="preserve">3.00 / 2.80</w:t>
            </w:r>
          </w:p>
        </w:tc>
        <w:tc>
          <w:tcPr/>
          <w:p>
            <w:pPr>
              <w:pStyle w:val="Compact"/>
            </w:pPr>
          </w:p>
        </w:tc>
      </w:tr>
    </w:tbl>
    <w:p>
      <w:pPr>
        <w:pStyle w:val="BodyText"/>
      </w:pPr>
      <w:r>
        <w:rPr>
          <w:iCs/>
          <w:i/>
        </w:rPr>
        <w:t xml:space="preserve">Evidence rules applied:</w:t>
      </w:r>
      <w:r>
        <w:t xml:space="preserve"> </w:t>
      </w:r>
      <w:r>
        <w:t xml:space="preserve">enterprise_readiness: NPV cap lifted to max 3 by one verified control (identity-based controls), rule 7</w:t>
      </w:r>
    </w:p>
    <w:p>
      <w:pPr>
        <w:pStyle w:val="BodyText"/>
      </w:pPr>
      <w:r>
        <w:rPr>
          <w:bCs/>
          <w:b/>
        </w:rPr>
        <w:t xml:space="preserve">Capabilities.</w:t>
      </w:r>
      <w:r>
        <w:t xml:space="preserve"> </w:t>
      </w:r>
      <w:r>
        <w:t xml:space="preserve">Managed edge proxy for AI provider calls with analytics, caching, rate limiting, logging, Llama Guard guardrails, DLP scanning, dynamic routing and fallback, spend limits, identity-based budgets and Unified Billing</w:t>
      </w:r>
      <w:r>
        <w:t xml:space="preserve"> </w:t>
      </w:r>
      <w:r>
        <w:rPr>
          <w:rStyle w:val="ClaimLabel"/>
        </w:rPr>
        <w:t xml:space="preserve">VF</w:t>
      </w:r>
      <w:r>
        <w:rPr>
          <w:rStyle w:val="FootnoteReference"/>
        </w:rPr>
        <w:footnoteReference w:id="1913"/>
      </w:r>
      <w:r>
        <w:t xml:space="preserve">.</w:t>
      </w:r>
    </w:p>
    <w:p>
      <w:pPr>
        <w:pStyle w:val="BodyText"/>
      </w:pPr>
      <w:r>
        <w:rPr>
          <w:bCs/>
          <w:b/>
        </w:rPr>
        <w:t xml:space="preserve">Strengths</w:t>
      </w:r>
    </w:p>
    <w:p>
      <w:pPr>
        <w:numPr>
          <w:ilvl w:val="0"/>
          <w:numId w:val="1397"/>
        </w:numPr>
        <w:pStyle w:val="Compact"/>
      </w:pPr>
      <w:r>
        <w:t xml:space="preserve">Lowest-friction adoption: a one-line endpoint change, core features free</w:t>
      </w:r>
      <w:r>
        <w:t xml:space="preserve"> </w:t>
      </w:r>
      <w:r>
        <w:rPr>
          <w:rStyle w:val="ClaimLabel"/>
        </w:rPr>
        <w:t xml:space="preserve">VF</w:t>
      </w:r>
      <w:r>
        <w:rPr>
          <w:rStyle w:val="FootnoteReference"/>
        </w:rPr>
        <w:footnoteReference w:id="1914"/>
      </w:r>
    </w:p>
    <w:p>
      <w:pPr>
        <w:numPr>
          <w:ilvl w:val="0"/>
          <w:numId w:val="1397"/>
        </w:numPr>
        <w:pStyle w:val="Compact"/>
      </w:pPr>
      <w:r>
        <w:t xml:space="preserve">DLP and guardrails available at the edge</w:t>
      </w:r>
      <w:r>
        <w:t xml:space="preserve"> </w:t>
      </w:r>
      <w:r>
        <w:rPr>
          <w:rStyle w:val="ClaimLabel"/>
        </w:rPr>
        <w:t xml:space="preserve">VF</w:t>
      </w:r>
      <w:r>
        <w:rPr>
          <w:rStyle w:val="FootnoteReference"/>
        </w:rPr>
        <w:footnoteReference w:id="1915"/>
      </w:r>
    </w:p>
    <w:p>
      <w:pPr>
        <w:numPr>
          <w:ilvl w:val="0"/>
          <w:numId w:val="1397"/>
        </w:numPr>
        <w:pStyle w:val="Compact"/>
      </w:pPr>
      <w:r>
        <w:t xml:space="preserve">SOC 2 Type II with AI Gateway named in scope</w:t>
      </w:r>
      <w:r>
        <w:t xml:space="preserve"> </w:t>
      </w:r>
      <w:r>
        <w:rPr>
          <w:rStyle w:val="ClaimLabel"/>
        </w:rPr>
        <w:t xml:space="preserve">VF</w:t>
      </w:r>
      <w:r>
        <w:rPr>
          <w:rStyle w:val="FootnoteReference"/>
        </w:rPr>
        <w:footnoteReference w:id="1916"/>
      </w:r>
    </w:p>
    <w:p>
      <w:pPr>
        <w:pStyle w:val="FirstParagraph"/>
      </w:pPr>
      <w:r>
        <w:rPr>
          <w:bCs/>
          <w:b/>
        </w:rPr>
        <w:t xml:space="preserve">Limitations and risks</w:t>
      </w:r>
    </w:p>
    <w:p>
      <w:pPr>
        <w:numPr>
          <w:ilvl w:val="0"/>
          <w:numId w:val="1398"/>
        </w:numPr>
        <w:pStyle w:val="Compact"/>
      </w:pPr>
      <w:r>
        <w:t xml:space="preserve">Managed only: no self-hosting or on-prem</w:t>
      </w:r>
      <w:r>
        <w:t xml:space="preserve"> </w:t>
      </w:r>
      <w:r>
        <w:rPr>
          <w:rStyle w:val="ClaimLabel"/>
        </w:rPr>
        <w:t xml:space="preserve">VF</w:t>
      </w:r>
      <w:r>
        <w:rPr>
          <w:rStyle w:val="FootnoteReference"/>
        </w:rPr>
        <w:footnoteReference w:id="1917"/>
      </w:r>
    </w:p>
    <w:p>
      <w:pPr>
        <w:numPr>
          <w:ilvl w:val="0"/>
          <w:numId w:val="1398"/>
        </w:numPr>
        <w:pStyle w:val="Compact"/>
      </w:pPr>
      <w:r>
        <w:t xml:space="preserve">AI Gateway-specific data localisation not verified</w:t>
      </w:r>
      <w:r>
        <w:t xml:space="preserve"> </w:t>
      </w:r>
      <w:r>
        <w:rPr>
          <w:rStyle w:val="ClaimLabel"/>
        </w:rPr>
        <w:t xml:space="preserve">VF</w:t>
      </w:r>
      <w:r>
        <w:rPr>
          <w:rStyle w:val="FootnoteReference"/>
        </w:rPr>
        <w:footnoteReference w:id="1918"/>
      </w:r>
    </w:p>
    <w:p>
      <w:pPr>
        <w:numPr>
          <w:ilvl w:val="0"/>
          <w:numId w:val="1398"/>
        </w:numPr>
        <w:pStyle w:val="Compact"/>
      </w:pPr>
      <w:r>
        <w:t xml:space="preserve">Unified Billing (5% fee) ties provider spend to Cloudflare; future features may be premium; log pricing changed in September 2026 and again from 1 December 2026</w:t>
      </w:r>
      <w:r>
        <w:t xml:space="preserve"> </w:t>
      </w:r>
      <w:r>
        <w:rPr>
          <w:rStyle w:val="ClaimLabel"/>
        </w:rPr>
        <w:t xml:space="preserve">VF</w:t>
      </w:r>
      <w:r>
        <w:rPr>
          <w:rStyle w:val="FootnoteReference"/>
        </w:rPr>
        <w:footnoteReference w:id="1919"/>
      </w:r>
    </w:p>
    <w:p>
      <w:pPr>
        <w:numPr>
          <w:ilvl w:val="0"/>
          <w:numId w:val="1398"/>
        </w:numPr>
        <w:pStyle w:val="Compact"/>
      </w:pPr>
      <w:r>
        <w:t xml:space="preserve">MCP and A2A governance not evidenced</w:t>
      </w:r>
      <w:r>
        <w:t xml:space="preserve"> </w:t>
      </w:r>
      <w:r>
        <w:rPr>
          <w:rStyle w:val="ClaimLabel"/>
        </w:rPr>
        <w:t xml:space="preserve">NPV</w:t>
      </w:r>
    </w:p>
    <w:p>
      <w:pPr>
        <w:pStyle w:val="FirstParagraph"/>
      </w:pPr>
      <w:r>
        <w:rPr>
          <w:bCs/>
          <w:b/>
        </w:rPr>
        <w:t xml:space="preserve">Choose when</w:t>
      </w:r>
    </w:p>
    <w:p>
      <w:pPr>
        <w:numPr>
          <w:ilvl w:val="0"/>
          <w:numId w:val="1399"/>
        </w:numPr>
        <w:pStyle w:val="Compact"/>
      </w:pPr>
      <w:r>
        <w:t xml:space="preserve">You already run Cloudflare Zero Trust and want quick visibility, caching and spend limits for non-confidential workloads</w:t>
      </w:r>
      <w:r>
        <w:t xml:space="preserve"> </w:t>
      </w:r>
      <w:r>
        <w:rPr>
          <w:rStyle w:val="ClaimLabel"/>
        </w:rPr>
        <w:t xml:space="preserve">AJ</w:t>
      </w:r>
    </w:p>
    <w:p>
      <w:pPr>
        <w:pStyle w:val="FirstParagraph"/>
      </w:pPr>
      <w:r>
        <w:rPr>
          <w:bCs/>
          <w:b/>
        </w:rPr>
        <w:t xml:space="preserve">Avoid when</w:t>
      </w:r>
    </w:p>
    <w:p>
      <w:pPr>
        <w:numPr>
          <w:ilvl w:val="0"/>
          <w:numId w:val="1400"/>
        </w:numPr>
        <w:pStyle w:val="Compact"/>
      </w:pPr>
      <w:r>
        <w:t xml:space="preserve">Prompts contain client data that must stay in-estate or in a verified region</w:t>
      </w:r>
      <w:r>
        <w:t xml:space="preserve"> </w:t>
      </w:r>
      <w:r>
        <w:rPr>
          <w:rStyle w:val="ClaimLabel"/>
        </w:rPr>
        <w:t xml:space="preserve">AJ</w:t>
      </w:r>
    </w:p>
    <w:p>
      <w:pPr>
        <w:numPr>
          <w:ilvl w:val="0"/>
          <w:numId w:val="1400"/>
        </w:numPr>
        <w:pStyle w:val="Compact"/>
      </w:pPr>
      <w:r>
        <w:t xml:space="preserve">You want the gateway to be the exit route from a provider rather than another dependency</w:t>
      </w:r>
      <w:r>
        <w:t xml:space="preserve"> </w:t>
      </w:r>
      <w:r>
        <w:rPr>
          <w:rStyle w:val="ClaimLabel"/>
        </w:rPr>
        <w:t xml:space="preserve">AJ</w:t>
      </w:r>
    </w:p>
    <w:p>
      <w:pPr>
        <w:pStyle w:val="FirstParagraph"/>
      </w:pPr>
      <w:r>
        <w:rPr>
          <w:bCs/>
          <w:b/>
        </w:rPr>
        <w:t xml:space="preserve">Nearest competitors:</w:t>
      </w:r>
      <w:r>
        <w:t xml:space="preserve"> </w:t>
      </w:r>
      <w:r>
        <w:t xml:space="preserve">C1-portkey, C1-litellm, L2-openrouter</w:t>
      </w:r>
    </w:p>
    <w:p>
      <w:pPr>
        <w:pStyle w:val="BodyText"/>
      </w:pPr>
      <w:r>
        <w:rPr>
          <w:bCs/>
          <w:b/>
        </w:rPr>
        <w:t xml:space="preserve">Regulated-FS note.</w:t>
      </w:r>
      <w:r>
        <w:t xml:space="preserve"> </w:t>
      </w:r>
      <w:r>
        <w:t xml:space="preserve">Use BYOK rather than Unified Billing, confirm AI Gateway log localisation in writing, and keep regulated client data off this path until it is confirmed</w:t>
      </w:r>
      <w:r>
        <w:t xml:space="preserve"> </w:t>
      </w:r>
      <w:r>
        <w:rPr>
          <w:rStyle w:val="ClaimLabel"/>
        </w:rPr>
        <w:t xml:space="preserve">Rec</w:t>
      </w:r>
      <w:r>
        <w:t xml:space="preserve">.</w:t>
      </w:r>
    </w:p>
    <w:p>
      <w:pPr>
        <w:pStyle w:val="BodyText"/>
      </w:pPr>
      <w:r>
        <w:rPr>
          <w:bCs/>
          <w:b/>
        </w:rPr>
        <w:t xml:space="preserve">Facts (as of 2026-10-08)</w:t>
      </w:r>
    </w:p>
    <w:tbl>
      <w:tblPr>
        <w:tblStyle w:val="Table"/>
        <w:tblW w:type="pct" w:w="5000"/>
        <w:tblLook w:firstRow="1" w:lastRow="0" w:firstColumn="0" w:lastColumn="0" w:noHBand="0" w:noVBand="0" w:val="0020"/>
        <w:jc w:val="start"/>
      </w:tblPr>
      <w:tblGrid>
        <w:gridCol w:w="1485"/>
        <w:gridCol w:w="4290"/>
        <w:gridCol w:w="1320"/>
        <w:gridCol w:w="825"/>
      </w:tblGrid>
      <w:tr>
        <w:trPr>
          <w:tblHeader w:val="true"/>
        </w:trPr>
        <w:tc>
          <w:tcPr/>
          <w:p>
            <w:pPr>
              <w:pStyle w:val="Compact"/>
              <w:jc w:val="left"/>
            </w:pPr>
            <w:r>
              <w:t xml:space="preserve">Field</w:t>
            </w:r>
          </w:p>
        </w:tc>
        <w:tc>
          <w:tcPr/>
          <w:p>
            <w:pPr>
              <w:pStyle w:val="Compact"/>
              <w:jc w:val="left"/>
            </w:pPr>
            <w:r>
              <w:t xml:space="preserve">Value</w:t>
            </w:r>
          </w:p>
        </w:tc>
        <w:tc>
          <w:tcPr/>
          <w:p>
            <w:pPr>
              <w:pStyle w:val="Compact"/>
              <w:jc w:val="left"/>
            </w:pPr>
            <w:r>
              <w:t xml:space="preserve">Label</w:t>
            </w:r>
          </w:p>
        </w:tc>
        <w:tc>
          <w:tcPr/>
          <w:p>
            <w:pPr>
              <w:pStyle w:val="Compact"/>
              <w:jc w:val="left"/>
            </w:pPr>
            <w:r>
              <w:t xml:space="preserve">Sources</w:t>
            </w:r>
          </w:p>
        </w:tc>
      </w:tr>
      <w:tr>
        <w:tc>
          <w:tcPr/>
          <w:p>
            <w:pPr>
              <w:pStyle w:val="Compact"/>
              <w:jc w:val="left"/>
            </w:pPr>
            <w:r>
              <w:t xml:space="preserve">Company</w:t>
            </w:r>
          </w:p>
        </w:tc>
        <w:tc>
          <w:tcPr/>
          <w:p>
            <w:pPr>
              <w:pStyle w:val="Compact"/>
              <w:jc w:val="left"/>
            </w:pPr>
            <w:r>
              <w:t xml:space="preserve">Cloudflare, Inc.</w:t>
            </w:r>
          </w:p>
        </w:tc>
        <w:tc>
          <w:tcPr/>
          <w:p>
            <w:pPr>
              <w:pStyle w:val="Compact"/>
              <w:jc w:val="left"/>
            </w:pPr>
            <w:r>
              <w:t xml:space="preserve">Verified fact</w:t>
            </w:r>
          </w:p>
        </w:tc>
        <w:tc>
          <w:tcPr/>
          <w:p>
            <w:pPr>
              <w:pStyle w:val="Compact"/>
              <w:jc w:val="left"/>
            </w:pPr>
            <w:r>
              <w:t xml:space="preserve">A6-S052</w:t>
            </w:r>
          </w:p>
        </w:tc>
      </w:tr>
      <w:tr>
        <w:tc>
          <w:tcPr/>
          <w:p>
            <w:pPr>
              <w:pStyle w:val="Compact"/>
              <w:jc w:val="left"/>
            </w:pPr>
            <w:r>
              <w:t xml:space="preserve">Category</w:t>
            </w:r>
          </w:p>
        </w:tc>
        <w:tc>
          <w:tcPr/>
          <w:p>
            <w:pPr>
              <w:pStyle w:val="Compact"/>
              <w:jc w:val="left"/>
            </w:pPr>
            <w:r>
              <w:t xml:space="preserve">Managed SaaS AI gateway at the network edge</w:t>
            </w:r>
          </w:p>
        </w:tc>
        <w:tc>
          <w:tcPr/>
          <w:p>
            <w:pPr>
              <w:pStyle w:val="Compact"/>
              <w:jc w:val="left"/>
            </w:pPr>
            <w:r>
              <w:t xml:space="preserve">Verified fact</w:t>
            </w:r>
          </w:p>
        </w:tc>
        <w:tc>
          <w:tcPr/>
          <w:p>
            <w:pPr>
              <w:pStyle w:val="Compact"/>
              <w:jc w:val="left"/>
            </w:pPr>
            <w:r>
              <w:t xml:space="preserve">A6-S019, A6-S052</w:t>
            </w:r>
          </w:p>
        </w:tc>
      </w:tr>
      <w:tr>
        <w:tc>
          <w:tcPr/>
          <w:p>
            <w:pPr>
              <w:pStyle w:val="Compact"/>
              <w:jc w:val="left"/>
            </w:pPr>
            <w:r>
              <w:t xml:space="preserve">Version / lineup</w:t>
            </w:r>
          </w:p>
        </w:tc>
        <w:tc>
          <w:tcPr/>
          <w:p>
            <w:pPr>
              <w:pStyle w:val="Compact"/>
              <w:jc w:val="left"/>
            </w:pPr>
            <w:r>
              <w:t xml:space="preserve">Continuously delivered SaaS (no version numbers); 2026 additions include spend limits (June), identity-based controls (August), Unified Billing invoice changes (1 September) and new log pricing (24 September)</w:t>
            </w:r>
          </w:p>
        </w:tc>
        <w:tc>
          <w:tcPr/>
          <w:p>
            <w:pPr>
              <w:pStyle w:val="Compact"/>
              <w:jc w:val="left"/>
            </w:pPr>
            <w:r>
              <w:t xml:space="preserve">Verified fact</w:t>
            </w:r>
          </w:p>
        </w:tc>
        <w:tc>
          <w:tcPr/>
          <w:p>
            <w:pPr>
              <w:pStyle w:val="Compact"/>
              <w:jc w:val="left"/>
            </w:pPr>
            <w:r>
              <w:t xml:space="preserve">A6-S019, A6-S052</w:t>
            </w:r>
          </w:p>
        </w:tc>
      </w:tr>
      <w:tr>
        <w:tc>
          <w:tcPr/>
          <w:p>
            <w:pPr>
              <w:pStyle w:val="Compact"/>
              <w:jc w:val="left"/>
            </w:pPr>
            <w:r>
              <w:t xml:space="preserve">Licence</w:t>
            </w:r>
          </w:p>
        </w:tc>
        <w:tc>
          <w:tcPr/>
          <w:p>
            <w:pPr>
              <w:pStyle w:val="Compact"/>
              <w:jc w:val="left"/>
            </w:pPr>
            <w:r>
              <w:t xml:space="preserve">Proprietary managed service</w:t>
            </w:r>
          </w:p>
        </w:tc>
        <w:tc>
          <w:tcPr/>
          <w:p>
            <w:pPr>
              <w:pStyle w:val="Compact"/>
              <w:jc w:val="left"/>
            </w:pPr>
            <w:r>
              <w:t xml:space="preserve">Verified fact</w:t>
            </w:r>
          </w:p>
        </w:tc>
        <w:tc>
          <w:tcPr/>
          <w:p>
            <w:pPr>
              <w:pStyle w:val="Compact"/>
              <w:jc w:val="left"/>
            </w:pPr>
            <w:r>
              <w:t xml:space="preserve">A6-S052</w:t>
            </w:r>
          </w:p>
        </w:tc>
      </w:tr>
      <w:tr>
        <w:tc>
          <w:tcPr/>
          <w:p>
            <w:pPr>
              <w:pStyle w:val="Compact"/>
              <w:jc w:val="left"/>
            </w:pPr>
            <w:r>
              <w:t xml:space="preserve">Strategic direction</w:t>
            </w:r>
          </w:p>
        </w:tc>
        <w:tc>
          <w:tcPr/>
          <w:p>
            <w:pPr>
              <w:pStyle w:val="Compact"/>
              <w:jc w:val="left"/>
            </w:pPr>
            <w:r>
              <w:t xml:space="preserve">Positioned as an</w:t>
            </w:r>
            <w:r>
              <w:t xml:space="preserve"> </w:t>
            </w:r>
            <w:r>
              <w:t xml:space="preserve">‘</w:t>
            </w:r>
            <w:r>
              <w:t xml:space="preserve">AI Application Control Plane</w:t>
            </w:r>
            <w:r>
              <w:t xml:space="preserve">’</w:t>
            </w:r>
            <w:r>
              <w:t xml:space="preserve">: unified billing across providers and Workers AI, cost-based spend limits, identity-based budgets via Cloudflare Access, Dynamic Routing and Auto Router</w:t>
            </w:r>
          </w:p>
        </w:tc>
        <w:tc>
          <w:tcPr/>
          <w:p>
            <w:pPr>
              <w:pStyle w:val="Compact"/>
              <w:jc w:val="left"/>
            </w:pPr>
            <w:r>
              <w:t xml:space="preserve">Verified fact</w:t>
            </w:r>
          </w:p>
        </w:tc>
        <w:tc>
          <w:tcPr/>
          <w:p>
            <w:pPr>
              <w:pStyle w:val="Compact"/>
              <w:jc w:val="left"/>
            </w:pPr>
            <w:r>
              <w:t xml:space="preserve">A6-S019</w:t>
            </w:r>
          </w:p>
        </w:tc>
      </w:tr>
      <w:tr>
        <w:tc>
          <w:tcPr/>
          <w:p>
            <w:pPr>
              <w:pStyle w:val="Compact"/>
              <w:jc w:val="left"/>
            </w:pPr>
            <w:r>
              <w:t xml:space="preserve">What it does</w:t>
            </w:r>
          </w:p>
        </w:tc>
        <w:tc>
          <w:tcPr/>
          <w:p>
            <w:pPr>
              <w:pStyle w:val="Compact"/>
              <w:jc w:val="left"/>
            </w:pPr>
            <w:r>
              <w:t xml:space="preserve">Proxy for AI provider calls with analytics, caching, rate limiting, logging, guardrails (Llama Guard on Workers AI), DLP scanning, dynamic routing/fallback across providers, spend limits and unified billing.</w:t>
            </w:r>
          </w:p>
        </w:tc>
        <w:tc>
          <w:tcPr/>
          <w:p>
            <w:pPr>
              <w:pStyle w:val="Compact"/>
              <w:jc w:val="left"/>
            </w:pPr>
            <w:r>
              <w:t xml:space="preserve">Verified fact</w:t>
            </w:r>
          </w:p>
        </w:tc>
        <w:tc>
          <w:tcPr/>
          <w:p>
            <w:pPr>
              <w:pStyle w:val="Compact"/>
              <w:jc w:val="left"/>
            </w:pPr>
            <w:r>
              <w:t xml:space="preserve">A6-S019, A6-S052</w:t>
            </w:r>
          </w:p>
        </w:tc>
      </w:tr>
      <w:tr>
        <w:tc>
          <w:tcPr/>
          <w:p>
            <w:pPr>
              <w:pStyle w:val="Compact"/>
              <w:jc w:val="left"/>
            </w:pPr>
            <w:r>
              <w:t xml:space="preserve">Stack position</w:t>
            </w:r>
          </w:p>
        </w:tc>
        <w:tc>
          <w:tcPr/>
          <w:p>
            <w:pPr>
              <w:pStyle w:val="Compact"/>
              <w:jc w:val="left"/>
            </w:pPr>
            <w:r>
              <w:t xml:space="preserve">Gateway/control plane delivered from Cloudflare’s network; complements rather than replaces a self-hosted gateway</w:t>
            </w:r>
          </w:p>
        </w:tc>
        <w:tc>
          <w:tcPr/>
          <w:p>
            <w:pPr>
              <w:pStyle w:val="Compact"/>
              <w:jc w:val="left"/>
            </w:pPr>
            <w:r>
              <w:t xml:space="preserve">Verified fact</w:t>
            </w:r>
          </w:p>
        </w:tc>
        <w:tc>
          <w:tcPr/>
          <w:p>
            <w:pPr>
              <w:pStyle w:val="Compact"/>
              <w:jc w:val="left"/>
            </w:pPr>
            <w:r>
              <w:t xml:space="preserve">A6-S019</w:t>
            </w:r>
          </w:p>
        </w:tc>
      </w:tr>
      <w:tr>
        <w:tc>
          <w:tcPr/>
          <w:p>
            <w:pPr>
              <w:pStyle w:val="Compact"/>
              <w:jc w:val="left"/>
            </w:pPr>
            <w:r>
              <w:t xml:space="preserve">Integration</w:t>
            </w:r>
          </w:p>
        </w:tc>
        <w:tc>
          <w:tcPr/>
          <w:p>
            <w:pPr>
              <w:pStyle w:val="Compact"/>
              <w:jc w:val="left"/>
            </w:pPr>
            <w:r>
              <w:t xml:space="preserve">One-line endpoint change to route provider calls; BYOK or Unified Billing; Logpush</w:t>
            </w:r>
          </w:p>
        </w:tc>
        <w:tc>
          <w:tcPr/>
          <w:p>
            <w:pPr>
              <w:pStyle w:val="Compact"/>
              <w:jc w:val="left"/>
            </w:pPr>
            <w:r>
              <w:t xml:space="preserve">Verified fact</w:t>
            </w:r>
          </w:p>
        </w:tc>
        <w:tc>
          <w:tcPr/>
          <w:p>
            <w:pPr>
              <w:pStyle w:val="Compact"/>
              <w:jc w:val="left"/>
            </w:pPr>
            <w:r>
              <w:t xml:space="preserve">A6-S052, A6-S019</w:t>
            </w:r>
          </w:p>
        </w:tc>
      </w:tr>
      <w:tr>
        <w:tc>
          <w:tcPr/>
          <w:p>
            <w:pPr>
              <w:pStyle w:val="Compact"/>
              <w:jc w:val="left"/>
            </w:pPr>
            <w:r>
              <w:t xml:space="preserve">Dependencies</w:t>
            </w:r>
          </w:p>
        </w:tc>
        <w:tc>
          <w:tcPr/>
          <w:p>
            <w:pPr>
              <w:pStyle w:val="Compact"/>
              <w:jc w:val="left"/>
            </w:pPr>
            <w:r>
              <w:t xml:space="preserve">Cloudflare account; Workers AI for guardrail inference; Zero Trust subscription for full DLP profiles</w:t>
            </w:r>
          </w:p>
        </w:tc>
        <w:tc>
          <w:tcPr/>
          <w:p>
            <w:pPr>
              <w:pStyle w:val="Compact"/>
              <w:jc w:val="left"/>
            </w:pPr>
            <w:r>
              <w:t xml:space="preserve">Verified fact</w:t>
            </w:r>
          </w:p>
        </w:tc>
        <w:tc>
          <w:tcPr/>
          <w:p>
            <w:pPr>
              <w:pStyle w:val="Compact"/>
              <w:jc w:val="left"/>
            </w:pPr>
            <w:r>
              <w:t xml:space="preserve">A6-S052</w:t>
            </w:r>
          </w:p>
        </w:tc>
      </w:tr>
      <w:tr>
        <w:tc>
          <w:tcPr/>
          <w:p>
            <w:pPr>
              <w:pStyle w:val="Compact"/>
              <w:jc w:val="left"/>
            </w:pPr>
            <w:r>
              <w:t xml:space="preserve">Certifications</w:t>
            </w:r>
          </w:p>
        </w:tc>
        <w:tc>
          <w:tcPr/>
          <w:p>
            <w:pPr>
              <w:pStyle w:val="Compact"/>
              <w:jc w:val="left"/>
            </w:pPr>
            <w:r>
              <w:t xml:space="preserve">SOC 2 Type II (security, confidentiality, availability) with AI Gateway named in scope; ISO 27001:2022 for the global cloud platform (AI Gateway not named individually); ISO 27701, ISO 27018 and PCI DSS Level 1 also maintained</w:t>
            </w:r>
          </w:p>
        </w:tc>
        <w:tc>
          <w:tcPr/>
          <w:p>
            <w:pPr>
              <w:pStyle w:val="Compact"/>
              <w:jc w:val="left"/>
            </w:pPr>
            <w:r>
              <w:t xml:space="preserve">Verified fact</w:t>
            </w:r>
          </w:p>
        </w:tc>
        <w:tc>
          <w:tcPr/>
          <w:p>
            <w:pPr>
              <w:pStyle w:val="Compact"/>
              <w:jc w:val="left"/>
            </w:pPr>
            <w:r>
              <w:t xml:space="preserve">A6-S110</w:t>
            </w:r>
          </w:p>
        </w:tc>
      </w:tr>
      <w:tr>
        <w:tc>
          <w:tcPr/>
          <w:p>
            <w:pPr>
              <w:pStyle w:val="Compact"/>
              <w:jc w:val="left"/>
            </w:pPr>
            <w:r>
              <w:t xml:space="preserve">GDPR / residency</w:t>
            </w:r>
          </w:p>
        </w:tc>
        <w:tc>
          <w:tcPr/>
          <w:p>
            <w:pPr>
              <w:pStyle w:val="Compact"/>
              <w:jc w:val="left"/>
            </w:pPr>
            <w:r>
              <w:t xml:space="preserve">EU transfers rely on EU-U.S. Data Privacy Framework certifications with SCCs as fallback; Data Localization Suite (in SOC 2 scope) sets where data is stored and protected; AI Gateway-specific localisation behaviour not verified</w:t>
            </w:r>
          </w:p>
        </w:tc>
        <w:tc>
          <w:tcPr/>
          <w:p>
            <w:pPr>
              <w:pStyle w:val="Compact"/>
              <w:jc w:val="left"/>
            </w:pPr>
            <w:r>
              <w:t xml:space="preserve">Verified fact</w:t>
            </w:r>
          </w:p>
        </w:tc>
        <w:tc>
          <w:tcPr/>
          <w:p>
            <w:pPr>
              <w:pStyle w:val="Compact"/>
              <w:jc w:val="left"/>
            </w:pPr>
            <w:r>
              <w:t xml:space="preserve">A6-S110</w:t>
            </w:r>
          </w:p>
        </w:tc>
      </w:tr>
      <w:tr>
        <w:tc>
          <w:tcPr/>
          <w:p>
            <w:pPr>
              <w:pStyle w:val="Compact"/>
              <w:jc w:val="left"/>
            </w:pPr>
            <w:r>
              <w:t xml:space="preserve">Security features</w:t>
            </w:r>
          </w:p>
        </w:tc>
        <w:tc>
          <w:tcPr/>
          <w:p>
            <w:pPr>
              <w:pStyle w:val="Compact"/>
              <w:jc w:val="left"/>
            </w:pPr>
            <w:r>
              <w:t xml:space="preserve">DLP scanning of prompts/responses (two predefined profiles free; full profiles with Zero Trust DLP); guardrails on prompts and responses</w:t>
            </w:r>
          </w:p>
        </w:tc>
        <w:tc>
          <w:tcPr/>
          <w:p>
            <w:pPr>
              <w:pStyle w:val="Compact"/>
              <w:jc w:val="left"/>
            </w:pPr>
            <w:r>
              <w:t xml:space="preserve">Verified fact</w:t>
            </w:r>
          </w:p>
        </w:tc>
        <w:tc>
          <w:tcPr/>
          <w:p>
            <w:pPr>
              <w:pStyle w:val="Compact"/>
              <w:jc w:val="left"/>
            </w:pPr>
            <w:r>
              <w:t xml:space="preserve">A6-S052</w:t>
            </w:r>
          </w:p>
        </w:tc>
      </w:tr>
      <w:tr>
        <w:tc>
          <w:tcPr/>
          <w:p>
            <w:pPr>
              <w:pStyle w:val="Compact"/>
              <w:jc w:val="left"/>
            </w:pPr>
            <w:r>
              <w:t xml:space="preserve">Access controls</w:t>
            </w:r>
          </w:p>
        </w:tc>
        <w:tc>
          <w:tcPr/>
          <w:p>
            <w:pPr>
              <w:pStyle w:val="Compact"/>
              <w:jc w:val="left"/>
            </w:pPr>
            <w:r>
              <w:t xml:space="preserve">Identity-based controls using Cloudflare Access identity for per-user budgets (August 2026)</w:t>
            </w:r>
          </w:p>
        </w:tc>
        <w:tc>
          <w:tcPr/>
          <w:p>
            <w:pPr>
              <w:pStyle w:val="Compact"/>
              <w:jc w:val="left"/>
            </w:pPr>
            <w:r>
              <w:t xml:space="preserve">Verified fact</w:t>
            </w:r>
          </w:p>
        </w:tc>
        <w:tc>
          <w:tcPr/>
          <w:p>
            <w:pPr>
              <w:pStyle w:val="Compact"/>
              <w:jc w:val="left"/>
            </w:pPr>
            <w:r>
              <w:t xml:space="preserve">A6-S019</w:t>
            </w:r>
          </w:p>
        </w:tc>
      </w:tr>
      <w:tr>
        <w:tc>
          <w:tcPr/>
          <w:p>
            <w:pPr>
              <w:pStyle w:val="Compact"/>
              <w:jc w:val="left"/>
            </w:pPr>
            <w:r>
              <w:t xml:space="preserve">Enterprise support</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Pricing</w:t>
            </w:r>
          </w:p>
        </w:tc>
        <w:tc>
          <w:tcPr/>
          <w:p>
            <w:pPr>
              <w:pStyle w:val="Compact"/>
              <w:jc w:val="left"/>
            </w:pPr>
            <w:r>
              <w:t xml:space="preserve">Core features (analytics, caching, rate limiting) free on all plans; DLP free; guardrails billed as Workers AI token inference; 5% fee on Unified Billing credits (no markup on provider tokens); Logpush 10M requests/month then US$0.05 per million on Workers Paid; logs follow Workers Logs pricing for gateways created on/after 24 September 2026. From 1 December 2026 (announced): unified per-GB log pricing covering AI Gateway logs, US$0.25 per GB ingested and US$0.10 per GB-month stored after 50 GB / 10 GB-month included (blog announcement; terms may change).</w:t>
            </w:r>
          </w:p>
        </w:tc>
        <w:tc>
          <w:tcPr/>
          <w:p>
            <w:pPr>
              <w:pStyle w:val="Compact"/>
              <w:jc w:val="left"/>
            </w:pPr>
            <w:r>
              <w:t xml:space="preserve">Verified fact</w:t>
            </w:r>
          </w:p>
        </w:tc>
        <w:tc>
          <w:tcPr/>
          <w:p>
            <w:pPr>
              <w:pStyle w:val="Compact"/>
              <w:jc w:val="left"/>
            </w:pPr>
            <w:r>
              <w:t xml:space="preserve">A6-S052, V2-S074</w:t>
            </w:r>
          </w:p>
        </w:tc>
      </w:tr>
      <w:tr>
        <w:tc>
          <w:tcPr/>
          <w:p>
            <w:pPr>
              <w:pStyle w:val="Compact"/>
              <w:jc w:val="left"/>
            </w:pPr>
            <w:r>
              <w:t xml:space="preserve">Infrastructure cost</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Ecosystem</w:t>
            </w:r>
          </w:p>
        </w:tc>
        <w:tc>
          <w:tcPr/>
          <w:p>
            <w:pPr>
              <w:pStyle w:val="Compact"/>
              <w:jc w:val="left"/>
            </w:pPr>
            <w:r>
              <w:t xml:space="preserve">Third-party model providers via BYOK or Unified Billing; Workers AI models; Cloudflare One DLP</w:t>
            </w:r>
          </w:p>
        </w:tc>
        <w:tc>
          <w:tcPr/>
          <w:p>
            <w:pPr>
              <w:pStyle w:val="Compact"/>
              <w:jc w:val="left"/>
            </w:pPr>
            <w:r>
              <w:t xml:space="preserve">Verified fact</w:t>
            </w:r>
          </w:p>
        </w:tc>
        <w:tc>
          <w:tcPr/>
          <w:p>
            <w:pPr>
              <w:pStyle w:val="Compact"/>
              <w:jc w:val="left"/>
            </w:pPr>
            <w:r>
              <w:t xml:space="preserve">A6-S052, A6-S019</w:t>
            </w:r>
          </w:p>
        </w:tc>
      </w:tr>
      <w:tr>
        <w:tc>
          <w:tcPr/>
          <w:p>
            <w:pPr>
              <w:pStyle w:val="Compact"/>
              <w:jc w:val="left"/>
            </w:pPr>
            <w:r>
              <w:t xml:space="preserve">Adoption signals</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Maturity</w:t>
            </w:r>
          </w:p>
        </w:tc>
        <w:tc>
          <w:tcPr/>
          <w:p>
            <w:pPr>
              <w:pStyle w:val="Compact"/>
              <w:jc w:val="left"/>
            </w:pPr>
            <w:r>
              <w:t xml:space="preserve">Generally available managed service with frequent changelog entries in 2026</w:t>
            </w:r>
          </w:p>
        </w:tc>
        <w:tc>
          <w:tcPr/>
          <w:p>
            <w:pPr>
              <w:pStyle w:val="Compact"/>
              <w:jc w:val="left"/>
            </w:pPr>
            <w:r>
              <w:t xml:space="preserve">Verified fact</w:t>
            </w:r>
          </w:p>
        </w:tc>
        <w:tc>
          <w:tcPr/>
          <w:p>
            <w:pPr>
              <w:pStyle w:val="Compact"/>
              <w:jc w:val="left"/>
            </w:pPr>
            <w:r>
              <w:t xml:space="preserve">A6-S019</w:t>
            </w:r>
          </w:p>
        </w:tc>
      </w:tr>
      <w:tr>
        <w:tc>
          <w:tcPr/>
          <w:p>
            <w:pPr>
              <w:pStyle w:val="Compact"/>
              <w:jc w:val="left"/>
            </w:pPr>
            <w:r>
              <w:t xml:space="preserve">Deployment</w:t>
            </w:r>
          </w:p>
        </w:tc>
        <w:tc>
          <w:tcPr/>
          <w:p>
            <w:pPr>
              <w:pStyle w:val="Compact"/>
              <w:jc w:val="left"/>
            </w:pPr>
            <w:r>
              <w:t xml:space="preserve">saas: Yes; managed_cloud: Not publicly verified; vpc_byoc: Not publicly verified; private_cloud: Not publicly verified; self_hosted: No (managed service only); on_prem: No</w:t>
            </w:r>
          </w:p>
        </w:tc>
        <w:tc>
          <w:tcPr/>
          <w:p>
            <w:pPr>
              <w:pStyle w:val="Compact"/>
            </w:pPr>
          </w:p>
        </w:tc>
        <w:tc>
          <w:tcPr/>
          <w:p>
            <w:pPr>
              <w:pStyle w:val="Compact"/>
            </w:pPr>
          </w:p>
        </w:tc>
      </w:tr>
    </w:tbl>
    <w:bookmarkEnd w:id="1920"/>
    <w:bookmarkEnd w:id="1921"/>
    <w:bookmarkStart w:id="2044" w:name="c2-guardrails"/>
    <w:p>
      <w:pPr>
        <w:pStyle w:val="Heading1"/>
      </w:pPr>
      <w:r>
        <w:t xml:space="preserve">C2: Guardrails</w:t>
      </w:r>
    </w:p>
    <w:bookmarkStart w:id="1942" w:name="Xb52e7f5c09205cb88eefe97c3a7ded106ae3eb2"/>
    <w:p>
      <w:pPr>
        <w:pStyle w:val="Heading2"/>
      </w:pPr>
      <w:r>
        <w:t xml:space="preserve">NVIDIA NeMo Guardrails (open-source library and Guardrails server) (</w:t>
      </w:r>
      <w:r>
        <w:rPr>
          <w:rStyle w:val="VerbatimChar"/>
        </w:rPr>
        <w:t xml:space="preserve">C2-nemo-guardrails</w:t>
      </w:r>
      <w:r>
        <w:t xml:space="preserve">)</w:t>
      </w:r>
    </w:p>
    <w:p>
      <w:pPr>
        <w:pStyle w:val="FirstParagraph"/>
      </w:pPr>
      <w:r>
        <w:rPr>
          <w:bCs/>
          <w:b/>
        </w:rPr>
        <w:t xml:space="preserve">Tier:</w:t>
      </w:r>
      <w:r>
        <w:t xml:space="preserve"> </w:t>
      </w:r>
      <w:r>
        <w:t xml:space="preserve">Tactical ·</w:t>
      </w:r>
      <w:r>
        <w:t xml:space="preserve"> </w:t>
      </w:r>
      <w:r>
        <w:rPr>
          <w:bCs/>
          <w:b/>
        </w:rPr>
        <w:t xml:space="preserve">Flags:</w:t>
      </w:r>
      <w:r>
        <w:t xml:space="preserve"> </w:t>
      </w:r>
      <w:r>
        <w:t xml:space="preserve">none ·</w:t>
      </w:r>
      <w:r>
        <w:t xml:space="preserve"> </w:t>
      </w:r>
      <w:r>
        <w:rPr>
          <w:bCs/>
          <w:b/>
        </w:rPr>
        <w:t xml:space="preserve">Original graphic label:</w:t>
      </w:r>
      <w:r>
        <w:t xml:space="preserve"> </w:t>
      </w:r>
      <w:r>
        <w:t xml:space="preserve">not in graphic</w:t>
      </w:r>
    </w:p>
    <w:p>
      <w:pPr>
        <w:pStyle w:val="BodyText"/>
      </w:pPr>
      <w:r>
        <w:rPr>
          <w:iCs/>
          <w:i/>
        </w:rPr>
        <w:t xml:space="preserve">Rationale:</w:t>
      </w:r>
      <w:r>
        <w:t xml:space="preserve"> </w:t>
      </w:r>
      <w:r>
        <w:t xml:space="preserve">Tactical: the most capable in-estate framework, but 0.x Beta with breaking changes; a Strategic candidate at 1.0</w:t>
      </w:r>
      <w:r>
        <w:t xml:space="preserve"> </w:t>
      </w:r>
      <w:r>
        <w:rPr>
          <w:rStyle w:val="ClaimLabel"/>
        </w:rPr>
        <w:t xml:space="preserve">AJ</w:t>
      </w:r>
      <w:r>
        <w:t xml:space="preserve">.</w:t>
      </w:r>
    </w:p>
    <w:tbl>
      <w:tblPr>
        <w:tblStyle w:val="Table"/>
        <w:tblW w:type="pct" w:w="5000"/>
        <w:tblLook w:firstRow="1" w:lastRow="0" w:firstColumn="0" w:lastColumn="0" w:noHBand="0" w:noVBand="0" w:val="0020"/>
        <w:jc w:val="start"/>
      </w:tblPr>
      <w:tblGrid>
        <w:gridCol w:w="1545"/>
        <w:gridCol w:w="579"/>
        <w:gridCol w:w="5795"/>
      </w:tblGrid>
      <w:tr>
        <w:trPr>
          <w:tblHeader w:val="true"/>
        </w:trPr>
        <w:tc>
          <w:tcPr/>
          <w:p>
            <w:pPr>
              <w:pStyle w:val="Compact"/>
              <w:jc w:val="left"/>
            </w:pPr>
            <w:r>
              <w:t xml:space="preserve">Criterion</w:t>
            </w:r>
          </w:p>
        </w:tc>
        <w:tc>
          <w:tcPr/>
          <w:p>
            <w:pPr>
              <w:pStyle w:val="Compact"/>
              <w:jc w:val="right"/>
            </w:pPr>
            <w:r>
              <w:t xml:space="preserve">Score</w:t>
            </w:r>
          </w:p>
        </w:tc>
        <w:tc>
          <w:tcPr/>
          <w:p>
            <w:pPr>
              <w:pStyle w:val="Compact"/>
              <w:jc w:val="left"/>
            </w:pPr>
            <w:r>
              <w:t xml:space="preserve">Rationale</w:t>
            </w:r>
          </w:p>
        </w:tc>
      </w:tr>
      <w:tr>
        <w:tc>
          <w:tcPr/>
          <w:p>
            <w:pPr>
              <w:pStyle w:val="Compact"/>
              <w:jc w:val="left"/>
            </w:pPr>
            <w:r>
              <w:t xml:space="preserve">Technical</w:t>
            </w:r>
          </w:p>
        </w:tc>
        <w:tc>
          <w:tcPr/>
          <w:p>
            <w:pPr>
              <w:pStyle w:val="Compact"/>
              <w:jc w:val="right"/>
            </w:pPr>
            <w:r>
              <w:t xml:space="preserve">4</w:t>
            </w:r>
          </w:p>
        </w:tc>
        <w:tc>
          <w:tcPr/>
          <w:p>
            <w:pPr>
              <w:pStyle w:val="Compact"/>
              <w:jc w:val="left"/>
            </w:pPr>
            <w:r>
              <w:t xml:space="preserve">Input, output, dialogue, retrieval and tool rails; jailbreak, content and topic safety; self-check rails; IORails</w:t>
            </w:r>
            <w:r>
              <w:t xml:space="preserve"> </w:t>
            </w:r>
            <w:r>
              <w:rPr>
                <w:rStyle w:val="ClaimLabel"/>
              </w:rPr>
              <w:t xml:space="preserve">VF</w:t>
            </w:r>
            <w:r>
              <w:rPr>
                <w:rStyle w:val="FootnoteReference"/>
              </w:rPr>
              <w:footnoteReference w:id="1922"/>
            </w:r>
          </w:p>
        </w:tc>
      </w:tr>
      <w:tr>
        <w:tc>
          <w:tcPr/>
          <w:p>
            <w:pPr>
              <w:pStyle w:val="Compact"/>
              <w:jc w:val="left"/>
            </w:pPr>
            <w:r>
              <w:t xml:space="preserve">Enterprise readiness</w:t>
            </w:r>
          </w:p>
        </w:tc>
        <w:tc>
          <w:tcPr/>
          <w:p>
            <w:pPr>
              <w:pStyle w:val="Compact"/>
              <w:jc w:val="right"/>
            </w:pPr>
            <w:r>
              <w:t xml:space="preserve">3</w:t>
            </w:r>
          </w:p>
        </w:tc>
        <w:tc>
          <w:tcPr/>
          <w:p>
            <w:pPr>
              <w:pStyle w:val="Compact"/>
              <w:jc w:val="left"/>
            </w:pPr>
            <w:r>
              <w:t xml:space="preserve">Rule 2: server mode, OTel-style spans; identity inherits host; commercial support via NVIDIA AI Enterprise</w:t>
            </w:r>
            <w:r>
              <w:t xml:space="preserve"> </w:t>
            </w:r>
            <w:r>
              <w:rPr>
                <w:rStyle w:val="ClaimLabel"/>
              </w:rPr>
              <w:t xml:space="preserve">VF</w:t>
            </w:r>
            <w:r>
              <w:rPr>
                <w:rStyle w:val="FootnoteReference"/>
              </w:rPr>
              <w:footnoteReference w:id="1925"/>
            </w:r>
          </w:p>
        </w:tc>
      </w:tr>
      <w:tr>
        <w:tc>
          <w:tcPr/>
          <w:p>
            <w:pPr>
              <w:pStyle w:val="Compact"/>
              <w:jc w:val="left"/>
            </w:pPr>
            <w:r>
              <w:t xml:space="preserve">Security and compliance</w:t>
            </w:r>
          </w:p>
        </w:tc>
        <w:tc>
          <w:tcPr/>
          <w:p>
            <w:pPr>
              <w:pStyle w:val="Compact"/>
              <w:jc w:val="right"/>
            </w:pPr>
            <w:r>
              <w:t xml:space="preserve">3</w:t>
            </w:r>
          </w:p>
        </w:tc>
        <w:tc>
          <w:tcPr/>
          <w:p>
            <w:pPr>
              <w:pStyle w:val="Compact"/>
              <w:jc w:val="left"/>
            </w:pPr>
            <w:r>
              <w:t xml:space="preserve">Rule 2 hygiene: fail-closed streaming rails and explicit block-vs-failure outcomes</w:t>
            </w:r>
            <w:r>
              <w:t xml:space="preserve"> </w:t>
            </w:r>
            <w:r>
              <w:rPr>
                <w:rStyle w:val="ClaimLabel"/>
              </w:rPr>
              <w:t xml:space="preserve">VF</w:t>
            </w:r>
            <w:r>
              <w:rPr>
                <w:rStyle w:val="FootnoteReference"/>
              </w:rPr>
              <w:footnoteReference w:id="1927"/>
            </w:r>
            <w:r>
              <w:t xml:space="preserve">; security policy and signed releases NPV; NVIDIA certifications for the microservice NPV</w:t>
            </w:r>
          </w:p>
        </w:tc>
      </w:tr>
      <w:tr>
        <w:tc>
          <w:tcPr/>
          <w:p>
            <w:pPr>
              <w:pStyle w:val="Compact"/>
              <w:jc w:val="left"/>
            </w:pPr>
            <w:r>
              <w:t xml:space="preserve">Deployment flexibility</w:t>
            </w:r>
          </w:p>
        </w:tc>
        <w:tc>
          <w:tcPr/>
          <w:p>
            <w:pPr>
              <w:pStyle w:val="Compact"/>
              <w:jc w:val="right"/>
            </w:pPr>
            <w:r>
              <w:t xml:space="preserve">4</w:t>
            </w:r>
          </w:p>
        </w:tc>
        <w:tc>
          <w:tcPr/>
          <w:p>
            <w:pPr>
              <w:pStyle w:val="Compact"/>
              <w:jc w:val="left"/>
            </w:pPr>
            <w:r>
              <w:t xml:space="preserve">Library, server and Helm microservice on customer Kubernetes</w:t>
            </w:r>
            <w:r>
              <w:t xml:space="preserve"> </w:t>
            </w:r>
            <w:r>
              <w:rPr>
                <w:rStyle w:val="ClaimLabel"/>
              </w:rPr>
              <w:t xml:space="preserve">VF</w:t>
            </w:r>
            <w:r>
              <w:rPr>
                <w:rStyle w:val="FootnoteReference"/>
              </w:rPr>
              <w:footnoteReference w:id="1928"/>
            </w:r>
          </w:p>
        </w:tc>
      </w:tr>
      <w:tr>
        <w:tc>
          <w:tcPr/>
          <w:p>
            <w:pPr>
              <w:pStyle w:val="Compact"/>
              <w:jc w:val="left"/>
            </w:pPr>
            <w:r>
              <w:t xml:space="preserve">Ecosystem</w:t>
            </w:r>
          </w:p>
        </w:tc>
        <w:tc>
          <w:tcPr/>
          <w:p>
            <w:pPr>
              <w:pStyle w:val="Compact"/>
              <w:jc w:val="right"/>
            </w:pPr>
            <w:r>
              <w:t xml:space="preserve">4</w:t>
            </w:r>
          </w:p>
        </w:tc>
        <w:tc>
          <w:tcPr/>
          <w:p>
            <w:pPr>
              <w:pStyle w:val="Compact"/>
              <w:jc w:val="left"/>
            </w:pPr>
            <w:r>
              <w:t xml:space="preserve">Kong NeMo plugin, F5 AI Guardrails integration, NIM safety models</w:t>
            </w:r>
            <w:r>
              <w:t xml:space="preserve"> </w:t>
            </w:r>
            <w:r>
              <w:rPr>
                <w:rStyle w:val="ClaimLabel"/>
              </w:rPr>
              <w:t xml:space="preserve">VF</w:t>
            </w:r>
            <w:r>
              <w:rPr>
                <w:rStyle w:val="FootnoteReference"/>
              </w:rPr>
              <w:footnoteReference w:id="1929"/>
            </w:r>
          </w:p>
        </w:tc>
      </w:tr>
      <w:tr>
        <w:tc>
          <w:tcPr/>
          <w:p>
            <w:pPr>
              <w:pStyle w:val="Compact"/>
              <w:jc w:val="left"/>
            </w:pPr>
            <w:r>
              <w:t xml:space="preserve">Reliability and maturity</w:t>
            </w:r>
          </w:p>
        </w:tc>
        <w:tc>
          <w:tcPr/>
          <w:p>
            <w:pPr>
              <w:pStyle w:val="Compact"/>
              <w:jc w:val="right"/>
            </w:pPr>
            <w:r>
              <w:t xml:space="preserve">2</w:t>
            </w:r>
          </w:p>
        </w:tc>
        <w:tc>
          <w:tcPr/>
          <w:p>
            <w:pPr>
              <w:pStyle w:val="Compact"/>
              <w:jc w:val="left"/>
            </w:pPr>
            <w:r>
              <w:t xml:space="preserve">First release April 2023 but still 0.x Beta, breaking changes in minors (0.24.0)</w:t>
            </w:r>
            <w:r>
              <w:t xml:space="preserve"> </w:t>
            </w:r>
            <w:r>
              <w:rPr>
                <w:rStyle w:val="ClaimLabel"/>
              </w:rPr>
              <w:t xml:space="preserve">VF</w:t>
            </w:r>
            <w:r>
              <w:rPr>
                <w:rStyle w:val="FootnoteReference"/>
              </w:rPr>
              <w:footnoteReference w:id="1930"/>
            </w:r>
          </w:p>
        </w:tc>
      </w:tr>
      <w:tr>
        <w:tc>
          <w:tcPr/>
          <w:p>
            <w:pPr>
              <w:pStyle w:val="Compact"/>
              <w:jc w:val="left"/>
            </w:pPr>
            <w:r>
              <w:t xml:space="preserve">Cost / TCO</w:t>
            </w:r>
          </w:p>
        </w:tc>
        <w:tc>
          <w:tcPr/>
          <w:p>
            <w:pPr>
              <w:pStyle w:val="Compact"/>
              <w:jc w:val="right"/>
            </w:pPr>
            <w:r>
              <w:t xml:space="preserve">4</w:t>
            </w:r>
          </w:p>
        </w:tc>
        <w:tc>
          <w:tcPr/>
          <w:p>
            <w:pPr>
              <w:pStyle w:val="Compact"/>
              <w:jc w:val="left"/>
            </w:pPr>
            <w:r>
              <w:t xml:space="preserve">Free; optional AI Enterprise at US$4,500 per GPU per year; model rails add inference cost</w:t>
            </w:r>
            <w:r>
              <w:t xml:space="preserve"> </w:t>
            </w:r>
            <w:r>
              <w:rPr>
                <w:rStyle w:val="ClaimLabel"/>
              </w:rPr>
              <w:t xml:space="preserve">VF</w:t>
            </w:r>
            <w:r>
              <w:rPr>
                <w:rStyle w:val="FootnoteReference"/>
              </w:rPr>
              <w:footnoteReference w:id="1932"/>
            </w:r>
          </w:p>
        </w:tc>
      </w:tr>
      <w:tr>
        <w:tc>
          <w:tcPr/>
          <w:p>
            <w:pPr>
              <w:pStyle w:val="Compact"/>
              <w:jc w:val="left"/>
            </w:pPr>
            <w:r>
              <w:t xml:space="preserve">Lock-in / portability</w:t>
            </w:r>
          </w:p>
        </w:tc>
        <w:tc>
          <w:tcPr/>
          <w:p>
            <w:pPr>
              <w:pStyle w:val="Compact"/>
              <w:jc w:val="right"/>
            </w:pPr>
            <w:r>
              <w:t xml:space="preserve">4</w:t>
            </w:r>
          </w:p>
        </w:tc>
        <w:tc>
          <w:tcPr/>
          <w:p>
            <w:pPr>
              <w:pStyle w:val="Compact"/>
              <w:jc w:val="left"/>
            </w:pPr>
            <w:r>
              <w:t xml:space="preserve">Apache-2.0 but NVIDIA-governed; model rails can use any LLM endpoint</w:t>
            </w:r>
            <w:r>
              <w:t xml:space="preserve"> </w:t>
            </w:r>
            <w:r>
              <w:rPr>
                <w:rStyle w:val="ClaimLabel"/>
              </w:rPr>
              <w:t xml:space="preserve">VF</w:t>
            </w:r>
            <w:r>
              <w:rPr>
                <w:rStyle w:val="FootnoteReference"/>
              </w:rPr>
              <w:footnoteReference w:id="1934"/>
            </w:r>
          </w:p>
        </w:tc>
      </w:tr>
      <w:tr>
        <w:tc>
          <w:tcPr/>
          <w:p>
            <w:pPr>
              <w:pStyle w:val="Compact"/>
              <w:jc w:val="left"/>
            </w:pPr>
            <w:r>
              <w:rPr>
                <w:bCs/>
                <w:b/>
              </w:rPr>
              <w:t xml:space="preserve">Total (generic / FS)</w:t>
            </w:r>
          </w:p>
        </w:tc>
        <w:tc>
          <w:tcPr/>
          <w:p>
            <w:pPr>
              <w:pStyle w:val="Compact"/>
              <w:jc w:val="right"/>
            </w:pPr>
            <w:r>
              <w:rPr>
                <w:bCs/>
                <w:b/>
              </w:rPr>
              <w:t xml:space="preserve">3.50 / 3.45</w:t>
            </w:r>
          </w:p>
        </w:tc>
        <w:tc>
          <w:tcPr/>
          <w:p>
            <w:pPr>
              <w:pStyle w:val="Compact"/>
            </w:pPr>
          </w:p>
        </w:tc>
      </w:tr>
    </w:tbl>
    <w:p>
      <w:pPr>
        <w:pStyle w:val="BodyText"/>
      </w:pPr>
      <w:r>
        <w:rPr>
          <w:iCs/>
          <w:i/>
        </w:rPr>
        <w:t xml:space="preserve">Evidence rules applied:</w:t>
      </w:r>
      <w:r>
        <w:t xml:space="preserve"> </w:t>
      </w:r>
      <w:r>
        <w:t xml:space="preserve">Rule 2 basis: self-hosted open-source library; NPV cap not applied; commercial support exists (NVIDIA AI Enterprise)</w:t>
      </w:r>
    </w:p>
    <w:p>
      <w:pPr>
        <w:pStyle w:val="BodyText"/>
      </w:pPr>
      <w:r>
        <w:rPr>
          <w:bCs/>
          <w:b/>
        </w:rPr>
        <w:t xml:space="preserve">Capabilities.</w:t>
      </w:r>
      <w:r>
        <w:t xml:space="preserve"> </w:t>
      </w:r>
      <w:r>
        <w:t xml:space="preserve">Apache-2.0 toolkit adding programmable rails around LLM applications: content safety, topic safety, jailbreak detection (including a NIM-based model), self-check rails, Colang dialogue rails and third-party integrations; runs as a library or an OpenAI-compatible Guardrails server with a /v1/checks endpoint; new IORails engine for input, output and tool rails</w:t>
      </w:r>
      <w:r>
        <w:t xml:space="preserve"> </w:t>
      </w:r>
      <w:r>
        <w:rPr>
          <w:rStyle w:val="ClaimLabel"/>
        </w:rPr>
        <w:t xml:space="preserve">VF</w:t>
      </w:r>
      <w:r>
        <w:rPr>
          <w:rStyle w:val="FootnoteReference"/>
        </w:rPr>
        <w:footnoteReference w:id="1935"/>
      </w:r>
      <w:r>
        <w:t xml:space="preserve">.</w:t>
      </w:r>
    </w:p>
    <w:p>
      <w:pPr>
        <w:pStyle w:val="BodyText"/>
      </w:pPr>
      <w:r>
        <w:rPr>
          <w:bCs/>
          <w:b/>
        </w:rPr>
        <w:t xml:space="preserve">Strengths</w:t>
      </w:r>
    </w:p>
    <w:p>
      <w:pPr>
        <w:numPr>
          <w:ilvl w:val="0"/>
          <w:numId w:val="1401"/>
        </w:numPr>
        <w:pStyle w:val="Compact"/>
      </w:pPr>
      <w:r>
        <w:t xml:space="preserve">Widest rail types in one in-estate framework: input, output, dialogue, retrieval and tool rails</w:t>
      </w:r>
      <w:r>
        <w:t xml:space="preserve"> </w:t>
      </w:r>
      <w:r>
        <w:rPr>
          <w:rStyle w:val="ClaimLabel"/>
        </w:rPr>
        <w:t xml:space="preserve">VF</w:t>
      </w:r>
      <w:r>
        <w:rPr>
          <w:rStyle w:val="FootnoteReference"/>
        </w:rPr>
        <w:footnoteReference w:id="1936"/>
      </w:r>
    </w:p>
    <w:p>
      <w:pPr>
        <w:numPr>
          <w:ilvl w:val="0"/>
          <w:numId w:val="1401"/>
        </w:numPr>
        <w:pStyle w:val="Compact"/>
      </w:pPr>
      <w:r>
        <w:t xml:space="preserve">Engine-neutral allow/block/transform contract and fail-closed streaming output rails</w:t>
      </w:r>
      <w:r>
        <w:t xml:space="preserve"> </w:t>
      </w:r>
      <w:r>
        <w:rPr>
          <w:rStyle w:val="ClaimLabel"/>
        </w:rPr>
        <w:t xml:space="preserve">VF</w:t>
      </w:r>
      <w:r>
        <w:rPr>
          <w:rStyle w:val="FootnoteReference"/>
        </w:rPr>
        <w:footnoteReference w:id="1937"/>
      </w:r>
    </w:p>
    <w:p>
      <w:pPr>
        <w:numPr>
          <w:ilvl w:val="0"/>
          <w:numId w:val="1401"/>
        </w:numPr>
        <w:pStyle w:val="Compact"/>
      </w:pPr>
      <w:r>
        <w:t xml:space="preserve">Supported microservice via NVIDIA AI Enterprise</w:t>
      </w:r>
      <w:r>
        <w:t xml:space="preserve"> </w:t>
      </w:r>
      <w:r>
        <w:rPr>
          <w:rStyle w:val="ClaimLabel"/>
        </w:rPr>
        <w:t xml:space="preserve">VF</w:t>
      </w:r>
      <w:r>
        <w:rPr>
          <w:rStyle w:val="FootnoteReference"/>
        </w:rPr>
        <w:footnoteReference w:id="1938"/>
      </w:r>
    </w:p>
    <w:p>
      <w:pPr>
        <w:pStyle w:val="FirstParagraph"/>
      </w:pPr>
      <w:r>
        <w:rPr>
          <w:bCs/>
          <w:b/>
        </w:rPr>
        <w:t xml:space="preserve">Limitations and risks</w:t>
      </w:r>
    </w:p>
    <w:p>
      <w:pPr>
        <w:numPr>
          <w:ilvl w:val="0"/>
          <w:numId w:val="1402"/>
        </w:numPr>
        <w:pStyle w:val="Compact"/>
      </w:pPr>
      <w:r>
        <w:t xml:space="preserve">Still 0.x and classified Beta, with breaking changes in minor releases</w:t>
      </w:r>
      <w:r>
        <w:t xml:space="preserve"> </w:t>
      </w:r>
      <w:r>
        <w:rPr>
          <w:rStyle w:val="ClaimLabel"/>
        </w:rPr>
        <w:t xml:space="preserve">VF</w:t>
      </w:r>
      <w:r>
        <w:rPr>
          <w:rStyle w:val="FootnoteReference"/>
        </w:rPr>
        <w:footnoteReference w:id="1939"/>
      </w:r>
    </w:p>
    <w:p>
      <w:pPr>
        <w:numPr>
          <w:ilvl w:val="0"/>
          <w:numId w:val="1402"/>
        </w:numPr>
        <w:pStyle w:val="Compact"/>
      </w:pPr>
      <w:r>
        <w:t xml:space="preserve">Model-based rails depend on NIM/Nemotron or other LLM endpoints</w:t>
      </w:r>
      <w:r>
        <w:t xml:space="preserve"> </w:t>
      </w:r>
      <w:r>
        <w:rPr>
          <w:rStyle w:val="ClaimLabel"/>
        </w:rPr>
        <w:t xml:space="preserve">VF</w:t>
      </w:r>
      <w:r>
        <w:rPr>
          <w:rStyle w:val="FootnoteReference"/>
        </w:rPr>
        <w:footnoteReference w:id="1940"/>
      </w:r>
    </w:p>
    <w:p>
      <w:pPr>
        <w:numPr>
          <w:ilvl w:val="0"/>
          <w:numId w:val="1402"/>
        </w:numPr>
        <w:pStyle w:val="Compact"/>
      </w:pPr>
      <w:r>
        <w:t xml:space="preserve">The supported microservice accepts Colang 1.0 configurations only and lacks some toolkit server features</w:t>
      </w:r>
      <w:r>
        <w:t xml:space="preserve"> </w:t>
      </w:r>
      <w:r>
        <w:rPr>
          <w:rStyle w:val="ClaimLabel"/>
        </w:rPr>
        <w:t xml:space="preserve">VF</w:t>
      </w:r>
      <w:r>
        <w:rPr>
          <w:rStyle w:val="FootnoteReference"/>
        </w:rPr>
        <w:footnoteReference w:id="1941"/>
      </w:r>
    </w:p>
    <w:p>
      <w:pPr>
        <w:pStyle w:val="FirstParagraph"/>
      </w:pPr>
      <w:r>
        <w:rPr>
          <w:bCs/>
          <w:b/>
        </w:rPr>
        <w:t xml:space="preserve">Choose when</w:t>
      </w:r>
    </w:p>
    <w:p>
      <w:pPr>
        <w:numPr>
          <w:ilvl w:val="0"/>
          <w:numId w:val="1403"/>
        </w:numPr>
        <w:pStyle w:val="Compact"/>
      </w:pPr>
      <w:r>
        <w:t xml:space="preserve">You want an in-estate guardrail orchestration layer combining classifiers, rules and model-based checks</w:t>
      </w:r>
      <w:r>
        <w:t xml:space="preserve"> </w:t>
      </w:r>
      <w:r>
        <w:rPr>
          <w:rStyle w:val="ClaimLabel"/>
        </w:rPr>
        <w:t xml:space="preserve">AJ</w:t>
      </w:r>
    </w:p>
    <w:p>
      <w:pPr>
        <w:numPr>
          <w:ilvl w:val="0"/>
          <w:numId w:val="1403"/>
        </w:numPr>
        <w:pStyle w:val="Compact"/>
      </w:pPr>
      <w:r>
        <w:t xml:space="preserve">You run NVIDIA AI Enterprise and want supported safety NIMs</w:t>
      </w:r>
      <w:r>
        <w:t xml:space="preserve"> </w:t>
      </w:r>
      <w:r>
        <w:rPr>
          <w:rStyle w:val="ClaimLabel"/>
        </w:rPr>
        <w:t xml:space="preserve">AJ</w:t>
      </w:r>
    </w:p>
    <w:p>
      <w:pPr>
        <w:pStyle w:val="FirstParagraph"/>
      </w:pPr>
      <w:r>
        <w:rPr>
          <w:bCs/>
          <w:b/>
        </w:rPr>
        <w:t xml:space="preserve">Avoid when</w:t>
      </w:r>
    </w:p>
    <w:p>
      <w:pPr>
        <w:numPr>
          <w:ilvl w:val="0"/>
          <w:numId w:val="1404"/>
        </w:numPr>
        <w:pStyle w:val="Compact"/>
      </w:pPr>
      <w:r>
        <w:t xml:space="preserve">You cannot absorb breaking changes in a pre-1.0 dependency</w:t>
      </w:r>
      <w:r>
        <w:t xml:space="preserve"> </w:t>
      </w:r>
      <w:r>
        <w:rPr>
          <w:rStyle w:val="ClaimLabel"/>
        </w:rPr>
        <w:t xml:space="preserve">AJ</w:t>
      </w:r>
    </w:p>
    <w:p>
      <w:pPr>
        <w:pStyle w:val="FirstParagraph"/>
      </w:pPr>
      <w:r>
        <w:rPr>
          <w:bCs/>
          <w:b/>
        </w:rPr>
        <w:t xml:space="preserve">Nearest competitors:</w:t>
      </w:r>
      <w:r>
        <w:t xml:space="preserve"> </w:t>
      </w:r>
      <w:r>
        <w:t xml:space="preserve">C2-guardrails-ai, C2-meta-llama-protections, C7-lakera</w:t>
      </w:r>
    </w:p>
    <w:p>
      <w:pPr>
        <w:pStyle w:val="BodyText"/>
      </w:pPr>
      <w:r>
        <w:rPr>
          <w:bCs/>
          <w:b/>
        </w:rPr>
        <w:t xml:space="preserve">Regulated-FS note.</w:t>
      </w:r>
      <w:r>
        <w:t xml:space="preserve"> </w:t>
      </w:r>
      <w:r>
        <w:t xml:space="preserve">Pin versions, run it as a sidecar or server called from the gateway, and keep rail definitions in Git with the L9 red-team suite as the regression gate</w:t>
      </w:r>
      <w:r>
        <w:t xml:space="preserve"> </w:t>
      </w:r>
      <w:r>
        <w:rPr>
          <w:rStyle w:val="ClaimLabel"/>
        </w:rPr>
        <w:t xml:space="preserve">Rec</w:t>
      </w:r>
      <w:r>
        <w:t xml:space="preserve">.</w:t>
      </w:r>
    </w:p>
    <w:p>
      <w:pPr>
        <w:pStyle w:val="BodyText"/>
      </w:pPr>
      <w:r>
        <w:rPr>
          <w:bCs/>
          <w:b/>
        </w:rPr>
        <w:t xml:space="preserve">Facts (as of 2026-10-08)</w:t>
      </w:r>
    </w:p>
    <w:tbl>
      <w:tblPr>
        <w:tblStyle w:val="Table"/>
        <w:tblW w:type="pct" w:w="5000"/>
        <w:tblLook w:firstRow="1" w:lastRow="0" w:firstColumn="0" w:lastColumn="0" w:noHBand="0" w:noVBand="0" w:val="0020"/>
        <w:jc w:val="start"/>
      </w:tblPr>
      <w:tblGrid>
        <w:gridCol w:w="1485"/>
        <w:gridCol w:w="4290"/>
        <w:gridCol w:w="1320"/>
        <w:gridCol w:w="825"/>
      </w:tblGrid>
      <w:tr>
        <w:trPr>
          <w:tblHeader w:val="true"/>
        </w:trPr>
        <w:tc>
          <w:tcPr/>
          <w:p>
            <w:pPr>
              <w:pStyle w:val="Compact"/>
              <w:jc w:val="left"/>
            </w:pPr>
            <w:r>
              <w:t xml:space="preserve">Field</w:t>
            </w:r>
          </w:p>
        </w:tc>
        <w:tc>
          <w:tcPr/>
          <w:p>
            <w:pPr>
              <w:pStyle w:val="Compact"/>
              <w:jc w:val="left"/>
            </w:pPr>
            <w:r>
              <w:t xml:space="preserve">Value</w:t>
            </w:r>
          </w:p>
        </w:tc>
        <w:tc>
          <w:tcPr/>
          <w:p>
            <w:pPr>
              <w:pStyle w:val="Compact"/>
              <w:jc w:val="left"/>
            </w:pPr>
            <w:r>
              <w:t xml:space="preserve">Label</w:t>
            </w:r>
          </w:p>
        </w:tc>
        <w:tc>
          <w:tcPr/>
          <w:p>
            <w:pPr>
              <w:pStyle w:val="Compact"/>
              <w:jc w:val="left"/>
            </w:pPr>
            <w:r>
              <w:t xml:space="preserve">Sources</w:t>
            </w:r>
          </w:p>
        </w:tc>
      </w:tr>
      <w:tr>
        <w:tc>
          <w:tcPr/>
          <w:p>
            <w:pPr>
              <w:pStyle w:val="Compact"/>
              <w:jc w:val="left"/>
            </w:pPr>
            <w:r>
              <w:t xml:space="preserve">Company</w:t>
            </w:r>
          </w:p>
        </w:tc>
        <w:tc>
          <w:tcPr/>
          <w:p>
            <w:pPr>
              <w:pStyle w:val="Compact"/>
              <w:jc w:val="left"/>
            </w:pPr>
            <w:r>
              <w:t xml:space="preserve">NVIDIA (repository NVIDIA-NeMo/Guardrails)</w:t>
            </w:r>
          </w:p>
        </w:tc>
        <w:tc>
          <w:tcPr/>
          <w:p>
            <w:pPr>
              <w:pStyle w:val="Compact"/>
              <w:jc w:val="left"/>
            </w:pPr>
            <w:r>
              <w:t xml:space="preserve">Verified fact</w:t>
            </w:r>
          </w:p>
        </w:tc>
        <w:tc>
          <w:tcPr/>
          <w:p>
            <w:pPr>
              <w:pStyle w:val="Compact"/>
              <w:jc w:val="left"/>
            </w:pPr>
            <w:r>
              <w:t xml:space="preserve">A6-S003</w:t>
            </w:r>
          </w:p>
        </w:tc>
      </w:tr>
      <w:tr>
        <w:tc>
          <w:tcPr/>
          <w:p>
            <w:pPr>
              <w:pStyle w:val="Compact"/>
              <w:jc w:val="left"/>
            </w:pPr>
            <w:r>
              <w:t xml:space="preserve">Category</w:t>
            </w:r>
          </w:p>
        </w:tc>
        <w:tc>
          <w:tcPr/>
          <w:p>
            <w:pPr>
              <w:pStyle w:val="Compact"/>
              <w:jc w:val="left"/>
            </w:pPr>
            <w:r>
              <w:t xml:space="preserve">Open-source programmable guardrails toolkit (input, output, dialogue, retrieval and tool rails)</w:t>
            </w:r>
          </w:p>
        </w:tc>
        <w:tc>
          <w:tcPr/>
          <w:p>
            <w:pPr>
              <w:pStyle w:val="Compact"/>
              <w:jc w:val="left"/>
            </w:pPr>
            <w:r>
              <w:t xml:space="preserve">Verified fact</w:t>
            </w:r>
          </w:p>
        </w:tc>
        <w:tc>
          <w:tcPr/>
          <w:p>
            <w:pPr>
              <w:pStyle w:val="Compact"/>
              <w:jc w:val="left"/>
            </w:pPr>
            <w:r>
              <w:t xml:space="preserve">A6-S003, A6-S027</w:t>
            </w:r>
          </w:p>
        </w:tc>
      </w:tr>
      <w:tr>
        <w:tc>
          <w:tcPr/>
          <w:p>
            <w:pPr>
              <w:pStyle w:val="Compact"/>
              <w:jc w:val="left"/>
            </w:pPr>
            <w:r>
              <w:t xml:space="preserve">Version / lineup</w:t>
            </w:r>
          </w:p>
        </w:tc>
        <w:tc>
          <w:tcPr/>
          <w:p>
            <w:pPr>
              <w:pStyle w:val="Compact"/>
              <w:jc w:val="left"/>
            </w:pPr>
            <w:r>
              <w:t xml:space="preserve">0.24.1 (16 September 2026); 0.24.0 (25 August 2026)</w:t>
            </w:r>
          </w:p>
        </w:tc>
        <w:tc>
          <w:tcPr/>
          <w:p>
            <w:pPr>
              <w:pStyle w:val="Compact"/>
              <w:jc w:val="left"/>
            </w:pPr>
            <w:r>
              <w:t xml:space="preserve">Verified fact</w:t>
            </w:r>
          </w:p>
        </w:tc>
        <w:tc>
          <w:tcPr/>
          <w:p>
            <w:pPr>
              <w:pStyle w:val="Compact"/>
              <w:jc w:val="left"/>
            </w:pPr>
            <w:r>
              <w:t xml:space="preserve">A6-S003, A6-S036, V2-S028</w:t>
            </w:r>
          </w:p>
        </w:tc>
      </w:tr>
      <w:tr>
        <w:tc>
          <w:tcPr/>
          <w:p>
            <w:pPr>
              <w:pStyle w:val="Compact"/>
              <w:jc w:val="left"/>
            </w:pPr>
            <w:r>
              <w:t xml:space="preserve">Licence</w:t>
            </w:r>
          </w:p>
        </w:tc>
        <w:tc>
          <w:tcPr/>
          <w:p>
            <w:pPr>
              <w:pStyle w:val="Compact"/>
              <w:jc w:val="left"/>
            </w:pPr>
            <w:r>
              <w:t xml:space="preserve">Open source (Apache-2.0)</w:t>
            </w:r>
          </w:p>
        </w:tc>
        <w:tc>
          <w:tcPr/>
          <w:p>
            <w:pPr>
              <w:pStyle w:val="Compact"/>
              <w:jc w:val="left"/>
            </w:pPr>
            <w:r>
              <w:t xml:space="preserve">Verified fact</w:t>
            </w:r>
          </w:p>
        </w:tc>
        <w:tc>
          <w:tcPr/>
          <w:p>
            <w:pPr>
              <w:pStyle w:val="Compact"/>
              <w:jc w:val="left"/>
            </w:pPr>
            <w:r>
              <w:t xml:space="preserve">A6-S003</w:t>
            </w:r>
          </w:p>
        </w:tc>
      </w:tr>
      <w:tr>
        <w:tc>
          <w:tcPr/>
          <w:p>
            <w:pPr>
              <w:pStyle w:val="Compact"/>
              <w:jc w:val="left"/>
            </w:pPr>
            <w:r>
              <w:t xml:space="preserve">Strategic direction</w:t>
            </w:r>
          </w:p>
        </w:tc>
        <w:tc>
          <w:tcPr/>
          <w:p>
            <w:pPr>
              <w:pStyle w:val="Compact"/>
              <w:jc w:val="left"/>
            </w:pPr>
            <w:r>
              <w:t xml:space="preserve">New optimised IORails engine for input/output/tool rails without Colang runtime dependency; engine-neutral RailOutcome allow/block/transform contract; typed rail manifests; server health endpoints and output-rail check mode; third-party integrations such as F5 AI Guardrails</w:t>
            </w:r>
          </w:p>
        </w:tc>
        <w:tc>
          <w:tcPr/>
          <w:p>
            <w:pPr>
              <w:pStyle w:val="Compact"/>
              <w:jc w:val="left"/>
            </w:pPr>
            <w:r>
              <w:t xml:space="preserve">Verified fact</w:t>
            </w:r>
          </w:p>
        </w:tc>
        <w:tc>
          <w:tcPr/>
          <w:p>
            <w:pPr>
              <w:pStyle w:val="Compact"/>
              <w:jc w:val="left"/>
            </w:pPr>
            <w:r>
              <w:t xml:space="preserve">A6-S036, A6-S027</w:t>
            </w:r>
          </w:p>
        </w:tc>
      </w:tr>
      <w:tr>
        <w:tc>
          <w:tcPr/>
          <w:p>
            <w:pPr>
              <w:pStyle w:val="Compact"/>
              <w:jc w:val="left"/>
            </w:pPr>
            <w:r>
              <w:t xml:space="preserve">What it does</w:t>
            </w:r>
          </w:p>
        </w:tc>
        <w:tc>
          <w:tcPr/>
          <w:p>
            <w:pPr>
              <w:pStyle w:val="Compact"/>
              <w:jc w:val="left"/>
            </w:pPr>
            <w:r>
              <w:t xml:space="preserve">Adds programmable rails around LLM applications: content safety, topic safety and jailbreak detection (incl. NIM-based jailbreak model), self-check rails, dialogue rails in Colang, and third-party guardrail integrations; can run as a library or as an OpenAI-compatible Guardrails server with a /v1/checks endpoint.</w:t>
            </w:r>
          </w:p>
        </w:tc>
        <w:tc>
          <w:tcPr/>
          <w:p>
            <w:pPr>
              <w:pStyle w:val="Compact"/>
              <w:jc w:val="left"/>
            </w:pPr>
            <w:r>
              <w:t xml:space="preserve">Verified fact</w:t>
            </w:r>
          </w:p>
        </w:tc>
        <w:tc>
          <w:tcPr/>
          <w:p>
            <w:pPr>
              <w:pStyle w:val="Compact"/>
              <w:jc w:val="left"/>
            </w:pPr>
            <w:r>
              <w:t xml:space="preserve">A6-S036, A6-S027</w:t>
            </w:r>
          </w:p>
        </w:tc>
      </w:tr>
      <w:tr>
        <w:tc>
          <w:tcPr/>
          <w:p>
            <w:pPr>
              <w:pStyle w:val="Compact"/>
              <w:jc w:val="left"/>
            </w:pPr>
            <w:r>
              <w:t xml:space="preserve">Stack position</w:t>
            </w:r>
          </w:p>
        </w:tc>
        <w:tc>
          <w:tcPr/>
          <w:p>
            <w:pPr>
              <w:pStyle w:val="Compact"/>
              <w:jc w:val="left"/>
            </w:pPr>
            <w:r>
              <w:t xml:space="preserve">Guardrail layer wrapping model calls inside the application or as a sidecar/server; can also be called from gateways (Kong added an NVIDIA NeMo Guardrails plugin in AI Gateway 2.0.1)</w:t>
            </w:r>
          </w:p>
        </w:tc>
        <w:tc>
          <w:tcPr/>
          <w:p>
            <w:pPr>
              <w:pStyle w:val="Compact"/>
              <w:jc w:val="left"/>
            </w:pPr>
            <w:r>
              <w:t xml:space="preserve">Verified fact</w:t>
            </w:r>
          </w:p>
        </w:tc>
        <w:tc>
          <w:tcPr/>
          <w:p>
            <w:pPr>
              <w:pStyle w:val="Compact"/>
              <w:jc w:val="left"/>
            </w:pPr>
            <w:r>
              <w:t xml:space="preserve">A6-S027, A6-S017</w:t>
            </w:r>
          </w:p>
        </w:tc>
      </w:tr>
      <w:tr>
        <w:tc>
          <w:tcPr/>
          <w:p>
            <w:pPr>
              <w:pStyle w:val="Compact"/>
              <w:jc w:val="left"/>
            </w:pPr>
            <w:r>
              <w:t xml:space="preserve">Integration</w:t>
            </w:r>
          </w:p>
        </w:tc>
        <w:tc>
          <w:tcPr/>
          <w:p>
            <w:pPr>
              <w:pStyle w:val="Compact"/>
              <w:jc w:val="left"/>
            </w:pPr>
            <w:r>
              <w:t xml:space="preserve">Python library; OpenAI-compatible server with /v1/chat/completions-style and /v1/checks endpoints; OpenTelemetry-style tracing spans</w:t>
            </w:r>
          </w:p>
        </w:tc>
        <w:tc>
          <w:tcPr/>
          <w:p>
            <w:pPr>
              <w:pStyle w:val="Compact"/>
              <w:jc w:val="left"/>
            </w:pPr>
            <w:r>
              <w:t xml:space="preserve">Verified fact</w:t>
            </w:r>
          </w:p>
        </w:tc>
        <w:tc>
          <w:tcPr/>
          <w:p>
            <w:pPr>
              <w:pStyle w:val="Compact"/>
              <w:jc w:val="left"/>
            </w:pPr>
            <w:r>
              <w:t xml:space="preserve">A6-S036, A6-S027</w:t>
            </w:r>
          </w:p>
        </w:tc>
      </w:tr>
      <w:tr>
        <w:tc>
          <w:tcPr/>
          <w:p>
            <w:pPr>
              <w:pStyle w:val="Compact"/>
              <w:jc w:val="left"/>
            </w:pPr>
            <w:r>
              <w:t xml:space="preserve">Dependencies</w:t>
            </w:r>
          </w:p>
        </w:tc>
        <w:tc>
          <w:tcPr/>
          <w:p>
            <w:pPr>
              <w:pStyle w:val="Compact"/>
              <w:jc w:val="left"/>
            </w:pPr>
            <w:r>
              <w:t xml:space="preserve">Python &gt;=3.10,&lt;3.14; LLM or NIM endpoints for model-based rails; transformers and torch for the local classifier; microservice places NemoGuard safety NIMs (content safety, topic control, jailbreak detection) between the application and its LLM</w:t>
            </w:r>
          </w:p>
        </w:tc>
        <w:tc>
          <w:tcPr/>
          <w:p>
            <w:pPr>
              <w:pStyle w:val="Compact"/>
              <w:jc w:val="left"/>
            </w:pPr>
            <w:r>
              <w:t xml:space="preserve">Verified fact</w:t>
            </w:r>
          </w:p>
        </w:tc>
        <w:tc>
          <w:tcPr/>
          <w:p>
            <w:pPr>
              <w:pStyle w:val="Compact"/>
              <w:jc w:val="left"/>
            </w:pPr>
            <w:r>
              <w:t xml:space="preserve">A6-S003, A6-S036, A6-S111</w:t>
            </w:r>
          </w:p>
        </w:tc>
      </w:tr>
      <w:tr>
        <w:tc>
          <w:tcPr/>
          <w:p>
            <w:pPr>
              <w:pStyle w:val="Compact"/>
              <w:jc w:val="left"/>
            </w:pPr>
            <w:r>
              <w:t xml:space="preserve">Certifications</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GDPR / residency</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Security features</w:t>
            </w:r>
          </w:p>
        </w:tc>
        <w:tc>
          <w:tcPr/>
          <w:p>
            <w:pPr>
              <w:pStyle w:val="Compact"/>
              <w:jc w:val="left"/>
            </w:pPr>
            <w:r>
              <w:t xml:space="preserve">Streaming output rails fail closed when actions fail (0.24.0); IORails distinguishes policy blocks from rail execution failures</w:t>
            </w:r>
          </w:p>
        </w:tc>
        <w:tc>
          <w:tcPr/>
          <w:p>
            <w:pPr>
              <w:pStyle w:val="Compact"/>
              <w:jc w:val="left"/>
            </w:pPr>
            <w:r>
              <w:t xml:space="preserve">Verified fact</w:t>
            </w:r>
          </w:p>
        </w:tc>
        <w:tc>
          <w:tcPr/>
          <w:p>
            <w:pPr>
              <w:pStyle w:val="Compact"/>
              <w:jc w:val="left"/>
            </w:pPr>
            <w:r>
              <w:t xml:space="preserve">A6-S036</w:t>
            </w:r>
          </w:p>
        </w:tc>
      </w:tr>
      <w:tr>
        <w:tc>
          <w:tcPr/>
          <w:p>
            <w:pPr>
              <w:pStyle w:val="Compact"/>
              <w:jc w:val="left"/>
            </w:pPr>
            <w:r>
              <w:t xml:space="preserve">Access controls</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Enterprise support</w:t>
            </w:r>
          </w:p>
        </w:tc>
        <w:tc>
          <w:tcPr/>
          <w:p>
            <w:pPr>
              <w:pStyle w:val="Compact"/>
              <w:jc w:val="left"/>
            </w:pPr>
            <w:r>
              <w:t xml:space="preserve">NeMo Guardrails microservice (NeMo Microservices, Helm chart on NGC) is tagged</w:t>
            </w:r>
            <w:r>
              <w:t xml:space="preserve"> </w:t>
            </w:r>
            <w:r>
              <w:t xml:space="preserve">‘</w:t>
            </w:r>
            <w:r>
              <w:t xml:space="preserve">NVIDIA AI Enterprise Supported</w:t>
            </w:r>
            <w:r>
              <w:t xml:space="preserve">’</w:t>
            </w:r>
            <w:r>
              <w:t xml:space="preserve">; AI Enterprise subscriptions include Business Standard support, Business Critical at extra cost</w:t>
            </w:r>
          </w:p>
        </w:tc>
        <w:tc>
          <w:tcPr/>
          <w:p>
            <w:pPr>
              <w:pStyle w:val="Compact"/>
              <w:jc w:val="left"/>
            </w:pPr>
            <w:r>
              <w:t xml:space="preserve">Verified fact</w:t>
            </w:r>
          </w:p>
        </w:tc>
        <w:tc>
          <w:tcPr/>
          <w:p>
            <w:pPr>
              <w:pStyle w:val="Compact"/>
              <w:jc w:val="left"/>
            </w:pPr>
            <w:r>
              <w:t xml:space="preserve">A6-S111, A6-S112</w:t>
            </w:r>
          </w:p>
        </w:tc>
      </w:tr>
      <w:tr>
        <w:tc>
          <w:tcPr/>
          <w:p>
            <w:pPr>
              <w:pStyle w:val="Compact"/>
              <w:jc w:val="left"/>
            </w:pPr>
            <w:r>
              <w:t xml:space="preserve">Pricing</w:t>
            </w:r>
          </w:p>
        </w:tc>
        <w:tc>
          <w:tcPr/>
          <w:p>
            <w:pPr>
              <w:pStyle w:val="Compact"/>
              <w:jc w:val="left"/>
            </w:pPr>
            <w:r>
              <w:t xml:space="preserve">Open-source toolkit free (Apache-2.0). Supported microservice via NVIDIA AI Enterprise: list US$4,500 per GPU per year (self-managed, support included) or US$1 per GPU-hour on cloud marketplaces</w:t>
            </w:r>
          </w:p>
        </w:tc>
        <w:tc>
          <w:tcPr/>
          <w:p>
            <w:pPr>
              <w:pStyle w:val="Compact"/>
              <w:jc w:val="left"/>
            </w:pPr>
            <w:r>
              <w:t xml:space="preserve">Verified fact</w:t>
            </w:r>
          </w:p>
        </w:tc>
        <w:tc>
          <w:tcPr/>
          <w:p>
            <w:pPr>
              <w:pStyle w:val="Compact"/>
              <w:jc w:val="left"/>
            </w:pPr>
            <w:r>
              <w:t xml:space="preserve">A6-S003, A6-S112</w:t>
            </w:r>
          </w:p>
        </w:tc>
      </w:tr>
      <w:tr>
        <w:tc>
          <w:tcPr/>
          <w:p>
            <w:pPr>
              <w:pStyle w:val="Compact"/>
              <w:jc w:val="left"/>
            </w:pPr>
            <w:r>
              <w:t xml:space="preserve">Infrastructure cost</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Ecosystem</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Adoption signals</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Maturity</w:t>
            </w:r>
          </w:p>
        </w:tc>
        <w:tc>
          <w:tcPr/>
          <w:p>
            <w:pPr>
              <w:pStyle w:val="Compact"/>
              <w:jc w:val="left"/>
            </w:pPr>
            <w:r>
              <w:t xml:space="preserve">First PyPI release 25 April 2023; still 0.x and classified Beta; roughly monthly-to-bimonthly minor releases in 2026 (0.21 March, 0.22 May, 0.23 July, 0.24 August)</w:t>
            </w:r>
          </w:p>
        </w:tc>
        <w:tc>
          <w:tcPr/>
          <w:p>
            <w:pPr>
              <w:pStyle w:val="Compact"/>
              <w:jc w:val="left"/>
            </w:pPr>
            <w:r>
              <w:t xml:space="preserve">Verified fact</w:t>
            </w:r>
          </w:p>
        </w:tc>
        <w:tc>
          <w:tcPr/>
          <w:p>
            <w:pPr>
              <w:pStyle w:val="Compact"/>
              <w:jc w:val="left"/>
            </w:pPr>
            <w:r>
              <w:t xml:space="preserve">A6-S003</w:t>
            </w:r>
          </w:p>
        </w:tc>
      </w:tr>
      <w:tr>
        <w:tc>
          <w:tcPr/>
          <w:p>
            <w:pPr>
              <w:pStyle w:val="Compact"/>
              <w:jc w:val="left"/>
            </w:pPr>
            <w:r>
              <w:t xml:space="preserve">Deployment</w:t>
            </w:r>
          </w:p>
        </w:tc>
        <w:tc>
          <w:tcPr/>
          <w:p>
            <w:pPr>
              <w:pStyle w:val="Compact"/>
              <w:jc w:val="left"/>
            </w:pPr>
            <w:r>
              <w:t xml:space="preserve">saas: Not publicly verified; managed_cloud: Not publicly verified; vpc_byoc: Not publicly verified; private_cloud: Yes (NeMo Guardrails microservice deployed via Helm on customer Kubernetes); self_hosted: Yes (library or server); on_prem: Not publicly verified</w:t>
            </w:r>
          </w:p>
        </w:tc>
        <w:tc>
          <w:tcPr/>
          <w:p>
            <w:pPr>
              <w:pStyle w:val="Compact"/>
            </w:pPr>
          </w:p>
        </w:tc>
        <w:tc>
          <w:tcPr/>
          <w:p>
            <w:pPr>
              <w:pStyle w:val="Compact"/>
            </w:pPr>
          </w:p>
        </w:tc>
      </w:tr>
    </w:tbl>
    <w:bookmarkEnd w:id="1942"/>
    <w:bookmarkStart w:id="1961" w:name="Xec60eb0ecd65ff14192394c24c2f3c97ae83d27"/>
    <w:p>
      <w:pPr>
        <w:pStyle w:val="Heading2"/>
      </w:pPr>
      <w:r>
        <w:t xml:space="preserve">Amazon Bedrock Guardrails (</w:t>
      </w:r>
      <w:r>
        <w:rPr>
          <w:rStyle w:val="VerbatimChar"/>
        </w:rPr>
        <w:t xml:space="preserve">C2-bedrock-guardrails</w:t>
      </w:r>
      <w:r>
        <w:t xml:space="preserve">)</w:t>
      </w:r>
    </w:p>
    <w:p>
      <w:pPr>
        <w:pStyle w:val="FirstParagraph"/>
      </w:pPr>
      <w:r>
        <w:rPr>
          <w:bCs/>
          <w:b/>
        </w:rPr>
        <w:t xml:space="preserve">Tier:</w:t>
      </w:r>
      <w:r>
        <w:t xml:space="preserve"> </w:t>
      </w:r>
      <w:r>
        <w:t xml:space="preserve">Strategic ·</w:t>
      </w:r>
      <w:r>
        <w:t xml:space="preserve"> </w:t>
      </w:r>
      <w:r>
        <w:rPr>
          <w:bCs/>
          <w:b/>
        </w:rPr>
        <w:t xml:space="preserve">Flags:</w:t>
      </w:r>
      <w:r>
        <w:t xml:space="preserve"> </w:t>
      </w:r>
      <w:r>
        <w:t xml:space="preserve">none ·</w:t>
      </w:r>
      <w:r>
        <w:t xml:space="preserve"> </w:t>
      </w:r>
      <w:r>
        <w:rPr>
          <w:bCs/>
          <w:b/>
        </w:rPr>
        <w:t xml:space="preserve">Original graphic label:</w:t>
      </w:r>
      <w:r>
        <w:t xml:space="preserve"> </w:t>
      </w:r>
      <w:r>
        <w:t xml:space="preserve">not in graphic</w:t>
      </w:r>
    </w:p>
    <w:p>
      <w:pPr>
        <w:pStyle w:val="BodyText"/>
      </w:pPr>
      <w:r>
        <w:rPr>
          <w:iCs/>
          <w:i/>
        </w:rPr>
        <w:t xml:space="preserve">Rationale:</w:t>
      </w:r>
      <w:r>
        <w:t xml:space="preserve"> </w:t>
      </w:r>
      <w:r>
        <w:t xml:space="preserve">Strategic, conditional: where AWS is your primary cloud (CP3 Q2, rubric rule 10). The strongest managed policy set and AWS’s lead guardrail service; use the Classic tier or region-constrained profiles for client data, because the Standard tier uses cross-region inference</w:t>
      </w:r>
      <w:r>
        <w:t xml:space="preserve"> </w:t>
      </w:r>
      <w:r>
        <w:rPr>
          <w:rStyle w:val="ClaimLabel"/>
        </w:rPr>
        <w:t xml:space="preserve">AJ</w:t>
      </w:r>
      <w:r>
        <w:t xml:space="preserve">.</w:t>
      </w:r>
    </w:p>
    <w:tbl>
      <w:tblPr>
        <w:tblStyle w:val="Table"/>
        <w:tblW w:type="pct" w:w="5000"/>
        <w:tblLook w:firstRow="1" w:lastRow="0" w:firstColumn="0" w:lastColumn="0" w:noHBand="0" w:noVBand="0" w:val="0020"/>
        <w:jc w:val="start"/>
      </w:tblPr>
      <w:tblGrid>
        <w:gridCol w:w="1545"/>
        <w:gridCol w:w="579"/>
        <w:gridCol w:w="5795"/>
      </w:tblGrid>
      <w:tr>
        <w:trPr>
          <w:tblHeader w:val="true"/>
        </w:trPr>
        <w:tc>
          <w:tcPr/>
          <w:p>
            <w:pPr>
              <w:pStyle w:val="Compact"/>
              <w:jc w:val="left"/>
            </w:pPr>
            <w:r>
              <w:t xml:space="preserve">Criterion</w:t>
            </w:r>
          </w:p>
        </w:tc>
        <w:tc>
          <w:tcPr/>
          <w:p>
            <w:pPr>
              <w:pStyle w:val="Compact"/>
              <w:jc w:val="right"/>
            </w:pPr>
            <w:r>
              <w:t xml:space="preserve">Score</w:t>
            </w:r>
          </w:p>
        </w:tc>
        <w:tc>
          <w:tcPr/>
          <w:p>
            <w:pPr>
              <w:pStyle w:val="Compact"/>
              <w:jc w:val="left"/>
            </w:pPr>
            <w:r>
              <w:t xml:space="preserve">Rationale</w:t>
            </w:r>
          </w:p>
        </w:tc>
      </w:tr>
      <w:tr>
        <w:tc>
          <w:tcPr/>
          <w:p>
            <w:pPr>
              <w:pStyle w:val="Compact"/>
              <w:jc w:val="left"/>
            </w:pPr>
            <w:r>
              <w:t xml:space="preserve">Technical</w:t>
            </w:r>
          </w:p>
        </w:tc>
        <w:tc>
          <w:tcPr/>
          <w:p>
            <w:pPr>
              <w:pStyle w:val="Compact"/>
              <w:jc w:val="right"/>
            </w:pPr>
            <w:r>
              <w:t xml:space="preserve">5</w:t>
            </w:r>
          </w:p>
        </w:tc>
        <w:tc>
          <w:tcPr/>
          <w:p>
            <w:pPr>
              <w:pStyle w:val="Compact"/>
              <w:jc w:val="left"/>
            </w:pPr>
            <w:r>
              <w:t xml:space="preserve">Content and prompt-attack filters, denied topics, PII (incl. UK identifiers), contextual grounding, Automated Reasoning, standalone API</w:t>
            </w:r>
            <w:r>
              <w:t xml:space="preserve"> </w:t>
            </w:r>
            <w:r>
              <w:rPr>
                <w:rStyle w:val="ClaimLabel"/>
              </w:rPr>
              <w:t xml:space="preserve">VF</w:t>
            </w:r>
            <w:r>
              <w:rPr>
                <w:rStyle w:val="FootnoteReference"/>
              </w:rPr>
              <w:footnoteReference w:id="1943"/>
            </w:r>
          </w:p>
        </w:tc>
      </w:tr>
      <w:tr>
        <w:tc>
          <w:tcPr/>
          <w:p>
            <w:pPr>
              <w:pStyle w:val="Compact"/>
              <w:jc w:val="left"/>
            </w:pPr>
            <w:r>
              <w:t xml:space="preserve">Enterprise readiness</w:t>
            </w:r>
          </w:p>
        </w:tc>
        <w:tc>
          <w:tcPr/>
          <w:p>
            <w:pPr>
              <w:pStyle w:val="Compact"/>
              <w:jc w:val="right"/>
            </w:pPr>
            <w:r>
              <w:t xml:space="preserve">4</w:t>
            </w:r>
          </w:p>
        </w:tc>
        <w:tc>
          <w:tcPr/>
          <w:p>
            <w:pPr>
              <w:pStyle w:val="Compact"/>
              <w:jc w:val="left"/>
            </w:pPr>
            <w:r>
              <w:t xml:space="preserve">Hyperscaler presumption (CP2 Q1); confirm per service</w:t>
            </w:r>
          </w:p>
        </w:tc>
      </w:tr>
      <w:tr>
        <w:tc>
          <w:tcPr/>
          <w:p>
            <w:pPr>
              <w:pStyle w:val="Compact"/>
              <w:jc w:val="left"/>
            </w:pPr>
            <w:r>
              <w:t xml:space="preserve">Security and compliance</w:t>
            </w:r>
          </w:p>
        </w:tc>
        <w:tc>
          <w:tcPr/>
          <w:p>
            <w:pPr>
              <w:pStyle w:val="Compact"/>
              <w:jc w:val="right"/>
            </w:pPr>
            <w:r>
              <w:t xml:space="preserve">4</w:t>
            </w:r>
          </w:p>
        </w:tc>
        <w:tc>
          <w:tcPr/>
          <w:p>
            <w:pPr>
              <w:pStyle w:val="Compact"/>
              <w:jc w:val="left"/>
            </w:pPr>
            <w:r>
              <w:t xml:space="preserve">Bedrock in AWS SOC 1/2/3 scope since 15 August 2023 and on the ISO 27001 list</w:t>
            </w:r>
            <w:r>
              <w:t xml:space="preserve"> </w:t>
            </w:r>
            <w:r>
              <w:rPr>
                <w:rStyle w:val="ClaimLabel"/>
              </w:rPr>
              <w:t xml:space="preserve">VF</w:t>
            </w:r>
            <w:r>
              <w:rPr>
                <w:rStyle w:val="FootnoteReference"/>
              </w:rPr>
              <w:footnoteReference w:id="1946"/>
            </w:r>
            <w:r>
              <w:t xml:space="preserve">; Guardrails not named separately, so the scope rule applies; customer KMS key supported</w:t>
            </w:r>
            <w:r>
              <w:t xml:space="preserve"> </w:t>
            </w:r>
            <w:r>
              <w:rPr>
                <w:rStyle w:val="ClaimLabel"/>
              </w:rPr>
              <w:t xml:space="preserve">VF</w:t>
            </w:r>
            <w:r>
              <w:rPr>
                <w:rStyle w:val="FootnoteReference"/>
              </w:rPr>
              <w:footnoteReference w:id="1948"/>
            </w:r>
          </w:p>
        </w:tc>
      </w:tr>
      <w:tr>
        <w:tc>
          <w:tcPr/>
          <w:p>
            <w:pPr>
              <w:pStyle w:val="Compact"/>
              <w:jc w:val="left"/>
            </w:pPr>
            <w:r>
              <w:t xml:space="preserve">Deployment flexibility</w:t>
            </w:r>
          </w:p>
        </w:tc>
        <w:tc>
          <w:tcPr/>
          <w:p>
            <w:pPr>
              <w:pStyle w:val="Compact"/>
              <w:jc w:val="right"/>
            </w:pPr>
            <w:r>
              <w:t xml:space="preserve">2</w:t>
            </w:r>
          </w:p>
        </w:tc>
        <w:tc>
          <w:tcPr/>
          <w:p>
            <w:pPr>
              <w:pStyle w:val="Compact"/>
              <w:jc w:val="left"/>
            </w:pPr>
            <w:r>
              <w:t xml:space="preserve">Managed AWS only; cross-region profiles</w:t>
            </w:r>
            <w:r>
              <w:t xml:space="preserve"> </w:t>
            </w:r>
            <w:r>
              <w:rPr>
                <w:rStyle w:val="ClaimLabel"/>
              </w:rPr>
              <w:t xml:space="preserve">VF</w:t>
            </w:r>
            <w:r>
              <w:rPr>
                <w:rStyle w:val="FootnoteReference"/>
              </w:rPr>
              <w:footnoteReference w:id="1949"/>
            </w:r>
          </w:p>
        </w:tc>
      </w:tr>
      <w:tr>
        <w:tc>
          <w:tcPr/>
          <w:p>
            <w:pPr>
              <w:pStyle w:val="Compact"/>
              <w:jc w:val="left"/>
            </w:pPr>
            <w:r>
              <w:t xml:space="preserve">Ecosystem</w:t>
            </w:r>
          </w:p>
        </w:tc>
        <w:tc>
          <w:tcPr/>
          <w:p>
            <w:pPr>
              <w:pStyle w:val="Compact"/>
              <w:jc w:val="right"/>
            </w:pPr>
            <w:r>
              <w:t xml:space="preserve">3</w:t>
            </w:r>
          </w:p>
        </w:tc>
        <w:tc>
          <w:tcPr/>
          <w:p>
            <w:pPr>
              <w:pStyle w:val="Compact"/>
              <w:jc w:val="left"/>
            </w:pPr>
            <w:r>
              <w:t xml:space="preserve">Referenced by Kong and AWS’s gateway Guidance</w:t>
            </w:r>
            <w:r>
              <w:t xml:space="preserve"> </w:t>
            </w:r>
            <w:r>
              <w:rPr>
                <w:rStyle w:val="ClaimLabel"/>
              </w:rPr>
              <w:t xml:space="preserve">VF</w:t>
            </w:r>
            <w:r>
              <w:rPr>
                <w:rStyle w:val="FootnoteReference"/>
              </w:rPr>
              <w:footnoteReference w:id="1950"/>
            </w:r>
          </w:p>
        </w:tc>
      </w:tr>
      <w:tr>
        <w:tc>
          <w:tcPr/>
          <w:p>
            <w:pPr>
              <w:pStyle w:val="Compact"/>
              <w:jc w:val="left"/>
            </w:pPr>
            <w:r>
              <w:t xml:space="preserve">Reliability and maturity</w:t>
            </w:r>
          </w:p>
        </w:tc>
        <w:tc>
          <w:tcPr/>
          <w:p>
            <w:pPr>
              <w:pStyle w:val="Compact"/>
              <w:jc w:val="right"/>
            </w:pPr>
            <w:r>
              <w:t xml:space="preserve">3</w:t>
            </w:r>
          </w:p>
        </w:tc>
        <w:tc>
          <w:tcPr/>
          <w:p>
            <w:pPr>
              <w:pStyle w:val="Compact"/>
              <w:jc w:val="left"/>
            </w:pPr>
            <w:r>
              <w:t xml:space="preserve">Priced since at least December 2024; tiers added June 2025 (A6-S101, A6-S072); maturity fact cell NPV and InvokeGuardrailChecks GA not verified; 3, consistent with Azure AI Content Safety (GA August 2024) and Model Armor (CP3 review A)</w:t>
            </w:r>
          </w:p>
        </w:tc>
      </w:tr>
      <w:tr>
        <w:tc>
          <w:tcPr/>
          <w:p>
            <w:pPr>
              <w:pStyle w:val="Compact"/>
              <w:jc w:val="left"/>
            </w:pPr>
            <w:r>
              <w:t xml:space="preserve">Cost / TCO</w:t>
            </w:r>
          </w:p>
        </w:tc>
        <w:tc>
          <w:tcPr/>
          <w:p>
            <w:pPr>
              <w:pStyle w:val="Compact"/>
              <w:jc w:val="right"/>
            </w:pPr>
            <w:r>
              <w:t xml:space="preserve">3</w:t>
            </w:r>
          </w:p>
        </w:tc>
        <w:tc>
          <w:tcPr/>
          <w:p>
            <w:pPr>
              <w:pStyle w:val="Compact"/>
              <w:jc w:val="left"/>
            </w:pPr>
            <w:r>
              <w:t xml:space="preserve">Transparent per-policy unit pricing, e.g. US$0.15 per 1,000 text units for content filters</w:t>
            </w:r>
            <w:r>
              <w:t xml:space="preserve"> </w:t>
            </w:r>
            <w:r>
              <w:rPr>
                <w:rStyle w:val="ClaimLabel"/>
              </w:rPr>
              <w:t xml:space="preserve">VF</w:t>
            </w:r>
            <w:r>
              <w:rPr>
                <w:rStyle w:val="FootnoteReference"/>
              </w:rPr>
              <w:footnoteReference w:id="1951"/>
            </w:r>
          </w:p>
        </w:tc>
      </w:tr>
      <w:tr>
        <w:tc>
          <w:tcPr/>
          <w:p>
            <w:pPr>
              <w:pStyle w:val="Compact"/>
              <w:jc w:val="left"/>
            </w:pPr>
            <w:r>
              <w:t xml:space="preserve">Lock-in / portability</w:t>
            </w:r>
          </w:p>
        </w:tc>
        <w:tc>
          <w:tcPr/>
          <w:p>
            <w:pPr>
              <w:pStyle w:val="Compact"/>
              <w:jc w:val="right"/>
            </w:pPr>
            <w:r>
              <w:t xml:space="preserve">2</w:t>
            </w:r>
          </w:p>
        </w:tc>
        <w:tc>
          <w:tcPr/>
          <w:p>
            <w:pPr>
              <w:pStyle w:val="Compact"/>
              <w:jc w:val="left"/>
            </w:pPr>
            <w:r>
              <w:t xml:space="preserve">AWS-specific API</w:t>
            </w:r>
            <w:r>
              <w:t xml:space="preserve"> </w:t>
            </w:r>
            <w:r>
              <w:rPr>
                <w:rStyle w:val="ClaimLabel"/>
              </w:rPr>
              <w:t xml:space="preserve">VF</w:t>
            </w:r>
            <w:r>
              <w:rPr>
                <w:rStyle w:val="FootnoteReference"/>
              </w:rPr>
              <w:footnoteReference w:id="1953"/>
            </w:r>
          </w:p>
        </w:tc>
      </w:tr>
      <w:tr>
        <w:tc>
          <w:tcPr/>
          <w:p>
            <w:pPr>
              <w:pStyle w:val="Compact"/>
              <w:jc w:val="left"/>
            </w:pPr>
            <w:r>
              <w:rPr>
                <w:bCs/>
                <w:b/>
              </w:rPr>
              <w:t xml:space="preserve">Total (generic / FS)</w:t>
            </w:r>
          </w:p>
        </w:tc>
        <w:tc>
          <w:tcPr/>
          <w:p>
            <w:pPr>
              <w:pStyle w:val="Compact"/>
              <w:jc w:val="right"/>
            </w:pPr>
            <w:r>
              <w:rPr>
                <w:bCs/>
                <w:b/>
              </w:rPr>
              <w:t xml:space="preserve">3.50 / 3.35</w:t>
            </w:r>
          </w:p>
        </w:tc>
        <w:tc>
          <w:tcPr/>
          <w:p>
            <w:pPr>
              <w:pStyle w:val="Compact"/>
            </w:pPr>
          </w:p>
        </w:tc>
      </w:tr>
    </w:tbl>
    <w:p>
      <w:pPr>
        <w:pStyle w:val="BodyText"/>
      </w:pPr>
      <w:r>
        <w:rPr>
          <w:iCs/>
          <w:i/>
        </w:rPr>
        <w:t xml:space="preserve">Evidence rules applied:</w:t>
      </w:r>
      <w:r>
        <w:t xml:space="preserve"> </w:t>
      </w:r>
      <w:r>
        <w:t xml:space="preserve">enterprise_readiness set to 4 under the hyperscaler presumption (CP2 Q1): platform controls presumed; confirm per service</w:t>
      </w:r>
    </w:p>
    <w:p>
      <w:pPr>
        <w:pStyle w:val="BodyText"/>
      </w:pPr>
      <w:r>
        <w:rPr>
          <w:bCs/>
          <w:b/>
        </w:rPr>
        <w:t xml:space="preserve">Capabilities.</w:t>
      </w:r>
      <w:r>
        <w:t xml:space="preserve"> </w:t>
      </w:r>
      <w:r>
        <w:t xml:space="preserve">Managed guardrails for prompts and responses: content filters (including PROMPT_ATTACK) with Classic and Standard tiers, denied topics, word filters, PII detection with block or anonymise actions (31 entity types including UK NHS and NI numbers, IBAN, SWIFT), contextual grounding and Automated Reasoning checks; usable with any model through the standalone ApplyGuardrail API</w:t>
      </w:r>
      <w:r>
        <w:t xml:space="preserve"> </w:t>
      </w:r>
      <w:r>
        <w:rPr>
          <w:rStyle w:val="ClaimLabel"/>
        </w:rPr>
        <w:t xml:space="preserve">VF</w:t>
      </w:r>
      <w:r>
        <w:rPr>
          <w:rStyle w:val="FootnoteReference"/>
        </w:rPr>
        <w:footnoteReference w:id="1954"/>
      </w:r>
      <w:r>
        <w:t xml:space="preserve">.</w:t>
      </w:r>
    </w:p>
    <w:p>
      <w:pPr>
        <w:pStyle w:val="BodyText"/>
      </w:pPr>
      <w:r>
        <w:rPr>
          <w:bCs/>
          <w:b/>
        </w:rPr>
        <w:t xml:space="preserve">Strengths</w:t>
      </w:r>
    </w:p>
    <w:p>
      <w:pPr>
        <w:numPr>
          <w:ilvl w:val="0"/>
          <w:numId w:val="1405"/>
        </w:numPr>
        <w:pStyle w:val="Compact"/>
      </w:pPr>
      <w:r>
        <w:t xml:space="preserve">Broadest managed policy set, including grounding and Automated Reasoning</w:t>
      </w:r>
      <w:r>
        <w:t xml:space="preserve"> </w:t>
      </w:r>
      <w:r>
        <w:rPr>
          <w:rStyle w:val="ClaimLabel"/>
        </w:rPr>
        <w:t xml:space="preserve">VF</w:t>
      </w:r>
      <w:r>
        <w:rPr>
          <w:rStyle w:val="FootnoteReference"/>
        </w:rPr>
        <w:footnoteReference w:id="1955"/>
      </w:r>
      <w:r>
        <w:t xml:space="preserve"> </w:t>
      </w:r>
      <w:r>
        <w:rPr>
          <w:rStyle w:val="ClaimLabel"/>
        </w:rPr>
        <w:t xml:space="preserve">AJ</w:t>
      </w:r>
    </w:p>
    <w:p>
      <w:pPr>
        <w:numPr>
          <w:ilvl w:val="0"/>
          <w:numId w:val="1405"/>
        </w:numPr>
        <w:pStyle w:val="Compact"/>
      </w:pPr>
      <w:r>
        <w:t xml:space="preserve">Model-independent via ApplyGuardrail</w:t>
      </w:r>
      <w:r>
        <w:t xml:space="preserve"> </w:t>
      </w:r>
      <w:r>
        <w:rPr>
          <w:rStyle w:val="ClaimLabel"/>
        </w:rPr>
        <w:t xml:space="preserve">VF</w:t>
      </w:r>
      <w:r>
        <w:rPr>
          <w:rStyle w:val="FootnoteReference"/>
        </w:rPr>
        <w:footnoteReference w:id="1956"/>
      </w:r>
    </w:p>
    <w:p>
      <w:pPr>
        <w:numPr>
          <w:ilvl w:val="0"/>
          <w:numId w:val="1405"/>
        </w:numPr>
        <w:pStyle w:val="Compact"/>
      </w:pPr>
      <w:r>
        <w:t xml:space="preserve">Customer KMS key encryption</w:t>
      </w:r>
      <w:r>
        <w:t xml:space="preserve"> </w:t>
      </w:r>
      <w:r>
        <w:rPr>
          <w:rStyle w:val="ClaimLabel"/>
        </w:rPr>
        <w:t xml:space="preserve">VF</w:t>
      </w:r>
      <w:r>
        <w:rPr>
          <w:rStyle w:val="FootnoteReference"/>
        </w:rPr>
        <w:footnoteReference w:id="1957"/>
      </w:r>
    </w:p>
    <w:p>
      <w:pPr>
        <w:pStyle w:val="FirstParagraph"/>
      </w:pPr>
      <w:r>
        <w:rPr>
          <w:bCs/>
          <w:b/>
        </w:rPr>
        <w:t xml:space="preserve">Limitations and risks</w:t>
      </w:r>
    </w:p>
    <w:p>
      <w:pPr>
        <w:numPr>
          <w:ilvl w:val="0"/>
          <w:numId w:val="1406"/>
        </w:numPr>
        <w:pStyle w:val="Compact"/>
      </w:pPr>
      <w:r>
        <w:t xml:space="preserve">Standard tier uses cross-region inference, a residency consideration</w:t>
      </w:r>
      <w:r>
        <w:t xml:space="preserve"> </w:t>
      </w:r>
      <w:r>
        <w:rPr>
          <w:rStyle w:val="ClaimLabel"/>
        </w:rPr>
        <w:t xml:space="preserve">VF</w:t>
      </w:r>
      <w:r>
        <w:rPr>
          <w:rStyle w:val="FootnoteReference"/>
        </w:rPr>
        <w:footnoteReference w:id="1958"/>
      </w:r>
    </w:p>
    <w:p>
      <w:pPr>
        <w:numPr>
          <w:ilvl w:val="0"/>
          <w:numId w:val="1406"/>
        </w:numPr>
        <w:pStyle w:val="Compact"/>
      </w:pPr>
      <w:r>
        <w:t xml:space="preserve">Per-policy pricing stacks</w:t>
      </w:r>
      <w:r>
        <w:t xml:space="preserve"> </w:t>
      </w:r>
      <w:r>
        <w:rPr>
          <w:rStyle w:val="ClaimLabel"/>
        </w:rPr>
        <w:t xml:space="preserve">VF</w:t>
      </w:r>
      <w:r>
        <w:rPr>
          <w:rStyle w:val="FootnoteReference"/>
        </w:rPr>
        <w:footnoteReference w:id="1959"/>
      </w:r>
    </w:p>
    <w:p>
      <w:pPr>
        <w:numPr>
          <w:ilvl w:val="0"/>
          <w:numId w:val="1406"/>
        </w:numPr>
        <w:pStyle w:val="Compact"/>
      </w:pPr>
      <w:r>
        <w:t xml:space="preserve">AWS-specific API</w:t>
      </w:r>
      <w:r>
        <w:t xml:space="preserve"> </w:t>
      </w:r>
      <w:r>
        <w:rPr>
          <w:rStyle w:val="ClaimLabel"/>
        </w:rPr>
        <w:t xml:space="preserve">VF</w:t>
      </w:r>
      <w:r>
        <w:rPr>
          <w:rStyle w:val="FootnoteReference"/>
        </w:rPr>
        <w:footnoteReference w:id="1960"/>
      </w:r>
    </w:p>
    <w:p>
      <w:pPr>
        <w:pStyle w:val="FirstParagraph"/>
      </w:pPr>
      <w:r>
        <w:rPr>
          <w:bCs/>
          <w:b/>
        </w:rPr>
        <w:t xml:space="preserve">Choose when</w:t>
      </w:r>
    </w:p>
    <w:p>
      <w:pPr>
        <w:numPr>
          <w:ilvl w:val="0"/>
          <w:numId w:val="1407"/>
        </w:numPr>
        <w:pStyle w:val="Compact"/>
      </w:pPr>
      <w:r>
        <w:t xml:space="preserve">You run on AWS and want managed input/output guardrails, PII handling and grounding checks</w:t>
      </w:r>
      <w:r>
        <w:t xml:space="preserve"> </w:t>
      </w:r>
      <w:r>
        <w:rPr>
          <w:rStyle w:val="ClaimLabel"/>
        </w:rPr>
        <w:t xml:space="preserve">AJ</w:t>
      </w:r>
    </w:p>
    <w:p>
      <w:pPr>
        <w:numPr>
          <w:ilvl w:val="0"/>
          <w:numId w:val="1407"/>
        </w:numPr>
        <w:pStyle w:val="Compact"/>
      </w:pPr>
      <w:r>
        <w:t xml:space="preserve">You want guardrails callable for non-Bedrock models</w:t>
      </w:r>
      <w:r>
        <w:t xml:space="preserve"> </w:t>
      </w:r>
      <w:r>
        <w:rPr>
          <w:rStyle w:val="ClaimLabel"/>
        </w:rPr>
        <w:t xml:space="preserve">AJ</w:t>
      </w:r>
    </w:p>
    <w:p>
      <w:pPr>
        <w:pStyle w:val="FirstParagraph"/>
      </w:pPr>
      <w:r>
        <w:rPr>
          <w:bCs/>
          <w:b/>
        </w:rPr>
        <w:t xml:space="preserve">Avoid when</w:t>
      </w:r>
    </w:p>
    <w:p>
      <w:pPr>
        <w:numPr>
          <w:ilvl w:val="0"/>
          <w:numId w:val="1408"/>
        </w:numPr>
        <w:pStyle w:val="Compact"/>
      </w:pPr>
      <w:r>
        <w:t xml:space="preserve">You need the guardrail to run outside AWS, or cannot accept cross-region inference on the Standard tier</w:t>
      </w:r>
      <w:r>
        <w:t xml:space="preserve"> </w:t>
      </w:r>
      <w:r>
        <w:rPr>
          <w:rStyle w:val="ClaimLabel"/>
        </w:rPr>
        <w:t xml:space="preserve">AJ</w:t>
      </w:r>
    </w:p>
    <w:p>
      <w:pPr>
        <w:pStyle w:val="FirstParagraph"/>
      </w:pPr>
      <w:r>
        <w:rPr>
          <w:bCs/>
          <w:b/>
        </w:rPr>
        <w:t xml:space="preserve">Nearest competitors:</w:t>
      </w:r>
      <w:r>
        <w:t xml:space="preserve"> </w:t>
      </w:r>
      <w:r>
        <w:t xml:space="preserve">C2-azure-ai-content-safety, C2-google-model-armor, C2-nemo-guardrails</w:t>
      </w:r>
    </w:p>
    <w:p>
      <w:pPr>
        <w:pStyle w:val="BodyText"/>
      </w:pPr>
      <w:r>
        <w:rPr>
          <w:bCs/>
          <w:b/>
        </w:rPr>
        <w:t xml:space="preserve">Regulated-FS note.</w:t>
      </w:r>
      <w:r>
        <w:t xml:space="preserve"> </w:t>
      </w:r>
      <w:r>
        <w:t xml:space="preserve">Pin guardrail versions in C5, use the Classic tier or region-constrained profiles for client data, and evaluate false-positive rates per policy on your own data</w:t>
      </w:r>
      <w:r>
        <w:t xml:space="preserve"> </w:t>
      </w:r>
      <w:r>
        <w:rPr>
          <w:rStyle w:val="ClaimLabel"/>
        </w:rPr>
        <w:t xml:space="preserve">Rec</w:t>
      </w:r>
      <w:r>
        <w:t xml:space="preserve">.</w:t>
      </w:r>
    </w:p>
    <w:p>
      <w:pPr>
        <w:pStyle w:val="BodyText"/>
      </w:pPr>
      <w:r>
        <w:rPr>
          <w:bCs/>
          <w:b/>
        </w:rPr>
        <w:t xml:space="preserve">Facts (as of 2026-10-07)</w:t>
      </w:r>
    </w:p>
    <w:tbl>
      <w:tblPr>
        <w:tblStyle w:val="Table"/>
        <w:tblW w:type="pct" w:w="5000"/>
        <w:tblLook w:firstRow="1" w:lastRow="0" w:firstColumn="0" w:lastColumn="0" w:noHBand="0" w:noVBand="0" w:val="0020"/>
        <w:jc w:val="start"/>
      </w:tblPr>
      <w:tblGrid>
        <w:gridCol w:w="1485"/>
        <w:gridCol w:w="4290"/>
        <w:gridCol w:w="1320"/>
        <w:gridCol w:w="825"/>
      </w:tblGrid>
      <w:tr>
        <w:trPr>
          <w:tblHeader w:val="true"/>
        </w:trPr>
        <w:tc>
          <w:tcPr/>
          <w:p>
            <w:pPr>
              <w:pStyle w:val="Compact"/>
              <w:jc w:val="left"/>
            </w:pPr>
            <w:r>
              <w:t xml:space="preserve">Field</w:t>
            </w:r>
          </w:p>
        </w:tc>
        <w:tc>
          <w:tcPr/>
          <w:p>
            <w:pPr>
              <w:pStyle w:val="Compact"/>
              <w:jc w:val="left"/>
            </w:pPr>
            <w:r>
              <w:t xml:space="preserve">Value</w:t>
            </w:r>
          </w:p>
        </w:tc>
        <w:tc>
          <w:tcPr/>
          <w:p>
            <w:pPr>
              <w:pStyle w:val="Compact"/>
              <w:jc w:val="left"/>
            </w:pPr>
            <w:r>
              <w:t xml:space="preserve">Label</w:t>
            </w:r>
          </w:p>
        </w:tc>
        <w:tc>
          <w:tcPr/>
          <w:p>
            <w:pPr>
              <w:pStyle w:val="Compact"/>
              <w:jc w:val="left"/>
            </w:pPr>
            <w:r>
              <w:t xml:space="preserve">Sources</w:t>
            </w:r>
          </w:p>
        </w:tc>
      </w:tr>
      <w:tr>
        <w:tc>
          <w:tcPr/>
          <w:p>
            <w:pPr>
              <w:pStyle w:val="Compact"/>
              <w:jc w:val="left"/>
            </w:pPr>
            <w:r>
              <w:t xml:space="preserve">Company</w:t>
            </w:r>
          </w:p>
        </w:tc>
        <w:tc>
          <w:tcPr/>
          <w:p>
            <w:pPr>
              <w:pStyle w:val="Compact"/>
              <w:jc w:val="left"/>
            </w:pPr>
            <w:r>
              <w:t xml:space="preserve">Amazon Web Services</w:t>
            </w:r>
          </w:p>
        </w:tc>
        <w:tc>
          <w:tcPr/>
          <w:p>
            <w:pPr>
              <w:pStyle w:val="Compact"/>
              <w:jc w:val="left"/>
            </w:pPr>
            <w:r>
              <w:t xml:space="preserve">Verified fact</w:t>
            </w:r>
          </w:p>
        </w:tc>
        <w:tc>
          <w:tcPr/>
          <w:p>
            <w:pPr>
              <w:pStyle w:val="Compact"/>
              <w:jc w:val="left"/>
            </w:pPr>
            <w:r>
              <w:t xml:space="preserve">A6-S072</w:t>
            </w:r>
          </w:p>
        </w:tc>
      </w:tr>
      <w:tr>
        <w:tc>
          <w:tcPr/>
          <w:p>
            <w:pPr>
              <w:pStyle w:val="Compact"/>
              <w:jc w:val="left"/>
            </w:pPr>
            <w:r>
              <w:t xml:space="preserve">Category</w:t>
            </w:r>
          </w:p>
        </w:tc>
        <w:tc>
          <w:tcPr/>
          <w:p>
            <w:pPr>
              <w:pStyle w:val="Compact"/>
              <w:jc w:val="left"/>
            </w:pPr>
            <w:r>
              <w:t xml:space="preserve">Managed guardrail service for generative AI inputs and outputs</w:t>
            </w:r>
          </w:p>
        </w:tc>
        <w:tc>
          <w:tcPr/>
          <w:p>
            <w:pPr>
              <w:pStyle w:val="Compact"/>
              <w:jc w:val="left"/>
            </w:pPr>
            <w:r>
              <w:t xml:space="preserve">Verified fact</w:t>
            </w:r>
          </w:p>
        </w:tc>
        <w:tc>
          <w:tcPr/>
          <w:p>
            <w:pPr>
              <w:pStyle w:val="Compact"/>
              <w:jc w:val="left"/>
            </w:pPr>
            <w:r>
              <w:t xml:space="preserve">A6-S072</w:t>
            </w:r>
          </w:p>
        </w:tc>
      </w:tr>
      <w:tr>
        <w:tc>
          <w:tcPr/>
          <w:p>
            <w:pPr>
              <w:pStyle w:val="Compact"/>
              <w:jc w:val="left"/>
            </w:pPr>
            <w:r>
              <w:t xml:space="preserve">Version / lineup</w:t>
            </w:r>
          </w:p>
        </w:tc>
        <w:tc>
          <w:tcPr/>
          <w:p>
            <w:pPr>
              <w:pStyle w:val="Compact"/>
              <w:jc w:val="left"/>
            </w:pPr>
            <w:r>
              <w:t xml:space="preserve">Managed service; API model includes content filters with CLASSIC and STANDARD tiers, denied topics, word filters, sensitive-information (PII) filters, contextual grounding, Automated Reasoning policies and cross-region guardrail profiles (botocore 1.43.109, 7 October 2026); Standard/Classic safeguard tiers for content filters and denied topics introduced June 2025 (Standard uses cross-region inference)</w:t>
            </w:r>
          </w:p>
        </w:tc>
        <w:tc>
          <w:tcPr/>
          <w:p>
            <w:pPr>
              <w:pStyle w:val="Compact"/>
              <w:jc w:val="left"/>
            </w:pPr>
            <w:r>
              <w:t xml:space="preserve">Verified fact</w:t>
            </w:r>
          </w:p>
        </w:tc>
        <w:tc>
          <w:tcPr/>
          <w:p>
            <w:pPr>
              <w:pStyle w:val="Compact"/>
              <w:jc w:val="left"/>
            </w:pPr>
            <w:r>
              <w:t xml:space="preserve">A6-S072, A6-S075, A6-S101</w:t>
            </w:r>
          </w:p>
        </w:tc>
      </w:tr>
      <w:tr>
        <w:tc>
          <w:tcPr/>
          <w:p>
            <w:pPr>
              <w:pStyle w:val="Compact"/>
              <w:jc w:val="left"/>
            </w:pPr>
            <w:r>
              <w:t xml:space="preserve">Licence</w:t>
            </w:r>
          </w:p>
        </w:tc>
        <w:tc>
          <w:tcPr/>
          <w:p>
            <w:pPr>
              <w:pStyle w:val="Compact"/>
              <w:jc w:val="left"/>
            </w:pPr>
            <w:r>
              <w:t xml:space="preserve">Proprietary managed service</w:t>
            </w:r>
          </w:p>
        </w:tc>
        <w:tc>
          <w:tcPr/>
          <w:p>
            <w:pPr>
              <w:pStyle w:val="Compact"/>
              <w:jc w:val="left"/>
            </w:pPr>
            <w:r>
              <w:t xml:space="preserve">Verified fact</w:t>
            </w:r>
          </w:p>
        </w:tc>
        <w:tc>
          <w:tcPr/>
          <w:p>
            <w:pPr>
              <w:pStyle w:val="Compact"/>
              <w:jc w:val="left"/>
            </w:pPr>
            <w:r>
              <w:t xml:space="preserve">A6-S072</w:t>
            </w:r>
          </w:p>
        </w:tc>
      </w:tr>
      <w:tr>
        <w:tc>
          <w:tcPr/>
          <w:p>
            <w:pPr>
              <w:pStyle w:val="Compact"/>
              <w:jc w:val="left"/>
            </w:pPr>
            <w:r>
              <w:t xml:space="preserve">Strategic direction</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What it does</w:t>
            </w:r>
          </w:p>
        </w:tc>
        <w:tc>
          <w:tcPr/>
          <w:p>
            <w:pPr>
              <w:pStyle w:val="Compact"/>
              <w:jc w:val="left"/>
            </w:pPr>
            <w:r>
              <w:t xml:space="preserve">Configurable guardrails applied to prompts and model responses: content filters (sexual, violence, hate, insults, misconduct, prompt attack), denied topics, word filters, PII detection with block or anonymise actions (31 entity types incl. UK NHS and NI numbers, IBAN, SWIFT), contextual grounding checks and Automated Reasoning checks; usable with Bedrock models or standalone via the ApplyGuardrail API.</w:t>
            </w:r>
          </w:p>
        </w:tc>
        <w:tc>
          <w:tcPr/>
          <w:p>
            <w:pPr>
              <w:pStyle w:val="Compact"/>
              <w:jc w:val="left"/>
            </w:pPr>
            <w:r>
              <w:t xml:space="preserve">Verified fact</w:t>
            </w:r>
          </w:p>
        </w:tc>
        <w:tc>
          <w:tcPr/>
          <w:p>
            <w:pPr>
              <w:pStyle w:val="Compact"/>
              <w:jc w:val="left"/>
            </w:pPr>
            <w:r>
              <w:t xml:space="preserve">A6-S072, A6-S073</w:t>
            </w:r>
          </w:p>
        </w:tc>
      </w:tr>
      <w:tr>
        <w:tc>
          <w:tcPr/>
          <w:p>
            <w:pPr>
              <w:pStyle w:val="Compact"/>
              <w:jc w:val="left"/>
            </w:pPr>
            <w:r>
              <w:t xml:space="preserve">Stack position</w:t>
            </w:r>
          </w:p>
        </w:tc>
        <w:tc>
          <w:tcPr/>
          <w:p>
            <w:pPr>
              <w:pStyle w:val="Compact"/>
              <w:jc w:val="left"/>
            </w:pPr>
            <w:r>
              <w:t xml:space="preserve">Guardrail service callable inline with Bedrock inference or independently of any model (ApplyGuardrail); also used in the AWS multi-provider gateway Guidance</w:t>
            </w:r>
          </w:p>
        </w:tc>
        <w:tc>
          <w:tcPr/>
          <w:p>
            <w:pPr>
              <w:pStyle w:val="Compact"/>
              <w:jc w:val="left"/>
            </w:pPr>
            <w:r>
              <w:t xml:space="preserve">Verified fact</w:t>
            </w:r>
          </w:p>
        </w:tc>
        <w:tc>
          <w:tcPr/>
          <w:p>
            <w:pPr>
              <w:pStyle w:val="Compact"/>
              <w:jc w:val="left"/>
            </w:pPr>
            <w:r>
              <w:t xml:space="preserve">A6-S073, A6-S022</w:t>
            </w:r>
          </w:p>
        </w:tc>
      </w:tr>
      <w:tr>
        <w:tc>
          <w:tcPr/>
          <w:p>
            <w:pPr>
              <w:pStyle w:val="Compact"/>
              <w:jc w:val="left"/>
            </w:pPr>
            <w:r>
              <w:t xml:space="preserve">Integration</w:t>
            </w:r>
          </w:p>
        </w:tc>
        <w:tc>
          <w:tcPr/>
          <w:p>
            <w:pPr>
              <w:pStyle w:val="Compact"/>
              <w:jc w:val="left"/>
            </w:pPr>
            <w:r>
              <w:t xml:space="preserve">AWS API/SDK: CreateGuardrail (control plane), ApplyGuardrail and InvokeGuardrailChecks (runtime)</w:t>
            </w:r>
          </w:p>
        </w:tc>
        <w:tc>
          <w:tcPr/>
          <w:p>
            <w:pPr>
              <w:pStyle w:val="Compact"/>
              <w:jc w:val="left"/>
            </w:pPr>
            <w:r>
              <w:t xml:space="preserve">Verified fact</w:t>
            </w:r>
          </w:p>
        </w:tc>
        <w:tc>
          <w:tcPr/>
          <w:p>
            <w:pPr>
              <w:pStyle w:val="Compact"/>
              <w:jc w:val="left"/>
            </w:pPr>
            <w:r>
              <w:t xml:space="preserve">A6-S072, A6-S073</w:t>
            </w:r>
          </w:p>
        </w:tc>
      </w:tr>
      <w:tr>
        <w:tc>
          <w:tcPr/>
          <w:p>
            <w:pPr>
              <w:pStyle w:val="Compact"/>
              <w:jc w:val="left"/>
            </w:pPr>
            <w:r>
              <w:t xml:space="preserve">Dependencies</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Certifications</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GDPR / residency</w:t>
            </w:r>
          </w:p>
        </w:tc>
        <w:tc>
          <w:tcPr/>
          <w:p>
            <w:pPr>
              <w:pStyle w:val="Compact"/>
              <w:jc w:val="left"/>
            </w:pPr>
            <w:r>
              <w:t xml:space="preserve">Cross-region guardrail profiles route guardrail inference to defined destination regions (crossRegionConfig)</w:t>
            </w:r>
          </w:p>
        </w:tc>
        <w:tc>
          <w:tcPr/>
          <w:p>
            <w:pPr>
              <w:pStyle w:val="Compact"/>
              <w:jc w:val="left"/>
            </w:pPr>
            <w:r>
              <w:t xml:space="preserve">Verified fact</w:t>
            </w:r>
          </w:p>
        </w:tc>
        <w:tc>
          <w:tcPr/>
          <w:p>
            <w:pPr>
              <w:pStyle w:val="Compact"/>
              <w:jc w:val="left"/>
            </w:pPr>
            <w:r>
              <w:t xml:space="preserve">A6-S072</w:t>
            </w:r>
          </w:p>
        </w:tc>
      </w:tr>
      <w:tr>
        <w:tc>
          <w:tcPr/>
          <w:p>
            <w:pPr>
              <w:pStyle w:val="Compact"/>
              <w:jc w:val="left"/>
            </w:pPr>
            <w:r>
              <w:t xml:space="preserve">Security features</w:t>
            </w:r>
          </w:p>
        </w:tc>
        <w:tc>
          <w:tcPr/>
          <w:p>
            <w:pPr>
              <w:pStyle w:val="Compact"/>
              <w:jc w:val="left"/>
            </w:pPr>
            <w:r>
              <w:t xml:space="preserve">Guardrails can be encrypted with a customer KMS key (kmsKeyId)</w:t>
            </w:r>
          </w:p>
        </w:tc>
        <w:tc>
          <w:tcPr/>
          <w:p>
            <w:pPr>
              <w:pStyle w:val="Compact"/>
              <w:jc w:val="left"/>
            </w:pPr>
            <w:r>
              <w:t xml:space="preserve">Verified fact</w:t>
            </w:r>
          </w:p>
        </w:tc>
        <w:tc>
          <w:tcPr/>
          <w:p>
            <w:pPr>
              <w:pStyle w:val="Compact"/>
              <w:jc w:val="left"/>
            </w:pPr>
            <w:r>
              <w:t xml:space="preserve">A6-S072</w:t>
            </w:r>
          </w:p>
        </w:tc>
      </w:tr>
      <w:tr>
        <w:tc>
          <w:tcPr/>
          <w:p>
            <w:pPr>
              <w:pStyle w:val="Compact"/>
              <w:jc w:val="left"/>
            </w:pPr>
            <w:r>
              <w:t xml:space="preserve">Access controls</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Enterprise support</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Pricing</w:t>
            </w:r>
          </w:p>
        </w:tc>
        <w:tc>
          <w:tcPr/>
          <w:p>
            <w:pPr>
              <w:pStyle w:val="Compact"/>
              <w:jc w:val="left"/>
            </w:pPr>
            <w:r>
              <w:t xml:space="preserve">Per 1,000 text units (1 unit = 1,000 characters, billed per configured policy): content filters US$0.15 and denied topics US$0.15 (since 1 December 2024); sensitive-information filters US$0.10 and Automated Reasoning checks US$0.17 (from AWS worked pricing examples); no separate Standard-tier rate found</w:t>
            </w:r>
          </w:p>
        </w:tc>
        <w:tc>
          <w:tcPr/>
          <w:p>
            <w:pPr>
              <w:pStyle w:val="Compact"/>
              <w:jc w:val="left"/>
            </w:pPr>
            <w:r>
              <w:t xml:space="preserve">Verified fact</w:t>
            </w:r>
          </w:p>
        </w:tc>
        <w:tc>
          <w:tcPr/>
          <w:p>
            <w:pPr>
              <w:pStyle w:val="Compact"/>
              <w:jc w:val="left"/>
            </w:pPr>
            <w:r>
              <w:t xml:space="preserve">A6-S101</w:t>
            </w:r>
          </w:p>
        </w:tc>
      </w:tr>
      <w:tr>
        <w:tc>
          <w:tcPr/>
          <w:p>
            <w:pPr>
              <w:pStyle w:val="Compact"/>
              <w:jc w:val="left"/>
            </w:pPr>
            <w:r>
              <w:t xml:space="preserve">Infrastructure cost</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Ecosystem</w:t>
            </w:r>
          </w:p>
        </w:tc>
        <w:tc>
          <w:tcPr/>
          <w:p>
            <w:pPr>
              <w:pStyle w:val="Compact"/>
              <w:jc w:val="left"/>
            </w:pPr>
            <w:r>
              <w:t xml:space="preserve">Referenced as a guardrail option in Kong AI Gateway (</w:t>
            </w:r>
            <w:r>
              <w:t xml:space="preserve">‘</w:t>
            </w:r>
            <w:r>
              <w:t xml:space="preserve">AWS, Azure and GCP guardrail services</w:t>
            </w:r>
            <w:r>
              <w:t xml:space="preserve">’</w:t>
            </w:r>
            <w:r>
              <w:t xml:space="preserve">)</w:t>
            </w:r>
          </w:p>
        </w:tc>
        <w:tc>
          <w:tcPr/>
          <w:p>
            <w:pPr>
              <w:pStyle w:val="Compact"/>
              <w:jc w:val="left"/>
            </w:pPr>
            <w:r>
              <w:t xml:space="preserve">Verified fact</w:t>
            </w:r>
          </w:p>
        </w:tc>
        <w:tc>
          <w:tcPr/>
          <w:p>
            <w:pPr>
              <w:pStyle w:val="Compact"/>
              <w:jc w:val="left"/>
            </w:pPr>
            <w:r>
              <w:t xml:space="preserve">A6-S017</w:t>
            </w:r>
          </w:p>
        </w:tc>
      </w:tr>
      <w:tr>
        <w:tc>
          <w:tcPr/>
          <w:p>
            <w:pPr>
              <w:pStyle w:val="Compact"/>
              <w:jc w:val="left"/>
            </w:pPr>
            <w:r>
              <w:t xml:space="preserve">Adoption signals</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Maturity</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Deployment</w:t>
            </w:r>
          </w:p>
        </w:tc>
        <w:tc>
          <w:tcPr/>
          <w:p>
            <w:pPr>
              <w:pStyle w:val="Compact"/>
              <w:jc w:val="left"/>
            </w:pPr>
            <w:r>
              <w:t xml:space="preserve">saas: Yes (managed AWS service); managed_cloud: Not publicly verified; vpc_byoc: Not publicly verified; private_cloud: Not publicly verified; self_hosted: No; on_prem: Not publicly verified</w:t>
            </w:r>
          </w:p>
        </w:tc>
        <w:tc>
          <w:tcPr/>
          <w:p>
            <w:pPr>
              <w:pStyle w:val="Compact"/>
            </w:pPr>
          </w:p>
        </w:tc>
        <w:tc>
          <w:tcPr/>
          <w:p>
            <w:pPr>
              <w:pStyle w:val="Compact"/>
            </w:pPr>
          </w:p>
        </w:tc>
      </w:tr>
    </w:tbl>
    <w:bookmarkEnd w:id="1961"/>
    <w:bookmarkStart w:id="1979" w:name="model-armor-c2-google-model-armor"/>
    <w:p>
      <w:pPr>
        <w:pStyle w:val="Heading2"/>
      </w:pPr>
      <w:r>
        <w:t xml:space="preserve">Model Armor (</w:t>
      </w:r>
      <w:r>
        <w:rPr>
          <w:rStyle w:val="VerbatimChar"/>
        </w:rPr>
        <w:t xml:space="preserve">C2-google-model-armor</w:t>
      </w:r>
      <w:r>
        <w:t xml:space="preserve">)</w:t>
      </w:r>
    </w:p>
    <w:p>
      <w:pPr>
        <w:pStyle w:val="FirstParagraph"/>
      </w:pPr>
      <w:r>
        <w:rPr>
          <w:bCs/>
          <w:b/>
        </w:rPr>
        <w:t xml:space="preserve">Tier:</w:t>
      </w:r>
      <w:r>
        <w:t xml:space="preserve"> </w:t>
      </w:r>
      <w:r>
        <w:t xml:space="preserve">Strategic ·</w:t>
      </w:r>
      <w:r>
        <w:t xml:space="preserve"> </w:t>
      </w:r>
      <w:r>
        <w:rPr>
          <w:bCs/>
          <w:b/>
        </w:rPr>
        <w:t xml:space="preserve">Flags:</w:t>
      </w:r>
      <w:r>
        <w:t xml:space="preserve"> </w:t>
      </w:r>
      <w:r>
        <w:t xml:space="preserve">none ·</w:t>
      </w:r>
      <w:r>
        <w:t xml:space="preserve"> </w:t>
      </w:r>
      <w:r>
        <w:rPr>
          <w:bCs/>
          <w:b/>
        </w:rPr>
        <w:t xml:space="preserve">Original graphic label:</w:t>
      </w:r>
      <w:r>
        <w:t xml:space="preserve"> </w:t>
      </w:r>
      <w:r>
        <w:t xml:space="preserve">not in graphic</w:t>
      </w:r>
    </w:p>
    <w:p>
      <w:pPr>
        <w:pStyle w:val="BodyText"/>
      </w:pPr>
      <w:r>
        <w:rPr>
          <w:iCs/>
          <w:i/>
        </w:rPr>
        <w:t xml:space="preserve">Rationale:</w:t>
      </w:r>
      <w:r>
        <w:t xml:space="preserve"> </w:t>
      </w:r>
      <w:r>
        <w:t xml:space="preserve">Strategic, conditional: where Google Cloud is your primary cloud (CP3 Q2, rubric rule 10). Google’s lead guardrail service, efficient and residency-aware; narrower than Bedrock (grounding not evidenced), and the London residency position must be confirmed in writing where UK residency is required</w:t>
      </w:r>
      <w:r>
        <w:t xml:space="preserve"> </w:t>
      </w:r>
      <w:r>
        <w:rPr>
          <w:rStyle w:val="ClaimLabel"/>
        </w:rPr>
        <w:t xml:space="preserve">AJ</w:t>
      </w:r>
      <w:r>
        <w:t xml:space="preserve">.</w:t>
      </w:r>
    </w:p>
    <w:tbl>
      <w:tblPr>
        <w:tblStyle w:val="Table"/>
        <w:tblW w:type="pct" w:w="5000"/>
        <w:tblLook w:firstRow="1" w:lastRow="0" w:firstColumn="0" w:lastColumn="0" w:noHBand="0" w:noVBand="0" w:val="0020"/>
        <w:jc w:val="start"/>
      </w:tblPr>
      <w:tblGrid>
        <w:gridCol w:w="1545"/>
        <w:gridCol w:w="579"/>
        <w:gridCol w:w="5795"/>
      </w:tblGrid>
      <w:tr>
        <w:trPr>
          <w:tblHeader w:val="true"/>
        </w:trPr>
        <w:tc>
          <w:tcPr/>
          <w:p>
            <w:pPr>
              <w:pStyle w:val="Compact"/>
              <w:jc w:val="left"/>
            </w:pPr>
            <w:r>
              <w:t xml:space="preserve">Criterion</w:t>
            </w:r>
          </w:p>
        </w:tc>
        <w:tc>
          <w:tcPr/>
          <w:p>
            <w:pPr>
              <w:pStyle w:val="Compact"/>
              <w:jc w:val="right"/>
            </w:pPr>
            <w:r>
              <w:t xml:space="preserve">Score</w:t>
            </w:r>
          </w:p>
        </w:tc>
        <w:tc>
          <w:tcPr/>
          <w:p>
            <w:pPr>
              <w:pStyle w:val="Compact"/>
              <w:jc w:val="left"/>
            </w:pPr>
            <w:r>
              <w:t xml:space="preserve">Rationale</w:t>
            </w:r>
          </w:p>
        </w:tc>
      </w:tr>
      <w:tr>
        <w:tc>
          <w:tcPr/>
          <w:p>
            <w:pPr>
              <w:pStyle w:val="Compact"/>
              <w:jc w:val="left"/>
            </w:pPr>
            <w:r>
              <w:t xml:space="preserve">Technical</w:t>
            </w:r>
          </w:p>
        </w:tc>
        <w:tc>
          <w:tcPr/>
          <w:p>
            <w:pPr>
              <w:pStyle w:val="Compact"/>
              <w:jc w:val="right"/>
            </w:pPr>
            <w:r>
              <w:t xml:space="preserve">4</w:t>
            </w:r>
          </w:p>
        </w:tc>
        <w:tc>
          <w:tcPr/>
          <w:p>
            <w:pPr>
              <w:pStyle w:val="Compact"/>
              <w:jc w:val="left"/>
            </w:pPr>
            <w:r>
              <w:t xml:space="preserve">Prompt injection and jailbreak, malicious URLs and files, harm, sensitive data</w:t>
            </w:r>
            <w:r>
              <w:t xml:space="preserve"> </w:t>
            </w:r>
            <w:r>
              <w:rPr>
                <w:rStyle w:val="ClaimLabel"/>
              </w:rPr>
              <w:t xml:space="preserve">VF</w:t>
            </w:r>
            <w:r>
              <w:rPr>
                <w:rStyle w:val="FootnoteReference"/>
              </w:rPr>
              <w:footnoteReference w:id="1962"/>
            </w:r>
            <w:r>
              <w:t xml:space="preserve">; grounding not evidenced</w:t>
            </w:r>
            <w:r>
              <w:t xml:space="preserve"> </w:t>
            </w:r>
            <w:r>
              <w:rPr>
                <w:rStyle w:val="ClaimLabel"/>
              </w:rPr>
              <w:t xml:space="preserve">NPV</w:t>
            </w:r>
          </w:p>
        </w:tc>
      </w:tr>
      <w:tr>
        <w:tc>
          <w:tcPr/>
          <w:p>
            <w:pPr>
              <w:pStyle w:val="Compact"/>
              <w:jc w:val="left"/>
            </w:pPr>
            <w:r>
              <w:t xml:space="preserve">Enterprise readiness</w:t>
            </w:r>
          </w:p>
        </w:tc>
        <w:tc>
          <w:tcPr/>
          <w:p>
            <w:pPr>
              <w:pStyle w:val="Compact"/>
              <w:jc w:val="right"/>
            </w:pPr>
            <w:r>
              <w:t xml:space="preserve">4</w:t>
            </w:r>
          </w:p>
        </w:tc>
        <w:tc>
          <w:tcPr/>
          <w:p>
            <w:pPr>
              <w:pStyle w:val="Compact"/>
              <w:jc w:val="left"/>
            </w:pPr>
            <w:r>
              <w:t xml:space="preserve">Hyperscaler presumption (CP2 Q1); confirm per service</w:t>
            </w:r>
          </w:p>
        </w:tc>
      </w:tr>
      <w:tr>
        <w:tc>
          <w:tcPr/>
          <w:p>
            <w:pPr>
              <w:pStyle w:val="Compact"/>
              <w:jc w:val="left"/>
            </w:pPr>
            <w:r>
              <w:t xml:space="preserve">Security and compliance</w:t>
            </w:r>
          </w:p>
        </w:tc>
        <w:tc>
          <w:tcPr/>
          <w:p>
            <w:pPr>
              <w:pStyle w:val="Compact"/>
              <w:jc w:val="right"/>
            </w:pPr>
            <w:r>
              <w:t xml:space="preserve">4</w:t>
            </w:r>
          </w:p>
        </w:tc>
        <w:tc>
          <w:tcPr/>
          <w:p>
            <w:pPr>
              <w:pStyle w:val="Compact"/>
              <w:jc w:val="left"/>
            </w:pPr>
            <w:r>
              <w:t xml:space="preserve">Named in Google Cloud SOC 2 and ISO/IEC 27001 scope</w:t>
            </w:r>
            <w:r>
              <w:t xml:space="preserve"> </w:t>
            </w:r>
            <w:r>
              <w:rPr>
                <w:rStyle w:val="ClaimLabel"/>
              </w:rPr>
              <w:t xml:space="preserve">VF</w:t>
            </w:r>
            <w:r>
              <w:rPr>
                <w:rStyle w:val="FootnoteReference"/>
              </w:rPr>
              <w:footnoteReference w:id="1964"/>
            </w:r>
            <w:r>
              <w:t xml:space="preserve">; CMK not verified, so not 5</w:t>
            </w:r>
          </w:p>
        </w:tc>
      </w:tr>
      <w:tr>
        <w:tc>
          <w:tcPr/>
          <w:p>
            <w:pPr>
              <w:pStyle w:val="Compact"/>
              <w:jc w:val="left"/>
            </w:pPr>
            <w:r>
              <w:t xml:space="preserve">Deployment flexibility</w:t>
            </w:r>
          </w:p>
        </w:tc>
        <w:tc>
          <w:tcPr/>
          <w:p>
            <w:pPr>
              <w:pStyle w:val="Compact"/>
              <w:jc w:val="right"/>
            </w:pPr>
            <w:r>
              <w:t xml:space="preserve">2</w:t>
            </w:r>
          </w:p>
        </w:tc>
        <w:tc>
          <w:tcPr/>
          <w:p>
            <w:pPr>
              <w:pStyle w:val="Compact"/>
              <w:jc w:val="left"/>
            </w:pPr>
            <w:r>
              <w:t xml:space="preserve">Managed only, with regional and multi-regional endpoints</w:t>
            </w:r>
            <w:r>
              <w:t xml:space="preserve"> </w:t>
            </w:r>
            <w:r>
              <w:rPr>
                <w:rStyle w:val="ClaimLabel"/>
              </w:rPr>
              <w:t xml:space="preserve">VF</w:t>
            </w:r>
            <w:r>
              <w:rPr>
                <w:rStyle w:val="FootnoteReference"/>
              </w:rPr>
              <w:footnoteReference w:id="1965"/>
            </w:r>
          </w:p>
        </w:tc>
      </w:tr>
      <w:tr>
        <w:tc>
          <w:tcPr/>
          <w:p>
            <w:pPr>
              <w:pStyle w:val="Compact"/>
              <w:jc w:val="left"/>
            </w:pPr>
            <w:r>
              <w:t xml:space="preserve">Ecosystem</w:t>
            </w:r>
          </w:p>
        </w:tc>
        <w:tc>
          <w:tcPr/>
          <w:p>
            <w:pPr>
              <w:pStyle w:val="Compact"/>
              <w:jc w:val="right"/>
            </w:pPr>
            <w:r>
              <w:t xml:space="preserve">4</w:t>
            </w:r>
          </w:p>
        </w:tc>
        <w:tc>
          <w:tcPr/>
          <w:p>
            <w:pPr>
              <w:pStyle w:val="Compact"/>
              <w:jc w:val="left"/>
            </w:pPr>
            <w:r>
              <w:t xml:space="preserve">Apigee, Agent Platform, Google MCP servers, Service Extensions, Firebase, LangChain</w:t>
            </w:r>
            <w:r>
              <w:t xml:space="preserve"> </w:t>
            </w:r>
            <w:r>
              <w:rPr>
                <w:rStyle w:val="ClaimLabel"/>
              </w:rPr>
              <w:t xml:space="preserve">VF</w:t>
            </w:r>
            <w:r>
              <w:rPr>
                <w:rStyle w:val="FootnoteReference"/>
              </w:rPr>
              <w:footnoteReference w:id="1968"/>
            </w:r>
          </w:p>
        </w:tc>
      </w:tr>
      <w:tr>
        <w:tc>
          <w:tcPr/>
          <w:p>
            <w:pPr>
              <w:pStyle w:val="Compact"/>
              <w:jc w:val="left"/>
            </w:pPr>
            <w:r>
              <w:t xml:space="preserve">Reliability and maturity</w:t>
            </w:r>
          </w:p>
        </w:tc>
        <w:tc>
          <w:tcPr/>
          <w:p>
            <w:pPr>
              <w:pStyle w:val="Compact"/>
              <w:jc w:val="right"/>
            </w:pPr>
            <w:r>
              <w:t xml:space="preserve">3</w:t>
            </w:r>
          </w:p>
        </w:tc>
        <w:tc>
          <w:tcPr/>
          <w:p>
            <w:pPr>
              <w:pStyle w:val="Compact"/>
              <w:jc w:val="left"/>
            </w:pPr>
            <w:r>
              <w:t xml:space="preserve">Active release notes; GA date not verified</w:t>
            </w:r>
            <w:r>
              <w:t xml:space="preserve"> </w:t>
            </w:r>
            <w:r>
              <w:rPr>
                <w:rStyle w:val="ClaimLabel"/>
              </w:rPr>
              <w:t xml:space="preserve">VF</w:t>
            </w:r>
            <w:r>
              <w:rPr>
                <w:rStyle w:val="FootnoteReference"/>
              </w:rPr>
              <w:footnoteReference w:id="1969"/>
            </w:r>
            <w:r>
              <w:t xml:space="preserve"> </w:t>
            </w:r>
            <w:r>
              <w:rPr>
                <w:rStyle w:val="ClaimLabel"/>
              </w:rPr>
              <w:t xml:space="preserve">NPV</w:t>
            </w:r>
          </w:p>
        </w:tc>
      </w:tr>
      <w:tr>
        <w:tc>
          <w:tcPr/>
          <w:p>
            <w:pPr>
              <w:pStyle w:val="Compact"/>
              <w:jc w:val="left"/>
            </w:pPr>
            <w:r>
              <w:t xml:space="preserve">Cost / TCO</w:t>
            </w:r>
          </w:p>
        </w:tc>
        <w:tc>
          <w:tcPr/>
          <w:p>
            <w:pPr>
              <w:pStyle w:val="Compact"/>
              <w:jc w:val="right"/>
            </w:pPr>
            <w:r>
              <w:t xml:space="preserve">5</w:t>
            </w:r>
          </w:p>
        </w:tc>
        <w:tc>
          <w:tcPr/>
          <w:p>
            <w:pPr>
              <w:pStyle w:val="Compact"/>
              <w:jc w:val="left"/>
            </w:pPr>
            <w:r>
              <w:t xml:space="preserve">Free to 2M tokens/month, then US$0.10 per 1M tokens</w:t>
            </w:r>
            <w:r>
              <w:t xml:space="preserve"> </w:t>
            </w:r>
            <w:r>
              <w:rPr>
                <w:rStyle w:val="ClaimLabel"/>
              </w:rPr>
              <w:t xml:space="preserve">VF</w:t>
            </w:r>
            <w:r>
              <w:rPr>
                <w:rStyle w:val="FootnoteReference"/>
              </w:rPr>
              <w:footnoteReference w:id="1971"/>
            </w:r>
          </w:p>
        </w:tc>
      </w:tr>
      <w:tr>
        <w:tc>
          <w:tcPr/>
          <w:p>
            <w:pPr>
              <w:pStyle w:val="Compact"/>
              <w:jc w:val="left"/>
            </w:pPr>
            <w:r>
              <w:t xml:space="preserve">Lock-in / portability</w:t>
            </w:r>
          </w:p>
        </w:tc>
        <w:tc>
          <w:tcPr/>
          <w:p>
            <w:pPr>
              <w:pStyle w:val="Compact"/>
              <w:jc w:val="right"/>
            </w:pPr>
            <w:r>
              <w:t xml:space="preserve">2</w:t>
            </w:r>
          </w:p>
        </w:tc>
        <w:tc>
          <w:tcPr/>
          <w:p>
            <w:pPr>
              <w:pStyle w:val="Compact"/>
              <w:jc w:val="left"/>
            </w:pPr>
            <w:r>
              <w:t xml:space="preserve">Google-specific API</w:t>
            </w:r>
            <w:r>
              <w:t xml:space="preserve"> </w:t>
            </w:r>
            <w:r>
              <w:rPr>
                <w:rStyle w:val="ClaimLabel"/>
              </w:rPr>
              <w:t xml:space="preserve">VF</w:t>
            </w:r>
            <w:r>
              <w:rPr>
                <w:rStyle w:val="FootnoteReference"/>
              </w:rPr>
              <w:footnoteReference w:id="1972"/>
            </w:r>
          </w:p>
        </w:tc>
      </w:tr>
      <w:tr>
        <w:tc>
          <w:tcPr/>
          <w:p>
            <w:pPr>
              <w:pStyle w:val="Compact"/>
              <w:jc w:val="left"/>
            </w:pPr>
            <w:r>
              <w:rPr>
                <w:bCs/>
                <w:b/>
              </w:rPr>
              <w:t xml:space="preserve">Total (generic / FS)</w:t>
            </w:r>
          </w:p>
        </w:tc>
        <w:tc>
          <w:tcPr/>
          <w:p>
            <w:pPr>
              <w:pStyle w:val="Compact"/>
              <w:jc w:val="right"/>
            </w:pPr>
            <w:r>
              <w:rPr>
                <w:bCs/>
                <w:b/>
              </w:rPr>
              <w:t xml:space="preserve">3.60 / 3.35</w:t>
            </w:r>
          </w:p>
        </w:tc>
        <w:tc>
          <w:tcPr/>
          <w:p>
            <w:pPr>
              <w:pStyle w:val="Compact"/>
            </w:pPr>
          </w:p>
        </w:tc>
      </w:tr>
    </w:tbl>
    <w:p>
      <w:pPr>
        <w:pStyle w:val="BodyText"/>
      </w:pPr>
      <w:r>
        <w:rPr>
          <w:iCs/>
          <w:i/>
        </w:rPr>
        <w:t xml:space="preserve">Evidence rules applied:</w:t>
      </w:r>
      <w:r>
        <w:t xml:space="preserve"> </w:t>
      </w:r>
      <w:r>
        <w:t xml:space="preserve">enterprise_readiness set to 4 under the hyperscaler presumption (CP2 Q1): platform controls presumed; confirm per service</w:t>
      </w:r>
    </w:p>
    <w:p>
      <w:pPr>
        <w:pStyle w:val="BodyText"/>
      </w:pPr>
      <w:r>
        <w:rPr>
          <w:bCs/>
          <w:b/>
        </w:rPr>
        <w:t xml:space="preserve">Capabilities.</w:t>
      </w:r>
      <w:r>
        <w:t xml:space="preserve"> </w:t>
      </w:r>
      <w:r>
        <w:t xml:space="preserve">Managed screening of prompts, responses and agent interactions for prompt injection and jailbreaks, malicious URLs and files, harmful content with adjustable thresholds, and sensitive-data leaks (built on Sensitive Data Protection); invoked inline from Apigee, Agent Platform, Google MCP servers, Service Extensions, Firebase or LangChain</w:t>
      </w:r>
      <w:r>
        <w:t xml:space="preserve"> </w:t>
      </w:r>
      <w:r>
        <w:rPr>
          <w:rStyle w:val="ClaimLabel"/>
        </w:rPr>
        <w:t xml:space="preserve">VF</w:t>
      </w:r>
      <w:r>
        <w:rPr>
          <w:rStyle w:val="FootnoteReference"/>
        </w:rPr>
        <w:footnoteReference w:id="1973"/>
      </w:r>
      <w:r>
        <w:t xml:space="preserve">.</w:t>
      </w:r>
    </w:p>
    <w:p>
      <w:pPr>
        <w:pStyle w:val="BodyText"/>
      </w:pPr>
      <w:r>
        <w:rPr>
          <w:bCs/>
          <w:b/>
        </w:rPr>
        <w:t xml:space="preserve">Strengths</w:t>
      </w:r>
    </w:p>
    <w:p>
      <w:pPr>
        <w:numPr>
          <w:ilvl w:val="0"/>
          <w:numId w:val="1409"/>
        </w:numPr>
        <w:pStyle w:val="Compact"/>
      </w:pPr>
      <w:r>
        <w:t xml:space="preserve">Strict data residency by default at template level, with six European regions plus an eu multi-region</w:t>
      </w:r>
      <w:r>
        <w:t xml:space="preserve"> </w:t>
      </w:r>
      <w:r>
        <w:rPr>
          <w:rStyle w:val="ClaimLabel"/>
        </w:rPr>
        <w:t xml:space="preserve">VF</w:t>
      </w:r>
      <w:r>
        <w:rPr>
          <w:rStyle w:val="FootnoteReference"/>
        </w:rPr>
        <w:footnoteReference w:id="1974"/>
      </w:r>
    </w:p>
    <w:p>
      <w:pPr>
        <w:numPr>
          <w:ilvl w:val="0"/>
          <w:numId w:val="1409"/>
        </w:numPr>
        <w:pStyle w:val="Compact"/>
      </w:pPr>
      <w:r>
        <w:t xml:space="preserve">Low unit price: free to 2M tokens/month, then US$0.10 per 1M tokens</w:t>
      </w:r>
      <w:r>
        <w:t xml:space="preserve"> </w:t>
      </w:r>
      <w:r>
        <w:rPr>
          <w:rStyle w:val="ClaimLabel"/>
        </w:rPr>
        <w:t xml:space="preserve">VF</w:t>
      </w:r>
      <w:r>
        <w:rPr>
          <w:rStyle w:val="FootnoteReference"/>
        </w:rPr>
        <w:footnoteReference w:id="1975"/>
      </w:r>
    </w:p>
    <w:p>
      <w:pPr>
        <w:numPr>
          <w:ilvl w:val="0"/>
          <w:numId w:val="1409"/>
        </w:numPr>
        <w:pStyle w:val="Compact"/>
      </w:pPr>
      <w:r>
        <w:t xml:space="preserve">Product-scoped SOC 2 and ISO 27001</w:t>
      </w:r>
      <w:r>
        <w:t xml:space="preserve"> </w:t>
      </w:r>
      <w:r>
        <w:rPr>
          <w:rStyle w:val="ClaimLabel"/>
        </w:rPr>
        <w:t xml:space="preserve">VF</w:t>
      </w:r>
      <w:r>
        <w:rPr>
          <w:rStyle w:val="FootnoteReference"/>
        </w:rPr>
        <w:footnoteReference w:id="1976"/>
      </w:r>
    </w:p>
    <w:p>
      <w:pPr>
        <w:pStyle w:val="FirstParagraph"/>
      </w:pPr>
      <w:r>
        <w:rPr>
          <w:bCs/>
          <w:b/>
        </w:rPr>
        <w:t xml:space="preserve">Limitations and risks</w:t>
      </w:r>
    </w:p>
    <w:p>
      <w:pPr>
        <w:numPr>
          <w:ilvl w:val="0"/>
          <w:numId w:val="1410"/>
        </w:numPr>
        <w:pStyle w:val="Compact"/>
      </w:pPr>
      <w:r>
        <w:t xml:space="preserve">No grounding or denied-topic checks in the fact base</w:t>
      </w:r>
      <w:r>
        <w:t xml:space="preserve"> </w:t>
      </w:r>
      <w:r>
        <w:rPr>
          <w:rStyle w:val="ClaimLabel"/>
        </w:rPr>
        <w:t xml:space="preserve">NPV</w:t>
      </w:r>
    </w:p>
    <w:p>
      <w:pPr>
        <w:numPr>
          <w:ilvl w:val="0"/>
          <w:numId w:val="1410"/>
        </w:numPr>
        <w:pStyle w:val="Compact"/>
      </w:pPr>
      <w:r>
        <w:t xml:space="preserve">London (europe-west2) has reduced features and conflicting in-use residency statements</w:t>
      </w:r>
      <w:r>
        <w:t xml:space="preserve"> </w:t>
      </w:r>
      <w:r>
        <w:rPr>
          <w:rStyle w:val="ClaimLabel"/>
        </w:rPr>
        <w:t xml:space="preserve">VF</w:t>
      </w:r>
      <w:r>
        <w:rPr>
          <w:rStyle w:val="FootnoteReference"/>
        </w:rPr>
        <w:footnoteReference w:id="1977"/>
      </w:r>
    </w:p>
    <w:p>
      <w:pPr>
        <w:numPr>
          <w:ilvl w:val="0"/>
          <w:numId w:val="1410"/>
        </w:numPr>
        <w:pStyle w:val="Compact"/>
      </w:pPr>
      <w:r>
        <w:t xml:space="preserve">Google-specific API</w:t>
      </w:r>
      <w:r>
        <w:t xml:space="preserve"> </w:t>
      </w:r>
      <w:r>
        <w:rPr>
          <w:rStyle w:val="ClaimLabel"/>
        </w:rPr>
        <w:t xml:space="preserve">VF</w:t>
      </w:r>
      <w:r>
        <w:rPr>
          <w:rStyle w:val="FootnoteReference"/>
        </w:rPr>
        <w:footnoteReference w:id="1978"/>
      </w:r>
    </w:p>
    <w:p>
      <w:pPr>
        <w:pStyle w:val="FirstParagraph"/>
      </w:pPr>
      <w:r>
        <w:rPr>
          <w:bCs/>
          <w:b/>
        </w:rPr>
        <w:t xml:space="preserve">Choose when</w:t>
      </w:r>
    </w:p>
    <w:p>
      <w:pPr>
        <w:numPr>
          <w:ilvl w:val="0"/>
          <w:numId w:val="1411"/>
        </w:numPr>
        <w:pStyle w:val="Compact"/>
      </w:pPr>
      <w:r>
        <w:t xml:space="preserve">You run on Google Cloud or Apigee and want low-cost, region-pinned screening</w:t>
      </w:r>
      <w:r>
        <w:t xml:space="preserve"> </w:t>
      </w:r>
      <w:r>
        <w:rPr>
          <w:rStyle w:val="ClaimLabel"/>
        </w:rPr>
        <w:t xml:space="preserve">AJ</w:t>
      </w:r>
    </w:p>
    <w:p>
      <w:pPr>
        <w:pStyle w:val="FirstParagraph"/>
      </w:pPr>
      <w:r>
        <w:rPr>
          <w:bCs/>
          <w:b/>
        </w:rPr>
        <w:t xml:space="preserve">Avoid when</w:t>
      </w:r>
    </w:p>
    <w:p>
      <w:pPr>
        <w:numPr>
          <w:ilvl w:val="0"/>
          <w:numId w:val="1412"/>
        </w:numPr>
        <w:pStyle w:val="Compact"/>
      </w:pPr>
      <w:r>
        <w:t xml:space="preserve">You need grounding checks, or the full feature set in London</w:t>
      </w:r>
      <w:r>
        <w:t xml:space="preserve"> </w:t>
      </w:r>
      <w:r>
        <w:rPr>
          <w:rStyle w:val="ClaimLabel"/>
        </w:rPr>
        <w:t xml:space="preserve">AJ</w:t>
      </w:r>
    </w:p>
    <w:p>
      <w:pPr>
        <w:pStyle w:val="FirstParagraph"/>
      </w:pPr>
      <w:r>
        <w:rPr>
          <w:bCs/>
          <w:b/>
        </w:rPr>
        <w:t xml:space="preserve">Nearest competitors:</w:t>
      </w:r>
      <w:r>
        <w:t xml:space="preserve"> </w:t>
      </w:r>
      <w:r>
        <w:t xml:space="preserve">C2-bedrock-guardrails, C2-azure-ai-content-safety, C7-lakera</w:t>
      </w:r>
    </w:p>
    <w:p>
      <w:pPr>
        <w:pStyle w:val="BodyText"/>
      </w:pPr>
      <w:r>
        <w:rPr>
          <w:bCs/>
          <w:b/>
        </w:rPr>
        <w:t xml:space="preserve">Regulated-FS note.</w:t>
      </w:r>
      <w:r>
        <w:t xml:space="preserve"> </w:t>
      </w:r>
      <w:r>
        <w:t xml:space="preserve">Pin templates to an EU region with strict residency left on; if UK residency is required, confirm the London feature and in-use residency status in writing</w:t>
      </w:r>
      <w:r>
        <w:t xml:space="preserve"> </w:t>
      </w:r>
      <w:r>
        <w:rPr>
          <w:rStyle w:val="ClaimLabel"/>
        </w:rPr>
        <w:t xml:space="preserve">Rec</w:t>
      </w:r>
      <w:r>
        <w:t xml:space="preserve">.</w:t>
      </w:r>
    </w:p>
    <w:p>
      <w:pPr>
        <w:pStyle w:val="BodyText"/>
      </w:pPr>
      <w:r>
        <w:rPr>
          <w:bCs/>
          <w:b/>
        </w:rPr>
        <w:t xml:space="preserve">Facts (as of 2026-10-07)</w:t>
      </w:r>
    </w:p>
    <w:tbl>
      <w:tblPr>
        <w:tblStyle w:val="Table"/>
        <w:tblW w:type="pct" w:w="5000"/>
        <w:tblLook w:firstRow="1" w:lastRow="0" w:firstColumn="0" w:lastColumn="0" w:noHBand="0" w:noVBand="0" w:val="0020"/>
        <w:jc w:val="start"/>
      </w:tblPr>
      <w:tblGrid>
        <w:gridCol w:w="1485"/>
        <w:gridCol w:w="4290"/>
        <w:gridCol w:w="1320"/>
        <w:gridCol w:w="825"/>
      </w:tblGrid>
      <w:tr>
        <w:trPr>
          <w:tblHeader w:val="true"/>
        </w:trPr>
        <w:tc>
          <w:tcPr/>
          <w:p>
            <w:pPr>
              <w:pStyle w:val="Compact"/>
              <w:jc w:val="left"/>
            </w:pPr>
            <w:r>
              <w:t xml:space="preserve">Field</w:t>
            </w:r>
          </w:p>
        </w:tc>
        <w:tc>
          <w:tcPr/>
          <w:p>
            <w:pPr>
              <w:pStyle w:val="Compact"/>
              <w:jc w:val="left"/>
            </w:pPr>
            <w:r>
              <w:t xml:space="preserve">Value</w:t>
            </w:r>
          </w:p>
        </w:tc>
        <w:tc>
          <w:tcPr/>
          <w:p>
            <w:pPr>
              <w:pStyle w:val="Compact"/>
              <w:jc w:val="left"/>
            </w:pPr>
            <w:r>
              <w:t xml:space="preserve">Label</w:t>
            </w:r>
          </w:p>
        </w:tc>
        <w:tc>
          <w:tcPr/>
          <w:p>
            <w:pPr>
              <w:pStyle w:val="Compact"/>
              <w:jc w:val="left"/>
            </w:pPr>
            <w:r>
              <w:t xml:space="preserve">Sources</w:t>
            </w:r>
          </w:p>
        </w:tc>
      </w:tr>
      <w:tr>
        <w:tc>
          <w:tcPr/>
          <w:p>
            <w:pPr>
              <w:pStyle w:val="Compact"/>
              <w:jc w:val="left"/>
            </w:pPr>
            <w:r>
              <w:t xml:space="preserve">Company</w:t>
            </w:r>
          </w:p>
        </w:tc>
        <w:tc>
          <w:tcPr/>
          <w:p>
            <w:pPr>
              <w:pStyle w:val="Compact"/>
              <w:jc w:val="left"/>
            </w:pPr>
            <w:r>
              <w:t xml:space="preserve">Google Cloud</w:t>
            </w:r>
          </w:p>
        </w:tc>
        <w:tc>
          <w:tcPr/>
          <w:p>
            <w:pPr>
              <w:pStyle w:val="Compact"/>
              <w:jc w:val="left"/>
            </w:pPr>
            <w:r>
              <w:t xml:space="preserve">Verified fact</w:t>
            </w:r>
          </w:p>
        </w:tc>
        <w:tc>
          <w:tcPr/>
          <w:p>
            <w:pPr>
              <w:pStyle w:val="Compact"/>
              <w:jc w:val="left"/>
            </w:pPr>
            <w:r>
              <w:t xml:space="preserve">A6-S067</w:t>
            </w:r>
          </w:p>
        </w:tc>
      </w:tr>
      <w:tr>
        <w:tc>
          <w:tcPr/>
          <w:p>
            <w:pPr>
              <w:pStyle w:val="Compact"/>
              <w:jc w:val="left"/>
            </w:pPr>
            <w:r>
              <w:t xml:space="preserve">Category</w:t>
            </w:r>
          </w:p>
        </w:tc>
        <w:tc>
          <w:tcPr/>
          <w:p>
            <w:pPr>
              <w:pStyle w:val="Compact"/>
              <w:jc w:val="left"/>
            </w:pPr>
            <w:r>
              <w:t xml:space="preserve">Managed runtime security/guardrail service for prompts, responses and agent interactions</w:t>
            </w:r>
          </w:p>
        </w:tc>
        <w:tc>
          <w:tcPr/>
          <w:p>
            <w:pPr>
              <w:pStyle w:val="Compact"/>
              <w:jc w:val="left"/>
            </w:pPr>
            <w:r>
              <w:t xml:space="preserve">Verified fact</w:t>
            </w:r>
          </w:p>
        </w:tc>
        <w:tc>
          <w:tcPr/>
          <w:p>
            <w:pPr>
              <w:pStyle w:val="Compact"/>
              <w:jc w:val="left"/>
            </w:pPr>
            <w:r>
              <w:t xml:space="preserve">A6-S067</w:t>
            </w:r>
          </w:p>
        </w:tc>
      </w:tr>
      <w:tr>
        <w:tc>
          <w:tcPr/>
          <w:p>
            <w:pPr>
              <w:pStyle w:val="Compact"/>
              <w:jc w:val="left"/>
            </w:pPr>
            <w:r>
              <w:t xml:space="preserve">Version / lineup</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Licence</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Strategic direction</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What it does</w:t>
            </w:r>
          </w:p>
        </w:tc>
        <w:tc>
          <w:tcPr/>
          <w:p>
            <w:pPr>
              <w:pStyle w:val="Compact"/>
              <w:jc w:val="left"/>
            </w:pPr>
            <w:r>
              <w:t xml:space="preserve">Screens prompts, responses and agent interactions for prompt injection and jailbreaks, malicious URLs and files, harmful content with adjustable confidence thresholds, and sensitive data leaks (built on Sensitive Data Protection).</w:t>
            </w:r>
          </w:p>
        </w:tc>
        <w:tc>
          <w:tcPr/>
          <w:p>
            <w:pPr>
              <w:pStyle w:val="Compact"/>
              <w:jc w:val="left"/>
            </w:pPr>
            <w:r>
              <w:t xml:space="preserve">Verified fact</w:t>
            </w:r>
          </w:p>
        </w:tc>
        <w:tc>
          <w:tcPr/>
          <w:p>
            <w:pPr>
              <w:pStyle w:val="Compact"/>
              <w:jc w:val="left"/>
            </w:pPr>
            <w:r>
              <w:t xml:space="preserve">A6-S067</w:t>
            </w:r>
          </w:p>
        </w:tc>
      </w:tr>
      <w:tr>
        <w:tc>
          <w:tcPr/>
          <w:p>
            <w:pPr>
              <w:pStyle w:val="Compact"/>
              <w:jc w:val="left"/>
            </w:pPr>
            <w:r>
              <w:t xml:space="preserve">Stack position</w:t>
            </w:r>
          </w:p>
        </w:tc>
        <w:tc>
          <w:tcPr/>
          <w:p>
            <w:pPr>
              <w:pStyle w:val="Compact"/>
              <w:jc w:val="left"/>
            </w:pPr>
            <w:r>
              <w:t xml:space="preserve">Guardrail service invoked inline from Apigee, Gemini Enterprise Agent Platform, Google MCP servers, Service Extensions, Firebase or LangChain</w:t>
            </w:r>
          </w:p>
        </w:tc>
        <w:tc>
          <w:tcPr/>
          <w:p>
            <w:pPr>
              <w:pStyle w:val="Compact"/>
              <w:jc w:val="left"/>
            </w:pPr>
            <w:r>
              <w:t xml:space="preserve">Verified fact</w:t>
            </w:r>
          </w:p>
        </w:tc>
        <w:tc>
          <w:tcPr/>
          <w:p>
            <w:pPr>
              <w:pStyle w:val="Compact"/>
              <w:jc w:val="left"/>
            </w:pPr>
            <w:r>
              <w:t xml:space="preserve">A6-S067, A6-S023</w:t>
            </w:r>
          </w:p>
        </w:tc>
      </w:tr>
      <w:tr>
        <w:tc>
          <w:tcPr/>
          <w:p>
            <w:pPr>
              <w:pStyle w:val="Compact"/>
              <w:jc w:val="left"/>
            </w:pPr>
            <w:r>
              <w:t xml:space="preserve">Integration</w:t>
            </w:r>
          </w:p>
        </w:tc>
        <w:tc>
          <w:tcPr/>
          <w:p>
            <w:pPr>
              <w:pStyle w:val="Compact"/>
              <w:jc w:val="left"/>
            </w:pPr>
            <w:r>
              <w:t xml:space="preserve">API and inline integrations (Apigee, Agent Platform, Google MCP servers, Service Extensions, Firebase, LangChain)</w:t>
            </w:r>
          </w:p>
        </w:tc>
        <w:tc>
          <w:tcPr/>
          <w:p>
            <w:pPr>
              <w:pStyle w:val="Compact"/>
              <w:jc w:val="left"/>
            </w:pPr>
            <w:r>
              <w:t xml:space="preserve">Verified fact</w:t>
            </w:r>
          </w:p>
        </w:tc>
        <w:tc>
          <w:tcPr/>
          <w:p>
            <w:pPr>
              <w:pStyle w:val="Compact"/>
              <w:jc w:val="left"/>
            </w:pPr>
            <w:r>
              <w:t xml:space="preserve">A6-S067</w:t>
            </w:r>
          </w:p>
        </w:tc>
      </w:tr>
      <w:tr>
        <w:tc>
          <w:tcPr/>
          <w:p>
            <w:pPr>
              <w:pStyle w:val="Compact"/>
              <w:jc w:val="left"/>
            </w:pPr>
            <w:r>
              <w:t xml:space="preserve">Dependencies</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Certifications</w:t>
            </w:r>
          </w:p>
        </w:tc>
        <w:tc>
          <w:tcPr/>
          <w:p>
            <w:pPr>
              <w:pStyle w:val="Compact"/>
              <w:jc w:val="left"/>
            </w:pPr>
            <w:r>
              <w:t xml:space="preserve">Listed in Google Cloud SOC 2 and ISO/IEC 27001 scope</w:t>
            </w:r>
          </w:p>
        </w:tc>
        <w:tc>
          <w:tcPr/>
          <w:p>
            <w:pPr>
              <w:pStyle w:val="Compact"/>
              <w:jc w:val="left"/>
            </w:pPr>
            <w:r>
              <w:t xml:space="preserve">Verified fact</w:t>
            </w:r>
          </w:p>
        </w:tc>
        <w:tc>
          <w:tcPr/>
          <w:p>
            <w:pPr>
              <w:pStyle w:val="Compact"/>
              <w:jc w:val="left"/>
            </w:pPr>
            <w:r>
              <w:t xml:space="preserve">A6-S070, A6-S071</w:t>
            </w:r>
          </w:p>
        </w:tc>
      </w:tr>
      <w:tr>
        <w:tc>
          <w:tcPr/>
          <w:p>
            <w:pPr>
              <w:pStyle w:val="Compact"/>
              <w:jc w:val="left"/>
            </w:pPr>
            <w:r>
              <w:t xml:space="preserve">GDPR / residency</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Security features</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Access controls</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Enterprise support</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Pricing</w:t>
            </w:r>
          </w:p>
        </w:tc>
        <w:tc>
          <w:tcPr/>
          <w:p>
            <w:pPr>
              <w:pStyle w:val="Compact"/>
              <w:jc w:val="left"/>
            </w:pPr>
            <w:r>
              <w:t xml:space="preserve">Free up to 2 million tokens/month, then US$0.10 per additional 1 million tokens (pay-as-you-go and SCC Premium)</w:t>
            </w:r>
          </w:p>
        </w:tc>
        <w:tc>
          <w:tcPr/>
          <w:p>
            <w:pPr>
              <w:pStyle w:val="Compact"/>
              <w:jc w:val="left"/>
            </w:pPr>
            <w:r>
              <w:t xml:space="preserve">Verified fact</w:t>
            </w:r>
          </w:p>
        </w:tc>
        <w:tc>
          <w:tcPr/>
          <w:p>
            <w:pPr>
              <w:pStyle w:val="Compact"/>
              <w:jc w:val="left"/>
            </w:pPr>
            <w:r>
              <w:t xml:space="preserve">A6-S067</w:t>
            </w:r>
          </w:p>
        </w:tc>
      </w:tr>
      <w:tr>
        <w:tc>
          <w:tcPr/>
          <w:p>
            <w:pPr>
              <w:pStyle w:val="Compact"/>
              <w:jc w:val="left"/>
            </w:pPr>
            <w:r>
              <w:t xml:space="preserve">Infrastructure cost</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Ecosystem</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Adoption signals</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Maturity</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Deployment</w:t>
            </w:r>
          </w:p>
        </w:tc>
        <w:tc>
          <w:tcPr/>
          <w:p>
            <w:pPr>
              <w:pStyle w:val="Compact"/>
              <w:jc w:val="left"/>
            </w:pPr>
            <w:r>
              <w:t xml:space="preserve">saas: Yes; managed_cloud: Not publicly verified; vpc_byoc: Not publicly verified; private_cloud: Not publicly verified; self_hosted: Not publicly verified; on_prem: Not publicly verified</w:t>
            </w:r>
          </w:p>
        </w:tc>
        <w:tc>
          <w:tcPr/>
          <w:p>
            <w:pPr>
              <w:pStyle w:val="Compact"/>
            </w:pPr>
          </w:p>
        </w:tc>
        <w:tc>
          <w:tcPr/>
          <w:p>
            <w:pPr>
              <w:pStyle w:val="Compact"/>
            </w:pPr>
          </w:p>
        </w:tc>
      </w:tr>
    </w:tbl>
    <w:bookmarkEnd w:id="1979"/>
    <w:bookmarkStart w:id="1999" w:name="Xa2ad2335c64d9124cca48aba493023bb91062ee"/>
    <w:p>
      <w:pPr>
        <w:pStyle w:val="Heading2"/>
      </w:pPr>
      <w:r>
        <w:t xml:space="preserve">Azure AI Content Safety (Prompt Shields); Azure product and pricing pages now titled</w:t>
      </w:r>
      <w:r>
        <w:t xml:space="preserve"> </w:t>
      </w:r>
      <w:r>
        <w:t xml:space="preserve">‘</w:t>
      </w:r>
      <w:r>
        <w:t xml:space="preserve">Content Safety in Foundry Control Plane</w:t>
      </w:r>
      <w:r>
        <w:t xml:space="preserve">’</w:t>
      </w:r>
      <w:r>
        <w:t xml:space="preserve"> </w:t>
      </w:r>
      <w:r>
        <w:t xml:space="preserve">(</w:t>
      </w:r>
      <w:r>
        <w:rPr>
          <w:rStyle w:val="VerbatimChar"/>
        </w:rPr>
        <w:t xml:space="preserve">C2-azure-ai-content-safety</w:t>
      </w:r>
      <w:r>
        <w:t xml:space="preserve">)</w:t>
      </w:r>
    </w:p>
    <w:p>
      <w:pPr>
        <w:pStyle w:val="FirstParagraph"/>
      </w:pPr>
      <w:r>
        <w:rPr>
          <w:bCs/>
          <w:b/>
        </w:rPr>
        <w:t xml:space="preserve">Tier:</w:t>
      </w:r>
      <w:r>
        <w:t xml:space="preserve"> </w:t>
      </w:r>
      <w:r>
        <w:t xml:space="preserve">Strategic ·</w:t>
      </w:r>
      <w:r>
        <w:t xml:space="preserve"> </w:t>
      </w:r>
      <w:r>
        <w:rPr>
          <w:bCs/>
          <w:b/>
        </w:rPr>
        <w:t xml:space="preserve">Flags:</w:t>
      </w:r>
      <w:r>
        <w:t xml:space="preserve"> </w:t>
      </w:r>
      <w:r>
        <w:t xml:space="preserve">none ·</w:t>
      </w:r>
      <w:r>
        <w:t xml:space="preserve"> </w:t>
      </w:r>
      <w:r>
        <w:rPr>
          <w:bCs/>
          <w:b/>
        </w:rPr>
        <w:t xml:space="preserve">Original graphic label:</w:t>
      </w:r>
      <w:r>
        <w:t xml:space="preserve"> </w:t>
      </w:r>
      <w:r>
        <w:t xml:space="preserve">not in graphic</w:t>
      </w:r>
    </w:p>
    <w:p>
      <w:pPr>
        <w:pStyle w:val="BodyText"/>
      </w:pPr>
      <w:r>
        <w:rPr>
          <w:iCs/>
          <w:i/>
        </w:rPr>
        <w:t xml:space="preserve">Rationale:</w:t>
      </w:r>
      <w:r>
        <w:t xml:space="preserve"> </w:t>
      </w:r>
      <w:r>
        <w:t xml:space="preserve">Strategic, conditional: where Azure is your primary cloud (CP3 Q2, rubric rule 10). Azure’s lead guardrail service; GA features only (Prompt Shields, protected material) on regulated routes, because the agent-oriented and groundedness features are preview</w:t>
      </w:r>
      <w:r>
        <w:t xml:space="preserve"> </w:t>
      </w:r>
      <w:r>
        <w:rPr>
          <w:rStyle w:val="ClaimLabel"/>
        </w:rPr>
        <w:t xml:space="preserve">AJ</w:t>
      </w:r>
      <w:r>
        <w:t xml:space="preserve">.</w:t>
      </w:r>
    </w:p>
    <w:tbl>
      <w:tblPr>
        <w:tblStyle w:val="Table"/>
        <w:tblW w:type="pct" w:w="5000"/>
        <w:tblLook w:firstRow="1" w:lastRow="0" w:firstColumn="0" w:lastColumn="0" w:noHBand="0" w:noVBand="0" w:val="0020"/>
        <w:jc w:val="start"/>
      </w:tblPr>
      <w:tblGrid>
        <w:gridCol w:w="1545"/>
        <w:gridCol w:w="579"/>
        <w:gridCol w:w="5795"/>
      </w:tblGrid>
      <w:tr>
        <w:trPr>
          <w:tblHeader w:val="true"/>
        </w:trPr>
        <w:tc>
          <w:tcPr/>
          <w:p>
            <w:pPr>
              <w:pStyle w:val="Compact"/>
              <w:jc w:val="left"/>
            </w:pPr>
            <w:r>
              <w:t xml:space="preserve">Criterion</w:t>
            </w:r>
          </w:p>
        </w:tc>
        <w:tc>
          <w:tcPr/>
          <w:p>
            <w:pPr>
              <w:pStyle w:val="Compact"/>
              <w:jc w:val="right"/>
            </w:pPr>
            <w:r>
              <w:t xml:space="preserve">Score</w:t>
            </w:r>
          </w:p>
        </w:tc>
        <w:tc>
          <w:tcPr/>
          <w:p>
            <w:pPr>
              <w:pStyle w:val="Compact"/>
              <w:jc w:val="left"/>
            </w:pPr>
            <w:r>
              <w:t xml:space="preserve">Rationale</w:t>
            </w:r>
          </w:p>
        </w:tc>
      </w:tr>
      <w:tr>
        <w:tc>
          <w:tcPr/>
          <w:p>
            <w:pPr>
              <w:pStyle w:val="Compact"/>
              <w:jc w:val="left"/>
            </w:pPr>
            <w:r>
              <w:t xml:space="preserve">Technical</w:t>
            </w:r>
          </w:p>
        </w:tc>
        <w:tc>
          <w:tcPr/>
          <w:p>
            <w:pPr>
              <w:pStyle w:val="Compact"/>
              <w:jc w:val="right"/>
            </w:pPr>
            <w:r>
              <w:t xml:space="preserve">4</w:t>
            </w:r>
          </w:p>
        </w:tc>
        <w:tc>
          <w:tcPr/>
          <w:p>
            <w:pPr>
              <w:pStyle w:val="Compact"/>
              <w:jc w:val="left"/>
            </w:pPr>
            <w:r>
              <w:t xml:space="preserve">Harm categories, Prompt Shields (direct and document attacks), protected material; groundedness and Task Adherence preview</w:t>
            </w:r>
            <w:r>
              <w:t xml:space="preserve"> </w:t>
            </w:r>
            <w:r>
              <w:rPr>
                <w:rStyle w:val="ClaimLabel"/>
              </w:rPr>
              <w:t xml:space="preserve">VF</w:t>
            </w:r>
            <w:r>
              <w:rPr>
                <w:rStyle w:val="FootnoteReference"/>
              </w:rPr>
              <w:footnoteReference w:id="1980"/>
            </w:r>
          </w:p>
        </w:tc>
      </w:tr>
      <w:tr>
        <w:tc>
          <w:tcPr/>
          <w:p>
            <w:pPr>
              <w:pStyle w:val="Compact"/>
              <w:jc w:val="left"/>
            </w:pPr>
            <w:r>
              <w:t xml:space="preserve">Enterprise readiness</w:t>
            </w:r>
          </w:p>
        </w:tc>
        <w:tc>
          <w:tcPr/>
          <w:p>
            <w:pPr>
              <w:pStyle w:val="Compact"/>
              <w:jc w:val="right"/>
            </w:pPr>
            <w:r>
              <w:t xml:space="preserve">4</w:t>
            </w:r>
          </w:p>
        </w:tc>
        <w:tc>
          <w:tcPr/>
          <w:p>
            <w:pPr>
              <w:pStyle w:val="Compact"/>
              <w:jc w:val="left"/>
            </w:pPr>
            <w:r>
              <w:t xml:space="preserve">Hyperscaler presumption (CP2 Q1); confirm per service</w:t>
            </w:r>
          </w:p>
        </w:tc>
      </w:tr>
      <w:tr>
        <w:tc>
          <w:tcPr/>
          <w:p>
            <w:pPr>
              <w:pStyle w:val="Compact"/>
              <w:jc w:val="left"/>
            </w:pPr>
            <w:r>
              <w:t xml:space="preserve">Security and compliance</w:t>
            </w:r>
          </w:p>
        </w:tc>
        <w:tc>
          <w:tcPr/>
          <w:p>
            <w:pPr>
              <w:pStyle w:val="Compact"/>
              <w:jc w:val="right"/>
            </w:pPr>
            <w:r>
              <w:t xml:space="preserve">4</w:t>
            </w:r>
          </w:p>
        </w:tc>
        <w:tc>
          <w:tcPr/>
          <w:p>
            <w:pPr>
              <w:pStyle w:val="Compact"/>
              <w:jc w:val="left"/>
            </w:pPr>
            <w:r>
              <w:t xml:space="preserve">Azure ISO 27001 and SOC 2 are platform-level without naming the service</w:t>
            </w:r>
            <w:r>
              <w:t xml:space="preserve"> </w:t>
            </w:r>
            <w:r>
              <w:rPr>
                <w:rStyle w:val="ClaimLabel"/>
              </w:rPr>
              <w:t xml:space="preserve">VF</w:t>
            </w:r>
            <w:r>
              <w:rPr>
                <w:rStyle w:val="FootnoteReference"/>
              </w:rPr>
              <w:footnoteReference w:id="1983"/>
            </w:r>
            <w:r>
              <w:t xml:space="preserve">; BYOK supported</w:t>
            </w:r>
            <w:r>
              <w:t xml:space="preserve"> </w:t>
            </w:r>
            <w:r>
              <w:rPr>
                <w:rStyle w:val="ClaimLabel"/>
              </w:rPr>
              <w:t xml:space="preserve">VF</w:t>
            </w:r>
            <w:r>
              <w:rPr>
                <w:rStyle w:val="FootnoteReference"/>
              </w:rPr>
              <w:footnoteReference w:id="1984"/>
            </w:r>
            <w:r>
              <w:t xml:space="preserve">; scope rule applied, so 4</w:t>
            </w:r>
          </w:p>
        </w:tc>
      </w:tr>
      <w:tr>
        <w:tc>
          <w:tcPr/>
          <w:p>
            <w:pPr>
              <w:pStyle w:val="Compact"/>
              <w:jc w:val="left"/>
            </w:pPr>
            <w:r>
              <w:t xml:space="preserve">Deployment flexibility</w:t>
            </w:r>
          </w:p>
        </w:tc>
        <w:tc>
          <w:tcPr/>
          <w:p>
            <w:pPr>
              <w:pStyle w:val="Compact"/>
              <w:jc w:val="right"/>
            </w:pPr>
            <w:r>
              <w:t xml:space="preserve">2</w:t>
            </w:r>
          </w:p>
        </w:tc>
        <w:tc>
          <w:tcPr/>
          <w:p>
            <w:pPr>
              <w:pStyle w:val="Compact"/>
              <w:jc w:val="left"/>
            </w:pPr>
            <w:r>
              <w:t xml:space="preserve">Azure resource in supported regions only</w:t>
            </w:r>
            <w:r>
              <w:t xml:space="preserve"> </w:t>
            </w:r>
            <w:r>
              <w:rPr>
                <w:rStyle w:val="ClaimLabel"/>
              </w:rPr>
              <w:t xml:space="preserve">VF</w:t>
            </w:r>
            <w:r>
              <w:rPr>
                <w:rStyle w:val="FootnoteReference"/>
              </w:rPr>
              <w:footnoteReference w:id="1985"/>
            </w:r>
          </w:p>
        </w:tc>
      </w:tr>
      <w:tr>
        <w:tc>
          <w:tcPr/>
          <w:p>
            <w:pPr>
              <w:pStyle w:val="Compact"/>
              <w:jc w:val="left"/>
            </w:pPr>
            <w:r>
              <w:t xml:space="preserve">Ecosystem</w:t>
            </w:r>
          </w:p>
        </w:tc>
        <w:tc>
          <w:tcPr/>
          <w:p>
            <w:pPr>
              <w:pStyle w:val="Compact"/>
              <w:jc w:val="right"/>
            </w:pPr>
            <w:r>
              <w:t xml:space="preserve">4</w:t>
            </w:r>
          </w:p>
        </w:tc>
        <w:tc>
          <w:tcPr/>
          <w:p>
            <w:pPr>
              <w:pStyle w:val="Compact"/>
              <w:jc w:val="left"/>
            </w:pPr>
            <w:r>
              <w:t xml:space="preserve">APIM llm-content-safety policy, Foundry guardrails, SDKs</w:t>
            </w:r>
            <w:r>
              <w:t xml:space="preserve"> </w:t>
            </w:r>
            <w:r>
              <w:rPr>
                <w:rStyle w:val="ClaimLabel"/>
              </w:rPr>
              <w:t xml:space="preserve">VF</w:t>
            </w:r>
            <w:r>
              <w:rPr>
                <w:rStyle w:val="FootnoteReference"/>
              </w:rPr>
              <w:footnoteReference w:id="1986"/>
            </w:r>
          </w:p>
        </w:tc>
      </w:tr>
      <w:tr>
        <w:tc>
          <w:tcPr/>
          <w:p>
            <w:pPr>
              <w:pStyle w:val="Compact"/>
              <w:jc w:val="left"/>
            </w:pPr>
            <w:r>
              <w:t xml:space="preserve">Reliability and maturity</w:t>
            </w:r>
          </w:p>
        </w:tc>
        <w:tc>
          <w:tcPr/>
          <w:p>
            <w:pPr>
              <w:pStyle w:val="Compact"/>
              <w:jc w:val="right"/>
            </w:pPr>
            <w:r>
              <w:t xml:space="preserve">3</w:t>
            </w:r>
          </w:p>
        </w:tc>
        <w:tc>
          <w:tcPr/>
          <w:p>
            <w:pPr>
              <w:pStyle w:val="Compact"/>
              <w:jc w:val="left"/>
            </w:pPr>
            <w:r>
              <w:t xml:space="preserve">Core GA since 2024; agent features preview; 90-day deprecation policy</w:t>
            </w:r>
            <w:r>
              <w:t xml:space="preserve"> </w:t>
            </w:r>
            <w:r>
              <w:rPr>
                <w:rStyle w:val="ClaimLabel"/>
              </w:rPr>
              <w:t xml:space="preserve">VF</w:t>
            </w:r>
            <w:r>
              <w:rPr>
                <w:rStyle w:val="FootnoteReference"/>
              </w:rPr>
              <w:footnoteReference w:id="1988"/>
            </w:r>
          </w:p>
        </w:tc>
      </w:tr>
      <w:tr>
        <w:tc>
          <w:tcPr/>
          <w:p>
            <w:pPr>
              <w:pStyle w:val="Compact"/>
              <w:jc w:val="left"/>
            </w:pPr>
            <w:r>
              <w:t xml:space="preserve">Cost / TCO</w:t>
            </w:r>
          </w:p>
        </w:tc>
        <w:tc>
          <w:tcPr/>
          <w:p>
            <w:pPr>
              <w:pStyle w:val="Compact"/>
              <w:jc w:val="right"/>
            </w:pPr>
            <w:r>
              <w:t xml:space="preserve">2</w:t>
            </w:r>
          </w:p>
        </w:tc>
        <w:tc>
          <w:tcPr/>
          <w:p>
            <w:pPr>
              <w:pStyle w:val="Compact"/>
              <w:jc w:val="left"/>
            </w:pPr>
            <w:r>
              <w:t xml:space="preserve">Free tier 5,000 records/month; S0 billed per 1,000 records per model, unit prices not verified</w:t>
            </w:r>
            <w:r>
              <w:t xml:space="preserve"> </w:t>
            </w:r>
            <w:r>
              <w:rPr>
                <w:rStyle w:val="ClaimLabel"/>
              </w:rPr>
              <w:t xml:space="preserve">VF</w:t>
            </w:r>
            <w:r>
              <w:rPr>
                <w:rStyle w:val="FootnoteReference"/>
              </w:rPr>
              <w:footnoteReference w:id="1989"/>
            </w:r>
          </w:p>
        </w:tc>
      </w:tr>
      <w:tr>
        <w:tc>
          <w:tcPr/>
          <w:p>
            <w:pPr>
              <w:pStyle w:val="Compact"/>
              <w:jc w:val="left"/>
            </w:pPr>
            <w:r>
              <w:t xml:space="preserve">Lock-in / portability</w:t>
            </w:r>
          </w:p>
        </w:tc>
        <w:tc>
          <w:tcPr/>
          <w:p>
            <w:pPr>
              <w:pStyle w:val="Compact"/>
              <w:jc w:val="right"/>
            </w:pPr>
            <w:r>
              <w:t xml:space="preserve">2</w:t>
            </w:r>
          </w:p>
        </w:tc>
        <w:tc>
          <w:tcPr/>
          <w:p>
            <w:pPr>
              <w:pStyle w:val="Compact"/>
              <w:jc w:val="left"/>
            </w:pPr>
            <w:r>
              <w:t xml:space="preserve">Azure-specific API</w:t>
            </w:r>
            <w:r>
              <w:t xml:space="preserve"> </w:t>
            </w:r>
            <w:r>
              <w:rPr>
                <w:rStyle w:val="ClaimLabel"/>
              </w:rPr>
              <w:t xml:space="preserve">VF</w:t>
            </w:r>
            <w:r>
              <w:rPr>
                <w:rStyle w:val="FootnoteReference"/>
              </w:rPr>
              <w:footnoteReference w:id="1991"/>
            </w:r>
          </w:p>
        </w:tc>
      </w:tr>
      <w:tr>
        <w:tc>
          <w:tcPr/>
          <w:p>
            <w:pPr>
              <w:pStyle w:val="Compact"/>
              <w:jc w:val="left"/>
            </w:pPr>
            <w:r>
              <w:rPr>
                <w:bCs/>
                <w:b/>
              </w:rPr>
              <w:t xml:space="preserve">Total (generic / FS)</w:t>
            </w:r>
          </w:p>
        </w:tc>
        <w:tc>
          <w:tcPr/>
          <w:p>
            <w:pPr>
              <w:pStyle w:val="Compact"/>
              <w:jc w:val="right"/>
            </w:pPr>
            <w:r>
              <w:rPr>
                <w:bCs/>
                <w:b/>
              </w:rPr>
              <w:t xml:space="preserve">3.30 / 3.20</w:t>
            </w:r>
          </w:p>
        </w:tc>
        <w:tc>
          <w:tcPr/>
          <w:p>
            <w:pPr>
              <w:pStyle w:val="Compact"/>
            </w:pPr>
          </w:p>
        </w:tc>
      </w:tr>
    </w:tbl>
    <w:p>
      <w:pPr>
        <w:pStyle w:val="BodyText"/>
      </w:pPr>
      <w:r>
        <w:rPr>
          <w:iCs/>
          <w:i/>
        </w:rPr>
        <w:t xml:space="preserve">Evidence rules applied:</w:t>
      </w:r>
      <w:r>
        <w:t xml:space="preserve"> </w:t>
      </w:r>
      <w:r>
        <w:t xml:space="preserve">enterprise_readiness set to 4 under the hyperscaler presumption (CP2 Q1): platform controls presumed; confirm per service</w:t>
      </w:r>
    </w:p>
    <w:p>
      <w:pPr>
        <w:pStyle w:val="BodyText"/>
      </w:pPr>
      <w:r>
        <w:rPr>
          <w:bCs/>
          <w:b/>
        </w:rPr>
        <w:t xml:space="preserve">Capabilities.</w:t>
      </w:r>
      <w:r>
        <w:t xml:space="preserve"> </w:t>
      </w:r>
      <w:r>
        <w:t xml:space="preserve">Managed APIs for harm categories with severity levels, Prompt Shields for user-input and document attacks, protected material detection, groundedness detection (preview), custom categories (preview) and Task Adherence for agent tool use (preview); callable from APIM on LLM, MCP and A2A traffic</w:t>
      </w:r>
      <w:r>
        <w:t xml:space="preserve"> </w:t>
      </w:r>
      <w:r>
        <w:rPr>
          <w:rStyle w:val="ClaimLabel"/>
        </w:rPr>
        <w:t xml:space="preserve">VF</w:t>
      </w:r>
      <w:r>
        <w:rPr>
          <w:rStyle w:val="FootnoteReference"/>
        </w:rPr>
        <w:footnoteReference w:id="1992"/>
      </w:r>
      <w:r>
        <w:t xml:space="preserve">.</w:t>
      </w:r>
    </w:p>
    <w:p>
      <w:pPr>
        <w:pStyle w:val="BodyText"/>
      </w:pPr>
      <w:r>
        <w:rPr>
          <w:bCs/>
          <w:b/>
        </w:rPr>
        <w:t xml:space="preserve">Strengths</w:t>
      </w:r>
    </w:p>
    <w:p>
      <w:pPr>
        <w:numPr>
          <w:ilvl w:val="0"/>
          <w:numId w:val="1413"/>
        </w:numPr>
        <w:pStyle w:val="Compact"/>
      </w:pPr>
      <w:r>
        <w:t xml:space="preserve">Prompt Shields GA since August 2024, covering indirect (document) attacks</w:t>
      </w:r>
      <w:r>
        <w:t xml:space="preserve"> </w:t>
      </w:r>
      <w:r>
        <w:rPr>
          <w:rStyle w:val="ClaimLabel"/>
        </w:rPr>
        <w:t xml:space="preserve">VF</w:t>
      </w:r>
      <w:r>
        <w:rPr>
          <w:rStyle w:val="FootnoteReference"/>
        </w:rPr>
        <w:footnoteReference w:id="1993"/>
      </w:r>
    </w:p>
    <w:p>
      <w:pPr>
        <w:numPr>
          <w:ilvl w:val="0"/>
          <w:numId w:val="1413"/>
        </w:numPr>
        <w:pStyle w:val="Compact"/>
      </w:pPr>
      <w:r>
        <w:t xml:space="preserve">Enforceable at the APIM gateway on tool and agent payloads</w:t>
      </w:r>
      <w:r>
        <w:t xml:space="preserve"> </w:t>
      </w:r>
      <w:r>
        <w:rPr>
          <w:rStyle w:val="ClaimLabel"/>
        </w:rPr>
        <w:t xml:space="preserve">VF</w:t>
      </w:r>
      <w:r>
        <w:rPr>
          <w:rStyle w:val="FootnoteReference"/>
        </w:rPr>
        <w:footnoteReference w:id="1994"/>
      </w:r>
    </w:p>
    <w:p>
      <w:pPr>
        <w:numPr>
          <w:ilvl w:val="0"/>
          <w:numId w:val="1413"/>
        </w:numPr>
        <w:pStyle w:val="Compact"/>
      </w:pPr>
      <w:r>
        <w:t xml:space="preserve">BYOK encryption</w:t>
      </w:r>
      <w:r>
        <w:t xml:space="preserve"> </w:t>
      </w:r>
      <w:r>
        <w:rPr>
          <w:rStyle w:val="ClaimLabel"/>
        </w:rPr>
        <w:t xml:space="preserve">VF</w:t>
      </w:r>
      <w:r>
        <w:rPr>
          <w:rStyle w:val="FootnoteReference"/>
        </w:rPr>
        <w:footnoteReference w:id="1995"/>
      </w:r>
    </w:p>
    <w:p>
      <w:pPr>
        <w:pStyle w:val="FirstParagraph"/>
      </w:pPr>
      <w:r>
        <w:rPr>
          <w:bCs/>
          <w:b/>
        </w:rPr>
        <w:t xml:space="preserve">Limitations and risks</w:t>
      </w:r>
    </w:p>
    <w:p>
      <w:pPr>
        <w:numPr>
          <w:ilvl w:val="0"/>
          <w:numId w:val="1414"/>
        </w:numPr>
        <w:pStyle w:val="Compact"/>
      </w:pPr>
      <w:r>
        <w:t xml:space="preserve">Groundedness, custom categories and Task Adherence are preview</w:t>
      </w:r>
      <w:r>
        <w:t xml:space="preserve"> </w:t>
      </w:r>
      <w:r>
        <w:rPr>
          <w:rStyle w:val="ClaimLabel"/>
        </w:rPr>
        <w:t xml:space="preserve">VF</w:t>
      </w:r>
      <w:r>
        <w:rPr>
          <w:rStyle w:val="FootnoteReference"/>
        </w:rPr>
        <w:footnoteReference w:id="1996"/>
      </w:r>
    </w:p>
    <w:p>
      <w:pPr>
        <w:numPr>
          <w:ilvl w:val="0"/>
          <w:numId w:val="1414"/>
        </w:numPr>
        <w:pStyle w:val="Compact"/>
      </w:pPr>
      <w:r>
        <w:t xml:space="preserve">S0 unit prices not verified</w:t>
      </w:r>
      <w:r>
        <w:t xml:space="preserve"> </w:t>
      </w:r>
      <w:r>
        <w:rPr>
          <w:rStyle w:val="ClaimLabel"/>
        </w:rPr>
        <w:t xml:space="preserve">VF</w:t>
      </w:r>
      <w:r>
        <w:rPr>
          <w:rStyle w:val="FootnoteReference"/>
        </w:rPr>
        <w:footnoteReference w:id="1997"/>
      </w:r>
    </w:p>
    <w:p>
      <w:pPr>
        <w:numPr>
          <w:ilvl w:val="0"/>
          <w:numId w:val="1414"/>
        </w:numPr>
        <w:pStyle w:val="Compact"/>
      </w:pPr>
      <w:r>
        <w:t xml:space="preserve">Foundry tool-call inspection is preview and only for Foundry Agent Service agents</w:t>
      </w:r>
      <w:r>
        <w:t xml:space="preserve"> </w:t>
      </w:r>
      <w:r>
        <w:rPr>
          <w:rStyle w:val="ClaimLabel"/>
        </w:rPr>
        <w:t xml:space="preserve">VF</w:t>
      </w:r>
      <w:r>
        <w:rPr>
          <w:rStyle w:val="FootnoteReference"/>
        </w:rPr>
        <w:footnoteReference w:id="1998"/>
      </w:r>
    </w:p>
    <w:p>
      <w:pPr>
        <w:pStyle w:val="FirstParagraph"/>
      </w:pPr>
      <w:r>
        <w:rPr>
          <w:bCs/>
          <w:b/>
        </w:rPr>
        <w:t xml:space="preserve">Choose when</w:t>
      </w:r>
    </w:p>
    <w:p>
      <w:pPr>
        <w:numPr>
          <w:ilvl w:val="0"/>
          <w:numId w:val="1415"/>
        </w:numPr>
        <w:pStyle w:val="Compact"/>
      </w:pPr>
      <w:r>
        <w:t xml:space="preserve">You run on Azure and want prompt-attack and harm screening at the APIM gateway</w:t>
      </w:r>
      <w:r>
        <w:t xml:space="preserve"> </w:t>
      </w:r>
      <w:r>
        <w:rPr>
          <w:rStyle w:val="ClaimLabel"/>
        </w:rPr>
        <w:t xml:space="preserve">AJ</w:t>
      </w:r>
    </w:p>
    <w:p>
      <w:pPr>
        <w:pStyle w:val="FirstParagraph"/>
      </w:pPr>
      <w:r>
        <w:rPr>
          <w:bCs/>
          <w:b/>
        </w:rPr>
        <w:t xml:space="preserve">Avoid when</w:t>
      </w:r>
    </w:p>
    <w:p>
      <w:pPr>
        <w:numPr>
          <w:ilvl w:val="0"/>
          <w:numId w:val="1416"/>
        </w:numPr>
        <w:pStyle w:val="Compact"/>
      </w:pPr>
      <w:r>
        <w:t xml:space="preserve">You need GA groundedness checks today, or a guardrail outside Azure</w:t>
      </w:r>
      <w:r>
        <w:t xml:space="preserve"> </w:t>
      </w:r>
      <w:r>
        <w:rPr>
          <w:rStyle w:val="ClaimLabel"/>
        </w:rPr>
        <w:t xml:space="preserve">AJ</w:t>
      </w:r>
    </w:p>
    <w:p>
      <w:pPr>
        <w:pStyle w:val="FirstParagraph"/>
      </w:pPr>
      <w:r>
        <w:rPr>
          <w:bCs/>
          <w:b/>
        </w:rPr>
        <w:t xml:space="preserve">Nearest competitors:</w:t>
      </w:r>
      <w:r>
        <w:t xml:space="preserve"> </w:t>
      </w:r>
      <w:r>
        <w:t xml:space="preserve">C2-bedrock-guardrails, C2-google-model-armor, C7-lakera</w:t>
      </w:r>
    </w:p>
    <w:p>
      <w:pPr>
        <w:pStyle w:val="BodyText"/>
      </w:pPr>
      <w:r>
        <w:rPr>
          <w:bCs/>
          <w:b/>
        </w:rPr>
        <w:t xml:space="preserve">Regulated-FS note.</w:t>
      </w:r>
      <w:r>
        <w:t xml:space="preserve"> </w:t>
      </w:r>
      <w:r>
        <w:t xml:space="preserve">Use Prompt Shields on retrieved documents as well as user input; treat preview features as non-production; confirm product scope in the Service Trust Portal</w:t>
      </w:r>
      <w:r>
        <w:t xml:space="preserve"> </w:t>
      </w:r>
      <w:r>
        <w:rPr>
          <w:rStyle w:val="ClaimLabel"/>
        </w:rPr>
        <w:t xml:space="preserve">Rec</w:t>
      </w:r>
      <w:r>
        <w:t xml:space="preserve">.</w:t>
      </w:r>
    </w:p>
    <w:p>
      <w:pPr>
        <w:pStyle w:val="BodyText"/>
      </w:pPr>
      <w:r>
        <w:rPr>
          <w:bCs/>
          <w:b/>
        </w:rPr>
        <w:t xml:space="preserve">Facts (as of 2026-10-07)</w:t>
      </w:r>
    </w:p>
    <w:tbl>
      <w:tblPr>
        <w:tblStyle w:val="Table"/>
        <w:tblW w:type="pct" w:w="5000"/>
        <w:tblLook w:firstRow="1" w:lastRow="0" w:firstColumn="0" w:lastColumn="0" w:noHBand="0" w:noVBand="0" w:val="0020"/>
        <w:jc w:val="start"/>
      </w:tblPr>
      <w:tblGrid>
        <w:gridCol w:w="1485"/>
        <w:gridCol w:w="4290"/>
        <w:gridCol w:w="1320"/>
        <w:gridCol w:w="825"/>
      </w:tblGrid>
      <w:tr>
        <w:trPr>
          <w:tblHeader w:val="true"/>
        </w:trPr>
        <w:tc>
          <w:tcPr/>
          <w:p>
            <w:pPr>
              <w:pStyle w:val="Compact"/>
              <w:jc w:val="left"/>
            </w:pPr>
            <w:r>
              <w:t xml:space="preserve">Field</w:t>
            </w:r>
          </w:p>
        </w:tc>
        <w:tc>
          <w:tcPr/>
          <w:p>
            <w:pPr>
              <w:pStyle w:val="Compact"/>
              <w:jc w:val="left"/>
            </w:pPr>
            <w:r>
              <w:t xml:space="preserve">Value</w:t>
            </w:r>
          </w:p>
        </w:tc>
        <w:tc>
          <w:tcPr/>
          <w:p>
            <w:pPr>
              <w:pStyle w:val="Compact"/>
              <w:jc w:val="left"/>
            </w:pPr>
            <w:r>
              <w:t xml:space="preserve">Label</w:t>
            </w:r>
          </w:p>
        </w:tc>
        <w:tc>
          <w:tcPr/>
          <w:p>
            <w:pPr>
              <w:pStyle w:val="Compact"/>
              <w:jc w:val="left"/>
            </w:pPr>
            <w:r>
              <w:t xml:space="preserve">Sources</w:t>
            </w:r>
          </w:p>
        </w:tc>
      </w:tr>
      <w:tr>
        <w:tc>
          <w:tcPr/>
          <w:p>
            <w:pPr>
              <w:pStyle w:val="Compact"/>
              <w:jc w:val="left"/>
            </w:pPr>
            <w:r>
              <w:t xml:space="preserve">Company</w:t>
            </w:r>
          </w:p>
        </w:tc>
        <w:tc>
          <w:tcPr/>
          <w:p>
            <w:pPr>
              <w:pStyle w:val="Compact"/>
              <w:jc w:val="left"/>
            </w:pPr>
            <w:r>
              <w:t xml:space="preserve">Microsoft</w:t>
            </w:r>
          </w:p>
        </w:tc>
        <w:tc>
          <w:tcPr/>
          <w:p>
            <w:pPr>
              <w:pStyle w:val="Compact"/>
              <w:jc w:val="left"/>
            </w:pPr>
            <w:r>
              <w:t xml:space="preserve">Verified fact</w:t>
            </w:r>
          </w:p>
        </w:tc>
        <w:tc>
          <w:tcPr/>
          <w:p>
            <w:pPr>
              <w:pStyle w:val="Compact"/>
              <w:jc w:val="left"/>
            </w:pPr>
            <w:r>
              <w:t xml:space="preserve">A6-S054</w:t>
            </w:r>
          </w:p>
        </w:tc>
      </w:tr>
      <w:tr>
        <w:tc>
          <w:tcPr/>
          <w:p>
            <w:pPr>
              <w:pStyle w:val="Compact"/>
              <w:jc w:val="left"/>
            </w:pPr>
            <w:r>
              <w:t xml:space="preserve">Category</w:t>
            </w:r>
          </w:p>
        </w:tc>
        <w:tc>
          <w:tcPr/>
          <w:p>
            <w:pPr>
              <w:pStyle w:val="Compact"/>
              <w:jc w:val="left"/>
            </w:pPr>
            <w:r>
              <w:t xml:space="preserve">Managed content-safety and prompt-attack detection APIs</w:t>
            </w:r>
          </w:p>
        </w:tc>
        <w:tc>
          <w:tcPr/>
          <w:p>
            <w:pPr>
              <w:pStyle w:val="Compact"/>
              <w:jc w:val="left"/>
            </w:pPr>
            <w:r>
              <w:t xml:space="preserve">Verified fact</w:t>
            </w:r>
          </w:p>
        </w:tc>
        <w:tc>
          <w:tcPr/>
          <w:p>
            <w:pPr>
              <w:pStyle w:val="Compact"/>
              <w:jc w:val="left"/>
            </w:pPr>
            <w:r>
              <w:t xml:space="preserve">A6-S054</w:t>
            </w:r>
          </w:p>
        </w:tc>
      </w:tr>
      <w:tr>
        <w:tc>
          <w:tcPr/>
          <w:p>
            <w:pPr>
              <w:pStyle w:val="Compact"/>
              <w:jc w:val="left"/>
            </w:pPr>
            <w:r>
              <w:t xml:space="preserve">Version / lineup</w:t>
            </w:r>
          </w:p>
        </w:tc>
        <w:tc>
          <w:tcPr/>
          <w:p>
            <w:pPr>
              <w:pStyle w:val="Compact"/>
              <w:jc w:val="left"/>
            </w:pPr>
            <w:r>
              <w:t xml:space="preserve">Prompt Shields and Protected Material (text) GA August 2024; Task Adherence public preview November 2025; groundedness detection and custom categories in preview; Python SDK azure-ai-contentsafety 1.0.0 (12 December 2023)</w:t>
            </w:r>
          </w:p>
        </w:tc>
        <w:tc>
          <w:tcPr/>
          <w:p>
            <w:pPr>
              <w:pStyle w:val="Compact"/>
              <w:jc w:val="left"/>
            </w:pPr>
            <w:r>
              <w:t xml:space="preserve">Verified fact</w:t>
            </w:r>
          </w:p>
        </w:tc>
        <w:tc>
          <w:tcPr/>
          <w:p>
            <w:pPr>
              <w:pStyle w:val="Compact"/>
              <w:jc w:val="left"/>
            </w:pPr>
            <w:r>
              <w:t xml:space="preserve">A6-S055, A6-S054, A6-S084</w:t>
            </w:r>
          </w:p>
        </w:tc>
      </w:tr>
      <w:tr>
        <w:tc>
          <w:tcPr/>
          <w:p>
            <w:pPr>
              <w:pStyle w:val="Compact"/>
              <w:jc w:val="left"/>
            </w:pPr>
            <w:r>
              <w:t xml:space="preserve">Licence</w:t>
            </w:r>
          </w:p>
        </w:tc>
        <w:tc>
          <w:tcPr/>
          <w:p>
            <w:pPr>
              <w:pStyle w:val="Compact"/>
              <w:jc w:val="left"/>
            </w:pPr>
            <w:r>
              <w:t xml:space="preserve">Proprietary managed service (SDK MIT)</w:t>
            </w:r>
          </w:p>
        </w:tc>
        <w:tc>
          <w:tcPr/>
          <w:p>
            <w:pPr>
              <w:pStyle w:val="Compact"/>
              <w:jc w:val="left"/>
            </w:pPr>
            <w:r>
              <w:t xml:space="preserve">Verified fact</w:t>
            </w:r>
          </w:p>
        </w:tc>
        <w:tc>
          <w:tcPr/>
          <w:p>
            <w:pPr>
              <w:pStyle w:val="Compact"/>
              <w:jc w:val="left"/>
            </w:pPr>
            <w:r>
              <w:t xml:space="preserve">A6-S054, A6-S084</w:t>
            </w:r>
          </w:p>
        </w:tc>
      </w:tr>
      <w:tr>
        <w:tc>
          <w:tcPr/>
          <w:p>
            <w:pPr>
              <w:pStyle w:val="Compact"/>
              <w:jc w:val="left"/>
            </w:pPr>
            <w:r>
              <w:t xml:space="preserve">Strategic direction</w:t>
            </w:r>
          </w:p>
        </w:tc>
        <w:tc>
          <w:tcPr/>
          <w:p>
            <w:pPr>
              <w:pStyle w:val="Compact"/>
              <w:jc w:val="left"/>
            </w:pPr>
            <w:r>
              <w:t xml:space="preserve">Moving from content moderation to agent safety: Task Adherence API (preview) for agent tool use; Prompt Shields for direct and indirect attacks; Microsoft Foundry</w:t>
            </w:r>
            <w:r>
              <w:t xml:space="preserve"> </w:t>
            </w:r>
            <w:r>
              <w:t xml:space="preserve">‘</w:t>
            </w:r>
            <w:r>
              <w:t xml:space="preserve">guardrails</w:t>
            </w:r>
            <w:r>
              <w:t xml:space="preserve">’</w:t>
            </w:r>
            <w:r>
              <w:t xml:space="preserve"> </w:t>
            </w:r>
            <w:r>
              <w:t xml:space="preserve">(named collections of controls, default Microsoft.DefaultV2) build on Content Safety models and inspect user input, output, tool calls and tool responses (tool inspection in preview), currently only for Foundry Agent Service agents</w:t>
            </w:r>
          </w:p>
        </w:tc>
        <w:tc>
          <w:tcPr/>
          <w:p>
            <w:pPr>
              <w:pStyle w:val="Compact"/>
              <w:jc w:val="left"/>
            </w:pPr>
            <w:r>
              <w:t xml:space="preserve">Verified fact</w:t>
            </w:r>
          </w:p>
        </w:tc>
        <w:tc>
          <w:tcPr/>
          <w:p>
            <w:pPr>
              <w:pStyle w:val="Compact"/>
              <w:jc w:val="left"/>
            </w:pPr>
            <w:r>
              <w:t xml:space="preserve">A6-S055, A6-S054, A6-S103</w:t>
            </w:r>
          </w:p>
        </w:tc>
      </w:tr>
      <w:tr>
        <w:tc>
          <w:tcPr/>
          <w:p>
            <w:pPr>
              <w:pStyle w:val="Compact"/>
              <w:jc w:val="left"/>
            </w:pPr>
            <w:r>
              <w:t xml:space="preserve">What it does</w:t>
            </w:r>
          </w:p>
        </w:tc>
        <w:tc>
          <w:tcPr/>
          <w:p>
            <w:pPr>
              <w:pStyle w:val="Compact"/>
              <w:jc w:val="left"/>
            </w:pPr>
            <w:r>
              <w:t xml:space="preserve">APIs to analyse text and images for sexual, violence, hate and self-harm content with severity levels; Prompt Shields for user-input and document attacks; protected material detection; groundedness detection (preview); custom categories (preview); Task Adherence for agent tool use (preview).</w:t>
            </w:r>
          </w:p>
        </w:tc>
        <w:tc>
          <w:tcPr/>
          <w:p>
            <w:pPr>
              <w:pStyle w:val="Compact"/>
              <w:jc w:val="left"/>
            </w:pPr>
            <w:r>
              <w:t xml:space="preserve">Verified fact</w:t>
            </w:r>
          </w:p>
        </w:tc>
        <w:tc>
          <w:tcPr/>
          <w:p>
            <w:pPr>
              <w:pStyle w:val="Compact"/>
              <w:jc w:val="left"/>
            </w:pPr>
            <w:r>
              <w:t xml:space="preserve">A6-S054, A6-S055</w:t>
            </w:r>
          </w:p>
        </w:tc>
      </w:tr>
      <w:tr>
        <w:tc>
          <w:tcPr/>
          <w:p>
            <w:pPr>
              <w:pStyle w:val="Compact"/>
              <w:jc w:val="left"/>
            </w:pPr>
            <w:r>
              <w:t xml:space="preserve">Stack position</w:t>
            </w:r>
          </w:p>
        </w:tc>
        <w:tc>
          <w:tcPr/>
          <w:p>
            <w:pPr>
              <w:pStyle w:val="Compact"/>
              <w:jc w:val="left"/>
            </w:pPr>
            <w:r>
              <w:t xml:space="preserve">Guardrail service called by applications, Microsoft Foundry and Azure API Management (llm-content-safety policy)</w:t>
            </w:r>
          </w:p>
        </w:tc>
        <w:tc>
          <w:tcPr/>
          <w:p>
            <w:pPr>
              <w:pStyle w:val="Compact"/>
              <w:jc w:val="left"/>
            </w:pPr>
            <w:r>
              <w:t xml:space="preserve">Verified fact</w:t>
            </w:r>
          </w:p>
        </w:tc>
        <w:tc>
          <w:tcPr/>
          <w:p>
            <w:pPr>
              <w:pStyle w:val="Compact"/>
              <w:jc w:val="left"/>
            </w:pPr>
            <w:r>
              <w:t xml:space="preserve">A6-S053, A6-S020</w:t>
            </w:r>
          </w:p>
        </w:tc>
      </w:tr>
      <w:tr>
        <w:tc>
          <w:tcPr/>
          <w:p>
            <w:pPr>
              <w:pStyle w:val="Compact"/>
              <w:jc w:val="left"/>
            </w:pPr>
            <w:r>
              <w:t xml:space="preserve">Integration</w:t>
            </w:r>
          </w:p>
        </w:tc>
        <w:tc>
          <w:tcPr/>
          <w:p>
            <w:pPr>
              <w:pStyle w:val="Compact"/>
              <w:jc w:val="left"/>
            </w:pPr>
            <w:r>
              <w:t xml:space="preserve">REST API and SDKs; APIM llm-content-safety policy; Content Safety Studio</w:t>
            </w:r>
          </w:p>
        </w:tc>
        <w:tc>
          <w:tcPr/>
          <w:p>
            <w:pPr>
              <w:pStyle w:val="Compact"/>
              <w:jc w:val="left"/>
            </w:pPr>
            <w:r>
              <w:t xml:space="preserve">Verified fact</w:t>
            </w:r>
          </w:p>
        </w:tc>
        <w:tc>
          <w:tcPr/>
          <w:p>
            <w:pPr>
              <w:pStyle w:val="Compact"/>
              <w:jc w:val="left"/>
            </w:pPr>
            <w:r>
              <w:t xml:space="preserve">A6-S054, A6-S053</w:t>
            </w:r>
          </w:p>
        </w:tc>
      </w:tr>
      <w:tr>
        <w:tc>
          <w:tcPr/>
          <w:p>
            <w:pPr>
              <w:pStyle w:val="Compact"/>
              <w:jc w:val="left"/>
            </w:pPr>
            <w:r>
              <w:t xml:space="preserve">Dependencies</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Certifications</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GDPR / residency</w:t>
            </w:r>
          </w:p>
        </w:tc>
        <w:tc>
          <w:tcPr/>
          <w:p>
            <w:pPr>
              <w:pStyle w:val="Compact"/>
              <w:jc w:val="left"/>
            </w:pPr>
            <w:r>
              <w:t xml:space="preserve">Resource must be created in a supported region; region list not reproduced in sources consulted</w:t>
            </w:r>
          </w:p>
        </w:tc>
        <w:tc>
          <w:tcPr/>
          <w:p>
            <w:pPr>
              <w:pStyle w:val="Compact"/>
              <w:jc w:val="left"/>
            </w:pPr>
            <w:r>
              <w:t xml:space="preserve">Verified fact</w:t>
            </w:r>
          </w:p>
        </w:tc>
        <w:tc>
          <w:tcPr/>
          <w:p>
            <w:pPr>
              <w:pStyle w:val="Compact"/>
              <w:jc w:val="left"/>
            </w:pPr>
            <w:r>
              <w:t xml:space="preserve">A6-S054</w:t>
            </w:r>
          </w:p>
        </w:tc>
      </w:tr>
      <w:tr>
        <w:tc>
          <w:tcPr/>
          <w:p>
            <w:pPr>
              <w:pStyle w:val="Compact"/>
              <w:jc w:val="left"/>
            </w:pPr>
            <w:r>
              <w:t xml:space="preserve">Security features</w:t>
            </w:r>
          </w:p>
        </w:tc>
        <w:tc>
          <w:tcPr/>
          <w:p>
            <w:pPr>
              <w:pStyle w:val="Compact"/>
              <w:jc w:val="left"/>
            </w:pPr>
            <w:r>
              <w:t xml:space="preserve">Encryption at rest with customer-managed keys (BYOK) supported</w:t>
            </w:r>
          </w:p>
        </w:tc>
        <w:tc>
          <w:tcPr/>
          <w:p>
            <w:pPr>
              <w:pStyle w:val="Compact"/>
              <w:jc w:val="left"/>
            </w:pPr>
            <w:r>
              <w:t xml:space="preserve">Verified fact</w:t>
            </w:r>
          </w:p>
        </w:tc>
        <w:tc>
          <w:tcPr/>
          <w:p>
            <w:pPr>
              <w:pStyle w:val="Compact"/>
              <w:jc w:val="left"/>
            </w:pPr>
            <w:r>
              <w:t xml:space="preserve">A6-S054</w:t>
            </w:r>
          </w:p>
        </w:tc>
      </w:tr>
      <w:tr>
        <w:tc>
          <w:tcPr/>
          <w:p>
            <w:pPr>
              <w:pStyle w:val="Compact"/>
              <w:jc w:val="left"/>
            </w:pPr>
            <w:r>
              <w:t xml:space="preserve">Access controls</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Enterprise support</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Pricing</w:t>
            </w:r>
          </w:p>
        </w:tc>
        <w:tc>
          <w:tcPr/>
          <w:p>
            <w:pPr>
              <w:pStyle w:val="Compact"/>
              <w:jc w:val="left"/>
            </w:pPr>
            <w:r>
              <w:t xml:space="preserve">Free tier: 5,000 text records/month (F0, 5 RPS). Standard (S0): billed per 1,000 text records, each model (incl. Prompt Shields) with its own rate; a text record is up to 1,000 characters. Published S0 unit prices did not render; a community figure of US$0.38 per 1,000 records is unverified</w:t>
            </w:r>
          </w:p>
        </w:tc>
        <w:tc>
          <w:tcPr/>
          <w:p>
            <w:pPr>
              <w:pStyle w:val="Compact"/>
              <w:jc w:val="left"/>
            </w:pPr>
            <w:r>
              <w:t xml:space="preserve">Verified fact</w:t>
            </w:r>
          </w:p>
        </w:tc>
        <w:tc>
          <w:tcPr/>
          <w:p>
            <w:pPr>
              <w:pStyle w:val="Compact"/>
              <w:jc w:val="left"/>
            </w:pPr>
            <w:r>
              <w:t xml:space="preserve">A6-S102, A6-S054</w:t>
            </w:r>
          </w:p>
        </w:tc>
      </w:tr>
      <w:tr>
        <w:tc>
          <w:tcPr/>
          <w:p>
            <w:pPr>
              <w:pStyle w:val="Compact"/>
              <w:jc w:val="left"/>
            </w:pPr>
            <w:r>
              <w:t xml:space="preserve">Infrastructure cost</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Ecosystem</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Adoption signals</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Maturity</w:t>
            </w:r>
          </w:p>
        </w:tc>
        <w:tc>
          <w:tcPr/>
          <w:p>
            <w:pPr>
              <w:pStyle w:val="Compact"/>
              <w:jc w:val="left"/>
            </w:pPr>
            <w:r>
              <w:t xml:space="preserve">Core moderation and Prompt Shields GA; several agent-oriented features in preview; 90-day deprecation policy for superseded API versions</w:t>
            </w:r>
          </w:p>
        </w:tc>
        <w:tc>
          <w:tcPr/>
          <w:p>
            <w:pPr>
              <w:pStyle w:val="Compact"/>
              <w:jc w:val="left"/>
            </w:pPr>
            <w:r>
              <w:t xml:space="preserve">Verified fact</w:t>
            </w:r>
          </w:p>
        </w:tc>
        <w:tc>
          <w:tcPr/>
          <w:p>
            <w:pPr>
              <w:pStyle w:val="Compact"/>
              <w:jc w:val="left"/>
            </w:pPr>
            <w:r>
              <w:t xml:space="preserve">A6-S054, A6-S055</w:t>
            </w:r>
          </w:p>
        </w:tc>
      </w:tr>
      <w:tr>
        <w:tc>
          <w:tcPr/>
          <w:p>
            <w:pPr>
              <w:pStyle w:val="Compact"/>
              <w:jc w:val="left"/>
            </w:pPr>
            <w:r>
              <w:t xml:space="preserve">Deployment</w:t>
            </w:r>
          </w:p>
        </w:tc>
        <w:tc>
          <w:tcPr/>
          <w:p>
            <w:pPr>
              <w:pStyle w:val="Compact"/>
              <w:jc w:val="left"/>
            </w:pPr>
            <w:r>
              <w:t xml:space="preserve">saas: Yes (Azure resource in supported regions); managed_cloud: Not publicly verified; vpc_byoc: Not publicly verified; private_cloud: Not publicly verified; self_hosted: Not publicly verified; on_prem: Not publicly verified</w:t>
            </w:r>
          </w:p>
        </w:tc>
        <w:tc>
          <w:tcPr/>
          <w:p>
            <w:pPr>
              <w:pStyle w:val="Compact"/>
            </w:pPr>
          </w:p>
        </w:tc>
        <w:tc>
          <w:tcPr/>
          <w:p>
            <w:pPr>
              <w:pStyle w:val="Compact"/>
            </w:pPr>
          </w:p>
        </w:tc>
      </w:tr>
    </w:tbl>
    <w:bookmarkEnd w:id="1999"/>
    <w:bookmarkStart w:id="2023" w:name="X29965f5af1054e83d7d2b592afa0a5774c643b4"/>
    <w:p>
      <w:pPr>
        <w:pStyle w:val="Heading2"/>
      </w:pPr>
      <w:r>
        <w:t xml:space="preserve">Llama Protections: Llama Guard 4 (12B), Llama Prompt Guard 2 (86M/22M), LlamaFirewall, Code Shield (</w:t>
      </w:r>
      <w:r>
        <w:rPr>
          <w:rStyle w:val="VerbatimChar"/>
        </w:rPr>
        <w:t xml:space="preserve">C2-meta-llama-protections</w:t>
      </w:r>
      <w:r>
        <w:t xml:space="preserve">)</w:t>
      </w:r>
    </w:p>
    <w:p>
      <w:pPr>
        <w:pStyle w:val="FirstParagraph"/>
      </w:pPr>
      <w:r>
        <w:rPr>
          <w:bCs/>
          <w:b/>
        </w:rPr>
        <w:t xml:space="preserve">Tier:</w:t>
      </w:r>
      <w:r>
        <w:t xml:space="preserve"> </w:t>
      </w:r>
      <w:r>
        <w:t xml:space="preserve">Tactical ·</w:t>
      </w:r>
      <w:r>
        <w:t xml:space="preserve"> </w:t>
      </w:r>
      <w:r>
        <w:rPr>
          <w:bCs/>
          <w:b/>
        </w:rPr>
        <w:t xml:space="preserve">Flags:</w:t>
      </w:r>
      <w:r>
        <w:t xml:space="preserve"> </w:t>
      </w:r>
      <w:r>
        <w:t xml:space="preserve">none ·</w:t>
      </w:r>
      <w:r>
        <w:t xml:space="preserve"> </w:t>
      </w:r>
      <w:r>
        <w:rPr>
          <w:bCs/>
          <w:b/>
        </w:rPr>
        <w:t xml:space="preserve">Original graphic label:</w:t>
      </w:r>
      <w:r>
        <w:t xml:space="preserve"> </w:t>
      </w:r>
      <w:r>
        <w:t xml:space="preserve">not in graphic</w:t>
      </w:r>
    </w:p>
    <w:p>
      <w:pPr>
        <w:pStyle w:val="BodyText"/>
      </w:pPr>
      <w:r>
        <w:rPr>
          <w:iCs/>
          <w:i/>
        </w:rPr>
        <w:t xml:space="preserve">Rationale:</w:t>
      </w:r>
      <w:r>
        <w:t xml:space="preserve"> </w:t>
      </w:r>
      <w:r>
        <w:t xml:space="preserve">Tactical: useful self-hosted detectors, but no release for 17 months is a maintenance risk for a security control</w:t>
      </w:r>
      <w:r>
        <w:t xml:space="preserve"> </w:t>
      </w:r>
      <w:r>
        <w:rPr>
          <w:rStyle w:val="ClaimLabel"/>
        </w:rPr>
        <w:t xml:space="preserve">AJ</w:t>
      </w:r>
      <w:r>
        <w:t xml:space="preserve">.</w:t>
      </w:r>
    </w:p>
    <w:tbl>
      <w:tblPr>
        <w:tblStyle w:val="Table"/>
        <w:tblW w:type="pct" w:w="5000"/>
        <w:tblLook w:firstRow="1" w:lastRow="0" w:firstColumn="0" w:lastColumn="0" w:noHBand="0" w:noVBand="0" w:val="0020"/>
        <w:jc w:val="start"/>
      </w:tblPr>
      <w:tblGrid>
        <w:gridCol w:w="1545"/>
        <w:gridCol w:w="579"/>
        <w:gridCol w:w="5795"/>
      </w:tblGrid>
      <w:tr>
        <w:trPr>
          <w:tblHeader w:val="true"/>
        </w:trPr>
        <w:tc>
          <w:tcPr/>
          <w:p>
            <w:pPr>
              <w:pStyle w:val="Compact"/>
              <w:jc w:val="left"/>
            </w:pPr>
            <w:r>
              <w:t xml:space="preserve">Criterion</w:t>
            </w:r>
          </w:p>
        </w:tc>
        <w:tc>
          <w:tcPr/>
          <w:p>
            <w:pPr>
              <w:pStyle w:val="Compact"/>
              <w:jc w:val="right"/>
            </w:pPr>
            <w:r>
              <w:t xml:space="preserve">Score</w:t>
            </w:r>
          </w:p>
        </w:tc>
        <w:tc>
          <w:tcPr/>
          <w:p>
            <w:pPr>
              <w:pStyle w:val="Compact"/>
              <w:jc w:val="left"/>
            </w:pPr>
            <w:r>
              <w:t xml:space="preserve">Rationale</w:t>
            </w:r>
          </w:p>
        </w:tc>
      </w:tr>
      <w:tr>
        <w:tc>
          <w:tcPr/>
          <w:p>
            <w:pPr>
              <w:pStyle w:val="Compact"/>
              <w:jc w:val="left"/>
            </w:pPr>
            <w:r>
              <w:t xml:space="preserve">Technical</w:t>
            </w:r>
          </w:p>
        </w:tc>
        <w:tc>
          <w:tcPr/>
          <w:p>
            <w:pPr>
              <w:pStyle w:val="Compact"/>
              <w:jc w:val="right"/>
            </w:pPr>
            <w:r>
              <w:t xml:space="preserve">3</w:t>
            </w:r>
          </w:p>
        </w:tc>
        <w:tc>
          <w:tcPr/>
          <w:p>
            <w:pPr>
              <w:pStyle w:val="Compact"/>
              <w:jc w:val="left"/>
            </w:pPr>
            <w:r>
              <w:t xml:space="preserve">Safety taxonomy classifier, prompt-attack classifier, agent alignment check and code scanner</w:t>
            </w:r>
            <w:r>
              <w:t xml:space="preserve"> </w:t>
            </w:r>
            <w:r>
              <w:rPr>
                <w:rStyle w:val="ClaimLabel"/>
              </w:rPr>
              <w:t xml:space="preserve">VF</w:t>
            </w:r>
            <w:r>
              <w:rPr>
                <w:rStyle w:val="FootnoteReference"/>
              </w:rPr>
              <w:footnoteReference w:id="2000"/>
            </w:r>
            <w:r>
              <w:t xml:space="preserve">; 512-token window and reported multilingual weakness</w:t>
            </w:r>
            <w:r>
              <w:t xml:space="preserve"> </w:t>
            </w:r>
            <w:r>
              <w:rPr>
                <w:rStyle w:val="ClaimLabel"/>
              </w:rPr>
              <w:t xml:space="preserve">VF</w:t>
            </w:r>
            <w:r>
              <w:rPr>
                <w:rStyle w:val="FootnoteReference"/>
              </w:rPr>
              <w:footnoteReference w:id="2003"/>
            </w:r>
            <w:r>
              <w:t xml:space="preserve"> </w:t>
            </w:r>
            <w:r>
              <w:rPr>
                <w:rStyle w:val="ClaimLabel"/>
              </w:rPr>
              <w:t xml:space="preserve">R</w:t>
            </w:r>
            <w:r>
              <w:rPr>
                <w:rStyle w:val="FootnoteReference"/>
              </w:rPr>
              <w:footnoteReference w:id="2004"/>
            </w:r>
          </w:p>
        </w:tc>
      </w:tr>
      <w:tr>
        <w:tc>
          <w:tcPr/>
          <w:p>
            <w:pPr>
              <w:pStyle w:val="Compact"/>
              <w:jc w:val="left"/>
            </w:pPr>
            <w:r>
              <w:t xml:space="preserve">Enterprise readiness</w:t>
            </w:r>
          </w:p>
        </w:tc>
        <w:tc>
          <w:tcPr/>
          <w:p>
            <w:pPr>
              <w:pStyle w:val="Compact"/>
              <w:jc w:val="right"/>
            </w:pPr>
            <w:r>
              <w:t xml:space="preserve">2</w:t>
            </w:r>
          </w:p>
        </w:tc>
        <w:tc>
          <w:tcPr/>
          <w:p>
            <w:pPr>
              <w:pStyle w:val="Compact"/>
              <w:jc w:val="left"/>
            </w:pPr>
            <w:r>
              <w:t xml:space="preserve">Rule 2: components only; no commercial support from Meta verified</w:t>
            </w:r>
            <w:r>
              <w:t xml:space="preserve"> </w:t>
            </w:r>
            <w:r>
              <w:rPr>
                <w:rStyle w:val="ClaimLabel"/>
              </w:rPr>
              <w:t xml:space="preserve">NPV</w:t>
            </w:r>
          </w:p>
        </w:tc>
      </w:tr>
      <w:tr>
        <w:tc>
          <w:tcPr/>
          <w:p>
            <w:pPr>
              <w:pStyle w:val="Compact"/>
              <w:jc w:val="left"/>
            </w:pPr>
            <w:r>
              <w:t xml:space="preserve">Security and compliance</w:t>
            </w:r>
          </w:p>
        </w:tc>
        <w:tc>
          <w:tcPr/>
          <w:p>
            <w:pPr>
              <w:pStyle w:val="Compact"/>
              <w:jc w:val="right"/>
            </w:pPr>
            <w:r>
              <w:t xml:space="preserve">2</w:t>
            </w:r>
          </w:p>
        </w:tc>
        <w:tc>
          <w:tcPr/>
          <w:p>
            <w:pPr>
              <w:pStyle w:val="Compact"/>
              <w:jc w:val="left"/>
            </w:pPr>
            <w:r>
              <w:t xml:space="preserve">Rule 2: custom licence; LlamaFirewall licence not stated on PyPI</w:t>
            </w:r>
            <w:r>
              <w:t xml:space="preserve"> </w:t>
            </w:r>
            <w:r>
              <w:rPr>
                <w:rStyle w:val="ClaimLabel"/>
              </w:rPr>
              <w:t xml:space="preserve">VF</w:t>
            </w:r>
            <w:r>
              <w:rPr>
                <w:rStyle w:val="FootnoteReference"/>
              </w:rPr>
              <w:footnoteReference w:id="2006"/>
            </w:r>
            <w:r>
              <w:t xml:space="preserve">; CVE handling NPV</w:t>
            </w:r>
          </w:p>
        </w:tc>
      </w:tr>
      <w:tr>
        <w:tc>
          <w:tcPr/>
          <w:p>
            <w:pPr>
              <w:pStyle w:val="Compact"/>
              <w:jc w:val="left"/>
            </w:pPr>
            <w:r>
              <w:t xml:space="preserve">Deployment flexibility</w:t>
            </w:r>
          </w:p>
        </w:tc>
        <w:tc>
          <w:tcPr/>
          <w:p>
            <w:pPr>
              <w:pStyle w:val="Compact"/>
              <w:jc w:val="right"/>
            </w:pPr>
            <w:r>
              <w:t xml:space="preserve">5</w:t>
            </w:r>
          </w:p>
        </w:tc>
        <w:tc>
          <w:tcPr/>
          <w:p>
            <w:pPr>
              <w:pStyle w:val="Compact"/>
              <w:jc w:val="left"/>
            </w:pPr>
            <w:r>
              <w:t xml:space="preserve">Open weights run anywhere, including air-gapped; also hosted by third parties</w:t>
            </w:r>
            <w:r>
              <w:t xml:space="preserve"> </w:t>
            </w:r>
            <w:r>
              <w:rPr>
                <w:rStyle w:val="ClaimLabel"/>
              </w:rPr>
              <w:t xml:space="preserve">VF</w:t>
            </w:r>
            <w:r>
              <w:rPr>
                <w:rStyle w:val="FootnoteReference"/>
              </w:rPr>
              <w:footnoteReference w:id="2008"/>
            </w:r>
          </w:p>
        </w:tc>
      </w:tr>
      <w:tr>
        <w:tc>
          <w:tcPr/>
          <w:p>
            <w:pPr>
              <w:pStyle w:val="Compact"/>
              <w:jc w:val="left"/>
            </w:pPr>
            <w:r>
              <w:t xml:space="preserve">Ecosystem</w:t>
            </w:r>
          </w:p>
        </w:tc>
        <w:tc>
          <w:tcPr/>
          <w:p>
            <w:pPr>
              <w:pStyle w:val="Compact"/>
              <w:jc w:val="right"/>
            </w:pPr>
            <w:r>
              <w:t xml:space="preserve">4</w:t>
            </w:r>
          </w:p>
        </w:tc>
        <w:tc>
          <w:tcPr/>
          <w:p>
            <w:pPr>
              <w:pStyle w:val="Compact"/>
              <w:jc w:val="left"/>
            </w:pPr>
            <w:r>
              <w:t xml:space="preserve">Embedded in Cloudflare and Guardrails Hub; hosted on NVIDIA build and Vertex Model Garden</w:t>
            </w:r>
            <w:r>
              <w:t xml:space="preserve"> </w:t>
            </w:r>
            <w:r>
              <w:rPr>
                <w:rStyle w:val="ClaimLabel"/>
              </w:rPr>
              <w:t xml:space="preserve">VF</w:t>
            </w:r>
            <w:r>
              <w:rPr>
                <w:rStyle w:val="FootnoteReference"/>
              </w:rPr>
              <w:footnoteReference w:id="2009"/>
            </w:r>
          </w:p>
        </w:tc>
      </w:tr>
      <w:tr>
        <w:tc>
          <w:tcPr/>
          <w:p>
            <w:pPr>
              <w:pStyle w:val="Compact"/>
              <w:jc w:val="left"/>
            </w:pPr>
            <w:r>
              <w:t xml:space="preserve">Reliability and maturity</w:t>
            </w:r>
          </w:p>
        </w:tc>
        <w:tc>
          <w:tcPr/>
          <w:p>
            <w:pPr>
              <w:pStyle w:val="Compact"/>
              <w:jc w:val="right"/>
            </w:pPr>
            <w:r>
              <w:t xml:space="preserve">2</w:t>
            </w:r>
          </w:p>
        </w:tc>
        <w:tc>
          <w:tcPr/>
          <w:p>
            <w:pPr>
              <w:pStyle w:val="Compact"/>
              <w:jc w:val="left"/>
            </w:pPr>
            <w:r>
              <w:t xml:space="preserve">Mature lineage but no release after May 2025</w:t>
            </w:r>
            <w:r>
              <w:t xml:space="preserve"> </w:t>
            </w:r>
            <w:r>
              <w:rPr>
                <w:rStyle w:val="ClaimLabel"/>
              </w:rPr>
              <w:t xml:space="preserve">VF</w:t>
            </w:r>
            <w:r>
              <w:rPr>
                <w:rStyle w:val="FootnoteReference"/>
              </w:rPr>
              <w:footnoteReference w:id="2011"/>
            </w:r>
          </w:p>
        </w:tc>
      </w:tr>
      <w:tr>
        <w:tc>
          <w:tcPr/>
          <w:p>
            <w:pPr>
              <w:pStyle w:val="Compact"/>
              <w:jc w:val="left"/>
            </w:pPr>
            <w:r>
              <w:t xml:space="preserve">Cost / TCO</w:t>
            </w:r>
          </w:p>
        </w:tc>
        <w:tc>
          <w:tcPr/>
          <w:p>
            <w:pPr>
              <w:pStyle w:val="Compact"/>
              <w:jc w:val="right"/>
            </w:pPr>
            <w:r>
              <w:t xml:space="preserve">4</w:t>
            </w:r>
          </w:p>
        </w:tc>
        <w:tc>
          <w:tcPr/>
          <w:p>
            <w:pPr>
              <w:pStyle w:val="Compact"/>
              <w:jc w:val="left"/>
            </w:pPr>
            <w:r>
              <w:t xml:space="preserve">Free; 12B model needs GPU-class serving, 22M model is cheap</w:t>
            </w:r>
            <w:r>
              <w:t xml:space="preserve"> </w:t>
            </w:r>
            <w:r>
              <w:rPr>
                <w:rStyle w:val="ClaimLabel"/>
              </w:rPr>
              <w:t xml:space="preserve">VF</w:t>
            </w:r>
            <w:r>
              <w:rPr>
                <w:rStyle w:val="FootnoteReference"/>
              </w:rPr>
              <w:footnoteReference w:id="2013"/>
            </w:r>
          </w:p>
        </w:tc>
      </w:tr>
      <w:tr>
        <w:tc>
          <w:tcPr/>
          <w:p>
            <w:pPr>
              <w:pStyle w:val="Compact"/>
              <w:jc w:val="left"/>
            </w:pPr>
            <w:r>
              <w:t xml:space="preserve">Lock-in / portability</w:t>
            </w:r>
          </w:p>
        </w:tc>
        <w:tc>
          <w:tcPr/>
          <w:p>
            <w:pPr>
              <w:pStyle w:val="Compact"/>
              <w:jc w:val="right"/>
            </w:pPr>
            <w:r>
              <w:t xml:space="preserve">3</w:t>
            </w:r>
          </w:p>
        </w:tc>
        <w:tc>
          <w:tcPr/>
          <w:p>
            <w:pPr>
              <w:pStyle w:val="Compact"/>
              <w:jc w:val="left"/>
            </w:pPr>
            <w:r>
              <w:t xml:space="preserve">Portable weights under a custom community licence</w:t>
            </w:r>
            <w:r>
              <w:t xml:space="preserve"> </w:t>
            </w:r>
            <w:r>
              <w:rPr>
                <w:rStyle w:val="ClaimLabel"/>
              </w:rPr>
              <w:t xml:space="preserve">VF</w:t>
            </w:r>
            <w:r>
              <w:rPr>
                <w:rStyle w:val="FootnoteReference"/>
              </w:rPr>
              <w:footnoteReference w:id="2014"/>
            </w:r>
          </w:p>
        </w:tc>
      </w:tr>
      <w:tr>
        <w:tc>
          <w:tcPr/>
          <w:p>
            <w:pPr>
              <w:pStyle w:val="Compact"/>
              <w:jc w:val="left"/>
            </w:pPr>
            <w:r>
              <w:rPr>
                <w:bCs/>
                <w:b/>
              </w:rPr>
              <w:t xml:space="preserve">Total (generic / FS)</w:t>
            </w:r>
          </w:p>
        </w:tc>
        <w:tc>
          <w:tcPr/>
          <w:p>
            <w:pPr>
              <w:pStyle w:val="Compact"/>
              <w:jc w:val="right"/>
            </w:pPr>
            <w:r>
              <w:rPr>
                <w:bCs/>
                <w:b/>
              </w:rPr>
              <w:t xml:space="preserve">3.10 / 2.95</w:t>
            </w:r>
          </w:p>
        </w:tc>
        <w:tc>
          <w:tcPr/>
          <w:p>
            <w:pPr>
              <w:pStyle w:val="Compact"/>
            </w:pPr>
          </w:p>
        </w:tc>
      </w:tr>
    </w:tbl>
    <w:p>
      <w:pPr>
        <w:pStyle w:val="BodyText"/>
      </w:pPr>
      <w:r>
        <w:rPr>
          <w:iCs/>
          <w:i/>
        </w:rPr>
        <w:t xml:space="preserve">Evidence rules applied:</w:t>
      </w:r>
      <w:r>
        <w:t xml:space="preserve"> </w:t>
      </w:r>
      <w:r>
        <w:t xml:space="preserve">Rule 2 basis: self-hosted open weights and open-source framework; NPV cap not applied</w:t>
      </w:r>
    </w:p>
    <w:p>
      <w:pPr>
        <w:pStyle w:val="BodyText"/>
      </w:pPr>
      <w:r>
        <w:rPr>
          <w:bCs/>
          <w:b/>
        </w:rPr>
        <w:t xml:space="preserve">Capabilities.</w:t>
      </w:r>
      <w:r>
        <w:t xml:space="preserve"> </w:t>
      </w:r>
      <w:r>
        <w:t xml:space="preserve">Meta’s open-weight safety components: Llama Guard 4 (12B) classifies prompts and responses (text and images) against a safety taxonomy; Prompt Guard 2 (86M/22M) detects prompt injection and jailbreaks within a 512-token window; LlamaFirewall orchestrates PromptGuard, AlignmentCheck and CodeShield across agent inputs, reasoning and outputs</w:t>
      </w:r>
      <w:r>
        <w:t xml:space="preserve"> </w:t>
      </w:r>
      <w:r>
        <w:rPr>
          <w:rStyle w:val="ClaimLabel"/>
        </w:rPr>
        <w:t xml:space="preserve">VF</w:t>
      </w:r>
      <w:r>
        <w:rPr>
          <w:rStyle w:val="FootnoteReference"/>
        </w:rPr>
        <w:footnoteReference w:id="2016"/>
      </w:r>
      <w:r>
        <w:t xml:space="preserve">.</w:t>
      </w:r>
    </w:p>
    <w:p>
      <w:pPr>
        <w:pStyle w:val="BodyText"/>
      </w:pPr>
      <w:r>
        <w:rPr>
          <w:bCs/>
          <w:b/>
        </w:rPr>
        <w:t xml:space="preserve">Strengths</w:t>
      </w:r>
    </w:p>
    <w:p>
      <w:pPr>
        <w:numPr>
          <w:ilvl w:val="0"/>
          <w:numId w:val="1417"/>
        </w:numPr>
        <w:pStyle w:val="Compact"/>
      </w:pPr>
      <w:r>
        <w:t xml:space="preserve">Small, cheap prompt-attack classifier (22M) suited to inline use</w:t>
      </w:r>
      <w:r>
        <w:t xml:space="preserve"> </w:t>
      </w:r>
      <w:r>
        <w:rPr>
          <w:rStyle w:val="ClaimLabel"/>
        </w:rPr>
        <w:t xml:space="preserve">VF</w:t>
      </w:r>
      <w:r>
        <w:rPr>
          <w:rStyle w:val="FootnoteReference"/>
        </w:rPr>
        <w:footnoteReference w:id="2017"/>
      </w:r>
    </w:p>
    <w:p>
      <w:pPr>
        <w:numPr>
          <w:ilvl w:val="0"/>
          <w:numId w:val="1417"/>
        </w:numPr>
        <w:pStyle w:val="Compact"/>
      </w:pPr>
      <w:r>
        <w:t xml:space="preserve">AlignmentCheck targets agent goal hijacking</w:t>
      </w:r>
      <w:r>
        <w:t xml:space="preserve"> </w:t>
      </w:r>
      <w:r>
        <w:rPr>
          <w:rStyle w:val="ClaimLabel"/>
        </w:rPr>
        <w:t xml:space="preserve">VF</w:t>
      </w:r>
      <w:r>
        <w:rPr>
          <w:rStyle w:val="FootnoteReference"/>
        </w:rPr>
        <w:footnoteReference w:id="2018"/>
      </w:r>
    </w:p>
    <w:p>
      <w:pPr>
        <w:numPr>
          <w:ilvl w:val="0"/>
          <w:numId w:val="1417"/>
        </w:numPr>
        <w:pStyle w:val="Compact"/>
      </w:pPr>
      <w:r>
        <w:t xml:space="preserve">Widely embedded: Cloudflare runs Llama Guard; Guardrails Hub has a validator</w:t>
      </w:r>
      <w:r>
        <w:t xml:space="preserve"> </w:t>
      </w:r>
      <w:r>
        <w:rPr>
          <w:rStyle w:val="ClaimLabel"/>
        </w:rPr>
        <w:t xml:space="preserve">VF</w:t>
      </w:r>
      <w:r>
        <w:rPr>
          <w:rStyle w:val="FootnoteReference"/>
        </w:rPr>
        <w:footnoteReference w:id="2019"/>
      </w:r>
    </w:p>
    <w:p>
      <w:pPr>
        <w:pStyle w:val="FirstParagraph"/>
      </w:pPr>
      <w:r>
        <w:rPr>
          <w:bCs/>
          <w:b/>
        </w:rPr>
        <w:t xml:space="preserve">Limitations and risks</w:t>
      </w:r>
    </w:p>
    <w:p>
      <w:pPr>
        <w:numPr>
          <w:ilvl w:val="0"/>
          <w:numId w:val="1418"/>
        </w:numPr>
        <w:pStyle w:val="Compact"/>
      </w:pPr>
      <w:r>
        <w:t xml:space="preserve">No release found since Llama Guard 4 / Prompt Guard 2 (29 April 2025) and llamafirewall 1.0.3 (29 May 2025)</w:t>
      </w:r>
      <w:r>
        <w:t xml:space="preserve"> </w:t>
      </w:r>
      <w:r>
        <w:rPr>
          <w:rStyle w:val="ClaimLabel"/>
        </w:rPr>
        <w:t xml:space="preserve">VF</w:t>
      </w:r>
      <w:r>
        <w:rPr>
          <w:rStyle w:val="FootnoteReference"/>
        </w:rPr>
        <w:footnoteReference w:id="2020"/>
      </w:r>
    </w:p>
    <w:p>
      <w:pPr>
        <w:numPr>
          <w:ilvl w:val="0"/>
          <w:numId w:val="1418"/>
        </w:numPr>
        <w:pStyle w:val="Compact"/>
      </w:pPr>
      <w:r>
        <w:t xml:space="preserve">Llama community licence with a 700M MAU clause and Acceptable Use Policy, not OSI</w:t>
      </w:r>
      <w:r>
        <w:t xml:space="preserve"> </w:t>
      </w:r>
      <w:r>
        <w:rPr>
          <w:rStyle w:val="ClaimLabel"/>
        </w:rPr>
        <w:t xml:space="preserve">VF</w:t>
      </w:r>
      <w:r>
        <w:rPr>
          <w:rStyle w:val="FootnoteReference"/>
        </w:rPr>
        <w:footnoteReference w:id="2021"/>
      </w:r>
    </w:p>
    <w:p>
      <w:pPr>
        <w:numPr>
          <w:ilvl w:val="0"/>
          <w:numId w:val="1418"/>
        </w:numPr>
        <w:pStyle w:val="Compact"/>
      </w:pPr>
      <w:r>
        <w:t xml:space="preserve">An independent tester reported Prompt Guard weak against non-English and obfuscated prompts</w:t>
      </w:r>
      <w:r>
        <w:t xml:space="preserve"> </w:t>
      </w:r>
      <w:r>
        <w:rPr>
          <w:rStyle w:val="ClaimLabel"/>
        </w:rPr>
        <w:t xml:space="preserve">R</w:t>
      </w:r>
      <w:r>
        <w:rPr>
          <w:rStyle w:val="FootnoteReference"/>
        </w:rPr>
        <w:footnoteReference w:id="2022"/>
      </w:r>
    </w:p>
    <w:p>
      <w:pPr>
        <w:pStyle w:val="FirstParagraph"/>
      </w:pPr>
      <w:r>
        <w:rPr>
          <w:bCs/>
          <w:b/>
        </w:rPr>
        <w:t xml:space="preserve">Choose when</w:t>
      </w:r>
    </w:p>
    <w:p>
      <w:pPr>
        <w:numPr>
          <w:ilvl w:val="0"/>
          <w:numId w:val="1419"/>
        </w:numPr>
        <w:pStyle w:val="Compact"/>
      </w:pPr>
      <w:r>
        <w:t xml:space="preserve">You want an in-estate, low-cost first-pass classifier inside a broader guardrail framework</w:t>
      </w:r>
      <w:r>
        <w:t xml:space="preserve"> </w:t>
      </w:r>
      <w:r>
        <w:rPr>
          <w:rStyle w:val="ClaimLabel"/>
        </w:rPr>
        <w:t xml:space="preserve">AJ</w:t>
      </w:r>
    </w:p>
    <w:p>
      <w:pPr>
        <w:pStyle w:val="FirstParagraph"/>
      </w:pPr>
      <w:r>
        <w:rPr>
          <w:bCs/>
          <w:b/>
        </w:rPr>
        <w:t xml:space="preserve">Avoid when</w:t>
      </w:r>
    </w:p>
    <w:p>
      <w:pPr>
        <w:numPr>
          <w:ilvl w:val="0"/>
          <w:numId w:val="1420"/>
        </w:numPr>
        <w:pStyle w:val="Compact"/>
      </w:pPr>
      <w:r>
        <w:t xml:space="preserve">It would be your only prompt-attack defence, or you need a maintained component with a release cadence</w:t>
      </w:r>
      <w:r>
        <w:t xml:space="preserve"> </w:t>
      </w:r>
      <w:r>
        <w:rPr>
          <w:rStyle w:val="ClaimLabel"/>
        </w:rPr>
        <w:t xml:space="preserve">AJ</w:t>
      </w:r>
    </w:p>
    <w:p>
      <w:pPr>
        <w:pStyle w:val="FirstParagraph"/>
      </w:pPr>
      <w:r>
        <w:rPr>
          <w:bCs/>
          <w:b/>
        </w:rPr>
        <w:t xml:space="preserve">Nearest competitors:</w:t>
      </w:r>
      <w:r>
        <w:t xml:space="preserve"> </w:t>
      </w:r>
      <w:r>
        <w:t xml:space="preserve">C2-azure-ai-content-safety, C2-google-model-armor, C7-lakera</w:t>
      </w:r>
    </w:p>
    <w:p>
      <w:pPr>
        <w:pStyle w:val="BodyText"/>
      </w:pPr>
      <w:r>
        <w:rPr>
          <w:bCs/>
          <w:b/>
        </w:rPr>
        <w:t xml:space="preserve">Regulated-FS note.</w:t>
      </w:r>
      <w:r>
        <w:t xml:space="preserve"> </w:t>
      </w:r>
      <w:r>
        <w:t xml:space="preserve">Use only as one detector among several, with your own evaluation set; record the licence terms and the maintenance risk in the inventory</w:t>
      </w:r>
      <w:r>
        <w:t xml:space="preserve"> </w:t>
      </w:r>
      <w:r>
        <w:rPr>
          <w:rStyle w:val="ClaimLabel"/>
        </w:rPr>
        <w:t xml:space="preserve">Rec</w:t>
      </w:r>
      <w:r>
        <w:t xml:space="preserve">.</w:t>
      </w:r>
    </w:p>
    <w:p>
      <w:pPr>
        <w:pStyle w:val="BodyText"/>
      </w:pPr>
      <w:r>
        <w:rPr>
          <w:bCs/>
          <w:b/>
        </w:rPr>
        <w:t xml:space="preserve">Facts (as of 2026-10-08)</w:t>
      </w:r>
    </w:p>
    <w:tbl>
      <w:tblPr>
        <w:tblStyle w:val="Table"/>
        <w:tblW w:type="pct" w:w="5000"/>
        <w:tblLook w:firstRow="1" w:lastRow="0" w:firstColumn="0" w:lastColumn="0" w:noHBand="0" w:noVBand="0" w:val="0020"/>
        <w:jc w:val="start"/>
      </w:tblPr>
      <w:tblGrid>
        <w:gridCol w:w="1485"/>
        <w:gridCol w:w="4290"/>
        <w:gridCol w:w="1320"/>
        <w:gridCol w:w="825"/>
      </w:tblGrid>
      <w:tr>
        <w:trPr>
          <w:tblHeader w:val="true"/>
        </w:trPr>
        <w:tc>
          <w:tcPr/>
          <w:p>
            <w:pPr>
              <w:pStyle w:val="Compact"/>
              <w:jc w:val="left"/>
            </w:pPr>
            <w:r>
              <w:t xml:space="preserve">Field</w:t>
            </w:r>
          </w:p>
        </w:tc>
        <w:tc>
          <w:tcPr/>
          <w:p>
            <w:pPr>
              <w:pStyle w:val="Compact"/>
              <w:jc w:val="left"/>
            </w:pPr>
            <w:r>
              <w:t xml:space="preserve">Value</w:t>
            </w:r>
          </w:p>
        </w:tc>
        <w:tc>
          <w:tcPr/>
          <w:p>
            <w:pPr>
              <w:pStyle w:val="Compact"/>
              <w:jc w:val="left"/>
            </w:pPr>
            <w:r>
              <w:t xml:space="preserve">Label</w:t>
            </w:r>
          </w:p>
        </w:tc>
        <w:tc>
          <w:tcPr/>
          <w:p>
            <w:pPr>
              <w:pStyle w:val="Compact"/>
              <w:jc w:val="left"/>
            </w:pPr>
            <w:r>
              <w:t xml:space="preserve">Sources</w:t>
            </w:r>
          </w:p>
        </w:tc>
      </w:tr>
      <w:tr>
        <w:tc>
          <w:tcPr/>
          <w:p>
            <w:pPr>
              <w:pStyle w:val="Compact"/>
              <w:jc w:val="left"/>
            </w:pPr>
            <w:r>
              <w:t xml:space="preserve">Company</w:t>
            </w:r>
          </w:p>
        </w:tc>
        <w:tc>
          <w:tcPr/>
          <w:p>
            <w:pPr>
              <w:pStyle w:val="Compact"/>
              <w:jc w:val="left"/>
            </w:pPr>
            <w:r>
              <w:t xml:space="preserve">Meta</w:t>
            </w:r>
          </w:p>
        </w:tc>
        <w:tc>
          <w:tcPr/>
          <w:p>
            <w:pPr>
              <w:pStyle w:val="Compact"/>
              <w:jc w:val="left"/>
            </w:pPr>
            <w:r>
              <w:t xml:space="preserve">Verified fact</w:t>
            </w:r>
          </w:p>
        </w:tc>
        <w:tc>
          <w:tcPr/>
          <w:p>
            <w:pPr>
              <w:pStyle w:val="Compact"/>
              <w:jc w:val="left"/>
            </w:pPr>
            <w:r>
              <w:t xml:space="preserve">A6-S006, A6-S031</w:t>
            </w:r>
          </w:p>
        </w:tc>
      </w:tr>
      <w:tr>
        <w:tc>
          <w:tcPr/>
          <w:p>
            <w:pPr>
              <w:pStyle w:val="Compact"/>
              <w:jc w:val="left"/>
            </w:pPr>
            <w:r>
              <w:t xml:space="preserve">Category</w:t>
            </w:r>
          </w:p>
        </w:tc>
        <w:tc>
          <w:tcPr/>
          <w:p>
            <w:pPr>
              <w:pStyle w:val="Compact"/>
              <w:jc w:val="left"/>
            </w:pPr>
            <w:r>
              <w:t xml:space="preserve">Open-weight safety classifiers plus an open-source agent guardrail framework</w:t>
            </w:r>
          </w:p>
        </w:tc>
        <w:tc>
          <w:tcPr/>
          <w:p>
            <w:pPr>
              <w:pStyle w:val="Compact"/>
              <w:jc w:val="left"/>
            </w:pPr>
            <w:r>
              <w:t xml:space="preserve">Verified fact</w:t>
            </w:r>
          </w:p>
        </w:tc>
        <w:tc>
          <w:tcPr/>
          <w:p>
            <w:pPr>
              <w:pStyle w:val="Compact"/>
              <w:jc w:val="left"/>
            </w:pPr>
            <w:r>
              <w:t xml:space="preserve">A6-S030, A6-S039</w:t>
            </w:r>
          </w:p>
        </w:tc>
      </w:tr>
      <w:tr>
        <w:tc>
          <w:tcPr/>
          <w:p>
            <w:pPr>
              <w:pStyle w:val="Compact"/>
              <w:jc w:val="left"/>
            </w:pPr>
            <w:r>
              <w:t xml:space="preserve">Version / lineup</w:t>
            </w:r>
          </w:p>
        </w:tc>
        <w:tc>
          <w:tcPr/>
          <w:p>
            <w:pPr>
              <w:pStyle w:val="Compact"/>
              <w:jc w:val="left"/>
            </w:pPr>
            <w:r>
              <w:t xml:space="preserve">Llama Guard 4 12B and Prompt Guard 2 86M/22M (checkpoints 29 April 2025); llamafirewall 1.0.3 (PyPI, 29 May 2025)</w:t>
            </w:r>
          </w:p>
        </w:tc>
        <w:tc>
          <w:tcPr/>
          <w:p>
            <w:pPr>
              <w:pStyle w:val="Compact"/>
              <w:jc w:val="left"/>
            </w:pPr>
            <w:r>
              <w:t xml:space="preserve">Verified fact</w:t>
            </w:r>
          </w:p>
        </w:tc>
        <w:tc>
          <w:tcPr/>
          <w:p>
            <w:pPr>
              <w:pStyle w:val="Compact"/>
              <w:jc w:val="left"/>
            </w:pPr>
            <w:r>
              <w:t xml:space="preserve">A6-S030, A6-S006, V2-S028</w:t>
            </w:r>
          </w:p>
        </w:tc>
      </w:tr>
      <w:tr>
        <w:tc>
          <w:tcPr/>
          <w:p>
            <w:pPr>
              <w:pStyle w:val="Compact"/>
              <w:jc w:val="left"/>
            </w:pPr>
            <w:r>
              <w:t xml:space="preserve">Licence</w:t>
            </w:r>
          </w:p>
        </w:tc>
        <w:tc>
          <w:tcPr/>
          <w:p>
            <w:pPr>
              <w:pStyle w:val="Compact"/>
              <w:jc w:val="left"/>
            </w:pPr>
            <w:r>
              <w:t xml:space="preserve">Models: Llama Community licences (Llama Guard 4 under Llama 4 Community License, incl. 700M MAU clause and Acceptable Use Policy); evals/benchmarks MIT; LlamaFirewall licence not stated on PyPI</w:t>
            </w:r>
          </w:p>
        </w:tc>
        <w:tc>
          <w:tcPr/>
          <w:p>
            <w:pPr>
              <w:pStyle w:val="Compact"/>
              <w:jc w:val="left"/>
            </w:pPr>
            <w:r>
              <w:t xml:space="preserve">Verified fact</w:t>
            </w:r>
          </w:p>
        </w:tc>
        <w:tc>
          <w:tcPr/>
          <w:p>
            <w:pPr>
              <w:pStyle w:val="Compact"/>
              <w:jc w:val="left"/>
            </w:pPr>
            <w:r>
              <w:t xml:space="preserve">A6-S030, A6-S038, A6-S006</w:t>
            </w:r>
          </w:p>
        </w:tc>
      </w:tr>
      <w:tr>
        <w:tc>
          <w:tcPr/>
          <w:p>
            <w:pPr>
              <w:pStyle w:val="Compact"/>
              <w:jc w:val="left"/>
            </w:pPr>
            <w:r>
              <w:t xml:space="preserve">Strategic direction</w:t>
            </w:r>
          </w:p>
        </w:tc>
        <w:tc>
          <w:tcPr/>
          <w:p>
            <w:pPr>
              <w:pStyle w:val="Compact"/>
              <w:jc w:val="left"/>
            </w:pPr>
            <w:r>
              <w:t xml:space="preserve">Agent-focused layered defence: LlamaFirewall orchestrates PromptGuard, AlignmentCheck (chain-of-thought auditing for goal hijacking) and CodeShield scanners; no newer release found since mid-2025</w:t>
            </w:r>
          </w:p>
        </w:tc>
        <w:tc>
          <w:tcPr/>
          <w:p>
            <w:pPr>
              <w:pStyle w:val="Compact"/>
              <w:jc w:val="left"/>
            </w:pPr>
            <w:r>
              <w:t xml:space="preserve">Verified fact</w:t>
            </w:r>
          </w:p>
        </w:tc>
        <w:tc>
          <w:tcPr/>
          <w:p>
            <w:pPr>
              <w:pStyle w:val="Compact"/>
              <w:jc w:val="left"/>
            </w:pPr>
            <w:r>
              <w:t xml:space="preserve">A6-S039, A6-S031</w:t>
            </w:r>
          </w:p>
        </w:tc>
      </w:tr>
      <w:tr>
        <w:tc>
          <w:tcPr/>
          <w:p>
            <w:pPr>
              <w:pStyle w:val="Compact"/>
              <w:jc w:val="left"/>
            </w:pPr>
            <w:r>
              <w:t xml:space="preserve">What it does</w:t>
            </w:r>
          </w:p>
        </w:tc>
        <w:tc>
          <w:tcPr/>
          <w:p>
            <w:pPr>
              <w:pStyle w:val="Compact"/>
              <w:jc w:val="left"/>
            </w:pPr>
            <w:r>
              <w:t xml:space="preserve">Llama Guard 4 classifies prompts and responses (text and images) against a safety taxonomy; Prompt Guard 2 detects prompt injection and jailbreaks (512-token window); LlamaFirewall combines scanners across agent inputs, reasoning and outputs; Code Shield filters insecure generated code.</w:t>
            </w:r>
          </w:p>
        </w:tc>
        <w:tc>
          <w:tcPr/>
          <w:p>
            <w:pPr>
              <w:pStyle w:val="Compact"/>
              <w:jc w:val="left"/>
            </w:pPr>
            <w:r>
              <w:t xml:space="preserve">Verified fact</w:t>
            </w:r>
          </w:p>
        </w:tc>
        <w:tc>
          <w:tcPr/>
          <w:p>
            <w:pPr>
              <w:pStyle w:val="Compact"/>
              <w:jc w:val="left"/>
            </w:pPr>
            <w:r>
              <w:t xml:space="preserve">A6-S030, A6-S039, A6-S038</w:t>
            </w:r>
          </w:p>
        </w:tc>
      </w:tr>
      <w:tr>
        <w:tc>
          <w:tcPr/>
          <w:p>
            <w:pPr>
              <w:pStyle w:val="Compact"/>
              <w:jc w:val="left"/>
            </w:pPr>
            <w:r>
              <w:t xml:space="preserve">Stack position</w:t>
            </w:r>
          </w:p>
        </w:tc>
        <w:tc>
          <w:tcPr/>
          <w:p>
            <w:pPr>
              <w:pStyle w:val="Compact"/>
              <w:jc w:val="left"/>
            </w:pPr>
            <w:r>
              <w:t xml:space="preserve">Model-level guardrail components called by applications, gateways or guardrail frameworks (e.g. Guardrails Hub has a Llama Guard validator; Cloudflare AI Gateway uses Llama Guard)</w:t>
            </w:r>
          </w:p>
        </w:tc>
        <w:tc>
          <w:tcPr/>
          <w:p>
            <w:pPr>
              <w:pStyle w:val="Compact"/>
              <w:jc w:val="left"/>
            </w:pPr>
            <w:r>
              <w:t xml:space="preserve">Verified fact</w:t>
            </w:r>
          </w:p>
        </w:tc>
        <w:tc>
          <w:tcPr/>
          <w:p>
            <w:pPr>
              <w:pStyle w:val="Compact"/>
              <w:jc w:val="left"/>
            </w:pPr>
            <w:r>
              <w:t xml:space="preserve">A6-S029, A6-S052</w:t>
            </w:r>
          </w:p>
        </w:tc>
      </w:tr>
      <w:tr>
        <w:tc>
          <w:tcPr/>
          <w:p>
            <w:pPr>
              <w:pStyle w:val="Compact"/>
              <w:jc w:val="left"/>
            </w:pPr>
            <w:r>
              <w:t xml:space="preserve">Integration</w:t>
            </w:r>
          </w:p>
        </w:tc>
        <w:tc>
          <w:tcPr/>
          <w:p>
            <w:pPr>
              <w:pStyle w:val="Compact"/>
              <w:jc w:val="left"/>
            </w:pPr>
            <w:r>
              <w:t xml:space="preserve">Hugging Face model weights; Llama API moderations endpoint; hosted on third parties (e.g. NVIDIA build, Vertex Model Garden); pip install llamafirewall</w:t>
            </w:r>
          </w:p>
        </w:tc>
        <w:tc>
          <w:tcPr/>
          <w:p>
            <w:pPr>
              <w:pStyle w:val="Compact"/>
              <w:jc w:val="left"/>
            </w:pPr>
            <w:r>
              <w:t xml:space="preserve">Verified fact</w:t>
            </w:r>
          </w:p>
        </w:tc>
        <w:tc>
          <w:tcPr/>
          <w:p>
            <w:pPr>
              <w:pStyle w:val="Compact"/>
              <w:jc w:val="left"/>
            </w:pPr>
            <w:r>
              <w:t xml:space="preserve">A6-S030, A6-S039</w:t>
            </w:r>
          </w:p>
        </w:tc>
      </w:tr>
      <w:tr>
        <w:tc>
          <w:tcPr/>
          <w:p>
            <w:pPr>
              <w:pStyle w:val="Compact"/>
              <w:jc w:val="left"/>
            </w:pPr>
            <w:r>
              <w:t xml:space="preserve">Dependencies</w:t>
            </w:r>
          </w:p>
        </w:tc>
        <w:tc>
          <w:tcPr/>
          <w:p>
            <w:pPr>
              <w:pStyle w:val="Compact"/>
              <w:jc w:val="left"/>
            </w:pPr>
            <w:r>
              <w:t xml:space="preserve">GPU/CPU inference for 12B (Llama Guard 4) or 22M/86M (Prompt Guard 2) models; LlamaFirewall Python package</w:t>
            </w:r>
          </w:p>
        </w:tc>
        <w:tc>
          <w:tcPr/>
          <w:p>
            <w:pPr>
              <w:pStyle w:val="Compact"/>
              <w:jc w:val="left"/>
            </w:pPr>
            <w:r>
              <w:t xml:space="preserve">Verified fact</w:t>
            </w:r>
          </w:p>
        </w:tc>
        <w:tc>
          <w:tcPr/>
          <w:p>
            <w:pPr>
              <w:pStyle w:val="Compact"/>
              <w:jc w:val="left"/>
            </w:pPr>
            <w:r>
              <w:t xml:space="preserve">A6-S030, A6-S006</w:t>
            </w:r>
          </w:p>
        </w:tc>
      </w:tr>
      <w:tr>
        <w:tc>
          <w:tcPr/>
          <w:p>
            <w:pPr>
              <w:pStyle w:val="Compact"/>
              <w:jc w:val="left"/>
            </w:pPr>
            <w:r>
              <w:t xml:space="preserve">Certifications</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GDPR / residency</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Security features</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Access controls</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Enterprise support</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Pricing</w:t>
            </w:r>
          </w:p>
        </w:tc>
        <w:tc>
          <w:tcPr/>
          <w:p>
            <w:pPr>
              <w:pStyle w:val="Compact"/>
              <w:jc w:val="left"/>
            </w:pPr>
            <w:r>
              <w:t xml:space="preserve">Free to download under licence terms</w:t>
            </w:r>
          </w:p>
        </w:tc>
        <w:tc>
          <w:tcPr/>
          <w:p>
            <w:pPr>
              <w:pStyle w:val="Compact"/>
              <w:jc w:val="left"/>
            </w:pPr>
            <w:r>
              <w:t xml:space="preserve">Verified fact</w:t>
            </w:r>
          </w:p>
        </w:tc>
        <w:tc>
          <w:tcPr/>
          <w:p>
            <w:pPr>
              <w:pStyle w:val="Compact"/>
              <w:jc w:val="left"/>
            </w:pPr>
            <w:r>
              <w:t xml:space="preserve">A6-S030</w:t>
            </w:r>
          </w:p>
        </w:tc>
      </w:tr>
      <w:tr>
        <w:tc>
          <w:tcPr/>
          <w:p>
            <w:pPr>
              <w:pStyle w:val="Compact"/>
              <w:jc w:val="left"/>
            </w:pPr>
            <w:r>
              <w:t xml:space="preserve">Infrastructure cost</w:t>
            </w:r>
          </w:p>
        </w:tc>
        <w:tc>
          <w:tcPr/>
          <w:p>
            <w:pPr>
              <w:pStyle w:val="Compact"/>
              <w:jc w:val="left"/>
            </w:pPr>
            <w:r>
              <w:t xml:space="preserve">Llama Guard 4 is a 12B-parameter model (GPU class serving); Prompt Guard 2 22M designed for low-latency, low-compute use</w:t>
            </w:r>
          </w:p>
        </w:tc>
        <w:tc>
          <w:tcPr/>
          <w:p>
            <w:pPr>
              <w:pStyle w:val="Compact"/>
              <w:jc w:val="left"/>
            </w:pPr>
            <w:r>
              <w:t xml:space="preserve">Verified fact</w:t>
            </w:r>
          </w:p>
        </w:tc>
        <w:tc>
          <w:tcPr/>
          <w:p>
            <w:pPr>
              <w:pStyle w:val="Compact"/>
              <w:jc w:val="left"/>
            </w:pPr>
            <w:r>
              <w:t xml:space="preserve">A6-S030</w:t>
            </w:r>
          </w:p>
        </w:tc>
      </w:tr>
      <w:tr>
        <w:tc>
          <w:tcPr/>
          <w:p>
            <w:pPr>
              <w:pStyle w:val="Compact"/>
              <w:jc w:val="left"/>
            </w:pPr>
            <w:r>
              <w:t xml:space="preserve">Ecosystem</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Adoption signals</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Maturity</w:t>
            </w:r>
          </w:p>
        </w:tc>
        <w:tc>
          <w:tcPr/>
          <w:p>
            <w:pPr>
              <w:pStyle w:val="Compact"/>
              <w:jc w:val="left"/>
            </w:pPr>
            <w:r>
              <w:t xml:space="preserve">Mature model lineage (Llama Guard 1 to 4); Meta’s current model cards still present Llama Guard 4 (12B) as</w:t>
            </w:r>
            <w:r>
              <w:t xml:space="preserve"> </w:t>
            </w:r>
            <w:r>
              <w:t xml:space="preserve">‘</w:t>
            </w:r>
            <w:r>
              <w:t xml:space="preserve">the latest safeguard model</w:t>
            </w:r>
            <w:r>
              <w:t xml:space="preserve">’</w:t>
            </w:r>
            <w:r>
              <w:t xml:space="preserve">; no 2026 release found in a vendor-domain search</w:t>
            </w:r>
          </w:p>
        </w:tc>
        <w:tc>
          <w:tcPr/>
          <w:p>
            <w:pPr>
              <w:pStyle w:val="Compact"/>
              <w:jc w:val="left"/>
            </w:pPr>
            <w:r>
              <w:t xml:space="preserve">Verified fact</w:t>
            </w:r>
          </w:p>
        </w:tc>
        <w:tc>
          <w:tcPr/>
          <w:p>
            <w:pPr>
              <w:pStyle w:val="Compact"/>
              <w:jc w:val="left"/>
            </w:pPr>
            <w:r>
              <w:t xml:space="preserve">A6-S038, A6-S030, A6-S006, A6-S107</w:t>
            </w:r>
          </w:p>
        </w:tc>
      </w:tr>
      <w:tr>
        <w:tc>
          <w:tcPr/>
          <w:p>
            <w:pPr>
              <w:pStyle w:val="Compact"/>
              <w:jc w:val="left"/>
            </w:pPr>
            <w:r>
              <w:t xml:space="preserve">Deployment</w:t>
            </w:r>
          </w:p>
        </w:tc>
        <w:tc>
          <w:tcPr/>
          <w:p>
            <w:pPr>
              <w:pStyle w:val="Compact"/>
              <w:jc w:val="left"/>
            </w:pPr>
            <w:r>
              <w:t xml:space="preserve">saas: Not publicly verified; managed_cloud: Not publicly verified; vpc_byoc: Not publicly verified; private_cloud: Not publicly verified; self_hosted: Yes (open weights and open-source framework); on_prem: Not publicly verified</w:t>
            </w:r>
          </w:p>
        </w:tc>
        <w:tc>
          <w:tcPr/>
          <w:p>
            <w:pPr>
              <w:pStyle w:val="Compact"/>
            </w:pPr>
          </w:p>
        </w:tc>
        <w:tc>
          <w:tcPr/>
          <w:p>
            <w:pPr>
              <w:pStyle w:val="Compact"/>
            </w:pPr>
          </w:p>
        </w:tc>
      </w:tr>
    </w:tbl>
    <w:bookmarkEnd w:id="2023"/>
    <w:bookmarkStart w:id="2043" w:name="X886468d202a2f6e19a754a90f88d7bd97c98140"/>
    <w:p>
      <w:pPr>
        <w:pStyle w:val="Heading2"/>
      </w:pPr>
      <w:r>
        <w:t xml:space="preserve">Guardrails AI (open-source</w:t>
      </w:r>
      <w:r>
        <w:t xml:space="preserve"> </w:t>
      </w:r>
      <w:r>
        <w:t xml:space="preserve">‘</w:t>
      </w:r>
      <w:r>
        <w:t xml:space="preserve">guardrails</w:t>
      </w:r>
      <w:r>
        <w:t xml:space="preserve">’</w:t>
      </w:r>
      <w:r>
        <w:t xml:space="preserve"> </w:t>
      </w:r>
      <w:r>
        <w:t xml:space="preserve">framework and Guardrails Hub validators) (</w:t>
      </w:r>
      <w:r>
        <w:rPr>
          <w:rStyle w:val="VerbatimChar"/>
        </w:rPr>
        <w:t xml:space="preserve">C2-guardrails-ai</w:t>
      </w:r>
      <w:r>
        <w:t xml:space="preserve">)</w:t>
      </w:r>
    </w:p>
    <w:p>
      <w:pPr>
        <w:pStyle w:val="FirstParagraph"/>
      </w:pPr>
      <w:r>
        <w:rPr>
          <w:bCs/>
          <w:b/>
        </w:rPr>
        <w:t xml:space="preserve">Tier:</w:t>
      </w:r>
      <w:r>
        <w:t xml:space="preserve"> </w:t>
      </w:r>
      <w:r>
        <w:t xml:space="preserve">Experimental ·</w:t>
      </w:r>
      <w:r>
        <w:t xml:space="preserve"> </w:t>
      </w:r>
      <w:r>
        <w:rPr>
          <w:bCs/>
          <w:b/>
        </w:rPr>
        <w:t xml:space="preserve">Flags:</w:t>
      </w:r>
      <w:r>
        <w:t xml:space="preserve"> </w:t>
      </w:r>
      <w:r>
        <w:t xml:space="preserve">Acquired ·</w:t>
      </w:r>
      <w:r>
        <w:t xml:space="preserve"> </w:t>
      </w:r>
      <w:r>
        <w:rPr>
          <w:bCs/>
          <w:b/>
        </w:rPr>
        <w:t xml:space="preserve">Original graphic label:</w:t>
      </w:r>
      <w:r>
        <w:t xml:space="preserve"> </w:t>
      </w:r>
      <w:r>
        <w:t xml:space="preserve">not in graphic</w:t>
      </w:r>
    </w:p>
    <w:p>
      <w:pPr>
        <w:pStyle w:val="BodyText"/>
      </w:pPr>
      <w:r>
        <w:rPr>
          <w:iCs/>
          <w:i/>
        </w:rPr>
        <w:t xml:space="preserve">Rationale:</w:t>
      </w:r>
      <w:r>
        <w:t xml:space="preserve"> </w:t>
      </w:r>
      <w:r>
        <w:t xml:space="preserve">Experimental: the owner is now an application company, the distribution model changed weeks before the deal, and the roadmap is not stated</w:t>
      </w:r>
      <w:r>
        <w:t xml:space="preserve"> </w:t>
      </w:r>
      <w:r>
        <w:rPr>
          <w:rStyle w:val="ClaimLabel"/>
        </w:rPr>
        <w:t xml:space="preserve">AJ</w:t>
      </w:r>
      <w:r>
        <w:t xml:space="preserve">.</w:t>
      </w:r>
    </w:p>
    <w:tbl>
      <w:tblPr>
        <w:tblStyle w:val="Table"/>
        <w:tblW w:type="pct" w:w="5000"/>
        <w:tblLook w:firstRow="1" w:lastRow="0" w:firstColumn="0" w:lastColumn="0" w:noHBand="0" w:noVBand="0" w:val="0020"/>
        <w:jc w:val="start"/>
      </w:tblPr>
      <w:tblGrid>
        <w:gridCol w:w="1545"/>
        <w:gridCol w:w="579"/>
        <w:gridCol w:w="5795"/>
      </w:tblGrid>
      <w:tr>
        <w:trPr>
          <w:tblHeader w:val="true"/>
        </w:trPr>
        <w:tc>
          <w:tcPr/>
          <w:p>
            <w:pPr>
              <w:pStyle w:val="Compact"/>
              <w:jc w:val="left"/>
            </w:pPr>
            <w:r>
              <w:t xml:space="preserve">Criterion</w:t>
            </w:r>
          </w:p>
        </w:tc>
        <w:tc>
          <w:tcPr/>
          <w:p>
            <w:pPr>
              <w:pStyle w:val="Compact"/>
              <w:jc w:val="right"/>
            </w:pPr>
            <w:r>
              <w:t xml:space="preserve">Score</w:t>
            </w:r>
          </w:p>
        </w:tc>
        <w:tc>
          <w:tcPr/>
          <w:p>
            <w:pPr>
              <w:pStyle w:val="Compact"/>
              <w:jc w:val="left"/>
            </w:pPr>
            <w:r>
              <w:t xml:space="preserve">Rationale</w:t>
            </w:r>
          </w:p>
        </w:tc>
      </w:tr>
      <w:tr>
        <w:tc>
          <w:tcPr/>
          <w:p>
            <w:pPr>
              <w:pStyle w:val="Compact"/>
              <w:jc w:val="left"/>
            </w:pPr>
            <w:r>
              <w:t xml:space="preserve">Technical</w:t>
            </w:r>
          </w:p>
        </w:tc>
        <w:tc>
          <w:tcPr/>
          <w:p>
            <w:pPr>
              <w:pStyle w:val="Compact"/>
              <w:jc w:val="right"/>
            </w:pPr>
            <w:r>
              <w:t xml:space="preserve">3</w:t>
            </w:r>
          </w:p>
        </w:tc>
        <w:tc>
          <w:tcPr/>
          <w:p>
            <w:pPr>
              <w:pStyle w:val="Compact"/>
              <w:jc w:val="left"/>
            </w:pPr>
            <w:r>
              <w:t xml:space="preserve">Validators and structured-output validation; no native grounding or prompt-attack depth evidenced beyond validators</w:t>
            </w:r>
            <w:r>
              <w:t xml:space="preserve"> </w:t>
            </w:r>
            <w:r>
              <w:rPr>
                <w:rStyle w:val="ClaimLabel"/>
              </w:rPr>
              <w:t xml:space="preserve">VF</w:t>
            </w:r>
            <w:r>
              <w:rPr>
                <w:rStyle w:val="FootnoteReference"/>
              </w:rPr>
              <w:footnoteReference w:id="2024"/>
            </w:r>
          </w:p>
        </w:tc>
      </w:tr>
      <w:tr>
        <w:tc>
          <w:tcPr/>
          <w:p>
            <w:pPr>
              <w:pStyle w:val="Compact"/>
              <w:jc w:val="left"/>
            </w:pPr>
            <w:r>
              <w:t xml:space="preserve">Enterprise readiness</w:t>
            </w:r>
          </w:p>
        </w:tc>
        <w:tc>
          <w:tcPr/>
          <w:p>
            <w:pPr>
              <w:pStyle w:val="Compact"/>
              <w:jc w:val="right"/>
            </w:pPr>
            <w:r>
              <w:t xml:space="preserve">2</w:t>
            </w:r>
          </w:p>
        </w:tc>
        <w:tc>
          <w:tcPr/>
          <w:p>
            <w:pPr>
              <w:pStyle w:val="Compact"/>
              <w:jc w:val="left"/>
            </w:pPr>
            <w:r>
              <w:t xml:space="preserve">Rule 2: library plus REST server; enterprise platform</w:t>
            </w:r>
            <w:r>
              <w:t xml:space="preserve"> </w:t>
            </w:r>
            <w:r>
              <w:t xml:space="preserve">‘</w:t>
            </w:r>
            <w:r>
              <w:t xml:space="preserve">talk to sales</w:t>
            </w:r>
            <w:r>
              <w:t xml:space="preserve">’</w:t>
            </w:r>
            <w:r>
              <w:t xml:space="preserve"> </w:t>
            </w:r>
            <w:r>
              <w:t xml:space="preserve">per a secondary source only</w:t>
            </w:r>
            <w:r>
              <w:t xml:space="preserve"> </w:t>
            </w:r>
            <w:r>
              <w:rPr>
                <w:rStyle w:val="ClaimLabel"/>
              </w:rPr>
              <w:t xml:space="preserve">R</w:t>
            </w:r>
            <w:r>
              <w:rPr>
                <w:rStyle w:val="FootnoteReference"/>
              </w:rPr>
              <w:footnoteReference w:id="2026"/>
            </w:r>
          </w:p>
        </w:tc>
      </w:tr>
      <w:tr>
        <w:tc>
          <w:tcPr/>
          <w:p>
            <w:pPr>
              <w:pStyle w:val="Compact"/>
              <w:jc w:val="left"/>
            </w:pPr>
            <w:r>
              <w:t xml:space="preserve">Security and compliance</w:t>
            </w:r>
          </w:p>
        </w:tc>
        <w:tc>
          <w:tcPr/>
          <w:p>
            <w:pPr>
              <w:pStyle w:val="Compact"/>
              <w:jc w:val="right"/>
            </w:pPr>
            <w:r>
              <w:t xml:space="preserve">2</w:t>
            </w:r>
          </w:p>
        </w:tc>
        <w:tc>
          <w:tcPr/>
          <w:p>
            <w:pPr>
              <w:pStyle w:val="Compact"/>
              <w:jc w:val="left"/>
            </w:pPr>
            <w:r>
              <w:t xml:space="preserve">Rule 2 hygiene not verified</w:t>
            </w:r>
            <w:r>
              <w:t xml:space="preserve"> </w:t>
            </w:r>
            <w:r>
              <w:rPr>
                <w:rStyle w:val="ClaimLabel"/>
              </w:rPr>
              <w:t xml:space="preserve">NPV</w:t>
            </w:r>
            <w:r>
              <w:t xml:space="preserve">; distribution change mid-2026</w:t>
            </w:r>
            <w:r>
              <w:t xml:space="preserve"> </w:t>
            </w:r>
            <w:r>
              <w:rPr>
                <w:rStyle w:val="ClaimLabel"/>
              </w:rPr>
              <w:t xml:space="preserve">VF</w:t>
            </w:r>
            <w:r>
              <w:rPr>
                <w:rStyle w:val="FootnoteReference"/>
              </w:rPr>
              <w:footnoteReference w:id="2028"/>
            </w:r>
          </w:p>
        </w:tc>
      </w:tr>
      <w:tr>
        <w:tc>
          <w:tcPr/>
          <w:p>
            <w:pPr>
              <w:pStyle w:val="Compact"/>
              <w:jc w:val="left"/>
            </w:pPr>
            <w:r>
              <w:t xml:space="preserve">Deployment flexibility</w:t>
            </w:r>
          </w:p>
        </w:tc>
        <w:tc>
          <w:tcPr/>
          <w:p>
            <w:pPr>
              <w:pStyle w:val="Compact"/>
              <w:jc w:val="right"/>
            </w:pPr>
            <w:r>
              <w:t xml:space="preserve">3</w:t>
            </w:r>
          </w:p>
        </w:tc>
        <w:tc>
          <w:tcPr/>
          <w:p>
            <w:pPr>
              <w:pStyle w:val="Compact"/>
              <w:jc w:val="left"/>
            </w:pPr>
            <w:r>
              <w:t xml:space="preserve">Self-hosted only now that remote inference is retired</w:t>
            </w:r>
            <w:r>
              <w:t xml:space="preserve"> </w:t>
            </w:r>
            <w:r>
              <w:rPr>
                <w:rStyle w:val="ClaimLabel"/>
              </w:rPr>
              <w:t xml:space="preserve">VF</w:t>
            </w:r>
            <w:r>
              <w:rPr>
                <w:rStyle w:val="FootnoteReference"/>
              </w:rPr>
              <w:footnoteReference w:id="2029"/>
            </w:r>
          </w:p>
        </w:tc>
      </w:tr>
      <w:tr>
        <w:tc>
          <w:tcPr/>
          <w:p>
            <w:pPr>
              <w:pStyle w:val="Compact"/>
              <w:jc w:val="left"/>
            </w:pPr>
            <w:r>
              <w:t xml:space="preserve">Ecosystem</w:t>
            </w:r>
          </w:p>
        </w:tc>
        <w:tc>
          <w:tcPr/>
          <w:p>
            <w:pPr>
              <w:pStyle w:val="Compact"/>
              <w:jc w:val="right"/>
            </w:pPr>
            <w:r>
              <w:t xml:space="preserve">3</w:t>
            </w:r>
          </w:p>
        </w:tc>
        <w:tc>
          <w:tcPr/>
          <w:p>
            <w:pPr>
              <w:pStyle w:val="Compact"/>
              <w:jc w:val="left"/>
            </w:pPr>
            <w:r>
              <w:t xml:space="preserve">Hub validators (including Llama Guard) and 250,000+ monthly downloads (vendor claim)</w:t>
            </w:r>
            <w:r>
              <w:t xml:space="preserve"> </w:t>
            </w:r>
            <w:r>
              <w:rPr>
                <w:rStyle w:val="ClaimLabel"/>
              </w:rPr>
              <w:t xml:space="preserve">VF</w:t>
            </w:r>
            <w:r>
              <w:rPr>
                <w:rStyle w:val="FootnoteReference"/>
              </w:rPr>
              <w:footnoteReference w:id="2030"/>
            </w:r>
          </w:p>
        </w:tc>
      </w:tr>
      <w:tr>
        <w:tc>
          <w:tcPr/>
          <w:p>
            <w:pPr>
              <w:pStyle w:val="Compact"/>
              <w:jc w:val="left"/>
            </w:pPr>
            <w:r>
              <w:t xml:space="preserve">Reliability and maturity</w:t>
            </w:r>
          </w:p>
        </w:tc>
        <w:tc>
          <w:tcPr/>
          <w:p>
            <w:pPr>
              <w:pStyle w:val="Compact"/>
              <w:jc w:val="right"/>
            </w:pPr>
            <w:r>
              <w:t xml:space="preserve">2</w:t>
            </w:r>
          </w:p>
        </w:tc>
        <w:tc>
          <w:tcPr/>
          <w:p>
            <w:pPr>
              <w:pStyle w:val="Compact"/>
              <w:jc w:val="left"/>
            </w:pPr>
            <w:r>
              <w:t xml:space="preserve">0.x since 2023; acquired; distribution changed</w:t>
            </w:r>
            <w:r>
              <w:t xml:space="preserve"> </w:t>
            </w:r>
            <w:r>
              <w:rPr>
                <w:rStyle w:val="ClaimLabel"/>
              </w:rPr>
              <w:t xml:space="preserve">VF</w:t>
            </w:r>
            <w:r>
              <w:rPr>
                <w:rStyle w:val="FootnoteReference"/>
              </w:rPr>
              <w:footnoteReference w:id="2031"/>
            </w:r>
          </w:p>
        </w:tc>
      </w:tr>
      <w:tr>
        <w:tc>
          <w:tcPr/>
          <w:p>
            <w:pPr>
              <w:pStyle w:val="Compact"/>
              <w:jc w:val="left"/>
            </w:pPr>
            <w:r>
              <w:t xml:space="preserve">Cost / TCO</w:t>
            </w:r>
          </w:p>
        </w:tc>
        <w:tc>
          <w:tcPr/>
          <w:p>
            <w:pPr>
              <w:pStyle w:val="Compact"/>
              <w:jc w:val="right"/>
            </w:pPr>
            <w:r>
              <w:t xml:space="preserve">4</w:t>
            </w:r>
          </w:p>
        </w:tc>
        <w:tc>
          <w:tcPr/>
          <w:p>
            <w:pPr>
              <w:pStyle w:val="Compact"/>
              <w:jc w:val="left"/>
            </w:pPr>
            <w:r>
              <w:t xml:space="preserve">Free open source</w:t>
            </w:r>
            <w:r>
              <w:t xml:space="preserve"> </w:t>
            </w:r>
            <w:r>
              <w:rPr>
                <w:rStyle w:val="ClaimLabel"/>
              </w:rPr>
              <w:t xml:space="preserve">VF</w:t>
            </w:r>
            <w:r>
              <w:rPr>
                <w:rStyle w:val="FootnoteReference"/>
              </w:rPr>
              <w:footnoteReference w:id="2033"/>
            </w:r>
          </w:p>
        </w:tc>
      </w:tr>
      <w:tr>
        <w:tc>
          <w:tcPr/>
          <w:p>
            <w:pPr>
              <w:pStyle w:val="Compact"/>
              <w:jc w:val="left"/>
            </w:pPr>
            <w:r>
              <w:t xml:space="preserve">Lock-in / portability</w:t>
            </w:r>
          </w:p>
        </w:tc>
        <w:tc>
          <w:tcPr/>
          <w:p>
            <w:pPr>
              <w:pStyle w:val="Compact"/>
              <w:jc w:val="right"/>
            </w:pPr>
            <w:r>
              <w:t xml:space="preserve">3</w:t>
            </w:r>
          </w:p>
        </w:tc>
        <w:tc>
          <w:tcPr/>
          <w:p>
            <w:pPr>
              <w:pStyle w:val="Compact"/>
              <w:jc w:val="left"/>
            </w:pPr>
            <w:r>
              <w:t xml:space="preserve">Apache-2.0, but acquired and not neutrally governed: minus 1 (rule 3)</w:t>
            </w:r>
            <w:r>
              <w:t xml:space="preserve"> </w:t>
            </w:r>
            <w:r>
              <w:rPr>
                <w:rStyle w:val="ClaimLabel"/>
              </w:rPr>
              <w:t xml:space="preserve">VF</w:t>
            </w:r>
            <w:r>
              <w:rPr>
                <w:rStyle w:val="FootnoteReference"/>
              </w:rPr>
              <w:footnoteReference w:id="2034"/>
            </w:r>
          </w:p>
        </w:tc>
      </w:tr>
      <w:tr>
        <w:tc>
          <w:tcPr/>
          <w:p>
            <w:pPr>
              <w:pStyle w:val="Compact"/>
              <w:jc w:val="left"/>
            </w:pPr>
            <w:r>
              <w:rPr>
                <w:bCs/>
                <w:b/>
              </w:rPr>
              <w:t xml:space="preserve">Total (generic / FS)</w:t>
            </w:r>
          </w:p>
        </w:tc>
        <w:tc>
          <w:tcPr/>
          <w:p>
            <w:pPr>
              <w:pStyle w:val="Compact"/>
              <w:jc w:val="right"/>
            </w:pPr>
            <w:r>
              <w:rPr>
                <w:bCs/>
                <w:b/>
              </w:rPr>
              <w:t xml:space="preserve">2.70 / 2.60</w:t>
            </w:r>
          </w:p>
        </w:tc>
        <w:tc>
          <w:tcPr/>
          <w:p>
            <w:pPr>
              <w:pStyle w:val="Compact"/>
            </w:pPr>
          </w:p>
        </w:tc>
      </w:tr>
    </w:tbl>
    <w:p>
      <w:pPr>
        <w:pStyle w:val="BodyText"/>
      </w:pPr>
      <w:r>
        <w:rPr>
          <w:iCs/>
          <w:i/>
        </w:rPr>
        <w:t xml:space="preserve">Evidence rules applied:</w:t>
      </w:r>
      <w:r>
        <w:t xml:space="preserve"> </w:t>
      </w:r>
      <w:r>
        <w:t xml:space="preserve">Rule 2 basis: self-hosted open-source library; NPV cap not applied</w:t>
      </w:r>
    </w:p>
    <w:p>
      <w:pPr>
        <w:pStyle w:val="BodyText"/>
      </w:pPr>
      <w:r>
        <w:rPr>
          <w:bCs/>
          <w:b/>
        </w:rPr>
        <w:t xml:space="preserve">Capabilities.</w:t>
      </w:r>
      <w:r>
        <w:t xml:space="preserve"> </w:t>
      </w:r>
      <w:r>
        <w:t xml:space="preserve">Apache-2.0 Python framework running input and output Guards with composable validators and structured-output validation, plus a Guardrails Server REST API; validators now ship as PyPI packages after the hosted hub and remote inference were retired</w:t>
      </w:r>
      <w:r>
        <w:t xml:space="preserve"> </w:t>
      </w:r>
      <w:r>
        <w:rPr>
          <w:rStyle w:val="ClaimLabel"/>
        </w:rPr>
        <w:t xml:space="preserve">VF</w:t>
      </w:r>
      <w:r>
        <w:rPr>
          <w:rStyle w:val="FootnoteReference"/>
        </w:rPr>
        <w:footnoteReference w:id="2035"/>
      </w:r>
      <w:r>
        <w:t xml:space="preserve">.</w:t>
      </w:r>
    </w:p>
    <w:p>
      <w:pPr>
        <w:pStyle w:val="BodyText"/>
      </w:pPr>
      <w:r>
        <w:rPr>
          <w:bCs/>
          <w:b/>
        </w:rPr>
        <w:t xml:space="preserve">Strengths</w:t>
      </w:r>
    </w:p>
    <w:p>
      <w:pPr>
        <w:numPr>
          <w:ilvl w:val="0"/>
          <w:numId w:val="1421"/>
        </w:numPr>
        <w:pStyle w:val="Compact"/>
      </w:pPr>
      <w:r>
        <w:t xml:space="preserve">Simple validator model for structured-output and format checks</w:t>
      </w:r>
      <w:r>
        <w:t xml:space="preserve"> </w:t>
      </w:r>
      <w:r>
        <w:rPr>
          <w:rStyle w:val="ClaimLabel"/>
        </w:rPr>
        <w:t xml:space="preserve">VF</w:t>
      </w:r>
      <w:r>
        <w:rPr>
          <w:rStyle w:val="FootnoteReference"/>
        </w:rPr>
        <w:footnoteReference w:id="2036"/>
      </w:r>
      <w:r>
        <w:t xml:space="preserve"> </w:t>
      </w:r>
      <w:r>
        <w:rPr>
          <w:rStyle w:val="ClaimLabel"/>
        </w:rPr>
        <w:t xml:space="preserve">AJ</w:t>
      </w:r>
    </w:p>
    <w:p>
      <w:pPr>
        <w:numPr>
          <w:ilvl w:val="0"/>
          <w:numId w:val="1421"/>
        </w:numPr>
        <w:pStyle w:val="Compact"/>
      </w:pPr>
      <w:r>
        <w:t xml:space="preserve">Apache-2.0</w:t>
      </w:r>
      <w:r>
        <w:t xml:space="preserve"> </w:t>
      </w:r>
      <w:r>
        <w:rPr>
          <w:rStyle w:val="ClaimLabel"/>
        </w:rPr>
        <w:t xml:space="preserve">VF</w:t>
      </w:r>
      <w:r>
        <w:rPr>
          <w:rStyle w:val="FootnoteReference"/>
        </w:rPr>
        <w:footnoteReference w:id="2037"/>
      </w:r>
    </w:p>
    <w:p>
      <w:pPr>
        <w:pStyle w:val="FirstParagraph"/>
      </w:pPr>
      <w:r>
        <w:rPr>
          <w:bCs/>
          <w:b/>
        </w:rPr>
        <w:t xml:space="preserve">Limitations and risks</w:t>
      </w:r>
    </w:p>
    <w:p>
      <w:pPr>
        <w:numPr>
          <w:ilvl w:val="0"/>
          <w:numId w:val="1422"/>
        </w:numPr>
        <w:pStyle w:val="Compact"/>
      </w:pPr>
      <w:r>
        <w:t xml:space="preserve">Acquired by Harvey, a legal AI application company, on 9 September 2026; open-source roadmap not stated</w:t>
      </w:r>
      <w:r>
        <w:t xml:space="preserve"> </w:t>
      </w:r>
      <w:r>
        <w:rPr>
          <w:rStyle w:val="ClaimLabel"/>
        </w:rPr>
        <w:t xml:space="preserve">VF</w:t>
      </w:r>
      <w:r>
        <w:rPr>
          <w:rStyle w:val="FootnoteReference"/>
        </w:rPr>
        <w:footnoteReference w:id="2038"/>
      </w:r>
    </w:p>
    <w:p>
      <w:pPr>
        <w:numPr>
          <w:ilvl w:val="0"/>
          <w:numId w:val="1422"/>
        </w:numPr>
        <w:pStyle w:val="Compact"/>
      </w:pPr>
      <w:r>
        <w:t xml:space="preserve">Hosted hub install and remote inference retired; cutoff given as 25 August (repository) or 6 August 2026 (docs)</w:t>
      </w:r>
      <w:r>
        <w:t xml:space="preserve"> </w:t>
      </w:r>
      <w:r>
        <w:rPr>
          <w:rStyle w:val="ClaimLabel"/>
        </w:rPr>
        <w:t xml:space="preserve">VF</w:t>
      </w:r>
      <w:r>
        <w:rPr>
          <w:rStyle w:val="FootnoteReference"/>
        </w:rPr>
        <w:footnoteReference w:id="2039"/>
      </w:r>
    </w:p>
    <w:p>
      <w:pPr>
        <w:numPr>
          <w:ilvl w:val="0"/>
          <w:numId w:val="1422"/>
        </w:numPr>
        <w:pStyle w:val="Compact"/>
      </w:pPr>
      <w:r>
        <w:t xml:space="preserve">0.x versioning</w:t>
      </w:r>
      <w:r>
        <w:t xml:space="preserve"> </w:t>
      </w:r>
      <w:r>
        <w:rPr>
          <w:rStyle w:val="ClaimLabel"/>
        </w:rPr>
        <w:t xml:space="preserve">VF</w:t>
      </w:r>
      <w:r>
        <w:rPr>
          <w:rStyle w:val="FootnoteReference"/>
        </w:rPr>
        <w:footnoteReference w:id="2042"/>
      </w:r>
    </w:p>
    <w:p>
      <w:pPr>
        <w:pStyle w:val="FirstParagraph"/>
      </w:pPr>
      <w:r>
        <w:rPr>
          <w:bCs/>
          <w:b/>
        </w:rPr>
        <w:t xml:space="preserve">Choose when</w:t>
      </w:r>
    </w:p>
    <w:p>
      <w:pPr>
        <w:numPr>
          <w:ilvl w:val="0"/>
          <w:numId w:val="1423"/>
        </w:numPr>
        <w:pStyle w:val="Compact"/>
      </w:pPr>
      <w:r>
        <w:t xml:space="preserve">You already use it for structured-output validation and can vendor the validators you need</w:t>
      </w:r>
      <w:r>
        <w:t xml:space="preserve"> </w:t>
      </w:r>
      <w:r>
        <w:rPr>
          <w:rStyle w:val="ClaimLabel"/>
        </w:rPr>
        <w:t xml:space="preserve">AJ</w:t>
      </w:r>
    </w:p>
    <w:p>
      <w:pPr>
        <w:pStyle w:val="FirstParagraph"/>
      </w:pPr>
      <w:r>
        <w:rPr>
          <w:bCs/>
          <w:b/>
        </w:rPr>
        <w:t xml:space="preserve">Avoid when</w:t>
      </w:r>
    </w:p>
    <w:p>
      <w:pPr>
        <w:numPr>
          <w:ilvl w:val="0"/>
          <w:numId w:val="1424"/>
        </w:numPr>
        <w:pStyle w:val="Compact"/>
      </w:pPr>
      <w:r>
        <w:t xml:space="preserve">You are choosing a new strategic guardrail dependency</w:t>
      </w:r>
      <w:r>
        <w:t xml:space="preserve"> </w:t>
      </w:r>
      <w:r>
        <w:rPr>
          <w:rStyle w:val="ClaimLabel"/>
        </w:rPr>
        <w:t xml:space="preserve">AJ</w:t>
      </w:r>
    </w:p>
    <w:p>
      <w:pPr>
        <w:pStyle w:val="FirstParagraph"/>
      </w:pPr>
      <w:r>
        <w:rPr>
          <w:bCs/>
          <w:b/>
        </w:rPr>
        <w:t xml:space="preserve">Nearest competitors:</w:t>
      </w:r>
      <w:r>
        <w:t xml:space="preserve"> </w:t>
      </w:r>
      <w:r>
        <w:t xml:space="preserve">C2-nemo-guardrails, C2-meta-llama-protections, L9-opik</w:t>
      </w:r>
    </w:p>
    <w:p>
      <w:pPr>
        <w:pStyle w:val="BodyText"/>
      </w:pPr>
      <w:r>
        <w:rPr>
          <w:bCs/>
          <w:b/>
        </w:rPr>
        <w:t xml:space="preserve">Regulated-FS note.</w:t>
      </w:r>
      <w:r>
        <w:t xml:space="preserve"> </w:t>
      </w:r>
      <w:r>
        <w:t xml:space="preserve">Freeze and vendor the validators in use, plan a migration path, and do not rely on any hosted Guardrails service</w:t>
      </w:r>
      <w:r>
        <w:t xml:space="preserve"> </w:t>
      </w:r>
      <w:r>
        <w:rPr>
          <w:rStyle w:val="ClaimLabel"/>
        </w:rPr>
        <w:t xml:space="preserve">Rec</w:t>
      </w:r>
      <w:r>
        <w:t xml:space="preserve">.</w:t>
      </w:r>
    </w:p>
    <w:p>
      <w:pPr>
        <w:pStyle w:val="BodyText"/>
      </w:pPr>
      <w:r>
        <w:rPr>
          <w:bCs/>
          <w:b/>
        </w:rPr>
        <w:t xml:space="preserve">Facts (as of 2026-10-08)</w:t>
      </w:r>
    </w:p>
    <w:tbl>
      <w:tblPr>
        <w:tblStyle w:val="Table"/>
        <w:tblW w:type="pct" w:w="5000"/>
        <w:tblLook w:firstRow="1" w:lastRow="0" w:firstColumn="0" w:lastColumn="0" w:noHBand="0" w:noVBand="0" w:val="0020"/>
        <w:jc w:val="start"/>
      </w:tblPr>
      <w:tblGrid>
        <w:gridCol w:w="1485"/>
        <w:gridCol w:w="4290"/>
        <w:gridCol w:w="1320"/>
        <w:gridCol w:w="825"/>
      </w:tblGrid>
      <w:tr>
        <w:trPr>
          <w:tblHeader w:val="true"/>
        </w:trPr>
        <w:tc>
          <w:tcPr/>
          <w:p>
            <w:pPr>
              <w:pStyle w:val="Compact"/>
              <w:jc w:val="left"/>
            </w:pPr>
            <w:r>
              <w:t xml:space="preserve">Field</w:t>
            </w:r>
          </w:p>
        </w:tc>
        <w:tc>
          <w:tcPr/>
          <w:p>
            <w:pPr>
              <w:pStyle w:val="Compact"/>
              <w:jc w:val="left"/>
            </w:pPr>
            <w:r>
              <w:t xml:space="preserve">Value</w:t>
            </w:r>
          </w:p>
        </w:tc>
        <w:tc>
          <w:tcPr/>
          <w:p>
            <w:pPr>
              <w:pStyle w:val="Compact"/>
              <w:jc w:val="left"/>
            </w:pPr>
            <w:r>
              <w:t xml:space="preserve">Label</w:t>
            </w:r>
          </w:p>
        </w:tc>
        <w:tc>
          <w:tcPr/>
          <w:p>
            <w:pPr>
              <w:pStyle w:val="Compact"/>
              <w:jc w:val="left"/>
            </w:pPr>
            <w:r>
              <w:t xml:space="preserve">Sources</w:t>
            </w:r>
          </w:p>
        </w:tc>
      </w:tr>
      <w:tr>
        <w:tc>
          <w:tcPr/>
          <w:p>
            <w:pPr>
              <w:pStyle w:val="Compact"/>
              <w:jc w:val="left"/>
            </w:pPr>
            <w:r>
              <w:t xml:space="preserve">Company</w:t>
            </w:r>
          </w:p>
        </w:tc>
        <w:tc>
          <w:tcPr/>
          <w:p>
            <w:pPr>
              <w:pStyle w:val="Compact"/>
              <w:jc w:val="left"/>
            </w:pPr>
            <w:r>
              <w:t xml:space="preserve">Harvey (acquired Guardrails AI, announced 9 September 2026)</w:t>
            </w:r>
          </w:p>
        </w:tc>
        <w:tc>
          <w:tcPr/>
          <w:p>
            <w:pPr>
              <w:pStyle w:val="Compact"/>
              <w:jc w:val="left"/>
            </w:pPr>
            <w:r>
              <w:t xml:space="preserve">Verified fact</w:t>
            </w:r>
          </w:p>
        </w:tc>
        <w:tc>
          <w:tcPr/>
          <w:p>
            <w:pPr>
              <w:pStyle w:val="Compact"/>
              <w:jc w:val="left"/>
            </w:pPr>
            <w:r>
              <w:t xml:space="preserve">A6-S028</w:t>
            </w:r>
          </w:p>
        </w:tc>
      </w:tr>
      <w:tr>
        <w:tc>
          <w:tcPr/>
          <w:p>
            <w:pPr>
              <w:pStyle w:val="Compact"/>
              <w:jc w:val="left"/>
            </w:pPr>
            <w:r>
              <w:t xml:space="preserve">Category</w:t>
            </w:r>
          </w:p>
        </w:tc>
        <w:tc>
          <w:tcPr/>
          <w:p>
            <w:pPr>
              <w:pStyle w:val="Compact"/>
              <w:jc w:val="left"/>
            </w:pPr>
            <w:r>
              <w:t xml:space="preserve">Open-source input/output validation framework for LLM applications</w:t>
            </w:r>
          </w:p>
        </w:tc>
        <w:tc>
          <w:tcPr/>
          <w:p>
            <w:pPr>
              <w:pStyle w:val="Compact"/>
              <w:jc w:val="left"/>
            </w:pPr>
            <w:r>
              <w:t xml:space="preserve">Verified fact</w:t>
            </w:r>
          </w:p>
        </w:tc>
        <w:tc>
          <w:tcPr/>
          <w:p>
            <w:pPr>
              <w:pStyle w:val="Compact"/>
              <w:jc w:val="left"/>
            </w:pPr>
            <w:r>
              <w:t xml:space="preserve">A6-S037</w:t>
            </w:r>
          </w:p>
        </w:tc>
      </w:tr>
      <w:tr>
        <w:tc>
          <w:tcPr/>
          <w:p>
            <w:pPr>
              <w:pStyle w:val="Compact"/>
              <w:jc w:val="left"/>
            </w:pPr>
            <w:r>
              <w:t xml:space="preserve">Version / lineup</w:t>
            </w:r>
          </w:p>
        </w:tc>
        <w:tc>
          <w:tcPr/>
          <w:p>
            <w:pPr>
              <w:pStyle w:val="Compact"/>
              <w:jc w:val="left"/>
            </w:pPr>
            <w:r>
              <w:t xml:space="preserve">guardrails-ai 0.11.0 (14 August 2026)</w:t>
            </w:r>
          </w:p>
        </w:tc>
        <w:tc>
          <w:tcPr/>
          <w:p>
            <w:pPr>
              <w:pStyle w:val="Compact"/>
              <w:jc w:val="left"/>
            </w:pPr>
            <w:r>
              <w:t xml:space="preserve">Verified fact</w:t>
            </w:r>
          </w:p>
        </w:tc>
        <w:tc>
          <w:tcPr/>
          <w:p>
            <w:pPr>
              <w:pStyle w:val="Compact"/>
              <w:jc w:val="left"/>
            </w:pPr>
            <w:r>
              <w:t xml:space="preserve">A6-S004, V2-S028</w:t>
            </w:r>
          </w:p>
        </w:tc>
      </w:tr>
      <w:tr>
        <w:tc>
          <w:tcPr/>
          <w:p>
            <w:pPr>
              <w:pStyle w:val="Compact"/>
              <w:jc w:val="left"/>
            </w:pPr>
            <w:r>
              <w:t xml:space="preserve">Licence</w:t>
            </w:r>
          </w:p>
        </w:tc>
        <w:tc>
          <w:tcPr/>
          <w:p>
            <w:pPr>
              <w:pStyle w:val="Compact"/>
              <w:jc w:val="left"/>
            </w:pPr>
            <w:r>
              <w:t xml:space="preserve">Open source (Apache-2.0)</w:t>
            </w:r>
          </w:p>
        </w:tc>
        <w:tc>
          <w:tcPr/>
          <w:p>
            <w:pPr>
              <w:pStyle w:val="Compact"/>
              <w:jc w:val="left"/>
            </w:pPr>
            <w:r>
              <w:t xml:space="preserve">Verified fact</w:t>
            </w:r>
          </w:p>
        </w:tc>
        <w:tc>
          <w:tcPr/>
          <w:p>
            <w:pPr>
              <w:pStyle w:val="Compact"/>
              <w:jc w:val="left"/>
            </w:pPr>
            <w:r>
              <w:t xml:space="preserve">A6-S004, A6-S037</w:t>
            </w:r>
          </w:p>
        </w:tc>
      </w:tr>
      <w:tr>
        <w:tc>
          <w:tcPr/>
          <w:p>
            <w:pPr>
              <w:pStyle w:val="Compact"/>
              <w:jc w:val="left"/>
            </w:pPr>
            <w:r>
              <w:t xml:space="preserve">Status events</w:t>
            </w:r>
          </w:p>
        </w:tc>
        <w:tc>
          <w:tcPr/>
          <w:p>
            <w:pPr>
              <w:pStyle w:val="Compact"/>
              <w:jc w:val="left"/>
            </w:pPr>
            <w:r>
              <w:t xml:space="preserve">6 July 2026: announced move of validators to PyPI and discontinuation of hosted remote inference (hard cutoff 25 August 2026 per the repository HUB_UPDATE.md; the docs-site 0.11 migration guide gives 6 August 2026); 9 September 2026: acquired by Harvey; co-founders Shreya Rajpal and Zayd Simjee joined Harvey; terms undisclosed</w:t>
            </w:r>
          </w:p>
        </w:tc>
        <w:tc>
          <w:tcPr/>
          <w:p>
            <w:pPr>
              <w:pStyle w:val="Compact"/>
              <w:jc w:val="left"/>
            </w:pPr>
            <w:r>
              <w:t xml:space="preserve">Verified fact</w:t>
            </w:r>
          </w:p>
        </w:tc>
        <w:tc>
          <w:tcPr/>
          <w:p>
            <w:pPr>
              <w:pStyle w:val="Compact"/>
              <w:jc w:val="left"/>
            </w:pPr>
            <w:r>
              <w:t xml:space="preserve">A6-S037, A6-S028, V2-S026, V2-S071, V2-S072</w:t>
            </w:r>
          </w:p>
        </w:tc>
      </w:tr>
      <w:tr>
        <w:tc>
          <w:tcPr/>
          <w:p>
            <w:pPr>
              <w:pStyle w:val="Compact"/>
              <w:jc w:val="left"/>
            </w:pPr>
            <w:r>
              <w:t xml:space="preserve">Strategic direction</w:t>
            </w:r>
          </w:p>
        </w:tc>
        <w:tc>
          <w:tcPr/>
          <w:p>
            <w:pPr>
              <w:pStyle w:val="Compact"/>
              <w:jc w:val="left"/>
            </w:pPr>
            <w:r>
              <w:t xml:space="preserve">Validators moving to standard PyPI packages; hosted remote inferencing discontinued (cutoff 25 August 2026); team joined Harvey’s product and engineering organisation to work on agent reliability</w:t>
            </w:r>
          </w:p>
        </w:tc>
        <w:tc>
          <w:tcPr/>
          <w:p>
            <w:pPr>
              <w:pStyle w:val="Compact"/>
              <w:jc w:val="left"/>
            </w:pPr>
            <w:r>
              <w:t xml:space="preserve">Verified fact</w:t>
            </w:r>
          </w:p>
        </w:tc>
        <w:tc>
          <w:tcPr/>
          <w:p>
            <w:pPr>
              <w:pStyle w:val="Compact"/>
              <w:jc w:val="left"/>
            </w:pPr>
            <w:r>
              <w:t xml:space="preserve">A6-S037, A6-S028</w:t>
            </w:r>
          </w:p>
        </w:tc>
      </w:tr>
      <w:tr>
        <w:tc>
          <w:tcPr/>
          <w:p>
            <w:pPr>
              <w:pStyle w:val="Compact"/>
              <w:jc w:val="left"/>
            </w:pPr>
            <w:r>
              <w:t xml:space="preserve">What it does</w:t>
            </w:r>
          </w:p>
        </w:tc>
        <w:tc>
          <w:tcPr/>
          <w:p>
            <w:pPr>
              <w:pStyle w:val="Compact"/>
              <w:jc w:val="left"/>
            </w:pPr>
            <w:r>
              <w:t xml:space="preserve">Runs input and output Guards in the application that detect, quantify and mitigate specific risks using composable validators (from Guardrails Hub), and supports structured output validation; also offers a Guardrails Server REST API.</w:t>
            </w:r>
          </w:p>
        </w:tc>
        <w:tc>
          <w:tcPr/>
          <w:p>
            <w:pPr>
              <w:pStyle w:val="Compact"/>
              <w:jc w:val="left"/>
            </w:pPr>
            <w:r>
              <w:t xml:space="preserve">Verified fact</w:t>
            </w:r>
          </w:p>
        </w:tc>
        <w:tc>
          <w:tcPr/>
          <w:p>
            <w:pPr>
              <w:pStyle w:val="Compact"/>
              <w:jc w:val="left"/>
            </w:pPr>
            <w:r>
              <w:t xml:space="preserve">A6-S037, A6-S029</w:t>
            </w:r>
          </w:p>
        </w:tc>
      </w:tr>
      <w:tr>
        <w:tc>
          <w:tcPr/>
          <w:p>
            <w:pPr>
              <w:pStyle w:val="Compact"/>
              <w:jc w:val="left"/>
            </w:pPr>
            <w:r>
              <w:t xml:space="preserve">Stack position</w:t>
            </w:r>
          </w:p>
        </w:tc>
        <w:tc>
          <w:tcPr/>
          <w:p>
            <w:pPr>
              <w:pStyle w:val="Compact"/>
              <w:jc w:val="left"/>
            </w:pPr>
            <w:r>
              <w:t xml:space="preserve">Application-level guardrail library around model calls</w:t>
            </w:r>
          </w:p>
        </w:tc>
        <w:tc>
          <w:tcPr/>
          <w:p>
            <w:pPr>
              <w:pStyle w:val="Compact"/>
              <w:jc w:val="left"/>
            </w:pPr>
            <w:r>
              <w:t xml:space="preserve">Verified fact</w:t>
            </w:r>
          </w:p>
        </w:tc>
        <w:tc>
          <w:tcPr/>
          <w:p>
            <w:pPr>
              <w:pStyle w:val="Compact"/>
              <w:jc w:val="left"/>
            </w:pPr>
            <w:r>
              <w:t xml:space="preserve">A6-S037</w:t>
            </w:r>
          </w:p>
        </w:tc>
      </w:tr>
      <w:tr>
        <w:tc>
          <w:tcPr/>
          <w:p>
            <w:pPr>
              <w:pStyle w:val="Compact"/>
              <w:jc w:val="left"/>
            </w:pPr>
            <w:r>
              <w:t xml:space="preserve">Integration</w:t>
            </w:r>
          </w:p>
        </w:tc>
        <w:tc>
          <w:tcPr/>
          <w:p>
            <w:pPr>
              <w:pStyle w:val="Compact"/>
              <w:jc w:val="left"/>
            </w:pPr>
            <w:r>
              <w:t xml:space="preserve">Python SDK; validators installed with pip as guardrails-ai-</w:t>
            </w:r>
            <w:r>
              <w:t xml:space="preserve">; Guardrails Server REST API</w:t>
            </w:r>
          </w:p>
        </w:tc>
        <w:tc>
          <w:tcPr/>
          <w:p>
            <w:pPr>
              <w:pStyle w:val="Compact"/>
              <w:jc w:val="left"/>
            </w:pPr>
            <w:r>
              <w:t xml:space="preserve">Verified fact</w:t>
            </w:r>
          </w:p>
        </w:tc>
        <w:tc>
          <w:tcPr/>
          <w:p>
            <w:pPr>
              <w:pStyle w:val="Compact"/>
              <w:jc w:val="left"/>
            </w:pPr>
            <w:r>
              <w:t xml:space="preserve">A6-S029, A6-S037</w:t>
            </w:r>
          </w:p>
        </w:tc>
      </w:tr>
      <w:tr>
        <w:tc>
          <w:tcPr/>
          <w:p>
            <w:pPr>
              <w:pStyle w:val="Compact"/>
              <w:jc w:val="left"/>
            </w:pPr>
            <w:r>
              <w:t xml:space="preserve">Dependencies</w:t>
            </w:r>
          </w:p>
        </w:tc>
        <w:tc>
          <w:tcPr/>
          <w:p>
            <w:pPr>
              <w:pStyle w:val="Compact"/>
              <w:jc w:val="left"/>
            </w:pPr>
            <w:r>
              <w:t xml:space="preserve">Python &gt;=3.10,&lt;3.14; individual validators may need their own models</w:t>
            </w:r>
          </w:p>
        </w:tc>
        <w:tc>
          <w:tcPr/>
          <w:p>
            <w:pPr>
              <w:pStyle w:val="Compact"/>
              <w:jc w:val="left"/>
            </w:pPr>
            <w:r>
              <w:t xml:space="preserve">Verified fact</w:t>
            </w:r>
          </w:p>
        </w:tc>
        <w:tc>
          <w:tcPr/>
          <w:p>
            <w:pPr>
              <w:pStyle w:val="Compact"/>
              <w:jc w:val="left"/>
            </w:pPr>
            <w:r>
              <w:t xml:space="preserve">A6-S004, A6-S029</w:t>
            </w:r>
          </w:p>
        </w:tc>
      </w:tr>
      <w:tr>
        <w:tc>
          <w:tcPr/>
          <w:p>
            <w:pPr>
              <w:pStyle w:val="Compact"/>
              <w:jc w:val="left"/>
            </w:pPr>
            <w:r>
              <w:t xml:space="preserve">Certifications</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GDPR / residency</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Security features</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Access controls</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Enterprise support</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Pricing</w:t>
            </w:r>
          </w:p>
        </w:tc>
        <w:tc>
          <w:tcPr/>
          <w:p>
            <w:pPr>
              <w:pStyle w:val="Compact"/>
              <w:jc w:val="left"/>
            </w:pPr>
            <w:r>
              <w:t xml:space="preserve">Open-source framework free; enterprise platform and Snowglobe sold via sales (last known)</w:t>
            </w:r>
          </w:p>
        </w:tc>
        <w:tc>
          <w:tcPr/>
          <w:p>
            <w:pPr>
              <w:pStyle w:val="Compact"/>
              <w:jc w:val="left"/>
            </w:pPr>
            <w:r>
              <w:t xml:space="preserve">Reported</w:t>
            </w:r>
          </w:p>
        </w:tc>
        <w:tc>
          <w:tcPr/>
          <w:p>
            <w:pPr>
              <w:pStyle w:val="Compact"/>
              <w:jc w:val="left"/>
            </w:pPr>
            <w:r>
              <w:t xml:space="preserve">A6-S028</w:t>
            </w:r>
          </w:p>
        </w:tc>
      </w:tr>
      <w:tr>
        <w:tc>
          <w:tcPr/>
          <w:p>
            <w:pPr>
              <w:pStyle w:val="Compact"/>
              <w:jc w:val="left"/>
            </w:pPr>
            <w:r>
              <w:t xml:space="preserve">Infrastructure cost</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Ecosystem</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Adoption signals</w:t>
            </w:r>
          </w:p>
        </w:tc>
        <w:tc>
          <w:tcPr/>
          <w:p>
            <w:pPr>
              <w:pStyle w:val="Compact"/>
              <w:jc w:val="left"/>
            </w:pPr>
            <w:r>
              <w:t xml:space="preserve">Harvey states the framework is downloaded more than 250,000 times a month (vendor claim)</w:t>
            </w:r>
          </w:p>
        </w:tc>
        <w:tc>
          <w:tcPr/>
          <w:p>
            <w:pPr>
              <w:pStyle w:val="Compact"/>
              <w:jc w:val="left"/>
            </w:pPr>
            <w:r>
              <w:t xml:space="preserve">Verified fact</w:t>
            </w:r>
          </w:p>
        </w:tc>
        <w:tc>
          <w:tcPr/>
          <w:p>
            <w:pPr>
              <w:pStyle w:val="Compact"/>
              <w:jc w:val="left"/>
            </w:pPr>
            <w:r>
              <w:t xml:space="preserve">A6-S028</w:t>
            </w:r>
          </w:p>
        </w:tc>
      </w:tr>
      <w:tr>
        <w:tc>
          <w:tcPr/>
          <w:p>
            <w:pPr>
              <w:pStyle w:val="Compact"/>
              <w:jc w:val="left"/>
            </w:pPr>
            <w:r>
              <w:t xml:space="preserve">Maturity</w:t>
            </w:r>
          </w:p>
        </w:tc>
        <w:tc>
          <w:tcPr/>
          <w:p>
            <w:pPr>
              <w:pStyle w:val="Compact"/>
              <w:jc w:val="left"/>
            </w:pPr>
            <w:r>
              <w:t xml:space="preserve">First PyPI release 13 March 2023; 0.x versioning</w:t>
            </w:r>
          </w:p>
        </w:tc>
        <w:tc>
          <w:tcPr/>
          <w:p>
            <w:pPr>
              <w:pStyle w:val="Compact"/>
              <w:jc w:val="left"/>
            </w:pPr>
            <w:r>
              <w:t xml:space="preserve">Verified fact</w:t>
            </w:r>
          </w:p>
        </w:tc>
        <w:tc>
          <w:tcPr/>
          <w:p>
            <w:pPr>
              <w:pStyle w:val="Compact"/>
              <w:jc w:val="left"/>
            </w:pPr>
            <w:r>
              <w:t xml:space="preserve">A6-S004</w:t>
            </w:r>
          </w:p>
        </w:tc>
      </w:tr>
      <w:tr>
        <w:tc>
          <w:tcPr/>
          <w:p>
            <w:pPr>
              <w:pStyle w:val="Compact"/>
              <w:jc w:val="left"/>
            </w:pPr>
            <w:r>
              <w:t xml:space="preserve">Deployment</w:t>
            </w:r>
          </w:p>
        </w:tc>
        <w:tc>
          <w:tcPr/>
          <w:p>
            <w:pPr>
              <w:pStyle w:val="Compact"/>
              <w:jc w:val="left"/>
            </w:pPr>
            <w:r>
              <w:t xml:space="preserve">saas: No longer for free remote inference (retired 25 August 2026); managed_cloud: Not publicly verified; vpc_byoc: Not publicly verified; private_cloud: Not publicly verified; self_hosted: Yes; on_prem: Not publicly verified</w:t>
            </w:r>
          </w:p>
        </w:tc>
        <w:tc>
          <w:tcPr/>
          <w:p>
            <w:pPr>
              <w:pStyle w:val="Compact"/>
            </w:pPr>
          </w:p>
        </w:tc>
        <w:tc>
          <w:tcPr/>
          <w:p>
            <w:pPr>
              <w:pStyle w:val="Compact"/>
            </w:pPr>
          </w:p>
        </w:tc>
      </w:tr>
    </w:tbl>
    <w:bookmarkEnd w:id="2043"/>
    <w:bookmarkEnd w:id="2044"/>
    <w:bookmarkStart w:id="2101" w:name="c3-dlp-and-pii-protection"/>
    <w:p>
      <w:pPr>
        <w:pStyle w:val="Heading1"/>
      </w:pPr>
      <w:r>
        <w:t xml:space="preserve">C3: DLP and PII protection</w:t>
      </w:r>
    </w:p>
    <w:bookmarkStart w:id="2057" w:name="presidio-data-privacy-stack-c3-presidio"/>
    <w:p>
      <w:pPr>
        <w:pStyle w:val="Heading2"/>
      </w:pPr>
      <w:r>
        <w:t xml:space="preserve">Presidio (Data Privacy Stack) (</w:t>
      </w:r>
      <w:r>
        <w:rPr>
          <w:rStyle w:val="VerbatimChar"/>
        </w:rPr>
        <w:t xml:space="preserve">C3-presidio</w:t>
      </w:r>
      <w:r>
        <w:t xml:space="preserve">)</w:t>
      </w:r>
    </w:p>
    <w:p>
      <w:pPr>
        <w:pStyle w:val="FirstParagraph"/>
      </w:pPr>
      <w:r>
        <w:rPr>
          <w:bCs/>
          <w:b/>
        </w:rPr>
        <w:t xml:space="preserve">Tier:</w:t>
      </w:r>
      <w:r>
        <w:t xml:space="preserve"> </w:t>
      </w:r>
      <w:r>
        <w:t xml:space="preserve">Strategic ·</w:t>
      </w:r>
      <w:r>
        <w:t xml:space="preserve"> </w:t>
      </w:r>
      <w:r>
        <w:rPr>
          <w:bCs/>
          <w:b/>
        </w:rPr>
        <w:t xml:space="preserve">Flags:</w:t>
      </w:r>
      <w:r>
        <w:t xml:space="preserve"> </w:t>
      </w:r>
      <w:r>
        <w:t xml:space="preserve">Renamed ·</w:t>
      </w:r>
      <w:r>
        <w:t xml:space="preserve"> </w:t>
      </w:r>
      <w:r>
        <w:rPr>
          <w:bCs/>
          <w:b/>
        </w:rPr>
        <w:t xml:space="preserve">Original graphic label:</w:t>
      </w:r>
      <w:r>
        <w:t xml:space="preserve"> </w:t>
      </w:r>
      <w:r>
        <w:t xml:space="preserve">not in graphic</w:t>
      </w:r>
    </w:p>
    <w:p>
      <w:pPr>
        <w:pStyle w:val="BodyText"/>
      </w:pPr>
      <w:r>
        <w:rPr>
          <w:iCs/>
          <w:i/>
        </w:rPr>
        <w:t xml:space="preserve">Rationale:</w:t>
      </w:r>
      <w:r>
        <w:t xml:space="preserve"> </w:t>
      </w:r>
      <w:r>
        <w:t xml:space="preserve">Strategic, conditional: as the in-estate engine behind a firm-owned privacy service with recall testing and a sampling second detector; enterprise readiness is what the firm builds around it</w:t>
      </w:r>
      <w:r>
        <w:t xml:space="preserve"> </w:t>
      </w:r>
      <w:r>
        <w:rPr>
          <w:rStyle w:val="ClaimLabel"/>
        </w:rPr>
        <w:t xml:space="preserve">AJ</w:t>
      </w:r>
      <w:r>
        <w:t xml:space="preserve">.</w:t>
      </w:r>
    </w:p>
    <w:tbl>
      <w:tblPr>
        <w:tblStyle w:val="Table"/>
        <w:tblW w:type="pct" w:w="5000"/>
        <w:tblLook w:firstRow="1" w:lastRow="0" w:firstColumn="0" w:lastColumn="0" w:noHBand="0" w:noVBand="0" w:val="0020"/>
        <w:jc w:val="start"/>
      </w:tblPr>
      <w:tblGrid>
        <w:gridCol w:w="1545"/>
        <w:gridCol w:w="579"/>
        <w:gridCol w:w="5795"/>
      </w:tblGrid>
      <w:tr>
        <w:trPr>
          <w:tblHeader w:val="true"/>
        </w:trPr>
        <w:tc>
          <w:tcPr/>
          <w:p>
            <w:pPr>
              <w:pStyle w:val="Compact"/>
              <w:jc w:val="left"/>
            </w:pPr>
            <w:r>
              <w:t xml:space="preserve">Criterion</w:t>
            </w:r>
          </w:p>
        </w:tc>
        <w:tc>
          <w:tcPr/>
          <w:p>
            <w:pPr>
              <w:pStyle w:val="Compact"/>
              <w:jc w:val="right"/>
            </w:pPr>
            <w:r>
              <w:t xml:space="preserve">Score</w:t>
            </w:r>
          </w:p>
        </w:tc>
        <w:tc>
          <w:tcPr/>
          <w:p>
            <w:pPr>
              <w:pStyle w:val="Compact"/>
              <w:jc w:val="left"/>
            </w:pPr>
            <w:r>
              <w:t xml:space="preserve">Rationale</w:t>
            </w:r>
          </w:p>
        </w:tc>
      </w:tr>
      <w:tr>
        <w:tc>
          <w:tcPr/>
          <w:p>
            <w:pPr>
              <w:pStyle w:val="Compact"/>
              <w:jc w:val="left"/>
            </w:pPr>
            <w:r>
              <w:t xml:space="preserve">Technical</w:t>
            </w:r>
          </w:p>
        </w:tc>
        <w:tc>
          <w:tcPr/>
          <w:p>
            <w:pPr>
              <w:pStyle w:val="Compact"/>
              <w:jc w:val="right"/>
            </w:pPr>
            <w:r>
              <w:t xml:space="preserve">3</w:t>
            </w:r>
          </w:p>
        </w:tc>
        <w:tc>
          <w:tcPr/>
          <w:p>
            <w:pPr>
              <w:pStyle w:val="Compact"/>
              <w:jc w:val="left"/>
            </w:pPr>
            <w:r>
              <w:t xml:space="preserve">Covers detection and masking across text, images and structured data; no vault tokenisation, discovery or classification of stores.</w:t>
            </w:r>
          </w:p>
        </w:tc>
      </w:tr>
      <w:tr>
        <w:tc>
          <w:tcPr/>
          <w:p>
            <w:pPr>
              <w:pStyle w:val="Compact"/>
              <w:jc w:val="left"/>
            </w:pPr>
            <w:r>
              <w:t xml:space="preserve">Enterprise readiness</w:t>
            </w:r>
          </w:p>
        </w:tc>
        <w:tc>
          <w:tcPr/>
          <w:p>
            <w:pPr>
              <w:pStyle w:val="Compact"/>
              <w:jc w:val="right"/>
            </w:pPr>
            <w:r>
              <w:t xml:space="preserve">3</w:t>
            </w:r>
          </w:p>
        </w:tc>
        <w:tc>
          <w:tcPr/>
          <w:p>
            <w:pPr>
              <w:pStyle w:val="Compact"/>
              <w:jc w:val="left"/>
            </w:pPr>
            <w:r>
              <w:t xml:space="preserve">Rule 2 library: enables in-estate detection; no commercial support; REST services unauthenticated by default (NPV).</w:t>
            </w:r>
          </w:p>
        </w:tc>
      </w:tr>
      <w:tr>
        <w:tc>
          <w:tcPr/>
          <w:p>
            <w:pPr>
              <w:pStyle w:val="Compact"/>
              <w:jc w:val="left"/>
            </w:pPr>
            <w:r>
              <w:t xml:space="preserve">Security and compliance</w:t>
            </w:r>
          </w:p>
        </w:tc>
        <w:tc>
          <w:tcPr/>
          <w:p>
            <w:pPr>
              <w:pStyle w:val="Compact"/>
              <w:jc w:val="right"/>
            </w:pPr>
            <w:r>
              <w:t xml:space="preserve">3</w:t>
            </w:r>
          </w:p>
        </w:tc>
        <w:tc>
          <w:tcPr/>
          <w:p>
            <w:pPr>
              <w:pStyle w:val="Compact"/>
              <w:jc w:val="left"/>
            </w:pPr>
            <w:r>
              <w:t xml:space="preserve">Rule 2 hygiene: security policy with private reporting verified (B-C3-S001); MIT clear; signed releases NPV; inherits host controls.</w:t>
            </w:r>
          </w:p>
        </w:tc>
      </w:tr>
      <w:tr>
        <w:tc>
          <w:tcPr/>
          <w:p>
            <w:pPr>
              <w:pStyle w:val="Compact"/>
              <w:jc w:val="left"/>
            </w:pPr>
            <w:r>
              <w:t xml:space="preserve">Deployment flexibility</w:t>
            </w:r>
          </w:p>
        </w:tc>
        <w:tc>
          <w:tcPr/>
          <w:p>
            <w:pPr>
              <w:pStyle w:val="Compact"/>
              <w:jc w:val="right"/>
            </w:pPr>
            <w:r>
              <w:t xml:space="preserve">5</w:t>
            </w:r>
          </w:p>
        </w:tc>
        <w:tc>
          <w:tcPr/>
          <w:p>
            <w:pPr>
              <w:pStyle w:val="Compact"/>
              <w:jc w:val="left"/>
            </w:pPr>
            <w:r>
              <w:t xml:space="preserve">Self-hosted library or containers, in-estate and offline-capable with local NER models.</w:t>
            </w:r>
          </w:p>
        </w:tc>
      </w:tr>
      <w:tr>
        <w:tc>
          <w:tcPr/>
          <w:p>
            <w:pPr>
              <w:pStyle w:val="Compact"/>
              <w:jc w:val="left"/>
            </w:pPr>
            <w:r>
              <w:t xml:space="preserve">Ecosystem</w:t>
            </w:r>
          </w:p>
        </w:tc>
        <w:tc>
          <w:tcPr/>
          <w:p>
            <w:pPr>
              <w:pStyle w:val="Compact"/>
              <w:jc w:val="right"/>
            </w:pPr>
            <w:r>
              <w:t xml:space="preserve">3</w:t>
            </w:r>
          </w:p>
        </w:tc>
        <w:tc>
          <w:tcPr/>
          <w:p>
            <w:pPr>
              <w:pStyle w:val="Compact"/>
              <w:jc w:val="left"/>
            </w:pPr>
            <w:r>
              <w:t xml:space="preserve">Python and REST interfaces; gateway and guardrail integrations not verified in the fact base.</w:t>
            </w:r>
          </w:p>
        </w:tc>
      </w:tr>
      <w:tr>
        <w:tc>
          <w:tcPr/>
          <w:p>
            <w:pPr>
              <w:pStyle w:val="Compact"/>
              <w:jc w:val="left"/>
            </w:pPr>
            <w:r>
              <w:t xml:space="preserve">Reliability and maturity</w:t>
            </w:r>
          </w:p>
        </w:tc>
        <w:tc>
          <w:tcPr/>
          <w:p>
            <w:pPr>
              <w:pStyle w:val="Compact"/>
              <w:jc w:val="right"/>
            </w:pPr>
            <w:r>
              <w:t xml:space="preserve">3</w:t>
            </w:r>
          </w:p>
        </w:tc>
        <w:tc>
          <w:tcPr/>
          <w:p>
            <w:pPr>
              <w:pStyle w:val="Compact"/>
              <w:jc w:val="left"/>
            </w:pPr>
            <w:r>
              <w:t xml:space="preserve">Releases since March 2020 with several a year; governance moved to volunteers in 2026.</w:t>
            </w:r>
          </w:p>
        </w:tc>
      </w:tr>
      <w:tr>
        <w:tc>
          <w:tcPr/>
          <w:p>
            <w:pPr>
              <w:pStyle w:val="Compact"/>
              <w:jc w:val="left"/>
            </w:pPr>
            <w:r>
              <w:t xml:space="preserve">Cost / TCO</w:t>
            </w:r>
          </w:p>
        </w:tc>
        <w:tc>
          <w:tcPr/>
          <w:p>
            <w:pPr>
              <w:pStyle w:val="Compact"/>
              <w:jc w:val="right"/>
            </w:pPr>
            <w:r>
              <w:t xml:space="preserve">4</w:t>
            </w:r>
          </w:p>
        </w:tc>
        <w:tc>
          <w:tcPr/>
          <w:p>
            <w:pPr>
              <w:pStyle w:val="Compact"/>
              <w:jc w:val="left"/>
            </w:pPr>
            <w:r>
              <w:t xml:space="preserve">Free; operating cost is recogniser tuning and testing.</w:t>
            </w:r>
          </w:p>
        </w:tc>
      </w:tr>
      <w:tr>
        <w:tc>
          <w:tcPr/>
          <w:p>
            <w:pPr>
              <w:pStyle w:val="Compact"/>
              <w:jc w:val="left"/>
            </w:pPr>
            <w:r>
              <w:t xml:space="preserve">Lock-in / portability</w:t>
            </w:r>
          </w:p>
        </w:tc>
        <w:tc>
          <w:tcPr/>
          <w:p>
            <w:pPr>
              <w:pStyle w:val="Compact"/>
              <w:jc w:val="right"/>
            </w:pPr>
            <w:r>
              <w:t xml:space="preserve">5</w:t>
            </w:r>
          </w:p>
        </w:tc>
        <w:tc>
          <w:tcPr/>
          <w:p>
            <w:pPr>
              <w:pStyle w:val="Compact"/>
              <w:jc w:val="left"/>
            </w:pPr>
            <w:r>
              <w:t xml:space="preserve">MIT with neutral community governance; rule 3 reduction not applied (permissive OSS, neutral governance).</w:t>
            </w:r>
          </w:p>
        </w:tc>
      </w:tr>
      <w:tr>
        <w:tc>
          <w:tcPr/>
          <w:p>
            <w:pPr>
              <w:pStyle w:val="Compact"/>
              <w:jc w:val="left"/>
            </w:pPr>
            <w:r>
              <w:rPr>
                <w:bCs/>
                <w:b/>
              </w:rPr>
              <w:t xml:space="preserve">Total (generic / FS)</w:t>
            </w:r>
          </w:p>
        </w:tc>
        <w:tc>
          <w:tcPr/>
          <w:p>
            <w:pPr>
              <w:pStyle w:val="Compact"/>
              <w:jc w:val="right"/>
            </w:pPr>
            <w:r>
              <w:rPr>
                <w:bCs/>
                <w:b/>
              </w:rPr>
              <w:t xml:space="preserve">3.50 / 3.65</w:t>
            </w:r>
          </w:p>
        </w:tc>
        <w:tc>
          <w:tcPr/>
          <w:p>
            <w:pPr>
              <w:pStyle w:val="Compact"/>
            </w:pPr>
          </w:p>
        </w:tc>
      </w:tr>
    </w:tbl>
    <w:p>
      <w:pPr>
        <w:pStyle w:val="BodyText"/>
      </w:pPr>
      <w:r>
        <w:rPr>
          <w:iCs/>
          <w:i/>
        </w:rPr>
        <w:t xml:space="preserve">Evidence rules applied:</w:t>
      </w:r>
      <w:r>
        <w:t xml:space="preserve"> </w:t>
      </w:r>
      <w:r>
        <w:t xml:space="preserve">Rule 2 (self-hosted library): enterprise_readiness and security_compliance capped at 4; NPV cap not applied; inherits host controls</w:t>
      </w:r>
    </w:p>
    <w:p>
      <w:pPr>
        <w:pStyle w:val="BodyText"/>
      </w:pPr>
      <w:r>
        <w:rPr>
          <w:bCs/>
          <w:b/>
        </w:rPr>
        <w:t xml:space="preserve">Capabilities.</w:t>
      </w:r>
      <w:r>
        <w:t xml:space="preserve"> </w:t>
      </w:r>
      <w:r>
        <w:t xml:space="preserve">Open-source PII detection and de-identification SDK (analyzer, anonymizer, image redactor incl. DICOM, structured data) using NER, regex, rules and checksums with context; LLM-based recognisers added; Python packages and Docker REST services</w:t>
      </w:r>
      <w:r>
        <w:t xml:space="preserve"> </w:t>
      </w:r>
      <w:r>
        <w:rPr>
          <w:rStyle w:val="ClaimLabel"/>
        </w:rPr>
        <w:t xml:space="preserve">VF</w:t>
      </w:r>
      <w:r>
        <w:rPr>
          <w:rStyle w:val="FootnoteReference"/>
        </w:rPr>
        <w:footnoteReference w:id="2045"/>
      </w:r>
      <w:r>
        <w:t xml:space="preserve">. 2.2.364 (22 July 2026), MIT</w:t>
      </w:r>
      <w:r>
        <w:t xml:space="preserve"> </w:t>
      </w:r>
      <w:r>
        <w:rPr>
          <w:rStyle w:val="ClaimLabel"/>
        </w:rPr>
        <w:t xml:space="preserve">VF</w:t>
      </w:r>
      <w:r>
        <w:rPr>
          <w:rStyle w:val="FootnoteReference"/>
        </w:rPr>
        <w:footnoteReference w:id="2049"/>
      </w:r>
      <w:r>
        <w:t xml:space="preserve">.</w:t>
      </w:r>
    </w:p>
    <w:p>
      <w:pPr>
        <w:pStyle w:val="BodyText"/>
      </w:pPr>
      <w:r>
        <w:rPr>
          <w:bCs/>
          <w:b/>
        </w:rPr>
        <w:t xml:space="preserve">Strengths</w:t>
      </w:r>
    </w:p>
    <w:p>
      <w:pPr>
        <w:numPr>
          <w:ilvl w:val="0"/>
          <w:numId w:val="1425"/>
        </w:numPr>
        <w:pStyle w:val="Compact"/>
      </w:pPr>
      <w:r>
        <w:t xml:space="preserve">Runs entirely in-estate, so</w:t>
      </w:r>
      <w:r>
        <w:t xml:space="preserve"> </w:t>
      </w:r>
      <w:r>
        <w:t xml:space="preserve">‘</w:t>
      </w:r>
      <w:r>
        <w:t xml:space="preserve">must not leave</w:t>
      </w:r>
      <w:r>
        <w:t xml:space="preserve">’</w:t>
      </w:r>
      <w:r>
        <w:t xml:space="preserve"> </w:t>
      </w:r>
      <w:r>
        <w:t xml:space="preserve">text is inspected before any external call</w:t>
      </w:r>
      <w:r>
        <w:t xml:space="preserve"> </w:t>
      </w:r>
      <w:r>
        <w:rPr>
          <w:rStyle w:val="ClaimLabel"/>
        </w:rPr>
        <w:t xml:space="preserve">AJ</w:t>
      </w:r>
    </w:p>
    <w:p>
      <w:pPr>
        <w:numPr>
          <w:ilvl w:val="0"/>
          <w:numId w:val="1425"/>
        </w:numPr>
        <w:pStyle w:val="Compact"/>
      </w:pPr>
      <w:r>
        <w:t xml:space="preserve">MIT licence and community governance with a Technical Steering Committee</w:t>
      </w:r>
      <w:r>
        <w:t xml:space="preserve"> </w:t>
      </w:r>
      <w:r>
        <w:rPr>
          <w:rStyle w:val="ClaimLabel"/>
        </w:rPr>
        <w:t xml:space="preserve">VF</w:t>
      </w:r>
      <w:r>
        <w:rPr>
          <w:rStyle w:val="FootnoteReference"/>
        </w:rPr>
        <w:footnoteReference w:id="2051"/>
      </w:r>
    </w:p>
    <w:p>
      <w:pPr>
        <w:numPr>
          <w:ilvl w:val="0"/>
          <w:numId w:val="1425"/>
        </w:numPr>
        <w:pStyle w:val="Compact"/>
      </w:pPr>
      <w:r>
        <w:t xml:space="preserve">Custom recognisers are code the firm can own, version and test</w:t>
      </w:r>
      <w:r>
        <w:t xml:space="preserve"> </w:t>
      </w:r>
      <w:r>
        <w:rPr>
          <w:rStyle w:val="ClaimLabel"/>
        </w:rPr>
        <w:t xml:space="preserve">AJ</w:t>
      </w:r>
    </w:p>
    <w:p>
      <w:pPr>
        <w:numPr>
          <w:ilvl w:val="0"/>
          <w:numId w:val="1425"/>
        </w:numPr>
        <w:pStyle w:val="Compact"/>
      </w:pPr>
      <w:r>
        <w:t xml:space="preserve">Published security policy with private vulnerability reporting and 48-hour acknowledgement</w:t>
      </w:r>
      <w:r>
        <w:t xml:space="preserve"> </w:t>
      </w:r>
      <w:r>
        <w:rPr>
          <w:rStyle w:val="ClaimLabel"/>
        </w:rPr>
        <w:t xml:space="preserve">VF</w:t>
      </w:r>
      <w:r>
        <w:rPr>
          <w:rStyle w:val="FootnoteReference"/>
        </w:rPr>
        <w:footnoteReference w:id="2052"/>
      </w:r>
    </w:p>
    <w:p>
      <w:pPr>
        <w:pStyle w:val="FirstParagraph"/>
      </w:pPr>
      <w:r>
        <w:rPr>
          <w:bCs/>
          <w:b/>
        </w:rPr>
        <w:t xml:space="preserve">Limitations and risks</w:t>
      </w:r>
    </w:p>
    <w:p>
      <w:pPr>
        <w:numPr>
          <w:ilvl w:val="0"/>
          <w:numId w:val="1426"/>
        </w:numPr>
        <w:pStyle w:val="Compact"/>
      </w:pPr>
      <w:r>
        <w:t xml:space="preserve">README warns detection is not guaranteed to find all sensitive data</w:t>
      </w:r>
      <w:r>
        <w:t xml:space="preserve"> </w:t>
      </w:r>
      <w:r>
        <w:rPr>
          <w:rStyle w:val="ClaimLabel"/>
        </w:rPr>
        <w:t xml:space="preserve">VF</w:t>
      </w:r>
      <w:r>
        <w:rPr>
          <w:rStyle w:val="FootnoteReference"/>
        </w:rPr>
        <w:footnoteReference w:id="2054"/>
      </w:r>
    </w:p>
    <w:p>
      <w:pPr>
        <w:numPr>
          <w:ilvl w:val="0"/>
          <w:numId w:val="1426"/>
        </w:numPr>
        <w:pStyle w:val="Compact"/>
      </w:pPr>
      <w:r>
        <w:t xml:space="preserve">Maintained by volunteers; not owned or operated by a commercial entity; no commercial support</w:t>
      </w:r>
      <w:r>
        <w:t xml:space="preserve"> </w:t>
      </w:r>
      <w:r>
        <w:rPr>
          <w:rStyle w:val="ClaimLabel"/>
        </w:rPr>
        <w:t xml:space="preserve">VF</w:t>
      </w:r>
      <w:r>
        <w:rPr>
          <w:rStyle w:val="FootnoteReference"/>
        </w:rPr>
        <w:footnoteReference w:id="2055"/>
      </w:r>
    </w:p>
    <w:p>
      <w:pPr>
        <w:numPr>
          <w:ilvl w:val="0"/>
          <w:numId w:val="1426"/>
        </w:numPr>
        <w:pStyle w:val="Compact"/>
      </w:pPr>
      <w:r>
        <w:t xml:space="preserve">Ownership moved from Microsoft in 2026; images moved from MCR to GHCR</w:t>
      </w:r>
      <w:r>
        <w:t xml:space="preserve"> </w:t>
      </w:r>
      <w:r>
        <w:rPr>
          <w:rStyle w:val="ClaimLabel"/>
        </w:rPr>
        <w:t xml:space="preserve">VF</w:t>
      </w:r>
      <w:r>
        <w:rPr>
          <w:rStyle w:val="FootnoteReference"/>
        </w:rPr>
        <w:footnoteReference w:id="2056"/>
      </w:r>
    </w:p>
    <w:p>
      <w:pPr>
        <w:numPr>
          <w:ilvl w:val="0"/>
          <w:numId w:val="1426"/>
        </w:numPr>
        <w:pStyle w:val="Compact"/>
      </w:pPr>
      <w:r>
        <w:t xml:space="preserve">No vault, discovery or built-in authentication on REST services documented</w:t>
      </w:r>
      <w:r>
        <w:t xml:space="preserve"> </w:t>
      </w:r>
      <w:r>
        <w:rPr>
          <w:rStyle w:val="ClaimLabel"/>
        </w:rPr>
        <w:t xml:space="preserve">NPV</w:t>
      </w:r>
    </w:p>
    <w:p>
      <w:pPr>
        <w:numPr>
          <w:ilvl w:val="0"/>
          <w:numId w:val="1426"/>
        </w:numPr>
        <w:pStyle w:val="Compact"/>
      </w:pPr>
      <w:r>
        <w:t xml:space="preserve">Signed releases not verified</w:t>
      </w:r>
      <w:r>
        <w:t xml:space="preserve"> </w:t>
      </w:r>
      <w:r>
        <w:rPr>
          <w:rStyle w:val="ClaimLabel"/>
        </w:rPr>
        <w:t xml:space="preserve">NPV</w:t>
      </w:r>
    </w:p>
    <w:p>
      <w:pPr>
        <w:pStyle w:val="FirstParagraph"/>
      </w:pPr>
      <w:r>
        <w:rPr>
          <w:bCs/>
          <w:b/>
        </w:rPr>
        <w:t xml:space="preserve">Choose when</w:t>
      </w:r>
    </w:p>
    <w:p>
      <w:pPr>
        <w:numPr>
          <w:ilvl w:val="0"/>
          <w:numId w:val="1427"/>
        </w:numPr>
        <w:pStyle w:val="Compact"/>
      </w:pPr>
      <w:r>
        <w:t xml:space="preserve">You need in-estate detection behind a firm-owned privacy service</w:t>
      </w:r>
      <w:r>
        <w:t xml:space="preserve"> </w:t>
      </w:r>
      <w:r>
        <w:rPr>
          <w:rStyle w:val="ClaimLabel"/>
        </w:rPr>
        <w:t xml:space="preserve">AJ</w:t>
      </w:r>
    </w:p>
    <w:p>
      <w:pPr>
        <w:numPr>
          <w:ilvl w:val="0"/>
          <w:numId w:val="1427"/>
        </w:numPr>
        <w:pStyle w:val="Compact"/>
      </w:pPr>
      <w:r>
        <w:t xml:space="preserve">You need firm-specific recognisers (client codes, account numbers)</w:t>
      </w:r>
      <w:r>
        <w:t xml:space="preserve"> </w:t>
      </w:r>
      <w:r>
        <w:rPr>
          <w:rStyle w:val="ClaimLabel"/>
        </w:rPr>
        <w:t xml:space="preserve">AJ</w:t>
      </w:r>
    </w:p>
    <w:p>
      <w:pPr>
        <w:pStyle w:val="FirstParagraph"/>
      </w:pPr>
      <w:r>
        <w:rPr>
          <w:bCs/>
          <w:b/>
        </w:rPr>
        <w:t xml:space="preserve">Avoid when</w:t>
      </w:r>
    </w:p>
    <w:p>
      <w:pPr>
        <w:numPr>
          <w:ilvl w:val="0"/>
          <w:numId w:val="1428"/>
        </w:numPr>
        <w:pStyle w:val="Compact"/>
      </w:pPr>
      <w:r>
        <w:t xml:space="preserve">You need a supported product with an SLA</w:t>
      </w:r>
      <w:r>
        <w:t xml:space="preserve"> </w:t>
      </w:r>
      <w:r>
        <w:rPr>
          <w:rStyle w:val="ClaimLabel"/>
        </w:rPr>
        <w:t xml:space="preserve">AJ</w:t>
      </w:r>
    </w:p>
    <w:p>
      <w:pPr>
        <w:numPr>
          <w:ilvl w:val="0"/>
          <w:numId w:val="1428"/>
        </w:numPr>
        <w:pStyle w:val="Compact"/>
      </w:pPr>
      <w:r>
        <w:t xml:space="preserve">You need reversible tokenisation at scale or estate-wide discovery</w:t>
      </w:r>
      <w:r>
        <w:t xml:space="preserve"> </w:t>
      </w:r>
      <w:r>
        <w:rPr>
          <w:rStyle w:val="ClaimLabel"/>
        </w:rPr>
        <w:t xml:space="preserve">AJ</w:t>
      </w:r>
    </w:p>
    <w:p>
      <w:pPr>
        <w:pStyle w:val="FirstParagraph"/>
      </w:pPr>
      <w:r>
        <w:rPr>
          <w:bCs/>
          <w:b/>
        </w:rPr>
        <w:t xml:space="preserve">Nearest competitors:</w:t>
      </w:r>
      <w:r>
        <w:t xml:space="preserve"> </w:t>
      </w:r>
      <w:r>
        <w:t xml:space="preserve">C3-google-sdp, C2-bedrock-guardrails, C3-protegrity</w:t>
      </w:r>
    </w:p>
    <w:p>
      <w:pPr>
        <w:pStyle w:val="BodyText"/>
      </w:pPr>
      <w:r>
        <w:rPr>
          <w:bCs/>
          <w:b/>
        </w:rPr>
        <w:t xml:space="preserve">Regulated-FS note.</w:t>
      </w:r>
      <w:r>
        <w:t xml:space="preserve"> </w:t>
      </w:r>
      <w:r>
        <w:t xml:space="preserve">Pin versions, update image references after the GHCR move, and gate upgrades on recall per entity class measured on the firm’s test corpus</w:t>
      </w:r>
      <w:r>
        <w:t xml:space="preserve"> </w:t>
      </w:r>
      <w:r>
        <w:rPr>
          <w:rStyle w:val="ClaimLabel"/>
        </w:rPr>
        <w:t xml:space="preserve">Rec</w:t>
      </w:r>
      <w:r>
        <w:t xml:space="preserve">.</w:t>
      </w:r>
    </w:p>
    <w:p>
      <w:pPr>
        <w:pStyle w:val="BodyText"/>
      </w:pPr>
      <w:r>
        <w:rPr>
          <w:bCs/>
          <w:b/>
        </w:rPr>
        <w:t xml:space="preserve">Facts (as of 2026-10-08)</w:t>
      </w:r>
    </w:p>
    <w:tbl>
      <w:tblPr>
        <w:tblStyle w:val="Table"/>
        <w:tblW w:type="pct" w:w="5000"/>
        <w:tblLook w:firstRow="1" w:lastRow="0" w:firstColumn="0" w:lastColumn="0" w:noHBand="0" w:noVBand="0" w:val="0020"/>
        <w:jc w:val="start"/>
      </w:tblPr>
      <w:tblGrid>
        <w:gridCol w:w="1485"/>
        <w:gridCol w:w="4290"/>
        <w:gridCol w:w="1320"/>
        <w:gridCol w:w="825"/>
      </w:tblGrid>
      <w:tr>
        <w:trPr>
          <w:tblHeader w:val="true"/>
        </w:trPr>
        <w:tc>
          <w:tcPr/>
          <w:p>
            <w:pPr>
              <w:pStyle w:val="Compact"/>
              <w:jc w:val="left"/>
            </w:pPr>
            <w:r>
              <w:t xml:space="preserve">Field</w:t>
            </w:r>
          </w:p>
        </w:tc>
        <w:tc>
          <w:tcPr/>
          <w:p>
            <w:pPr>
              <w:pStyle w:val="Compact"/>
              <w:jc w:val="left"/>
            </w:pPr>
            <w:r>
              <w:t xml:space="preserve">Value</w:t>
            </w:r>
          </w:p>
        </w:tc>
        <w:tc>
          <w:tcPr/>
          <w:p>
            <w:pPr>
              <w:pStyle w:val="Compact"/>
              <w:jc w:val="left"/>
            </w:pPr>
            <w:r>
              <w:t xml:space="preserve">Label</w:t>
            </w:r>
          </w:p>
        </w:tc>
        <w:tc>
          <w:tcPr/>
          <w:p>
            <w:pPr>
              <w:pStyle w:val="Compact"/>
              <w:jc w:val="left"/>
            </w:pPr>
            <w:r>
              <w:t xml:space="preserve">Sources</w:t>
            </w:r>
          </w:p>
        </w:tc>
      </w:tr>
      <w:tr>
        <w:tc>
          <w:tcPr/>
          <w:p>
            <w:pPr>
              <w:pStyle w:val="Compact"/>
              <w:jc w:val="left"/>
            </w:pPr>
            <w:r>
              <w:t xml:space="preserve">Company</w:t>
            </w:r>
          </w:p>
        </w:tc>
        <w:tc>
          <w:tcPr/>
          <w:p>
            <w:pPr>
              <w:pStyle w:val="Compact"/>
              <w:jc w:val="left"/>
            </w:pPr>
            <w:r>
              <w:t xml:space="preserve">Community-governed open-source project under the Data Privacy Stack organisation (formerly Microsoft); Technical Steering Committee</w:t>
            </w:r>
          </w:p>
        </w:tc>
        <w:tc>
          <w:tcPr/>
          <w:p>
            <w:pPr>
              <w:pStyle w:val="Compact"/>
              <w:jc w:val="left"/>
            </w:pPr>
            <w:r>
              <w:t xml:space="preserve">Verified fact</w:t>
            </w:r>
          </w:p>
        </w:tc>
        <w:tc>
          <w:tcPr/>
          <w:p>
            <w:pPr>
              <w:pStyle w:val="Compact"/>
              <w:jc w:val="left"/>
            </w:pPr>
            <w:r>
              <w:t xml:space="preserve">A6-S040, V2-S030</w:t>
            </w:r>
          </w:p>
        </w:tc>
      </w:tr>
      <w:tr>
        <w:tc>
          <w:tcPr/>
          <w:p>
            <w:pPr>
              <w:pStyle w:val="Compact"/>
              <w:jc w:val="left"/>
            </w:pPr>
            <w:r>
              <w:t xml:space="preserve">Category</w:t>
            </w:r>
          </w:p>
        </w:tc>
        <w:tc>
          <w:tcPr/>
          <w:p>
            <w:pPr>
              <w:pStyle w:val="Compact"/>
              <w:jc w:val="left"/>
            </w:pPr>
            <w:r>
              <w:t xml:space="preserve">Open-source PII detection and de-identification SDK (text, images, structured data)</w:t>
            </w:r>
          </w:p>
        </w:tc>
        <w:tc>
          <w:tcPr/>
          <w:p>
            <w:pPr>
              <w:pStyle w:val="Compact"/>
              <w:jc w:val="left"/>
            </w:pPr>
            <w:r>
              <w:t xml:space="preserve">Verified fact</w:t>
            </w:r>
          </w:p>
        </w:tc>
        <w:tc>
          <w:tcPr/>
          <w:p>
            <w:pPr>
              <w:pStyle w:val="Compact"/>
              <w:jc w:val="left"/>
            </w:pPr>
            <w:r>
              <w:t xml:space="preserve">A6-S068</w:t>
            </w:r>
          </w:p>
        </w:tc>
      </w:tr>
      <w:tr>
        <w:tc>
          <w:tcPr/>
          <w:p>
            <w:pPr>
              <w:pStyle w:val="Compact"/>
              <w:jc w:val="left"/>
            </w:pPr>
            <w:r>
              <w:t xml:space="preserve">Version / lineup</w:t>
            </w:r>
          </w:p>
        </w:tc>
        <w:tc>
          <w:tcPr/>
          <w:p>
            <w:pPr>
              <w:pStyle w:val="Compact"/>
              <w:jc w:val="left"/>
            </w:pPr>
            <w:r>
              <w:t xml:space="preserve">presidio-analyzer and presidio-anonymizer 2.2.364 (22 July 2026)</w:t>
            </w:r>
          </w:p>
        </w:tc>
        <w:tc>
          <w:tcPr/>
          <w:p>
            <w:pPr>
              <w:pStyle w:val="Compact"/>
              <w:jc w:val="left"/>
            </w:pPr>
            <w:r>
              <w:t xml:space="preserve">Verified fact</w:t>
            </w:r>
          </w:p>
        </w:tc>
        <w:tc>
          <w:tcPr/>
          <w:p>
            <w:pPr>
              <w:pStyle w:val="Compact"/>
              <w:jc w:val="left"/>
            </w:pPr>
            <w:r>
              <w:t xml:space="preserve">A6-S005, V2-S028</w:t>
            </w:r>
          </w:p>
        </w:tc>
      </w:tr>
      <w:tr>
        <w:tc>
          <w:tcPr/>
          <w:p>
            <w:pPr>
              <w:pStyle w:val="Compact"/>
              <w:jc w:val="left"/>
            </w:pPr>
            <w:r>
              <w:t xml:space="preserve">Licence</w:t>
            </w:r>
          </w:p>
        </w:tc>
        <w:tc>
          <w:tcPr/>
          <w:p>
            <w:pPr>
              <w:pStyle w:val="Compact"/>
              <w:jc w:val="left"/>
            </w:pPr>
            <w:r>
              <w:t xml:space="preserve">Open source (MIT)</w:t>
            </w:r>
          </w:p>
        </w:tc>
        <w:tc>
          <w:tcPr/>
          <w:p>
            <w:pPr>
              <w:pStyle w:val="Compact"/>
              <w:jc w:val="left"/>
            </w:pPr>
            <w:r>
              <w:t xml:space="preserve">Verified fact</w:t>
            </w:r>
          </w:p>
        </w:tc>
        <w:tc>
          <w:tcPr/>
          <w:p>
            <w:pPr>
              <w:pStyle w:val="Compact"/>
              <w:jc w:val="left"/>
            </w:pPr>
            <w:r>
              <w:t xml:space="preserve">A6-S005, A6-S040</w:t>
            </w:r>
          </w:p>
        </w:tc>
      </w:tr>
      <w:tr>
        <w:tc>
          <w:tcPr/>
          <w:p>
            <w:pPr>
              <w:pStyle w:val="Compact"/>
              <w:jc w:val="left"/>
            </w:pPr>
            <w:r>
              <w:t xml:space="preserve">Status events</w:t>
            </w:r>
          </w:p>
        </w:tc>
        <w:tc>
          <w:tcPr/>
          <w:p>
            <w:pPr>
              <w:pStyle w:val="Compact"/>
              <w:jc w:val="left"/>
            </w:pPr>
            <w:r>
              <w:t xml:space="preserve">2026: transitioned from a Microsoft-owned project to community governance under Data Privacy Stack (rebrand in 2.2.363, 28 June 2026); container images moved from MCR to GHCR</w:t>
            </w:r>
          </w:p>
        </w:tc>
        <w:tc>
          <w:tcPr/>
          <w:p>
            <w:pPr>
              <w:pStyle w:val="Compact"/>
              <w:jc w:val="left"/>
            </w:pPr>
            <w:r>
              <w:t xml:space="preserve">Verified fact</w:t>
            </w:r>
          </w:p>
        </w:tc>
        <w:tc>
          <w:tcPr/>
          <w:p>
            <w:pPr>
              <w:pStyle w:val="Compact"/>
              <w:jc w:val="left"/>
            </w:pPr>
            <w:r>
              <w:t xml:space="preserve">A6-S040, A6-S041</w:t>
            </w:r>
          </w:p>
        </w:tc>
      </w:tr>
      <w:tr>
        <w:tc>
          <w:tcPr/>
          <w:p>
            <w:pPr>
              <w:pStyle w:val="Compact"/>
              <w:jc w:val="left"/>
            </w:pPr>
            <w:r>
              <w:t xml:space="preserve">Strategic direction</w:t>
            </w:r>
          </w:p>
        </w:tc>
        <w:tc>
          <w:tcPr/>
          <w:p>
            <w:pPr>
              <w:pStyle w:val="Compact"/>
              <w:jc w:val="left"/>
            </w:pPr>
            <w:r>
              <w:t xml:space="preserve">Independent, vendor-neutral governance; continued recognisers for new jurisdictions (e.g. South African, Philippine IDs) and LLM-based recognisers (LangExtract)</w:t>
            </w:r>
          </w:p>
        </w:tc>
        <w:tc>
          <w:tcPr/>
          <w:p>
            <w:pPr>
              <w:pStyle w:val="Compact"/>
              <w:jc w:val="left"/>
            </w:pPr>
            <w:r>
              <w:t xml:space="preserve">Verified fact</w:t>
            </w:r>
          </w:p>
        </w:tc>
        <w:tc>
          <w:tcPr/>
          <w:p>
            <w:pPr>
              <w:pStyle w:val="Compact"/>
              <w:jc w:val="left"/>
            </w:pPr>
            <w:r>
              <w:t xml:space="preserve">A6-S040, A6-S041</w:t>
            </w:r>
          </w:p>
        </w:tc>
      </w:tr>
      <w:tr>
        <w:tc>
          <w:tcPr/>
          <w:p>
            <w:pPr>
              <w:pStyle w:val="Compact"/>
              <w:jc w:val="left"/>
            </w:pPr>
            <w:r>
              <w:t xml:space="preserve">What it does</w:t>
            </w:r>
          </w:p>
        </w:tc>
        <w:tc>
          <w:tcPr/>
          <w:p>
            <w:pPr>
              <w:pStyle w:val="Compact"/>
              <w:jc w:val="left"/>
            </w:pPr>
            <w:r>
              <w:t xml:space="preserve">Identifies PII in text and images using NER, regular expressions, rule-based logic and checksums with context, and de-identifies it; separate modules for analyzer, anonymizer, image redactor (incl. DICOM) and structured data. README warns detection is not guaranteed to find all sensitive data.</w:t>
            </w:r>
          </w:p>
        </w:tc>
        <w:tc>
          <w:tcPr/>
          <w:p>
            <w:pPr>
              <w:pStyle w:val="Compact"/>
              <w:jc w:val="left"/>
            </w:pPr>
            <w:r>
              <w:t xml:space="preserve">Verified fact</w:t>
            </w:r>
          </w:p>
        </w:tc>
        <w:tc>
          <w:tcPr/>
          <w:p>
            <w:pPr>
              <w:pStyle w:val="Compact"/>
              <w:jc w:val="left"/>
            </w:pPr>
            <w:r>
              <w:t xml:space="preserve">A6-S068</w:t>
            </w:r>
          </w:p>
        </w:tc>
      </w:tr>
      <w:tr>
        <w:tc>
          <w:tcPr/>
          <w:p>
            <w:pPr>
              <w:pStyle w:val="Compact"/>
              <w:jc w:val="left"/>
            </w:pPr>
            <w:r>
              <w:t xml:space="preserve">Stack position</w:t>
            </w:r>
          </w:p>
        </w:tc>
        <w:tc>
          <w:tcPr/>
          <w:p>
            <w:pPr>
              <w:pStyle w:val="Compact"/>
              <w:jc w:val="left"/>
            </w:pPr>
            <w:r>
              <w:t xml:space="preserve">Library or microservice used in ingestion pipelines, gateways and guardrail hooks to detect and mask PII</w:t>
            </w:r>
          </w:p>
        </w:tc>
        <w:tc>
          <w:tcPr/>
          <w:p>
            <w:pPr>
              <w:pStyle w:val="Compact"/>
              <w:jc w:val="left"/>
            </w:pPr>
            <w:r>
              <w:t xml:space="preserve">Verified fact</w:t>
            </w:r>
          </w:p>
        </w:tc>
        <w:tc>
          <w:tcPr/>
          <w:p>
            <w:pPr>
              <w:pStyle w:val="Compact"/>
              <w:jc w:val="left"/>
            </w:pPr>
            <w:r>
              <w:t xml:space="preserve">A6-S068</w:t>
            </w:r>
          </w:p>
        </w:tc>
      </w:tr>
      <w:tr>
        <w:tc>
          <w:tcPr/>
          <w:p>
            <w:pPr>
              <w:pStyle w:val="Compact"/>
              <w:jc w:val="left"/>
            </w:pPr>
            <w:r>
              <w:t xml:space="preserve">Integration</w:t>
            </w:r>
          </w:p>
        </w:tc>
        <w:tc>
          <w:tcPr/>
          <w:p>
            <w:pPr>
              <w:pStyle w:val="Compact"/>
              <w:jc w:val="left"/>
            </w:pPr>
            <w:r>
              <w:t xml:space="preserve">Python packages, REST services in Docker images (ghcr.io/data-privacy-stack/presidio-*)</w:t>
            </w:r>
          </w:p>
        </w:tc>
        <w:tc>
          <w:tcPr/>
          <w:p>
            <w:pPr>
              <w:pStyle w:val="Compact"/>
              <w:jc w:val="left"/>
            </w:pPr>
            <w:r>
              <w:t xml:space="preserve">Verified fact</w:t>
            </w:r>
          </w:p>
        </w:tc>
        <w:tc>
          <w:tcPr/>
          <w:p>
            <w:pPr>
              <w:pStyle w:val="Compact"/>
              <w:jc w:val="left"/>
            </w:pPr>
            <w:r>
              <w:t xml:space="preserve">A6-S040, A6-S068</w:t>
            </w:r>
          </w:p>
        </w:tc>
      </w:tr>
      <w:tr>
        <w:tc>
          <w:tcPr/>
          <w:p>
            <w:pPr>
              <w:pStyle w:val="Compact"/>
              <w:jc w:val="left"/>
            </w:pPr>
            <w:r>
              <w:t xml:space="preserve">Dependencies</w:t>
            </w:r>
          </w:p>
        </w:tc>
        <w:tc>
          <w:tcPr/>
          <w:p>
            <w:pPr>
              <w:pStyle w:val="Compact"/>
              <w:jc w:val="left"/>
            </w:pPr>
            <w:r>
              <w:t xml:space="preserve">Python &gt;=3.10,&lt;3.15; spaCy/Stanza or Hugging Face NER models (NoOpNlpEngine available)</w:t>
            </w:r>
          </w:p>
        </w:tc>
        <w:tc>
          <w:tcPr/>
          <w:p>
            <w:pPr>
              <w:pStyle w:val="Compact"/>
              <w:jc w:val="left"/>
            </w:pPr>
            <w:r>
              <w:t xml:space="preserve">Verified fact</w:t>
            </w:r>
          </w:p>
        </w:tc>
        <w:tc>
          <w:tcPr/>
          <w:p>
            <w:pPr>
              <w:pStyle w:val="Compact"/>
              <w:jc w:val="left"/>
            </w:pPr>
            <w:r>
              <w:t xml:space="preserve">A6-S005, A6-S041</w:t>
            </w:r>
          </w:p>
        </w:tc>
      </w:tr>
      <w:tr>
        <w:tc>
          <w:tcPr/>
          <w:p>
            <w:pPr>
              <w:pStyle w:val="Compact"/>
              <w:jc w:val="left"/>
            </w:pPr>
            <w:r>
              <w:t xml:space="preserve">Certifications</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GDPR / residency</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Security features</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Access controls</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Enterprise support</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Pricing</w:t>
            </w:r>
          </w:p>
        </w:tc>
        <w:tc>
          <w:tcPr/>
          <w:p>
            <w:pPr>
              <w:pStyle w:val="Compact"/>
              <w:jc w:val="left"/>
            </w:pPr>
            <w:r>
              <w:t xml:space="preserve">Free open source</w:t>
            </w:r>
          </w:p>
        </w:tc>
        <w:tc>
          <w:tcPr/>
          <w:p>
            <w:pPr>
              <w:pStyle w:val="Compact"/>
              <w:jc w:val="left"/>
            </w:pPr>
            <w:r>
              <w:t xml:space="preserve">Verified fact</w:t>
            </w:r>
          </w:p>
        </w:tc>
        <w:tc>
          <w:tcPr/>
          <w:p>
            <w:pPr>
              <w:pStyle w:val="Compact"/>
              <w:jc w:val="left"/>
            </w:pPr>
            <w:r>
              <w:t xml:space="preserve">A6-S040</w:t>
            </w:r>
          </w:p>
        </w:tc>
      </w:tr>
      <w:tr>
        <w:tc>
          <w:tcPr/>
          <w:p>
            <w:pPr>
              <w:pStyle w:val="Compact"/>
              <w:jc w:val="left"/>
            </w:pPr>
            <w:r>
              <w:t xml:space="preserve">Infrastructure cost</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Ecosystem</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Adoption signals</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Maturity</w:t>
            </w:r>
          </w:p>
        </w:tc>
        <w:tc>
          <w:tcPr/>
          <w:p>
            <w:pPr>
              <w:pStyle w:val="Compact"/>
              <w:jc w:val="left"/>
            </w:pPr>
            <w:r>
              <w:t xml:space="preserve">First PyPI release 10 March 2020; 2.2.x line with several releases per year</w:t>
            </w:r>
          </w:p>
        </w:tc>
        <w:tc>
          <w:tcPr/>
          <w:p>
            <w:pPr>
              <w:pStyle w:val="Compact"/>
              <w:jc w:val="left"/>
            </w:pPr>
            <w:r>
              <w:t xml:space="preserve">Verified fact</w:t>
            </w:r>
          </w:p>
        </w:tc>
        <w:tc>
          <w:tcPr/>
          <w:p>
            <w:pPr>
              <w:pStyle w:val="Compact"/>
              <w:jc w:val="left"/>
            </w:pPr>
            <w:r>
              <w:t xml:space="preserve">A6-S005</w:t>
            </w:r>
          </w:p>
        </w:tc>
      </w:tr>
      <w:tr>
        <w:tc>
          <w:tcPr/>
          <w:p>
            <w:pPr>
              <w:pStyle w:val="Compact"/>
              <w:jc w:val="left"/>
            </w:pPr>
            <w:r>
              <w:t xml:space="preserve">Deployment</w:t>
            </w:r>
          </w:p>
        </w:tc>
        <w:tc>
          <w:tcPr/>
          <w:p>
            <w:pPr>
              <w:pStyle w:val="Compact"/>
              <w:jc w:val="left"/>
            </w:pPr>
            <w:r>
              <w:t xml:space="preserve">saas: No (not operated by a commercial entity); managed_cloud: Not publicly verified; vpc_byoc: Not publicly verified; private_cloud: Not publicly verified; self_hosted: Yes; on_prem: Not publicly verified</w:t>
            </w:r>
          </w:p>
        </w:tc>
        <w:tc>
          <w:tcPr/>
          <w:p>
            <w:pPr>
              <w:pStyle w:val="Compact"/>
            </w:pPr>
          </w:p>
        </w:tc>
        <w:tc>
          <w:tcPr/>
          <w:p>
            <w:pPr>
              <w:pStyle w:val="Compact"/>
            </w:pPr>
          </w:p>
        </w:tc>
      </w:tr>
    </w:tbl>
    <w:bookmarkEnd w:id="2057"/>
    <w:bookmarkStart w:id="2067" w:name="X0b047cc52a65a48dc4e712218bfc4f5d42c6234"/>
    <w:p>
      <w:pPr>
        <w:pStyle w:val="Heading2"/>
      </w:pPr>
      <w:r>
        <w:t xml:space="preserve">Sensitive Data Protection (including Cloud Data Loss Prevention / DLP API) (</w:t>
      </w:r>
      <w:r>
        <w:rPr>
          <w:rStyle w:val="VerbatimChar"/>
        </w:rPr>
        <w:t xml:space="preserve">C3-google-sdp</w:t>
      </w:r>
      <w:r>
        <w:t xml:space="preserve">)</w:t>
      </w:r>
    </w:p>
    <w:p>
      <w:pPr>
        <w:pStyle w:val="FirstParagraph"/>
      </w:pPr>
      <w:r>
        <w:rPr>
          <w:bCs/>
          <w:b/>
        </w:rPr>
        <w:t xml:space="preserve">Tier:</w:t>
      </w:r>
      <w:r>
        <w:t xml:space="preserve"> </w:t>
      </w:r>
      <w:r>
        <w:t xml:space="preserve">Strategic ·</w:t>
      </w:r>
      <w:r>
        <w:t xml:space="preserve"> </w:t>
      </w:r>
      <w:r>
        <w:rPr>
          <w:bCs/>
          <w:b/>
        </w:rPr>
        <w:t xml:space="preserve">Flags:</w:t>
      </w:r>
      <w:r>
        <w:t xml:space="preserve"> </w:t>
      </w:r>
      <w:r>
        <w:t xml:space="preserve">none ·</w:t>
      </w:r>
      <w:r>
        <w:t xml:space="preserve"> </w:t>
      </w:r>
      <w:r>
        <w:rPr>
          <w:bCs/>
          <w:b/>
        </w:rPr>
        <w:t xml:space="preserve">Original graphic label:</w:t>
      </w:r>
      <w:r>
        <w:t xml:space="preserve"> </w:t>
      </w:r>
      <w:r>
        <w:t xml:space="preserve">not in graphic</w:t>
      </w:r>
    </w:p>
    <w:p>
      <w:pPr>
        <w:pStyle w:val="BodyText"/>
      </w:pPr>
      <w:r>
        <w:rPr>
          <w:iCs/>
          <w:i/>
        </w:rPr>
        <w:t xml:space="preserve">Rationale:</w:t>
      </w:r>
      <w:r>
        <w:t xml:space="preserve"> </w:t>
      </w:r>
      <w:r>
        <w:t xml:space="preserve">Strategic, conditional: where Google Cloud is your primary cloud (CP3 Q2, rubric rule 10), because deployment flexibility and lock-in score 2</w:t>
      </w:r>
      <w:r>
        <w:t xml:space="preserve"> </w:t>
      </w:r>
      <w:r>
        <w:rPr>
          <w:rStyle w:val="ClaimLabel"/>
        </w:rPr>
        <w:t xml:space="preserve">AJ</w:t>
      </w:r>
      <w:r>
        <w:t xml:space="preserve">.</w:t>
      </w:r>
    </w:p>
    <w:tbl>
      <w:tblPr>
        <w:tblStyle w:val="Table"/>
        <w:tblW w:type="pct" w:w="5000"/>
        <w:tblLook w:firstRow="1" w:lastRow="0" w:firstColumn="0" w:lastColumn="0" w:noHBand="0" w:noVBand="0" w:val="0020"/>
        <w:jc w:val="start"/>
      </w:tblPr>
      <w:tblGrid>
        <w:gridCol w:w="1545"/>
        <w:gridCol w:w="579"/>
        <w:gridCol w:w="5795"/>
      </w:tblGrid>
      <w:tr>
        <w:trPr>
          <w:tblHeader w:val="true"/>
        </w:trPr>
        <w:tc>
          <w:tcPr/>
          <w:p>
            <w:pPr>
              <w:pStyle w:val="Compact"/>
              <w:jc w:val="left"/>
            </w:pPr>
            <w:r>
              <w:t xml:space="preserve">Criterion</w:t>
            </w:r>
          </w:p>
        </w:tc>
        <w:tc>
          <w:tcPr/>
          <w:p>
            <w:pPr>
              <w:pStyle w:val="Compact"/>
              <w:jc w:val="right"/>
            </w:pPr>
            <w:r>
              <w:t xml:space="preserve">Score</w:t>
            </w:r>
          </w:p>
        </w:tc>
        <w:tc>
          <w:tcPr/>
          <w:p>
            <w:pPr>
              <w:pStyle w:val="Compact"/>
              <w:jc w:val="left"/>
            </w:pPr>
            <w:r>
              <w:t xml:space="preserve">Rationale</w:t>
            </w:r>
          </w:p>
        </w:tc>
      </w:tr>
      <w:tr>
        <w:tc>
          <w:tcPr/>
          <w:p>
            <w:pPr>
              <w:pStyle w:val="Compact"/>
              <w:jc w:val="left"/>
            </w:pPr>
            <w:r>
              <w:t xml:space="preserve">Technical</w:t>
            </w:r>
          </w:p>
        </w:tc>
        <w:tc>
          <w:tcPr/>
          <w:p>
            <w:pPr>
              <w:pStyle w:val="Compact"/>
              <w:jc w:val="right"/>
            </w:pPr>
            <w:r>
              <w:t xml:space="preserve">5</w:t>
            </w:r>
          </w:p>
        </w:tc>
        <w:tc>
          <w:tcPr/>
          <w:p>
            <w:pPr>
              <w:pStyle w:val="Compact"/>
              <w:jc w:val="left"/>
            </w:pPr>
            <w:r>
              <w:t xml:space="preserve">Discovery, profiling, 200+ detectors, masking, tokenisation and bucketing, runtime prompt/response use via Model Armor.</w:t>
            </w:r>
          </w:p>
        </w:tc>
      </w:tr>
      <w:tr>
        <w:tc>
          <w:tcPr/>
          <w:p>
            <w:pPr>
              <w:pStyle w:val="Compact"/>
              <w:jc w:val="left"/>
            </w:pPr>
            <w:r>
              <w:t xml:space="preserve">Enterprise readiness</w:t>
            </w:r>
          </w:p>
        </w:tc>
        <w:tc>
          <w:tcPr/>
          <w:p>
            <w:pPr>
              <w:pStyle w:val="Compact"/>
              <w:jc w:val="right"/>
            </w:pPr>
            <w:r>
              <w:t xml:space="preserve">4</w:t>
            </w:r>
          </w:p>
        </w:tc>
        <w:tc>
          <w:tcPr/>
          <w:p>
            <w:pPr>
              <w:pStyle w:val="Compact"/>
              <w:jc w:val="left"/>
            </w:pPr>
            <w:r>
              <w:t xml:space="preserve">Hyperscaler presumption (CP2 Q1): platform controls presumed (CP2 Q1); confirm per service.</w:t>
            </w:r>
          </w:p>
        </w:tc>
      </w:tr>
      <w:tr>
        <w:tc>
          <w:tcPr/>
          <w:p>
            <w:pPr>
              <w:pStyle w:val="Compact"/>
              <w:jc w:val="left"/>
            </w:pPr>
            <w:r>
              <w:t xml:space="preserve">Security and compliance</w:t>
            </w:r>
          </w:p>
        </w:tc>
        <w:tc>
          <w:tcPr/>
          <w:p>
            <w:pPr>
              <w:pStyle w:val="Compact"/>
              <w:jc w:val="right"/>
            </w:pPr>
            <w:r>
              <w:t xml:space="preserve">4</w:t>
            </w:r>
          </w:p>
        </w:tc>
        <w:tc>
          <w:tcPr/>
          <w:p>
            <w:pPr>
              <w:pStyle w:val="Compact"/>
              <w:jc w:val="left"/>
            </w:pPr>
            <w:r>
              <w:t xml:space="preserve">SOC 2 and ISO 27001 product-scoped; KMS-wrapped de-identification keys; CMEK for stored profiles and EU locations not verified, so 4 not 5.</w:t>
            </w:r>
          </w:p>
        </w:tc>
      </w:tr>
      <w:tr>
        <w:tc>
          <w:tcPr/>
          <w:p>
            <w:pPr>
              <w:pStyle w:val="Compact"/>
              <w:jc w:val="left"/>
            </w:pPr>
            <w:r>
              <w:t xml:space="preserve">Deployment flexibility</w:t>
            </w:r>
          </w:p>
        </w:tc>
        <w:tc>
          <w:tcPr/>
          <w:p>
            <w:pPr>
              <w:pStyle w:val="Compact"/>
              <w:jc w:val="right"/>
            </w:pPr>
            <w:r>
              <w:t xml:space="preserve">2</w:t>
            </w:r>
          </w:p>
        </w:tc>
        <w:tc>
          <w:tcPr/>
          <w:p>
            <w:pPr>
              <w:pStyle w:val="Compact"/>
              <w:jc w:val="left"/>
            </w:pPr>
            <w:r>
              <w:t xml:space="preserve">SaaS only on Google Cloud; regional processing possible; no self-host.</w:t>
            </w:r>
          </w:p>
        </w:tc>
      </w:tr>
      <w:tr>
        <w:tc>
          <w:tcPr/>
          <w:p>
            <w:pPr>
              <w:pStyle w:val="Compact"/>
              <w:jc w:val="left"/>
            </w:pPr>
            <w:r>
              <w:t xml:space="preserve">Ecosystem</w:t>
            </w:r>
          </w:p>
        </w:tc>
        <w:tc>
          <w:tcPr/>
          <w:p>
            <w:pPr>
              <w:pStyle w:val="Compact"/>
              <w:jc w:val="right"/>
            </w:pPr>
            <w:r>
              <w:t xml:space="preserve">4</w:t>
            </w:r>
          </w:p>
        </w:tc>
        <w:tc>
          <w:tcPr/>
          <w:p>
            <w:pPr>
              <w:pStyle w:val="Compact"/>
              <w:jc w:val="left"/>
            </w:pPr>
            <w:r>
              <w:t xml:space="preserve">Built into Google Cloud storage services, Model Armor and Apigee; hybrid jobs for external data.</w:t>
            </w:r>
          </w:p>
        </w:tc>
      </w:tr>
      <w:tr>
        <w:tc>
          <w:tcPr/>
          <w:p>
            <w:pPr>
              <w:pStyle w:val="Compact"/>
              <w:jc w:val="left"/>
            </w:pPr>
            <w:r>
              <w:t xml:space="preserve">Reliability and maturity</w:t>
            </w:r>
          </w:p>
        </w:tc>
        <w:tc>
          <w:tcPr/>
          <w:p>
            <w:pPr>
              <w:pStyle w:val="Compact"/>
              <w:jc w:val="right"/>
            </w:pPr>
            <w:r>
              <w:t xml:space="preserve">5</w:t>
            </w:r>
          </w:p>
        </w:tc>
        <w:tc>
          <w:tcPr/>
          <w:p>
            <w:pPr>
              <w:pStyle w:val="Compact"/>
              <w:jc w:val="left"/>
            </w:pPr>
            <w:r>
              <w:t xml:space="preserve">Long-established service (client library since February 2018).</w:t>
            </w:r>
          </w:p>
        </w:tc>
      </w:tr>
      <w:tr>
        <w:tc>
          <w:tcPr/>
          <w:p>
            <w:pPr>
              <w:pStyle w:val="Compact"/>
              <w:jc w:val="left"/>
            </w:pPr>
            <w:r>
              <w:t xml:space="preserve">Cost / TCO</w:t>
            </w:r>
          </w:p>
        </w:tc>
        <w:tc>
          <w:tcPr/>
          <w:p>
            <w:pPr>
              <w:pStyle w:val="Compact"/>
              <w:jc w:val="right"/>
            </w:pPr>
            <w:r>
              <w:t xml:space="preserve">3</w:t>
            </w:r>
          </w:p>
        </w:tc>
        <w:tc>
          <w:tcPr/>
          <w:p>
            <w:pPr>
              <w:pStyle w:val="Compact"/>
              <w:jc w:val="left"/>
            </w:pPr>
            <w:r>
              <w:t xml:space="preserve">Transparent but volume-priced: US$3.00/GiB after 1 GiB free; discovery subscription US$2,500/unit/month.</w:t>
            </w:r>
          </w:p>
        </w:tc>
      </w:tr>
      <w:tr>
        <w:tc>
          <w:tcPr/>
          <w:p>
            <w:pPr>
              <w:pStyle w:val="Compact"/>
              <w:jc w:val="left"/>
            </w:pPr>
            <w:r>
              <w:t xml:space="preserve">Lock-in / portability</w:t>
            </w:r>
          </w:p>
        </w:tc>
        <w:tc>
          <w:tcPr/>
          <w:p>
            <w:pPr>
              <w:pStyle w:val="Compact"/>
              <w:jc w:val="right"/>
            </w:pPr>
            <w:r>
              <w:t xml:space="preserve">2</w:t>
            </w:r>
          </w:p>
        </w:tc>
        <w:tc>
          <w:tcPr/>
          <w:p>
            <w:pPr>
              <w:pStyle w:val="Compact"/>
              <w:jc w:val="left"/>
            </w:pPr>
            <w:r>
              <w:t xml:space="preserve">Google Cloud-specific API; outputs portable.</w:t>
            </w:r>
          </w:p>
        </w:tc>
      </w:tr>
      <w:tr>
        <w:tc>
          <w:tcPr/>
          <w:p>
            <w:pPr>
              <w:pStyle w:val="Compact"/>
              <w:jc w:val="left"/>
            </w:pPr>
            <w:r>
              <w:rPr>
                <w:bCs/>
                <w:b/>
              </w:rPr>
              <w:t xml:space="preserve">Total (generic / FS)</w:t>
            </w:r>
          </w:p>
        </w:tc>
        <w:tc>
          <w:tcPr/>
          <w:p>
            <w:pPr>
              <w:pStyle w:val="Compact"/>
              <w:jc w:val="right"/>
            </w:pPr>
            <w:r>
              <w:rPr>
                <w:bCs/>
                <w:b/>
              </w:rPr>
              <w:t xml:space="preserve">3.80 / 3.60</w:t>
            </w:r>
          </w:p>
        </w:tc>
        <w:tc>
          <w:tcPr/>
          <w:p>
            <w:pPr>
              <w:pStyle w:val="Compact"/>
            </w:pPr>
          </w:p>
        </w:tc>
      </w:tr>
    </w:tbl>
    <w:p>
      <w:pPr>
        <w:pStyle w:val="BodyText"/>
      </w:pPr>
      <w:r>
        <w:rPr>
          <w:bCs/>
          <w:b/>
        </w:rPr>
        <w:t xml:space="preserve">Capabilities.</w:t>
      </w:r>
      <w:r>
        <w:t xml:space="preserve"> </w:t>
      </w:r>
      <w:r>
        <w:t xml:space="preserve">Managed discovery, classification and de-identification (formerly Cloud DLP): profiling of BigQuery, Cloud SQL, Cloud Storage and Agent Platform; 200+ detectors; masking, tokenisation, bucketing; hybrid jobs for external sources; underpins Model Armor</w:t>
      </w:r>
      <w:r>
        <w:t xml:space="preserve"> </w:t>
      </w:r>
      <w:r>
        <w:rPr>
          <w:rStyle w:val="ClaimLabel"/>
        </w:rPr>
        <w:t xml:space="preserve">VF</w:t>
      </w:r>
      <w:r>
        <w:rPr>
          <w:rStyle w:val="FootnoteReference"/>
        </w:rPr>
        <w:footnoteReference w:id="2058"/>
      </w:r>
      <w:r>
        <w:t xml:space="preserve">.</w:t>
      </w:r>
    </w:p>
    <w:p>
      <w:pPr>
        <w:pStyle w:val="BodyText"/>
      </w:pPr>
      <w:r>
        <w:rPr>
          <w:bCs/>
          <w:b/>
        </w:rPr>
        <w:t xml:space="preserve">Strengths</w:t>
      </w:r>
    </w:p>
    <w:p>
      <w:pPr>
        <w:numPr>
          <w:ilvl w:val="0"/>
          <w:numId w:val="1429"/>
        </w:numPr>
        <w:pStyle w:val="Compact"/>
      </w:pPr>
      <w:r>
        <w:t xml:space="preserve">Broadest managed detection and transformation set in the control</w:t>
      </w:r>
      <w:r>
        <w:t xml:space="preserve"> </w:t>
      </w:r>
      <w:r>
        <w:rPr>
          <w:rStyle w:val="ClaimLabel"/>
        </w:rPr>
        <w:t xml:space="preserve">AJ</w:t>
      </w:r>
    </w:p>
    <w:p>
      <w:pPr>
        <w:numPr>
          <w:ilvl w:val="0"/>
          <w:numId w:val="1429"/>
        </w:numPr>
        <w:pStyle w:val="Compact"/>
      </w:pPr>
      <w:r>
        <w:t xml:space="preserve">Product-scoped SOC 2 and ISO 27001</w:t>
      </w:r>
      <w:r>
        <w:t xml:space="preserve"> </w:t>
      </w:r>
      <w:r>
        <w:rPr>
          <w:rStyle w:val="ClaimLabel"/>
        </w:rPr>
        <w:t xml:space="preserve">VF</w:t>
      </w:r>
      <w:r>
        <w:rPr>
          <w:rStyle w:val="FootnoteReference"/>
        </w:rPr>
        <w:footnoteReference w:id="2061"/>
      </w:r>
    </w:p>
    <w:p>
      <w:pPr>
        <w:numPr>
          <w:ilvl w:val="0"/>
          <w:numId w:val="1429"/>
        </w:numPr>
        <w:pStyle w:val="Compact"/>
      </w:pPr>
      <w:r>
        <w:t xml:space="preserve">Tokenisation keys wrapped by Cloud KMS, global or in the request region</w:t>
      </w:r>
      <w:r>
        <w:t xml:space="preserve"> </w:t>
      </w:r>
      <w:r>
        <w:rPr>
          <w:rStyle w:val="ClaimLabel"/>
        </w:rPr>
        <w:t xml:space="preserve">VF</w:t>
      </w:r>
      <w:r>
        <w:rPr>
          <w:rStyle w:val="FootnoteReference"/>
        </w:rPr>
        <w:footnoteReference w:id="2062"/>
      </w:r>
    </w:p>
    <w:p>
      <w:pPr>
        <w:numPr>
          <w:ilvl w:val="0"/>
          <w:numId w:val="1429"/>
        </w:numPr>
        <w:pStyle w:val="Compact"/>
      </w:pPr>
      <w:r>
        <w:t xml:space="preserve">Transparent per-GiB pricing</w:t>
      </w:r>
      <w:r>
        <w:t xml:space="preserve"> </w:t>
      </w:r>
      <w:r>
        <w:rPr>
          <w:rStyle w:val="ClaimLabel"/>
        </w:rPr>
        <w:t xml:space="preserve">VF</w:t>
      </w:r>
      <w:r>
        <w:rPr>
          <w:rStyle w:val="FootnoteReference"/>
        </w:rPr>
        <w:footnoteReference w:id="2064"/>
      </w:r>
    </w:p>
    <w:p>
      <w:pPr>
        <w:pStyle w:val="FirstParagraph"/>
      </w:pPr>
      <w:r>
        <w:rPr>
          <w:bCs/>
          <w:b/>
        </w:rPr>
        <w:t xml:space="preserve">Limitations and risks</w:t>
      </w:r>
    </w:p>
    <w:p>
      <w:pPr>
        <w:numPr>
          <w:ilvl w:val="0"/>
          <w:numId w:val="1430"/>
        </w:numPr>
        <w:pStyle w:val="Compact"/>
      </w:pPr>
      <w:r>
        <w:t xml:space="preserve">No self-hosted option</w:t>
      </w:r>
      <w:r>
        <w:t xml:space="preserve"> </w:t>
      </w:r>
      <w:r>
        <w:rPr>
          <w:rStyle w:val="ClaimLabel"/>
        </w:rPr>
        <w:t xml:space="preserve">VF</w:t>
      </w:r>
      <w:r>
        <w:rPr>
          <w:rStyle w:val="FootnoteReference"/>
        </w:rPr>
        <w:footnoteReference w:id="2065"/>
      </w:r>
    </w:p>
    <w:p>
      <w:pPr>
        <w:numPr>
          <w:ilvl w:val="0"/>
          <w:numId w:val="1430"/>
        </w:numPr>
        <w:pStyle w:val="Compact"/>
      </w:pPr>
      <w:r>
        <w:t xml:space="preserve">Google Cloud-specific API</w:t>
      </w:r>
      <w:r>
        <w:t xml:space="preserve"> </w:t>
      </w:r>
      <w:r>
        <w:rPr>
          <w:rStyle w:val="ClaimLabel"/>
        </w:rPr>
        <w:t xml:space="preserve">VF</w:t>
      </w:r>
      <w:r>
        <w:rPr>
          <w:rStyle w:val="FootnoteReference"/>
        </w:rPr>
        <w:footnoteReference w:id="2066"/>
      </w:r>
    </w:p>
    <w:p>
      <w:pPr>
        <w:numPr>
          <w:ilvl w:val="0"/>
          <w:numId w:val="1430"/>
        </w:numPr>
        <w:pStyle w:val="Compact"/>
      </w:pPr>
      <w:r>
        <w:t xml:space="preserve">Supported EU locations not retrieved</w:t>
      </w:r>
      <w:r>
        <w:t xml:space="preserve"> </w:t>
      </w:r>
      <w:r>
        <w:rPr>
          <w:rStyle w:val="ClaimLabel"/>
        </w:rPr>
        <w:t xml:space="preserve">NPV</w:t>
      </w:r>
    </w:p>
    <w:p>
      <w:pPr>
        <w:numPr>
          <w:ilvl w:val="0"/>
          <w:numId w:val="1430"/>
        </w:numPr>
        <w:pStyle w:val="Compact"/>
      </w:pPr>
      <w:r>
        <w:t xml:space="preserve">Raw text must be sent to the service for inspection</w:t>
      </w:r>
      <w:r>
        <w:t xml:space="preserve"> </w:t>
      </w:r>
      <w:r>
        <w:rPr>
          <w:rStyle w:val="ClaimLabel"/>
        </w:rPr>
        <w:t xml:space="preserve">AJ</w:t>
      </w:r>
    </w:p>
    <w:p>
      <w:pPr>
        <w:pStyle w:val="FirstParagraph"/>
      </w:pPr>
      <w:r>
        <w:rPr>
          <w:bCs/>
          <w:b/>
        </w:rPr>
        <w:t xml:space="preserve">Choose when</w:t>
      </w:r>
    </w:p>
    <w:p>
      <w:pPr>
        <w:numPr>
          <w:ilvl w:val="0"/>
          <w:numId w:val="1431"/>
        </w:numPr>
        <w:pStyle w:val="Compact"/>
      </w:pPr>
      <w:r>
        <w:t xml:space="preserve">Google Cloud is the data platform</w:t>
      </w:r>
      <w:r>
        <w:t xml:space="preserve"> </w:t>
      </w:r>
      <w:r>
        <w:rPr>
          <w:rStyle w:val="ClaimLabel"/>
        </w:rPr>
        <w:t xml:space="preserve">AJ</w:t>
      </w:r>
    </w:p>
    <w:p>
      <w:pPr>
        <w:numPr>
          <w:ilvl w:val="0"/>
          <w:numId w:val="1431"/>
        </w:numPr>
        <w:pStyle w:val="Compact"/>
      </w:pPr>
      <w:r>
        <w:t xml:space="preserve">Model Armor or Apigee are already in the path</w:t>
      </w:r>
      <w:r>
        <w:t xml:space="preserve"> </w:t>
      </w:r>
      <w:r>
        <w:rPr>
          <w:rStyle w:val="ClaimLabel"/>
        </w:rPr>
        <w:t xml:space="preserve">AJ</w:t>
      </w:r>
    </w:p>
    <w:p>
      <w:pPr>
        <w:pStyle w:val="FirstParagraph"/>
      </w:pPr>
      <w:r>
        <w:rPr>
          <w:bCs/>
          <w:b/>
        </w:rPr>
        <w:t xml:space="preserve">Avoid when</w:t>
      </w:r>
    </w:p>
    <w:p>
      <w:pPr>
        <w:numPr>
          <w:ilvl w:val="0"/>
          <w:numId w:val="1432"/>
        </w:numPr>
        <w:pStyle w:val="Compact"/>
      </w:pPr>
      <w:r>
        <w:t xml:space="preserve">Policy forbids sending raw client text to a cloud service before tokenisation</w:t>
      </w:r>
      <w:r>
        <w:t xml:space="preserve"> </w:t>
      </w:r>
      <w:r>
        <w:rPr>
          <w:rStyle w:val="ClaimLabel"/>
        </w:rPr>
        <w:t xml:space="preserve">AJ</w:t>
      </w:r>
    </w:p>
    <w:p>
      <w:pPr>
        <w:numPr>
          <w:ilvl w:val="0"/>
          <w:numId w:val="1432"/>
        </w:numPr>
        <w:pStyle w:val="Compact"/>
      </w:pPr>
      <w:r>
        <w:t xml:space="preserve">You need a multi-cloud engine with one API</w:t>
      </w:r>
      <w:r>
        <w:t xml:space="preserve"> </w:t>
      </w:r>
      <w:r>
        <w:rPr>
          <w:rStyle w:val="ClaimLabel"/>
        </w:rPr>
        <w:t xml:space="preserve">AJ</w:t>
      </w:r>
    </w:p>
    <w:p>
      <w:pPr>
        <w:pStyle w:val="FirstParagraph"/>
      </w:pPr>
      <w:r>
        <w:rPr>
          <w:bCs/>
          <w:b/>
        </w:rPr>
        <w:t xml:space="preserve">Nearest competitors:</w:t>
      </w:r>
      <w:r>
        <w:t xml:space="preserve"> </w:t>
      </w:r>
      <w:r>
        <w:t xml:space="preserve">C3-presidio, C3-microsoft-purview-dspm-ai, C2-bedrock-guardrails</w:t>
      </w:r>
    </w:p>
    <w:p>
      <w:pPr>
        <w:pStyle w:val="BodyText"/>
      </w:pPr>
      <w:r>
        <w:rPr>
          <w:bCs/>
          <w:b/>
        </w:rPr>
        <w:t xml:space="preserve">Regulated-FS note.</w:t>
      </w:r>
      <w:r>
        <w:t xml:space="preserve"> </w:t>
      </w:r>
      <w:r>
        <w:t xml:space="preserve">Pin processing and key location to an approved EU/UK region and confirm against the locations page; platform controls presumed (CP2 Q1); confirm per service</w:t>
      </w:r>
      <w:r>
        <w:t xml:space="preserve"> </w:t>
      </w:r>
      <w:r>
        <w:rPr>
          <w:rStyle w:val="ClaimLabel"/>
        </w:rPr>
        <w:t xml:space="preserve">Rec</w:t>
      </w:r>
      <w:r>
        <w:t xml:space="preserve">.</w:t>
      </w:r>
    </w:p>
    <w:p>
      <w:pPr>
        <w:pStyle w:val="BodyText"/>
      </w:pPr>
      <w:r>
        <w:rPr>
          <w:bCs/>
          <w:b/>
        </w:rPr>
        <w:t xml:space="preserve">Facts (as of 2026-10-07)</w:t>
      </w:r>
    </w:p>
    <w:tbl>
      <w:tblPr>
        <w:tblStyle w:val="Table"/>
        <w:tblW w:type="pct" w:w="5000"/>
        <w:tblLook w:firstRow="1" w:lastRow="0" w:firstColumn="0" w:lastColumn="0" w:noHBand="0" w:noVBand="0" w:val="0020"/>
        <w:jc w:val="start"/>
      </w:tblPr>
      <w:tblGrid>
        <w:gridCol w:w="1485"/>
        <w:gridCol w:w="4290"/>
        <w:gridCol w:w="1320"/>
        <w:gridCol w:w="825"/>
      </w:tblGrid>
      <w:tr>
        <w:trPr>
          <w:tblHeader w:val="true"/>
        </w:trPr>
        <w:tc>
          <w:tcPr/>
          <w:p>
            <w:pPr>
              <w:pStyle w:val="Compact"/>
              <w:jc w:val="left"/>
            </w:pPr>
            <w:r>
              <w:t xml:space="preserve">Field</w:t>
            </w:r>
          </w:p>
        </w:tc>
        <w:tc>
          <w:tcPr/>
          <w:p>
            <w:pPr>
              <w:pStyle w:val="Compact"/>
              <w:jc w:val="left"/>
            </w:pPr>
            <w:r>
              <w:t xml:space="preserve">Value</w:t>
            </w:r>
          </w:p>
        </w:tc>
        <w:tc>
          <w:tcPr/>
          <w:p>
            <w:pPr>
              <w:pStyle w:val="Compact"/>
              <w:jc w:val="left"/>
            </w:pPr>
            <w:r>
              <w:t xml:space="preserve">Label</w:t>
            </w:r>
          </w:p>
        </w:tc>
        <w:tc>
          <w:tcPr/>
          <w:p>
            <w:pPr>
              <w:pStyle w:val="Compact"/>
              <w:jc w:val="left"/>
            </w:pPr>
            <w:r>
              <w:t xml:space="preserve">Sources</w:t>
            </w:r>
          </w:p>
        </w:tc>
      </w:tr>
      <w:tr>
        <w:tc>
          <w:tcPr/>
          <w:p>
            <w:pPr>
              <w:pStyle w:val="Compact"/>
              <w:jc w:val="left"/>
            </w:pPr>
            <w:r>
              <w:t xml:space="preserve">Company</w:t>
            </w:r>
          </w:p>
        </w:tc>
        <w:tc>
          <w:tcPr/>
          <w:p>
            <w:pPr>
              <w:pStyle w:val="Compact"/>
              <w:jc w:val="left"/>
            </w:pPr>
            <w:r>
              <w:t xml:space="preserve">Google Cloud</w:t>
            </w:r>
          </w:p>
        </w:tc>
        <w:tc>
          <w:tcPr/>
          <w:p>
            <w:pPr>
              <w:pStyle w:val="Compact"/>
              <w:jc w:val="left"/>
            </w:pPr>
            <w:r>
              <w:t xml:space="preserve">Verified fact</w:t>
            </w:r>
          </w:p>
        </w:tc>
        <w:tc>
          <w:tcPr/>
          <w:p>
            <w:pPr>
              <w:pStyle w:val="Compact"/>
              <w:jc w:val="left"/>
            </w:pPr>
            <w:r>
              <w:t xml:space="preserve">A6-S066</w:t>
            </w:r>
          </w:p>
        </w:tc>
      </w:tr>
      <w:tr>
        <w:tc>
          <w:tcPr/>
          <w:p>
            <w:pPr>
              <w:pStyle w:val="Compact"/>
              <w:jc w:val="left"/>
            </w:pPr>
            <w:r>
              <w:t xml:space="preserve">Category</w:t>
            </w:r>
          </w:p>
        </w:tc>
        <w:tc>
          <w:tcPr/>
          <w:p>
            <w:pPr>
              <w:pStyle w:val="Compact"/>
              <w:jc w:val="left"/>
            </w:pPr>
            <w:r>
              <w:t xml:space="preserve">Managed sensitive-data discovery, classification and de-identification service</w:t>
            </w:r>
          </w:p>
        </w:tc>
        <w:tc>
          <w:tcPr/>
          <w:p>
            <w:pPr>
              <w:pStyle w:val="Compact"/>
              <w:jc w:val="left"/>
            </w:pPr>
            <w:r>
              <w:t xml:space="preserve">Verified fact</w:t>
            </w:r>
          </w:p>
        </w:tc>
        <w:tc>
          <w:tcPr/>
          <w:p>
            <w:pPr>
              <w:pStyle w:val="Compact"/>
              <w:jc w:val="left"/>
            </w:pPr>
            <w:r>
              <w:t xml:space="preserve">A6-S066</w:t>
            </w:r>
          </w:p>
        </w:tc>
      </w:tr>
      <w:tr>
        <w:tc>
          <w:tcPr/>
          <w:p>
            <w:pPr>
              <w:pStyle w:val="Compact"/>
              <w:jc w:val="left"/>
            </w:pPr>
            <w:r>
              <w:t xml:space="preserve">Version / lineup</w:t>
            </w:r>
          </w:p>
        </w:tc>
        <w:tc>
          <w:tcPr/>
          <w:p>
            <w:pPr>
              <w:pStyle w:val="Compact"/>
              <w:jc w:val="left"/>
            </w:pPr>
            <w:r>
              <w:t xml:space="preserve">Managed service; Python client google-cloud-dlp 3.40.0 (1 October 2026)</w:t>
            </w:r>
          </w:p>
        </w:tc>
        <w:tc>
          <w:tcPr/>
          <w:p>
            <w:pPr>
              <w:pStyle w:val="Compact"/>
              <w:jc w:val="left"/>
            </w:pPr>
            <w:r>
              <w:t xml:space="preserve">Verified fact</w:t>
            </w:r>
          </w:p>
        </w:tc>
        <w:tc>
          <w:tcPr/>
          <w:p>
            <w:pPr>
              <w:pStyle w:val="Compact"/>
              <w:jc w:val="left"/>
            </w:pPr>
            <w:r>
              <w:t xml:space="preserve">A6-S083</w:t>
            </w:r>
          </w:p>
        </w:tc>
      </w:tr>
      <w:tr>
        <w:tc>
          <w:tcPr/>
          <w:p>
            <w:pPr>
              <w:pStyle w:val="Compact"/>
              <w:jc w:val="left"/>
            </w:pPr>
            <w:r>
              <w:t xml:space="preserve">Licence</w:t>
            </w:r>
          </w:p>
        </w:tc>
        <w:tc>
          <w:tcPr/>
          <w:p>
            <w:pPr>
              <w:pStyle w:val="Compact"/>
              <w:jc w:val="left"/>
            </w:pPr>
            <w:r>
              <w:t xml:space="preserve">Proprietary managed service (client libraries Apache-2.0)</w:t>
            </w:r>
          </w:p>
        </w:tc>
        <w:tc>
          <w:tcPr/>
          <w:p>
            <w:pPr>
              <w:pStyle w:val="Compact"/>
              <w:jc w:val="left"/>
            </w:pPr>
            <w:r>
              <w:t xml:space="preserve">Verified fact</w:t>
            </w:r>
          </w:p>
        </w:tc>
        <w:tc>
          <w:tcPr/>
          <w:p>
            <w:pPr>
              <w:pStyle w:val="Compact"/>
              <w:jc w:val="left"/>
            </w:pPr>
            <w:r>
              <w:t xml:space="preserve">A6-S066, A6-S083</w:t>
            </w:r>
          </w:p>
        </w:tc>
      </w:tr>
      <w:tr>
        <w:tc>
          <w:tcPr/>
          <w:p>
            <w:pPr>
              <w:pStyle w:val="Compact"/>
              <w:jc w:val="left"/>
            </w:pPr>
            <w:r>
              <w:t xml:space="preserve">Strategic direction</w:t>
            </w:r>
          </w:p>
        </w:tc>
        <w:tc>
          <w:tcPr/>
          <w:p>
            <w:pPr>
              <w:pStyle w:val="Compact"/>
              <w:jc w:val="left"/>
            </w:pPr>
            <w:r>
              <w:t xml:space="preserve">Positioned for AI workloads: de-identify training/tuning data and protect generative AI prompts and responses at run time; underpins Model Armor’s sensitive-data screening</w:t>
            </w:r>
          </w:p>
        </w:tc>
        <w:tc>
          <w:tcPr/>
          <w:p>
            <w:pPr>
              <w:pStyle w:val="Compact"/>
              <w:jc w:val="left"/>
            </w:pPr>
            <w:r>
              <w:t xml:space="preserve">Verified fact</w:t>
            </w:r>
          </w:p>
        </w:tc>
        <w:tc>
          <w:tcPr/>
          <w:p>
            <w:pPr>
              <w:pStyle w:val="Compact"/>
              <w:jc w:val="left"/>
            </w:pPr>
            <w:r>
              <w:t xml:space="preserve">A6-S066, A6-S067</w:t>
            </w:r>
          </w:p>
        </w:tc>
      </w:tr>
      <w:tr>
        <w:tc>
          <w:tcPr/>
          <w:p>
            <w:pPr>
              <w:pStyle w:val="Compact"/>
              <w:jc w:val="left"/>
            </w:pPr>
            <w:r>
              <w:t xml:space="preserve">What it does</w:t>
            </w:r>
          </w:p>
        </w:tc>
        <w:tc>
          <w:tcPr/>
          <w:p>
            <w:pPr>
              <w:pStyle w:val="Compact"/>
              <w:jc w:val="left"/>
            </w:pPr>
            <w:r>
              <w:t xml:space="preserve">Discovery and profiling of sensitive data across BigQuery, Cloud SQL, Cloud Storage and Agent Platform; inspection with 200+ predefined detectors; de-identification by masking, tokenisation, bucketing; content methods for any data source (hybrid jobs).</w:t>
            </w:r>
          </w:p>
        </w:tc>
        <w:tc>
          <w:tcPr/>
          <w:p>
            <w:pPr>
              <w:pStyle w:val="Compact"/>
              <w:jc w:val="left"/>
            </w:pPr>
            <w:r>
              <w:t xml:space="preserve">Verified fact</w:t>
            </w:r>
          </w:p>
        </w:tc>
        <w:tc>
          <w:tcPr/>
          <w:p>
            <w:pPr>
              <w:pStyle w:val="Compact"/>
              <w:jc w:val="left"/>
            </w:pPr>
            <w:r>
              <w:t xml:space="preserve">A6-S066, A6-S065</w:t>
            </w:r>
          </w:p>
        </w:tc>
      </w:tr>
      <w:tr>
        <w:tc>
          <w:tcPr/>
          <w:p>
            <w:pPr>
              <w:pStyle w:val="Compact"/>
              <w:jc w:val="left"/>
            </w:pPr>
            <w:r>
              <w:t xml:space="preserve">Stack position</w:t>
            </w:r>
          </w:p>
        </w:tc>
        <w:tc>
          <w:tcPr/>
          <w:p>
            <w:pPr>
              <w:pStyle w:val="Compact"/>
              <w:jc w:val="left"/>
            </w:pPr>
            <w:r>
              <w:t xml:space="preserve">DLP service used in ingestion pipelines and at run time on prompts/responses (directly or through Model Armor)</w:t>
            </w:r>
          </w:p>
        </w:tc>
        <w:tc>
          <w:tcPr/>
          <w:p>
            <w:pPr>
              <w:pStyle w:val="Compact"/>
              <w:jc w:val="left"/>
            </w:pPr>
            <w:r>
              <w:t xml:space="preserve">Verified fact</w:t>
            </w:r>
          </w:p>
        </w:tc>
        <w:tc>
          <w:tcPr/>
          <w:p>
            <w:pPr>
              <w:pStyle w:val="Compact"/>
              <w:jc w:val="left"/>
            </w:pPr>
            <w:r>
              <w:t xml:space="preserve">A6-S066, A6-S067</w:t>
            </w:r>
          </w:p>
        </w:tc>
      </w:tr>
      <w:tr>
        <w:tc>
          <w:tcPr/>
          <w:p>
            <w:pPr>
              <w:pStyle w:val="Compact"/>
              <w:jc w:val="left"/>
            </w:pPr>
            <w:r>
              <w:t xml:space="preserve">Integration</w:t>
            </w:r>
          </w:p>
        </w:tc>
        <w:tc>
          <w:tcPr/>
          <w:p>
            <w:pPr>
              <w:pStyle w:val="Compact"/>
              <w:jc w:val="left"/>
            </w:pPr>
            <w:r>
              <w:t xml:space="preserve">DLP API and client libraries; built-in integrations with Google Cloud storage services; hybrid jobs for external sources</w:t>
            </w:r>
          </w:p>
        </w:tc>
        <w:tc>
          <w:tcPr/>
          <w:p>
            <w:pPr>
              <w:pStyle w:val="Compact"/>
              <w:jc w:val="left"/>
            </w:pPr>
            <w:r>
              <w:t xml:space="preserve">Verified fact</w:t>
            </w:r>
          </w:p>
        </w:tc>
        <w:tc>
          <w:tcPr/>
          <w:p>
            <w:pPr>
              <w:pStyle w:val="Compact"/>
              <w:jc w:val="left"/>
            </w:pPr>
            <w:r>
              <w:t xml:space="preserve">A6-S066, A6-S065</w:t>
            </w:r>
          </w:p>
        </w:tc>
      </w:tr>
      <w:tr>
        <w:tc>
          <w:tcPr/>
          <w:p>
            <w:pPr>
              <w:pStyle w:val="Compact"/>
              <w:jc w:val="left"/>
            </w:pPr>
            <w:r>
              <w:t xml:space="preserve">Dependencies</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Certifications</w:t>
            </w:r>
          </w:p>
        </w:tc>
        <w:tc>
          <w:tcPr/>
          <w:p>
            <w:pPr>
              <w:pStyle w:val="Compact"/>
              <w:jc w:val="left"/>
            </w:pPr>
            <w:r>
              <w:t xml:space="preserve">Listed in Google Cloud SOC 2 and ISO/IEC 27001 scope</w:t>
            </w:r>
          </w:p>
        </w:tc>
        <w:tc>
          <w:tcPr/>
          <w:p>
            <w:pPr>
              <w:pStyle w:val="Compact"/>
              <w:jc w:val="left"/>
            </w:pPr>
            <w:r>
              <w:t xml:space="preserve">Verified fact</w:t>
            </w:r>
          </w:p>
        </w:tc>
        <w:tc>
          <w:tcPr/>
          <w:p>
            <w:pPr>
              <w:pStyle w:val="Compact"/>
              <w:jc w:val="left"/>
            </w:pPr>
            <w:r>
              <w:t xml:space="preserve">A6-S070, A6-S071</w:t>
            </w:r>
          </w:p>
        </w:tc>
      </w:tr>
      <w:tr>
        <w:tc>
          <w:tcPr/>
          <w:p>
            <w:pPr>
              <w:pStyle w:val="Compact"/>
              <w:jc w:val="left"/>
            </w:pPr>
            <w:r>
              <w:t xml:space="preserve">GDPR / residency</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Security features</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Access controls</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Enterprise support</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Pricing</w:t>
            </w:r>
          </w:p>
        </w:tc>
        <w:tc>
          <w:tcPr/>
          <w:p>
            <w:pPr>
              <w:pStyle w:val="Compact"/>
              <w:jc w:val="left"/>
            </w:pPr>
            <w:r>
              <w:t xml:space="preserve">Content/hybrid inspection: first 1 GiB/month free, then US$3.00/GiB to 1 TiB and US$2.00/GiB above; storage inspection from US$1.00/GiB tiered to US$0.60/GiB; discovery in consumption mode (bytes profiled) or subscription at US$2,500 per subscription unit/month</w:t>
            </w:r>
          </w:p>
        </w:tc>
        <w:tc>
          <w:tcPr/>
          <w:p>
            <w:pPr>
              <w:pStyle w:val="Compact"/>
              <w:jc w:val="left"/>
            </w:pPr>
            <w:r>
              <w:t xml:space="preserve">Verified fact</w:t>
            </w:r>
          </w:p>
        </w:tc>
        <w:tc>
          <w:tcPr/>
          <w:p>
            <w:pPr>
              <w:pStyle w:val="Compact"/>
              <w:jc w:val="left"/>
            </w:pPr>
            <w:r>
              <w:t xml:space="preserve">A6-S065</w:t>
            </w:r>
          </w:p>
        </w:tc>
      </w:tr>
      <w:tr>
        <w:tc>
          <w:tcPr/>
          <w:p>
            <w:pPr>
              <w:pStyle w:val="Compact"/>
              <w:jc w:val="left"/>
            </w:pPr>
            <w:r>
              <w:t xml:space="preserve">Infrastructure cost</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Ecosystem</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Adoption signals</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Maturity</w:t>
            </w:r>
          </w:p>
        </w:tc>
        <w:tc>
          <w:tcPr/>
          <w:p>
            <w:pPr>
              <w:pStyle w:val="Compact"/>
              <w:jc w:val="left"/>
            </w:pPr>
            <w:r>
              <w:t xml:space="preserve">Long-established service (client library first released February 2018)</w:t>
            </w:r>
          </w:p>
        </w:tc>
        <w:tc>
          <w:tcPr/>
          <w:p>
            <w:pPr>
              <w:pStyle w:val="Compact"/>
              <w:jc w:val="left"/>
            </w:pPr>
            <w:r>
              <w:t xml:space="preserve">Verified fact</w:t>
            </w:r>
          </w:p>
        </w:tc>
        <w:tc>
          <w:tcPr/>
          <w:p>
            <w:pPr>
              <w:pStyle w:val="Compact"/>
              <w:jc w:val="left"/>
            </w:pPr>
            <w:r>
              <w:t xml:space="preserve">A6-S083</w:t>
            </w:r>
          </w:p>
        </w:tc>
      </w:tr>
      <w:tr>
        <w:tc>
          <w:tcPr/>
          <w:p>
            <w:pPr>
              <w:pStyle w:val="Compact"/>
              <w:jc w:val="left"/>
            </w:pPr>
            <w:r>
              <w:t xml:space="preserve">Deployment</w:t>
            </w:r>
          </w:p>
        </w:tc>
        <w:tc>
          <w:tcPr/>
          <w:p>
            <w:pPr>
              <w:pStyle w:val="Compact"/>
              <w:jc w:val="left"/>
            </w:pPr>
            <w:r>
              <w:t xml:space="preserve">saas: Yes; managed_cloud: Not publicly verified; vpc_byoc: Not publicly verified; private_cloud: Not publicly verified; self_hosted: No; on_prem: Not publicly verified</w:t>
            </w:r>
          </w:p>
        </w:tc>
        <w:tc>
          <w:tcPr/>
          <w:p>
            <w:pPr>
              <w:pStyle w:val="Compact"/>
            </w:pPr>
          </w:p>
        </w:tc>
        <w:tc>
          <w:tcPr/>
          <w:p>
            <w:pPr>
              <w:pStyle w:val="Compact"/>
            </w:pPr>
          </w:p>
        </w:tc>
      </w:tr>
    </w:tbl>
    <w:bookmarkEnd w:id="2067"/>
    <w:bookmarkStart w:id="2077" w:name="X12a8aa12bcca034452c099a67e39b557726610c"/>
    <w:p>
      <w:pPr>
        <w:pStyle w:val="Heading2"/>
      </w:pPr>
      <w:r>
        <w:t xml:space="preserve">Microsoft Purview Data Security Posture Management (new unified DSPM, GA May 2026), absorbing the earlier</w:t>
      </w:r>
      <w:r>
        <w:t xml:space="preserve"> </w:t>
      </w:r>
      <w:r>
        <w:t xml:space="preserve">‘</w:t>
      </w:r>
      <w:r>
        <w:t xml:space="preserve">DSPM for AI</w:t>
      </w:r>
      <w:r>
        <w:t xml:space="preserve">’</w:t>
      </w:r>
      <w:r>
        <w:t xml:space="preserve"> </w:t>
      </w:r>
      <w:r>
        <w:t xml:space="preserve">experience (</w:t>
      </w:r>
      <w:r>
        <w:rPr>
          <w:rStyle w:val="VerbatimChar"/>
        </w:rPr>
        <w:t xml:space="preserve">C3-microsoft-purview-dspm-ai</w:t>
      </w:r>
      <w:r>
        <w:t xml:space="preserve">)</w:t>
      </w:r>
    </w:p>
    <w:p>
      <w:pPr>
        <w:pStyle w:val="FirstParagraph"/>
      </w:pPr>
      <w:r>
        <w:rPr>
          <w:bCs/>
          <w:b/>
        </w:rPr>
        <w:t xml:space="preserve">Tier:</w:t>
      </w:r>
      <w:r>
        <w:t xml:space="preserve"> </w:t>
      </w:r>
      <w:r>
        <w:t xml:space="preserve">Strategic ·</w:t>
      </w:r>
      <w:r>
        <w:t xml:space="preserve"> </w:t>
      </w:r>
      <w:r>
        <w:rPr>
          <w:bCs/>
          <w:b/>
        </w:rPr>
        <w:t xml:space="preserve">Flags:</w:t>
      </w:r>
      <w:r>
        <w:t xml:space="preserve"> </w:t>
      </w:r>
      <w:r>
        <w:t xml:space="preserve">Renamed ·</w:t>
      </w:r>
      <w:r>
        <w:t xml:space="preserve"> </w:t>
      </w:r>
      <w:r>
        <w:rPr>
          <w:bCs/>
          <w:b/>
        </w:rPr>
        <w:t xml:space="preserve">Original graphic label:</w:t>
      </w:r>
      <w:r>
        <w:t xml:space="preserve"> </w:t>
      </w:r>
      <w:r>
        <w:t xml:space="preserve">not in graphic</w:t>
      </w:r>
    </w:p>
    <w:p>
      <w:pPr>
        <w:pStyle w:val="BodyText"/>
      </w:pPr>
      <w:r>
        <w:rPr>
          <w:iCs/>
          <w:i/>
        </w:rPr>
        <w:t xml:space="preserve">Rationale:</w:t>
      </w:r>
      <w:r>
        <w:t xml:space="preserve"> </w:t>
      </w:r>
      <w:r>
        <w:t xml:space="preserve">Strategic, conditional: where Azure and Microsoft 365 are your primary cloud and E5 or the Purview Suite is already licensed (CP3 Q2, rubric rule 10). Microsoft’s lead AI data-security posture service, for posture and Copilot evidence only: it is not the prompt-path DLP control for custom agents</w:t>
      </w:r>
      <w:r>
        <w:t xml:space="preserve"> </w:t>
      </w:r>
      <w:r>
        <w:rPr>
          <w:rStyle w:val="ClaimLabel"/>
        </w:rPr>
        <w:t xml:space="preserve">AJ</w:t>
      </w:r>
      <w:r>
        <w:t xml:space="preserve">.</w:t>
      </w:r>
    </w:p>
    <w:tbl>
      <w:tblPr>
        <w:tblStyle w:val="Table"/>
        <w:tblW w:type="pct" w:w="5000"/>
        <w:tblLook w:firstRow="1" w:lastRow="0" w:firstColumn="0" w:lastColumn="0" w:noHBand="0" w:noVBand="0" w:val="0020"/>
        <w:jc w:val="start"/>
      </w:tblPr>
      <w:tblGrid>
        <w:gridCol w:w="1545"/>
        <w:gridCol w:w="579"/>
        <w:gridCol w:w="5795"/>
      </w:tblGrid>
      <w:tr>
        <w:trPr>
          <w:tblHeader w:val="true"/>
        </w:trPr>
        <w:tc>
          <w:tcPr/>
          <w:p>
            <w:pPr>
              <w:pStyle w:val="Compact"/>
              <w:jc w:val="left"/>
            </w:pPr>
            <w:r>
              <w:t xml:space="preserve">Criterion</w:t>
            </w:r>
          </w:p>
        </w:tc>
        <w:tc>
          <w:tcPr/>
          <w:p>
            <w:pPr>
              <w:pStyle w:val="Compact"/>
              <w:jc w:val="right"/>
            </w:pPr>
            <w:r>
              <w:t xml:space="preserve">Score</w:t>
            </w:r>
          </w:p>
        </w:tc>
        <w:tc>
          <w:tcPr/>
          <w:p>
            <w:pPr>
              <w:pStyle w:val="Compact"/>
              <w:jc w:val="left"/>
            </w:pPr>
            <w:r>
              <w:t xml:space="preserve">Rationale</w:t>
            </w:r>
          </w:p>
        </w:tc>
      </w:tr>
      <w:tr>
        <w:tc>
          <w:tcPr/>
          <w:p>
            <w:pPr>
              <w:pStyle w:val="Compact"/>
              <w:jc w:val="left"/>
            </w:pPr>
            <w:r>
              <w:t xml:space="preserve">Technical</w:t>
            </w:r>
          </w:p>
        </w:tc>
        <w:tc>
          <w:tcPr/>
          <w:p>
            <w:pPr>
              <w:pStyle w:val="Compact"/>
              <w:jc w:val="right"/>
            </w:pPr>
            <w:r>
              <w:t xml:space="preserve">3</w:t>
            </w:r>
          </w:p>
        </w:tc>
        <w:tc>
          <w:tcPr/>
          <w:p>
            <w:pPr>
              <w:pStyle w:val="Compact"/>
              <w:jc w:val="left"/>
            </w:pPr>
            <w:r>
              <w:t xml:space="preserve">Posture, discovery and risk assessment of AI interactions; no verified inline transformation for custom apps.</w:t>
            </w:r>
          </w:p>
        </w:tc>
      </w:tr>
      <w:tr>
        <w:tc>
          <w:tcPr/>
          <w:p>
            <w:pPr>
              <w:pStyle w:val="Compact"/>
              <w:jc w:val="left"/>
            </w:pPr>
            <w:r>
              <w:t xml:space="preserve">Enterprise readiness</w:t>
            </w:r>
          </w:p>
        </w:tc>
        <w:tc>
          <w:tcPr/>
          <w:p>
            <w:pPr>
              <w:pStyle w:val="Compact"/>
              <w:jc w:val="right"/>
            </w:pPr>
            <w:r>
              <w:t xml:space="preserve">4</w:t>
            </w:r>
          </w:p>
        </w:tc>
        <w:tc>
          <w:tcPr/>
          <w:p>
            <w:pPr>
              <w:pStyle w:val="Compact"/>
              <w:jc w:val="left"/>
            </w:pPr>
            <w:r>
              <w:t xml:space="preserve">Hyperscaler presumption (CP2 Q1): platform controls presumed (CP2 Q1); confirm per service.</w:t>
            </w:r>
          </w:p>
        </w:tc>
      </w:tr>
      <w:tr>
        <w:tc>
          <w:tcPr/>
          <w:p>
            <w:pPr>
              <w:pStyle w:val="Compact"/>
              <w:jc w:val="left"/>
            </w:pPr>
            <w:r>
              <w:t xml:space="preserve">Security and compliance</w:t>
            </w:r>
          </w:p>
        </w:tc>
        <w:tc>
          <w:tcPr/>
          <w:p>
            <w:pPr>
              <w:pStyle w:val="Compact"/>
              <w:jc w:val="right"/>
            </w:pPr>
            <w:r>
              <w:t xml:space="preserve">4</w:t>
            </w:r>
          </w:p>
        </w:tc>
        <w:tc>
          <w:tcPr/>
          <w:p>
            <w:pPr>
              <w:pStyle w:val="Compact"/>
              <w:jc w:val="left"/>
            </w:pPr>
            <w:r>
              <w:t xml:space="preserve">Purview portal ISO 27001 and Purview FedRAMP High; DSPM not named and commercial SOC 2 scope does not list the portal; scope rule applied (4).</w:t>
            </w:r>
          </w:p>
        </w:tc>
      </w:tr>
      <w:tr>
        <w:tc>
          <w:tcPr/>
          <w:p>
            <w:pPr>
              <w:pStyle w:val="Compact"/>
              <w:jc w:val="left"/>
            </w:pPr>
            <w:r>
              <w:t xml:space="preserve">Deployment flexibility</w:t>
            </w:r>
          </w:p>
        </w:tc>
        <w:tc>
          <w:tcPr/>
          <w:p>
            <w:pPr>
              <w:pStyle w:val="Compact"/>
              <w:jc w:val="right"/>
            </w:pPr>
            <w:r>
              <w:t xml:space="preserve">2</w:t>
            </w:r>
          </w:p>
        </w:tc>
        <w:tc>
          <w:tcPr/>
          <w:p>
            <w:pPr>
              <w:pStyle w:val="Compact"/>
              <w:jc w:val="left"/>
            </w:pPr>
            <w:r>
              <w:t xml:space="preserve">Microsoft cloud service only; GCC coverage reduced.</w:t>
            </w:r>
          </w:p>
        </w:tc>
      </w:tr>
      <w:tr>
        <w:tc>
          <w:tcPr/>
          <w:p>
            <w:pPr>
              <w:pStyle w:val="Compact"/>
              <w:jc w:val="left"/>
            </w:pPr>
            <w:r>
              <w:t xml:space="preserve">Ecosystem</w:t>
            </w:r>
          </w:p>
        </w:tc>
        <w:tc>
          <w:tcPr/>
          <w:p>
            <w:pPr>
              <w:pStyle w:val="Compact"/>
              <w:jc w:val="right"/>
            </w:pPr>
            <w:r>
              <w:t xml:space="preserve">4</w:t>
            </w:r>
          </w:p>
        </w:tc>
        <w:tc>
          <w:tcPr/>
          <w:p>
            <w:pPr>
              <w:pStyle w:val="Compact"/>
              <w:jc w:val="left"/>
            </w:pPr>
            <w:r>
              <w:t xml:space="preserve">Microsoft 365, Entra-registered apps, ChatGPT Enterprise and Foundry; partner sources preview.</w:t>
            </w:r>
          </w:p>
        </w:tc>
      </w:tr>
      <w:tr>
        <w:tc>
          <w:tcPr/>
          <w:p>
            <w:pPr>
              <w:pStyle w:val="Compact"/>
              <w:jc w:val="left"/>
            </w:pPr>
            <w:r>
              <w:t xml:space="preserve">Reliability and maturity</w:t>
            </w:r>
          </w:p>
        </w:tc>
        <w:tc>
          <w:tcPr/>
          <w:p>
            <w:pPr>
              <w:pStyle w:val="Compact"/>
              <w:jc w:val="right"/>
            </w:pPr>
            <w:r>
              <w:t xml:space="preserve">3</w:t>
            </w:r>
          </w:p>
        </w:tc>
        <w:tc>
          <w:tcPr/>
          <w:p>
            <w:pPr>
              <w:pStyle w:val="Compact"/>
              <w:jc w:val="left"/>
            </w:pPr>
            <w:r>
              <w:t xml:space="preserve">Unified DSPM GA May 2026 after consolidation; preview components remain.</w:t>
            </w:r>
          </w:p>
        </w:tc>
      </w:tr>
      <w:tr>
        <w:tc>
          <w:tcPr/>
          <w:p>
            <w:pPr>
              <w:pStyle w:val="Compact"/>
              <w:jc w:val="left"/>
            </w:pPr>
            <w:r>
              <w:t xml:space="preserve">Cost / TCO</w:t>
            </w:r>
          </w:p>
        </w:tc>
        <w:tc>
          <w:tcPr/>
          <w:p>
            <w:pPr>
              <w:pStyle w:val="Compact"/>
              <w:jc w:val="right"/>
            </w:pPr>
            <w:r>
              <w:t xml:space="preserve">2</w:t>
            </w:r>
          </w:p>
        </w:tc>
        <w:tc>
          <w:tcPr/>
          <w:p>
            <w:pPr>
              <w:pStyle w:val="Compact"/>
              <w:jc w:val="left"/>
            </w:pPr>
            <w:r>
              <w:t xml:space="preserve">Requires E5 or Purview Suite; licensing for Business Premium conflicting.</w:t>
            </w:r>
          </w:p>
        </w:tc>
      </w:tr>
      <w:tr>
        <w:tc>
          <w:tcPr/>
          <w:p>
            <w:pPr>
              <w:pStyle w:val="Compact"/>
              <w:jc w:val="left"/>
            </w:pPr>
            <w:r>
              <w:t xml:space="preserve">Lock-in / portability</w:t>
            </w:r>
          </w:p>
        </w:tc>
        <w:tc>
          <w:tcPr/>
          <w:p>
            <w:pPr>
              <w:pStyle w:val="Compact"/>
              <w:jc w:val="right"/>
            </w:pPr>
            <w:r>
              <w:t xml:space="preserve">2</w:t>
            </w:r>
          </w:p>
        </w:tc>
        <w:tc>
          <w:tcPr/>
          <w:p>
            <w:pPr>
              <w:pStyle w:val="Compact"/>
              <w:jc w:val="left"/>
            </w:pPr>
            <w:r>
              <w:t xml:space="preserve">Microsoft-specific posture model and labels.</w:t>
            </w:r>
          </w:p>
        </w:tc>
      </w:tr>
      <w:tr>
        <w:tc>
          <w:tcPr/>
          <w:p>
            <w:pPr>
              <w:pStyle w:val="Compact"/>
              <w:jc w:val="left"/>
            </w:pPr>
            <w:r>
              <w:rPr>
                <w:bCs/>
                <w:b/>
              </w:rPr>
              <w:t xml:space="preserve">Total (generic / FS)</w:t>
            </w:r>
          </w:p>
        </w:tc>
        <w:tc>
          <w:tcPr/>
          <w:p>
            <w:pPr>
              <w:pStyle w:val="Compact"/>
              <w:jc w:val="right"/>
            </w:pPr>
            <w:r>
              <w:rPr>
                <w:bCs/>
                <w:b/>
              </w:rPr>
              <w:t xml:space="preserve">3.10 / 3.05</w:t>
            </w:r>
          </w:p>
        </w:tc>
        <w:tc>
          <w:tcPr/>
          <w:p>
            <w:pPr>
              <w:pStyle w:val="Compact"/>
            </w:pPr>
          </w:p>
        </w:tc>
      </w:tr>
    </w:tbl>
    <w:p>
      <w:pPr>
        <w:pStyle w:val="BodyText"/>
      </w:pPr>
      <w:r>
        <w:rPr>
          <w:bCs/>
          <w:b/>
        </w:rPr>
        <w:t xml:space="preserve">Capabilities.</w:t>
      </w:r>
      <w:r>
        <w:t xml:space="preserve"> </w:t>
      </w:r>
      <w:r>
        <w:t xml:space="preserve">Unified Purview Data Security Posture Management (GA May 2026) absorbing DSPM for AI: discovers and assesses data-security risk in AI use, including prompts and responses for Microsoft 365 Copilot, Entra-registered AI apps and ChatGPT Enterprise; covers Foundry workloads; partner sources and the posture agent in preview</w:t>
      </w:r>
      <w:r>
        <w:t xml:space="preserve"> </w:t>
      </w:r>
      <w:r>
        <w:rPr>
          <w:rStyle w:val="ClaimLabel"/>
        </w:rPr>
        <w:t xml:space="preserve">VF</w:t>
      </w:r>
      <w:r>
        <w:rPr>
          <w:rStyle w:val="FootnoteReference"/>
        </w:rPr>
        <w:footnoteReference w:id="2068"/>
      </w:r>
      <w:r>
        <w:t xml:space="preserve">.</w:t>
      </w:r>
    </w:p>
    <w:p>
      <w:pPr>
        <w:pStyle w:val="BodyText"/>
      </w:pPr>
      <w:r>
        <w:rPr>
          <w:bCs/>
          <w:b/>
        </w:rPr>
        <w:t xml:space="preserve">Strengths</w:t>
      </w:r>
    </w:p>
    <w:p>
      <w:pPr>
        <w:numPr>
          <w:ilvl w:val="0"/>
          <w:numId w:val="1433"/>
        </w:numPr>
        <w:pStyle w:val="Compact"/>
      </w:pPr>
      <w:r>
        <w:t xml:space="preserve">Posture over the AI apps employees already use, inside the Microsoft compliance estate</w:t>
      </w:r>
      <w:r>
        <w:t xml:space="preserve"> </w:t>
      </w:r>
      <w:r>
        <w:rPr>
          <w:rStyle w:val="ClaimLabel"/>
        </w:rPr>
        <w:t xml:space="preserve">AJ</w:t>
      </w:r>
    </w:p>
    <w:p>
      <w:pPr>
        <w:numPr>
          <w:ilvl w:val="0"/>
          <w:numId w:val="1433"/>
        </w:numPr>
        <w:pStyle w:val="Compact"/>
      </w:pPr>
      <w:r>
        <w:t xml:space="preserve">Purview portal in ISO 27001 scope; Purview in FedRAMP High scope</w:t>
      </w:r>
      <w:r>
        <w:t xml:space="preserve"> </w:t>
      </w:r>
      <w:r>
        <w:rPr>
          <w:rStyle w:val="ClaimLabel"/>
        </w:rPr>
        <w:t xml:space="preserve">VF</w:t>
      </w:r>
      <w:r>
        <w:rPr>
          <w:rStyle w:val="FootnoteReference"/>
        </w:rPr>
        <w:footnoteReference w:id="2071"/>
      </w:r>
    </w:p>
    <w:p>
      <w:pPr>
        <w:pStyle w:val="FirstParagraph"/>
      </w:pPr>
      <w:r>
        <w:rPr>
          <w:bCs/>
          <w:b/>
        </w:rPr>
        <w:t xml:space="preserve">Limitations and risks</w:t>
      </w:r>
    </w:p>
    <w:p>
      <w:pPr>
        <w:numPr>
          <w:ilvl w:val="0"/>
          <w:numId w:val="1434"/>
        </w:numPr>
        <w:pStyle w:val="Compact"/>
      </w:pPr>
      <w:r>
        <w:t xml:space="preserve">Posture and governance, not an inline tokenisation engine for custom agents</w:t>
      </w:r>
      <w:r>
        <w:t xml:space="preserve"> </w:t>
      </w:r>
      <w:r>
        <w:rPr>
          <w:rStyle w:val="ClaimLabel"/>
        </w:rPr>
        <w:t xml:space="preserve">AJ</w:t>
      </w:r>
    </w:p>
    <w:p>
      <w:pPr>
        <w:numPr>
          <w:ilvl w:val="0"/>
          <w:numId w:val="1434"/>
        </w:numPr>
        <w:pStyle w:val="Compact"/>
      </w:pPr>
      <w:r>
        <w:t xml:space="preserve">Requires Microsoft 365 E5 or Purview Suite; Business Premium coverage conflicting</w:t>
      </w:r>
      <w:r>
        <w:t xml:space="preserve"> </w:t>
      </w:r>
      <w:r>
        <w:rPr>
          <w:rStyle w:val="ClaimLabel"/>
        </w:rPr>
        <w:t xml:space="preserve">VF</w:t>
      </w:r>
      <w:r>
        <w:rPr>
          <w:rStyle w:val="FootnoteReference"/>
        </w:rPr>
        <w:footnoteReference w:id="2073"/>
      </w:r>
      <w:r>
        <w:t xml:space="preserve"> </w:t>
      </w:r>
      <w:r>
        <w:rPr>
          <w:rStyle w:val="ClaimLabel"/>
        </w:rPr>
        <w:t xml:space="preserve">R</w:t>
      </w:r>
      <w:r>
        <w:rPr>
          <w:rStyle w:val="FootnoteReference"/>
        </w:rPr>
        <w:footnoteReference w:id="2074"/>
      </w:r>
    </w:p>
    <w:p>
      <w:pPr>
        <w:numPr>
          <w:ilvl w:val="0"/>
          <w:numId w:val="1434"/>
        </w:numPr>
        <w:pStyle w:val="Compact"/>
      </w:pPr>
      <w:r>
        <w:t xml:space="preserve">Partner data sources and the posture agent still preview</w:t>
      </w:r>
      <w:r>
        <w:t xml:space="preserve"> </w:t>
      </w:r>
      <w:r>
        <w:rPr>
          <w:rStyle w:val="ClaimLabel"/>
        </w:rPr>
        <w:t xml:space="preserve">VF</w:t>
      </w:r>
      <w:r>
        <w:rPr>
          <w:rStyle w:val="FootnoteReference"/>
        </w:rPr>
        <w:footnoteReference w:id="2076"/>
      </w:r>
    </w:p>
    <w:p>
      <w:pPr>
        <w:numPr>
          <w:ilvl w:val="0"/>
          <w:numId w:val="1434"/>
        </w:numPr>
        <w:pStyle w:val="Compact"/>
      </w:pPr>
      <w:r>
        <w:t xml:space="preserve">Feature list of the new DSPM beyond AI coverage not verified</w:t>
      </w:r>
      <w:r>
        <w:t xml:space="preserve"> </w:t>
      </w:r>
      <w:r>
        <w:rPr>
          <w:rStyle w:val="ClaimLabel"/>
        </w:rPr>
        <w:t xml:space="preserve">NPV</w:t>
      </w:r>
    </w:p>
    <w:p>
      <w:pPr>
        <w:pStyle w:val="FirstParagraph"/>
      </w:pPr>
      <w:r>
        <w:rPr>
          <w:bCs/>
          <w:b/>
        </w:rPr>
        <w:t xml:space="preserve">Choose when</w:t>
      </w:r>
    </w:p>
    <w:p>
      <w:pPr>
        <w:numPr>
          <w:ilvl w:val="0"/>
          <w:numId w:val="1435"/>
        </w:numPr>
        <w:pStyle w:val="Compact"/>
      </w:pPr>
      <w:r>
        <w:t xml:space="preserve">Microsoft 365 Copilot or ChatGPT Enterprise is in use and E5/Purview Suite is licensed</w:t>
      </w:r>
      <w:r>
        <w:t xml:space="preserve"> </w:t>
      </w:r>
      <w:r>
        <w:rPr>
          <w:rStyle w:val="ClaimLabel"/>
        </w:rPr>
        <w:t xml:space="preserve">AJ</w:t>
      </w:r>
    </w:p>
    <w:p>
      <w:pPr>
        <w:pStyle w:val="FirstParagraph"/>
      </w:pPr>
      <w:r>
        <w:rPr>
          <w:bCs/>
          <w:b/>
        </w:rPr>
        <w:t xml:space="preserve">Avoid when</w:t>
      </w:r>
    </w:p>
    <w:p>
      <w:pPr>
        <w:numPr>
          <w:ilvl w:val="0"/>
          <w:numId w:val="1436"/>
        </w:numPr>
        <w:pStyle w:val="Compact"/>
      </w:pPr>
      <w:r>
        <w:t xml:space="preserve">You need run-time masking in a custom agent’s prompt path</w:t>
      </w:r>
      <w:r>
        <w:t xml:space="preserve"> </w:t>
      </w:r>
      <w:r>
        <w:rPr>
          <w:rStyle w:val="ClaimLabel"/>
        </w:rPr>
        <w:t xml:space="preserve">AJ</w:t>
      </w:r>
    </w:p>
    <w:p>
      <w:pPr>
        <w:numPr>
          <w:ilvl w:val="0"/>
          <w:numId w:val="1436"/>
        </w:numPr>
        <w:pStyle w:val="Compact"/>
      </w:pPr>
      <w:r>
        <w:t xml:space="preserve">You are not a Microsoft estate</w:t>
      </w:r>
      <w:r>
        <w:t xml:space="preserve"> </w:t>
      </w:r>
      <w:r>
        <w:rPr>
          <w:rStyle w:val="ClaimLabel"/>
        </w:rPr>
        <w:t xml:space="preserve">AJ</w:t>
      </w:r>
    </w:p>
    <w:p>
      <w:pPr>
        <w:pStyle w:val="FirstParagraph"/>
      </w:pPr>
      <w:r>
        <w:rPr>
          <w:bCs/>
          <w:b/>
        </w:rPr>
        <w:t xml:space="preserve">Nearest competitors:</w:t>
      </w:r>
      <w:r>
        <w:t xml:space="preserve"> </w:t>
      </w:r>
      <w:r>
        <w:t xml:space="preserve">C3-google-sdp, C3-protegrity, C3-skyflow</w:t>
      </w:r>
    </w:p>
    <w:p>
      <w:pPr>
        <w:pStyle w:val="BodyText"/>
      </w:pPr>
      <w:r>
        <w:rPr>
          <w:bCs/>
          <w:b/>
        </w:rPr>
        <w:t xml:space="preserve">Regulated-FS note.</w:t>
      </w:r>
      <w:r>
        <w:t xml:space="preserve"> </w:t>
      </w:r>
      <w:r>
        <w:t xml:space="preserve">Use for SaaS AI and Copilot posture evidence; do not count it as the prompt-path DLP control for custom agents; platform controls presumed (CP2 Q1); confirm per service</w:t>
      </w:r>
      <w:r>
        <w:t xml:space="preserve"> </w:t>
      </w:r>
      <w:r>
        <w:rPr>
          <w:rStyle w:val="ClaimLabel"/>
        </w:rPr>
        <w:t xml:space="preserve">Rec</w:t>
      </w:r>
      <w:r>
        <w:t xml:space="preserve">.</w:t>
      </w:r>
    </w:p>
    <w:p>
      <w:pPr>
        <w:pStyle w:val="BodyText"/>
      </w:pPr>
      <w:r>
        <w:rPr>
          <w:bCs/>
          <w:b/>
        </w:rPr>
        <w:t xml:space="preserve">Facts (as of 2026-10-08)</w:t>
      </w:r>
    </w:p>
    <w:tbl>
      <w:tblPr>
        <w:tblStyle w:val="Table"/>
        <w:tblW w:type="pct" w:w="5000"/>
        <w:tblLook w:firstRow="1" w:lastRow="0" w:firstColumn="0" w:lastColumn="0" w:noHBand="0" w:noVBand="0" w:val="0020"/>
        <w:jc w:val="start"/>
      </w:tblPr>
      <w:tblGrid>
        <w:gridCol w:w="1485"/>
        <w:gridCol w:w="4290"/>
        <w:gridCol w:w="1320"/>
        <w:gridCol w:w="825"/>
      </w:tblGrid>
      <w:tr>
        <w:trPr>
          <w:tblHeader w:val="true"/>
        </w:trPr>
        <w:tc>
          <w:tcPr/>
          <w:p>
            <w:pPr>
              <w:pStyle w:val="Compact"/>
              <w:jc w:val="left"/>
            </w:pPr>
            <w:r>
              <w:t xml:space="preserve">Field</w:t>
            </w:r>
          </w:p>
        </w:tc>
        <w:tc>
          <w:tcPr/>
          <w:p>
            <w:pPr>
              <w:pStyle w:val="Compact"/>
              <w:jc w:val="left"/>
            </w:pPr>
            <w:r>
              <w:t xml:space="preserve">Value</w:t>
            </w:r>
          </w:p>
        </w:tc>
        <w:tc>
          <w:tcPr/>
          <w:p>
            <w:pPr>
              <w:pStyle w:val="Compact"/>
              <w:jc w:val="left"/>
            </w:pPr>
            <w:r>
              <w:t xml:space="preserve">Label</w:t>
            </w:r>
          </w:p>
        </w:tc>
        <w:tc>
          <w:tcPr/>
          <w:p>
            <w:pPr>
              <w:pStyle w:val="Compact"/>
              <w:jc w:val="left"/>
            </w:pPr>
            <w:r>
              <w:t xml:space="preserve">Sources</w:t>
            </w:r>
          </w:p>
        </w:tc>
      </w:tr>
      <w:tr>
        <w:tc>
          <w:tcPr/>
          <w:p>
            <w:pPr>
              <w:pStyle w:val="Compact"/>
              <w:jc w:val="left"/>
            </w:pPr>
            <w:r>
              <w:t xml:space="preserve">Company</w:t>
            </w:r>
          </w:p>
        </w:tc>
        <w:tc>
          <w:tcPr/>
          <w:p>
            <w:pPr>
              <w:pStyle w:val="Compact"/>
              <w:jc w:val="left"/>
            </w:pPr>
            <w:r>
              <w:t xml:space="preserve">Microsoft</w:t>
            </w:r>
          </w:p>
        </w:tc>
        <w:tc>
          <w:tcPr/>
          <w:p>
            <w:pPr>
              <w:pStyle w:val="Compact"/>
              <w:jc w:val="left"/>
            </w:pPr>
            <w:r>
              <w:t xml:space="preserve">Verified fact</w:t>
            </w:r>
          </w:p>
        </w:tc>
        <w:tc>
          <w:tcPr/>
          <w:p>
            <w:pPr>
              <w:pStyle w:val="Compact"/>
              <w:jc w:val="left"/>
            </w:pPr>
            <w:r>
              <w:t xml:space="preserve">A6-S056</w:t>
            </w:r>
          </w:p>
        </w:tc>
      </w:tr>
      <w:tr>
        <w:tc>
          <w:tcPr/>
          <w:p>
            <w:pPr>
              <w:pStyle w:val="Compact"/>
              <w:jc w:val="left"/>
            </w:pPr>
            <w:r>
              <w:t xml:space="preserve">Category</w:t>
            </w:r>
          </w:p>
        </w:tc>
        <w:tc>
          <w:tcPr/>
          <w:p>
            <w:pPr>
              <w:pStyle w:val="Compact"/>
              <w:jc w:val="left"/>
            </w:pPr>
            <w:r>
              <w:t xml:space="preserve">Data security posture management for AI and data estates within the Microsoft Purview suite</w:t>
            </w:r>
          </w:p>
        </w:tc>
        <w:tc>
          <w:tcPr/>
          <w:p>
            <w:pPr>
              <w:pStyle w:val="Compact"/>
              <w:jc w:val="left"/>
            </w:pPr>
            <w:r>
              <w:t xml:space="preserve">Verified fact</w:t>
            </w:r>
          </w:p>
        </w:tc>
        <w:tc>
          <w:tcPr/>
          <w:p>
            <w:pPr>
              <w:pStyle w:val="Compact"/>
              <w:jc w:val="left"/>
            </w:pPr>
            <w:r>
              <w:t xml:space="preserve">A6-S090, A6-S091</w:t>
            </w:r>
          </w:p>
        </w:tc>
      </w:tr>
      <w:tr>
        <w:tc>
          <w:tcPr/>
          <w:p>
            <w:pPr>
              <w:pStyle w:val="Compact"/>
              <w:jc w:val="left"/>
            </w:pPr>
            <w:r>
              <w:t xml:space="preserve">Version / lineup</w:t>
            </w:r>
          </w:p>
        </w:tc>
        <w:tc>
          <w:tcPr/>
          <w:p>
            <w:pPr>
              <w:pStyle w:val="Compact"/>
              <w:jc w:val="left"/>
            </w:pPr>
            <w:r>
              <w:t xml:space="preserve">New DSPM generally available May 2026; classic DSPM and DSPM for AI remained until June 2026; partner (non-Microsoft) data sources and the Data Security Posture Agent still preview</w:t>
            </w:r>
          </w:p>
        </w:tc>
        <w:tc>
          <w:tcPr/>
          <w:p>
            <w:pPr>
              <w:pStyle w:val="Compact"/>
              <w:jc w:val="left"/>
            </w:pPr>
            <w:r>
              <w:t xml:space="preserve">Verified fact</w:t>
            </w:r>
          </w:p>
        </w:tc>
        <w:tc>
          <w:tcPr/>
          <w:p>
            <w:pPr>
              <w:pStyle w:val="Compact"/>
              <w:jc w:val="left"/>
            </w:pPr>
            <w:r>
              <w:t xml:space="preserve">A6-S090, V2-S036</w:t>
            </w:r>
          </w:p>
        </w:tc>
      </w:tr>
      <w:tr>
        <w:tc>
          <w:tcPr/>
          <w:p>
            <w:pPr>
              <w:pStyle w:val="Compact"/>
              <w:jc w:val="left"/>
            </w:pPr>
            <w:r>
              <w:t xml:space="preserve">Licence</w:t>
            </w:r>
          </w:p>
        </w:tc>
        <w:tc>
          <w:tcPr/>
          <w:p>
            <w:pPr>
              <w:pStyle w:val="Compact"/>
              <w:jc w:val="left"/>
            </w:pPr>
            <w:r>
              <w:t xml:space="preserve">Proprietary SaaS; requires Microsoft 365 E5 or Microsoft Purview Suite (formerly Microsoft 365 E5 Compliance)</w:t>
            </w:r>
          </w:p>
        </w:tc>
        <w:tc>
          <w:tcPr/>
          <w:p>
            <w:pPr>
              <w:pStyle w:val="Compact"/>
              <w:jc w:val="left"/>
            </w:pPr>
            <w:r>
              <w:t xml:space="preserve">Verified fact</w:t>
            </w:r>
          </w:p>
        </w:tc>
        <w:tc>
          <w:tcPr/>
          <w:p>
            <w:pPr>
              <w:pStyle w:val="Compact"/>
              <w:jc w:val="left"/>
            </w:pPr>
            <w:r>
              <w:t xml:space="preserve">A6-S091</w:t>
            </w:r>
          </w:p>
        </w:tc>
      </w:tr>
      <w:tr>
        <w:tc>
          <w:tcPr/>
          <w:p>
            <w:pPr>
              <w:pStyle w:val="Compact"/>
              <w:jc w:val="left"/>
            </w:pPr>
            <w:r>
              <w:t xml:space="preserve">Status events</w:t>
            </w:r>
          </w:p>
        </w:tc>
        <w:tc>
          <w:tcPr/>
          <w:p>
            <w:pPr>
              <w:pStyle w:val="Compact"/>
              <w:jc w:val="left"/>
            </w:pPr>
            <w:r>
              <w:t xml:space="preserve">May-June 2026: DSPM for AI consolidated into the new unified Purview DSPM (GA May 2026)</w:t>
            </w:r>
          </w:p>
        </w:tc>
        <w:tc>
          <w:tcPr/>
          <w:p>
            <w:pPr>
              <w:pStyle w:val="Compact"/>
              <w:jc w:val="left"/>
            </w:pPr>
            <w:r>
              <w:t xml:space="preserve">Verified fact</w:t>
            </w:r>
          </w:p>
        </w:tc>
        <w:tc>
          <w:tcPr/>
          <w:p>
            <w:pPr>
              <w:pStyle w:val="Compact"/>
              <w:jc w:val="left"/>
            </w:pPr>
            <w:r>
              <w:t xml:space="preserve">A6-S090, V2-S036</w:t>
            </w:r>
          </w:p>
        </w:tc>
      </w:tr>
      <w:tr>
        <w:tc>
          <w:tcPr/>
          <w:p>
            <w:pPr>
              <w:pStyle w:val="Compact"/>
              <w:jc w:val="left"/>
            </w:pPr>
            <w:r>
              <w:t xml:space="preserve">Strategic direction</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What it does</w:t>
            </w:r>
          </w:p>
        </w:tc>
        <w:tc>
          <w:tcPr/>
          <w:p>
            <w:pPr>
              <w:pStyle w:val="Compact"/>
              <w:jc w:val="left"/>
            </w:pPr>
            <w:r>
              <w:t xml:space="preserve">Discovers and assesses data-security risk in AI use, including interactions, prompts and responses for Microsoft 365 Copilot, Entra-registered AI apps and ChatGPT Enterprise (E5 required for prompt/response coverage); Purview also covers Microsoft Foundry workloads</w:t>
            </w:r>
          </w:p>
        </w:tc>
        <w:tc>
          <w:tcPr/>
          <w:p>
            <w:pPr>
              <w:pStyle w:val="Compact"/>
              <w:jc w:val="left"/>
            </w:pPr>
            <w:r>
              <w:t xml:space="preserve">Verified fact</w:t>
            </w:r>
          </w:p>
        </w:tc>
        <w:tc>
          <w:tcPr/>
          <w:p>
            <w:pPr>
              <w:pStyle w:val="Compact"/>
              <w:jc w:val="left"/>
            </w:pPr>
            <w:r>
              <w:t xml:space="preserve">A6-S091</w:t>
            </w:r>
          </w:p>
        </w:tc>
      </w:tr>
      <w:tr>
        <w:tc>
          <w:tcPr/>
          <w:p>
            <w:pPr>
              <w:pStyle w:val="Compact"/>
              <w:jc w:val="left"/>
            </w:pPr>
            <w:r>
              <w:t xml:space="preserve">Stack position</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Integration</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Dependencies</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Certifications</w:t>
            </w:r>
          </w:p>
        </w:tc>
        <w:tc>
          <w:tcPr/>
          <w:p>
            <w:pPr>
              <w:pStyle w:val="Compact"/>
              <w:jc w:val="left"/>
            </w:pPr>
            <w:r>
              <w:t xml:space="preserve">Microsoft Purview (incl. Data Map, Data Estate Insights and governance portal) in Azure FedRAMP High and DoD IL2 scope</w:t>
            </w:r>
          </w:p>
        </w:tc>
        <w:tc>
          <w:tcPr/>
          <w:p>
            <w:pPr>
              <w:pStyle w:val="Compact"/>
              <w:jc w:val="left"/>
            </w:pPr>
            <w:r>
              <w:t xml:space="preserve">Verified fact</w:t>
            </w:r>
          </w:p>
        </w:tc>
        <w:tc>
          <w:tcPr/>
          <w:p>
            <w:pPr>
              <w:pStyle w:val="Compact"/>
              <w:jc w:val="left"/>
            </w:pPr>
            <w:r>
              <w:t xml:space="preserve">A6-S056</w:t>
            </w:r>
          </w:p>
        </w:tc>
      </w:tr>
      <w:tr>
        <w:tc>
          <w:tcPr/>
          <w:p>
            <w:pPr>
              <w:pStyle w:val="Compact"/>
              <w:jc w:val="left"/>
            </w:pPr>
            <w:r>
              <w:t xml:space="preserve">GDPR / residency</w:t>
            </w:r>
          </w:p>
        </w:tc>
        <w:tc>
          <w:tcPr/>
          <w:p>
            <w:pPr>
              <w:pStyle w:val="Compact"/>
              <w:jc w:val="left"/>
            </w:pPr>
            <w:r>
              <w:t xml:space="preserve">In US Government GCC only Microsoft 365 Copilot and supported AI sites are available in DSPM for AI</w:t>
            </w:r>
          </w:p>
        </w:tc>
        <w:tc>
          <w:tcPr/>
          <w:p>
            <w:pPr>
              <w:pStyle w:val="Compact"/>
              <w:jc w:val="left"/>
            </w:pPr>
            <w:r>
              <w:t xml:space="preserve">Verified fact</w:t>
            </w:r>
          </w:p>
        </w:tc>
        <w:tc>
          <w:tcPr/>
          <w:p>
            <w:pPr>
              <w:pStyle w:val="Compact"/>
              <w:jc w:val="left"/>
            </w:pPr>
            <w:r>
              <w:t xml:space="preserve">A6-S091</w:t>
            </w:r>
          </w:p>
        </w:tc>
      </w:tr>
      <w:tr>
        <w:tc>
          <w:tcPr/>
          <w:p>
            <w:pPr>
              <w:pStyle w:val="Compact"/>
              <w:jc w:val="left"/>
            </w:pPr>
            <w:r>
              <w:t xml:space="preserve">Security features</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Access controls</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Enterprise support</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Pricing</w:t>
            </w:r>
          </w:p>
        </w:tc>
        <w:tc>
          <w:tcPr/>
          <w:p>
            <w:pPr>
              <w:pStyle w:val="Compact"/>
              <w:jc w:val="left"/>
            </w:pPr>
            <w:r>
              <w:t xml:space="preserve">Included in Microsoft 365 E5 / Purview Suite; community answers state the Purview Suite for Business Premium add-on (US$10/user/month) includes DSPM for AI - conflicting, unverified by an official licensing matrix</w:t>
            </w:r>
          </w:p>
        </w:tc>
        <w:tc>
          <w:tcPr/>
          <w:p>
            <w:pPr>
              <w:pStyle w:val="Compact"/>
              <w:jc w:val="left"/>
            </w:pPr>
            <w:r>
              <w:t xml:space="preserve">Reported</w:t>
            </w:r>
          </w:p>
        </w:tc>
        <w:tc>
          <w:tcPr/>
          <w:p>
            <w:pPr>
              <w:pStyle w:val="Compact"/>
              <w:jc w:val="left"/>
            </w:pPr>
            <w:r>
              <w:t xml:space="preserve">A6-S091, A6-S092</w:t>
            </w:r>
          </w:p>
        </w:tc>
      </w:tr>
      <w:tr>
        <w:tc>
          <w:tcPr/>
          <w:p>
            <w:pPr>
              <w:pStyle w:val="Compact"/>
              <w:jc w:val="left"/>
            </w:pPr>
            <w:r>
              <w:t xml:space="preserve">Infrastructure cost</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Ecosystem</w:t>
            </w:r>
          </w:p>
        </w:tc>
        <w:tc>
          <w:tcPr/>
          <w:p>
            <w:pPr>
              <w:pStyle w:val="Compact"/>
              <w:jc w:val="left"/>
            </w:pPr>
            <w:r>
              <w:t xml:space="preserve">Agent 365 is available as an add-on to Microsoft E5/A5/Business Premium or Microsoft Defender Suite + Microsoft Purview Suite</w:t>
            </w:r>
          </w:p>
        </w:tc>
        <w:tc>
          <w:tcPr/>
          <w:p>
            <w:pPr>
              <w:pStyle w:val="Compact"/>
              <w:jc w:val="left"/>
            </w:pPr>
            <w:r>
              <w:t xml:space="preserve">Verified fact</w:t>
            </w:r>
          </w:p>
        </w:tc>
        <w:tc>
          <w:tcPr/>
          <w:p>
            <w:pPr>
              <w:pStyle w:val="Compact"/>
              <w:jc w:val="left"/>
            </w:pPr>
            <w:r>
              <w:t xml:space="preserve">A6-S059</w:t>
            </w:r>
          </w:p>
        </w:tc>
      </w:tr>
      <w:tr>
        <w:tc>
          <w:tcPr/>
          <w:p>
            <w:pPr>
              <w:pStyle w:val="Compact"/>
              <w:jc w:val="left"/>
            </w:pPr>
            <w:r>
              <w:t xml:space="preserve">Adoption signals</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Maturity</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Deployment</w:t>
            </w:r>
          </w:p>
        </w:tc>
        <w:tc>
          <w:tcPr/>
          <w:p>
            <w:pPr>
              <w:pStyle w:val="Compact"/>
              <w:jc w:val="left"/>
            </w:pPr>
            <w:r>
              <w:t xml:space="preserve">saas: Yes (Microsoft cloud service); managed_cloud: Not publicly verified; vpc_byoc: Not publicly verified; private_cloud: Not publicly verified; self_hosted: Not publicly verified; on_prem: Not publicly verified</w:t>
            </w:r>
          </w:p>
        </w:tc>
        <w:tc>
          <w:tcPr/>
          <w:p>
            <w:pPr>
              <w:pStyle w:val="Compact"/>
            </w:pPr>
          </w:p>
        </w:tc>
        <w:tc>
          <w:tcPr/>
          <w:p>
            <w:pPr>
              <w:pStyle w:val="Compact"/>
            </w:pPr>
          </w:p>
        </w:tc>
      </w:tr>
    </w:tbl>
    <w:bookmarkEnd w:id="2077"/>
    <w:bookmarkStart w:id="2089" w:name="Xcea7cdd9978a09cbcab399def7f70fecb728206"/>
    <w:p>
      <w:pPr>
        <w:pStyle w:val="Heading2"/>
      </w:pPr>
      <w:r>
        <w:t xml:space="preserve">Skyflow (Data Privacy Vault; Detect) (</w:t>
      </w:r>
      <w:r>
        <w:rPr>
          <w:rStyle w:val="VerbatimChar"/>
        </w:rPr>
        <w:t xml:space="preserve">C3-skyflow</w:t>
      </w:r>
      <w:r>
        <w:t xml:space="preserve">)</w:t>
      </w:r>
    </w:p>
    <w:p>
      <w:pPr>
        <w:pStyle w:val="FirstParagraph"/>
      </w:pPr>
      <w:r>
        <w:rPr>
          <w:bCs/>
          <w:b/>
        </w:rPr>
        <w:t xml:space="preserve">Tier:</w:t>
      </w:r>
      <w:r>
        <w:t xml:space="preserve"> </w:t>
      </w:r>
      <w:r>
        <w:t xml:space="preserve">Tactical ·</w:t>
      </w:r>
      <w:r>
        <w:t xml:space="preserve"> </w:t>
      </w:r>
      <w:r>
        <w:rPr>
          <w:bCs/>
          <w:b/>
        </w:rPr>
        <w:t xml:space="preserve">Flags:</w:t>
      </w:r>
      <w:r>
        <w:t xml:space="preserve"> </w:t>
      </w:r>
      <w:r>
        <w:t xml:space="preserve">none ·</w:t>
      </w:r>
      <w:r>
        <w:t xml:space="preserve"> </w:t>
      </w:r>
      <w:r>
        <w:rPr>
          <w:bCs/>
          <w:b/>
        </w:rPr>
        <w:t xml:space="preserve">Original graphic label:</w:t>
      </w:r>
      <w:r>
        <w:t xml:space="preserve"> </w:t>
      </w:r>
      <w:r>
        <w:t xml:space="preserve">not in graphic</w:t>
      </w:r>
    </w:p>
    <w:p>
      <w:pPr>
        <w:pStyle w:val="BodyText"/>
      </w:pPr>
      <w:r>
        <w:rPr>
          <w:iCs/>
          <w:i/>
        </w:rPr>
        <w:t xml:space="preserve">Rationale:</w:t>
      </w:r>
      <w:r>
        <w:t xml:space="preserve"> </w:t>
      </w:r>
      <w:r>
        <w:t xml:space="preserve">Purpose-built for reversible LLM tokenisation, but a vendor-held vault is a lock-in and outsourcing decision, not a default</w:t>
      </w:r>
      <w:r>
        <w:t xml:space="preserve"> </w:t>
      </w:r>
      <w:r>
        <w:rPr>
          <w:rStyle w:val="ClaimLabel"/>
        </w:rPr>
        <w:t xml:space="preserve">AJ</w:t>
      </w:r>
      <w:r>
        <w:t xml:space="preserve">.</w:t>
      </w:r>
    </w:p>
    <w:tbl>
      <w:tblPr>
        <w:tblStyle w:val="Table"/>
        <w:tblW w:type="pct" w:w="5000"/>
        <w:tblLook w:firstRow="1" w:lastRow="0" w:firstColumn="0" w:lastColumn="0" w:noHBand="0" w:noVBand="0" w:val="0020"/>
        <w:jc w:val="start"/>
      </w:tblPr>
      <w:tblGrid>
        <w:gridCol w:w="1545"/>
        <w:gridCol w:w="579"/>
        <w:gridCol w:w="5795"/>
      </w:tblGrid>
      <w:tr>
        <w:trPr>
          <w:tblHeader w:val="true"/>
        </w:trPr>
        <w:tc>
          <w:tcPr/>
          <w:p>
            <w:pPr>
              <w:pStyle w:val="Compact"/>
              <w:jc w:val="left"/>
            </w:pPr>
            <w:r>
              <w:t xml:space="preserve">Criterion</w:t>
            </w:r>
          </w:p>
        </w:tc>
        <w:tc>
          <w:tcPr/>
          <w:p>
            <w:pPr>
              <w:pStyle w:val="Compact"/>
              <w:jc w:val="right"/>
            </w:pPr>
            <w:r>
              <w:t xml:space="preserve">Score</w:t>
            </w:r>
          </w:p>
        </w:tc>
        <w:tc>
          <w:tcPr/>
          <w:p>
            <w:pPr>
              <w:pStyle w:val="Compact"/>
              <w:jc w:val="left"/>
            </w:pPr>
            <w:r>
              <w:t xml:space="preserve">Rationale</w:t>
            </w:r>
          </w:p>
        </w:tc>
      </w:tr>
      <w:tr>
        <w:tc>
          <w:tcPr/>
          <w:p>
            <w:pPr>
              <w:pStyle w:val="Compact"/>
              <w:jc w:val="left"/>
            </w:pPr>
            <w:r>
              <w:t xml:space="preserve">Technical</w:t>
            </w:r>
          </w:p>
        </w:tc>
        <w:tc>
          <w:tcPr/>
          <w:p>
            <w:pPr>
              <w:pStyle w:val="Compact"/>
              <w:jc w:val="right"/>
            </w:pPr>
            <w:r>
              <w:t xml:space="preserve">4</w:t>
            </w:r>
          </w:p>
        </w:tc>
        <w:tc>
          <w:tcPr/>
          <w:p>
            <w:pPr>
              <w:pStyle w:val="Compact"/>
              <w:jc w:val="left"/>
            </w:pPr>
            <w:r>
              <w:t xml:space="preserve">Vault tokenisation, de-identification and authorised rehydration across the AI flow.</w:t>
            </w:r>
          </w:p>
        </w:tc>
      </w:tr>
      <w:tr>
        <w:tc>
          <w:tcPr/>
          <w:p>
            <w:pPr>
              <w:pStyle w:val="Compact"/>
              <w:jc w:val="left"/>
            </w:pPr>
            <w:r>
              <w:t xml:space="preserve">Enterprise readiness</w:t>
            </w:r>
          </w:p>
        </w:tc>
        <w:tc>
          <w:tcPr/>
          <w:p>
            <w:pPr>
              <w:pStyle w:val="Compact"/>
              <w:jc w:val="right"/>
            </w:pPr>
            <w:r>
              <w:t xml:space="preserve">3</w:t>
            </w:r>
          </w:p>
        </w:tc>
        <w:tc>
          <w:tcPr/>
          <w:p>
            <w:pPr>
              <w:pStyle w:val="Compact"/>
              <w:jc w:val="left"/>
            </w:pPr>
            <w:r>
              <w:t xml:space="preserve">CP2 Q2: role-scoped credentials (RBAC) verified; SSO and audit NPV; max 3.</w:t>
            </w:r>
          </w:p>
        </w:tc>
      </w:tr>
      <w:tr>
        <w:tc>
          <w:tcPr/>
          <w:p>
            <w:pPr>
              <w:pStyle w:val="Compact"/>
              <w:jc w:val="left"/>
            </w:pPr>
            <w:r>
              <w:t xml:space="preserve">Security and compliance</w:t>
            </w:r>
          </w:p>
        </w:tc>
        <w:tc>
          <w:tcPr/>
          <w:p>
            <w:pPr>
              <w:pStyle w:val="Compact"/>
              <w:jc w:val="right"/>
            </w:pPr>
            <w:r>
              <w:t xml:space="preserve">4</w:t>
            </w:r>
          </w:p>
        </w:tc>
        <w:tc>
          <w:tcPr/>
          <w:p>
            <w:pPr>
              <w:pStyle w:val="Compact"/>
              <w:jc w:val="left"/>
            </w:pPr>
            <w:r>
              <w:t xml:space="preserve">ISO 27001:2022, SOC 2 Type II and PCI DSS L1 listed on the trust page; no CMK/ISO 42001/FedRAMP verified; reports not public.</w:t>
            </w:r>
          </w:p>
        </w:tc>
      </w:tr>
      <w:tr>
        <w:tc>
          <w:tcPr/>
          <w:p>
            <w:pPr>
              <w:pStyle w:val="Compact"/>
              <w:jc w:val="left"/>
            </w:pPr>
            <w:r>
              <w:t xml:space="preserve">Deployment flexibility</w:t>
            </w:r>
          </w:p>
        </w:tc>
        <w:tc>
          <w:tcPr/>
          <w:p>
            <w:pPr>
              <w:pStyle w:val="Compact"/>
              <w:jc w:val="right"/>
            </w:pPr>
            <w:r>
              <w:t xml:space="preserve">2</w:t>
            </w:r>
          </w:p>
        </w:tc>
        <w:tc>
          <w:tcPr/>
          <w:p>
            <w:pPr>
              <w:pStyle w:val="Compact"/>
              <w:jc w:val="left"/>
            </w:pPr>
            <w:r>
              <w:t xml:space="preserve">Hosted vaults in many regions; self-host not verified.</w:t>
            </w:r>
          </w:p>
        </w:tc>
      </w:tr>
      <w:tr>
        <w:tc>
          <w:tcPr/>
          <w:p>
            <w:pPr>
              <w:pStyle w:val="Compact"/>
              <w:jc w:val="left"/>
            </w:pPr>
            <w:r>
              <w:t xml:space="preserve">Ecosystem</w:t>
            </w:r>
          </w:p>
        </w:tc>
        <w:tc>
          <w:tcPr/>
          <w:p>
            <w:pPr>
              <w:pStyle w:val="Compact"/>
              <w:jc w:val="right"/>
            </w:pPr>
            <w:r>
              <w:t xml:space="preserve">3</w:t>
            </w:r>
          </w:p>
        </w:tc>
        <w:tc>
          <w:tcPr/>
          <w:p>
            <w:pPr>
              <w:pStyle w:val="Compact"/>
              <w:jc w:val="left"/>
            </w:pPr>
            <w:r>
              <w:t xml:space="preserve">REST APIs and SDKs; mainstream.</w:t>
            </w:r>
          </w:p>
        </w:tc>
      </w:tr>
      <w:tr>
        <w:tc>
          <w:tcPr/>
          <w:p>
            <w:pPr>
              <w:pStyle w:val="Compact"/>
              <w:jc w:val="left"/>
            </w:pPr>
            <w:r>
              <w:t xml:space="preserve">Reliability and maturity</w:t>
            </w:r>
          </w:p>
        </w:tc>
        <w:tc>
          <w:tcPr/>
          <w:p>
            <w:pPr>
              <w:pStyle w:val="Compact"/>
              <w:jc w:val="right"/>
            </w:pPr>
            <w:r>
              <w:t xml:space="preserve">3</w:t>
            </w:r>
          </w:p>
        </w:tc>
        <w:tc>
          <w:tcPr/>
          <w:p>
            <w:pPr>
              <w:pStyle w:val="Compact"/>
              <w:jc w:val="left"/>
            </w:pPr>
            <w:r>
              <w:t xml:space="preserve">SDK since October 2021; v1 EOL forces migration; funding last verified 2024.</w:t>
            </w:r>
          </w:p>
        </w:tc>
      </w:tr>
      <w:tr>
        <w:tc>
          <w:tcPr/>
          <w:p>
            <w:pPr>
              <w:pStyle w:val="Compact"/>
              <w:jc w:val="left"/>
            </w:pPr>
            <w:r>
              <w:t xml:space="preserve">Cost / TCO</w:t>
            </w:r>
          </w:p>
        </w:tc>
        <w:tc>
          <w:tcPr/>
          <w:p>
            <w:pPr>
              <w:pStyle w:val="Compact"/>
              <w:jc w:val="right"/>
            </w:pPr>
            <w:r>
              <w:t xml:space="preserve">2</w:t>
            </w:r>
          </w:p>
        </w:tc>
        <w:tc>
          <w:tcPr/>
          <w:p>
            <w:pPr>
              <w:pStyle w:val="Compact"/>
              <w:jc w:val="left"/>
            </w:pPr>
            <w:r>
              <w:t xml:space="preserve">Pricing not published.</w:t>
            </w:r>
          </w:p>
        </w:tc>
      </w:tr>
      <w:tr>
        <w:tc>
          <w:tcPr/>
          <w:p>
            <w:pPr>
              <w:pStyle w:val="Compact"/>
              <w:jc w:val="left"/>
            </w:pPr>
            <w:r>
              <w:t xml:space="preserve">Lock-in / portability</w:t>
            </w:r>
          </w:p>
        </w:tc>
        <w:tc>
          <w:tcPr/>
          <w:p>
            <w:pPr>
              <w:pStyle w:val="Compact"/>
              <w:jc w:val="right"/>
            </w:pPr>
            <w:r>
              <w:t xml:space="preserve">2</w:t>
            </w:r>
          </w:p>
        </w:tc>
        <w:tc>
          <w:tcPr/>
          <w:p>
            <w:pPr>
              <w:pStyle w:val="Compact"/>
              <w:jc w:val="left"/>
            </w:pPr>
            <w:r>
              <w:t xml:space="preserve">Vendor-held vault and token map; exit requires bulk detokenisation.</w:t>
            </w:r>
          </w:p>
        </w:tc>
      </w:tr>
      <w:tr>
        <w:tc>
          <w:tcPr/>
          <w:p>
            <w:pPr>
              <w:pStyle w:val="Compact"/>
              <w:jc w:val="left"/>
            </w:pPr>
            <w:r>
              <w:rPr>
                <w:bCs/>
                <w:b/>
              </w:rPr>
              <w:t xml:space="preserve">Total (generic / FS)</w:t>
            </w:r>
          </w:p>
        </w:tc>
        <w:tc>
          <w:tcPr/>
          <w:p>
            <w:pPr>
              <w:pStyle w:val="Compact"/>
              <w:jc w:val="right"/>
            </w:pPr>
            <w:r>
              <w:rPr>
                <w:bCs/>
                <w:b/>
              </w:rPr>
              <w:t xml:space="preserve">3.05 / 3.00</w:t>
            </w:r>
          </w:p>
        </w:tc>
        <w:tc>
          <w:tcPr/>
          <w:p>
            <w:pPr>
              <w:pStyle w:val="Compact"/>
            </w:pPr>
          </w:p>
        </w:tc>
      </w:tr>
    </w:tbl>
    <w:p>
      <w:pPr>
        <w:pStyle w:val="BodyText"/>
      </w:pPr>
      <w:r>
        <w:rPr>
          <w:iCs/>
          <w:i/>
        </w:rPr>
        <w:t xml:space="preserve">Evidence rules applied:</w:t>
      </w:r>
      <w:r>
        <w:t xml:space="preserve"> </w:t>
      </w:r>
      <w:r>
        <w:t xml:space="preserve">enterprise_readiness: CP2 Q2 partial evidence (RBAC only verified), max 3</w:t>
      </w:r>
    </w:p>
    <w:p>
      <w:pPr>
        <w:pStyle w:val="BodyText"/>
      </w:pPr>
      <w:r>
        <w:rPr>
          <w:bCs/>
          <w:b/>
        </w:rPr>
        <w:t xml:space="preserve">Capabilities.</w:t>
      </w:r>
      <w:r>
        <w:t xml:space="preserve"> </w:t>
      </w:r>
      <w:r>
        <w:t xml:space="preserve">Data privacy vault: stores sensitive data and returns tokens; detokenises under role-scoped credentials; Detect APIs de-identify text and files; LLM Privacy Vault tokenises or masks data before models, prompts, RAG, tools, traces and agent workflows with authorised rehydration; EU vaults</w:t>
      </w:r>
      <w:r>
        <w:t xml:space="preserve"> </w:t>
      </w:r>
      <w:r>
        <w:rPr>
          <w:rStyle w:val="ClaimLabel"/>
        </w:rPr>
        <w:t xml:space="preserve">VF</w:t>
      </w:r>
      <w:r>
        <w:rPr>
          <w:rStyle w:val="FootnoteReference"/>
        </w:rPr>
        <w:footnoteReference w:id="2078"/>
      </w:r>
      <w:r>
        <w:t xml:space="preserve">.</w:t>
      </w:r>
    </w:p>
    <w:p>
      <w:pPr>
        <w:pStyle w:val="BodyText"/>
      </w:pPr>
      <w:r>
        <w:rPr>
          <w:bCs/>
          <w:b/>
        </w:rPr>
        <w:t xml:space="preserve">Strengths</w:t>
      </w:r>
    </w:p>
    <w:p>
      <w:pPr>
        <w:numPr>
          <w:ilvl w:val="0"/>
          <w:numId w:val="1437"/>
        </w:numPr>
        <w:pStyle w:val="Compact"/>
      </w:pPr>
      <w:r>
        <w:t xml:space="preserve">Built around reversible tokenisation of LLM traffic</w:t>
      </w:r>
      <w:r>
        <w:t xml:space="preserve"> </w:t>
      </w:r>
      <w:r>
        <w:rPr>
          <w:rStyle w:val="ClaimLabel"/>
        </w:rPr>
        <w:t xml:space="preserve">VF</w:t>
      </w:r>
      <w:r>
        <w:rPr>
          <w:rStyle w:val="FootnoteReference"/>
        </w:rPr>
        <w:footnoteReference w:id="2081"/>
      </w:r>
    </w:p>
    <w:p>
      <w:pPr>
        <w:numPr>
          <w:ilvl w:val="0"/>
          <w:numId w:val="1437"/>
        </w:numPr>
        <w:pStyle w:val="Compact"/>
      </w:pPr>
      <w:r>
        <w:t xml:space="preserve">Residency by vault region, including EU vaults</w:t>
      </w:r>
      <w:r>
        <w:t xml:space="preserve"> </w:t>
      </w:r>
      <w:r>
        <w:rPr>
          <w:rStyle w:val="ClaimLabel"/>
        </w:rPr>
        <w:t xml:space="preserve">VF</w:t>
      </w:r>
      <w:r>
        <w:rPr>
          <w:rStyle w:val="FootnoteReference"/>
        </w:rPr>
        <w:footnoteReference w:id="2082"/>
      </w:r>
    </w:p>
    <w:p>
      <w:pPr>
        <w:numPr>
          <w:ilvl w:val="0"/>
          <w:numId w:val="1437"/>
        </w:numPr>
        <w:pStyle w:val="Compact"/>
      </w:pPr>
      <w:r>
        <w:t xml:space="preserve">Security page lists ISO 27001:2022, SOC 2 Type II and PCI DSS Level 1</w:t>
      </w:r>
      <w:r>
        <w:t xml:space="preserve"> </w:t>
      </w:r>
      <w:r>
        <w:rPr>
          <w:rStyle w:val="ClaimLabel"/>
        </w:rPr>
        <w:t xml:space="preserve">VF</w:t>
      </w:r>
      <w:r>
        <w:rPr>
          <w:rStyle w:val="FootnoteReference"/>
        </w:rPr>
        <w:footnoteReference w:id="2083"/>
      </w:r>
    </w:p>
    <w:p>
      <w:pPr>
        <w:pStyle w:val="FirstParagraph"/>
      </w:pPr>
      <w:r>
        <w:rPr>
          <w:bCs/>
          <w:b/>
        </w:rPr>
        <w:t xml:space="preserve">Limitations and risks</w:t>
      </w:r>
    </w:p>
    <w:p>
      <w:pPr>
        <w:numPr>
          <w:ilvl w:val="0"/>
          <w:numId w:val="1438"/>
        </w:numPr>
        <w:pStyle w:val="Compact"/>
      </w:pPr>
      <w:r>
        <w:t xml:space="preserve">Vendor holds the sensitive values and sits on the critical path of re-identification</w:t>
      </w:r>
      <w:r>
        <w:t xml:space="preserve"> </w:t>
      </w:r>
      <w:r>
        <w:rPr>
          <w:rStyle w:val="ClaimLabel"/>
        </w:rPr>
        <w:t xml:space="preserve">AJ</w:t>
      </w:r>
    </w:p>
    <w:p>
      <w:pPr>
        <w:numPr>
          <w:ilvl w:val="0"/>
          <w:numId w:val="1438"/>
        </w:numPr>
        <w:pStyle w:val="Compact"/>
      </w:pPr>
      <w:r>
        <w:t xml:space="preserve">Self-hosting, SSO, audit logs and pricing not verified</w:t>
      </w:r>
      <w:r>
        <w:t xml:space="preserve"> </w:t>
      </w:r>
      <w:r>
        <w:rPr>
          <w:rStyle w:val="ClaimLabel"/>
        </w:rPr>
        <w:t xml:space="preserve">NPV</w:t>
      </w:r>
    </w:p>
    <w:p>
      <w:pPr>
        <w:numPr>
          <w:ilvl w:val="0"/>
          <w:numId w:val="1438"/>
        </w:numPr>
        <w:pStyle w:val="Compact"/>
      </w:pPr>
      <w:r>
        <w:t xml:space="preserve">SDK v1 end of life 31 October 2026</w:t>
      </w:r>
      <w:r>
        <w:t xml:space="preserve"> </w:t>
      </w:r>
      <w:r>
        <w:rPr>
          <w:rStyle w:val="ClaimLabel"/>
        </w:rPr>
        <w:t xml:space="preserve">VF</w:t>
      </w:r>
      <w:r>
        <w:rPr>
          <w:rStyle w:val="FootnoteReference"/>
        </w:rPr>
        <w:footnoteReference w:id="2085"/>
      </w:r>
    </w:p>
    <w:p>
      <w:pPr>
        <w:numPr>
          <w:ilvl w:val="0"/>
          <w:numId w:val="1438"/>
        </w:numPr>
        <w:pStyle w:val="Compact"/>
      </w:pPr>
      <w:r>
        <w:t xml:space="preserve">No funding round verified after March 2024</w:t>
      </w:r>
      <w:r>
        <w:t xml:space="preserve"> </w:t>
      </w:r>
      <w:r>
        <w:rPr>
          <w:rStyle w:val="ClaimLabel"/>
        </w:rPr>
        <w:t xml:space="preserve">VF</w:t>
      </w:r>
      <w:r>
        <w:rPr>
          <w:rStyle w:val="FootnoteReference"/>
        </w:rPr>
        <w:footnoteReference w:id="2086"/>
      </w:r>
    </w:p>
    <w:p>
      <w:pPr>
        <w:numPr>
          <w:ilvl w:val="0"/>
          <w:numId w:val="1438"/>
        </w:numPr>
        <w:pStyle w:val="Compact"/>
      </w:pPr>
      <w:r>
        <w:t xml:space="preserve">Certification reports not public</w:t>
      </w:r>
      <w:r>
        <w:t xml:space="preserve"> </w:t>
      </w:r>
      <w:r>
        <w:rPr>
          <w:rStyle w:val="ClaimLabel"/>
        </w:rPr>
        <w:t xml:space="preserve">VF</w:t>
      </w:r>
      <w:r>
        <w:rPr>
          <w:rStyle w:val="FootnoteReference"/>
        </w:rPr>
        <w:footnoteReference w:id="2088"/>
      </w:r>
    </w:p>
    <w:p>
      <w:pPr>
        <w:pStyle w:val="FirstParagraph"/>
      </w:pPr>
      <w:r>
        <w:rPr>
          <w:bCs/>
          <w:b/>
        </w:rPr>
        <w:t xml:space="preserve">Choose when</w:t>
      </w:r>
    </w:p>
    <w:p>
      <w:pPr>
        <w:numPr>
          <w:ilvl w:val="0"/>
          <w:numId w:val="1439"/>
        </w:numPr>
        <w:pStyle w:val="Compact"/>
      </w:pPr>
      <w:r>
        <w:t xml:space="preserve">You need reversible pseudonymisation across many applications with per-region vaults</w:t>
      </w:r>
      <w:r>
        <w:t xml:space="preserve"> </w:t>
      </w:r>
      <w:r>
        <w:rPr>
          <w:rStyle w:val="ClaimLabel"/>
        </w:rPr>
        <w:t xml:space="preserve">AJ</w:t>
      </w:r>
    </w:p>
    <w:p>
      <w:pPr>
        <w:pStyle w:val="FirstParagraph"/>
      </w:pPr>
      <w:r>
        <w:rPr>
          <w:bCs/>
          <w:b/>
        </w:rPr>
        <w:t xml:space="preserve">Avoid when</w:t>
      </w:r>
    </w:p>
    <w:p>
      <w:pPr>
        <w:numPr>
          <w:ilvl w:val="0"/>
          <w:numId w:val="1440"/>
        </w:numPr>
        <w:pStyle w:val="Compact"/>
      </w:pPr>
      <w:r>
        <w:t xml:space="preserve">Policy requires identifiers to stay in the firm’s estate</w:t>
      </w:r>
      <w:r>
        <w:t xml:space="preserve"> </w:t>
      </w:r>
      <w:r>
        <w:rPr>
          <w:rStyle w:val="ClaimLabel"/>
        </w:rPr>
        <w:t xml:space="preserve">AJ</w:t>
      </w:r>
    </w:p>
    <w:p>
      <w:pPr>
        <w:numPr>
          <w:ilvl w:val="0"/>
          <w:numId w:val="1440"/>
        </w:numPr>
        <w:pStyle w:val="Compact"/>
      </w:pPr>
      <w:r>
        <w:t xml:space="preserve">You cannot test bulk detokenisation for exit</w:t>
      </w:r>
      <w:r>
        <w:t xml:space="preserve"> </w:t>
      </w:r>
      <w:r>
        <w:rPr>
          <w:rStyle w:val="ClaimLabel"/>
        </w:rPr>
        <w:t xml:space="preserve">AJ</w:t>
      </w:r>
    </w:p>
    <w:p>
      <w:pPr>
        <w:pStyle w:val="FirstParagraph"/>
      </w:pPr>
      <w:r>
        <w:rPr>
          <w:bCs/>
          <w:b/>
        </w:rPr>
        <w:t xml:space="preserve">Nearest competitors:</w:t>
      </w:r>
      <w:r>
        <w:t xml:space="preserve"> </w:t>
      </w:r>
      <w:r>
        <w:t xml:space="preserve">C3-protegrity, C3-google-sdp, firm-built token service</w:t>
      </w:r>
    </w:p>
    <w:p>
      <w:pPr>
        <w:pStyle w:val="BodyText"/>
      </w:pPr>
      <w:r>
        <w:rPr>
          <w:bCs/>
          <w:b/>
        </w:rPr>
        <w:t xml:space="preserve">Regulated-FS note.</w:t>
      </w:r>
      <w:r>
        <w:t xml:space="preserve"> </w:t>
      </w:r>
      <w:r>
        <w:t xml:space="preserve">Migrate off SDK v1 before 31 October 2026; test bulk detokenisation as the exit plan; assess financial resilience as a material outsourcing</w:t>
      </w:r>
      <w:r>
        <w:t xml:space="preserve"> </w:t>
      </w:r>
      <w:r>
        <w:rPr>
          <w:rStyle w:val="ClaimLabel"/>
        </w:rPr>
        <w:t xml:space="preserve">Rec</w:t>
      </w:r>
      <w:r>
        <w:t xml:space="preserve">.</w:t>
      </w:r>
    </w:p>
    <w:p>
      <w:pPr>
        <w:pStyle w:val="BodyText"/>
      </w:pPr>
      <w:r>
        <w:rPr>
          <w:bCs/>
          <w:b/>
        </w:rPr>
        <w:t xml:space="preserve">Facts (as of 2026-10-07)</w:t>
      </w:r>
    </w:p>
    <w:tbl>
      <w:tblPr>
        <w:tblStyle w:val="Table"/>
        <w:tblW w:type="pct" w:w="5000"/>
        <w:tblLook w:firstRow="1" w:lastRow="0" w:firstColumn="0" w:lastColumn="0" w:noHBand="0" w:noVBand="0" w:val="0020"/>
        <w:jc w:val="start"/>
      </w:tblPr>
      <w:tblGrid>
        <w:gridCol w:w="1485"/>
        <w:gridCol w:w="4290"/>
        <w:gridCol w:w="1320"/>
        <w:gridCol w:w="825"/>
      </w:tblGrid>
      <w:tr>
        <w:trPr>
          <w:tblHeader w:val="true"/>
        </w:trPr>
        <w:tc>
          <w:tcPr/>
          <w:p>
            <w:pPr>
              <w:pStyle w:val="Compact"/>
              <w:jc w:val="left"/>
            </w:pPr>
            <w:r>
              <w:t xml:space="preserve">Field</w:t>
            </w:r>
          </w:p>
        </w:tc>
        <w:tc>
          <w:tcPr/>
          <w:p>
            <w:pPr>
              <w:pStyle w:val="Compact"/>
              <w:jc w:val="left"/>
            </w:pPr>
            <w:r>
              <w:t xml:space="preserve">Value</w:t>
            </w:r>
          </w:p>
        </w:tc>
        <w:tc>
          <w:tcPr/>
          <w:p>
            <w:pPr>
              <w:pStyle w:val="Compact"/>
              <w:jc w:val="left"/>
            </w:pPr>
            <w:r>
              <w:t xml:space="preserve">Label</w:t>
            </w:r>
          </w:p>
        </w:tc>
        <w:tc>
          <w:tcPr/>
          <w:p>
            <w:pPr>
              <w:pStyle w:val="Compact"/>
              <w:jc w:val="left"/>
            </w:pPr>
            <w:r>
              <w:t xml:space="preserve">Sources</w:t>
            </w:r>
          </w:p>
        </w:tc>
      </w:tr>
      <w:tr>
        <w:tc>
          <w:tcPr/>
          <w:p>
            <w:pPr>
              <w:pStyle w:val="Compact"/>
              <w:jc w:val="left"/>
            </w:pPr>
            <w:r>
              <w:t xml:space="preserve">Company</w:t>
            </w:r>
          </w:p>
        </w:tc>
        <w:tc>
          <w:tcPr/>
          <w:p>
            <w:pPr>
              <w:pStyle w:val="Compact"/>
              <w:jc w:val="left"/>
            </w:pPr>
            <w:r>
              <w:t xml:space="preserve">Skyflow</w:t>
            </w:r>
          </w:p>
        </w:tc>
        <w:tc>
          <w:tcPr/>
          <w:p>
            <w:pPr>
              <w:pStyle w:val="Compact"/>
              <w:jc w:val="left"/>
            </w:pPr>
            <w:r>
              <w:t xml:space="preserve">Verified fact</w:t>
            </w:r>
          </w:p>
        </w:tc>
        <w:tc>
          <w:tcPr/>
          <w:p>
            <w:pPr>
              <w:pStyle w:val="Compact"/>
              <w:jc w:val="left"/>
            </w:pPr>
            <w:r>
              <w:t xml:space="preserve">A6-S081</w:t>
            </w:r>
          </w:p>
        </w:tc>
      </w:tr>
      <w:tr>
        <w:tc>
          <w:tcPr/>
          <w:p>
            <w:pPr>
              <w:pStyle w:val="Compact"/>
              <w:jc w:val="left"/>
            </w:pPr>
            <w:r>
              <w:t xml:space="preserve">Category</w:t>
            </w:r>
          </w:p>
        </w:tc>
        <w:tc>
          <w:tcPr/>
          <w:p>
            <w:pPr>
              <w:pStyle w:val="Compact"/>
              <w:jc w:val="left"/>
            </w:pPr>
            <w:r>
              <w:t xml:space="preserve">Data privacy vault with tokenisation and de-identification (Detect) APIs</w:t>
            </w:r>
          </w:p>
        </w:tc>
        <w:tc>
          <w:tcPr/>
          <w:p>
            <w:pPr>
              <w:pStyle w:val="Compact"/>
              <w:jc w:val="left"/>
            </w:pPr>
            <w:r>
              <w:t xml:space="preserve">Verified fact</w:t>
            </w:r>
          </w:p>
        </w:tc>
        <w:tc>
          <w:tcPr/>
          <w:p>
            <w:pPr>
              <w:pStyle w:val="Compact"/>
              <w:jc w:val="left"/>
            </w:pPr>
            <w:r>
              <w:t xml:space="preserve">A6-S081</w:t>
            </w:r>
          </w:p>
        </w:tc>
      </w:tr>
      <w:tr>
        <w:tc>
          <w:tcPr/>
          <w:p>
            <w:pPr>
              <w:pStyle w:val="Compact"/>
              <w:jc w:val="left"/>
            </w:pPr>
            <w:r>
              <w:t xml:space="preserve">Version / lineup</w:t>
            </w:r>
          </w:p>
        </w:tc>
        <w:tc>
          <w:tcPr/>
          <w:p>
            <w:pPr>
              <w:pStyle w:val="Compact"/>
              <w:jc w:val="left"/>
            </w:pPr>
            <w:r>
              <w:t xml:space="preserve">Python SDK skyflow 2.1.3 (4 August 2026); SDK v1 in maintenance, end of life 31 October 2026</w:t>
            </w:r>
          </w:p>
        </w:tc>
        <w:tc>
          <w:tcPr/>
          <w:p>
            <w:pPr>
              <w:pStyle w:val="Compact"/>
              <w:jc w:val="left"/>
            </w:pPr>
            <w:r>
              <w:t xml:space="preserve">Verified fact</w:t>
            </w:r>
          </w:p>
        </w:tc>
        <w:tc>
          <w:tcPr/>
          <w:p>
            <w:pPr>
              <w:pStyle w:val="Compact"/>
              <w:jc w:val="left"/>
            </w:pPr>
            <w:r>
              <w:t xml:space="preserve">A6-S081</w:t>
            </w:r>
          </w:p>
        </w:tc>
      </w:tr>
      <w:tr>
        <w:tc>
          <w:tcPr/>
          <w:p>
            <w:pPr>
              <w:pStyle w:val="Compact"/>
              <w:jc w:val="left"/>
            </w:pPr>
            <w:r>
              <w:t xml:space="preserve">Licence</w:t>
            </w:r>
          </w:p>
        </w:tc>
        <w:tc>
          <w:tcPr/>
          <w:p>
            <w:pPr>
              <w:pStyle w:val="Compact"/>
              <w:jc w:val="left"/>
            </w:pPr>
            <w:r>
              <w:t xml:space="preserve">Proprietary SaaS; SDK published on PyPI</w:t>
            </w:r>
          </w:p>
        </w:tc>
        <w:tc>
          <w:tcPr/>
          <w:p>
            <w:pPr>
              <w:pStyle w:val="Compact"/>
              <w:jc w:val="left"/>
            </w:pPr>
            <w:r>
              <w:t xml:space="preserve">Verified fact</w:t>
            </w:r>
          </w:p>
        </w:tc>
        <w:tc>
          <w:tcPr/>
          <w:p>
            <w:pPr>
              <w:pStyle w:val="Compact"/>
              <w:jc w:val="left"/>
            </w:pPr>
            <w:r>
              <w:t xml:space="preserve">A6-S081</w:t>
            </w:r>
          </w:p>
        </w:tc>
      </w:tr>
      <w:tr>
        <w:tc>
          <w:tcPr/>
          <w:p>
            <w:pPr>
              <w:pStyle w:val="Compact"/>
              <w:jc w:val="left"/>
            </w:pPr>
            <w:r>
              <w:t xml:space="preserve">Strategic direction</w:t>
            </w:r>
          </w:p>
        </w:tc>
        <w:tc>
          <w:tcPr/>
          <w:p>
            <w:pPr>
              <w:pStyle w:val="Compact"/>
              <w:jc w:val="left"/>
            </w:pPr>
            <w:r>
              <w:t xml:space="preserve">LLM Privacy Vault: tokenises or masks sensitive data before it reaches models, prompts, RAG, tools, traces and agent workflows, with authorised rehydration; Runtime Data Control for Enterprise AI Search</w:t>
            </w:r>
          </w:p>
        </w:tc>
        <w:tc>
          <w:tcPr/>
          <w:p>
            <w:pPr>
              <w:pStyle w:val="Compact"/>
              <w:jc w:val="left"/>
            </w:pPr>
            <w:r>
              <w:t xml:space="preserve">Verified fact</w:t>
            </w:r>
          </w:p>
        </w:tc>
        <w:tc>
          <w:tcPr/>
          <w:p>
            <w:pPr>
              <w:pStyle w:val="Compact"/>
              <w:jc w:val="left"/>
            </w:pPr>
            <w:r>
              <w:t xml:space="preserve">A6-S095</w:t>
            </w:r>
          </w:p>
        </w:tc>
      </w:tr>
      <w:tr>
        <w:tc>
          <w:tcPr/>
          <w:p>
            <w:pPr>
              <w:pStyle w:val="Compact"/>
              <w:jc w:val="left"/>
            </w:pPr>
            <w:r>
              <w:t xml:space="preserve">What it does</w:t>
            </w:r>
          </w:p>
        </w:tc>
        <w:tc>
          <w:tcPr/>
          <w:p>
            <w:pPr>
              <w:pStyle w:val="Compact"/>
              <w:jc w:val="left"/>
            </w:pPr>
            <w:r>
              <w:t xml:space="preserve">Stores sensitive data in vaults and returns tokens; detokenises under role-scoped credentials; Detect APIs de-identify text and files (redaction types) for use in AI and analytics workflows.</w:t>
            </w:r>
          </w:p>
        </w:tc>
        <w:tc>
          <w:tcPr/>
          <w:p>
            <w:pPr>
              <w:pStyle w:val="Compact"/>
              <w:jc w:val="left"/>
            </w:pPr>
            <w:r>
              <w:t xml:space="preserve">Verified fact</w:t>
            </w:r>
          </w:p>
        </w:tc>
        <w:tc>
          <w:tcPr/>
          <w:p>
            <w:pPr>
              <w:pStyle w:val="Compact"/>
              <w:jc w:val="left"/>
            </w:pPr>
            <w:r>
              <w:t xml:space="preserve">A6-S081</w:t>
            </w:r>
          </w:p>
        </w:tc>
      </w:tr>
      <w:tr>
        <w:tc>
          <w:tcPr/>
          <w:p>
            <w:pPr>
              <w:pStyle w:val="Compact"/>
              <w:jc w:val="left"/>
            </w:pPr>
            <w:r>
              <w:t xml:space="preserve">Stack position</w:t>
            </w:r>
          </w:p>
        </w:tc>
        <w:tc>
          <w:tcPr/>
          <w:p>
            <w:pPr>
              <w:pStyle w:val="Compact"/>
              <w:jc w:val="left"/>
            </w:pPr>
            <w:r>
              <w:t xml:space="preserve">Vault/tokenisation service outside the AI stack; de-identification before prompts or ingestion</w:t>
            </w:r>
          </w:p>
        </w:tc>
        <w:tc>
          <w:tcPr/>
          <w:p>
            <w:pPr>
              <w:pStyle w:val="Compact"/>
              <w:jc w:val="left"/>
            </w:pPr>
            <w:r>
              <w:t xml:space="preserve">Verified fact</w:t>
            </w:r>
          </w:p>
        </w:tc>
        <w:tc>
          <w:tcPr/>
          <w:p>
            <w:pPr>
              <w:pStyle w:val="Compact"/>
              <w:jc w:val="left"/>
            </w:pPr>
            <w:r>
              <w:t xml:space="preserve">A6-S081</w:t>
            </w:r>
          </w:p>
        </w:tc>
      </w:tr>
      <w:tr>
        <w:tc>
          <w:tcPr/>
          <w:p>
            <w:pPr>
              <w:pStyle w:val="Compact"/>
              <w:jc w:val="left"/>
            </w:pPr>
            <w:r>
              <w:t xml:space="preserve">Integration</w:t>
            </w:r>
          </w:p>
        </w:tc>
        <w:tc>
          <w:tcPr/>
          <w:p>
            <w:pPr>
              <w:pStyle w:val="Compact"/>
              <w:jc w:val="left"/>
            </w:pPr>
            <w:r>
              <w:t xml:space="preserve">REST APIs and SDKs; vault URLs per cluster (https://{cluster_id}.vault.skyflowapis.com); environments PROD, SANDBOX, DEV, STAGE</w:t>
            </w:r>
          </w:p>
        </w:tc>
        <w:tc>
          <w:tcPr/>
          <w:p>
            <w:pPr>
              <w:pStyle w:val="Compact"/>
              <w:jc w:val="left"/>
            </w:pPr>
            <w:r>
              <w:t xml:space="preserve">Verified fact</w:t>
            </w:r>
          </w:p>
        </w:tc>
        <w:tc>
          <w:tcPr/>
          <w:p>
            <w:pPr>
              <w:pStyle w:val="Compact"/>
              <w:jc w:val="left"/>
            </w:pPr>
            <w:r>
              <w:t xml:space="preserve">A6-S081</w:t>
            </w:r>
          </w:p>
        </w:tc>
      </w:tr>
      <w:tr>
        <w:tc>
          <w:tcPr/>
          <w:p>
            <w:pPr>
              <w:pStyle w:val="Compact"/>
              <w:jc w:val="left"/>
            </w:pPr>
            <w:r>
              <w:t xml:space="preserve">Dependencies</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Certifications</w:t>
            </w:r>
          </w:p>
        </w:tc>
        <w:tc>
          <w:tcPr/>
          <w:p>
            <w:pPr>
              <w:pStyle w:val="Compact"/>
              <w:jc w:val="left"/>
            </w:pPr>
            <w:r>
              <w:t xml:space="preserve">Vendor states compliance with ISO 27001, SOC 2 Type 1 and Type 2, PCI DSS Level 1, GDPR and HIPAA (vendor claim; reports not seen)</w:t>
            </w:r>
          </w:p>
        </w:tc>
        <w:tc>
          <w:tcPr/>
          <w:p>
            <w:pPr>
              <w:pStyle w:val="Compact"/>
              <w:jc w:val="left"/>
            </w:pPr>
            <w:r>
              <w:t xml:space="preserve">Verified fact</w:t>
            </w:r>
          </w:p>
        </w:tc>
        <w:tc>
          <w:tcPr/>
          <w:p>
            <w:pPr>
              <w:pStyle w:val="Compact"/>
              <w:jc w:val="left"/>
            </w:pPr>
            <w:r>
              <w:t xml:space="preserve">A6-S095</w:t>
            </w:r>
          </w:p>
        </w:tc>
      </w:tr>
      <w:tr>
        <w:tc>
          <w:tcPr/>
          <w:p>
            <w:pPr>
              <w:pStyle w:val="Compact"/>
              <w:jc w:val="left"/>
            </w:pPr>
            <w:r>
              <w:t xml:space="preserve">GDPR / residency</w:t>
            </w:r>
          </w:p>
        </w:tc>
        <w:tc>
          <w:tcPr/>
          <w:p>
            <w:pPr>
              <w:pStyle w:val="Compact"/>
              <w:jc w:val="left"/>
            </w:pPr>
            <w:r>
              <w:t xml:space="preserve">EU data privacy vaults offered; vault infrastructure</w:t>
            </w:r>
            <w:r>
              <w:t xml:space="preserve"> </w:t>
            </w:r>
            <w:r>
              <w:t xml:space="preserve">‘</w:t>
            </w:r>
            <w:r>
              <w:t xml:space="preserve">available in over 100 countries</w:t>
            </w:r>
            <w:r>
              <w:t xml:space="preserve">’</w:t>
            </w:r>
            <w:r>
              <w:t xml:space="preserve">; regional deployments e.g. AWS Jakarta</w:t>
            </w:r>
          </w:p>
        </w:tc>
        <w:tc>
          <w:tcPr/>
          <w:p>
            <w:pPr>
              <w:pStyle w:val="Compact"/>
              <w:jc w:val="left"/>
            </w:pPr>
            <w:r>
              <w:t xml:space="preserve">Verified fact</w:t>
            </w:r>
          </w:p>
        </w:tc>
        <w:tc>
          <w:tcPr/>
          <w:p>
            <w:pPr>
              <w:pStyle w:val="Compact"/>
              <w:jc w:val="left"/>
            </w:pPr>
            <w:r>
              <w:t xml:space="preserve">A6-S095</w:t>
            </w:r>
          </w:p>
        </w:tc>
      </w:tr>
      <w:tr>
        <w:tc>
          <w:tcPr/>
          <w:p>
            <w:pPr>
              <w:pStyle w:val="Compact"/>
              <w:jc w:val="left"/>
            </w:pPr>
            <w:r>
              <w:t xml:space="preserve">Security features</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Access controls</w:t>
            </w:r>
          </w:p>
        </w:tc>
        <w:tc>
          <w:tcPr/>
          <w:p>
            <w:pPr>
              <w:pStyle w:val="Compact"/>
              <w:jc w:val="left"/>
            </w:pPr>
            <w:r>
              <w:t xml:space="preserve">Bearer tokens scoped to roles; API key and static bearer token authentication</w:t>
            </w:r>
          </w:p>
        </w:tc>
        <w:tc>
          <w:tcPr/>
          <w:p>
            <w:pPr>
              <w:pStyle w:val="Compact"/>
              <w:jc w:val="left"/>
            </w:pPr>
            <w:r>
              <w:t xml:space="preserve">Verified fact</w:t>
            </w:r>
          </w:p>
        </w:tc>
        <w:tc>
          <w:tcPr/>
          <w:p>
            <w:pPr>
              <w:pStyle w:val="Compact"/>
              <w:jc w:val="left"/>
            </w:pPr>
            <w:r>
              <w:t xml:space="preserve">A6-S081</w:t>
            </w:r>
          </w:p>
        </w:tc>
      </w:tr>
      <w:tr>
        <w:tc>
          <w:tcPr/>
          <w:p>
            <w:pPr>
              <w:pStyle w:val="Compact"/>
              <w:jc w:val="left"/>
            </w:pPr>
            <w:r>
              <w:t xml:space="preserve">Enterprise support</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Pricing</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Infrastructure cost</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Ecosystem</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Adoption signals</w:t>
            </w:r>
          </w:p>
        </w:tc>
        <w:tc>
          <w:tcPr/>
          <w:p>
            <w:pPr>
              <w:pStyle w:val="Compact"/>
              <w:jc w:val="left"/>
            </w:pPr>
            <w:r>
              <w:t xml:space="preserve">Latest verified funding: US$30m Series B extension led by Khosla Ventures (28 March 2024); total equity about US$100m per Crunchbase (via Finovate); named customers GoodRx, Lenovo, Hippocratic AI</w:t>
            </w:r>
          </w:p>
        </w:tc>
        <w:tc>
          <w:tcPr/>
          <w:p>
            <w:pPr>
              <w:pStyle w:val="Compact"/>
              <w:jc w:val="left"/>
            </w:pPr>
            <w:r>
              <w:t xml:space="preserve">Verified fact</w:t>
            </w:r>
          </w:p>
        </w:tc>
        <w:tc>
          <w:tcPr/>
          <w:p>
            <w:pPr>
              <w:pStyle w:val="Compact"/>
              <w:jc w:val="left"/>
            </w:pPr>
            <w:r>
              <w:t xml:space="preserve">A6-S096</w:t>
            </w:r>
          </w:p>
        </w:tc>
      </w:tr>
      <w:tr>
        <w:tc>
          <w:tcPr/>
          <w:p>
            <w:pPr>
              <w:pStyle w:val="Compact"/>
              <w:jc w:val="left"/>
            </w:pPr>
            <w:r>
              <w:t xml:space="preserve">Maturity</w:t>
            </w:r>
          </w:p>
        </w:tc>
        <w:tc>
          <w:tcPr/>
          <w:p>
            <w:pPr>
              <w:pStyle w:val="Compact"/>
              <w:jc w:val="left"/>
            </w:pPr>
            <w:r>
              <w:t xml:space="preserve">SDK first released October 2021</w:t>
            </w:r>
          </w:p>
        </w:tc>
        <w:tc>
          <w:tcPr/>
          <w:p>
            <w:pPr>
              <w:pStyle w:val="Compact"/>
              <w:jc w:val="left"/>
            </w:pPr>
            <w:r>
              <w:t xml:space="preserve">Verified fact</w:t>
            </w:r>
          </w:p>
        </w:tc>
        <w:tc>
          <w:tcPr/>
          <w:p>
            <w:pPr>
              <w:pStyle w:val="Compact"/>
              <w:jc w:val="left"/>
            </w:pPr>
            <w:r>
              <w:t xml:space="preserve">A6-S081</w:t>
            </w:r>
          </w:p>
        </w:tc>
      </w:tr>
      <w:tr>
        <w:tc>
          <w:tcPr/>
          <w:p>
            <w:pPr>
              <w:pStyle w:val="Compact"/>
              <w:jc w:val="left"/>
            </w:pPr>
            <w:r>
              <w:t xml:space="preserve">Deployment</w:t>
            </w:r>
          </w:p>
        </w:tc>
        <w:tc>
          <w:tcPr/>
          <w:p>
            <w:pPr>
              <w:pStyle w:val="Compact"/>
              <w:jc w:val="left"/>
            </w:pPr>
            <w:r>
              <w:t xml:space="preserve">saas: Yes (hosted vaults); managed_cloud: Not publicly verified; vpc_byoc: Not publicly verified; private_cloud: Not publicly verified; self_hosted: Not publicly verified; on_prem: Not publicly verified</w:t>
            </w:r>
          </w:p>
        </w:tc>
        <w:tc>
          <w:tcPr/>
          <w:p>
            <w:pPr>
              <w:pStyle w:val="Compact"/>
            </w:pPr>
          </w:p>
        </w:tc>
        <w:tc>
          <w:tcPr/>
          <w:p>
            <w:pPr>
              <w:pStyle w:val="Compact"/>
            </w:pPr>
          </w:p>
        </w:tc>
      </w:tr>
    </w:tbl>
    <w:bookmarkEnd w:id="2089"/>
    <w:bookmarkStart w:id="2100" w:name="X0ca5262e3b5ab0cf80f71327296002c659b9e69"/>
    <w:p>
      <w:pPr>
        <w:pStyle w:val="Heading2"/>
      </w:pPr>
      <w:r>
        <w:t xml:space="preserve">Protegrity (data protection platform;</w:t>
      </w:r>
      <w:r>
        <w:t xml:space="preserve"> </w:t>
      </w:r>
      <w:r>
        <w:t xml:space="preserve">‘</w:t>
      </w:r>
      <w:r>
        <w:t xml:space="preserve">Protegrity AI Developer Edition</w:t>
      </w:r>
      <w:r>
        <w:t xml:space="preserve">’</w:t>
      </w:r>
      <w:r>
        <w:t xml:space="preserve">) (</w:t>
      </w:r>
      <w:r>
        <w:rPr>
          <w:rStyle w:val="VerbatimChar"/>
        </w:rPr>
        <w:t xml:space="preserve">C3-protegrity</w:t>
      </w:r>
      <w:r>
        <w:t xml:space="preserve">)</w:t>
      </w:r>
    </w:p>
    <w:p>
      <w:pPr>
        <w:pStyle w:val="FirstParagraph"/>
      </w:pPr>
      <w:r>
        <w:rPr>
          <w:bCs/>
          <w:b/>
        </w:rPr>
        <w:t xml:space="preserve">Tier:</w:t>
      </w:r>
      <w:r>
        <w:t xml:space="preserve"> </w:t>
      </w:r>
      <w:r>
        <w:t xml:space="preserve">Tactical ·</w:t>
      </w:r>
      <w:r>
        <w:t xml:space="preserve"> </w:t>
      </w:r>
      <w:r>
        <w:rPr>
          <w:bCs/>
          <w:b/>
        </w:rPr>
        <w:t xml:space="preserve">Flags:</w:t>
      </w:r>
      <w:r>
        <w:t xml:space="preserve"> </w:t>
      </w:r>
      <w:r>
        <w:t xml:space="preserve">none ·</w:t>
      </w:r>
      <w:r>
        <w:t xml:space="preserve"> </w:t>
      </w:r>
      <w:r>
        <w:rPr>
          <w:bCs/>
          <w:b/>
        </w:rPr>
        <w:t xml:space="preserve">Original graphic label:</w:t>
      </w:r>
      <w:r>
        <w:t xml:space="preserve"> </w:t>
      </w:r>
      <w:r>
        <w:t xml:space="preserve">not in graphic</w:t>
      </w:r>
    </w:p>
    <w:p>
      <w:pPr>
        <w:pStyle w:val="BodyText"/>
      </w:pPr>
      <w:r>
        <w:rPr>
          <w:iCs/>
          <w:i/>
        </w:rPr>
        <w:t xml:space="preserve">Rationale:</w:t>
      </w:r>
      <w:r>
        <w:t xml:space="preserve"> </w:t>
      </w:r>
      <w:r>
        <w:t xml:space="preserve">Strong tokenisation and audit model for existing customers; AI editions not yet GA and certification currency unverified</w:t>
      </w:r>
      <w:r>
        <w:t xml:space="preserve"> </w:t>
      </w:r>
      <w:r>
        <w:rPr>
          <w:rStyle w:val="ClaimLabel"/>
        </w:rPr>
        <w:t xml:space="preserve">AJ</w:t>
      </w:r>
      <w:r>
        <w:t xml:space="preserve">.</w:t>
      </w:r>
    </w:p>
    <w:tbl>
      <w:tblPr>
        <w:tblStyle w:val="Table"/>
        <w:tblW w:type="pct" w:w="5000"/>
        <w:tblLook w:firstRow="1" w:lastRow="0" w:firstColumn="0" w:lastColumn="0" w:noHBand="0" w:noVBand="0" w:val="0020"/>
        <w:jc w:val="start"/>
      </w:tblPr>
      <w:tblGrid>
        <w:gridCol w:w="1545"/>
        <w:gridCol w:w="579"/>
        <w:gridCol w:w="5795"/>
      </w:tblGrid>
      <w:tr>
        <w:trPr>
          <w:tblHeader w:val="true"/>
        </w:trPr>
        <w:tc>
          <w:tcPr/>
          <w:p>
            <w:pPr>
              <w:pStyle w:val="Compact"/>
              <w:jc w:val="left"/>
            </w:pPr>
            <w:r>
              <w:t xml:space="preserve">Criterion</w:t>
            </w:r>
          </w:p>
        </w:tc>
        <w:tc>
          <w:tcPr/>
          <w:p>
            <w:pPr>
              <w:pStyle w:val="Compact"/>
              <w:jc w:val="right"/>
            </w:pPr>
            <w:r>
              <w:t xml:space="preserve">Score</w:t>
            </w:r>
          </w:p>
        </w:tc>
        <w:tc>
          <w:tcPr/>
          <w:p>
            <w:pPr>
              <w:pStyle w:val="Compact"/>
              <w:jc w:val="left"/>
            </w:pPr>
            <w:r>
              <w:t xml:space="preserve">Rationale</w:t>
            </w:r>
          </w:p>
        </w:tc>
      </w:tr>
      <w:tr>
        <w:tc>
          <w:tcPr/>
          <w:p>
            <w:pPr>
              <w:pStyle w:val="Compact"/>
              <w:jc w:val="left"/>
            </w:pPr>
            <w:r>
              <w:t xml:space="preserve">Technical</w:t>
            </w:r>
          </w:p>
        </w:tc>
        <w:tc>
          <w:tcPr/>
          <w:p>
            <w:pPr>
              <w:pStyle w:val="Compact"/>
              <w:jc w:val="right"/>
            </w:pPr>
            <w:r>
              <w:t xml:space="preserve">4</w:t>
            </w:r>
          </w:p>
        </w:tc>
        <w:tc>
          <w:tcPr/>
          <w:p>
            <w:pPr>
              <w:pStyle w:val="Compact"/>
              <w:jc w:val="left"/>
            </w:pPr>
            <w:r>
              <w:t xml:space="preserve">Discovery, tokenisation, masking, reversible protect/unprotect and semantic guardrails.</w:t>
            </w:r>
          </w:p>
        </w:tc>
      </w:tr>
      <w:tr>
        <w:tc>
          <w:tcPr/>
          <w:p>
            <w:pPr>
              <w:pStyle w:val="Compact"/>
              <w:jc w:val="left"/>
            </w:pPr>
            <w:r>
              <w:t xml:space="preserve">Enterprise readiness</w:t>
            </w:r>
          </w:p>
        </w:tc>
        <w:tc>
          <w:tcPr/>
          <w:p>
            <w:pPr>
              <w:pStyle w:val="Compact"/>
              <w:jc w:val="right"/>
            </w:pPr>
            <w:r>
              <w:t xml:space="preserve">3</w:t>
            </w:r>
          </w:p>
        </w:tc>
        <w:tc>
          <w:tcPr/>
          <w:p>
            <w:pPr>
              <w:pStyle w:val="Compact"/>
              <w:jc w:val="left"/>
            </w:pPr>
            <w:r>
              <w:t xml:space="preserve">CP2 Q2: RBAC and audit verified for ESA (B-C3-S004); SSO NPV; max 3.</w:t>
            </w:r>
          </w:p>
        </w:tc>
      </w:tr>
      <w:tr>
        <w:tc>
          <w:tcPr/>
          <w:p>
            <w:pPr>
              <w:pStyle w:val="Compact"/>
              <w:jc w:val="left"/>
            </w:pPr>
            <w:r>
              <w:t xml:space="preserve">Security and compliance</w:t>
            </w:r>
          </w:p>
        </w:tc>
        <w:tc>
          <w:tcPr/>
          <w:p>
            <w:pPr>
              <w:pStyle w:val="Compact"/>
              <w:jc w:val="right"/>
            </w:pPr>
            <w:r>
              <w:t xml:space="preserve">2</w:t>
            </w:r>
          </w:p>
        </w:tc>
        <w:tc>
          <w:tcPr/>
          <w:p>
            <w:pPr>
              <w:pStyle w:val="Compact"/>
              <w:jc w:val="left"/>
            </w:pPr>
            <w:r>
              <w:t xml:space="preserve">Anchor-based 2: ISO 27001:2013 announced 2023 with renewal unverified; no SOC 2 found.</w:t>
            </w:r>
          </w:p>
        </w:tc>
      </w:tr>
      <w:tr>
        <w:tc>
          <w:tcPr/>
          <w:p>
            <w:pPr>
              <w:pStyle w:val="Compact"/>
              <w:jc w:val="left"/>
            </w:pPr>
            <w:r>
              <w:t xml:space="preserve">Deployment flexibility</w:t>
            </w:r>
          </w:p>
        </w:tc>
        <w:tc>
          <w:tcPr/>
          <w:p>
            <w:pPr>
              <w:pStyle w:val="Compact"/>
              <w:jc w:val="right"/>
            </w:pPr>
            <w:r>
              <w:t xml:space="preserve">3</w:t>
            </w:r>
          </w:p>
        </w:tc>
        <w:tc>
          <w:tcPr/>
          <w:p>
            <w:pPr>
              <w:pStyle w:val="Compact"/>
              <w:jc w:val="left"/>
            </w:pPr>
            <w:r>
              <w:t xml:space="preserve">Customer-deployed core platform and containerised Developer Edition; AI Team Edition AWS-only.</w:t>
            </w:r>
          </w:p>
        </w:tc>
      </w:tr>
      <w:tr>
        <w:tc>
          <w:tcPr/>
          <w:p>
            <w:pPr>
              <w:pStyle w:val="Compact"/>
              <w:jc w:val="left"/>
            </w:pPr>
            <w:r>
              <w:t xml:space="preserve">Ecosystem</w:t>
            </w:r>
          </w:p>
        </w:tc>
        <w:tc>
          <w:tcPr/>
          <w:p>
            <w:pPr>
              <w:pStyle w:val="Compact"/>
              <w:jc w:val="right"/>
            </w:pPr>
            <w:r>
              <w:t xml:space="preserve">3</w:t>
            </w:r>
          </w:p>
        </w:tc>
        <w:tc>
          <w:tcPr/>
          <w:p>
            <w:pPr>
              <w:pStyle w:val="Compact"/>
              <w:jc w:val="left"/>
            </w:pPr>
            <w:r>
              <w:t xml:space="preserve">Python module, APIs, protectors and gateway; mainstream rather than broad.</w:t>
            </w:r>
          </w:p>
        </w:tc>
      </w:tr>
      <w:tr>
        <w:tc>
          <w:tcPr/>
          <w:p>
            <w:pPr>
              <w:pStyle w:val="Compact"/>
              <w:jc w:val="left"/>
            </w:pPr>
            <w:r>
              <w:t xml:space="preserve">Reliability and maturity</w:t>
            </w:r>
          </w:p>
        </w:tc>
        <w:tc>
          <w:tcPr/>
          <w:p>
            <w:pPr>
              <w:pStyle w:val="Compact"/>
              <w:jc w:val="right"/>
            </w:pPr>
            <w:r>
              <w:t xml:space="preserve">3</w:t>
            </w:r>
          </w:p>
        </w:tc>
        <w:tc>
          <w:tcPr/>
          <w:p>
            <w:pPr>
              <w:pStyle w:val="Compact"/>
              <w:jc w:val="left"/>
            </w:pPr>
            <w:r>
              <w:t xml:space="preserve">Established core platform; AI Team Edition Tech Preview.</w:t>
            </w:r>
          </w:p>
        </w:tc>
      </w:tr>
      <w:tr>
        <w:tc>
          <w:tcPr/>
          <w:p>
            <w:pPr>
              <w:pStyle w:val="Compact"/>
              <w:jc w:val="left"/>
            </w:pPr>
            <w:r>
              <w:t xml:space="preserve">Cost / TCO</w:t>
            </w:r>
          </w:p>
        </w:tc>
        <w:tc>
          <w:tcPr/>
          <w:p>
            <w:pPr>
              <w:pStyle w:val="Compact"/>
              <w:jc w:val="right"/>
            </w:pPr>
            <w:r>
              <w:t xml:space="preserve">2</w:t>
            </w:r>
          </w:p>
        </w:tc>
        <w:tc>
          <w:tcPr/>
          <w:p>
            <w:pPr>
              <w:pStyle w:val="Compact"/>
              <w:jc w:val="left"/>
            </w:pPr>
            <w:r>
              <w:t xml:space="preserve">Pricing not published; enterprise licensing.</w:t>
            </w:r>
          </w:p>
        </w:tc>
      </w:tr>
      <w:tr>
        <w:tc>
          <w:tcPr/>
          <w:p>
            <w:pPr>
              <w:pStyle w:val="Compact"/>
              <w:jc w:val="left"/>
            </w:pPr>
            <w:r>
              <w:t xml:space="preserve">Lock-in / portability</w:t>
            </w:r>
          </w:p>
        </w:tc>
        <w:tc>
          <w:tcPr/>
          <w:p>
            <w:pPr>
              <w:pStyle w:val="Compact"/>
              <w:jc w:val="right"/>
            </w:pPr>
            <w:r>
              <w:t xml:space="preserve">2</w:t>
            </w:r>
          </w:p>
        </w:tc>
        <w:tc>
          <w:tcPr/>
          <w:p>
            <w:pPr>
              <w:pStyle w:val="Compact"/>
              <w:jc w:val="left"/>
            </w:pPr>
            <w:r>
              <w:t xml:space="preserve">Proprietary policies and tokens; reversal depends on Protegrity.</w:t>
            </w:r>
          </w:p>
        </w:tc>
      </w:tr>
      <w:tr>
        <w:tc>
          <w:tcPr/>
          <w:p>
            <w:pPr>
              <w:pStyle w:val="Compact"/>
              <w:jc w:val="left"/>
            </w:pPr>
            <w:r>
              <w:rPr>
                <w:bCs/>
                <w:b/>
              </w:rPr>
              <w:t xml:space="preserve">Total (generic / FS)</w:t>
            </w:r>
          </w:p>
        </w:tc>
        <w:tc>
          <w:tcPr/>
          <w:p>
            <w:pPr>
              <w:pStyle w:val="Compact"/>
              <w:jc w:val="right"/>
            </w:pPr>
            <w:r>
              <w:rPr>
                <w:bCs/>
                <w:b/>
              </w:rPr>
              <w:t xml:space="preserve">2.90 / 2.75</w:t>
            </w:r>
          </w:p>
        </w:tc>
        <w:tc>
          <w:tcPr/>
          <w:p>
            <w:pPr>
              <w:pStyle w:val="Compact"/>
            </w:pPr>
          </w:p>
        </w:tc>
      </w:tr>
    </w:tbl>
    <w:p>
      <w:pPr>
        <w:pStyle w:val="BodyText"/>
      </w:pPr>
      <w:r>
        <w:rPr>
          <w:iCs/>
          <w:i/>
        </w:rPr>
        <w:t xml:space="preserve">Evidence rules applied:</w:t>
      </w:r>
      <w:r>
        <w:t xml:space="preserve"> </w:t>
      </w:r>
      <w:r>
        <w:t xml:space="preserve">security_compliance 2 by anchor (certificate currency unverified, no SOC 2 found); not an NPV cap; enterprise_readiness: CP2 Q2 partial evidence (RBAC and audit verified, SSO NPV), max 3</w:t>
      </w:r>
    </w:p>
    <w:p>
      <w:pPr>
        <w:pStyle w:val="BodyText"/>
      </w:pPr>
      <w:r>
        <w:rPr>
          <w:bCs/>
          <w:b/>
        </w:rPr>
        <w:t xml:space="preserve">Capabilities.</w:t>
      </w:r>
      <w:r>
        <w:t xml:space="preserve"> </w:t>
      </w:r>
      <w:r>
        <w:t xml:space="preserve">Enterprise data-protection platform: Data Discovery for PII in unstructured text; Find and Redact, Protect and Unprotect under Protegrity protection policies (tokenisation, masking); Semantic Guardrail API; ESA central policy with role-per-data-element permissions and audit</w:t>
      </w:r>
      <w:r>
        <w:t xml:space="preserve"> </w:t>
      </w:r>
      <w:r>
        <w:rPr>
          <w:rStyle w:val="ClaimLabel"/>
        </w:rPr>
        <w:t xml:space="preserve">VF</w:t>
      </w:r>
      <w:r>
        <w:rPr>
          <w:rStyle w:val="FootnoteReference"/>
        </w:rPr>
        <w:footnoteReference w:id="2090"/>
      </w:r>
      <w:r>
        <w:t xml:space="preserve">. AI Team Edition (17 November 2025) still Tech Preview, AWS-only</w:t>
      </w:r>
      <w:r>
        <w:t xml:space="preserve"> </w:t>
      </w:r>
      <w:r>
        <w:rPr>
          <w:rStyle w:val="ClaimLabel"/>
        </w:rPr>
        <w:t xml:space="preserve">VF</w:t>
      </w:r>
      <w:r>
        <w:rPr>
          <w:rStyle w:val="FootnoteReference"/>
        </w:rPr>
        <w:footnoteReference w:id="2093"/>
      </w:r>
      <w:r>
        <w:t xml:space="preserve">.</w:t>
      </w:r>
    </w:p>
    <w:p>
      <w:pPr>
        <w:pStyle w:val="BodyText"/>
      </w:pPr>
      <w:r>
        <w:rPr>
          <w:bCs/>
          <w:b/>
        </w:rPr>
        <w:t xml:space="preserve">Strengths</w:t>
      </w:r>
    </w:p>
    <w:p>
      <w:pPr>
        <w:numPr>
          <w:ilvl w:val="0"/>
          <w:numId w:val="1441"/>
        </w:numPr>
        <w:pStyle w:val="Compact"/>
      </w:pPr>
      <w:r>
        <w:t xml:space="preserve">Role-per-data-element Unprotect rights and audit at every protection point</w:t>
      </w:r>
      <w:r>
        <w:t xml:space="preserve"> </w:t>
      </w:r>
      <w:r>
        <w:rPr>
          <w:rStyle w:val="ClaimLabel"/>
        </w:rPr>
        <w:t xml:space="preserve">VF</w:t>
      </w:r>
      <w:r>
        <w:rPr>
          <w:rStyle w:val="FootnoteReference"/>
        </w:rPr>
        <w:footnoteReference w:id="2095"/>
      </w:r>
    </w:p>
    <w:p>
      <w:pPr>
        <w:numPr>
          <w:ilvl w:val="0"/>
          <w:numId w:val="1441"/>
        </w:numPr>
        <w:pStyle w:val="Compact"/>
      </w:pPr>
      <w:r>
        <w:t xml:space="preserve">Same tokens and policies can span structured data and the AI path</w:t>
      </w:r>
      <w:r>
        <w:t xml:space="preserve"> </w:t>
      </w:r>
      <w:r>
        <w:rPr>
          <w:rStyle w:val="ClaimLabel"/>
        </w:rPr>
        <w:t xml:space="preserve">AJ</w:t>
      </w:r>
    </w:p>
    <w:p>
      <w:pPr>
        <w:pStyle w:val="FirstParagraph"/>
      </w:pPr>
      <w:r>
        <w:rPr>
          <w:bCs/>
          <w:b/>
        </w:rPr>
        <w:t xml:space="preserve">Limitations and risks</w:t>
      </w:r>
    </w:p>
    <w:p>
      <w:pPr>
        <w:numPr>
          <w:ilvl w:val="0"/>
          <w:numId w:val="1442"/>
        </w:numPr>
        <w:pStyle w:val="Compact"/>
      </w:pPr>
      <w:r>
        <w:t xml:space="preserve">AI Team Edition documented as Tech Preview; AWS-only</w:t>
      </w:r>
      <w:r>
        <w:t xml:space="preserve"> </w:t>
      </w:r>
      <w:r>
        <w:rPr>
          <w:rStyle w:val="ClaimLabel"/>
        </w:rPr>
        <w:t xml:space="preserve">VF</w:t>
      </w:r>
      <w:r>
        <w:rPr>
          <w:rStyle w:val="FootnoteReference"/>
        </w:rPr>
        <w:footnoteReference w:id="2096"/>
      </w:r>
    </w:p>
    <w:p>
      <w:pPr>
        <w:numPr>
          <w:ilvl w:val="0"/>
          <w:numId w:val="1442"/>
        </w:numPr>
        <w:pStyle w:val="Compact"/>
      </w:pPr>
      <w:r>
        <w:t xml:space="preserve">Only certification verified is ISO 27001:2013 (2023); no SOC 2 report found</w:t>
      </w:r>
      <w:r>
        <w:t xml:space="preserve"> </w:t>
      </w:r>
      <w:r>
        <w:rPr>
          <w:rStyle w:val="ClaimLabel"/>
        </w:rPr>
        <w:t xml:space="preserve">VF</w:t>
      </w:r>
      <w:r>
        <w:rPr>
          <w:rStyle w:val="FootnoteReference"/>
        </w:rPr>
        <w:footnoteReference w:id="2097"/>
      </w:r>
    </w:p>
    <w:p>
      <w:pPr>
        <w:numPr>
          <w:ilvl w:val="0"/>
          <w:numId w:val="1442"/>
        </w:numPr>
        <w:pStyle w:val="Compact"/>
      </w:pPr>
      <w:r>
        <w:t xml:space="preserve">SSO not verified; pricing not published</w:t>
      </w:r>
      <w:r>
        <w:t xml:space="preserve"> </w:t>
      </w:r>
      <w:r>
        <w:rPr>
          <w:rStyle w:val="ClaimLabel"/>
        </w:rPr>
        <w:t xml:space="preserve">NPV</w:t>
      </w:r>
    </w:p>
    <w:p>
      <w:pPr>
        <w:numPr>
          <w:ilvl w:val="0"/>
          <w:numId w:val="1442"/>
        </w:numPr>
        <w:pStyle w:val="Compact"/>
      </w:pPr>
      <w:r>
        <w:t xml:space="preserve">Tokenised data depends on Protegrity policies to reverse</w:t>
      </w:r>
      <w:r>
        <w:t xml:space="preserve"> </w:t>
      </w:r>
      <w:r>
        <w:rPr>
          <w:rStyle w:val="ClaimLabel"/>
        </w:rPr>
        <w:t xml:space="preserve">AJ</w:t>
      </w:r>
    </w:p>
    <w:p>
      <w:pPr>
        <w:pStyle w:val="FirstParagraph"/>
      </w:pPr>
      <w:r>
        <w:rPr>
          <w:bCs/>
          <w:b/>
        </w:rPr>
        <w:t xml:space="preserve">Choose when</w:t>
      </w:r>
    </w:p>
    <w:p>
      <w:pPr>
        <w:numPr>
          <w:ilvl w:val="0"/>
          <w:numId w:val="1443"/>
        </w:numPr>
        <w:pStyle w:val="Compact"/>
      </w:pPr>
      <w:r>
        <w:t xml:space="preserve">Protegrity already tokenises your structured data</w:t>
      </w:r>
      <w:r>
        <w:t xml:space="preserve"> </w:t>
      </w:r>
      <w:r>
        <w:rPr>
          <w:rStyle w:val="ClaimLabel"/>
        </w:rPr>
        <w:t xml:space="preserve">AJ</w:t>
      </w:r>
    </w:p>
    <w:p>
      <w:pPr>
        <w:pStyle w:val="FirstParagraph"/>
      </w:pPr>
      <w:r>
        <w:rPr>
          <w:bCs/>
          <w:b/>
        </w:rPr>
        <w:t xml:space="preserve">Avoid when</w:t>
      </w:r>
    </w:p>
    <w:p>
      <w:pPr>
        <w:numPr>
          <w:ilvl w:val="0"/>
          <w:numId w:val="1444"/>
        </w:numPr>
        <w:pStyle w:val="Compact"/>
      </w:pPr>
      <w:r>
        <w:t xml:space="preserve">You are not on AWS for the AI editions</w:t>
      </w:r>
      <w:r>
        <w:t xml:space="preserve"> </w:t>
      </w:r>
      <w:r>
        <w:rPr>
          <w:rStyle w:val="ClaimLabel"/>
        </w:rPr>
        <w:t xml:space="preserve">AJ</w:t>
      </w:r>
    </w:p>
    <w:p>
      <w:pPr>
        <w:numPr>
          <w:ilvl w:val="0"/>
          <w:numId w:val="1444"/>
        </w:numPr>
        <w:pStyle w:val="Compact"/>
      </w:pPr>
      <w:r>
        <w:t xml:space="preserve">A current SOC 2 Type II report is a procurement gate</w:t>
      </w:r>
      <w:r>
        <w:t xml:space="preserve"> </w:t>
      </w:r>
      <w:r>
        <w:rPr>
          <w:rStyle w:val="ClaimLabel"/>
        </w:rPr>
        <w:t xml:space="preserve">AJ</w:t>
      </w:r>
    </w:p>
    <w:p>
      <w:pPr>
        <w:pStyle w:val="FirstParagraph"/>
      </w:pPr>
      <w:r>
        <w:rPr>
          <w:bCs/>
          <w:b/>
        </w:rPr>
        <w:t xml:space="preserve">Nearest competitors:</w:t>
      </w:r>
      <w:r>
        <w:t xml:space="preserve"> </w:t>
      </w:r>
      <w:r>
        <w:t xml:space="preserve">C3-skyflow, C3-google-sdp, C3-presidio</w:t>
      </w:r>
    </w:p>
    <w:p>
      <w:pPr>
        <w:pStyle w:val="BodyText"/>
      </w:pPr>
      <w:r>
        <w:rPr>
          <w:bCs/>
          <w:b/>
        </w:rPr>
        <w:t xml:space="preserve">Regulated-FS note.</w:t>
      </w:r>
      <w:r>
        <w:t xml:space="preserve"> </w:t>
      </w:r>
      <w:r>
        <w:t xml:space="preserve">Request the current ISO certificate and any SOC 2 report; treat AI Team Edition as a pilot until GA</w:t>
      </w:r>
      <w:r>
        <w:t xml:space="preserve"> </w:t>
      </w:r>
      <w:r>
        <w:rPr>
          <w:rStyle w:val="ClaimLabel"/>
        </w:rPr>
        <w:t xml:space="preserve">Rec</w:t>
      </w:r>
      <w:r>
        <w:t xml:space="preserve">.</w:t>
      </w:r>
    </w:p>
    <w:p>
      <w:pPr>
        <w:pStyle w:val="BodyText"/>
      </w:pPr>
      <w:r>
        <w:rPr>
          <w:bCs/>
          <w:b/>
        </w:rPr>
        <w:t xml:space="preserve">Facts (as of 2026-10-07)</w:t>
      </w:r>
    </w:p>
    <w:tbl>
      <w:tblPr>
        <w:tblStyle w:val="Table"/>
        <w:tblW w:type="pct" w:w="5000"/>
        <w:tblLook w:firstRow="1" w:lastRow="0" w:firstColumn="0" w:lastColumn="0" w:noHBand="0" w:noVBand="0" w:val="0020"/>
        <w:jc w:val="start"/>
      </w:tblPr>
      <w:tblGrid>
        <w:gridCol w:w="1485"/>
        <w:gridCol w:w="4290"/>
        <w:gridCol w:w="1320"/>
        <w:gridCol w:w="825"/>
      </w:tblGrid>
      <w:tr>
        <w:trPr>
          <w:tblHeader w:val="true"/>
        </w:trPr>
        <w:tc>
          <w:tcPr/>
          <w:p>
            <w:pPr>
              <w:pStyle w:val="Compact"/>
              <w:jc w:val="left"/>
            </w:pPr>
            <w:r>
              <w:t xml:space="preserve">Field</w:t>
            </w:r>
          </w:p>
        </w:tc>
        <w:tc>
          <w:tcPr/>
          <w:p>
            <w:pPr>
              <w:pStyle w:val="Compact"/>
              <w:jc w:val="left"/>
            </w:pPr>
            <w:r>
              <w:t xml:space="preserve">Value</w:t>
            </w:r>
          </w:p>
        </w:tc>
        <w:tc>
          <w:tcPr/>
          <w:p>
            <w:pPr>
              <w:pStyle w:val="Compact"/>
              <w:jc w:val="left"/>
            </w:pPr>
            <w:r>
              <w:t xml:space="preserve">Label</w:t>
            </w:r>
          </w:p>
        </w:tc>
        <w:tc>
          <w:tcPr/>
          <w:p>
            <w:pPr>
              <w:pStyle w:val="Compact"/>
              <w:jc w:val="left"/>
            </w:pPr>
            <w:r>
              <w:t xml:space="preserve">Sources</w:t>
            </w:r>
          </w:p>
        </w:tc>
      </w:tr>
      <w:tr>
        <w:tc>
          <w:tcPr/>
          <w:p>
            <w:pPr>
              <w:pStyle w:val="Compact"/>
              <w:jc w:val="left"/>
            </w:pPr>
            <w:r>
              <w:t xml:space="preserve">Company</w:t>
            </w:r>
          </w:p>
        </w:tc>
        <w:tc>
          <w:tcPr/>
          <w:p>
            <w:pPr>
              <w:pStyle w:val="Compact"/>
              <w:jc w:val="left"/>
            </w:pPr>
            <w:r>
              <w:t xml:space="preserve">Protegrity</w:t>
            </w:r>
          </w:p>
        </w:tc>
        <w:tc>
          <w:tcPr/>
          <w:p>
            <w:pPr>
              <w:pStyle w:val="Compact"/>
              <w:jc w:val="left"/>
            </w:pPr>
            <w:r>
              <w:t xml:space="preserve">Verified fact</w:t>
            </w:r>
          </w:p>
        </w:tc>
        <w:tc>
          <w:tcPr/>
          <w:p>
            <w:pPr>
              <w:pStyle w:val="Compact"/>
              <w:jc w:val="left"/>
            </w:pPr>
            <w:r>
              <w:t xml:space="preserve">A6-S082</w:t>
            </w:r>
          </w:p>
        </w:tc>
      </w:tr>
      <w:tr>
        <w:tc>
          <w:tcPr/>
          <w:p>
            <w:pPr>
              <w:pStyle w:val="Compact"/>
              <w:jc w:val="left"/>
            </w:pPr>
            <w:r>
              <w:t xml:space="preserve">Category</w:t>
            </w:r>
          </w:p>
        </w:tc>
        <w:tc>
          <w:tcPr/>
          <w:p>
            <w:pPr>
              <w:pStyle w:val="Compact"/>
              <w:jc w:val="left"/>
            </w:pPr>
            <w:r>
              <w:t xml:space="preserve">Enterprise data protection: discovery, tokenisation, masking, plus semantic guardrails for GenAI</w:t>
            </w:r>
          </w:p>
        </w:tc>
        <w:tc>
          <w:tcPr/>
          <w:p>
            <w:pPr>
              <w:pStyle w:val="Compact"/>
              <w:jc w:val="left"/>
            </w:pPr>
            <w:r>
              <w:t xml:space="preserve">Verified fact</w:t>
            </w:r>
          </w:p>
        </w:tc>
        <w:tc>
          <w:tcPr/>
          <w:p>
            <w:pPr>
              <w:pStyle w:val="Compact"/>
              <w:jc w:val="left"/>
            </w:pPr>
            <w:r>
              <w:t xml:space="preserve">A6-S082</w:t>
            </w:r>
          </w:p>
        </w:tc>
      </w:tr>
      <w:tr>
        <w:tc>
          <w:tcPr/>
          <w:p>
            <w:pPr>
              <w:pStyle w:val="Compact"/>
              <w:jc w:val="left"/>
            </w:pPr>
            <w:r>
              <w:t xml:space="preserve">Version / lineup</w:t>
            </w:r>
          </w:p>
        </w:tc>
        <w:tc>
          <w:tcPr/>
          <w:p>
            <w:pPr>
              <w:pStyle w:val="Compact"/>
              <w:jc w:val="left"/>
            </w:pPr>
            <w:r>
              <w:t xml:space="preserve">Protegrity AI Team Edition launched 17 November 2025 (docs still say Tech Preview, not GA; April 2026 release says</w:t>
            </w:r>
            <w:r>
              <w:t xml:space="preserve"> </w:t>
            </w:r>
            <w:r>
              <w:t xml:space="preserve">‘</w:t>
            </w:r>
            <w:r>
              <w:t xml:space="preserve">available now</w:t>
            </w:r>
            <w:r>
              <w:t xml:space="preserve">’</w:t>
            </w:r>
            <w:r>
              <w:t xml:space="preserve">); AI Enterprise Edition; protegrity-developer-python 1.1.1 (16 December 2025)</w:t>
            </w:r>
          </w:p>
        </w:tc>
        <w:tc>
          <w:tcPr/>
          <w:p>
            <w:pPr>
              <w:pStyle w:val="Compact"/>
              <w:jc w:val="left"/>
            </w:pPr>
            <w:r>
              <w:t xml:space="preserve">Verified fact</w:t>
            </w:r>
          </w:p>
        </w:tc>
        <w:tc>
          <w:tcPr/>
          <w:p>
            <w:pPr>
              <w:pStyle w:val="Compact"/>
              <w:jc w:val="left"/>
            </w:pPr>
            <w:r>
              <w:t xml:space="preserve">A6-S093, A6-S082</w:t>
            </w:r>
          </w:p>
        </w:tc>
      </w:tr>
      <w:tr>
        <w:tc>
          <w:tcPr/>
          <w:p>
            <w:pPr>
              <w:pStyle w:val="Compact"/>
              <w:jc w:val="left"/>
            </w:pPr>
            <w:r>
              <w:t xml:space="preserve">Licence</w:t>
            </w:r>
          </w:p>
        </w:tc>
        <w:tc>
          <w:tcPr/>
          <w:p>
            <w:pPr>
              <w:pStyle w:val="Compact"/>
              <w:jc w:val="left"/>
            </w:pPr>
            <w:r>
              <w:t xml:space="preserve">Proprietary platform; AI Developer Edition Python module MIT-licensed</w:t>
            </w:r>
          </w:p>
        </w:tc>
        <w:tc>
          <w:tcPr/>
          <w:p>
            <w:pPr>
              <w:pStyle w:val="Compact"/>
              <w:jc w:val="left"/>
            </w:pPr>
            <w:r>
              <w:t xml:space="preserve">Verified fact</w:t>
            </w:r>
          </w:p>
        </w:tc>
        <w:tc>
          <w:tcPr/>
          <w:p>
            <w:pPr>
              <w:pStyle w:val="Compact"/>
              <w:jc w:val="left"/>
            </w:pPr>
            <w:r>
              <w:t xml:space="preserve">A6-S082</w:t>
            </w:r>
          </w:p>
        </w:tc>
      </w:tr>
      <w:tr>
        <w:tc>
          <w:tcPr/>
          <w:p>
            <w:pPr>
              <w:pStyle w:val="Compact"/>
              <w:jc w:val="left"/>
            </w:pPr>
            <w:r>
              <w:t xml:space="preserve">Status events</w:t>
            </w:r>
          </w:p>
        </w:tc>
        <w:tc>
          <w:tcPr/>
          <w:p>
            <w:pPr>
              <w:pStyle w:val="Compact"/>
              <w:jc w:val="left"/>
            </w:pPr>
            <w:r>
              <w:t xml:space="preserve">17 November 2025: AI Team Edition launched for agentic workflows; April 2026: team expansion announcement (no funding or acquisition disclosed)</w:t>
            </w:r>
          </w:p>
        </w:tc>
        <w:tc>
          <w:tcPr/>
          <w:p>
            <w:pPr>
              <w:pStyle w:val="Compact"/>
              <w:jc w:val="left"/>
            </w:pPr>
            <w:r>
              <w:t xml:space="preserve">Verified fact</w:t>
            </w:r>
          </w:p>
        </w:tc>
        <w:tc>
          <w:tcPr/>
          <w:p>
            <w:pPr>
              <w:pStyle w:val="Compact"/>
              <w:jc w:val="left"/>
            </w:pPr>
            <w:r>
              <w:t xml:space="preserve">A6-S093</w:t>
            </w:r>
          </w:p>
        </w:tc>
      </w:tr>
      <w:tr>
        <w:tc>
          <w:tcPr/>
          <w:p>
            <w:pPr>
              <w:pStyle w:val="Compact"/>
              <w:jc w:val="left"/>
            </w:pPr>
            <w:r>
              <w:t xml:space="preserve">Strategic direction</w:t>
            </w:r>
          </w:p>
        </w:tc>
        <w:tc>
          <w:tcPr/>
          <w:p>
            <w:pPr>
              <w:pStyle w:val="Compact"/>
              <w:jc w:val="left"/>
            </w:pPr>
            <w:r>
              <w:t xml:space="preserve">Targets GenAI: protect sensitive data in prompts, outputs and training data; Semantic Guardrail API scans conversations for PII and risk</w:t>
            </w:r>
          </w:p>
        </w:tc>
        <w:tc>
          <w:tcPr/>
          <w:p>
            <w:pPr>
              <w:pStyle w:val="Compact"/>
              <w:jc w:val="left"/>
            </w:pPr>
            <w:r>
              <w:t xml:space="preserve">Verified fact</w:t>
            </w:r>
          </w:p>
        </w:tc>
        <w:tc>
          <w:tcPr/>
          <w:p>
            <w:pPr>
              <w:pStyle w:val="Compact"/>
              <w:jc w:val="left"/>
            </w:pPr>
            <w:r>
              <w:t xml:space="preserve">A6-S082</w:t>
            </w:r>
          </w:p>
        </w:tc>
      </w:tr>
      <w:tr>
        <w:tc>
          <w:tcPr/>
          <w:p>
            <w:pPr>
              <w:pStyle w:val="Compact"/>
              <w:jc w:val="left"/>
            </w:pPr>
            <w:r>
              <w:t xml:space="preserve">What it does</w:t>
            </w:r>
          </w:p>
        </w:tc>
        <w:tc>
          <w:tcPr/>
          <w:p>
            <w:pPr>
              <w:pStyle w:val="Compact"/>
              <w:jc w:val="left"/>
            </w:pPr>
            <w:r>
              <w:t xml:space="preserve">Data Discovery classifies PII in unstructured text; Find and Redact / Protect / Unprotect using Protegrity protection policies (tokenisation, masking); Application Protector for structured protect/unprotect; Semantic Guardrail scanning.</w:t>
            </w:r>
          </w:p>
        </w:tc>
        <w:tc>
          <w:tcPr/>
          <w:p>
            <w:pPr>
              <w:pStyle w:val="Compact"/>
              <w:jc w:val="left"/>
            </w:pPr>
            <w:r>
              <w:t xml:space="preserve">Verified fact</w:t>
            </w:r>
          </w:p>
        </w:tc>
        <w:tc>
          <w:tcPr/>
          <w:p>
            <w:pPr>
              <w:pStyle w:val="Compact"/>
              <w:jc w:val="left"/>
            </w:pPr>
            <w:r>
              <w:t xml:space="preserve">A6-S082</w:t>
            </w:r>
          </w:p>
        </w:tc>
      </w:tr>
      <w:tr>
        <w:tc>
          <w:tcPr/>
          <w:p>
            <w:pPr>
              <w:pStyle w:val="Compact"/>
              <w:jc w:val="left"/>
            </w:pPr>
            <w:r>
              <w:t xml:space="preserve">Stack position</w:t>
            </w:r>
          </w:p>
        </w:tc>
        <w:tc>
          <w:tcPr/>
          <w:p>
            <w:pPr>
              <w:pStyle w:val="Compact"/>
              <w:jc w:val="left"/>
            </w:pPr>
            <w:r>
              <w:t xml:space="preserve">DLP/tokenisation layer applied in data pipelines and on prompts/responses</w:t>
            </w:r>
          </w:p>
        </w:tc>
        <w:tc>
          <w:tcPr/>
          <w:p>
            <w:pPr>
              <w:pStyle w:val="Compact"/>
              <w:jc w:val="left"/>
            </w:pPr>
            <w:r>
              <w:t xml:space="preserve">Verified fact</w:t>
            </w:r>
          </w:p>
        </w:tc>
        <w:tc>
          <w:tcPr/>
          <w:p>
            <w:pPr>
              <w:pStyle w:val="Compact"/>
              <w:jc w:val="left"/>
            </w:pPr>
            <w:r>
              <w:t xml:space="preserve">A6-S082</w:t>
            </w:r>
          </w:p>
        </w:tc>
      </w:tr>
      <w:tr>
        <w:tc>
          <w:tcPr/>
          <w:p>
            <w:pPr>
              <w:pStyle w:val="Compact"/>
              <w:jc w:val="left"/>
            </w:pPr>
            <w:r>
              <w:t xml:space="preserve">Integration</w:t>
            </w:r>
          </w:p>
        </w:tc>
        <w:tc>
          <w:tcPr/>
          <w:p>
            <w:pPr>
              <w:pStyle w:val="Compact"/>
              <w:jc w:val="left"/>
            </w:pPr>
            <w:r>
              <w:t xml:space="preserve">Python module and APIs; containerised Developer Edition sandbox</w:t>
            </w:r>
          </w:p>
        </w:tc>
        <w:tc>
          <w:tcPr/>
          <w:p>
            <w:pPr>
              <w:pStyle w:val="Compact"/>
              <w:jc w:val="left"/>
            </w:pPr>
            <w:r>
              <w:t xml:space="preserve">Verified fact</w:t>
            </w:r>
          </w:p>
        </w:tc>
        <w:tc>
          <w:tcPr/>
          <w:p>
            <w:pPr>
              <w:pStyle w:val="Compact"/>
              <w:jc w:val="left"/>
            </w:pPr>
            <w:r>
              <w:t xml:space="preserve">A6-S082</w:t>
            </w:r>
          </w:p>
        </w:tc>
      </w:tr>
      <w:tr>
        <w:tc>
          <w:tcPr/>
          <w:p>
            <w:pPr>
              <w:pStyle w:val="Compact"/>
              <w:jc w:val="left"/>
            </w:pPr>
            <w:r>
              <w:t xml:space="preserve">Dependencies</w:t>
            </w:r>
          </w:p>
        </w:tc>
        <w:tc>
          <w:tcPr/>
          <w:p>
            <w:pPr>
              <w:pStyle w:val="Compact"/>
              <w:jc w:val="left"/>
            </w:pPr>
            <w:r>
              <w:t xml:space="preserve">AI Team Edition deployment currently AWS-specific</w:t>
            </w:r>
          </w:p>
        </w:tc>
        <w:tc>
          <w:tcPr/>
          <w:p>
            <w:pPr>
              <w:pStyle w:val="Compact"/>
              <w:jc w:val="left"/>
            </w:pPr>
            <w:r>
              <w:t xml:space="preserve">Verified fact</w:t>
            </w:r>
          </w:p>
        </w:tc>
        <w:tc>
          <w:tcPr/>
          <w:p>
            <w:pPr>
              <w:pStyle w:val="Compact"/>
              <w:jc w:val="left"/>
            </w:pPr>
            <w:r>
              <w:t xml:space="preserve">A6-S093</w:t>
            </w:r>
          </w:p>
        </w:tc>
      </w:tr>
      <w:tr>
        <w:tc>
          <w:tcPr/>
          <w:p>
            <w:pPr>
              <w:pStyle w:val="Compact"/>
              <w:jc w:val="left"/>
            </w:pPr>
            <w:r>
              <w:t xml:space="preserve">Certifications</w:t>
            </w:r>
          </w:p>
        </w:tc>
        <w:tc>
          <w:tcPr/>
          <w:p>
            <w:pPr>
              <w:pStyle w:val="Compact"/>
              <w:jc w:val="left"/>
            </w:pPr>
            <w:r>
              <w:t xml:space="preserve">ISO 27001:2013 certification for its ISMS announced August 2023 (current renewal/2022 transition not verified); no Protegrity SOC 2 report found - SOC 2 references describe customer audit support</w:t>
            </w:r>
          </w:p>
        </w:tc>
        <w:tc>
          <w:tcPr/>
          <w:p>
            <w:pPr>
              <w:pStyle w:val="Compact"/>
              <w:jc w:val="left"/>
            </w:pPr>
            <w:r>
              <w:t xml:space="preserve">Verified fact</w:t>
            </w:r>
          </w:p>
        </w:tc>
        <w:tc>
          <w:tcPr/>
          <w:p>
            <w:pPr>
              <w:pStyle w:val="Compact"/>
              <w:jc w:val="left"/>
            </w:pPr>
            <w:r>
              <w:t xml:space="preserve">A6-S094, A6-S093</w:t>
            </w:r>
          </w:p>
        </w:tc>
      </w:tr>
      <w:tr>
        <w:tc>
          <w:tcPr/>
          <w:p>
            <w:pPr>
              <w:pStyle w:val="Compact"/>
              <w:jc w:val="left"/>
            </w:pPr>
            <w:r>
              <w:t xml:space="preserve">GDPR / residency</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Security features</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Access controls</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Enterprise support</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Pricing</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Infrastructure cost</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Ecosystem</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Adoption signals</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Maturity</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Deployment</w:t>
            </w:r>
          </w:p>
        </w:tc>
        <w:tc>
          <w:tcPr/>
          <w:p>
            <w:pPr>
              <w:pStyle w:val="Compact"/>
              <w:jc w:val="left"/>
            </w:pPr>
            <w:r>
              <w:t xml:space="preserve">saas: Not publicly verified; managed_cloud: Not publicly verified; vpc_byoc: Not publicly verified; private_cloud: Not publicly verified; self_hosted: Yes (containerised Developer Edition); on_prem: Not publicly verified</w:t>
            </w:r>
          </w:p>
        </w:tc>
        <w:tc>
          <w:tcPr/>
          <w:p>
            <w:pPr>
              <w:pStyle w:val="Compact"/>
            </w:pPr>
          </w:p>
        </w:tc>
        <w:tc>
          <w:tcPr/>
          <w:p>
            <w:pPr>
              <w:pStyle w:val="Compact"/>
            </w:pPr>
          </w:p>
        </w:tc>
      </w:tr>
    </w:tbl>
    <w:bookmarkEnd w:id="2100"/>
    <w:bookmarkEnd w:id="2101"/>
    <w:bookmarkStart w:id="2181" w:name="c4-identity-and-access-for-agents"/>
    <w:p>
      <w:pPr>
        <w:pStyle w:val="Heading1"/>
      </w:pPr>
      <w:r>
        <w:t xml:space="preserve">C4: Identity and access for agents</w:t>
      </w:r>
    </w:p>
    <w:bookmarkStart w:id="2109" w:name="open-policy-agent-opa-c4-opa"/>
    <w:p>
      <w:pPr>
        <w:pStyle w:val="Heading2"/>
      </w:pPr>
      <w:r>
        <w:t xml:space="preserve">Open Policy Agent (OPA) (</w:t>
      </w:r>
      <w:r>
        <w:rPr>
          <w:rStyle w:val="VerbatimChar"/>
        </w:rPr>
        <w:t xml:space="preserve">C4-opa</w:t>
      </w:r>
      <w:r>
        <w:t xml:space="preserve">)</w:t>
      </w:r>
    </w:p>
    <w:p>
      <w:pPr>
        <w:pStyle w:val="FirstParagraph"/>
      </w:pPr>
      <w:r>
        <w:rPr>
          <w:bCs/>
          <w:b/>
        </w:rPr>
        <w:t xml:space="preserve">Tier:</w:t>
      </w:r>
      <w:r>
        <w:t xml:space="preserve"> </w:t>
      </w:r>
      <w:r>
        <w:t xml:space="preserve">Strategic ·</w:t>
      </w:r>
      <w:r>
        <w:t xml:space="preserve"> </w:t>
      </w:r>
      <w:r>
        <w:rPr>
          <w:bCs/>
          <w:b/>
        </w:rPr>
        <w:t xml:space="preserve">Flags:</w:t>
      </w:r>
      <w:r>
        <w:t xml:space="preserve"> </w:t>
      </w:r>
      <w:r>
        <w:t xml:space="preserve">none ·</w:t>
      </w:r>
      <w:r>
        <w:t xml:space="preserve"> </w:t>
      </w:r>
      <w:r>
        <w:rPr>
          <w:bCs/>
          <w:b/>
        </w:rPr>
        <w:t xml:space="preserve">Original graphic label:</w:t>
      </w:r>
      <w:r>
        <w:t xml:space="preserve"> </w:t>
      </w:r>
      <w:r>
        <w:t xml:space="preserve">not in graphic</w:t>
      </w:r>
    </w:p>
    <w:p>
      <w:pPr>
        <w:pStyle w:val="BodyText"/>
      </w:pPr>
      <w:r>
        <w:rPr>
          <w:iCs/>
          <w:i/>
        </w:rPr>
        <w:t xml:space="preserve">Rationale:</w:t>
      </w:r>
      <w:r>
        <w:t xml:space="preserve"> </w:t>
      </w:r>
      <w:r>
        <w:t xml:space="preserve">The neutral, mature policy decision point for agent tool governance across clouds</w:t>
      </w:r>
      <w:r>
        <w:t xml:space="preserve"> </w:t>
      </w:r>
      <w:r>
        <w:rPr>
          <w:rStyle w:val="ClaimLabel"/>
        </w:rPr>
        <w:t xml:space="preserve">AJ</w:t>
      </w:r>
      <w:r>
        <w:t xml:space="preserve">.</w:t>
      </w:r>
    </w:p>
    <w:tbl>
      <w:tblPr>
        <w:tblStyle w:val="Table"/>
        <w:tblW w:type="pct" w:w="5000"/>
        <w:tblLook w:firstRow="1" w:lastRow="0" w:firstColumn="0" w:lastColumn="0" w:noHBand="0" w:noVBand="0" w:val="0020"/>
        <w:jc w:val="start"/>
      </w:tblPr>
      <w:tblGrid>
        <w:gridCol w:w="1545"/>
        <w:gridCol w:w="579"/>
        <w:gridCol w:w="5795"/>
      </w:tblGrid>
      <w:tr>
        <w:trPr>
          <w:tblHeader w:val="true"/>
        </w:trPr>
        <w:tc>
          <w:tcPr/>
          <w:p>
            <w:pPr>
              <w:pStyle w:val="Compact"/>
              <w:jc w:val="left"/>
            </w:pPr>
            <w:r>
              <w:t xml:space="preserve">Criterion</w:t>
            </w:r>
          </w:p>
        </w:tc>
        <w:tc>
          <w:tcPr/>
          <w:p>
            <w:pPr>
              <w:pStyle w:val="Compact"/>
              <w:jc w:val="right"/>
            </w:pPr>
            <w:r>
              <w:t xml:space="preserve">Score</w:t>
            </w:r>
          </w:p>
        </w:tc>
        <w:tc>
          <w:tcPr/>
          <w:p>
            <w:pPr>
              <w:pStyle w:val="Compact"/>
              <w:jc w:val="left"/>
            </w:pPr>
            <w:r>
              <w:t xml:space="preserve">Rationale</w:t>
            </w:r>
          </w:p>
        </w:tc>
      </w:tr>
      <w:tr>
        <w:tc>
          <w:tcPr/>
          <w:p>
            <w:pPr>
              <w:pStyle w:val="Compact"/>
              <w:jc w:val="left"/>
            </w:pPr>
            <w:r>
              <w:t xml:space="preserve">Technical</w:t>
            </w:r>
          </w:p>
        </w:tc>
        <w:tc>
          <w:tcPr/>
          <w:p>
            <w:pPr>
              <w:pStyle w:val="Compact"/>
              <w:jc w:val="right"/>
            </w:pPr>
            <w:r>
              <w:t xml:space="preserve">4</w:t>
            </w:r>
          </w:p>
        </w:tc>
        <w:tc>
          <w:tcPr/>
          <w:p>
            <w:pPr>
              <w:pStyle w:val="Compact"/>
              <w:jc w:val="left"/>
            </w:pPr>
            <w:r>
              <w:t xml:space="preserve">General ABAC/RBAC policy engine; agent semantics are the firm’s to model.</w:t>
            </w:r>
          </w:p>
        </w:tc>
      </w:tr>
      <w:tr>
        <w:tc>
          <w:tcPr/>
          <w:p>
            <w:pPr>
              <w:pStyle w:val="Compact"/>
              <w:jc w:val="left"/>
            </w:pPr>
            <w:r>
              <w:t xml:space="preserve">Enterprise readiness</w:t>
            </w:r>
          </w:p>
        </w:tc>
        <w:tc>
          <w:tcPr/>
          <w:p>
            <w:pPr>
              <w:pStyle w:val="Compact"/>
              <w:jc w:val="right"/>
            </w:pPr>
            <w:r>
              <w:t xml:space="preserve">3</w:t>
            </w:r>
          </w:p>
        </w:tc>
        <w:tc>
          <w:tcPr/>
          <w:p>
            <w:pPr>
              <w:pStyle w:val="Compact"/>
              <w:jc w:val="left"/>
            </w:pPr>
            <w:r>
              <w:t xml:space="preserve">Rule 2: enables central policy decisions in-estate; commercial support not verified.</w:t>
            </w:r>
          </w:p>
        </w:tc>
      </w:tr>
      <w:tr>
        <w:tc>
          <w:tcPr/>
          <w:p>
            <w:pPr>
              <w:pStyle w:val="Compact"/>
              <w:jc w:val="left"/>
            </w:pPr>
            <w:r>
              <w:t xml:space="preserve">Security and compliance</w:t>
            </w:r>
          </w:p>
        </w:tc>
        <w:tc>
          <w:tcPr/>
          <w:p>
            <w:pPr>
              <w:pStyle w:val="Compact"/>
              <w:jc w:val="right"/>
            </w:pPr>
            <w:r>
              <w:t xml:space="preserve">4</w:t>
            </w:r>
          </w:p>
        </w:tc>
        <w:tc>
          <w:tcPr/>
          <w:p>
            <w:pPr>
              <w:pStyle w:val="Compact"/>
              <w:jc w:val="left"/>
            </w:pPr>
            <w:r>
              <w:t xml:space="preserve">Rule 2 hygiene: security policy (B-C4-S001), CNCF graduated, Apache-2.0.</w:t>
            </w:r>
          </w:p>
        </w:tc>
      </w:tr>
      <w:tr>
        <w:tc>
          <w:tcPr/>
          <w:p>
            <w:pPr>
              <w:pStyle w:val="Compact"/>
              <w:jc w:val="left"/>
            </w:pPr>
            <w:r>
              <w:t xml:space="preserve">Deployment flexibility</w:t>
            </w:r>
          </w:p>
        </w:tc>
        <w:tc>
          <w:tcPr/>
          <w:p>
            <w:pPr>
              <w:pStyle w:val="Compact"/>
              <w:jc w:val="right"/>
            </w:pPr>
            <w:r>
              <w:t xml:space="preserve">5</w:t>
            </w:r>
          </w:p>
        </w:tc>
        <w:tc>
          <w:tcPr/>
          <w:p>
            <w:pPr>
              <w:pStyle w:val="Compact"/>
              <w:jc w:val="left"/>
            </w:pPr>
            <w:r>
              <w:t xml:space="preserve">Library, sidecar or daemon; self-hosted and on-premises.</w:t>
            </w:r>
          </w:p>
        </w:tc>
      </w:tr>
      <w:tr>
        <w:tc>
          <w:tcPr/>
          <w:p>
            <w:pPr>
              <w:pStyle w:val="Compact"/>
              <w:jc w:val="left"/>
            </w:pPr>
            <w:r>
              <w:t xml:space="preserve">Ecosystem</w:t>
            </w:r>
          </w:p>
        </w:tc>
        <w:tc>
          <w:tcPr/>
          <w:p>
            <w:pPr>
              <w:pStyle w:val="Compact"/>
              <w:jc w:val="right"/>
            </w:pPr>
            <w:r>
              <w:t xml:space="preserve">5</w:t>
            </w:r>
          </w:p>
        </w:tc>
        <w:tc>
          <w:tcPr/>
          <w:p>
            <w:pPr>
              <w:pStyle w:val="Compact"/>
              <w:jc w:val="left"/>
            </w:pPr>
            <w:r>
              <w:t xml:space="preserve">Used across services, APIs, Kubernetes and infrastructure.</w:t>
            </w:r>
          </w:p>
        </w:tc>
      </w:tr>
      <w:tr>
        <w:tc>
          <w:tcPr/>
          <w:p>
            <w:pPr>
              <w:pStyle w:val="Compact"/>
              <w:jc w:val="left"/>
            </w:pPr>
            <w:r>
              <w:t xml:space="preserve">Reliability and maturity</w:t>
            </w:r>
          </w:p>
        </w:tc>
        <w:tc>
          <w:tcPr/>
          <w:p>
            <w:pPr>
              <w:pStyle w:val="Compact"/>
              <w:jc w:val="right"/>
            </w:pPr>
            <w:r>
              <w:t xml:space="preserve">4</w:t>
            </w:r>
          </w:p>
        </w:tc>
        <w:tc>
          <w:tcPr/>
          <w:p>
            <w:pPr>
              <w:pStyle w:val="Compact"/>
              <w:jc w:val="left"/>
            </w:pPr>
            <w:r>
              <w:t xml:space="preserve">Graduated since 2021 with regular releases; maintainer funding not verified.</w:t>
            </w:r>
          </w:p>
        </w:tc>
      </w:tr>
      <w:tr>
        <w:tc>
          <w:tcPr/>
          <w:p>
            <w:pPr>
              <w:pStyle w:val="Compact"/>
              <w:jc w:val="left"/>
            </w:pPr>
            <w:r>
              <w:t xml:space="preserve">Cost / TCO</w:t>
            </w:r>
          </w:p>
        </w:tc>
        <w:tc>
          <w:tcPr/>
          <w:p>
            <w:pPr>
              <w:pStyle w:val="Compact"/>
              <w:jc w:val="right"/>
            </w:pPr>
            <w:r>
              <w:t xml:space="preserve">4</w:t>
            </w:r>
          </w:p>
        </w:tc>
        <w:tc>
          <w:tcPr/>
          <w:p>
            <w:pPr>
              <w:pStyle w:val="Compact"/>
              <w:jc w:val="left"/>
            </w:pPr>
            <w:r>
              <w:t xml:space="preserve">Free; Rego skills and policy testing are the cost.</w:t>
            </w:r>
          </w:p>
        </w:tc>
      </w:tr>
      <w:tr>
        <w:tc>
          <w:tcPr/>
          <w:p>
            <w:pPr>
              <w:pStyle w:val="Compact"/>
              <w:jc w:val="left"/>
            </w:pPr>
            <w:r>
              <w:t xml:space="preserve">Lock-in / portability</w:t>
            </w:r>
          </w:p>
        </w:tc>
        <w:tc>
          <w:tcPr/>
          <w:p>
            <w:pPr>
              <w:pStyle w:val="Compact"/>
              <w:jc w:val="right"/>
            </w:pPr>
            <w:r>
              <w:t xml:space="preserve">5</w:t>
            </w:r>
          </w:p>
        </w:tc>
        <w:tc>
          <w:tcPr/>
          <w:p>
            <w:pPr>
              <w:pStyle w:val="Compact"/>
              <w:jc w:val="left"/>
            </w:pPr>
            <w:r>
              <w:t xml:space="preserve">Open source, Apache-2.0, CNCF governance.</w:t>
            </w:r>
          </w:p>
        </w:tc>
      </w:tr>
      <w:tr>
        <w:tc>
          <w:tcPr/>
          <w:p>
            <w:pPr>
              <w:pStyle w:val="Compact"/>
              <w:jc w:val="left"/>
            </w:pPr>
            <w:r>
              <w:rPr>
                <w:bCs/>
                <w:b/>
              </w:rPr>
              <w:t xml:space="preserve">Total (generic / FS)</w:t>
            </w:r>
          </w:p>
        </w:tc>
        <w:tc>
          <w:tcPr/>
          <w:p>
            <w:pPr>
              <w:pStyle w:val="Compact"/>
              <w:jc w:val="right"/>
            </w:pPr>
            <w:r>
              <w:rPr>
                <w:bCs/>
                <w:b/>
              </w:rPr>
              <w:t xml:space="preserve">4.15 / 4.20</w:t>
            </w:r>
          </w:p>
        </w:tc>
        <w:tc>
          <w:tcPr/>
          <w:p>
            <w:pPr>
              <w:pStyle w:val="Compact"/>
            </w:pPr>
          </w:p>
        </w:tc>
      </w:tr>
    </w:tbl>
    <w:p>
      <w:pPr>
        <w:pStyle w:val="BodyText"/>
      </w:pPr>
      <w:r>
        <w:rPr>
          <w:iCs/>
          <w:i/>
        </w:rPr>
        <w:t xml:space="preserve">Evidence rules applied:</w:t>
      </w:r>
      <w:r>
        <w:t xml:space="preserve"> </w:t>
      </w:r>
      <w:r>
        <w:t xml:space="preserve">Rule 2 (self-hosted software / open specification): enterprise_readiness and security_compliance capped at 4; NPV cap not applied; inherits host controls</w:t>
      </w:r>
    </w:p>
    <w:p>
      <w:pPr>
        <w:pStyle w:val="BodyText"/>
      </w:pPr>
      <w:r>
        <w:rPr>
          <w:bCs/>
          <w:b/>
        </w:rPr>
        <w:t xml:space="preserve">Capabilities.</w:t>
      </w:r>
      <w:r>
        <w:t xml:space="preserve"> </w:t>
      </w:r>
      <w:r>
        <w:t xml:space="preserve">Open Policy Agent: general-purpose policy engine evaluating Rego policies against JSON input for allow/deny or richer decisions, as library or sidecar/daemon, across services, APIs, Kubernetes and infrastructure; v1.21.1 (29 September 2026), Apache-2.0, CNCF graduated (February 2021)</w:t>
      </w:r>
      <w:r>
        <w:t xml:space="preserve"> </w:t>
      </w:r>
      <w:r>
        <w:rPr>
          <w:rStyle w:val="ClaimLabel"/>
        </w:rPr>
        <w:t xml:space="preserve">VF</w:t>
      </w:r>
      <w:r>
        <w:rPr>
          <w:rStyle w:val="FootnoteReference"/>
        </w:rPr>
        <w:footnoteReference w:id="2102"/>
      </w:r>
      <w:r>
        <w:t xml:space="preserve">.</w:t>
      </w:r>
    </w:p>
    <w:p>
      <w:pPr>
        <w:pStyle w:val="BodyText"/>
      </w:pPr>
      <w:r>
        <w:rPr>
          <w:bCs/>
          <w:b/>
        </w:rPr>
        <w:t xml:space="preserve">Strengths</w:t>
      </w:r>
    </w:p>
    <w:p>
      <w:pPr>
        <w:numPr>
          <w:ilvl w:val="0"/>
          <w:numId w:val="1445"/>
        </w:numPr>
        <w:pStyle w:val="Compact"/>
      </w:pPr>
      <w:r>
        <w:t xml:space="preserve">One policy engine for gateway, tool server and infrastructure decisions</w:t>
      </w:r>
      <w:r>
        <w:t xml:space="preserve"> </w:t>
      </w:r>
      <w:r>
        <w:rPr>
          <w:rStyle w:val="ClaimLabel"/>
        </w:rPr>
        <w:t xml:space="preserve">VF</w:t>
      </w:r>
      <w:r>
        <w:rPr>
          <w:rStyle w:val="FootnoteReference"/>
        </w:rPr>
        <w:footnoteReference w:id="2106"/>
      </w:r>
    </w:p>
    <w:p>
      <w:pPr>
        <w:numPr>
          <w:ilvl w:val="0"/>
          <w:numId w:val="1445"/>
        </w:numPr>
        <w:pStyle w:val="Compact"/>
      </w:pPr>
      <w:r>
        <w:t xml:space="preserve">CNCF graduated with a published security policy</w:t>
      </w:r>
      <w:r>
        <w:t xml:space="preserve"> </w:t>
      </w:r>
      <w:r>
        <w:rPr>
          <w:rStyle w:val="ClaimLabel"/>
        </w:rPr>
        <w:t xml:space="preserve">VF</w:t>
      </w:r>
      <w:r>
        <w:rPr>
          <w:rStyle w:val="FootnoteReference"/>
        </w:rPr>
        <w:footnoteReference w:id="2107"/>
      </w:r>
    </w:p>
    <w:p>
      <w:pPr>
        <w:numPr>
          <w:ilvl w:val="0"/>
          <w:numId w:val="1445"/>
        </w:numPr>
        <w:pStyle w:val="Compact"/>
      </w:pPr>
      <w:r>
        <w:t xml:space="preserve">Policies are code that can be unit-tested and versioned</w:t>
      </w:r>
      <w:r>
        <w:t xml:space="preserve"> </w:t>
      </w:r>
      <w:r>
        <w:rPr>
          <w:rStyle w:val="ClaimLabel"/>
        </w:rPr>
        <w:t xml:space="preserve">AJ</w:t>
      </w:r>
    </w:p>
    <w:p>
      <w:pPr>
        <w:pStyle w:val="FirstParagraph"/>
      </w:pPr>
      <w:r>
        <w:rPr>
          <w:bCs/>
          <w:b/>
        </w:rPr>
        <w:t xml:space="preserve">Limitations and risks</w:t>
      </w:r>
    </w:p>
    <w:p>
      <w:pPr>
        <w:numPr>
          <w:ilvl w:val="0"/>
          <w:numId w:val="1446"/>
        </w:numPr>
        <w:pStyle w:val="Compact"/>
      </w:pPr>
      <w:r>
        <w:t xml:space="preserve">No agent-specific features verified</w:t>
      </w:r>
      <w:r>
        <w:t xml:space="preserve"> </w:t>
      </w:r>
      <w:r>
        <w:rPr>
          <w:rStyle w:val="ClaimLabel"/>
        </w:rPr>
        <w:t xml:space="preserve">NPV</w:t>
      </w:r>
    </w:p>
    <w:p>
      <w:pPr>
        <w:numPr>
          <w:ilvl w:val="0"/>
          <w:numId w:val="1446"/>
        </w:numPr>
        <w:pStyle w:val="Compact"/>
      </w:pPr>
      <w:r>
        <w:t xml:space="preserve">Reported 2025 move of the original maintainers to Apple not verified</w:t>
      </w:r>
      <w:r>
        <w:t xml:space="preserve"> </w:t>
      </w:r>
      <w:r>
        <w:rPr>
          <w:rStyle w:val="ClaimLabel"/>
        </w:rPr>
        <w:t xml:space="preserve">NPV</w:t>
      </w:r>
    </w:p>
    <w:p>
      <w:pPr>
        <w:numPr>
          <w:ilvl w:val="0"/>
          <w:numId w:val="1446"/>
        </w:numPr>
        <w:pStyle w:val="Compact"/>
      </w:pPr>
      <w:r>
        <w:t xml:space="preserve">Rego is a learning curve</w:t>
      </w:r>
      <w:r>
        <w:t xml:space="preserve"> </w:t>
      </w:r>
      <w:r>
        <w:rPr>
          <w:rStyle w:val="ClaimLabel"/>
        </w:rPr>
        <w:t xml:space="preserve">AJ</w:t>
      </w:r>
    </w:p>
    <w:p>
      <w:pPr>
        <w:pStyle w:val="FirstParagraph"/>
      </w:pPr>
      <w:r>
        <w:rPr>
          <w:bCs/>
          <w:b/>
        </w:rPr>
        <w:t xml:space="preserve">Choose when</w:t>
      </w:r>
    </w:p>
    <w:p>
      <w:pPr>
        <w:numPr>
          <w:ilvl w:val="0"/>
          <w:numId w:val="1447"/>
        </w:numPr>
        <w:pStyle w:val="Compact"/>
      </w:pPr>
      <w:r>
        <w:t xml:space="preserve">You want one vendor-neutral PDP across clouds and runtimes</w:t>
      </w:r>
      <w:r>
        <w:t xml:space="preserve"> </w:t>
      </w:r>
      <w:r>
        <w:rPr>
          <w:rStyle w:val="ClaimLabel"/>
        </w:rPr>
        <w:t xml:space="preserve">AJ</w:t>
      </w:r>
    </w:p>
    <w:p>
      <w:pPr>
        <w:pStyle w:val="FirstParagraph"/>
      </w:pPr>
      <w:r>
        <w:rPr>
          <w:bCs/>
          <w:b/>
        </w:rPr>
        <w:t xml:space="preserve">Avoid when</w:t>
      </w:r>
    </w:p>
    <w:p>
      <w:pPr>
        <w:numPr>
          <w:ilvl w:val="0"/>
          <w:numId w:val="1448"/>
        </w:numPr>
        <w:pStyle w:val="Compact"/>
      </w:pPr>
      <w:r>
        <w:t xml:space="preserve">Your agent estate is AWS AgentCore and you want managed, automated-reasoning-checked policies</w:t>
      </w:r>
      <w:r>
        <w:t xml:space="preserve"> </w:t>
      </w:r>
      <w:r>
        <w:rPr>
          <w:rStyle w:val="ClaimLabel"/>
        </w:rPr>
        <w:t xml:space="preserve">AJ</w:t>
      </w:r>
    </w:p>
    <w:p>
      <w:pPr>
        <w:pStyle w:val="FirstParagraph"/>
      </w:pPr>
      <w:r>
        <w:rPr>
          <w:bCs/>
          <w:b/>
        </w:rPr>
        <w:t xml:space="preserve">Nearest competitors:</w:t>
      </w:r>
      <w:r>
        <w:t xml:space="preserve"> </w:t>
      </w:r>
      <w:r>
        <w:t xml:space="preserve">C4-cedar, Gateway-native policy (Kong, AgentCore Policy)</w:t>
      </w:r>
    </w:p>
    <w:p>
      <w:pPr>
        <w:pStyle w:val="BodyText"/>
      </w:pPr>
      <w:r>
        <w:rPr>
          <w:bCs/>
          <w:b/>
        </w:rPr>
        <w:t xml:space="preserve">Regulated-FS note.</w:t>
      </w:r>
      <w:r>
        <w:t xml:space="preserve"> </w:t>
      </w:r>
      <w:r>
        <w:t xml:space="preserve">Evaluate every tool call at the gateway with principal, agent, tool and arguments as input; keep policies and their tests in Git under change control</w:t>
      </w:r>
      <w:r>
        <w:t xml:space="preserve"> </w:t>
      </w:r>
      <w:r>
        <w:rPr>
          <w:rStyle w:val="ClaimLabel"/>
        </w:rPr>
        <w:t xml:space="preserve">Rec</w:t>
      </w:r>
      <w:r>
        <w:t xml:space="preserve">.</w:t>
      </w:r>
    </w:p>
    <w:p>
      <w:pPr>
        <w:pStyle w:val="BodyText"/>
      </w:pPr>
      <w:r>
        <w:rPr>
          <w:bCs/>
          <w:b/>
        </w:rPr>
        <w:t xml:space="preserve">Facts (as of 2026-10-08)</w:t>
      </w:r>
    </w:p>
    <w:tbl>
      <w:tblPr>
        <w:tblStyle w:val="Table"/>
        <w:tblW w:type="pct" w:w="5000"/>
        <w:tblLook w:firstRow="1" w:lastRow="0" w:firstColumn="0" w:lastColumn="0" w:noHBand="0" w:noVBand="0" w:val="0020"/>
        <w:jc w:val="start"/>
      </w:tblPr>
      <w:tblGrid>
        <w:gridCol w:w="1485"/>
        <w:gridCol w:w="4290"/>
        <w:gridCol w:w="1320"/>
        <w:gridCol w:w="825"/>
      </w:tblGrid>
      <w:tr>
        <w:trPr>
          <w:tblHeader w:val="true"/>
        </w:trPr>
        <w:tc>
          <w:tcPr/>
          <w:p>
            <w:pPr>
              <w:pStyle w:val="Compact"/>
              <w:jc w:val="left"/>
            </w:pPr>
            <w:r>
              <w:t xml:space="preserve">Field</w:t>
            </w:r>
          </w:p>
        </w:tc>
        <w:tc>
          <w:tcPr/>
          <w:p>
            <w:pPr>
              <w:pStyle w:val="Compact"/>
              <w:jc w:val="left"/>
            </w:pPr>
            <w:r>
              <w:t xml:space="preserve">Value</w:t>
            </w:r>
          </w:p>
        </w:tc>
        <w:tc>
          <w:tcPr/>
          <w:p>
            <w:pPr>
              <w:pStyle w:val="Compact"/>
              <w:jc w:val="left"/>
            </w:pPr>
            <w:r>
              <w:t xml:space="preserve">Label</w:t>
            </w:r>
          </w:p>
        </w:tc>
        <w:tc>
          <w:tcPr/>
          <w:p>
            <w:pPr>
              <w:pStyle w:val="Compact"/>
              <w:jc w:val="left"/>
            </w:pPr>
            <w:r>
              <w:t xml:space="preserve">Sources</w:t>
            </w:r>
          </w:p>
        </w:tc>
      </w:tr>
      <w:tr>
        <w:tc>
          <w:tcPr/>
          <w:p>
            <w:pPr>
              <w:pStyle w:val="Compact"/>
              <w:jc w:val="left"/>
            </w:pPr>
            <w:r>
              <w:t xml:space="preserve">Company</w:t>
            </w:r>
          </w:p>
        </w:tc>
        <w:tc>
          <w:tcPr/>
          <w:p>
            <w:pPr>
              <w:pStyle w:val="Compact"/>
              <w:jc w:val="left"/>
            </w:pPr>
            <w:r>
              <w:t xml:space="preserve">Open Policy Agent project, CNCF graduated (graduated February 2021)</w:t>
            </w:r>
          </w:p>
        </w:tc>
        <w:tc>
          <w:tcPr/>
          <w:p>
            <w:pPr>
              <w:pStyle w:val="Compact"/>
              <w:jc w:val="left"/>
            </w:pPr>
            <w:r>
              <w:t xml:space="preserve">Verified fact</w:t>
            </w:r>
          </w:p>
        </w:tc>
        <w:tc>
          <w:tcPr/>
          <w:p>
            <w:pPr>
              <w:pStyle w:val="Compact"/>
              <w:jc w:val="left"/>
            </w:pPr>
            <w:r>
              <w:t xml:space="preserve">A6-S046</w:t>
            </w:r>
          </w:p>
        </w:tc>
      </w:tr>
      <w:tr>
        <w:tc>
          <w:tcPr/>
          <w:p>
            <w:pPr>
              <w:pStyle w:val="Compact"/>
              <w:jc w:val="left"/>
            </w:pPr>
            <w:r>
              <w:t xml:space="preserve">Category</w:t>
            </w:r>
          </w:p>
        </w:tc>
        <w:tc>
          <w:tcPr/>
          <w:p>
            <w:pPr>
              <w:pStyle w:val="Compact"/>
              <w:jc w:val="left"/>
            </w:pPr>
            <w:r>
              <w:t xml:space="preserve">Open-source general-purpose policy engine (policy-as-code, Rego)</w:t>
            </w:r>
          </w:p>
        </w:tc>
        <w:tc>
          <w:tcPr/>
          <w:p>
            <w:pPr>
              <w:pStyle w:val="Compact"/>
              <w:jc w:val="left"/>
            </w:pPr>
            <w:r>
              <w:t xml:space="preserve">Verified fact</w:t>
            </w:r>
          </w:p>
        </w:tc>
        <w:tc>
          <w:tcPr/>
          <w:p>
            <w:pPr>
              <w:pStyle w:val="Compact"/>
              <w:jc w:val="left"/>
            </w:pPr>
            <w:r>
              <w:t xml:space="preserve">A6-S046</w:t>
            </w:r>
          </w:p>
        </w:tc>
      </w:tr>
      <w:tr>
        <w:tc>
          <w:tcPr/>
          <w:p>
            <w:pPr>
              <w:pStyle w:val="Compact"/>
              <w:jc w:val="left"/>
            </w:pPr>
            <w:r>
              <w:t xml:space="preserve">Version / lineup</w:t>
            </w:r>
          </w:p>
        </w:tc>
        <w:tc>
          <w:tcPr/>
          <w:p>
            <w:pPr>
              <w:pStyle w:val="Compact"/>
              <w:jc w:val="left"/>
            </w:pPr>
            <w:r>
              <w:t xml:space="preserve">v1.21.1 (29 September 2026)</w:t>
            </w:r>
          </w:p>
        </w:tc>
        <w:tc>
          <w:tcPr/>
          <w:p>
            <w:pPr>
              <w:pStyle w:val="Compact"/>
              <w:jc w:val="left"/>
            </w:pPr>
            <w:r>
              <w:t xml:space="preserve">Verified fact</w:t>
            </w:r>
          </w:p>
        </w:tc>
        <w:tc>
          <w:tcPr/>
          <w:p>
            <w:pPr>
              <w:pStyle w:val="Compact"/>
              <w:jc w:val="left"/>
            </w:pPr>
            <w:r>
              <w:t xml:space="preserve">A6-S048, A6-S047, V2-S061</w:t>
            </w:r>
          </w:p>
        </w:tc>
      </w:tr>
      <w:tr>
        <w:tc>
          <w:tcPr/>
          <w:p>
            <w:pPr>
              <w:pStyle w:val="Compact"/>
              <w:jc w:val="left"/>
            </w:pPr>
            <w:r>
              <w:t xml:space="preserve">Licence</w:t>
            </w:r>
          </w:p>
        </w:tc>
        <w:tc>
          <w:tcPr/>
          <w:p>
            <w:pPr>
              <w:pStyle w:val="Compact"/>
              <w:jc w:val="left"/>
            </w:pPr>
            <w:r>
              <w:t xml:space="preserve">Open source (Apache-2.0)</w:t>
            </w:r>
          </w:p>
        </w:tc>
        <w:tc>
          <w:tcPr/>
          <w:p>
            <w:pPr>
              <w:pStyle w:val="Compact"/>
              <w:jc w:val="left"/>
            </w:pPr>
            <w:r>
              <w:t xml:space="preserve">Verified fact</w:t>
            </w:r>
          </w:p>
        </w:tc>
        <w:tc>
          <w:tcPr/>
          <w:p>
            <w:pPr>
              <w:pStyle w:val="Compact"/>
              <w:jc w:val="left"/>
            </w:pPr>
            <w:r>
              <w:t xml:space="preserve">A6-S088</w:t>
            </w:r>
          </w:p>
        </w:tc>
      </w:tr>
      <w:tr>
        <w:tc>
          <w:tcPr/>
          <w:p>
            <w:pPr>
              <w:pStyle w:val="Compact"/>
              <w:jc w:val="left"/>
            </w:pPr>
            <w:r>
              <w:t xml:space="preserve">Strategic direction</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What it does</w:t>
            </w:r>
          </w:p>
        </w:tc>
        <w:tc>
          <w:tcPr/>
          <w:p>
            <w:pPr>
              <w:pStyle w:val="Compact"/>
              <w:jc w:val="left"/>
            </w:pPr>
            <w:r>
              <w:t xml:space="preserve">Evaluates context-aware policies written in Rego against JSON input to return allow/deny or richer decisions, enabling unified policy enforcement across services, APIs, Kubernetes and infrastructure.</w:t>
            </w:r>
          </w:p>
        </w:tc>
        <w:tc>
          <w:tcPr/>
          <w:p>
            <w:pPr>
              <w:pStyle w:val="Compact"/>
              <w:jc w:val="left"/>
            </w:pPr>
            <w:r>
              <w:t xml:space="preserve">Verified fact</w:t>
            </w:r>
          </w:p>
        </w:tc>
        <w:tc>
          <w:tcPr/>
          <w:p>
            <w:pPr>
              <w:pStyle w:val="Compact"/>
              <w:jc w:val="left"/>
            </w:pPr>
            <w:r>
              <w:t xml:space="preserve">A6-S046</w:t>
            </w:r>
          </w:p>
        </w:tc>
      </w:tr>
      <w:tr>
        <w:tc>
          <w:tcPr/>
          <w:p>
            <w:pPr>
              <w:pStyle w:val="Compact"/>
              <w:jc w:val="left"/>
            </w:pPr>
            <w:r>
              <w:t xml:space="preserve">Stack position</w:t>
            </w:r>
          </w:p>
        </w:tc>
        <w:tc>
          <w:tcPr/>
          <w:p>
            <w:pPr>
              <w:pStyle w:val="Compact"/>
              <w:jc w:val="left"/>
            </w:pPr>
            <w:r>
              <w:t xml:space="preserve">Policy decision point used by gateways, agent runtimes and tool servers for ABAC/RBAC decisions</w:t>
            </w:r>
          </w:p>
        </w:tc>
        <w:tc>
          <w:tcPr/>
          <w:p>
            <w:pPr>
              <w:pStyle w:val="Compact"/>
              <w:jc w:val="left"/>
            </w:pPr>
            <w:r>
              <w:t xml:space="preserve">Verified fact</w:t>
            </w:r>
          </w:p>
        </w:tc>
        <w:tc>
          <w:tcPr/>
          <w:p>
            <w:pPr>
              <w:pStyle w:val="Compact"/>
              <w:jc w:val="left"/>
            </w:pPr>
            <w:r>
              <w:t xml:space="preserve">A6-S046</w:t>
            </w:r>
          </w:p>
        </w:tc>
      </w:tr>
      <w:tr>
        <w:tc>
          <w:tcPr/>
          <w:p>
            <w:pPr>
              <w:pStyle w:val="Compact"/>
              <w:jc w:val="left"/>
            </w:pPr>
            <w:r>
              <w:t xml:space="preserve">Integration</w:t>
            </w:r>
          </w:p>
        </w:tc>
        <w:tc>
          <w:tcPr/>
          <w:p>
            <w:pPr>
              <w:pStyle w:val="Compact"/>
              <w:jc w:val="left"/>
            </w:pPr>
            <w:r>
              <w:t xml:space="preserve">Rego policies; library or sidecar/daemon; VS Code extension and Rego Playground</w:t>
            </w:r>
          </w:p>
        </w:tc>
        <w:tc>
          <w:tcPr/>
          <w:p>
            <w:pPr>
              <w:pStyle w:val="Compact"/>
              <w:jc w:val="left"/>
            </w:pPr>
            <w:r>
              <w:t xml:space="preserve">Verified fact</w:t>
            </w:r>
          </w:p>
        </w:tc>
        <w:tc>
          <w:tcPr/>
          <w:p>
            <w:pPr>
              <w:pStyle w:val="Compact"/>
              <w:jc w:val="left"/>
            </w:pPr>
            <w:r>
              <w:t xml:space="preserve">A6-S046</w:t>
            </w:r>
          </w:p>
        </w:tc>
      </w:tr>
      <w:tr>
        <w:tc>
          <w:tcPr/>
          <w:p>
            <w:pPr>
              <w:pStyle w:val="Compact"/>
              <w:jc w:val="left"/>
            </w:pPr>
            <w:r>
              <w:t xml:space="preserve">Dependencies</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Certifications</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GDPR / residency</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Security features</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Access controls</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Enterprise support</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Pricing</w:t>
            </w:r>
          </w:p>
        </w:tc>
        <w:tc>
          <w:tcPr/>
          <w:p>
            <w:pPr>
              <w:pStyle w:val="Compact"/>
              <w:jc w:val="left"/>
            </w:pPr>
            <w:r>
              <w:t xml:space="preserve">Free open source</w:t>
            </w:r>
          </w:p>
        </w:tc>
        <w:tc>
          <w:tcPr/>
          <w:p>
            <w:pPr>
              <w:pStyle w:val="Compact"/>
              <w:jc w:val="left"/>
            </w:pPr>
            <w:r>
              <w:t xml:space="preserve">Verified fact</w:t>
            </w:r>
          </w:p>
        </w:tc>
        <w:tc>
          <w:tcPr/>
          <w:p>
            <w:pPr>
              <w:pStyle w:val="Compact"/>
              <w:jc w:val="left"/>
            </w:pPr>
            <w:r>
              <w:t xml:space="preserve">A6-S088</w:t>
            </w:r>
          </w:p>
        </w:tc>
      </w:tr>
      <w:tr>
        <w:tc>
          <w:tcPr/>
          <w:p>
            <w:pPr>
              <w:pStyle w:val="Compact"/>
              <w:jc w:val="left"/>
            </w:pPr>
            <w:r>
              <w:t xml:space="preserve">Infrastructure cost</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Ecosystem</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Adoption signals</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Maturity</w:t>
            </w:r>
          </w:p>
        </w:tc>
        <w:tc>
          <w:tcPr/>
          <w:p>
            <w:pPr>
              <w:pStyle w:val="Compact"/>
              <w:jc w:val="left"/>
            </w:pPr>
            <w:r>
              <w:t xml:space="preserve">CNCF graduated; 1.x line with regular releases (1.21.0 and 1.21.1 in 2026)</w:t>
            </w:r>
          </w:p>
        </w:tc>
        <w:tc>
          <w:tcPr/>
          <w:p>
            <w:pPr>
              <w:pStyle w:val="Compact"/>
              <w:jc w:val="left"/>
            </w:pPr>
            <w:r>
              <w:t xml:space="preserve">Verified fact</w:t>
            </w:r>
          </w:p>
        </w:tc>
        <w:tc>
          <w:tcPr/>
          <w:p>
            <w:pPr>
              <w:pStyle w:val="Compact"/>
              <w:jc w:val="left"/>
            </w:pPr>
            <w:r>
              <w:t xml:space="preserve">A6-S046, A6-S047</w:t>
            </w:r>
          </w:p>
        </w:tc>
      </w:tr>
      <w:tr>
        <w:tc>
          <w:tcPr/>
          <w:p>
            <w:pPr>
              <w:pStyle w:val="Compact"/>
              <w:jc w:val="left"/>
            </w:pPr>
            <w:r>
              <w:t xml:space="preserve">Deployment</w:t>
            </w:r>
          </w:p>
        </w:tc>
        <w:tc>
          <w:tcPr/>
          <w:p>
            <w:pPr>
              <w:pStyle w:val="Compact"/>
              <w:jc w:val="left"/>
            </w:pPr>
            <w:r>
              <w:t xml:space="preserve">saas: Not publicly verified; managed_cloud: Not publicly verified; vpc_byoc: Not publicly verified; private_cloud: Not publicly verified; self_hosted: Yes; on_prem: Yes</w:t>
            </w:r>
          </w:p>
        </w:tc>
        <w:tc>
          <w:tcPr/>
          <w:p>
            <w:pPr>
              <w:pStyle w:val="Compact"/>
            </w:pPr>
          </w:p>
        </w:tc>
        <w:tc>
          <w:tcPr/>
          <w:p>
            <w:pPr>
              <w:pStyle w:val="Compact"/>
            </w:pPr>
          </w:p>
        </w:tc>
      </w:tr>
    </w:tbl>
    <w:bookmarkEnd w:id="2109"/>
    <w:bookmarkStart w:id="2119" w:name="Xb3147deab11965c8f517b397742adf4492c354f"/>
    <w:p>
      <w:pPr>
        <w:pStyle w:val="Heading2"/>
      </w:pPr>
      <w:r>
        <w:t xml:space="preserve">SPIFFE (specification) and SPIRE (SPIFFE Runtime Environment) (</w:t>
      </w:r>
      <w:r>
        <w:rPr>
          <w:rStyle w:val="VerbatimChar"/>
        </w:rPr>
        <w:t xml:space="preserve">C4-spiffe-spire</w:t>
      </w:r>
      <w:r>
        <w:t xml:space="preserve">)</w:t>
      </w:r>
    </w:p>
    <w:p>
      <w:pPr>
        <w:pStyle w:val="FirstParagraph"/>
      </w:pPr>
      <w:r>
        <w:rPr>
          <w:bCs/>
          <w:b/>
        </w:rPr>
        <w:t xml:space="preserve">Tier:</w:t>
      </w:r>
      <w:r>
        <w:t xml:space="preserve"> </w:t>
      </w:r>
      <w:r>
        <w:t xml:space="preserve">Strategic ·</w:t>
      </w:r>
      <w:r>
        <w:t xml:space="preserve"> </w:t>
      </w:r>
      <w:r>
        <w:rPr>
          <w:bCs/>
          <w:b/>
        </w:rPr>
        <w:t xml:space="preserve">Flags:</w:t>
      </w:r>
      <w:r>
        <w:t xml:space="preserve"> </w:t>
      </w:r>
      <w:r>
        <w:t xml:space="preserve">none ·</w:t>
      </w:r>
      <w:r>
        <w:t xml:space="preserve"> </w:t>
      </w:r>
      <w:r>
        <w:rPr>
          <w:bCs/>
          <w:b/>
        </w:rPr>
        <w:t xml:space="preserve">Original graphic label:</w:t>
      </w:r>
      <w:r>
        <w:t xml:space="preserve"> </w:t>
      </w:r>
      <w:r>
        <w:t xml:space="preserve">not in graphic</w:t>
      </w:r>
    </w:p>
    <w:p>
      <w:pPr>
        <w:pStyle w:val="BodyText"/>
      </w:pPr>
      <w:r>
        <w:rPr>
          <w:iCs/>
          <w:i/>
        </w:rPr>
        <w:t xml:space="preserve">Rationale:</w:t>
      </w:r>
      <w:r>
        <w:t xml:space="preserve"> </w:t>
      </w:r>
      <w:r>
        <w:t xml:space="preserve">The neutral workload-identity layer beneath agents and tools; mature, open and portable</w:t>
      </w:r>
      <w:r>
        <w:t xml:space="preserve"> </w:t>
      </w:r>
      <w:r>
        <w:rPr>
          <w:rStyle w:val="ClaimLabel"/>
        </w:rPr>
        <w:t xml:space="preserve">AJ</w:t>
      </w:r>
      <w:r>
        <w:t xml:space="preserve">.</w:t>
      </w:r>
    </w:p>
    <w:tbl>
      <w:tblPr>
        <w:tblStyle w:val="Table"/>
        <w:tblW w:type="pct" w:w="5000"/>
        <w:tblLook w:firstRow="1" w:lastRow="0" w:firstColumn="0" w:lastColumn="0" w:noHBand="0" w:noVBand="0" w:val="0020"/>
        <w:jc w:val="start"/>
      </w:tblPr>
      <w:tblGrid>
        <w:gridCol w:w="1545"/>
        <w:gridCol w:w="579"/>
        <w:gridCol w:w="5795"/>
      </w:tblGrid>
      <w:tr>
        <w:trPr>
          <w:tblHeader w:val="true"/>
        </w:trPr>
        <w:tc>
          <w:tcPr/>
          <w:p>
            <w:pPr>
              <w:pStyle w:val="Compact"/>
              <w:jc w:val="left"/>
            </w:pPr>
            <w:r>
              <w:t xml:space="preserve">Criterion</w:t>
            </w:r>
          </w:p>
        </w:tc>
        <w:tc>
          <w:tcPr/>
          <w:p>
            <w:pPr>
              <w:pStyle w:val="Compact"/>
              <w:jc w:val="right"/>
            </w:pPr>
            <w:r>
              <w:t xml:space="preserve">Score</w:t>
            </w:r>
          </w:p>
        </w:tc>
        <w:tc>
          <w:tcPr/>
          <w:p>
            <w:pPr>
              <w:pStyle w:val="Compact"/>
              <w:jc w:val="left"/>
            </w:pPr>
            <w:r>
              <w:t xml:space="preserve">Rationale</w:t>
            </w:r>
          </w:p>
        </w:tc>
      </w:tr>
      <w:tr>
        <w:tc>
          <w:tcPr/>
          <w:p>
            <w:pPr>
              <w:pStyle w:val="Compact"/>
              <w:jc w:val="left"/>
            </w:pPr>
            <w:r>
              <w:t xml:space="preserve">Technical</w:t>
            </w:r>
          </w:p>
        </w:tc>
        <w:tc>
          <w:tcPr/>
          <w:p>
            <w:pPr>
              <w:pStyle w:val="Compact"/>
              <w:jc w:val="right"/>
            </w:pPr>
            <w:r>
              <w:t xml:space="preserve">3</w:t>
            </w:r>
          </w:p>
        </w:tc>
        <w:tc>
          <w:tcPr/>
          <w:p>
            <w:pPr>
              <w:pStyle w:val="Compact"/>
              <w:jc w:val="left"/>
            </w:pPr>
            <w:r>
              <w:t xml:space="preserve">Workload identity and attestation; one core C4 function, not delegation or authorisation.</w:t>
            </w:r>
          </w:p>
        </w:tc>
      </w:tr>
      <w:tr>
        <w:tc>
          <w:tcPr/>
          <w:p>
            <w:pPr>
              <w:pStyle w:val="Compact"/>
              <w:jc w:val="left"/>
            </w:pPr>
            <w:r>
              <w:t xml:space="preserve">Enterprise readiness</w:t>
            </w:r>
          </w:p>
        </w:tc>
        <w:tc>
          <w:tcPr/>
          <w:p>
            <w:pPr>
              <w:pStyle w:val="Compact"/>
              <w:jc w:val="right"/>
            </w:pPr>
            <w:r>
              <w:t xml:space="preserve">3</w:t>
            </w:r>
          </w:p>
        </w:tc>
        <w:tc>
          <w:tcPr/>
          <w:p>
            <w:pPr>
              <w:pStyle w:val="Compact"/>
              <w:jc w:val="left"/>
            </w:pPr>
            <w:r>
              <w:t xml:space="preserve">Rule 2: enables estate-wide workload identity; commercial distributions not assessed.</w:t>
            </w:r>
          </w:p>
        </w:tc>
      </w:tr>
      <w:tr>
        <w:tc>
          <w:tcPr/>
          <w:p>
            <w:pPr>
              <w:pStyle w:val="Compact"/>
              <w:jc w:val="left"/>
            </w:pPr>
            <w:r>
              <w:t xml:space="preserve">Security and compliance</w:t>
            </w:r>
          </w:p>
        </w:tc>
        <w:tc>
          <w:tcPr/>
          <w:p>
            <w:pPr>
              <w:pStyle w:val="Compact"/>
              <w:jc w:val="right"/>
            </w:pPr>
            <w:r>
              <w:t xml:space="preserve">4</w:t>
            </w:r>
          </w:p>
        </w:tc>
        <w:tc>
          <w:tcPr/>
          <w:p>
            <w:pPr>
              <w:pStyle w:val="Compact"/>
              <w:jc w:val="left"/>
            </w:pPr>
            <w:r>
              <w:t xml:space="preserve">Rule 2 hygiene: security policy with supported versions (B-C4-S002), third-party audit, CNCF assessments.</w:t>
            </w:r>
          </w:p>
        </w:tc>
      </w:tr>
      <w:tr>
        <w:tc>
          <w:tcPr/>
          <w:p>
            <w:pPr>
              <w:pStyle w:val="Compact"/>
              <w:jc w:val="left"/>
            </w:pPr>
            <w:r>
              <w:t xml:space="preserve">Deployment flexibility</w:t>
            </w:r>
          </w:p>
        </w:tc>
        <w:tc>
          <w:tcPr/>
          <w:p>
            <w:pPr>
              <w:pStyle w:val="Compact"/>
              <w:jc w:val="right"/>
            </w:pPr>
            <w:r>
              <w:t xml:space="preserve">5</w:t>
            </w:r>
          </w:p>
        </w:tc>
        <w:tc>
          <w:tcPr/>
          <w:p>
            <w:pPr>
              <w:pStyle w:val="Compact"/>
              <w:jc w:val="left"/>
            </w:pPr>
            <w:r>
              <w:t xml:space="preserve">Self-hosted anywhere including on-premises.</w:t>
            </w:r>
          </w:p>
        </w:tc>
      </w:tr>
      <w:tr>
        <w:tc>
          <w:tcPr/>
          <w:p>
            <w:pPr>
              <w:pStyle w:val="Compact"/>
              <w:jc w:val="left"/>
            </w:pPr>
            <w:r>
              <w:t xml:space="preserve">Ecosystem</w:t>
            </w:r>
          </w:p>
        </w:tc>
        <w:tc>
          <w:tcPr/>
          <w:p>
            <w:pPr>
              <w:pStyle w:val="Compact"/>
              <w:jc w:val="right"/>
            </w:pPr>
            <w:r>
              <w:t xml:space="preserve">4</w:t>
            </w:r>
          </w:p>
        </w:tc>
        <w:tc>
          <w:tcPr/>
          <w:p>
            <w:pPr>
              <w:pStyle w:val="Compact"/>
              <w:jc w:val="left"/>
            </w:pPr>
            <w:r>
              <w:t xml:space="preserve">Envoy SDS, Kubernetes and cloud node attestors.</w:t>
            </w:r>
          </w:p>
        </w:tc>
      </w:tr>
      <w:tr>
        <w:tc>
          <w:tcPr/>
          <w:p>
            <w:pPr>
              <w:pStyle w:val="Compact"/>
              <w:jc w:val="left"/>
            </w:pPr>
            <w:r>
              <w:t xml:space="preserve">Reliability and maturity</w:t>
            </w:r>
          </w:p>
        </w:tc>
        <w:tc>
          <w:tcPr/>
          <w:p>
            <w:pPr>
              <w:pStyle w:val="Compact"/>
              <w:jc w:val="right"/>
            </w:pPr>
            <w:r>
              <w:t xml:space="preserve">5</w:t>
            </w:r>
          </w:p>
        </w:tc>
        <w:tc>
          <w:tcPr/>
          <w:p>
            <w:pPr>
              <w:pStyle w:val="Compact"/>
              <w:jc w:val="left"/>
            </w:pPr>
            <w:r>
              <w:t xml:space="preserve">CNCF graduated with regular releases.</w:t>
            </w:r>
          </w:p>
        </w:tc>
      </w:tr>
      <w:tr>
        <w:tc>
          <w:tcPr/>
          <w:p>
            <w:pPr>
              <w:pStyle w:val="Compact"/>
              <w:jc w:val="left"/>
            </w:pPr>
            <w:r>
              <w:t xml:space="preserve">Cost / TCO</w:t>
            </w:r>
          </w:p>
        </w:tc>
        <w:tc>
          <w:tcPr/>
          <w:p>
            <w:pPr>
              <w:pStyle w:val="Compact"/>
              <w:jc w:val="right"/>
            </w:pPr>
            <w:r>
              <w:t xml:space="preserve">3</w:t>
            </w:r>
          </w:p>
        </w:tc>
        <w:tc>
          <w:tcPr/>
          <w:p>
            <w:pPr>
              <w:pStyle w:val="Compact"/>
              <w:jc w:val="left"/>
            </w:pPr>
            <w:r>
              <w:t xml:space="preserve">Free, but server and attestor operations are material.</w:t>
            </w:r>
          </w:p>
        </w:tc>
      </w:tr>
      <w:tr>
        <w:tc>
          <w:tcPr/>
          <w:p>
            <w:pPr>
              <w:pStyle w:val="Compact"/>
              <w:jc w:val="left"/>
            </w:pPr>
            <w:r>
              <w:t xml:space="preserve">Lock-in / portability</w:t>
            </w:r>
          </w:p>
        </w:tc>
        <w:tc>
          <w:tcPr/>
          <w:p>
            <w:pPr>
              <w:pStyle w:val="Compact"/>
              <w:jc w:val="right"/>
            </w:pPr>
            <w:r>
              <w:t xml:space="preserve">5</w:t>
            </w:r>
          </w:p>
        </w:tc>
        <w:tc>
          <w:tcPr/>
          <w:p>
            <w:pPr>
              <w:pStyle w:val="Compact"/>
              <w:jc w:val="left"/>
            </w:pPr>
            <w:r>
              <w:t xml:space="preserve">Open standard, Apache-2.0, CNCF governance.</w:t>
            </w:r>
          </w:p>
        </w:tc>
      </w:tr>
      <w:tr>
        <w:tc>
          <w:tcPr/>
          <w:p>
            <w:pPr>
              <w:pStyle w:val="Compact"/>
              <w:jc w:val="left"/>
            </w:pPr>
            <w:r>
              <w:rPr>
                <w:bCs/>
                <w:b/>
              </w:rPr>
              <w:t xml:space="preserve">Total (generic / FS)</w:t>
            </w:r>
          </w:p>
        </w:tc>
        <w:tc>
          <w:tcPr/>
          <w:p>
            <w:pPr>
              <w:pStyle w:val="Compact"/>
              <w:jc w:val="right"/>
            </w:pPr>
            <w:r>
              <w:rPr>
                <w:bCs/>
                <w:b/>
              </w:rPr>
              <w:t xml:space="preserve">3.85 / 4.05</w:t>
            </w:r>
          </w:p>
        </w:tc>
        <w:tc>
          <w:tcPr/>
          <w:p>
            <w:pPr>
              <w:pStyle w:val="Compact"/>
            </w:pPr>
          </w:p>
        </w:tc>
      </w:tr>
    </w:tbl>
    <w:p>
      <w:pPr>
        <w:pStyle w:val="BodyText"/>
      </w:pPr>
      <w:r>
        <w:rPr>
          <w:iCs/>
          <w:i/>
        </w:rPr>
        <w:t xml:space="preserve">Evidence rules applied:</w:t>
      </w:r>
      <w:r>
        <w:t xml:space="preserve"> </w:t>
      </w:r>
      <w:r>
        <w:t xml:space="preserve">Rule 2 (self-hosted software / open specification): enterprise_readiness and security_compliance capped at 4; NPV cap not applied; inherits host controls</w:t>
      </w:r>
    </w:p>
    <w:p>
      <w:pPr>
        <w:pStyle w:val="BodyText"/>
      </w:pPr>
      <w:r>
        <w:rPr>
          <w:bCs/>
          <w:b/>
        </w:rPr>
        <w:t xml:space="preserve">Capabilities.</w:t>
      </w:r>
      <w:r>
        <w:t xml:space="preserve"> </w:t>
      </w:r>
      <w:r>
        <w:t xml:space="preserve">SPIFFE specification and SPIRE runtime: attests running workloads and issues SPIFFE IDs and X.509/JWT SVIDs through the Workload API for mTLS or signed JWTs; Envoy SDS; SPIRE v1.15.3 (21 August 2026), Apache-2.0, CNCF graduated</w:t>
      </w:r>
      <w:r>
        <w:t xml:space="preserve"> </w:t>
      </w:r>
      <w:r>
        <w:rPr>
          <w:rStyle w:val="ClaimLabel"/>
        </w:rPr>
        <w:t xml:space="preserve">VF</w:t>
      </w:r>
      <w:r>
        <w:rPr>
          <w:rStyle w:val="FootnoteReference"/>
        </w:rPr>
        <w:footnoteReference w:id="2110"/>
      </w:r>
      <w:r>
        <w:t xml:space="preserve">.</w:t>
      </w:r>
    </w:p>
    <w:p>
      <w:pPr>
        <w:pStyle w:val="BodyText"/>
      </w:pPr>
      <w:r>
        <w:rPr>
          <w:bCs/>
          <w:b/>
        </w:rPr>
        <w:t xml:space="preserve">Strengths</w:t>
      </w:r>
    </w:p>
    <w:p>
      <w:pPr>
        <w:numPr>
          <w:ilvl w:val="0"/>
          <w:numId w:val="1449"/>
        </w:numPr>
        <w:pStyle w:val="Compact"/>
      </w:pPr>
      <w:r>
        <w:t xml:space="preserve">Removes static secrets for workload-to-workload trust</w:t>
      </w:r>
      <w:r>
        <w:t xml:space="preserve"> </w:t>
      </w:r>
      <w:r>
        <w:rPr>
          <w:rStyle w:val="ClaimLabel"/>
        </w:rPr>
        <w:t xml:space="preserve">AJ</w:t>
      </w:r>
    </w:p>
    <w:p>
      <w:pPr>
        <w:numPr>
          <w:ilvl w:val="0"/>
          <w:numId w:val="1449"/>
        </w:numPr>
        <w:pStyle w:val="Compact"/>
      </w:pPr>
      <w:r>
        <w:t xml:space="preserve">CNCF graduated; Cure53 audit (2021) and CNCF security assessments</w:t>
      </w:r>
      <w:r>
        <w:t xml:space="preserve"> </w:t>
      </w:r>
      <w:r>
        <w:rPr>
          <w:rStyle w:val="ClaimLabel"/>
        </w:rPr>
        <w:t xml:space="preserve">VF</w:t>
      </w:r>
      <w:r>
        <w:rPr>
          <w:rStyle w:val="FootnoteReference"/>
        </w:rPr>
        <w:footnoteReference w:id="2115"/>
      </w:r>
    </w:p>
    <w:p>
      <w:pPr>
        <w:numPr>
          <w:ilvl w:val="0"/>
          <w:numId w:val="1449"/>
        </w:numPr>
        <w:pStyle w:val="Compact"/>
      </w:pPr>
      <w:r>
        <w:t xml:space="preserve">Security fixes for current and previous minor release series</w:t>
      </w:r>
      <w:r>
        <w:t xml:space="preserve"> </w:t>
      </w:r>
      <w:r>
        <w:rPr>
          <w:rStyle w:val="ClaimLabel"/>
        </w:rPr>
        <w:t xml:space="preserve">VF</w:t>
      </w:r>
      <w:r>
        <w:rPr>
          <w:rStyle w:val="FootnoteReference"/>
        </w:rPr>
        <w:footnoteReference w:id="2116"/>
      </w:r>
    </w:p>
    <w:p>
      <w:pPr>
        <w:pStyle w:val="FirstParagraph"/>
      </w:pPr>
      <w:r>
        <w:rPr>
          <w:bCs/>
          <w:b/>
        </w:rPr>
        <w:t xml:space="preserve">Limitations and risks</w:t>
      </w:r>
    </w:p>
    <w:p>
      <w:pPr>
        <w:numPr>
          <w:ilvl w:val="0"/>
          <w:numId w:val="1450"/>
        </w:numPr>
        <w:pStyle w:val="Compact"/>
      </w:pPr>
      <w:r>
        <w:t xml:space="preserve">Machine identity only; carries no delegated user authority</w:t>
      </w:r>
      <w:r>
        <w:t xml:space="preserve"> </w:t>
      </w:r>
      <w:r>
        <w:rPr>
          <w:rStyle w:val="ClaimLabel"/>
        </w:rPr>
        <w:t xml:space="preserve">VF</w:t>
      </w:r>
      <w:r>
        <w:rPr>
          <w:rStyle w:val="FootnoteReference"/>
        </w:rPr>
        <w:footnoteReference w:id="2118"/>
      </w:r>
    </w:p>
    <w:p>
      <w:pPr>
        <w:numPr>
          <w:ilvl w:val="0"/>
          <w:numId w:val="1450"/>
        </w:numPr>
        <w:pStyle w:val="Compact"/>
      </w:pPr>
      <w:r>
        <w:t xml:space="preserve">No agent-specific SPIFFE profile verified</w:t>
      </w:r>
      <w:r>
        <w:t xml:space="preserve"> </w:t>
      </w:r>
      <w:r>
        <w:rPr>
          <w:rStyle w:val="ClaimLabel"/>
        </w:rPr>
        <w:t xml:space="preserve">NPV</w:t>
      </w:r>
    </w:p>
    <w:p>
      <w:pPr>
        <w:numPr>
          <w:ilvl w:val="0"/>
          <w:numId w:val="1450"/>
        </w:numPr>
        <w:pStyle w:val="Compact"/>
      </w:pPr>
      <w:r>
        <w:t xml:space="preserve">Operating SPIRE servers and attestors is a platform-team commitment</w:t>
      </w:r>
      <w:r>
        <w:t xml:space="preserve"> </w:t>
      </w:r>
      <w:r>
        <w:rPr>
          <w:rStyle w:val="ClaimLabel"/>
        </w:rPr>
        <w:t xml:space="preserve">AJ</w:t>
      </w:r>
    </w:p>
    <w:p>
      <w:pPr>
        <w:pStyle w:val="FirstParagraph"/>
      </w:pPr>
      <w:r>
        <w:rPr>
          <w:bCs/>
          <w:b/>
        </w:rPr>
        <w:t xml:space="preserve">Choose when</w:t>
      </w:r>
    </w:p>
    <w:p>
      <w:pPr>
        <w:numPr>
          <w:ilvl w:val="0"/>
          <w:numId w:val="1451"/>
        </w:numPr>
        <w:pStyle w:val="Compact"/>
      </w:pPr>
      <w:r>
        <w:t xml:space="preserve">Agents, gateways and MCP servers run on Kubernetes or mixed infrastructure and need workload identity without long-lived secrets</w:t>
      </w:r>
      <w:r>
        <w:t xml:space="preserve"> </w:t>
      </w:r>
      <w:r>
        <w:rPr>
          <w:rStyle w:val="ClaimLabel"/>
        </w:rPr>
        <w:t xml:space="preserve">AJ</w:t>
      </w:r>
    </w:p>
    <w:p>
      <w:pPr>
        <w:pStyle w:val="FirstParagraph"/>
      </w:pPr>
      <w:r>
        <w:rPr>
          <w:bCs/>
          <w:b/>
        </w:rPr>
        <w:t xml:space="preserve">Avoid when</w:t>
      </w:r>
    </w:p>
    <w:p>
      <w:pPr>
        <w:numPr>
          <w:ilvl w:val="0"/>
          <w:numId w:val="1452"/>
        </w:numPr>
        <w:pStyle w:val="Compact"/>
      </w:pPr>
      <w:r>
        <w:t xml:space="preserve">A cloud-native workload identity already covers every runtime</w:t>
      </w:r>
      <w:r>
        <w:t xml:space="preserve"> </w:t>
      </w:r>
      <w:r>
        <w:rPr>
          <w:rStyle w:val="ClaimLabel"/>
        </w:rPr>
        <w:t xml:space="preserve">AJ</w:t>
      </w:r>
    </w:p>
    <w:p>
      <w:pPr>
        <w:pStyle w:val="FirstParagraph"/>
      </w:pPr>
      <w:r>
        <w:rPr>
          <w:bCs/>
          <w:b/>
        </w:rPr>
        <w:t xml:space="preserve">Nearest competitors:</w:t>
      </w:r>
      <w:r>
        <w:t xml:space="preserve"> </w:t>
      </w:r>
      <w:r>
        <w:t xml:space="preserve">Cloud workload identity federation (Entra, AWS IAM), C7-hashicorp-vault</w:t>
      </w:r>
    </w:p>
    <w:p>
      <w:pPr>
        <w:pStyle w:val="BodyText"/>
      </w:pPr>
      <w:r>
        <w:rPr>
          <w:bCs/>
          <w:b/>
        </w:rPr>
        <w:t xml:space="preserve">Regulated-FS note.</w:t>
      </w:r>
      <w:r>
        <w:t xml:space="preserve"> </w:t>
      </w:r>
      <w:r>
        <w:t xml:space="preserve">Use SVIDs for agent-runtime-to-gateway and gateway-to-tool mTLS; never as a substitute for the user’s delegated token</w:t>
      </w:r>
      <w:r>
        <w:t xml:space="preserve"> </w:t>
      </w:r>
      <w:r>
        <w:rPr>
          <w:rStyle w:val="ClaimLabel"/>
        </w:rPr>
        <w:t xml:space="preserve">Rec</w:t>
      </w:r>
      <w:r>
        <w:t xml:space="preserve">.</w:t>
      </w:r>
    </w:p>
    <w:p>
      <w:pPr>
        <w:pStyle w:val="BodyText"/>
      </w:pPr>
      <w:r>
        <w:rPr>
          <w:bCs/>
          <w:b/>
        </w:rPr>
        <w:t xml:space="preserve">Facts (as of 2026-10-08)</w:t>
      </w:r>
    </w:p>
    <w:tbl>
      <w:tblPr>
        <w:tblStyle w:val="Table"/>
        <w:tblW w:type="pct" w:w="5000"/>
        <w:tblLook w:firstRow="1" w:lastRow="0" w:firstColumn="0" w:lastColumn="0" w:noHBand="0" w:noVBand="0" w:val="0020"/>
        <w:jc w:val="start"/>
      </w:tblPr>
      <w:tblGrid>
        <w:gridCol w:w="1485"/>
        <w:gridCol w:w="4290"/>
        <w:gridCol w:w="1320"/>
        <w:gridCol w:w="825"/>
      </w:tblGrid>
      <w:tr>
        <w:trPr>
          <w:tblHeader w:val="true"/>
        </w:trPr>
        <w:tc>
          <w:tcPr/>
          <w:p>
            <w:pPr>
              <w:pStyle w:val="Compact"/>
              <w:jc w:val="left"/>
            </w:pPr>
            <w:r>
              <w:t xml:space="preserve">Field</w:t>
            </w:r>
          </w:p>
        </w:tc>
        <w:tc>
          <w:tcPr/>
          <w:p>
            <w:pPr>
              <w:pStyle w:val="Compact"/>
              <w:jc w:val="left"/>
            </w:pPr>
            <w:r>
              <w:t xml:space="preserve">Value</w:t>
            </w:r>
          </w:p>
        </w:tc>
        <w:tc>
          <w:tcPr/>
          <w:p>
            <w:pPr>
              <w:pStyle w:val="Compact"/>
              <w:jc w:val="left"/>
            </w:pPr>
            <w:r>
              <w:t xml:space="preserve">Label</w:t>
            </w:r>
          </w:p>
        </w:tc>
        <w:tc>
          <w:tcPr/>
          <w:p>
            <w:pPr>
              <w:pStyle w:val="Compact"/>
              <w:jc w:val="left"/>
            </w:pPr>
            <w:r>
              <w:t xml:space="preserve">Sources</w:t>
            </w:r>
          </w:p>
        </w:tc>
      </w:tr>
      <w:tr>
        <w:tc>
          <w:tcPr/>
          <w:p>
            <w:pPr>
              <w:pStyle w:val="Compact"/>
              <w:jc w:val="left"/>
            </w:pPr>
            <w:r>
              <w:t xml:space="preserve">Company</w:t>
            </w:r>
          </w:p>
        </w:tc>
        <w:tc>
          <w:tcPr/>
          <w:p>
            <w:pPr>
              <w:pStyle w:val="Compact"/>
              <w:jc w:val="left"/>
            </w:pPr>
            <w:r>
              <w:t xml:space="preserve">SPIFFE project, CNCF graduated</w:t>
            </w:r>
          </w:p>
        </w:tc>
        <w:tc>
          <w:tcPr/>
          <w:p>
            <w:pPr>
              <w:pStyle w:val="Compact"/>
              <w:jc w:val="left"/>
            </w:pPr>
            <w:r>
              <w:t xml:space="preserve">Verified fact</w:t>
            </w:r>
          </w:p>
        </w:tc>
        <w:tc>
          <w:tcPr/>
          <w:p>
            <w:pPr>
              <w:pStyle w:val="Compact"/>
              <w:jc w:val="left"/>
            </w:pPr>
            <w:r>
              <w:t xml:space="preserve">A6-S087</w:t>
            </w:r>
          </w:p>
        </w:tc>
      </w:tr>
      <w:tr>
        <w:tc>
          <w:tcPr/>
          <w:p>
            <w:pPr>
              <w:pStyle w:val="Compact"/>
              <w:jc w:val="left"/>
            </w:pPr>
            <w:r>
              <w:t xml:space="preserve">Category</w:t>
            </w:r>
          </w:p>
        </w:tc>
        <w:tc>
          <w:tcPr/>
          <w:p>
            <w:pPr>
              <w:pStyle w:val="Compact"/>
              <w:jc w:val="left"/>
            </w:pPr>
            <w:r>
              <w:t xml:space="preserve">Open specification and open-source implementation for workload identity</w:t>
            </w:r>
          </w:p>
        </w:tc>
        <w:tc>
          <w:tcPr/>
          <w:p>
            <w:pPr>
              <w:pStyle w:val="Compact"/>
              <w:jc w:val="left"/>
            </w:pPr>
            <w:r>
              <w:t xml:space="preserve">Verified fact</w:t>
            </w:r>
          </w:p>
        </w:tc>
        <w:tc>
          <w:tcPr/>
          <w:p>
            <w:pPr>
              <w:pStyle w:val="Compact"/>
              <w:jc w:val="left"/>
            </w:pPr>
            <w:r>
              <w:t xml:space="preserve">A6-S087</w:t>
            </w:r>
          </w:p>
        </w:tc>
      </w:tr>
      <w:tr>
        <w:tc>
          <w:tcPr/>
          <w:p>
            <w:pPr>
              <w:pStyle w:val="Compact"/>
              <w:jc w:val="left"/>
            </w:pPr>
            <w:r>
              <w:t xml:space="preserve">Version / lineup</w:t>
            </w:r>
          </w:p>
        </w:tc>
        <w:tc>
          <w:tcPr/>
          <w:p>
            <w:pPr>
              <w:pStyle w:val="Compact"/>
              <w:jc w:val="left"/>
            </w:pPr>
            <w:r>
              <w:t xml:space="preserve">SPIRE v1.15.3 (21 August 2026); 1.16.0 unreleased</w:t>
            </w:r>
          </w:p>
        </w:tc>
        <w:tc>
          <w:tcPr/>
          <w:p>
            <w:pPr>
              <w:pStyle w:val="Compact"/>
              <w:jc w:val="left"/>
            </w:pPr>
            <w:r>
              <w:t xml:space="preserve">Verified fact</w:t>
            </w:r>
          </w:p>
        </w:tc>
        <w:tc>
          <w:tcPr/>
          <w:p>
            <w:pPr>
              <w:pStyle w:val="Compact"/>
              <w:jc w:val="left"/>
            </w:pPr>
            <w:r>
              <w:t xml:space="preserve">A6-S043, A6-S042, V2-S061</w:t>
            </w:r>
          </w:p>
        </w:tc>
      </w:tr>
      <w:tr>
        <w:tc>
          <w:tcPr/>
          <w:p>
            <w:pPr>
              <w:pStyle w:val="Compact"/>
              <w:jc w:val="left"/>
            </w:pPr>
            <w:r>
              <w:t xml:space="preserve">Licence</w:t>
            </w:r>
          </w:p>
        </w:tc>
        <w:tc>
          <w:tcPr/>
          <w:p>
            <w:pPr>
              <w:pStyle w:val="Compact"/>
              <w:jc w:val="left"/>
            </w:pPr>
            <w:r>
              <w:t xml:space="preserve">Open source (Apache-2.0)</w:t>
            </w:r>
          </w:p>
        </w:tc>
        <w:tc>
          <w:tcPr/>
          <w:p>
            <w:pPr>
              <w:pStyle w:val="Compact"/>
              <w:jc w:val="left"/>
            </w:pPr>
            <w:r>
              <w:t xml:space="preserve">Verified fact</w:t>
            </w:r>
          </w:p>
        </w:tc>
        <w:tc>
          <w:tcPr/>
          <w:p>
            <w:pPr>
              <w:pStyle w:val="Compact"/>
              <w:jc w:val="left"/>
            </w:pPr>
            <w:r>
              <w:t xml:space="preserve">A6-S089</w:t>
            </w:r>
          </w:p>
        </w:tc>
      </w:tr>
      <w:tr>
        <w:tc>
          <w:tcPr/>
          <w:p>
            <w:pPr>
              <w:pStyle w:val="Compact"/>
              <w:jc w:val="left"/>
            </w:pPr>
            <w:r>
              <w:t xml:space="preserve">Strategic direction</w:t>
            </w:r>
          </w:p>
        </w:tc>
        <w:tc>
          <w:tcPr/>
          <w:p>
            <w:pPr>
              <w:pStyle w:val="Compact"/>
              <w:jc w:val="left"/>
            </w:pPr>
            <w:r>
              <w:t xml:space="preserve">Recent SPIRE releases add Slurm workload attestor, Azure Blob trust-bundle publishing, nested-agent bootstrap and Kubernetes attestation options</w:t>
            </w:r>
          </w:p>
        </w:tc>
        <w:tc>
          <w:tcPr/>
          <w:p>
            <w:pPr>
              <w:pStyle w:val="Compact"/>
              <w:jc w:val="left"/>
            </w:pPr>
            <w:r>
              <w:t xml:space="preserve">Verified fact</w:t>
            </w:r>
          </w:p>
        </w:tc>
        <w:tc>
          <w:tcPr/>
          <w:p>
            <w:pPr>
              <w:pStyle w:val="Compact"/>
              <w:jc w:val="left"/>
            </w:pPr>
            <w:r>
              <w:t xml:space="preserve">A6-S042</w:t>
            </w:r>
          </w:p>
        </w:tc>
      </w:tr>
      <w:tr>
        <w:tc>
          <w:tcPr/>
          <w:p>
            <w:pPr>
              <w:pStyle w:val="Compact"/>
              <w:jc w:val="left"/>
            </w:pPr>
            <w:r>
              <w:t xml:space="preserve">What it does</w:t>
            </w:r>
          </w:p>
        </w:tc>
        <w:tc>
          <w:tcPr/>
          <w:p>
            <w:pPr>
              <w:pStyle w:val="Compact"/>
              <w:jc w:val="left"/>
            </w:pPr>
            <w:r>
              <w:t xml:space="preserve">SPIRE exposes the SPIFFE Workload API, attests running software and issues SPIFFE IDs and SVIDs to it, so workloads can establish mutual trust (e.g. mTLS or signed JWTs) and authenticate to secret stores, databases or cloud services; also implements Envoy SDS.</w:t>
            </w:r>
          </w:p>
        </w:tc>
        <w:tc>
          <w:tcPr/>
          <w:p>
            <w:pPr>
              <w:pStyle w:val="Compact"/>
              <w:jc w:val="left"/>
            </w:pPr>
            <w:r>
              <w:t xml:space="preserve">Verified fact</w:t>
            </w:r>
          </w:p>
        </w:tc>
        <w:tc>
          <w:tcPr/>
          <w:p>
            <w:pPr>
              <w:pStyle w:val="Compact"/>
              <w:jc w:val="left"/>
            </w:pPr>
            <w:r>
              <w:t xml:space="preserve">A6-S087</w:t>
            </w:r>
          </w:p>
        </w:tc>
      </w:tr>
      <w:tr>
        <w:tc>
          <w:tcPr/>
          <w:p>
            <w:pPr>
              <w:pStyle w:val="Compact"/>
              <w:jc w:val="left"/>
            </w:pPr>
            <w:r>
              <w:t xml:space="preserve">Stack position</w:t>
            </w:r>
          </w:p>
        </w:tc>
        <w:tc>
          <w:tcPr/>
          <w:p>
            <w:pPr>
              <w:pStyle w:val="Compact"/>
              <w:jc w:val="left"/>
            </w:pPr>
            <w:r>
              <w:t xml:space="preserve">Workload identity layer beneath agent runtimes, gateways and MCP servers (machine identity rather than delegated user authority)</w:t>
            </w:r>
          </w:p>
        </w:tc>
        <w:tc>
          <w:tcPr/>
          <w:p>
            <w:pPr>
              <w:pStyle w:val="Compact"/>
              <w:jc w:val="left"/>
            </w:pPr>
            <w:r>
              <w:t xml:space="preserve">Verified fact</w:t>
            </w:r>
          </w:p>
        </w:tc>
        <w:tc>
          <w:tcPr/>
          <w:p>
            <w:pPr>
              <w:pStyle w:val="Compact"/>
              <w:jc w:val="left"/>
            </w:pPr>
            <w:r>
              <w:t xml:space="preserve">A6-S087</w:t>
            </w:r>
          </w:p>
        </w:tc>
      </w:tr>
      <w:tr>
        <w:tc>
          <w:tcPr/>
          <w:p>
            <w:pPr>
              <w:pStyle w:val="Compact"/>
              <w:jc w:val="left"/>
            </w:pPr>
            <w:r>
              <w:t xml:space="preserve">Integration</w:t>
            </w:r>
          </w:p>
        </w:tc>
        <w:tc>
          <w:tcPr/>
          <w:p>
            <w:pPr>
              <w:pStyle w:val="Compact"/>
              <w:jc w:val="left"/>
            </w:pPr>
            <w:r>
              <w:t xml:space="preserve">SPIFFE Workload API and SDS API; X.509 and JWT SVIDs</w:t>
            </w:r>
          </w:p>
        </w:tc>
        <w:tc>
          <w:tcPr/>
          <w:p>
            <w:pPr>
              <w:pStyle w:val="Compact"/>
              <w:jc w:val="left"/>
            </w:pPr>
            <w:r>
              <w:t xml:space="preserve">Verified fact</w:t>
            </w:r>
          </w:p>
        </w:tc>
        <w:tc>
          <w:tcPr/>
          <w:p>
            <w:pPr>
              <w:pStyle w:val="Compact"/>
              <w:jc w:val="left"/>
            </w:pPr>
            <w:r>
              <w:t xml:space="preserve">A6-S042</w:t>
            </w:r>
          </w:p>
        </w:tc>
      </w:tr>
      <w:tr>
        <w:tc>
          <w:tcPr/>
          <w:p>
            <w:pPr>
              <w:pStyle w:val="Compact"/>
              <w:jc w:val="left"/>
            </w:pPr>
            <w:r>
              <w:t xml:space="preserve">Dependencies</w:t>
            </w:r>
          </w:p>
        </w:tc>
        <w:tc>
          <w:tcPr/>
          <w:p>
            <w:pPr>
              <w:pStyle w:val="Compact"/>
              <w:jc w:val="left"/>
            </w:pPr>
            <w:r>
              <w:t xml:space="preserve">SPIRE server and agents; node attestors (e.g. Kubernetes PSAT, AWS IID)</w:t>
            </w:r>
          </w:p>
        </w:tc>
        <w:tc>
          <w:tcPr/>
          <w:p>
            <w:pPr>
              <w:pStyle w:val="Compact"/>
              <w:jc w:val="left"/>
            </w:pPr>
            <w:r>
              <w:t xml:space="preserve">Verified fact</w:t>
            </w:r>
          </w:p>
        </w:tc>
        <w:tc>
          <w:tcPr/>
          <w:p>
            <w:pPr>
              <w:pStyle w:val="Compact"/>
              <w:jc w:val="left"/>
            </w:pPr>
            <w:r>
              <w:t xml:space="preserve">A6-S042</w:t>
            </w:r>
          </w:p>
        </w:tc>
      </w:tr>
      <w:tr>
        <w:tc>
          <w:tcPr/>
          <w:p>
            <w:pPr>
              <w:pStyle w:val="Compact"/>
              <w:jc w:val="left"/>
            </w:pPr>
            <w:r>
              <w:t xml:space="preserve">Certifications</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GDPR / residency</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Security features</w:t>
            </w:r>
          </w:p>
        </w:tc>
        <w:tc>
          <w:tcPr/>
          <w:p>
            <w:pPr>
              <w:pStyle w:val="Compact"/>
              <w:jc w:val="left"/>
            </w:pPr>
            <w:r>
              <w:t xml:space="preserve">Third-party security audit by Cure53 (February 2021); CNCF security assessments 2018 and 2020</w:t>
            </w:r>
          </w:p>
        </w:tc>
        <w:tc>
          <w:tcPr/>
          <w:p>
            <w:pPr>
              <w:pStyle w:val="Compact"/>
              <w:jc w:val="left"/>
            </w:pPr>
            <w:r>
              <w:t xml:space="preserve">Verified fact</w:t>
            </w:r>
          </w:p>
        </w:tc>
        <w:tc>
          <w:tcPr/>
          <w:p>
            <w:pPr>
              <w:pStyle w:val="Compact"/>
              <w:jc w:val="left"/>
            </w:pPr>
            <w:r>
              <w:t xml:space="preserve">A6-S087</w:t>
            </w:r>
          </w:p>
        </w:tc>
      </w:tr>
      <w:tr>
        <w:tc>
          <w:tcPr/>
          <w:p>
            <w:pPr>
              <w:pStyle w:val="Compact"/>
              <w:jc w:val="left"/>
            </w:pPr>
            <w:r>
              <w:t xml:space="preserve">Access controls</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Enterprise support</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Pricing</w:t>
            </w:r>
          </w:p>
        </w:tc>
        <w:tc>
          <w:tcPr/>
          <w:p>
            <w:pPr>
              <w:pStyle w:val="Compact"/>
              <w:jc w:val="left"/>
            </w:pPr>
            <w:r>
              <w:t xml:space="preserve">Free open source</w:t>
            </w:r>
          </w:p>
        </w:tc>
        <w:tc>
          <w:tcPr/>
          <w:p>
            <w:pPr>
              <w:pStyle w:val="Compact"/>
              <w:jc w:val="left"/>
            </w:pPr>
            <w:r>
              <w:t xml:space="preserve">Verified fact</w:t>
            </w:r>
          </w:p>
        </w:tc>
        <w:tc>
          <w:tcPr/>
          <w:p>
            <w:pPr>
              <w:pStyle w:val="Compact"/>
              <w:jc w:val="left"/>
            </w:pPr>
            <w:r>
              <w:t xml:space="preserve">A6-S089</w:t>
            </w:r>
          </w:p>
        </w:tc>
      </w:tr>
      <w:tr>
        <w:tc>
          <w:tcPr/>
          <w:p>
            <w:pPr>
              <w:pStyle w:val="Compact"/>
              <w:jc w:val="left"/>
            </w:pPr>
            <w:r>
              <w:t xml:space="preserve">Infrastructure cost</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Ecosystem</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Adoption signals</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Maturity</w:t>
            </w:r>
          </w:p>
        </w:tc>
        <w:tc>
          <w:tcPr/>
          <w:p>
            <w:pPr>
              <w:pStyle w:val="Compact"/>
              <w:jc w:val="left"/>
            </w:pPr>
            <w:r>
              <w:t xml:space="preserve">CNCF graduated; regular releases (1.15.1 May, 1.15.2 July, 1.15.3 August 2026)</w:t>
            </w:r>
          </w:p>
        </w:tc>
        <w:tc>
          <w:tcPr/>
          <w:p>
            <w:pPr>
              <w:pStyle w:val="Compact"/>
              <w:jc w:val="left"/>
            </w:pPr>
            <w:r>
              <w:t xml:space="preserve">Verified fact</w:t>
            </w:r>
          </w:p>
        </w:tc>
        <w:tc>
          <w:tcPr/>
          <w:p>
            <w:pPr>
              <w:pStyle w:val="Compact"/>
              <w:jc w:val="left"/>
            </w:pPr>
            <w:r>
              <w:t xml:space="preserve">A6-S087, A6-S042</w:t>
            </w:r>
          </w:p>
        </w:tc>
      </w:tr>
      <w:tr>
        <w:tc>
          <w:tcPr/>
          <w:p>
            <w:pPr>
              <w:pStyle w:val="Compact"/>
              <w:jc w:val="left"/>
            </w:pPr>
            <w:r>
              <w:t xml:space="preserve">Deployment</w:t>
            </w:r>
          </w:p>
        </w:tc>
        <w:tc>
          <w:tcPr/>
          <w:p>
            <w:pPr>
              <w:pStyle w:val="Compact"/>
              <w:jc w:val="left"/>
            </w:pPr>
            <w:r>
              <w:t xml:space="preserve">saas: Not publicly verified; managed_cloud: Not publicly verified; vpc_byoc: Not publicly verified; private_cloud: Not publicly verified; self_hosted: Yes; on_prem: Yes (self-managed software)</w:t>
            </w:r>
          </w:p>
        </w:tc>
        <w:tc>
          <w:tcPr/>
          <w:p>
            <w:pPr>
              <w:pStyle w:val="Compact"/>
            </w:pPr>
          </w:p>
        </w:tc>
        <w:tc>
          <w:tcPr/>
          <w:p>
            <w:pPr>
              <w:pStyle w:val="Compact"/>
            </w:pPr>
          </w:p>
        </w:tc>
      </w:tr>
    </w:tbl>
    <w:bookmarkEnd w:id="2119"/>
    <w:bookmarkStart w:id="2133" w:name="X88d2e7b041f2a866499c2ea55160f11d0fdeeaa"/>
    <w:p>
      <w:pPr>
        <w:pStyle w:val="Heading2"/>
      </w:pPr>
      <w:r>
        <w:t xml:space="preserve">Cedar policy language; Amazon Verified Permissions (managed Cedar); Policy in Amazon Bedrock AgentCore (Cedar-based) (</w:t>
      </w:r>
      <w:r>
        <w:rPr>
          <w:rStyle w:val="VerbatimChar"/>
        </w:rPr>
        <w:t xml:space="preserve">C4-cedar</w:t>
      </w:r>
      <w:r>
        <w:t xml:space="preserve">)</w:t>
      </w:r>
    </w:p>
    <w:p>
      <w:pPr>
        <w:pStyle w:val="FirstParagraph"/>
      </w:pPr>
      <w:r>
        <w:rPr>
          <w:bCs/>
          <w:b/>
        </w:rPr>
        <w:t xml:space="preserve">Tier:</w:t>
      </w:r>
      <w:r>
        <w:t xml:space="preserve"> </w:t>
      </w:r>
      <w:r>
        <w:t xml:space="preserve">Strategic ·</w:t>
      </w:r>
      <w:r>
        <w:t xml:space="preserve"> </w:t>
      </w:r>
      <w:r>
        <w:rPr>
          <w:bCs/>
          <w:b/>
        </w:rPr>
        <w:t xml:space="preserve">Flags:</w:t>
      </w:r>
      <w:r>
        <w:t xml:space="preserve"> </w:t>
      </w:r>
      <w:r>
        <w:t xml:space="preserve">none ·</w:t>
      </w:r>
      <w:r>
        <w:t xml:space="preserve"> </w:t>
      </w:r>
      <w:r>
        <w:rPr>
          <w:bCs/>
          <w:b/>
        </w:rPr>
        <w:t xml:space="preserve">Original graphic label:</w:t>
      </w:r>
      <w:r>
        <w:t xml:space="preserve"> </w:t>
      </w:r>
      <w:r>
        <w:t xml:space="preserve">not in graphic</w:t>
      </w:r>
    </w:p>
    <w:p>
      <w:pPr>
        <w:pStyle w:val="BodyText"/>
      </w:pPr>
      <w:r>
        <w:rPr>
          <w:iCs/>
          <w:i/>
        </w:rPr>
        <w:t xml:space="preserve">Rationale:</w:t>
      </w:r>
      <w:r>
        <w:t xml:space="preserve"> </w:t>
      </w:r>
      <w:r>
        <w:t xml:space="preserve">Strategic, conditional: where AWS is your primary cloud and agents run on AgentCore Gateway (CP3 Q2, rubric rule 10). AgentCore Policy is AWS’s lead managed policy service for agent tool calls, and its enforcement point (AgentCore Gateway) is now Strategic on the same condition in C1 and L4. OPA remains the cloud-neutral default; keep Cedar source in Git so policies stay portable</w:t>
      </w:r>
      <w:r>
        <w:t xml:space="preserve"> </w:t>
      </w:r>
      <w:r>
        <w:rPr>
          <w:rStyle w:val="ClaimLabel"/>
        </w:rPr>
        <w:t xml:space="preserve">AJ</w:t>
      </w:r>
      <w:r>
        <w:t xml:space="preserve">.</w:t>
      </w:r>
    </w:p>
    <w:tbl>
      <w:tblPr>
        <w:tblStyle w:val="Table"/>
        <w:tblW w:type="pct" w:w="5000"/>
        <w:tblLook w:firstRow="1" w:lastRow="0" w:firstColumn="0" w:lastColumn="0" w:noHBand="0" w:noVBand="0" w:val="0020"/>
        <w:jc w:val="start"/>
      </w:tblPr>
      <w:tblGrid>
        <w:gridCol w:w="1545"/>
        <w:gridCol w:w="579"/>
        <w:gridCol w:w="5795"/>
      </w:tblGrid>
      <w:tr>
        <w:trPr>
          <w:tblHeader w:val="true"/>
        </w:trPr>
        <w:tc>
          <w:tcPr/>
          <w:p>
            <w:pPr>
              <w:pStyle w:val="Compact"/>
              <w:jc w:val="left"/>
            </w:pPr>
            <w:r>
              <w:t xml:space="preserve">Criterion</w:t>
            </w:r>
          </w:p>
        </w:tc>
        <w:tc>
          <w:tcPr/>
          <w:p>
            <w:pPr>
              <w:pStyle w:val="Compact"/>
              <w:jc w:val="right"/>
            </w:pPr>
            <w:r>
              <w:t xml:space="preserve">Score</w:t>
            </w:r>
          </w:p>
        </w:tc>
        <w:tc>
          <w:tcPr/>
          <w:p>
            <w:pPr>
              <w:pStyle w:val="Compact"/>
              <w:jc w:val="left"/>
            </w:pPr>
            <w:r>
              <w:t xml:space="preserve">Rationale</w:t>
            </w:r>
          </w:p>
        </w:tc>
      </w:tr>
      <w:tr>
        <w:tc>
          <w:tcPr/>
          <w:p>
            <w:pPr>
              <w:pStyle w:val="Compact"/>
              <w:jc w:val="left"/>
            </w:pPr>
            <w:r>
              <w:t xml:space="preserve">Technical</w:t>
            </w:r>
          </w:p>
        </w:tc>
        <w:tc>
          <w:tcPr/>
          <w:p>
            <w:pPr>
              <w:pStyle w:val="Compact"/>
              <w:jc w:val="right"/>
            </w:pPr>
            <w:r>
              <w:t xml:space="preserve">4</w:t>
            </w:r>
          </w:p>
        </w:tc>
        <w:tc>
          <w:tcPr/>
          <w:p>
            <w:pPr>
              <w:pStyle w:val="Compact"/>
              <w:jc w:val="left"/>
            </w:pPr>
            <w:r>
              <w:t xml:space="preserve">Strong tool-call authorisation with partial evaluation and automated reasoning; no external lookups.</w:t>
            </w:r>
          </w:p>
        </w:tc>
      </w:tr>
      <w:tr>
        <w:tc>
          <w:tcPr/>
          <w:p>
            <w:pPr>
              <w:pStyle w:val="Compact"/>
              <w:jc w:val="left"/>
            </w:pPr>
            <w:r>
              <w:t xml:space="preserve">Enterprise readiness</w:t>
            </w:r>
          </w:p>
        </w:tc>
        <w:tc>
          <w:tcPr/>
          <w:p>
            <w:pPr>
              <w:pStyle w:val="Compact"/>
              <w:jc w:val="right"/>
            </w:pPr>
            <w:r>
              <w:t xml:space="preserve">4</w:t>
            </w:r>
          </w:p>
        </w:tc>
        <w:tc>
          <w:tcPr/>
          <w:p>
            <w:pPr>
              <w:pStyle w:val="Compact"/>
              <w:jc w:val="left"/>
            </w:pPr>
            <w:r>
              <w:t xml:space="preserve">Hyperscaler presumption (CP2 Q1) for AgentCore Policy and Verified Permissions: platform controls presumed (CP2 Q1); confirm per service; Cedar library under rule 2.</w:t>
            </w:r>
          </w:p>
        </w:tc>
      </w:tr>
      <w:tr>
        <w:tc>
          <w:tcPr/>
          <w:p>
            <w:pPr>
              <w:pStyle w:val="Compact"/>
              <w:jc w:val="left"/>
            </w:pPr>
            <w:r>
              <w:t xml:space="preserve">Security and compliance</w:t>
            </w:r>
          </w:p>
        </w:tc>
        <w:tc>
          <w:tcPr/>
          <w:p>
            <w:pPr>
              <w:pStyle w:val="Compact"/>
              <w:jc w:val="right"/>
            </w:pPr>
            <w:r>
              <w:t xml:space="preserve">4</w:t>
            </w:r>
          </w:p>
        </w:tc>
        <w:tc>
          <w:tcPr/>
          <w:p>
            <w:pPr>
              <w:pStyle w:val="Compact"/>
              <w:jc w:val="left"/>
            </w:pPr>
            <w:r>
              <w:t xml:space="preserve">Cedar library hygiene verified (B-C4-S003); Amazon Bedrock AgentCore listed in AWS SOC 1/2/3 scope (GA features in scope unless excluded) and in ISO/IEC 27001 programmes</w:t>
            </w:r>
            <w:r>
              <w:t xml:space="preserve"> </w:t>
            </w:r>
            <w:r>
              <w:rPr>
                <w:rStyle w:val="ClaimLabel"/>
              </w:rPr>
              <w:t xml:space="preserve">VF</w:t>
            </w:r>
            <w:r>
              <w:rPr>
                <w:rStyle w:val="FootnoteReference"/>
              </w:rPr>
              <w:footnoteReference w:id="2120"/>
            </w:r>
            <w:r>
              <w:t xml:space="preserve">; held at 4, not 5, for consistency with C1 and L4 (ISO wording partly garbled, FedRAMP unresolved).</w:t>
            </w:r>
          </w:p>
        </w:tc>
      </w:tr>
      <w:tr>
        <w:tc>
          <w:tcPr/>
          <w:p>
            <w:pPr>
              <w:pStyle w:val="Compact"/>
              <w:jc w:val="left"/>
            </w:pPr>
            <w:r>
              <w:t xml:space="preserve">Deployment flexibility</w:t>
            </w:r>
          </w:p>
        </w:tc>
        <w:tc>
          <w:tcPr/>
          <w:p>
            <w:pPr>
              <w:pStyle w:val="Compact"/>
              <w:jc w:val="right"/>
            </w:pPr>
            <w:r>
              <w:t xml:space="preserve">4</w:t>
            </w:r>
          </w:p>
        </w:tc>
        <w:tc>
          <w:tcPr/>
          <w:p>
            <w:pPr>
              <w:pStyle w:val="Compact"/>
              <w:jc w:val="left"/>
            </w:pPr>
            <w:r>
              <w:t xml:space="preserve">Cedar library anywhere; AgentCore Policy in 13 AWS regions incl. Ireland and GovCloud.</w:t>
            </w:r>
          </w:p>
        </w:tc>
      </w:tr>
      <w:tr>
        <w:tc>
          <w:tcPr/>
          <w:p>
            <w:pPr>
              <w:pStyle w:val="Compact"/>
              <w:jc w:val="left"/>
            </w:pPr>
            <w:r>
              <w:t xml:space="preserve">Ecosystem</w:t>
            </w:r>
          </w:p>
        </w:tc>
        <w:tc>
          <w:tcPr/>
          <w:p>
            <w:pPr>
              <w:pStyle w:val="Compact"/>
              <w:jc w:val="right"/>
            </w:pPr>
            <w:r>
              <w:t xml:space="preserve">3</w:t>
            </w:r>
          </w:p>
        </w:tc>
        <w:tc>
          <w:tcPr/>
          <w:p>
            <w:pPr>
              <w:pStyle w:val="Compact"/>
              <w:jc w:val="left"/>
            </w:pPr>
            <w:r>
              <w:t xml:space="preserve">AWS services and CNCF (per AWS); narrower than OPA.</w:t>
            </w:r>
          </w:p>
        </w:tc>
      </w:tr>
      <w:tr>
        <w:tc>
          <w:tcPr/>
          <w:p>
            <w:pPr>
              <w:pStyle w:val="Compact"/>
              <w:jc w:val="left"/>
            </w:pPr>
            <w:r>
              <w:t xml:space="preserve">Reliability and maturity</w:t>
            </w:r>
          </w:p>
        </w:tc>
        <w:tc>
          <w:tcPr/>
          <w:p>
            <w:pPr>
              <w:pStyle w:val="Compact"/>
              <w:jc w:val="right"/>
            </w:pPr>
            <w:r>
              <w:t xml:space="preserve">3</w:t>
            </w:r>
          </w:p>
        </w:tc>
        <w:tc>
          <w:tcPr/>
          <w:p>
            <w:pPr>
              <w:pStyle w:val="Compact"/>
              <w:jc w:val="left"/>
            </w:pPr>
            <w:r>
              <w:t xml:space="preserve">Cedar 4.x regular releases; AgentCore Policy GA March 2026; Dogwood new.</w:t>
            </w:r>
          </w:p>
        </w:tc>
      </w:tr>
      <w:tr>
        <w:tc>
          <w:tcPr/>
          <w:p>
            <w:pPr>
              <w:pStyle w:val="Compact"/>
              <w:jc w:val="left"/>
            </w:pPr>
            <w:r>
              <w:t xml:space="preserve">Cost / TCO</w:t>
            </w:r>
          </w:p>
        </w:tc>
        <w:tc>
          <w:tcPr/>
          <w:p>
            <w:pPr>
              <w:pStyle w:val="Compact"/>
              <w:jc w:val="right"/>
            </w:pPr>
            <w:r>
              <w:t xml:space="preserve">4</w:t>
            </w:r>
          </w:p>
        </w:tc>
        <w:tc>
          <w:tcPr/>
          <w:p>
            <w:pPr>
              <w:pStyle w:val="Compact"/>
              <w:jc w:val="left"/>
            </w:pPr>
            <w:r>
              <w:t xml:space="preserve">Cedar free; managed pricing transparent.</w:t>
            </w:r>
          </w:p>
        </w:tc>
      </w:tr>
      <w:tr>
        <w:tc>
          <w:tcPr/>
          <w:p>
            <w:pPr>
              <w:pStyle w:val="Compact"/>
              <w:jc w:val="left"/>
            </w:pPr>
            <w:r>
              <w:t xml:space="preserve">Lock-in / portability</w:t>
            </w:r>
          </w:p>
        </w:tc>
        <w:tc>
          <w:tcPr/>
          <w:p>
            <w:pPr>
              <w:pStyle w:val="Compact"/>
              <w:jc w:val="right"/>
            </w:pPr>
            <w:r>
              <w:t xml:space="preserve">3</w:t>
            </w:r>
          </w:p>
        </w:tc>
        <w:tc>
          <w:tcPr/>
          <w:p>
            <w:pPr>
              <w:pStyle w:val="Compact"/>
              <w:jc w:val="left"/>
            </w:pPr>
            <w:r>
              <w:t xml:space="preserve">Cedar open source, but enforcement tied to AgentCore Gateway and authoring moving to Dogwood.</w:t>
            </w:r>
          </w:p>
        </w:tc>
      </w:tr>
      <w:tr>
        <w:tc>
          <w:tcPr/>
          <w:p>
            <w:pPr>
              <w:pStyle w:val="Compact"/>
              <w:jc w:val="left"/>
            </w:pPr>
            <w:r>
              <w:rPr>
                <w:bCs/>
                <w:b/>
              </w:rPr>
              <w:t xml:space="preserve">Total (generic / FS)</w:t>
            </w:r>
          </w:p>
        </w:tc>
        <w:tc>
          <w:tcPr/>
          <w:p>
            <w:pPr>
              <w:pStyle w:val="Compact"/>
              <w:jc w:val="right"/>
            </w:pPr>
            <w:r>
              <w:rPr>
                <w:bCs/>
                <w:b/>
              </w:rPr>
              <w:t xml:space="preserve">3.75 / 3.70</w:t>
            </w:r>
          </w:p>
        </w:tc>
        <w:tc>
          <w:tcPr/>
          <w:p>
            <w:pPr>
              <w:pStyle w:val="Compact"/>
            </w:pPr>
          </w:p>
        </w:tc>
      </w:tr>
    </w:tbl>
    <w:p>
      <w:pPr>
        <w:pStyle w:val="BodyText"/>
      </w:pPr>
      <w:r>
        <w:rPr>
          <w:iCs/>
          <w:i/>
        </w:rPr>
        <w:t xml:space="preserve">Evidence rules applied:</w:t>
      </w:r>
      <w:r>
        <w:t xml:space="preserve"> </w:t>
      </w:r>
      <w:r>
        <w:t xml:space="preserve">Rule 2 (self-hosted software / open specification): enterprise_readiness and security_compliance capped at 4; NPV cap not applied; inherits host controls (Cedar library part); CP3 review: AgentCore Policy security re-based on the AgentCore SOC and ISO evidence already logged by C1 and L4 (B-C1-S005, B-C1-S006, B-L4-S002); 3 to 4</w:t>
      </w:r>
    </w:p>
    <w:p>
      <w:pPr>
        <w:pStyle w:val="BodyText"/>
      </w:pPr>
      <w:r>
        <w:rPr>
          <w:bCs/>
          <w:b/>
        </w:rPr>
        <w:t xml:space="preserve">Capabilities.</w:t>
      </w:r>
      <w:r>
        <w:t xml:space="preserve"> </w:t>
      </w:r>
      <w:r>
        <w:t xml:space="preserve">Cedar policy language and engine (Apache-2.0; 4.13.0, 15 September 2026) for RBAC/ABAC with schema validation and automated-reasoning analysis; Amazon Verified Permissions (managed Cedar); Policy in Amazon Bedrock AgentCore (GA 3 March 2026, 13 Regions): deny-by-default evaluation of every gateway tool call on identity claims and arguments, denied tools filtered from tools/list, natural-language authoring, decisions logged to CloudWatch; policies now authored in Dogwood, an open-source Cedar superset</w:t>
      </w:r>
      <w:r>
        <w:t xml:space="preserve"> </w:t>
      </w:r>
      <w:r>
        <w:rPr>
          <w:rStyle w:val="ClaimLabel"/>
        </w:rPr>
        <w:t xml:space="preserve">VF</w:t>
      </w:r>
      <w:r>
        <w:rPr>
          <w:rStyle w:val="FootnoteReference"/>
        </w:rPr>
        <w:footnoteReference w:id="2121"/>
      </w:r>
      <w:r>
        <w:t xml:space="preserve">.</w:t>
      </w:r>
    </w:p>
    <w:p>
      <w:pPr>
        <w:pStyle w:val="BodyText"/>
      </w:pPr>
      <w:r>
        <w:rPr>
          <w:bCs/>
          <w:b/>
        </w:rPr>
        <w:t xml:space="preserve">Strengths</w:t>
      </w:r>
    </w:p>
    <w:p>
      <w:pPr>
        <w:numPr>
          <w:ilvl w:val="0"/>
          <w:numId w:val="1453"/>
        </w:numPr>
        <w:pStyle w:val="Compact"/>
      </w:pPr>
      <w:r>
        <w:t xml:space="preserve">Deny-by-default tool-call authorisation with partial evaluation of tools/list</w:t>
      </w:r>
      <w:r>
        <w:t xml:space="preserve"> </w:t>
      </w:r>
      <w:r>
        <w:rPr>
          <w:rStyle w:val="ClaimLabel"/>
        </w:rPr>
        <w:t xml:space="preserve">VF</w:t>
      </w:r>
      <w:r>
        <w:rPr>
          <w:rStyle w:val="FootnoteReference"/>
        </w:rPr>
        <w:footnoteReference w:id="2124"/>
      </w:r>
    </w:p>
    <w:p>
      <w:pPr>
        <w:numPr>
          <w:ilvl w:val="0"/>
          <w:numId w:val="1453"/>
        </w:numPr>
        <w:pStyle w:val="Compact"/>
      </w:pPr>
      <w:r>
        <w:t xml:space="preserve">Designed for automated reasoning over policy sets</w:t>
      </w:r>
      <w:r>
        <w:t xml:space="preserve"> </w:t>
      </w:r>
      <w:r>
        <w:rPr>
          <w:rStyle w:val="ClaimLabel"/>
        </w:rPr>
        <w:t xml:space="preserve">VF</w:t>
      </w:r>
      <w:r>
        <w:rPr>
          <w:rStyle w:val="FootnoteReference"/>
        </w:rPr>
        <w:footnoteReference w:id="2125"/>
      </w:r>
    </w:p>
    <w:p>
      <w:pPr>
        <w:numPr>
          <w:ilvl w:val="0"/>
          <w:numId w:val="1453"/>
        </w:numPr>
        <w:pStyle w:val="Compact"/>
      </w:pPr>
      <w:r>
        <w:t xml:space="preserve">Transparent per-request pricing: US$0.000025 per authorisation request</w:t>
      </w:r>
      <w:r>
        <w:t xml:space="preserve"> </w:t>
      </w:r>
      <w:r>
        <w:rPr>
          <w:rStyle w:val="ClaimLabel"/>
        </w:rPr>
        <w:t xml:space="preserve">VF</w:t>
      </w:r>
      <w:r>
        <w:rPr>
          <w:rStyle w:val="FootnoteReference"/>
        </w:rPr>
        <w:footnoteReference w:id="2126"/>
      </w:r>
    </w:p>
    <w:p>
      <w:pPr>
        <w:numPr>
          <w:ilvl w:val="0"/>
          <w:numId w:val="1453"/>
        </w:numPr>
        <w:pStyle w:val="Compact"/>
      </w:pPr>
      <w:r>
        <w:t xml:space="preserve">Security policy with 1-business-day acknowledgement and embargoed advisories</w:t>
      </w:r>
      <w:r>
        <w:t xml:space="preserve"> </w:t>
      </w:r>
      <w:r>
        <w:rPr>
          <w:rStyle w:val="ClaimLabel"/>
        </w:rPr>
        <w:t xml:space="preserve">VF</w:t>
      </w:r>
      <w:r>
        <w:rPr>
          <w:rStyle w:val="FootnoteReference"/>
        </w:rPr>
        <w:footnoteReference w:id="2127"/>
      </w:r>
    </w:p>
    <w:p>
      <w:pPr>
        <w:pStyle w:val="FirstParagraph"/>
      </w:pPr>
      <w:r>
        <w:rPr>
          <w:bCs/>
          <w:b/>
        </w:rPr>
        <w:t xml:space="preserve">Limitations and risks</w:t>
      </w:r>
    </w:p>
    <w:p>
      <w:pPr>
        <w:numPr>
          <w:ilvl w:val="0"/>
          <w:numId w:val="1454"/>
        </w:numPr>
        <w:pStyle w:val="Compact"/>
      </w:pPr>
      <w:r>
        <w:t xml:space="preserve">Cedar cannot do external lookups at evaluation time; AWS recommends Lambda interceptors</w:t>
      </w:r>
      <w:r>
        <w:t xml:space="preserve"> </w:t>
      </w:r>
      <w:r>
        <w:rPr>
          <w:rStyle w:val="ClaimLabel"/>
        </w:rPr>
        <w:t xml:space="preserve">VF</w:t>
      </w:r>
      <w:r>
        <w:rPr>
          <w:rStyle w:val="FootnoteReference"/>
        </w:rPr>
        <w:footnoteReference w:id="2129"/>
      </w:r>
    </w:p>
    <w:p>
      <w:pPr>
        <w:numPr>
          <w:ilvl w:val="0"/>
          <w:numId w:val="1454"/>
        </w:numPr>
        <w:pStyle w:val="Compact"/>
      </w:pPr>
      <w:r>
        <w:t xml:space="preserve">AgentCore Policy enforcement is tied to AgentCore Gateway</w:t>
      </w:r>
      <w:r>
        <w:t xml:space="preserve"> </w:t>
      </w:r>
      <w:r>
        <w:rPr>
          <w:rStyle w:val="ClaimLabel"/>
        </w:rPr>
        <w:t xml:space="preserve">VF</w:t>
      </w:r>
      <w:r>
        <w:rPr>
          <w:rStyle w:val="FootnoteReference"/>
        </w:rPr>
        <w:footnoteReference w:id="2130"/>
      </w:r>
    </w:p>
    <w:p>
      <w:pPr>
        <w:numPr>
          <w:ilvl w:val="0"/>
          <w:numId w:val="1454"/>
        </w:numPr>
        <w:pStyle w:val="Compact"/>
      </w:pPr>
      <w:r>
        <w:t xml:space="preserve">Cedar 2 to 4 migration was breaking for Verified Permissions users</w:t>
      </w:r>
      <w:r>
        <w:t xml:space="preserve"> </w:t>
      </w:r>
      <w:r>
        <w:rPr>
          <w:rStyle w:val="ClaimLabel"/>
        </w:rPr>
        <w:t xml:space="preserve">VF</w:t>
      </w:r>
      <w:r>
        <w:rPr>
          <w:rStyle w:val="FootnoteReference"/>
        </w:rPr>
        <w:footnoteReference w:id="2131"/>
      </w:r>
    </w:p>
    <w:p>
      <w:pPr>
        <w:numPr>
          <w:ilvl w:val="0"/>
          <w:numId w:val="1454"/>
        </w:numPr>
        <w:pStyle w:val="Compact"/>
      </w:pPr>
      <w:r>
        <w:t xml:space="preserve">Dogwood governance and licence not checked</w:t>
      </w:r>
      <w:r>
        <w:t xml:space="preserve"> </w:t>
      </w:r>
      <w:r>
        <w:rPr>
          <w:rStyle w:val="ClaimLabel"/>
        </w:rPr>
        <w:t xml:space="preserve">NPV</w:t>
      </w:r>
    </w:p>
    <w:p>
      <w:pPr>
        <w:numPr>
          <w:ilvl w:val="0"/>
          <w:numId w:val="1454"/>
        </w:numPr>
        <w:pStyle w:val="Compact"/>
      </w:pPr>
      <w:r>
        <w:t xml:space="preserve">AgentCore is in AWS SOC 1/2/3 scope and ISO/IEC 27001 programmes, but the ISO wording is partly garbled and FedRAMP status is unresolved</w:t>
      </w:r>
      <w:r>
        <w:t xml:space="preserve"> </w:t>
      </w:r>
      <w:r>
        <w:rPr>
          <w:rStyle w:val="ClaimLabel"/>
        </w:rPr>
        <w:t xml:space="preserve">VF</w:t>
      </w:r>
      <w:r>
        <w:rPr>
          <w:rStyle w:val="FootnoteReference"/>
        </w:rPr>
        <w:footnoteReference w:id="2132"/>
      </w:r>
    </w:p>
    <w:p>
      <w:pPr>
        <w:pStyle w:val="FirstParagraph"/>
      </w:pPr>
      <w:r>
        <w:rPr>
          <w:bCs/>
          <w:b/>
        </w:rPr>
        <w:t xml:space="preserve">Choose when</w:t>
      </w:r>
    </w:p>
    <w:p>
      <w:pPr>
        <w:numPr>
          <w:ilvl w:val="0"/>
          <w:numId w:val="1455"/>
        </w:numPr>
        <w:pStyle w:val="Compact"/>
      </w:pPr>
      <w:r>
        <w:t xml:space="preserve">The agent estate runs on AWS AgentCore Gateway</w:t>
      </w:r>
      <w:r>
        <w:t xml:space="preserve"> </w:t>
      </w:r>
      <w:r>
        <w:rPr>
          <w:rStyle w:val="ClaimLabel"/>
        </w:rPr>
        <w:t xml:space="preserve">AJ</w:t>
      </w:r>
    </w:p>
    <w:p>
      <w:pPr>
        <w:numPr>
          <w:ilvl w:val="0"/>
          <w:numId w:val="1455"/>
        </w:numPr>
        <w:pStyle w:val="Compact"/>
      </w:pPr>
      <w:r>
        <w:t xml:space="preserve">You want analysable policies with a smaller language than Rego</w:t>
      </w:r>
      <w:r>
        <w:t xml:space="preserve"> </w:t>
      </w:r>
      <w:r>
        <w:rPr>
          <w:rStyle w:val="ClaimLabel"/>
        </w:rPr>
        <w:t xml:space="preserve">AJ</w:t>
      </w:r>
    </w:p>
    <w:p>
      <w:pPr>
        <w:pStyle w:val="FirstParagraph"/>
      </w:pPr>
      <w:r>
        <w:rPr>
          <w:bCs/>
          <w:b/>
        </w:rPr>
        <w:t xml:space="preserve">Avoid when</w:t>
      </w:r>
    </w:p>
    <w:p>
      <w:pPr>
        <w:numPr>
          <w:ilvl w:val="0"/>
          <w:numId w:val="1456"/>
        </w:numPr>
        <w:pStyle w:val="Compact"/>
      </w:pPr>
      <w:r>
        <w:t xml:space="preserve">You need runtime external data lookups in policy</w:t>
      </w:r>
      <w:r>
        <w:t xml:space="preserve"> </w:t>
      </w:r>
      <w:r>
        <w:rPr>
          <w:rStyle w:val="ClaimLabel"/>
        </w:rPr>
        <w:t xml:space="preserve">AJ</w:t>
      </w:r>
    </w:p>
    <w:p>
      <w:pPr>
        <w:numPr>
          <w:ilvl w:val="0"/>
          <w:numId w:val="1456"/>
        </w:numPr>
        <w:pStyle w:val="Compact"/>
      </w:pPr>
      <w:r>
        <w:t xml:space="preserve">You are multi-cloud and want one PDP (prefer OPA)</w:t>
      </w:r>
      <w:r>
        <w:t xml:space="preserve"> </w:t>
      </w:r>
      <w:r>
        <w:rPr>
          <w:rStyle w:val="ClaimLabel"/>
        </w:rPr>
        <w:t xml:space="preserve">AJ</w:t>
      </w:r>
    </w:p>
    <w:p>
      <w:pPr>
        <w:pStyle w:val="FirstParagraph"/>
      </w:pPr>
      <w:r>
        <w:rPr>
          <w:bCs/>
          <w:b/>
        </w:rPr>
        <w:t xml:space="preserve">Nearest competitors:</w:t>
      </w:r>
      <w:r>
        <w:t xml:space="preserve"> </w:t>
      </w:r>
      <w:r>
        <w:t xml:space="preserve">C4-opa, Gateway-native policy (Kong)</w:t>
      </w:r>
    </w:p>
    <w:p>
      <w:pPr>
        <w:pStyle w:val="BodyText"/>
      </w:pPr>
      <w:r>
        <w:rPr>
          <w:bCs/>
          <w:b/>
        </w:rPr>
        <w:t xml:space="preserve">Regulated-FS note.</w:t>
      </w:r>
      <w:r>
        <w:t xml:space="preserve"> </w:t>
      </w:r>
      <w:r>
        <w:t xml:space="preserve">Review AI-generated policies before activation, keep the Cedar source in Git, and avoid Dogwood-only constructs where portability matters; platform controls presumed (CP2 Q1); confirm per service</w:t>
      </w:r>
      <w:r>
        <w:t xml:space="preserve"> </w:t>
      </w:r>
      <w:r>
        <w:rPr>
          <w:rStyle w:val="ClaimLabel"/>
        </w:rPr>
        <w:t xml:space="preserve">Rec</w:t>
      </w:r>
      <w:r>
        <w:t xml:space="preserve">.</w:t>
      </w:r>
    </w:p>
    <w:p>
      <w:pPr>
        <w:pStyle w:val="BodyText"/>
      </w:pPr>
      <w:r>
        <w:rPr>
          <w:bCs/>
          <w:b/>
        </w:rPr>
        <w:t xml:space="preserve">Facts (as of 2026-10-08)</w:t>
      </w:r>
    </w:p>
    <w:tbl>
      <w:tblPr>
        <w:tblStyle w:val="Table"/>
        <w:tblW w:type="pct" w:w="5000"/>
        <w:tblLook w:firstRow="1" w:lastRow="0" w:firstColumn="0" w:lastColumn="0" w:noHBand="0" w:noVBand="0" w:val="0020"/>
        <w:jc w:val="start"/>
      </w:tblPr>
      <w:tblGrid>
        <w:gridCol w:w="1485"/>
        <w:gridCol w:w="4290"/>
        <w:gridCol w:w="1320"/>
        <w:gridCol w:w="825"/>
      </w:tblGrid>
      <w:tr>
        <w:trPr>
          <w:tblHeader w:val="true"/>
        </w:trPr>
        <w:tc>
          <w:tcPr/>
          <w:p>
            <w:pPr>
              <w:pStyle w:val="Compact"/>
              <w:jc w:val="left"/>
            </w:pPr>
            <w:r>
              <w:t xml:space="preserve">Field</w:t>
            </w:r>
          </w:p>
        </w:tc>
        <w:tc>
          <w:tcPr/>
          <w:p>
            <w:pPr>
              <w:pStyle w:val="Compact"/>
              <w:jc w:val="left"/>
            </w:pPr>
            <w:r>
              <w:t xml:space="preserve">Value</w:t>
            </w:r>
          </w:p>
        </w:tc>
        <w:tc>
          <w:tcPr/>
          <w:p>
            <w:pPr>
              <w:pStyle w:val="Compact"/>
              <w:jc w:val="left"/>
            </w:pPr>
            <w:r>
              <w:t xml:space="preserve">Label</w:t>
            </w:r>
          </w:p>
        </w:tc>
        <w:tc>
          <w:tcPr/>
          <w:p>
            <w:pPr>
              <w:pStyle w:val="Compact"/>
              <w:jc w:val="left"/>
            </w:pPr>
            <w:r>
              <w:t xml:space="preserve">Sources</w:t>
            </w:r>
          </w:p>
        </w:tc>
      </w:tr>
      <w:tr>
        <w:tc>
          <w:tcPr/>
          <w:p>
            <w:pPr>
              <w:pStyle w:val="Compact"/>
              <w:jc w:val="left"/>
            </w:pPr>
            <w:r>
              <w:t xml:space="preserve">Company</w:t>
            </w:r>
          </w:p>
        </w:tc>
        <w:tc>
          <w:tcPr/>
          <w:p>
            <w:pPr>
              <w:pStyle w:val="Compact"/>
              <w:jc w:val="left"/>
            </w:pPr>
            <w:r>
              <w:t xml:space="preserve">Cedar project (cedar-policy GitHub organisation; created by AWS); AgentCore Policy by Amazon Web Services</w:t>
            </w:r>
          </w:p>
        </w:tc>
        <w:tc>
          <w:tcPr/>
          <w:p>
            <w:pPr>
              <w:pStyle w:val="Compact"/>
              <w:jc w:val="left"/>
            </w:pPr>
            <w:r>
              <w:t xml:space="preserve">Verified fact</w:t>
            </w:r>
          </w:p>
        </w:tc>
        <w:tc>
          <w:tcPr/>
          <w:p>
            <w:pPr>
              <w:pStyle w:val="Compact"/>
              <w:jc w:val="left"/>
            </w:pPr>
            <w:r>
              <w:t xml:space="preserve">A6-S045, A6-S026</w:t>
            </w:r>
          </w:p>
        </w:tc>
      </w:tr>
      <w:tr>
        <w:tc>
          <w:tcPr/>
          <w:p>
            <w:pPr>
              <w:pStyle w:val="Compact"/>
              <w:jc w:val="left"/>
            </w:pPr>
            <w:r>
              <w:t xml:space="preserve">Category</w:t>
            </w:r>
          </w:p>
        </w:tc>
        <w:tc>
          <w:tcPr/>
          <w:p>
            <w:pPr>
              <w:pStyle w:val="Compact"/>
              <w:jc w:val="left"/>
            </w:pPr>
            <w:r>
              <w:t xml:space="preserve">Open-source authorisation policy language and engine; managed agent tool-call policy service (AgentCore Policy)</w:t>
            </w:r>
          </w:p>
        </w:tc>
        <w:tc>
          <w:tcPr/>
          <w:p>
            <w:pPr>
              <w:pStyle w:val="Compact"/>
              <w:jc w:val="left"/>
            </w:pPr>
            <w:r>
              <w:t xml:space="preserve">Verified fact</w:t>
            </w:r>
          </w:p>
        </w:tc>
        <w:tc>
          <w:tcPr/>
          <w:p>
            <w:pPr>
              <w:pStyle w:val="Compact"/>
              <w:jc w:val="left"/>
            </w:pPr>
            <w:r>
              <w:t xml:space="preserve">A6-S045, A6-S026</w:t>
            </w:r>
          </w:p>
        </w:tc>
      </w:tr>
      <w:tr>
        <w:tc>
          <w:tcPr/>
          <w:p>
            <w:pPr>
              <w:pStyle w:val="Compact"/>
              <w:jc w:val="left"/>
            </w:pPr>
            <w:r>
              <w:t xml:space="preserve">Version / lineup</w:t>
            </w:r>
          </w:p>
        </w:tc>
        <w:tc>
          <w:tcPr/>
          <w:p>
            <w:pPr>
              <w:pStyle w:val="Compact"/>
              <w:jc w:val="left"/>
            </w:pPr>
            <w:r>
              <w:t xml:space="preserve">cedar-policy 4.13.0 (15 September 2026; Cedar language version 4.5); Policy in Amazon Bedrock AgentCore GA 3 March 2026 in 13 Regions (preview December 2025)</w:t>
            </w:r>
          </w:p>
        </w:tc>
        <w:tc>
          <w:tcPr/>
          <w:p>
            <w:pPr>
              <w:pStyle w:val="Compact"/>
              <w:jc w:val="left"/>
            </w:pPr>
            <w:r>
              <w:t xml:space="preserve">Verified fact</w:t>
            </w:r>
          </w:p>
        </w:tc>
        <w:tc>
          <w:tcPr/>
          <w:p>
            <w:pPr>
              <w:pStyle w:val="Compact"/>
              <w:jc w:val="left"/>
            </w:pPr>
            <w:r>
              <w:t xml:space="preserve">A6-S044, A6-S085, A6-S026, V2-S033</w:t>
            </w:r>
          </w:p>
        </w:tc>
      </w:tr>
      <w:tr>
        <w:tc>
          <w:tcPr/>
          <w:p>
            <w:pPr>
              <w:pStyle w:val="Compact"/>
              <w:jc w:val="left"/>
            </w:pPr>
            <w:r>
              <w:t xml:space="preserve">Licence</w:t>
            </w:r>
          </w:p>
        </w:tc>
        <w:tc>
          <w:tcPr/>
          <w:p>
            <w:pPr>
              <w:pStyle w:val="Compact"/>
              <w:jc w:val="left"/>
            </w:pPr>
            <w:r>
              <w:t xml:space="preserve">Cedar: open source (Apache-2.0); AgentCore Policy: proprietary managed service</w:t>
            </w:r>
          </w:p>
        </w:tc>
        <w:tc>
          <w:tcPr/>
          <w:p>
            <w:pPr>
              <w:pStyle w:val="Compact"/>
              <w:jc w:val="left"/>
            </w:pPr>
            <w:r>
              <w:t xml:space="preserve">Verified fact</w:t>
            </w:r>
          </w:p>
        </w:tc>
        <w:tc>
          <w:tcPr/>
          <w:p>
            <w:pPr>
              <w:pStyle w:val="Compact"/>
              <w:jc w:val="left"/>
            </w:pPr>
            <w:r>
              <w:t xml:space="preserve">A6-S045, A6-S026</w:t>
            </w:r>
          </w:p>
        </w:tc>
      </w:tr>
      <w:tr>
        <w:tc>
          <w:tcPr/>
          <w:p>
            <w:pPr>
              <w:pStyle w:val="Compact"/>
              <w:jc w:val="left"/>
            </w:pPr>
            <w:r>
              <w:t xml:space="preserve">Status events</w:t>
            </w:r>
          </w:p>
        </w:tc>
        <w:tc>
          <w:tcPr/>
          <w:p>
            <w:pPr>
              <w:pStyle w:val="Compact"/>
              <w:jc w:val="left"/>
            </w:pPr>
            <w:r>
              <w:t xml:space="preserve">3 March 2026: Policy in Amazon Bedrock AgentCore generally available (Cedar-based); 6 April 2026: Amazon Verified Permissions adds policy store aliases and named policies/templates; from April 2026 authorisation APIs disabled for policy stores still on Cedar 2 (Cedar 4 required); May 2026: Verified Permissions aligned with Cedar, supports multiple namespaces; 6 August 2026: temporal policies and rate limiting announced for AgentCore</w:t>
            </w:r>
          </w:p>
        </w:tc>
        <w:tc>
          <w:tcPr/>
          <w:p>
            <w:pPr>
              <w:pStyle w:val="Compact"/>
              <w:jc w:val="left"/>
            </w:pPr>
            <w:r>
              <w:t xml:space="preserve">Verified fact</w:t>
            </w:r>
          </w:p>
        </w:tc>
        <w:tc>
          <w:tcPr/>
          <w:p>
            <w:pPr>
              <w:pStyle w:val="Compact"/>
              <w:jc w:val="left"/>
            </w:pPr>
            <w:r>
              <w:t xml:space="preserve">A6-S026, A6-S104, A6-S106, V2-S033</w:t>
            </w:r>
          </w:p>
        </w:tc>
      </w:tr>
      <w:tr>
        <w:tc>
          <w:tcPr/>
          <w:p>
            <w:pPr>
              <w:pStyle w:val="Compact"/>
              <w:jc w:val="left"/>
            </w:pPr>
            <w:r>
              <w:t xml:space="preserve">Strategic direction</w:t>
            </w:r>
          </w:p>
        </w:tc>
        <w:tc>
          <w:tcPr/>
          <w:p>
            <w:pPr>
              <w:pStyle w:val="Compact"/>
              <w:jc w:val="left"/>
            </w:pPr>
            <w:r>
              <w:t xml:space="preserve">AWS uses Cedar as the deny-by-default authorisation layer for agent tool calls through AgentCore Gateway, with natural-language policy authoring, schema generation from MCP tool descriptions and automated-reasoning analysis of policy sets; current AgentCore documentation has policies authored in Dogwood, described by AWS as an open-source, Cedar-compatible policy language for AI agents (every valid Cedar policy is valid Dogwood); AWS says Cedar has joined the CNCF</w:t>
            </w:r>
          </w:p>
        </w:tc>
        <w:tc>
          <w:tcPr/>
          <w:p>
            <w:pPr>
              <w:pStyle w:val="Compact"/>
              <w:jc w:val="left"/>
            </w:pPr>
            <w:r>
              <w:t xml:space="preserve">Verified fact</w:t>
            </w:r>
          </w:p>
        </w:tc>
        <w:tc>
          <w:tcPr/>
          <w:p>
            <w:pPr>
              <w:pStyle w:val="Compact"/>
              <w:jc w:val="left"/>
            </w:pPr>
            <w:r>
              <w:t xml:space="preserve">A6-S026, A6-S074, V2-S033</w:t>
            </w:r>
          </w:p>
        </w:tc>
      </w:tr>
      <w:tr>
        <w:tc>
          <w:tcPr/>
          <w:p>
            <w:pPr>
              <w:pStyle w:val="Compact"/>
              <w:jc w:val="left"/>
            </w:pPr>
            <w:r>
              <w:t xml:space="preserve">What it does</w:t>
            </w:r>
          </w:p>
        </w:tc>
        <w:tc>
          <w:tcPr/>
          <w:p>
            <w:pPr>
              <w:pStyle w:val="Compact"/>
              <w:jc w:val="left"/>
            </w:pPr>
            <w:r>
              <w:t xml:space="preserve">Cedar expresses RBAC and ABAC permissions (principal, action, resource, context) that are validated against a schema and designed for automated-reasoning analysis. AgentCore Policy attaches a Cedar policy engine to a Gateway; every agent-to-tool call is evaluated before execution using identity claims and tool arguments; denied tools are filtered from tools/list via partial evaluation; decisions are logged to CloudWatch.</w:t>
            </w:r>
          </w:p>
        </w:tc>
        <w:tc>
          <w:tcPr/>
          <w:p>
            <w:pPr>
              <w:pStyle w:val="Compact"/>
              <w:jc w:val="left"/>
            </w:pPr>
            <w:r>
              <w:t xml:space="preserve">Verified fact</w:t>
            </w:r>
          </w:p>
        </w:tc>
        <w:tc>
          <w:tcPr/>
          <w:p>
            <w:pPr>
              <w:pStyle w:val="Compact"/>
              <w:jc w:val="left"/>
            </w:pPr>
            <w:r>
              <w:t xml:space="preserve">A6-S045, A6-S026</w:t>
            </w:r>
          </w:p>
        </w:tc>
      </w:tr>
      <w:tr>
        <w:tc>
          <w:tcPr/>
          <w:p>
            <w:pPr>
              <w:pStyle w:val="Compact"/>
              <w:jc w:val="left"/>
            </w:pPr>
            <w:r>
              <w:t xml:space="preserve">Stack position</w:t>
            </w:r>
          </w:p>
        </w:tc>
        <w:tc>
          <w:tcPr/>
          <w:p>
            <w:pPr>
              <w:pStyle w:val="Compact"/>
              <w:jc w:val="left"/>
            </w:pPr>
            <w:r>
              <w:t xml:space="preserve">Policy decision point for agent tool calls (inside the gateway) and for application authorisation</w:t>
            </w:r>
          </w:p>
        </w:tc>
        <w:tc>
          <w:tcPr/>
          <w:p>
            <w:pPr>
              <w:pStyle w:val="Compact"/>
              <w:jc w:val="left"/>
            </w:pPr>
            <w:r>
              <w:t xml:space="preserve">Verified fact</w:t>
            </w:r>
          </w:p>
        </w:tc>
        <w:tc>
          <w:tcPr/>
          <w:p>
            <w:pPr>
              <w:pStyle w:val="Compact"/>
              <w:jc w:val="left"/>
            </w:pPr>
            <w:r>
              <w:t xml:space="preserve">A6-S026</w:t>
            </w:r>
          </w:p>
        </w:tc>
      </w:tr>
      <w:tr>
        <w:tc>
          <w:tcPr/>
          <w:p>
            <w:pPr>
              <w:pStyle w:val="Compact"/>
              <w:jc w:val="left"/>
            </w:pPr>
            <w:r>
              <w:t xml:space="preserve">Integration</w:t>
            </w:r>
          </w:p>
        </w:tc>
        <w:tc>
          <w:tcPr/>
          <w:p>
            <w:pPr>
              <w:pStyle w:val="Compact"/>
              <w:jc w:val="left"/>
            </w:pPr>
            <w:r>
              <w:t xml:space="preserve">Cedar Rust crate, WASM/TypeScript bindings, language server; AgentCore CreatePolicyEngine/CreatePolicy/StartPolicyGeneration APIs</w:t>
            </w:r>
          </w:p>
        </w:tc>
        <w:tc>
          <w:tcPr/>
          <w:p>
            <w:pPr>
              <w:pStyle w:val="Compact"/>
              <w:jc w:val="left"/>
            </w:pPr>
            <w:r>
              <w:t xml:space="preserve">Verified fact</w:t>
            </w:r>
          </w:p>
        </w:tc>
        <w:tc>
          <w:tcPr/>
          <w:p>
            <w:pPr>
              <w:pStyle w:val="Compact"/>
              <w:jc w:val="left"/>
            </w:pPr>
            <w:r>
              <w:t xml:space="preserve">A6-S045, A6-S085, A6-S074</w:t>
            </w:r>
          </w:p>
        </w:tc>
      </w:tr>
      <w:tr>
        <w:tc>
          <w:tcPr/>
          <w:p>
            <w:pPr>
              <w:pStyle w:val="Compact"/>
              <w:jc w:val="left"/>
            </w:pPr>
            <w:r>
              <w:t xml:space="preserve">Dependencies</w:t>
            </w:r>
          </w:p>
        </w:tc>
        <w:tc>
          <w:tcPr/>
          <w:p>
            <w:pPr>
              <w:pStyle w:val="Compact"/>
              <w:jc w:val="left"/>
            </w:pPr>
            <w:r>
              <w:t xml:space="preserve">Cedar: Rust crates (WASM bindings for JavaScript); AgentCore Policy: AgentCore Gateway</w:t>
            </w:r>
          </w:p>
        </w:tc>
        <w:tc>
          <w:tcPr/>
          <w:p>
            <w:pPr>
              <w:pStyle w:val="Compact"/>
              <w:jc w:val="left"/>
            </w:pPr>
            <w:r>
              <w:t xml:space="preserve">Verified fact</w:t>
            </w:r>
          </w:p>
        </w:tc>
        <w:tc>
          <w:tcPr/>
          <w:p>
            <w:pPr>
              <w:pStyle w:val="Compact"/>
              <w:jc w:val="left"/>
            </w:pPr>
            <w:r>
              <w:t xml:space="preserve">A6-S045, A6-S085, A6-S074</w:t>
            </w:r>
          </w:p>
        </w:tc>
      </w:tr>
      <w:tr>
        <w:tc>
          <w:tcPr/>
          <w:p>
            <w:pPr>
              <w:pStyle w:val="Compact"/>
              <w:jc w:val="left"/>
            </w:pPr>
            <w:r>
              <w:t xml:space="preserve">Certifications</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GDPR / residency</w:t>
            </w:r>
          </w:p>
        </w:tc>
        <w:tc>
          <w:tcPr/>
          <w:p>
            <w:pPr>
              <w:pStyle w:val="Compact"/>
              <w:jc w:val="left"/>
            </w:pPr>
            <w:r>
              <w:t xml:space="preserve">AgentCore Policy GA in 13 AWS regions incl. Europe (Ireland); also AWS GovCloud (US-West)</w:t>
            </w:r>
          </w:p>
        </w:tc>
        <w:tc>
          <w:tcPr/>
          <w:p>
            <w:pPr>
              <w:pStyle w:val="Compact"/>
              <w:jc w:val="left"/>
            </w:pPr>
            <w:r>
              <w:t xml:space="preserve">Verified fact</w:t>
            </w:r>
          </w:p>
        </w:tc>
        <w:tc>
          <w:tcPr/>
          <w:p>
            <w:pPr>
              <w:pStyle w:val="Compact"/>
              <w:jc w:val="left"/>
            </w:pPr>
            <w:r>
              <w:t xml:space="preserve">A6-S026</w:t>
            </w:r>
          </w:p>
        </w:tc>
      </w:tr>
      <w:tr>
        <w:tc>
          <w:tcPr/>
          <w:p>
            <w:pPr>
              <w:pStyle w:val="Compact"/>
              <w:jc w:val="left"/>
            </w:pPr>
            <w:r>
              <w:t xml:space="preserve">Security features</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Access controls</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Enterprise support</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Pricing</w:t>
            </w:r>
          </w:p>
        </w:tc>
        <w:tc>
          <w:tcPr/>
          <w:p>
            <w:pPr>
              <w:pStyle w:val="Compact"/>
              <w:jc w:val="left"/>
            </w:pPr>
            <w:r>
              <w:t xml:space="preserve">Cedar free. AgentCore Policy: US$0.000025 per authorisation request (first 100 temporal policies per engine no extra authorisation charge); US$0.13 per 1,000 input tokens for natural-language policy processing</w:t>
            </w:r>
          </w:p>
        </w:tc>
        <w:tc>
          <w:tcPr/>
          <w:p>
            <w:pPr>
              <w:pStyle w:val="Compact"/>
              <w:jc w:val="left"/>
            </w:pPr>
            <w:r>
              <w:t xml:space="preserve">Verified fact</w:t>
            </w:r>
          </w:p>
        </w:tc>
        <w:tc>
          <w:tcPr/>
          <w:p>
            <w:pPr>
              <w:pStyle w:val="Compact"/>
              <w:jc w:val="left"/>
            </w:pPr>
            <w:r>
              <w:t xml:space="preserve">A6-S021</w:t>
            </w:r>
          </w:p>
        </w:tc>
      </w:tr>
      <w:tr>
        <w:tc>
          <w:tcPr/>
          <w:p>
            <w:pPr>
              <w:pStyle w:val="Compact"/>
              <w:jc w:val="left"/>
            </w:pPr>
            <w:r>
              <w:t xml:space="preserve">Infrastructure cost</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Ecosystem</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Adoption signals</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Maturity</w:t>
            </w:r>
          </w:p>
        </w:tc>
        <w:tc>
          <w:tcPr/>
          <w:p>
            <w:pPr>
              <w:pStyle w:val="Compact"/>
              <w:jc w:val="left"/>
            </w:pPr>
            <w:r>
              <w:t xml:space="preserve">Cedar 4.x with regular releases (4.11.2 June, 4.12.0 July, 4.13.0 September 2026)</w:t>
            </w:r>
          </w:p>
        </w:tc>
        <w:tc>
          <w:tcPr/>
          <w:p>
            <w:pPr>
              <w:pStyle w:val="Compact"/>
              <w:jc w:val="left"/>
            </w:pPr>
            <w:r>
              <w:t xml:space="preserve">Verified fact</w:t>
            </w:r>
          </w:p>
        </w:tc>
        <w:tc>
          <w:tcPr/>
          <w:p>
            <w:pPr>
              <w:pStyle w:val="Compact"/>
              <w:jc w:val="left"/>
            </w:pPr>
            <w:r>
              <w:t xml:space="preserve">A6-S044</w:t>
            </w:r>
          </w:p>
        </w:tc>
      </w:tr>
      <w:tr>
        <w:tc>
          <w:tcPr/>
          <w:p>
            <w:pPr>
              <w:pStyle w:val="Compact"/>
              <w:jc w:val="left"/>
            </w:pPr>
            <w:r>
              <w:t xml:space="preserve">Deployment</w:t>
            </w:r>
          </w:p>
        </w:tc>
        <w:tc>
          <w:tcPr/>
          <w:p>
            <w:pPr>
              <w:pStyle w:val="Compact"/>
              <w:jc w:val="left"/>
            </w:pPr>
            <w:r>
              <w:t xml:space="preserve">saas: Yes (AgentCore Policy managed service); managed_cloud: Yes (Amazon Verified Permissions); vpc_byoc: Not publicly verified; private_cloud: Not publicly verified; self_hosted: Yes (Cedar library); on_prem: Not publicly verified</w:t>
            </w:r>
          </w:p>
        </w:tc>
        <w:tc>
          <w:tcPr/>
          <w:p>
            <w:pPr>
              <w:pStyle w:val="Compact"/>
            </w:pPr>
          </w:p>
        </w:tc>
        <w:tc>
          <w:tcPr/>
          <w:p>
            <w:pPr>
              <w:pStyle w:val="Compact"/>
            </w:pPr>
          </w:p>
        </w:tc>
      </w:tr>
    </w:tbl>
    <w:bookmarkEnd w:id="2133"/>
    <w:bookmarkStart w:id="2154" w:name="X64a53c3de86fdca7da0b078a66a1f1fc421f90d"/>
    <w:p>
      <w:pPr>
        <w:pStyle w:val="Heading2"/>
      </w:pPr>
      <w:r>
        <w:t xml:space="preserve">Auth0 for AI Agents; Okta for AI Agents; Okta Agent SSO (Cross App Access, XAA) (</w:t>
      </w:r>
      <w:r>
        <w:rPr>
          <w:rStyle w:val="VerbatimChar"/>
        </w:rPr>
        <w:t xml:space="preserve">C4-okta-auth0-ai-agents</w:t>
      </w:r>
      <w:r>
        <w:t xml:space="preserve">)</w:t>
      </w:r>
    </w:p>
    <w:p>
      <w:pPr>
        <w:pStyle w:val="FirstParagraph"/>
      </w:pPr>
      <w:r>
        <w:rPr>
          <w:bCs/>
          <w:b/>
        </w:rPr>
        <w:t xml:space="preserve">Tier:</w:t>
      </w:r>
      <w:r>
        <w:t xml:space="preserve"> </w:t>
      </w:r>
      <w:r>
        <w:t xml:space="preserve">Strategic ·</w:t>
      </w:r>
      <w:r>
        <w:t xml:space="preserve"> </w:t>
      </w:r>
      <w:r>
        <w:rPr>
          <w:bCs/>
          <w:b/>
        </w:rPr>
        <w:t xml:space="preserve">Flags:</w:t>
      </w:r>
      <w:r>
        <w:t xml:space="preserve"> </w:t>
      </w:r>
      <w:r>
        <w:t xml:space="preserve">none ·</w:t>
      </w:r>
      <w:r>
        <w:t xml:space="preserve"> </w:t>
      </w:r>
      <w:r>
        <w:rPr>
          <w:bCs/>
          <w:b/>
        </w:rPr>
        <w:t xml:space="preserve">Original graphic label:</w:t>
      </w:r>
      <w:r>
        <w:t xml:space="preserve"> </w:t>
      </w:r>
      <w:r>
        <w:t xml:space="preserve">not in graphic</w:t>
      </w:r>
    </w:p>
    <w:p>
      <w:pPr>
        <w:pStyle w:val="BodyText"/>
      </w:pPr>
      <w:r>
        <w:rPr>
          <w:iCs/>
          <w:i/>
        </w:rPr>
        <w:t xml:space="preserve">Rationale:</w:t>
      </w:r>
      <w:r>
        <w:t xml:space="preserve"> </w:t>
      </w:r>
      <w:r>
        <w:t xml:space="preserve">Strategic, conditional: where Okta is the workforce IdP; FS 3.55 is below the usual 3.6 because deployment scores 2 (SaaS only), accepted because agent identities must live in the same directory as the delegating humans</w:t>
      </w:r>
      <w:r>
        <w:t xml:space="preserve"> </w:t>
      </w:r>
      <w:r>
        <w:rPr>
          <w:rStyle w:val="ClaimLabel"/>
        </w:rPr>
        <w:t xml:space="preserve">AJ</w:t>
      </w:r>
      <w:r>
        <w:t xml:space="preserve">.</w:t>
      </w:r>
    </w:p>
    <w:tbl>
      <w:tblPr>
        <w:tblStyle w:val="Table"/>
        <w:tblW w:type="pct" w:w="5000"/>
        <w:tblLook w:firstRow="1" w:lastRow="0" w:firstColumn="0" w:lastColumn="0" w:noHBand="0" w:noVBand="0" w:val="0020"/>
        <w:jc w:val="start"/>
      </w:tblPr>
      <w:tblGrid>
        <w:gridCol w:w="1545"/>
        <w:gridCol w:w="579"/>
        <w:gridCol w:w="5795"/>
      </w:tblGrid>
      <w:tr>
        <w:trPr>
          <w:tblHeader w:val="true"/>
        </w:trPr>
        <w:tc>
          <w:tcPr/>
          <w:p>
            <w:pPr>
              <w:pStyle w:val="Compact"/>
              <w:jc w:val="left"/>
            </w:pPr>
            <w:r>
              <w:t xml:space="preserve">Criterion</w:t>
            </w:r>
          </w:p>
        </w:tc>
        <w:tc>
          <w:tcPr/>
          <w:p>
            <w:pPr>
              <w:pStyle w:val="Compact"/>
              <w:jc w:val="right"/>
            </w:pPr>
            <w:r>
              <w:t xml:space="preserve">Score</w:t>
            </w:r>
          </w:p>
        </w:tc>
        <w:tc>
          <w:tcPr/>
          <w:p>
            <w:pPr>
              <w:pStyle w:val="Compact"/>
              <w:jc w:val="left"/>
            </w:pPr>
            <w:r>
              <w:t xml:space="preserve">Rationale</w:t>
            </w:r>
          </w:p>
        </w:tc>
      </w:tr>
      <w:tr>
        <w:tc>
          <w:tcPr/>
          <w:p>
            <w:pPr>
              <w:pStyle w:val="Compact"/>
              <w:jc w:val="left"/>
            </w:pPr>
            <w:r>
              <w:t xml:space="preserve">Technical</w:t>
            </w:r>
          </w:p>
        </w:tc>
        <w:tc>
          <w:tcPr/>
          <w:p>
            <w:pPr>
              <w:pStyle w:val="Compact"/>
              <w:jc w:val="right"/>
            </w:pPr>
            <w:r>
              <w:t xml:space="preserve">5</w:t>
            </w:r>
          </w:p>
        </w:tc>
        <w:tc>
          <w:tcPr/>
          <w:p>
            <w:pPr>
              <w:pStyle w:val="Compact"/>
              <w:jc w:val="left"/>
            </w:pPr>
            <w:r>
              <w:t xml:space="preserve">Delegation, token vaulting, async human approval, fine-grained RAG authorisation and enterprise-managed MCP access.</w:t>
            </w:r>
          </w:p>
        </w:tc>
      </w:tr>
      <w:tr>
        <w:tc>
          <w:tcPr/>
          <w:p>
            <w:pPr>
              <w:pStyle w:val="Compact"/>
              <w:jc w:val="left"/>
            </w:pPr>
            <w:r>
              <w:t xml:space="preserve">Enterprise readiness</w:t>
            </w:r>
          </w:p>
        </w:tc>
        <w:tc>
          <w:tcPr/>
          <w:p>
            <w:pPr>
              <w:pStyle w:val="Compact"/>
              <w:jc w:val="right"/>
            </w:pPr>
            <w:r>
              <w:t xml:space="preserve">4</w:t>
            </w:r>
          </w:p>
        </w:tc>
        <w:tc>
          <w:tcPr/>
          <w:p>
            <w:pPr>
              <w:pStyle w:val="Compact"/>
              <w:jc w:val="left"/>
            </w:pPr>
            <w:r>
              <w:t xml:space="preserve">CP2 Q2 (rule 7): SSO (Agent SSO, core Okta SSO), a dedicated AI agent administrator role plus agent ownership and certification campaigns (RBAC), and System Log events for AI agents in reference documentation (audit), plus the System Log management API</w:t>
            </w:r>
            <w:r>
              <w:t xml:space="preserve"> </w:t>
            </w:r>
            <w:r>
              <w:rPr>
                <w:rStyle w:val="ClaimLabel"/>
              </w:rPr>
              <w:t xml:space="preserve">VF</w:t>
            </w:r>
            <w:r>
              <w:rPr>
                <w:rStyle w:val="FootnoteReference"/>
              </w:rPr>
              <w:footnoteReference w:id="2134"/>
            </w:r>
            <w:r>
              <w:t xml:space="preserve">; 4. Not 5: SLA and agent-specific SCIM not verified, and System Log retention is 90 days.</w:t>
            </w:r>
          </w:p>
        </w:tc>
      </w:tr>
      <w:tr>
        <w:tc>
          <w:tcPr/>
          <w:p>
            <w:pPr>
              <w:pStyle w:val="Compact"/>
              <w:jc w:val="left"/>
            </w:pPr>
            <w:r>
              <w:t xml:space="preserve">Security and compliance</w:t>
            </w:r>
          </w:p>
        </w:tc>
        <w:tc>
          <w:tcPr/>
          <w:p>
            <w:pPr>
              <w:pStyle w:val="Compact"/>
              <w:jc w:val="right"/>
            </w:pPr>
            <w:r>
              <w:t xml:space="preserve">4</w:t>
            </w:r>
          </w:p>
        </w:tc>
        <w:tc>
          <w:tcPr/>
          <w:p>
            <w:pPr>
              <w:pStyle w:val="Compact"/>
              <w:jc w:val="left"/>
            </w:pPr>
            <w:r>
              <w:t xml:space="preserve">ISO 27001:2022, SOC 2 Type II and FedRAMP at company level; product scope not stated (scope rule, 4).</w:t>
            </w:r>
          </w:p>
        </w:tc>
      </w:tr>
      <w:tr>
        <w:tc>
          <w:tcPr/>
          <w:p>
            <w:pPr>
              <w:pStyle w:val="Compact"/>
              <w:jc w:val="left"/>
            </w:pPr>
            <w:r>
              <w:t xml:space="preserve">Deployment flexibility</w:t>
            </w:r>
          </w:p>
        </w:tc>
        <w:tc>
          <w:tcPr/>
          <w:p>
            <w:pPr>
              <w:pStyle w:val="Compact"/>
              <w:jc w:val="right"/>
            </w:pPr>
            <w:r>
              <w:t xml:space="preserve">2</w:t>
            </w:r>
          </w:p>
        </w:tc>
        <w:tc>
          <w:tcPr/>
          <w:p>
            <w:pPr>
              <w:pStyle w:val="Compact"/>
              <w:jc w:val="left"/>
            </w:pPr>
            <w:r>
              <w:t xml:space="preserve">SaaS only (Okta and Auth0 clouds); private deployment not verified.</w:t>
            </w:r>
          </w:p>
        </w:tc>
      </w:tr>
      <w:tr>
        <w:tc>
          <w:tcPr/>
          <w:p>
            <w:pPr>
              <w:pStyle w:val="Compact"/>
              <w:jc w:val="left"/>
            </w:pPr>
            <w:r>
              <w:t xml:space="preserve">Ecosystem</w:t>
            </w:r>
          </w:p>
        </w:tc>
        <w:tc>
          <w:tcPr/>
          <w:p>
            <w:pPr>
              <w:pStyle w:val="Compact"/>
              <w:jc w:val="right"/>
            </w:pPr>
            <w:r>
              <w:t xml:space="preserve">4</w:t>
            </w:r>
          </w:p>
        </w:tc>
        <w:tc>
          <w:tcPr/>
          <w:p>
            <w:pPr>
              <w:pStyle w:val="Compact"/>
              <w:jc w:val="left"/>
            </w:pPr>
            <w:r>
              <w:t xml:space="preserve">XAA adopted as the MCP extension with named SaaS support; SDKs for Python and JavaScript frameworks.</w:t>
            </w:r>
          </w:p>
        </w:tc>
      </w:tr>
      <w:tr>
        <w:tc>
          <w:tcPr/>
          <w:p>
            <w:pPr>
              <w:pStyle w:val="Compact"/>
              <w:jc w:val="left"/>
            </w:pPr>
            <w:r>
              <w:t xml:space="preserve">Reliability and maturity</w:t>
            </w:r>
          </w:p>
        </w:tc>
        <w:tc>
          <w:tcPr/>
          <w:p>
            <w:pPr>
              <w:pStyle w:val="Compact"/>
              <w:jc w:val="right"/>
            </w:pPr>
            <w:r>
              <w:t xml:space="preserve">3</w:t>
            </w:r>
          </w:p>
        </w:tc>
        <w:tc>
          <w:tcPr/>
          <w:p>
            <w:pPr>
              <w:pStyle w:val="Compact"/>
              <w:jc w:val="left"/>
            </w:pPr>
            <w:r>
              <w:t xml:space="preserve">Core GA November 2025 to August 2026; SDKs changing fast.</w:t>
            </w:r>
          </w:p>
        </w:tc>
      </w:tr>
      <w:tr>
        <w:tc>
          <w:tcPr/>
          <w:p>
            <w:pPr>
              <w:pStyle w:val="Compact"/>
              <w:jc w:val="left"/>
            </w:pPr>
            <w:r>
              <w:t xml:space="preserve">Cost / TCO</w:t>
            </w:r>
          </w:p>
        </w:tc>
        <w:tc>
          <w:tcPr/>
          <w:p>
            <w:pPr>
              <w:pStyle w:val="Compact"/>
              <w:jc w:val="right"/>
            </w:pPr>
            <w:r>
              <w:t xml:space="preserve">3</w:t>
            </w:r>
          </w:p>
        </w:tc>
        <w:tc>
          <w:tcPr/>
          <w:p>
            <w:pPr>
              <w:pStyle w:val="Compact"/>
              <w:jc w:val="left"/>
            </w:pPr>
            <w:r>
              <w:t xml:space="preserve">XAA included in core SSO; Auth0 tiers published; Okta for AI Agents price not published.</w:t>
            </w:r>
          </w:p>
        </w:tc>
      </w:tr>
      <w:tr>
        <w:tc>
          <w:tcPr/>
          <w:p>
            <w:pPr>
              <w:pStyle w:val="Compact"/>
              <w:jc w:val="left"/>
            </w:pPr>
            <w:r>
              <w:t xml:space="preserve">Lock-in / portability</w:t>
            </w:r>
          </w:p>
        </w:tc>
        <w:tc>
          <w:tcPr/>
          <w:p>
            <w:pPr>
              <w:pStyle w:val="Compact"/>
              <w:jc w:val="right"/>
            </w:pPr>
            <w:r>
              <w:t xml:space="preserve">3</w:t>
            </w:r>
          </w:p>
        </w:tc>
        <w:tc>
          <w:tcPr/>
          <w:p>
            <w:pPr>
              <w:pStyle w:val="Compact"/>
              <w:jc w:val="left"/>
            </w:pPr>
            <w:r>
              <w:t xml:space="preserve">Proprietary platforms on open standards (OAuth, OIDC, CIBA, ID-JAG).</w:t>
            </w:r>
          </w:p>
        </w:tc>
      </w:tr>
      <w:tr>
        <w:tc>
          <w:tcPr/>
          <w:p>
            <w:pPr>
              <w:pStyle w:val="Compact"/>
              <w:jc w:val="left"/>
            </w:pPr>
            <w:r>
              <w:rPr>
                <w:bCs/>
                <w:b/>
              </w:rPr>
              <w:t xml:space="preserve">Total (generic / FS)</w:t>
            </w:r>
          </w:p>
        </w:tc>
        <w:tc>
          <w:tcPr/>
          <w:p>
            <w:pPr>
              <w:pStyle w:val="Compact"/>
              <w:jc w:val="right"/>
            </w:pPr>
            <w:r>
              <w:rPr>
                <w:bCs/>
                <w:b/>
              </w:rPr>
              <w:t xml:space="preserve">3.65 / 3.55</w:t>
            </w:r>
          </w:p>
        </w:tc>
        <w:tc>
          <w:tcPr/>
          <w:p>
            <w:pPr>
              <w:pStyle w:val="Compact"/>
            </w:pPr>
          </w:p>
        </w:tc>
      </w:tr>
    </w:tbl>
    <w:p>
      <w:pPr>
        <w:pStyle w:val="BodyText"/>
      </w:pPr>
      <w:r>
        <w:rPr>
          <w:iCs/>
          <w:i/>
        </w:rPr>
        <w:t xml:space="preserve">Evidence rules applied:</w:t>
      </w:r>
      <w:r>
        <w:t xml:space="preserve"> </w:t>
      </w:r>
      <w:r>
        <w:t xml:space="preserve">CP3 review: earlier CP2 Q2 cap (audit only on a training page) lifted; System Log coverage of AI agents and the AI agent administrator role are in Okta reference documentation (B-REVB-S001)</w:t>
      </w:r>
    </w:p>
    <w:p>
      <w:pPr>
        <w:pStyle w:val="BodyText"/>
      </w:pPr>
      <w:r>
        <w:rPr>
          <w:bCs/>
          <w:b/>
        </w:rPr>
        <w:t xml:space="preserve">Capabilities.</w:t>
      </w:r>
      <w:r>
        <w:t xml:space="preserve"> </w:t>
      </w:r>
      <w:r>
        <w:t xml:space="preserve">Auth0 for AI Agents (GA 19 November 2025: user authentication, Token Vault, asynchronous authorisation via CIBA, FGA for RAG; Auth for MCP and OBO Token Exchange GA May 2026); Okta for AI Agents (GA 30 April 2026: discover, onboard, protect, govern agent identities); Okta Agent SSO / Cross App Access (GA 24 August 2026), the MCP Enterprise-Managed Authorization extension</w:t>
      </w:r>
      <w:r>
        <w:t xml:space="preserve"> </w:t>
      </w:r>
      <w:r>
        <w:rPr>
          <w:rStyle w:val="ClaimLabel"/>
        </w:rPr>
        <w:t xml:space="preserve">VF</w:t>
      </w:r>
      <w:r>
        <w:rPr>
          <w:rStyle w:val="FootnoteReference"/>
        </w:rPr>
        <w:footnoteReference w:id="2137"/>
      </w:r>
      <w:r>
        <w:t xml:space="preserve">.</w:t>
      </w:r>
    </w:p>
    <w:p>
      <w:pPr>
        <w:pStyle w:val="BodyText"/>
      </w:pPr>
      <w:r>
        <w:rPr>
          <w:bCs/>
          <w:b/>
        </w:rPr>
        <w:t xml:space="preserve">Strengths</w:t>
      </w:r>
    </w:p>
    <w:p>
      <w:pPr>
        <w:numPr>
          <w:ilvl w:val="0"/>
          <w:numId w:val="1457"/>
        </w:numPr>
        <w:pStyle w:val="Compact"/>
      </w:pPr>
      <w:r>
        <w:t xml:space="preserve">Standards-based delegation: RFC 8693 token exchange, RFC 7523, ID-JAG, OpenID CIBA</w:t>
      </w:r>
      <w:r>
        <w:t xml:space="preserve"> </w:t>
      </w:r>
      <w:r>
        <w:rPr>
          <w:rStyle w:val="ClaimLabel"/>
        </w:rPr>
        <w:t xml:space="preserve">VF</w:t>
      </w:r>
      <w:r>
        <w:rPr>
          <w:rStyle w:val="FootnoteReference"/>
        </w:rPr>
        <w:footnoteReference w:id="2141"/>
      </w:r>
    </w:p>
    <w:p>
      <w:pPr>
        <w:numPr>
          <w:ilvl w:val="0"/>
          <w:numId w:val="1457"/>
        </w:numPr>
        <w:pStyle w:val="Compact"/>
      </w:pPr>
      <w:r>
        <w:t xml:space="preserve">Agents in Universal Directory with human owners and access-certification campaigns</w:t>
      </w:r>
      <w:r>
        <w:t xml:space="preserve"> </w:t>
      </w:r>
      <w:r>
        <w:rPr>
          <w:rStyle w:val="ClaimLabel"/>
        </w:rPr>
        <w:t xml:space="preserve">VF</w:t>
      </w:r>
      <w:r>
        <w:rPr>
          <w:rStyle w:val="FootnoteReference"/>
        </w:rPr>
        <w:footnoteReference w:id="2144"/>
      </w:r>
    </w:p>
    <w:p>
      <w:pPr>
        <w:numPr>
          <w:ilvl w:val="0"/>
          <w:numId w:val="1457"/>
        </w:numPr>
        <w:pStyle w:val="Compact"/>
      </w:pPr>
      <w:r>
        <w:t xml:space="preserve">XAA included in core Okta SSO; out-of-box support from Atlassian, Slack, Figma and others</w:t>
      </w:r>
      <w:r>
        <w:t xml:space="preserve"> </w:t>
      </w:r>
      <w:r>
        <w:rPr>
          <w:rStyle w:val="ClaimLabel"/>
        </w:rPr>
        <w:t xml:space="preserve">VF</w:t>
      </w:r>
      <w:r>
        <w:rPr>
          <w:rStyle w:val="FootnoteReference"/>
        </w:rPr>
        <w:footnoteReference w:id="2145"/>
      </w:r>
    </w:p>
    <w:p>
      <w:pPr>
        <w:numPr>
          <w:ilvl w:val="0"/>
          <w:numId w:val="1457"/>
        </w:numPr>
        <w:pStyle w:val="Compact"/>
      </w:pPr>
      <w:r>
        <w:t xml:space="preserve">Company-level ISO 27001:2022, SOC 2 Type II and FedRAMP authorisations</w:t>
      </w:r>
      <w:r>
        <w:t xml:space="preserve"> </w:t>
      </w:r>
      <w:r>
        <w:rPr>
          <w:rStyle w:val="ClaimLabel"/>
        </w:rPr>
        <w:t xml:space="preserve">VF</w:t>
      </w:r>
      <w:r>
        <w:rPr>
          <w:rStyle w:val="FootnoteReference"/>
        </w:rPr>
        <w:footnoteReference w:id="2146"/>
      </w:r>
    </w:p>
    <w:p>
      <w:pPr>
        <w:pStyle w:val="FirstParagraph"/>
      </w:pPr>
      <w:r>
        <w:rPr>
          <w:bCs/>
          <w:b/>
        </w:rPr>
        <w:t xml:space="preserve">Limitations and risks</w:t>
      </w:r>
    </w:p>
    <w:p>
      <w:pPr>
        <w:numPr>
          <w:ilvl w:val="0"/>
          <w:numId w:val="1458"/>
        </w:numPr>
        <w:pStyle w:val="Compact"/>
      </w:pPr>
      <w:r>
        <w:t xml:space="preserve">Auth0 AI SDKs flagged</w:t>
      </w:r>
      <w:r>
        <w:t xml:space="preserve"> </w:t>
      </w:r>
      <w:r>
        <w:t xml:space="preserve">‘</w:t>
      </w:r>
      <w:r>
        <w:t xml:space="preserve">under heavy development</w:t>
      </w:r>
      <w:r>
        <w:t xml:space="preserve">’</w:t>
      </w:r>
      <w:r>
        <w:t xml:space="preserve">;</w:t>
      </w:r>
      <w:r>
        <w:t xml:space="preserve"> </w:t>
      </w:r>
      <w:r>
        <w:t xml:space="preserve">@auth0/ai</w:t>
      </w:r>
      <w:r>
        <w:t xml:space="preserve"> </w:t>
      </w:r>
      <w:r>
        <w:t xml:space="preserve">at major version 6 within about 13 months</w:t>
      </w:r>
      <w:r>
        <w:t xml:space="preserve"> </w:t>
      </w:r>
      <w:r>
        <w:rPr>
          <w:rStyle w:val="ClaimLabel"/>
        </w:rPr>
        <w:t xml:space="preserve">VF</w:t>
      </w:r>
      <w:r>
        <w:rPr>
          <w:rStyle w:val="FootnoteReference"/>
        </w:rPr>
        <w:footnoteReference w:id="2148"/>
      </w:r>
    </w:p>
    <w:p>
      <w:pPr>
        <w:numPr>
          <w:ilvl w:val="0"/>
          <w:numId w:val="1458"/>
        </w:numPr>
        <w:pStyle w:val="Compact"/>
      </w:pPr>
      <w:r>
        <w:t xml:space="preserve">Okta Agent Gateway and Shadow AI Agent Discovery announced, not confirmed shipped</w:t>
      </w:r>
      <w:r>
        <w:t xml:space="preserve"> </w:t>
      </w:r>
      <w:r>
        <w:rPr>
          <w:rStyle w:val="ClaimLabel"/>
        </w:rPr>
        <w:t xml:space="preserve">VF</w:t>
      </w:r>
      <w:r>
        <w:rPr>
          <w:rStyle w:val="FootnoteReference"/>
        </w:rPr>
        <w:footnoteReference w:id="2151"/>
      </w:r>
    </w:p>
    <w:p>
      <w:pPr>
        <w:numPr>
          <w:ilvl w:val="0"/>
          <w:numId w:val="1458"/>
        </w:numPr>
        <w:pStyle w:val="Compact"/>
      </w:pPr>
      <w:r>
        <w:t xml:space="preserve">System Log records AI agent events and a dedicated AI agent administrator role exists</w:t>
      </w:r>
      <w:r>
        <w:t xml:space="preserve"> </w:t>
      </w:r>
      <w:r>
        <w:rPr>
          <w:rStyle w:val="ClaimLabel"/>
        </w:rPr>
        <w:t xml:space="preserve">VF</w:t>
      </w:r>
      <w:r>
        <w:rPr>
          <w:rStyle w:val="FootnoteReference"/>
        </w:rPr>
        <w:footnoteReference w:id="2152"/>
      </w:r>
      <w:r>
        <w:t xml:space="preserve">; System Log retention is 90 days per Okta support, so export agent events to the firm’s SIEM</w:t>
      </w:r>
      <w:r>
        <w:t xml:space="preserve"> </w:t>
      </w:r>
      <w:r>
        <w:rPr>
          <w:rStyle w:val="ClaimLabel"/>
        </w:rPr>
        <w:t xml:space="preserve">VF</w:t>
      </w:r>
      <w:r>
        <w:rPr>
          <w:rStyle w:val="FootnoteReference"/>
        </w:rPr>
        <w:footnoteReference w:id="2153"/>
      </w:r>
    </w:p>
    <w:p>
      <w:pPr>
        <w:numPr>
          <w:ilvl w:val="0"/>
          <w:numId w:val="1458"/>
        </w:numPr>
        <w:pStyle w:val="Compact"/>
      </w:pPr>
      <w:r>
        <w:t xml:space="preserve">Okta for AI Agents price not published; EU residency not verified</w:t>
      </w:r>
      <w:r>
        <w:t xml:space="preserve"> </w:t>
      </w:r>
      <w:r>
        <w:rPr>
          <w:rStyle w:val="ClaimLabel"/>
        </w:rPr>
        <w:t xml:space="preserve">NPV</w:t>
      </w:r>
    </w:p>
    <w:p>
      <w:pPr>
        <w:pStyle w:val="FirstParagraph"/>
      </w:pPr>
      <w:r>
        <w:rPr>
          <w:bCs/>
          <w:b/>
        </w:rPr>
        <w:t xml:space="preserve">Choose when</w:t>
      </w:r>
    </w:p>
    <w:p>
      <w:pPr>
        <w:numPr>
          <w:ilvl w:val="0"/>
          <w:numId w:val="1459"/>
        </w:numPr>
        <w:pStyle w:val="Compact"/>
      </w:pPr>
      <w:r>
        <w:t xml:space="preserve">Okta is the workforce IdP</w:t>
      </w:r>
      <w:r>
        <w:t xml:space="preserve"> </w:t>
      </w:r>
      <w:r>
        <w:rPr>
          <w:rStyle w:val="ClaimLabel"/>
        </w:rPr>
        <w:t xml:space="preserve">AJ</w:t>
      </w:r>
    </w:p>
    <w:p>
      <w:pPr>
        <w:numPr>
          <w:ilvl w:val="0"/>
          <w:numId w:val="1459"/>
        </w:numPr>
        <w:pStyle w:val="Compact"/>
      </w:pPr>
      <w:r>
        <w:t xml:space="preserve">Customer-facing or SaaS-integrated agents need Token Vault and CIBA approvals</w:t>
      </w:r>
      <w:r>
        <w:t xml:space="preserve"> </w:t>
      </w:r>
      <w:r>
        <w:rPr>
          <w:rStyle w:val="ClaimLabel"/>
        </w:rPr>
        <w:t xml:space="preserve">AJ</w:t>
      </w:r>
    </w:p>
    <w:p>
      <w:pPr>
        <w:pStyle w:val="FirstParagraph"/>
      </w:pPr>
      <w:r>
        <w:rPr>
          <w:bCs/>
          <w:b/>
        </w:rPr>
        <w:t xml:space="preserve">Avoid when</w:t>
      </w:r>
    </w:p>
    <w:p>
      <w:pPr>
        <w:numPr>
          <w:ilvl w:val="0"/>
          <w:numId w:val="1460"/>
        </w:numPr>
        <w:pStyle w:val="Compact"/>
      </w:pPr>
      <w:r>
        <w:t xml:space="preserve">Entra is the workforce IdP</w:t>
      </w:r>
      <w:r>
        <w:t xml:space="preserve"> </w:t>
      </w:r>
      <w:r>
        <w:rPr>
          <w:rStyle w:val="ClaimLabel"/>
        </w:rPr>
        <w:t xml:space="preserve">AJ</w:t>
      </w:r>
    </w:p>
    <w:p>
      <w:pPr>
        <w:numPr>
          <w:ilvl w:val="0"/>
          <w:numId w:val="1460"/>
        </w:numPr>
        <w:pStyle w:val="Compact"/>
      </w:pPr>
      <w:r>
        <w:t xml:space="preserve">You need a self-hosted IdP</w:t>
      </w:r>
      <w:r>
        <w:t xml:space="preserve"> </w:t>
      </w:r>
      <w:r>
        <w:rPr>
          <w:rStyle w:val="ClaimLabel"/>
        </w:rPr>
        <w:t xml:space="preserve">AJ</w:t>
      </w:r>
    </w:p>
    <w:p>
      <w:pPr>
        <w:pStyle w:val="FirstParagraph"/>
      </w:pPr>
      <w:r>
        <w:rPr>
          <w:bCs/>
          <w:b/>
        </w:rPr>
        <w:t xml:space="preserve">Nearest competitors:</w:t>
      </w:r>
      <w:r>
        <w:t xml:space="preserve"> </w:t>
      </w:r>
      <w:r>
        <w:t xml:space="preserve">C4-entra-agent-id, C7-hashicorp-vault, C4-mcp-authorization</w:t>
      </w:r>
    </w:p>
    <w:p>
      <w:pPr>
        <w:pStyle w:val="BodyText"/>
      </w:pPr>
      <w:r>
        <w:rPr>
          <w:bCs/>
          <w:b/>
        </w:rPr>
        <w:t xml:space="preserve">Regulated-FS note.</w:t>
      </w:r>
      <w:r>
        <w:t xml:space="preserve"> </w:t>
      </w:r>
      <w:r>
        <w:t xml:space="preserve">Use XAA/ID-JAG for enterprise-managed MCP access, pin SDK versions, and confirm product scope of the SOC 2 and ISO certificates under NDA</w:t>
      </w:r>
      <w:r>
        <w:t xml:space="preserve"> </w:t>
      </w:r>
      <w:r>
        <w:rPr>
          <w:rStyle w:val="ClaimLabel"/>
        </w:rPr>
        <w:t xml:space="preserve">Rec</w:t>
      </w:r>
      <w:r>
        <w:t xml:space="preserve">.</w:t>
      </w:r>
    </w:p>
    <w:p>
      <w:pPr>
        <w:pStyle w:val="BodyText"/>
      </w:pPr>
      <w:r>
        <w:rPr>
          <w:bCs/>
          <w:b/>
        </w:rPr>
        <w:t xml:space="preserve">Facts (as of 2026-10-08)</w:t>
      </w:r>
    </w:p>
    <w:tbl>
      <w:tblPr>
        <w:tblStyle w:val="Table"/>
        <w:tblW w:type="pct" w:w="5000"/>
        <w:tblLook w:firstRow="1" w:lastRow="0" w:firstColumn="0" w:lastColumn="0" w:noHBand="0" w:noVBand="0" w:val="0020"/>
        <w:jc w:val="start"/>
      </w:tblPr>
      <w:tblGrid>
        <w:gridCol w:w="1485"/>
        <w:gridCol w:w="4290"/>
        <w:gridCol w:w="1320"/>
        <w:gridCol w:w="825"/>
      </w:tblGrid>
      <w:tr>
        <w:trPr>
          <w:tblHeader w:val="true"/>
        </w:trPr>
        <w:tc>
          <w:tcPr/>
          <w:p>
            <w:pPr>
              <w:pStyle w:val="Compact"/>
              <w:jc w:val="left"/>
            </w:pPr>
            <w:r>
              <w:t xml:space="preserve">Field</w:t>
            </w:r>
          </w:p>
        </w:tc>
        <w:tc>
          <w:tcPr/>
          <w:p>
            <w:pPr>
              <w:pStyle w:val="Compact"/>
              <w:jc w:val="left"/>
            </w:pPr>
            <w:r>
              <w:t xml:space="preserve">Value</w:t>
            </w:r>
          </w:p>
        </w:tc>
        <w:tc>
          <w:tcPr/>
          <w:p>
            <w:pPr>
              <w:pStyle w:val="Compact"/>
              <w:jc w:val="left"/>
            </w:pPr>
            <w:r>
              <w:t xml:space="preserve">Label</w:t>
            </w:r>
          </w:p>
        </w:tc>
        <w:tc>
          <w:tcPr/>
          <w:p>
            <w:pPr>
              <w:pStyle w:val="Compact"/>
              <w:jc w:val="left"/>
            </w:pPr>
            <w:r>
              <w:t xml:space="preserve">Sources</w:t>
            </w:r>
          </w:p>
        </w:tc>
      </w:tr>
      <w:tr>
        <w:tc>
          <w:tcPr/>
          <w:p>
            <w:pPr>
              <w:pStyle w:val="Compact"/>
              <w:jc w:val="left"/>
            </w:pPr>
            <w:r>
              <w:t xml:space="preserve">Company</w:t>
            </w:r>
          </w:p>
        </w:tc>
        <w:tc>
          <w:tcPr/>
          <w:p>
            <w:pPr>
              <w:pStyle w:val="Compact"/>
              <w:jc w:val="left"/>
            </w:pPr>
            <w:r>
              <w:t xml:space="preserve">Okta, Inc. (Auth0 is an Okta product)</w:t>
            </w:r>
          </w:p>
        </w:tc>
        <w:tc>
          <w:tcPr/>
          <w:p>
            <w:pPr>
              <w:pStyle w:val="Compact"/>
              <w:jc w:val="left"/>
            </w:pPr>
            <w:r>
              <w:t xml:space="preserve">Verified fact</w:t>
            </w:r>
          </w:p>
        </w:tc>
        <w:tc>
          <w:tcPr/>
          <w:p>
            <w:pPr>
              <w:pStyle w:val="Compact"/>
              <w:jc w:val="left"/>
            </w:pPr>
            <w:r>
              <w:t xml:space="preserve">A6-S078, A6-S080</w:t>
            </w:r>
          </w:p>
        </w:tc>
      </w:tr>
      <w:tr>
        <w:tc>
          <w:tcPr/>
          <w:p>
            <w:pPr>
              <w:pStyle w:val="Compact"/>
              <w:jc w:val="left"/>
            </w:pPr>
            <w:r>
              <w:t xml:space="preserve">Category</w:t>
            </w:r>
          </w:p>
        </w:tc>
        <w:tc>
          <w:tcPr/>
          <w:p>
            <w:pPr>
              <w:pStyle w:val="Compact"/>
              <w:jc w:val="left"/>
            </w:pPr>
            <w:r>
              <w:t xml:space="preserve">Identity and authorisation for AI agents (delegated access, async approval, fine-grained authorisation, enterprise-managed app-to-app access)</w:t>
            </w:r>
          </w:p>
        </w:tc>
        <w:tc>
          <w:tcPr/>
          <w:p>
            <w:pPr>
              <w:pStyle w:val="Compact"/>
              <w:jc w:val="left"/>
            </w:pPr>
            <w:r>
              <w:t xml:space="preserve">Verified fact</w:t>
            </w:r>
          </w:p>
        </w:tc>
        <w:tc>
          <w:tcPr/>
          <w:p>
            <w:pPr>
              <w:pStyle w:val="Compact"/>
              <w:jc w:val="left"/>
            </w:pPr>
            <w:r>
              <w:t xml:space="preserve">A6-S078, A6-S080</w:t>
            </w:r>
          </w:p>
        </w:tc>
      </w:tr>
      <w:tr>
        <w:tc>
          <w:tcPr/>
          <w:p>
            <w:pPr>
              <w:pStyle w:val="Compact"/>
              <w:jc w:val="left"/>
            </w:pPr>
            <w:r>
              <w:t xml:space="preserve">Version / lineup</w:t>
            </w:r>
          </w:p>
        </w:tc>
        <w:tc>
          <w:tcPr/>
          <w:p>
            <w:pPr>
              <w:pStyle w:val="Compact"/>
              <w:jc w:val="left"/>
            </w:pPr>
            <w:r>
              <w:t xml:space="preserve">Auth0 for AI Agents GA 19 November 2025 (User Authentication, Token Vault, Asynchronous Authorization, FGA for RAG); May 2026 additions Auth for MCP and On-Behalf-Of Token Exchange GA; Okta for AI Agents GA 30 April 2026; Agent SSO / XAA GA 24 August 2026; SDKs auth0-ai 1.0.2 and</w:t>
            </w:r>
            <w:r>
              <w:t xml:space="preserve"> </w:t>
            </w:r>
            <w:r>
              <w:t xml:space="preserve">@auth0/ai</w:t>
            </w:r>
            <w:r>
              <w:t xml:space="preserve"> </w:t>
            </w:r>
            <w:r>
              <w:t xml:space="preserve">6.0.2</w:t>
            </w:r>
          </w:p>
        </w:tc>
        <w:tc>
          <w:tcPr/>
          <w:p>
            <w:pPr>
              <w:pStyle w:val="Compact"/>
              <w:jc w:val="left"/>
            </w:pPr>
            <w:r>
              <w:t xml:space="preserve">Verified fact</w:t>
            </w:r>
          </w:p>
        </w:tc>
        <w:tc>
          <w:tcPr/>
          <w:p>
            <w:pPr>
              <w:pStyle w:val="Compact"/>
              <w:jc w:val="left"/>
            </w:pPr>
            <w:r>
              <w:t xml:space="preserve">A6-S097, A6-S100, A6-S099, A6-S076, A6-S077, V2-S035</w:t>
            </w:r>
          </w:p>
        </w:tc>
      </w:tr>
      <w:tr>
        <w:tc>
          <w:tcPr/>
          <w:p>
            <w:pPr>
              <w:pStyle w:val="Compact"/>
              <w:jc w:val="left"/>
            </w:pPr>
            <w:r>
              <w:t xml:space="preserve">Licence</w:t>
            </w:r>
          </w:p>
        </w:tc>
        <w:tc>
          <w:tcPr/>
          <w:p>
            <w:pPr>
              <w:pStyle w:val="Compact"/>
              <w:jc w:val="left"/>
            </w:pPr>
            <w:r>
              <w:t xml:space="preserve">Proprietary identity platforms; AI SDKs Apache-2.0</w:t>
            </w:r>
          </w:p>
        </w:tc>
        <w:tc>
          <w:tcPr/>
          <w:p>
            <w:pPr>
              <w:pStyle w:val="Compact"/>
              <w:jc w:val="left"/>
            </w:pPr>
            <w:r>
              <w:t xml:space="preserve">Verified fact</w:t>
            </w:r>
          </w:p>
        </w:tc>
        <w:tc>
          <w:tcPr/>
          <w:p>
            <w:pPr>
              <w:pStyle w:val="Compact"/>
              <w:jc w:val="left"/>
            </w:pPr>
            <w:r>
              <w:t xml:space="preserve">A6-S076, A6-S077</w:t>
            </w:r>
          </w:p>
        </w:tc>
      </w:tr>
      <w:tr>
        <w:tc>
          <w:tcPr/>
          <w:p>
            <w:pPr>
              <w:pStyle w:val="Compact"/>
              <w:jc w:val="left"/>
            </w:pPr>
            <w:r>
              <w:t xml:space="preserve">Status events</w:t>
            </w:r>
          </w:p>
        </w:tc>
        <w:tc>
          <w:tcPr/>
          <w:p>
            <w:pPr>
              <w:pStyle w:val="Compact"/>
              <w:jc w:val="left"/>
            </w:pPr>
            <w:r>
              <w:t xml:space="preserve">19 November 2025: Auth0 for AI Agents GA; 30 April 2026: Okta for AI Agents GA; 24 August 2026: Okta Agent SSO (Cross App Access) GA, included in core Okta SSO</w:t>
            </w:r>
          </w:p>
        </w:tc>
        <w:tc>
          <w:tcPr/>
          <w:p>
            <w:pPr>
              <w:pStyle w:val="Compact"/>
              <w:jc w:val="left"/>
            </w:pPr>
            <w:r>
              <w:t xml:space="preserve">Verified fact</w:t>
            </w:r>
          </w:p>
        </w:tc>
        <w:tc>
          <w:tcPr/>
          <w:p>
            <w:pPr>
              <w:pStyle w:val="Compact"/>
              <w:jc w:val="left"/>
            </w:pPr>
            <w:r>
              <w:t xml:space="preserve">A6-S097, A6-S100, A6-S099, V2-S035</w:t>
            </w:r>
          </w:p>
        </w:tc>
      </w:tr>
      <w:tr>
        <w:tc>
          <w:tcPr/>
          <w:p>
            <w:pPr>
              <w:pStyle w:val="Compact"/>
              <w:jc w:val="left"/>
            </w:pPr>
            <w:r>
              <w:t xml:space="preserve">Strategic direction</w:t>
            </w:r>
          </w:p>
        </w:tc>
        <w:tc>
          <w:tcPr/>
          <w:p>
            <w:pPr>
              <w:pStyle w:val="Compact"/>
              <w:jc w:val="left"/>
            </w:pPr>
            <w:r>
              <w:t xml:space="preserve">Cross App Access built on the IETF Identity Assertion Authorization Grant so the enterprise IdP mediates agent-to-app access; MCP standardised this as the Enterprise-Managed Authorization extension</w:t>
            </w:r>
          </w:p>
        </w:tc>
        <w:tc>
          <w:tcPr/>
          <w:p>
            <w:pPr>
              <w:pStyle w:val="Compact"/>
              <w:jc w:val="left"/>
            </w:pPr>
            <w:r>
              <w:t xml:space="preserve">Verified fact</w:t>
            </w:r>
          </w:p>
        </w:tc>
        <w:tc>
          <w:tcPr/>
          <w:p>
            <w:pPr>
              <w:pStyle w:val="Compact"/>
              <w:jc w:val="left"/>
            </w:pPr>
            <w:r>
              <w:t xml:space="preserve">A6-S080, A6-S079</w:t>
            </w:r>
          </w:p>
        </w:tc>
      </w:tr>
      <w:tr>
        <w:tc>
          <w:tcPr/>
          <w:p>
            <w:pPr>
              <w:pStyle w:val="Compact"/>
              <w:jc w:val="left"/>
            </w:pPr>
            <w:r>
              <w:t xml:space="preserve">What it does</w:t>
            </w:r>
          </w:p>
        </w:tc>
        <w:tc>
          <w:tcPr/>
          <w:p>
            <w:pPr>
              <w:pStyle w:val="Compact"/>
              <w:jc w:val="left"/>
            </w:pPr>
            <w:r>
              <w:t xml:space="preserve">Auth0 AI SDKs: user authentication for agents, calling third-party APIs on users’ behalf, authorisation for RAG (fine-grained), and asynchronous human approval using OpenID CIBA. Cross App Access: MCP client exchanges an enterprise ID token for an ID-JAG at the IdP, then for an access token at the MCP server’s authorisation server. Auth0 Token Vault stores and brokers third-party API tokens (e.g. Google Drive, Jira, Slack) for agents; Okta for AI Agents discovers, onboards, protects and governs agent identities across frameworks and clouds.</w:t>
            </w:r>
          </w:p>
        </w:tc>
        <w:tc>
          <w:tcPr/>
          <w:p>
            <w:pPr>
              <w:pStyle w:val="Compact"/>
              <w:jc w:val="left"/>
            </w:pPr>
            <w:r>
              <w:t xml:space="preserve">Verified fact</w:t>
            </w:r>
          </w:p>
        </w:tc>
        <w:tc>
          <w:tcPr/>
          <w:p>
            <w:pPr>
              <w:pStyle w:val="Compact"/>
              <w:jc w:val="left"/>
            </w:pPr>
            <w:r>
              <w:t xml:space="preserve">A6-S078, A6-S076, A6-S080, A6-S079, A6-S097, A6-S100</w:t>
            </w:r>
          </w:p>
        </w:tc>
      </w:tr>
      <w:tr>
        <w:tc>
          <w:tcPr/>
          <w:p>
            <w:pPr>
              <w:pStyle w:val="Compact"/>
              <w:jc w:val="left"/>
            </w:pPr>
            <w:r>
              <w:t xml:space="preserve">Stack position</w:t>
            </w:r>
          </w:p>
        </w:tc>
        <w:tc>
          <w:tcPr/>
          <w:p>
            <w:pPr>
              <w:pStyle w:val="Compact"/>
              <w:jc w:val="left"/>
            </w:pPr>
            <w:r>
              <w:t xml:space="preserve">Identity provider / authorisation server for agents and MCP servers</w:t>
            </w:r>
          </w:p>
        </w:tc>
        <w:tc>
          <w:tcPr/>
          <w:p>
            <w:pPr>
              <w:pStyle w:val="Compact"/>
              <w:jc w:val="left"/>
            </w:pPr>
            <w:r>
              <w:t xml:space="preserve">Verified fact</w:t>
            </w:r>
          </w:p>
        </w:tc>
        <w:tc>
          <w:tcPr/>
          <w:p>
            <w:pPr>
              <w:pStyle w:val="Compact"/>
              <w:jc w:val="left"/>
            </w:pPr>
            <w:r>
              <w:t xml:space="preserve">A6-S079</w:t>
            </w:r>
          </w:p>
        </w:tc>
      </w:tr>
      <w:tr>
        <w:tc>
          <w:tcPr/>
          <w:p>
            <w:pPr>
              <w:pStyle w:val="Compact"/>
              <w:jc w:val="left"/>
            </w:pPr>
            <w:r>
              <w:t xml:space="preserve">Integration</w:t>
            </w:r>
          </w:p>
        </w:tc>
        <w:tc>
          <w:tcPr/>
          <w:p>
            <w:pPr>
              <w:pStyle w:val="Compact"/>
              <w:jc w:val="left"/>
            </w:pPr>
            <w:r>
              <w:t xml:space="preserve">OAuth 2.0 / OIDC, OpenID CIBA, RFC 8693 token exchange and RFC 7523 JWT grant (ID-JAG); SDKs for Python and JavaScript agent frameworks</w:t>
            </w:r>
          </w:p>
        </w:tc>
        <w:tc>
          <w:tcPr/>
          <w:p>
            <w:pPr>
              <w:pStyle w:val="Compact"/>
              <w:jc w:val="left"/>
            </w:pPr>
            <w:r>
              <w:t xml:space="preserve">Verified fact</w:t>
            </w:r>
          </w:p>
        </w:tc>
        <w:tc>
          <w:tcPr/>
          <w:p>
            <w:pPr>
              <w:pStyle w:val="Compact"/>
              <w:jc w:val="left"/>
            </w:pPr>
            <w:r>
              <w:t xml:space="preserve">A6-S076, A6-S079, A6-S078</w:t>
            </w:r>
          </w:p>
        </w:tc>
      </w:tr>
      <w:tr>
        <w:tc>
          <w:tcPr/>
          <w:p>
            <w:pPr>
              <w:pStyle w:val="Compact"/>
              <w:jc w:val="left"/>
            </w:pPr>
            <w:r>
              <w:t xml:space="preserve">Dependencies</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Certifications</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GDPR / residency</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Security features</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Access controls</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Enterprise support</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Pricing</w:t>
            </w:r>
          </w:p>
        </w:tc>
        <w:tc>
          <w:tcPr/>
          <w:p>
            <w:pPr>
              <w:pStyle w:val="Compact"/>
              <w:jc w:val="left"/>
            </w:pPr>
            <w:r>
              <w:t xml:space="preserve">Okta Agent SSO (XAA) included in core Okta SSO at no additional cost; Okta for AI Agents is a separate subscription (price not published). Auth0: Token Vault connections by plan (Free 2; Essentials/Professional 3 plus add-on; Enterprise 4 plus add-on); Free US$0 up to 25,000 MAU, Professional US$240/month (pricing page may be stale)</w:t>
            </w:r>
          </w:p>
        </w:tc>
        <w:tc>
          <w:tcPr/>
          <w:p>
            <w:pPr>
              <w:pStyle w:val="Compact"/>
              <w:jc w:val="left"/>
            </w:pPr>
            <w:r>
              <w:t xml:space="preserve">Verified fact</w:t>
            </w:r>
          </w:p>
        </w:tc>
        <w:tc>
          <w:tcPr/>
          <w:p>
            <w:pPr>
              <w:pStyle w:val="Compact"/>
              <w:jc w:val="left"/>
            </w:pPr>
            <w:r>
              <w:t xml:space="preserve">A6-S099, A6-S098</w:t>
            </w:r>
          </w:p>
        </w:tc>
      </w:tr>
      <w:tr>
        <w:tc>
          <w:tcPr/>
          <w:p>
            <w:pPr>
              <w:pStyle w:val="Compact"/>
              <w:jc w:val="left"/>
            </w:pPr>
            <w:r>
              <w:t xml:space="preserve">Infrastructure cost</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Ecosystem</w:t>
            </w:r>
          </w:p>
        </w:tc>
        <w:tc>
          <w:tcPr/>
          <w:p>
            <w:pPr>
              <w:pStyle w:val="Compact"/>
              <w:jc w:val="left"/>
            </w:pPr>
            <w:r>
              <w:t xml:space="preserve">XAA out-of-the-box support includes Anthropic (Claude), Asana, Atlassian, Canva, Datadog, Figma, Glean, Linear, Notion, Slack, Supabase; XAA incorporated as the MCP Enterprise-Managed Authorization extension</w:t>
            </w:r>
          </w:p>
        </w:tc>
        <w:tc>
          <w:tcPr/>
          <w:p>
            <w:pPr>
              <w:pStyle w:val="Compact"/>
              <w:jc w:val="left"/>
            </w:pPr>
            <w:r>
              <w:t xml:space="preserve">Verified fact</w:t>
            </w:r>
          </w:p>
        </w:tc>
        <w:tc>
          <w:tcPr/>
          <w:p>
            <w:pPr>
              <w:pStyle w:val="Compact"/>
              <w:jc w:val="left"/>
            </w:pPr>
            <w:r>
              <w:t xml:space="preserve">A6-S099, A6-S035</w:t>
            </w:r>
          </w:p>
        </w:tc>
      </w:tr>
      <w:tr>
        <w:tc>
          <w:tcPr/>
          <w:p>
            <w:pPr>
              <w:pStyle w:val="Compact"/>
              <w:jc w:val="left"/>
            </w:pPr>
            <w:r>
              <w:t xml:space="preserve">Adoption signals</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Maturity</w:t>
            </w:r>
          </w:p>
        </w:tc>
        <w:tc>
          <w:tcPr/>
          <w:p>
            <w:pPr>
              <w:pStyle w:val="Compact"/>
              <w:jc w:val="left"/>
            </w:pPr>
            <w:r>
              <w:t xml:space="preserve">Core products GA (November 2025 to August 2026); Auth0 AI SDKs still flagged</w:t>
            </w:r>
            <w:r>
              <w:t xml:space="preserve"> </w:t>
            </w:r>
            <w:r>
              <w:t xml:space="preserve">‘</w:t>
            </w:r>
            <w:r>
              <w:t xml:space="preserve">under heavy development</w:t>
            </w:r>
            <w:r>
              <w:t xml:space="preserve">’</w:t>
            </w:r>
            <w:r>
              <w:t xml:space="preserve">; Okta Agent Gateway and Shadow AI Agent Discovery announced for Q3 2026 (not confirmed shipped); Auth0 Agent Gateway in beta</w:t>
            </w:r>
          </w:p>
        </w:tc>
        <w:tc>
          <w:tcPr/>
          <w:p>
            <w:pPr>
              <w:pStyle w:val="Compact"/>
              <w:jc w:val="left"/>
            </w:pPr>
            <w:r>
              <w:t xml:space="preserve">Verified fact</w:t>
            </w:r>
          </w:p>
        </w:tc>
        <w:tc>
          <w:tcPr/>
          <w:p>
            <w:pPr>
              <w:pStyle w:val="Compact"/>
              <w:jc w:val="left"/>
            </w:pPr>
            <w:r>
              <w:t xml:space="preserve">A6-S097, A6-S099, A6-S100, A6-S078, V2-S035</w:t>
            </w:r>
          </w:p>
        </w:tc>
      </w:tr>
      <w:tr>
        <w:tc>
          <w:tcPr/>
          <w:p>
            <w:pPr>
              <w:pStyle w:val="Compact"/>
              <w:jc w:val="left"/>
            </w:pPr>
            <w:r>
              <w:t xml:space="preserve">Deployment</w:t>
            </w:r>
          </w:p>
        </w:tc>
        <w:tc>
          <w:tcPr/>
          <w:p>
            <w:pPr>
              <w:pStyle w:val="Compact"/>
              <w:jc w:val="left"/>
            </w:pPr>
            <w:r>
              <w:t xml:space="preserve">saas: Yes (Okta and Auth0 cloud identity services); managed_cloud: Not publicly verified; vpc_byoc: Not publicly verified; private_cloud: Not publicly verified; self_hosted: Not publicly verified; on_prem: Not publicly verified</w:t>
            </w:r>
          </w:p>
        </w:tc>
        <w:tc>
          <w:tcPr/>
          <w:p>
            <w:pPr>
              <w:pStyle w:val="Compact"/>
            </w:pPr>
          </w:p>
        </w:tc>
        <w:tc>
          <w:tcPr/>
          <w:p>
            <w:pPr>
              <w:pStyle w:val="Compact"/>
            </w:pPr>
          </w:p>
        </w:tc>
      </w:tr>
    </w:tbl>
    <w:bookmarkEnd w:id="2154"/>
    <w:bookmarkStart w:id="2167" w:name="Xc6b7e6b919870197fb50b2c2976ecafed92d5d1"/>
    <w:p>
      <w:pPr>
        <w:pStyle w:val="Heading2"/>
      </w:pPr>
      <w:r>
        <w:t xml:space="preserve">Microsoft Entra Agent ID (</w:t>
      </w:r>
      <w:r>
        <w:rPr>
          <w:rStyle w:val="VerbatimChar"/>
        </w:rPr>
        <w:t xml:space="preserve">C4-entra-agent-id</w:t>
      </w:r>
      <w:r>
        <w:t xml:space="preserve">)</w:t>
      </w:r>
    </w:p>
    <w:p>
      <w:pPr>
        <w:pStyle w:val="FirstParagraph"/>
      </w:pPr>
      <w:r>
        <w:rPr>
          <w:bCs/>
          <w:b/>
        </w:rPr>
        <w:t xml:space="preserve">Tier:</w:t>
      </w:r>
      <w:r>
        <w:t xml:space="preserve"> </w:t>
      </w:r>
      <w:r>
        <w:t xml:space="preserve">Strategic ·</w:t>
      </w:r>
      <w:r>
        <w:t xml:space="preserve"> </w:t>
      </w:r>
      <w:r>
        <w:rPr>
          <w:bCs/>
          <w:b/>
        </w:rPr>
        <w:t xml:space="preserve">Flags:</w:t>
      </w:r>
      <w:r>
        <w:t xml:space="preserve"> </w:t>
      </w:r>
      <w:r>
        <w:t xml:space="preserve">none ·</w:t>
      </w:r>
      <w:r>
        <w:t xml:space="preserve"> </w:t>
      </w:r>
      <w:r>
        <w:rPr>
          <w:bCs/>
          <w:b/>
        </w:rPr>
        <w:t xml:space="preserve">Original graphic label:</w:t>
      </w:r>
      <w:r>
        <w:t xml:space="preserve"> </w:t>
      </w:r>
      <w:r>
        <w:t xml:space="preserve">not in graphic</w:t>
      </w:r>
    </w:p>
    <w:p>
      <w:pPr>
        <w:pStyle w:val="BodyText"/>
      </w:pPr>
      <w:r>
        <w:rPr>
          <w:iCs/>
          <w:i/>
        </w:rPr>
        <w:t xml:space="preserve">Rationale:</w:t>
      </w:r>
      <w:r>
        <w:t xml:space="preserve"> </w:t>
      </w:r>
      <w:r>
        <w:t xml:space="preserve">Strategic, conditional: where Entra is the workforce IdP; FS 3.50 is below the usual 3.6 because deployment and cost score 2, accepted because agent identity must live in the same directory as the delegating humans</w:t>
      </w:r>
      <w:r>
        <w:t xml:space="preserve"> </w:t>
      </w:r>
      <w:r>
        <w:rPr>
          <w:rStyle w:val="ClaimLabel"/>
        </w:rPr>
        <w:t xml:space="preserve">AJ</w:t>
      </w:r>
      <w:r>
        <w:t xml:space="preserve">.</w:t>
      </w:r>
    </w:p>
    <w:tbl>
      <w:tblPr>
        <w:tblStyle w:val="Table"/>
        <w:tblW w:type="pct" w:w="5000"/>
        <w:tblLook w:firstRow="1" w:lastRow="0" w:firstColumn="0" w:lastColumn="0" w:noHBand="0" w:noVBand="0" w:val="0020"/>
        <w:jc w:val="start"/>
      </w:tblPr>
      <w:tblGrid>
        <w:gridCol w:w="1545"/>
        <w:gridCol w:w="579"/>
        <w:gridCol w:w="5795"/>
      </w:tblGrid>
      <w:tr>
        <w:trPr>
          <w:tblHeader w:val="true"/>
        </w:trPr>
        <w:tc>
          <w:tcPr/>
          <w:p>
            <w:pPr>
              <w:pStyle w:val="Compact"/>
              <w:jc w:val="left"/>
            </w:pPr>
            <w:r>
              <w:t xml:space="preserve">Criterion</w:t>
            </w:r>
          </w:p>
        </w:tc>
        <w:tc>
          <w:tcPr/>
          <w:p>
            <w:pPr>
              <w:pStyle w:val="Compact"/>
              <w:jc w:val="right"/>
            </w:pPr>
            <w:r>
              <w:t xml:space="preserve">Score</w:t>
            </w:r>
          </w:p>
        </w:tc>
        <w:tc>
          <w:tcPr/>
          <w:p>
            <w:pPr>
              <w:pStyle w:val="Compact"/>
              <w:jc w:val="left"/>
            </w:pPr>
            <w:r>
              <w:t xml:space="preserve">Rationale</w:t>
            </w:r>
          </w:p>
        </w:tc>
      </w:tr>
      <w:tr>
        <w:tc>
          <w:tcPr/>
          <w:p>
            <w:pPr>
              <w:pStyle w:val="Compact"/>
              <w:jc w:val="left"/>
            </w:pPr>
            <w:r>
              <w:t xml:space="preserve">Technical</w:t>
            </w:r>
          </w:p>
        </w:tc>
        <w:tc>
          <w:tcPr/>
          <w:p>
            <w:pPr>
              <w:pStyle w:val="Compact"/>
              <w:jc w:val="right"/>
            </w:pPr>
            <w:r>
              <w:t xml:space="preserve">5</w:t>
            </w:r>
          </w:p>
        </w:tc>
        <w:tc>
          <w:tcPr/>
          <w:p>
            <w:pPr>
              <w:pStyle w:val="Compact"/>
              <w:jc w:val="left"/>
            </w:pPr>
            <w:r>
              <w:t xml:space="preserve">Blueprints, agent identities, OBO and autonomous flows, Conditional Access, governance, ID Protection and audit for agents.</w:t>
            </w:r>
          </w:p>
        </w:tc>
      </w:tr>
      <w:tr>
        <w:tc>
          <w:tcPr/>
          <w:p>
            <w:pPr>
              <w:pStyle w:val="Compact"/>
              <w:jc w:val="left"/>
            </w:pPr>
            <w:r>
              <w:t xml:space="preserve">Enterprise readiness</w:t>
            </w:r>
          </w:p>
        </w:tc>
        <w:tc>
          <w:tcPr/>
          <w:p>
            <w:pPr>
              <w:pStyle w:val="Compact"/>
              <w:jc w:val="right"/>
            </w:pPr>
            <w:r>
              <w:t xml:space="preserve">4</w:t>
            </w:r>
          </w:p>
        </w:tc>
        <w:tc>
          <w:tcPr/>
          <w:p>
            <w:pPr>
              <w:pStyle w:val="Compact"/>
              <w:jc w:val="left"/>
            </w:pPr>
            <w:r>
              <w:t xml:space="preserve">Hyperscaler presumption (CP2 Q1): platform controls presumed (CP2 Q1); confirm per service; access controls and audit logs for agents also verified (A6-S058).</w:t>
            </w:r>
          </w:p>
        </w:tc>
      </w:tr>
      <w:tr>
        <w:tc>
          <w:tcPr/>
          <w:p>
            <w:pPr>
              <w:pStyle w:val="Compact"/>
              <w:jc w:val="left"/>
            </w:pPr>
            <w:r>
              <w:t xml:space="preserve">Security and compliance</w:t>
            </w:r>
          </w:p>
        </w:tc>
        <w:tc>
          <w:tcPr/>
          <w:p>
            <w:pPr>
              <w:pStyle w:val="Compact"/>
              <w:jc w:val="right"/>
            </w:pPr>
            <w:r>
              <w:t xml:space="preserve">4</w:t>
            </w:r>
          </w:p>
        </w:tc>
        <w:tc>
          <w:tcPr/>
          <w:p>
            <w:pPr>
              <w:pStyle w:val="Compact"/>
              <w:jc w:val="left"/>
            </w:pPr>
            <w:r>
              <w:t xml:space="preserve">Entra ID in ISO 27001 (commercial) and FedRAMP High scope; commercial SOC 2 scope does not name it; Agent ID and Agent 365 not named separately (scope rule, 4).</w:t>
            </w:r>
          </w:p>
        </w:tc>
      </w:tr>
      <w:tr>
        <w:tc>
          <w:tcPr/>
          <w:p>
            <w:pPr>
              <w:pStyle w:val="Compact"/>
              <w:jc w:val="left"/>
            </w:pPr>
            <w:r>
              <w:t xml:space="preserve">Deployment flexibility</w:t>
            </w:r>
          </w:p>
        </w:tc>
        <w:tc>
          <w:tcPr/>
          <w:p>
            <w:pPr>
              <w:pStyle w:val="Compact"/>
              <w:jc w:val="right"/>
            </w:pPr>
            <w:r>
              <w:t xml:space="preserve">2</w:t>
            </w:r>
          </w:p>
        </w:tc>
        <w:tc>
          <w:tcPr/>
          <w:p>
            <w:pPr>
              <w:pStyle w:val="Compact"/>
              <w:jc w:val="left"/>
            </w:pPr>
            <w:r>
              <w:t xml:space="preserve">Microsoft cloud service only.</w:t>
            </w:r>
          </w:p>
        </w:tc>
      </w:tr>
      <w:tr>
        <w:tc>
          <w:tcPr/>
          <w:p>
            <w:pPr>
              <w:pStyle w:val="Compact"/>
              <w:jc w:val="left"/>
            </w:pPr>
            <w:r>
              <w:t xml:space="preserve">Ecosystem</w:t>
            </w:r>
          </w:p>
        </w:tc>
        <w:tc>
          <w:tcPr/>
          <w:p>
            <w:pPr>
              <w:pStyle w:val="Compact"/>
              <w:jc w:val="right"/>
            </w:pPr>
            <w:r>
              <w:t xml:space="preserve">4</w:t>
            </w:r>
          </w:p>
        </w:tc>
        <w:tc>
          <w:tcPr/>
          <w:p>
            <w:pPr>
              <w:pStyle w:val="Compact"/>
              <w:jc w:val="left"/>
            </w:pPr>
            <w:r>
              <w:t xml:space="preserve">Guides for Bedrock and n8n agents, MCP and A2A, workload identity federation.</w:t>
            </w:r>
          </w:p>
        </w:tc>
      </w:tr>
      <w:tr>
        <w:tc>
          <w:tcPr/>
          <w:p>
            <w:pPr>
              <w:pStyle w:val="Compact"/>
              <w:jc w:val="left"/>
            </w:pPr>
            <w:r>
              <w:t xml:space="preserve">Reliability and maturity</w:t>
            </w:r>
          </w:p>
        </w:tc>
        <w:tc>
          <w:tcPr/>
          <w:p>
            <w:pPr>
              <w:pStyle w:val="Compact"/>
              <w:jc w:val="right"/>
            </w:pPr>
            <w:r>
              <w:t xml:space="preserve">3</w:t>
            </w:r>
          </w:p>
        </w:tc>
        <w:tc>
          <w:tcPr/>
          <w:p>
            <w:pPr>
              <w:pStyle w:val="Compact"/>
              <w:jc w:val="left"/>
            </w:pPr>
            <w:r>
              <w:t xml:space="preserve">GA April 2026; parts still preview.</w:t>
            </w:r>
          </w:p>
        </w:tc>
      </w:tr>
      <w:tr>
        <w:tc>
          <w:tcPr/>
          <w:p>
            <w:pPr>
              <w:pStyle w:val="Compact"/>
              <w:jc w:val="left"/>
            </w:pPr>
            <w:r>
              <w:t xml:space="preserve">Cost / TCO</w:t>
            </w:r>
          </w:p>
        </w:tc>
        <w:tc>
          <w:tcPr/>
          <w:p>
            <w:pPr>
              <w:pStyle w:val="Compact"/>
              <w:jc w:val="right"/>
            </w:pPr>
            <w:r>
              <w:t xml:space="preserve">2</w:t>
            </w:r>
          </w:p>
        </w:tc>
        <w:tc>
          <w:tcPr/>
          <w:p>
            <w:pPr>
              <w:pStyle w:val="Compact"/>
              <w:jc w:val="left"/>
            </w:pPr>
            <w:r>
              <w:t xml:space="preserve">Agent 365 licence needed for security features; prices not verified.</w:t>
            </w:r>
          </w:p>
        </w:tc>
      </w:tr>
      <w:tr>
        <w:tc>
          <w:tcPr/>
          <w:p>
            <w:pPr>
              <w:pStyle w:val="Compact"/>
              <w:jc w:val="left"/>
            </w:pPr>
            <w:r>
              <w:t xml:space="preserve">Lock-in / portability</w:t>
            </w:r>
          </w:p>
        </w:tc>
        <w:tc>
          <w:tcPr/>
          <w:p>
            <w:pPr>
              <w:pStyle w:val="Compact"/>
              <w:jc w:val="right"/>
            </w:pPr>
            <w:r>
              <w:t xml:space="preserve">3</w:t>
            </w:r>
          </w:p>
        </w:tc>
        <w:tc>
          <w:tcPr/>
          <w:p>
            <w:pPr>
              <w:pStyle w:val="Compact"/>
              <w:jc w:val="left"/>
            </w:pPr>
            <w:r>
              <w:t xml:space="preserve">Standard OAuth/OIDC tokens, but proprietary agent constructs and licensing.</w:t>
            </w:r>
          </w:p>
        </w:tc>
      </w:tr>
      <w:tr>
        <w:tc>
          <w:tcPr/>
          <w:p>
            <w:pPr>
              <w:pStyle w:val="Compact"/>
              <w:jc w:val="left"/>
            </w:pPr>
            <w:r>
              <w:rPr>
                <w:bCs/>
                <w:b/>
              </w:rPr>
              <w:t xml:space="preserve">Total (generic / FS)</w:t>
            </w:r>
          </w:p>
        </w:tc>
        <w:tc>
          <w:tcPr/>
          <w:p>
            <w:pPr>
              <w:pStyle w:val="Compact"/>
              <w:jc w:val="right"/>
            </w:pPr>
            <w:r>
              <w:rPr>
                <w:bCs/>
                <w:b/>
              </w:rPr>
              <w:t xml:space="preserve">3.55 / 3.50</w:t>
            </w:r>
          </w:p>
        </w:tc>
        <w:tc>
          <w:tcPr/>
          <w:p>
            <w:pPr>
              <w:pStyle w:val="Compact"/>
            </w:pPr>
          </w:p>
        </w:tc>
      </w:tr>
    </w:tbl>
    <w:p>
      <w:pPr>
        <w:pStyle w:val="BodyText"/>
      </w:pPr>
      <w:r>
        <w:rPr>
          <w:bCs/>
          <w:b/>
        </w:rPr>
        <w:t xml:space="preserve">Capabilities.</w:t>
      </w:r>
      <w:r>
        <w:t xml:space="preserve"> </w:t>
      </w:r>
      <w:r>
        <w:t xml:space="preserve">Agent identity platform in Microsoft Entra: agent identity blueprints, agent identities, agent users, owners/sponsors/managers; OAuth client_credentials for autonomous agents, jwt-bearer On-Behalf-Of, refresh_token for long-running delegated work, no interactive flows; Conditional Access, ID Governance access packages, ID Protection, network controls and sign-in/audit logs extended to agents; supports MCP, A2A and non-Microsoft agents via sidecar SDK or workload identity federation</w:t>
      </w:r>
      <w:r>
        <w:t xml:space="preserve"> </w:t>
      </w:r>
      <w:r>
        <w:rPr>
          <w:rStyle w:val="ClaimLabel"/>
        </w:rPr>
        <w:t xml:space="preserve">VF</w:t>
      </w:r>
      <w:r>
        <w:rPr>
          <w:rStyle w:val="FootnoteReference"/>
        </w:rPr>
        <w:footnoteReference w:id="2155"/>
      </w:r>
      <w:r>
        <w:t xml:space="preserve">. GA April 2026</w:t>
      </w:r>
      <w:r>
        <w:t xml:space="preserve"> </w:t>
      </w:r>
      <w:r>
        <w:rPr>
          <w:rStyle w:val="ClaimLabel"/>
        </w:rPr>
        <w:t xml:space="preserve">VF</w:t>
      </w:r>
      <w:r>
        <w:rPr>
          <w:rStyle w:val="FootnoteReference"/>
        </w:rPr>
        <w:footnoteReference w:id="2158"/>
      </w:r>
      <w:r>
        <w:t xml:space="preserve">.</w:t>
      </w:r>
    </w:p>
    <w:p>
      <w:pPr>
        <w:pStyle w:val="BodyText"/>
      </w:pPr>
      <w:r>
        <w:rPr>
          <w:bCs/>
          <w:b/>
        </w:rPr>
        <w:t xml:space="preserve">Strengths</w:t>
      </w:r>
    </w:p>
    <w:p>
      <w:pPr>
        <w:numPr>
          <w:ilvl w:val="0"/>
          <w:numId w:val="1461"/>
        </w:numPr>
        <w:pStyle w:val="Compact"/>
      </w:pPr>
      <w:r>
        <w:t xml:space="preserve">Agent identity in the same directory as the human principals, so OBO delegation and Conditional Access apply natively</w:t>
      </w:r>
      <w:r>
        <w:t xml:space="preserve"> </w:t>
      </w:r>
      <w:r>
        <w:rPr>
          <w:rStyle w:val="ClaimLabel"/>
        </w:rPr>
        <w:t xml:space="preserve">AJ</w:t>
      </w:r>
    </w:p>
    <w:p>
      <w:pPr>
        <w:numPr>
          <w:ilvl w:val="0"/>
          <w:numId w:val="1461"/>
        </w:numPr>
        <w:pStyle w:val="Compact"/>
      </w:pPr>
      <w:r>
        <w:t xml:space="preserve">Explicit sponsor/owner model and access packages for agents</w:t>
      </w:r>
      <w:r>
        <w:t xml:space="preserve"> </w:t>
      </w:r>
      <w:r>
        <w:rPr>
          <w:rStyle w:val="ClaimLabel"/>
        </w:rPr>
        <w:t xml:space="preserve">VF</w:t>
      </w:r>
      <w:r>
        <w:rPr>
          <w:rStyle w:val="FootnoteReference"/>
        </w:rPr>
        <w:footnoteReference w:id="2160"/>
      </w:r>
    </w:p>
    <w:p>
      <w:pPr>
        <w:numPr>
          <w:ilvl w:val="0"/>
          <w:numId w:val="1461"/>
        </w:numPr>
        <w:pStyle w:val="Compact"/>
      </w:pPr>
      <w:r>
        <w:t xml:space="preserve">Standard OAuth flows; no interactive flows for agent entities</w:t>
      </w:r>
      <w:r>
        <w:t xml:space="preserve"> </w:t>
      </w:r>
      <w:r>
        <w:rPr>
          <w:rStyle w:val="ClaimLabel"/>
        </w:rPr>
        <w:t xml:space="preserve">VF</w:t>
      </w:r>
      <w:r>
        <w:rPr>
          <w:rStyle w:val="FootnoteReference"/>
        </w:rPr>
        <w:footnoteReference w:id="2161"/>
      </w:r>
    </w:p>
    <w:p>
      <w:pPr>
        <w:numPr>
          <w:ilvl w:val="0"/>
          <w:numId w:val="1461"/>
        </w:numPr>
        <w:pStyle w:val="Compact"/>
      </w:pPr>
      <w:r>
        <w:t xml:space="preserve">Entra ID in ISO 27001 and FedRAMP High scope</w:t>
      </w:r>
      <w:r>
        <w:t xml:space="preserve"> </w:t>
      </w:r>
      <w:r>
        <w:rPr>
          <w:rStyle w:val="ClaimLabel"/>
        </w:rPr>
        <w:t xml:space="preserve">VF</w:t>
      </w:r>
      <w:r>
        <w:rPr>
          <w:rStyle w:val="FootnoteReference"/>
        </w:rPr>
        <w:footnoteReference w:id="2162"/>
      </w:r>
    </w:p>
    <w:p>
      <w:pPr>
        <w:pStyle w:val="FirstParagraph"/>
      </w:pPr>
      <w:r>
        <w:rPr>
          <w:bCs/>
          <w:b/>
        </w:rPr>
        <w:t xml:space="preserve">Limitations and risks</w:t>
      </w:r>
    </w:p>
    <w:p>
      <w:pPr>
        <w:numPr>
          <w:ilvl w:val="0"/>
          <w:numId w:val="1462"/>
        </w:numPr>
        <w:pStyle w:val="Compact"/>
      </w:pPr>
      <w:r>
        <w:t xml:space="preserve">Security features (Conditional Access, ID Protection, governance) for agents need Microsoft Agent 365 licences (included in E7; add-on to E5/A5/Business Premium)</w:t>
      </w:r>
      <w:r>
        <w:t xml:space="preserve"> </w:t>
      </w:r>
      <w:r>
        <w:rPr>
          <w:rStyle w:val="ClaimLabel"/>
        </w:rPr>
        <w:t xml:space="preserve">VF</w:t>
      </w:r>
      <w:r>
        <w:rPr>
          <w:rStyle w:val="FootnoteReference"/>
        </w:rPr>
        <w:footnoteReference w:id="2163"/>
      </w:r>
    </w:p>
    <w:p>
      <w:pPr>
        <w:numPr>
          <w:ilvl w:val="0"/>
          <w:numId w:val="1462"/>
        </w:numPr>
        <w:pStyle w:val="Compact"/>
      </w:pPr>
      <w:r>
        <w:t xml:space="preserve">Microsoft-specific constructs (blueprints, agent users)</w:t>
      </w:r>
      <w:r>
        <w:t xml:space="preserve"> </w:t>
      </w:r>
      <w:r>
        <w:rPr>
          <w:rStyle w:val="ClaimLabel"/>
        </w:rPr>
        <w:t xml:space="preserve">VF</w:t>
      </w:r>
      <w:r>
        <w:rPr>
          <w:rStyle w:val="FootnoteReference"/>
        </w:rPr>
        <w:footnoteReference w:id="2165"/>
      </w:r>
    </w:p>
    <w:p>
      <w:pPr>
        <w:numPr>
          <w:ilvl w:val="0"/>
          <w:numId w:val="1462"/>
        </w:numPr>
        <w:pStyle w:val="Compact"/>
      </w:pPr>
      <w:r>
        <w:t xml:space="preserve">Some admin-centre wizards still preview; registry converging into Agent 365</w:t>
      </w:r>
      <w:r>
        <w:t xml:space="preserve"> </w:t>
      </w:r>
      <w:r>
        <w:rPr>
          <w:rStyle w:val="ClaimLabel"/>
        </w:rPr>
        <w:t xml:space="preserve">VF</w:t>
      </w:r>
      <w:r>
        <w:rPr>
          <w:rStyle w:val="FootnoteReference"/>
        </w:rPr>
        <w:footnoteReference w:id="2166"/>
      </w:r>
    </w:p>
    <w:p>
      <w:pPr>
        <w:numPr>
          <w:ilvl w:val="0"/>
          <w:numId w:val="1462"/>
        </w:numPr>
        <w:pStyle w:val="Compact"/>
      </w:pPr>
      <w:r>
        <w:t xml:space="preserve">Agent 365 list prices not verified</w:t>
      </w:r>
      <w:r>
        <w:t xml:space="preserve"> </w:t>
      </w:r>
      <w:r>
        <w:rPr>
          <w:rStyle w:val="ClaimLabel"/>
        </w:rPr>
        <w:t xml:space="preserve">NPV</w:t>
      </w:r>
    </w:p>
    <w:p>
      <w:pPr>
        <w:pStyle w:val="FirstParagraph"/>
      </w:pPr>
      <w:r>
        <w:rPr>
          <w:bCs/>
          <w:b/>
        </w:rPr>
        <w:t xml:space="preserve">Choose when</w:t>
      </w:r>
    </w:p>
    <w:p>
      <w:pPr>
        <w:numPr>
          <w:ilvl w:val="0"/>
          <w:numId w:val="1463"/>
        </w:numPr>
        <w:pStyle w:val="Compact"/>
      </w:pPr>
      <w:r>
        <w:t xml:space="preserve">Entra is the workforce IdP</w:t>
      </w:r>
      <w:r>
        <w:t xml:space="preserve"> </w:t>
      </w:r>
      <w:r>
        <w:rPr>
          <w:rStyle w:val="ClaimLabel"/>
        </w:rPr>
        <w:t xml:space="preserve">AJ</w:t>
      </w:r>
    </w:p>
    <w:p>
      <w:pPr>
        <w:numPr>
          <w:ilvl w:val="0"/>
          <w:numId w:val="1463"/>
        </w:numPr>
        <w:pStyle w:val="Compact"/>
      </w:pPr>
      <w:r>
        <w:t xml:space="preserve">Copilot Studio or Foundry agents are in the estate</w:t>
      </w:r>
      <w:r>
        <w:t xml:space="preserve"> </w:t>
      </w:r>
      <w:r>
        <w:rPr>
          <w:rStyle w:val="ClaimLabel"/>
        </w:rPr>
        <w:t xml:space="preserve">AJ</w:t>
      </w:r>
    </w:p>
    <w:p>
      <w:pPr>
        <w:pStyle w:val="FirstParagraph"/>
      </w:pPr>
      <w:r>
        <w:rPr>
          <w:bCs/>
          <w:b/>
        </w:rPr>
        <w:t xml:space="preserve">Avoid when</w:t>
      </w:r>
    </w:p>
    <w:p>
      <w:pPr>
        <w:numPr>
          <w:ilvl w:val="0"/>
          <w:numId w:val="1464"/>
        </w:numPr>
        <w:pStyle w:val="Compact"/>
      </w:pPr>
      <w:r>
        <w:t xml:space="preserve">Okta is the workforce IdP and Entra would be a second identity plane</w:t>
      </w:r>
      <w:r>
        <w:t xml:space="preserve"> </w:t>
      </w:r>
      <w:r>
        <w:rPr>
          <w:rStyle w:val="ClaimLabel"/>
        </w:rPr>
        <w:t xml:space="preserve">AJ</w:t>
      </w:r>
    </w:p>
    <w:p>
      <w:pPr>
        <w:pStyle w:val="FirstParagraph"/>
      </w:pPr>
      <w:r>
        <w:rPr>
          <w:bCs/>
          <w:b/>
        </w:rPr>
        <w:t xml:space="preserve">Nearest competitors:</w:t>
      </w:r>
      <w:r>
        <w:t xml:space="preserve"> </w:t>
      </w:r>
      <w:r>
        <w:t xml:space="preserve">C4-okta-auth0-ai-agents, C7-hashicorp-vault, Amazon Bedrock AgentCore Identity</w:t>
      </w:r>
    </w:p>
    <w:p>
      <w:pPr>
        <w:pStyle w:val="BodyText"/>
      </w:pPr>
      <w:r>
        <w:rPr>
          <w:bCs/>
          <w:b/>
        </w:rPr>
        <w:t xml:space="preserve">Regulated-FS note.</w:t>
      </w:r>
      <w:r>
        <w:t xml:space="preserve"> </w:t>
      </w:r>
      <w:r>
        <w:t xml:space="preserve">Register every agent with a named sponsor, use OBO for user-initiated work, and budget Agent 365 licensing before relying on Conditional Access for agents; platform controls presumed (CP2 Q1); confirm per service</w:t>
      </w:r>
      <w:r>
        <w:t xml:space="preserve"> </w:t>
      </w:r>
      <w:r>
        <w:rPr>
          <w:rStyle w:val="ClaimLabel"/>
        </w:rPr>
        <w:t xml:space="preserve">Rec</w:t>
      </w:r>
      <w:r>
        <w:t xml:space="preserve">.</w:t>
      </w:r>
    </w:p>
    <w:p>
      <w:pPr>
        <w:pStyle w:val="BodyText"/>
      </w:pPr>
      <w:r>
        <w:rPr>
          <w:bCs/>
          <w:b/>
        </w:rPr>
        <w:t xml:space="preserve">Facts (as of 2026-10-08)</w:t>
      </w:r>
    </w:p>
    <w:tbl>
      <w:tblPr>
        <w:tblStyle w:val="Table"/>
        <w:tblW w:type="pct" w:w="5000"/>
        <w:tblLook w:firstRow="1" w:lastRow="0" w:firstColumn="0" w:lastColumn="0" w:noHBand="0" w:noVBand="0" w:val="0020"/>
        <w:jc w:val="start"/>
      </w:tblPr>
      <w:tblGrid>
        <w:gridCol w:w="1485"/>
        <w:gridCol w:w="4290"/>
        <w:gridCol w:w="1320"/>
        <w:gridCol w:w="825"/>
      </w:tblGrid>
      <w:tr>
        <w:trPr>
          <w:tblHeader w:val="true"/>
        </w:trPr>
        <w:tc>
          <w:tcPr/>
          <w:p>
            <w:pPr>
              <w:pStyle w:val="Compact"/>
              <w:jc w:val="left"/>
            </w:pPr>
            <w:r>
              <w:t xml:space="preserve">Field</w:t>
            </w:r>
          </w:p>
        </w:tc>
        <w:tc>
          <w:tcPr/>
          <w:p>
            <w:pPr>
              <w:pStyle w:val="Compact"/>
              <w:jc w:val="left"/>
            </w:pPr>
            <w:r>
              <w:t xml:space="preserve">Value</w:t>
            </w:r>
          </w:p>
        </w:tc>
        <w:tc>
          <w:tcPr/>
          <w:p>
            <w:pPr>
              <w:pStyle w:val="Compact"/>
              <w:jc w:val="left"/>
            </w:pPr>
            <w:r>
              <w:t xml:space="preserve">Label</w:t>
            </w:r>
          </w:p>
        </w:tc>
        <w:tc>
          <w:tcPr/>
          <w:p>
            <w:pPr>
              <w:pStyle w:val="Compact"/>
              <w:jc w:val="left"/>
            </w:pPr>
            <w:r>
              <w:t xml:space="preserve">Sources</w:t>
            </w:r>
          </w:p>
        </w:tc>
      </w:tr>
      <w:tr>
        <w:tc>
          <w:tcPr/>
          <w:p>
            <w:pPr>
              <w:pStyle w:val="Compact"/>
              <w:jc w:val="left"/>
            </w:pPr>
            <w:r>
              <w:t xml:space="preserve">Company</w:t>
            </w:r>
          </w:p>
        </w:tc>
        <w:tc>
          <w:tcPr/>
          <w:p>
            <w:pPr>
              <w:pStyle w:val="Compact"/>
              <w:jc w:val="left"/>
            </w:pPr>
            <w:r>
              <w:t xml:space="preserve">Microsoft</w:t>
            </w:r>
          </w:p>
        </w:tc>
        <w:tc>
          <w:tcPr/>
          <w:p>
            <w:pPr>
              <w:pStyle w:val="Compact"/>
              <w:jc w:val="left"/>
            </w:pPr>
            <w:r>
              <w:t xml:space="preserve">Verified fact</w:t>
            </w:r>
          </w:p>
        </w:tc>
        <w:tc>
          <w:tcPr/>
          <w:p>
            <w:pPr>
              <w:pStyle w:val="Compact"/>
              <w:jc w:val="left"/>
            </w:pPr>
            <w:r>
              <w:t xml:space="preserve">A6-S057</w:t>
            </w:r>
          </w:p>
        </w:tc>
      </w:tr>
      <w:tr>
        <w:tc>
          <w:tcPr/>
          <w:p>
            <w:pPr>
              <w:pStyle w:val="Compact"/>
              <w:jc w:val="left"/>
            </w:pPr>
            <w:r>
              <w:t xml:space="preserve">Category</w:t>
            </w:r>
          </w:p>
        </w:tc>
        <w:tc>
          <w:tcPr/>
          <w:p>
            <w:pPr>
              <w:pStyle w:val="Compact"/>
              <w:jc w:val="left"/>
            </w:pPr>
            <w:r>
              <w:t xml:space="preserve">Agent identity platform within Microsoft Entra (identity provider for AI agents)</w:t>
            </w:r>
          </w:p>
        </w:tc>
        <w:tc>
          <w:tcPr/>
          <w:p>
            <w:pPr>
              <w:pStyle w:val="Compact"/>
              <w:jc w:val="left"/>
            </w:pPr>
            <w:r>
              <w:t xml:space="preserve">Verified fact</w:t>
            </w:r>
          </w:p>
        </w:tc>
        <w:tc>
          <w:tcPr/>
          <w:p>
            <w:pPr>
              <w:pStyle w:val="Compact"/>
              <w:jc w:val="left"/>
            </w:pPr>
            <w:r>
              <w:t xml:space="preserve">A6-S057</w:t>
            </w:r>
          </w:p>
        </w:tc>
      </w:tr>
      <w:tr>
        <w:tc>
          <w:tcPr/>
          <w:p>
            <w:pPr>
              <w:pStyle w:val="Compact"/>
              <w:jc w:val="left"/>
            </w:pPr>
            <w:r>
              <w:t xml:space="preserve">Version / lineup</w:t>
            </w:r>
          </w:p>
        </w:tc>
        <w:tc>
          <w:tcPr/>
          <w:p>
            <w:pPr>
              <w:pStyle w:val="Compact"/>
              <w:jc w:val="left"/>
            </w:pPr>
            <w:r>
              <w:t xml:space="preserve">Generally available (Entra release log lists GA under April 2026; What’s new page dated 1 May 2026); some admin-centre creation wizards still preview</w:t>
            </w:r>
          </w:p>
        </w:tc>
        <w:tc>
          <w:tcPr/>
          <w:p>
            <w:pPr>
              <w:pStyle w:val="Compact"/>
              <w:jc w:val="left"/>
            </w:pPr>
            <w:r>
              <w:t xml:space="preserve">Verified fact</w:t>
            </w:r>
          </w:p>
        </w:tc>
        <w:tc>
          <w:tcPr/>
          <w:p>
            <w:pPr>
              <w:pStyle w:val="Compact"/>
              <w:jc w:val="left"/>
            </w:pPr>
            <w:r>
              <w:t xml:space="preserve">A6-S058, V2-S032</w:t>
            </w:r>
          </w:p>
        </w:tc>
      </w:tr>
      <w:tr>
        <w:tc>
          <w:tcPr/>
          <w:p>
            <w:pPr>
              <w:pStyle w:val="Compact"/>
              <w:jc w:val="left"/>
            </w:pPr>
            <w:r>
              <w:t xml:space="preserve">Licence</w:t>
            </w:r>
          </w:p>
        </w:tc>
        <w:tc>
          <w:tcPr/>
          <w:p>
            <w:pPr>
              <w:pStyle w:val="Compact"/>
              <w:jc w:val="left"/>
            </w:pPr>
            <w:r>
              <w:t xml:space="preserve">Proprietary; Agent ID available to all Microsoft Entra customers; Entra security features for agents require Microsoft Agent 365 licences</w:t>
            </w:r>
          </w:p>
        </w:tc>
        <w:tc>
          <w:tcPr/>
          <w:p>
            <w:pPr>
              <w:pStyle w:val="Compact"/>
              <w:jc w:val="left"/>
            </w:pPr>
            <w:r>
              <w:t xml:space="preserve">Verified fact</w:t>
            </w:r>
          </w:p>
        </w:tc>
        <w:tc>
          <w:tcPr/>
          <w:p>
            <w:pPr>
              <w:pStyle w:val="Compact"/>
              <w:jc w:val="left"/>
            </w:pPr>
            <w:r>
              <w:t xml:space="preserve">A6-S059</w:t>
            </w:r>
          </w:p>
        </w:tc>
      </w:tr>
      <w:tr>
        <w:tc>
          <w:tcPr/>
          <w:p>
            <w:pPr>
              <w:pStyle w:val="Compact"/>
              <w:jc w:val="left"/>
            </w:pPr>
            <w:r>
              <w:t xml:space="preserve">Status events</w:t>
            </w:r>
          </w:p>
        </w:tc>
        <w:tc>
          <w:tcPr/>
          <w:p>
            <w:pPr>
              <w:pStyle w:val="Compact"/>
              <w:jc w:val="left"/>
            </w:pPr>
            <w:r>
              <w:t xml:space="preserve">April 2026: Entra Agent ID generally available (Entra release log); agent registry converging under Microsoft Agent 365</w:t>
            </w:r>
          </w:p>
        </w:tc>
        <w:tc>
          <w:tcPr/>
          <w:p>
            <w:pPr>
              <w:pStyle w:val="Compact"/>
              <w:jc w:val="left"/>
            </w:pPr>
            <w:r>
              <w:t xml:space="preserve">Verified fact</w:t>
            </w:r>
          </w:p>
        </w:tc>
        <w:tc>
          <w:tcPr/>
          <w:p>
            <w:pPr>
              <w:pStyle w:val="Compact"/>
              <w:jc w:val="left"/>
            </w:pPr>
            <w:r>
              <w:t xml:space="preserve">A6-S058, V2-S032</w:t>
            </w:r>
          </w:p>
        </w:tc>
      </w:tr>
      <w:tr>
        <w:tc>
          <w:tcPr/>
          <w:p>
            <w:pPr>
              <w:pStyle w:val="Compact"/>
              <w:jc w:val="left"/>
            </w:pPr>
            <w:r>
              <w:t xml:space="preserve">Strategic direction</w:t>
            </w:r>
          </w:p>
        </w:tc>
        <w:tc>
          <w:tcPr/>
          <w:p>
            <w:pPr>
              <w:pStyle w:val="Compact"/>
              <w:jc w:val="left"/>
            </w:pPr>
            <w:r>
              <w:t xml:space="preserve">Identity foundation for Microsoft Agent 365 (agent registry converging there); extends Zero Trust controls to agents; supports non-Microsoft agents (AWS Bedrock, GCP, n8n) via Entra ID Auth SDK sidecar or workload identity federation</w:t>
            </w:r>
          </w:p>
        </w:tc>
        <w:tc>
          <w:tcPr/>
          <w:p>
            <w:pPr>
              <w:pStyle w:val="Compact"/>
              <w:jc w:val="left"/>
            </w:pPr>
            <w:r>
              <w:t xml:space="preserve">Verified fact</w:t>
            </w:r>
          </w:p>
        </w:tc>
        <w:tc>
          <w:tcPr/>
          <w:p>
            <w:pPr>
              <w:pStyle w:val="Compact"/>
              <w:jc w:val="left"/>
            </w:pPr>
            <w:r>
              <w:t xml:space="preserve">A6-S058, A6-S057</w:t>
            </w:r>
          </w:p>
        </w:tc>
      </w:tr>
      <w:tr>
        <w:tc>
          <w:tcPr/>
          <w:p>
            <w:pPr>
              <w:pStyle w:val="Compact"/>
              <w:jc w:val="left"/>
            </w:pPr>
            <w:r>
              <w:t xml:space="preserve">What it does</w:t>
            </w:r>
          </w:p>
        </w:tc>
        <w:tc>
          <w:tcPr/>
          <w:p>
            <w:pPr>
              <w:pStyle w:val="Compact"/>
              <w:jc w:val="left"/>
            </w:pPr>
            <w:r>
              <w:t xml:space="preserve">Creates and manages agent identities from agent identity blueprints (parent-child templates), agent service principals and agents’ user accounts with owners, sponsors and managers; applies Conditional Access, ID Governance (access packages for OBO and autonomous scenarios), ID Protection (risky agents), network controls and sign-in/audit logs to agents.</w:t>
            </w:r>
          </w:p>
        </w:tc>
        <w:tc>
          <w:tcPr/>
          <w:p>
            <w:pPr>
              <w:pStyle w:val="Compact"/>
              <w:jc w:val="left"/>
            </w:pPr>
            <w:r>
              <w:t xml:space="preserve">Verified fact</w:t>
            </w:r>
          </w:p>
        </w:tc>
        <w:tc>
          <w:tcPr/>
          <w:p>
            <w:pPr>
              <w:pStyle w:val="Compact"/>
              <w:jc w:val="left"/>
            </w:pPr>
            <w:r>
              <w:t xml:space="preserve">A6-S057, A6-S058</w:t>
            </w:r>
          </w:p>
        </w:tc>
      </w:tr>
      <w:tr>
        <w:tc>
          <w:tcPr/>
          <w:p>
            <w:pPr>
              <w:pStyle w:val="Compact"/>
              <w:jc w:val="left"/>
            </w:pPr>
            <w:r>
              <w:t xml:space="preserve">Stack position</w:t>
            </w:r>
          </w:p>
        </w:tc>
        <w:tc>
          <w:tcPr/>
          <w:p>
            <w:pPr>
              <w:pStyle w:val="Compact"/>
              <w:jc w:val="left"/>
            </w:pPr>
            <w:r>
              <w:t xml:space="preserve">Identity provider and authorisation server for agents; sits beside the agent runtime and tool layer</w:t>
            </w:r>
          </w:p>
        </w:tc>
        <w:tc>
          <w:tcPr/>
          <w:p>
            <w:pPr>
              <w:pStyle w:val="Compact"/>
              <w:jc w:val="left"/>
            </w:pPr>
            <w:r>
              <w:t xml:space="preserve">Verified fact</w:t>
            </w:r>
          </w:p>
        </w:tc>
        <w:tc>
          <w:tcPr/>
          <w:p>
            <w:pPr>
              <w:pStyle w:val="Compact"/>
              <w:jc w:val="left"/>
            </w:pPr>
            <w:r>
              <w:t xml:space="preserve">A6-S057</w:t>
            </w:r>
          </w:p>
        </w:tc>
      </w:tr>
      <w:tr>
        <w:tc>
          <w:tcPr/>
          <w:p>
            <w:pPr>
              <w:pStyle w:val="Compact"/>
              <w:jc w:val="left"/>
            </w:pPr>
            <w:r>
              <w:t xml:space="preserve">Integration</w:t>
            </w:r>
          </w:p>
        </w:tc>
        <w:tc>
          <w:tcPr/>
          <w:p>
            <w:pPr>
              <w:pStyle w:val="Compact"/>
              <w:jc w:val="left"/>
            </w:pPr>
            <w:r>
              <w:t xml:space="preserve">OAuth 2.0 with Federated Identity Credentials: client_credentials for autonomous agents, jwt-bearer for On-Behalf-Of delegation, refresh_token for long-running user-delegated work; no interactive flows for agent entities; supports MCP and A2A</w:t>
            </w:r>
          </w:p>
        </w:tc>
        <w:tc>
          <w:tcPr/>
          <w:p>
            <w:pPr>
              <w:pStyle w:val="Compact"/>
              <w:jc w:val="left"/>
            </w:pPr>
            <w:r>
              <w:t xml:space="preserve">Verified fact</w:t>
            </w:r>
          </w:p>
        </w:tc>
        <w:tc>
          <w:tcPr/>
          <w:p>
            <w:pPr>
              <w:pStyle w:val="Compact"/>
              <w:jc w:val="left"/>
            </w:pPr>
            <w:r>
              <w:t xml:space="preserve">A6-S060, A6-S057</w:t>
            </w:r>
          </w:p>
        </w:tc>
      </w:tr>
      <w:tr>
        <w:tc>
          <w:tcPr/>
          <w:p>
            <w:pPr>
              <w:pStyle w:val="Compact"/>
              <w:jc w:val="left"/>
            </w:pPr>
            <w:r>
              <w:t xml:space="preserve">Dependencies</w:t>
            </w:r>
          </w:p>
        </w:tc>
        <w:tc>
          <w:tcPr/>
          <w:p>
            <w:pPr>
              <w:pStyle w:val="Compact"/>
              <w:jc w:val="left"/>
            </w:pPr>
            <w:r>
              <w:t xml:space="preserve">Microsoft Entra tenant; Microsoft Agent 365 licences for security features</w:t>
            </w:r>
          </w:p>
        </w:tc>
        <w:tc>
          <w:tcPr/>
          <w:p>
            <w:pPr>
              <w:pStyle w:val="Compact"/>
              <w:jc w:val="left"/>
            </w:pPr>
            <w:r>
              <w:t xml:space="preserve">Verified fact</w:t>
            </w:r>
          </w:p>
        </w:tc>
        <w:tc>
          <w:tcPr/>
          <w:p>
            <w:pPr>
              <w:pStyle w:val="Compact"/>
              <w:jc w:val="left"/>
            </w:pPr>
            <w:r>
              <w:t xml:space="preserve">A6-S059</w:t>
            </w:r>
          </w:p>
        </w:tc>
      </w:tr>
      <w:tr>
        <w:tc>
          <w:tcPr/>
          <w:p>
            <w:pPr>
              <w:pStyle w:val="Compact"/>
              <w:jc w:val="left"/>
            </w:pPr>
            <w:r>
              <w:t xml:space="preserve">Certifications</w:t>
            </w:r>
          </w:p>
        </w:tc>
        <w:tc>
          <w:tcPr/>
          <w:p>
            <w:pPr>
              <w:pStyle w:val="Compact"/>
              <w:jc w:val="left"/>
            </w:pPr>
            <w:r>
              <w:t xml:space="preserve">Microsoft Entra ID (P1/P2) and Entra ID Governance in Azure FedRAMP High scope (Agent ID not listed separately)</w:t>
            </w:r>
          </w:p>
        </w:tc>
        <w:tc>
          <w:tcPr/>
          <w:p>
            <w:pPr>
              <w:pStyle w:val="Compact"/>
              <w:jc w:val="left"/>
            </w:pPr>
            <w:r>
              <w:t xml:space="preserve">Verified fact</w:t>
            </w:r>
          </w:p>
        </w:tc>
        <w:tc>
          <w:tcPr/>
          <w:p>
            <w:pPr>
              <w:pStyle w:val="Compact"/>
              <w:jc w:val="left"/>
            </w:pPr>
            <w:r>
              <w:t xml:space="preserve">A6-S056</w:t>
            </w:r>
          </w:p>
        </w:tc>
      </w:tr>
      <w:tr>
        <w:tc>
          <w:tcPr/>
          <w:p>
            <w:pPr>
              <w:pStyle w:val="Compact"/>
              <w:jc w:val="left"/>
            </w:pPr>
            <w:r>
              <w:t xml:space="preserve">GDPR / residency</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Security features</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Access controls</w:t>
            </w:r>
          </w:p>
        </w:tc>
        <w:tc>
          <w:tcPr/>
          <w:p>
            <w:pPr>
              <w:pStyle w:val="Compact"/>
              <w:jc w:val="left"/>
            </w:pPr>
            <w:r>
              <w:t xml:space="preserve">Conditional Access for agents; access packages; sponsor lifecycle workflows; sign-in and audit logs for agents</w:t>
            </w:r>
          </w:p>
        </w:tc>
        <w:tc>
          <w:tcPr/>
          <w:p>
            <w:pPr>
              <w:pStyle w:val="Compact"/>
              <w:jc w:val="left"/>
            </w:pPr>
            <w:r>
              <w:t xml:space="preserve">Verified fact</w:t>
            </w:r>
          </w:p>
        </w:tc>
        <w:tc>
          <w:tcPr/>
          <w:p>
            <w:pPr>
              <w:pStyle w:val="Compact"/>
              <w:jc w:val="left"/>
            </w:pPr>
            <w:r>
              <w:t xml:space="preserve">A6-S058</w:t>
            </w:r>
          </w:p>
        </w:tc>
      </w:tr>
      <w:tr>
        <w:tc>
          <w:tcPr/>
          <w:p>
            <w:pPr>
              <w:pStyle w:val="Compact"/>
              <w:jc w:val="left"/>
            </w:pPr>
            <w:r>
              <w:t xml:space="preserve">Enterprise support</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Pricing</w:t>
            </w:r>
          </w:p>
        </w:tc>
        <w:tc>
          <w:tcPr/>
          <w:p>
            <w:pPr>
              <w:pStyle w:val="Compact"/>
              <w:jc w:val="left"/>
            </w:pPr>
            <w:r>
              <w:t xml:space="preserve">Agent ID included for Entra customers; Agent 365 per-user licence required for security extensions (included in Microsoft 365 E7); list prices not verified</w:t>
            </w:r>
          </w:p>
        </w:tc>
        <w:tc>
          <w:tcPr/>
          <w:p>
            <w:pPr>
              <w:pStyle w:val="Compact"/>
              <w:jc w:val="left"/>
            </w:pPr>
            <w:r>
              <w:t xml:space="preserve">Verified fact</w:t>
            </w:r>
          </w:p>
        </w:tc>
        <w:tc>
          <w:tcPr/>
          <w:p>
            <w:pPr>
              <w:pStyle w:val="Compact"/>
              <w:jc w:val="left"/>
            </w:pPr>
            <w:r>
              <w:t xml:space="preserve">A6-S059</w:t>
            </w:r>
          </w:p>
        </w:tc>
      </w:tr>
      <w:tr>
        <w:tc>
          <w:tcPr/>
          <w:p>
            <w:pPr>
              <w:pStyle w:val="Compact"/>
              <w:jc w:val="left"/>
            </w:pPr>
            <w:r>
              <w:t xml:space="preserve">Infrastructure cost</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Ecosystem</w:t>
            </w:r>
          </w:p>
        </w:tc>
        <w:tc>
          <w:tcPr/>
          <w:p>
            <w:pPr>
              <w:pStyle w:val="Compact"/>
              <w:jc w:val="left"/>
            </w:pPr>
            <w:r>
              <w:t xml:space="preserve">Guides for securing Amazon Bedrock and n8n agents; migration of Copilot Studio agents and custom app registrations</w:t>
            </w:r>
          </w:p>
        </w:tc>
        <w:tc>
          <w:tcPr/>
          <w:p>
            <w:pPr>
              <w:pStyle w:val="Compact"/>
              <w:jc w:val="left"/>
            </w:pPr>
            <w:r>
              <w:t xml:space="preserve">Verified fact</w:t>
            </w:r>
          </w:p>
        </w:tc>
        <w:tc>
          <w:tcPr/>
          <w:p>
            <w:pPr>
              <w:pStyle w:val="Compact"/>
              <w:jc w:val="left"/>
            </w:pPr>
            <w:r>
              <w:t xml:space="preserve">A6-S058</w:t>
            </w:r>
          </w:p>
        </w:tc>
      </w:tr>
      <w:tr>
        <w:tc>
          <w:tcPr/>
          <w:p>
            <w:pPr>
              <w:pStyle w:val="Compact"/>
              <w:jc w:val="left"/>
            </w:pPr>
            <w:r>
              <w:t xml:space="preserve">Adoption signals</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Maturity</w:t>
            </w:r>
          </w:p>
        </w:tc>
        <w:tc>
          <w:tcPr/>
          <w:p>
            <w:pPr>
              <w:pStyle w:val="Compact"/>
              <w:jc w:val="left"/>
            </w:pPr>
            <w:r>
              <w:t xml:space="preserve">GA in April 2026 after preview (announced at Microsoft Build 2025); documentation marks some features as new or preview</w:t>
            </w:r>
          </w:p>
        </w:tc>
        <w:tc>
          <w:tcPr/>
          <w:p>
            <w:pPr>
              <w:pStyle w:val="Compact"/>
              <w:jc w:val="left"/>
            </w:pPr>
            <w:r>
              <w:t xml:space="preserve">Verified fact</w:t>
            </w:r>
          </w:p>
        </w:tc>
        <w:tc>
          <w:tcPr/>
          <w:p>
            <w:pPr>
              <w:pStyle w:val="Compact"/>
              <w:jc w:val="left"/>
            </w:pPr>
            <w:r>
              <w:t xml:space="preserve">A6-S058, V2-S032</w:t>
            </w:r>
          </w:p>
        </w:tc>
      </w:tr>
      <w:tr>
        <w:tc>
          <w:tcPr/>
          <w:p>
            <w:pPr>
              <w:pStyle w:val="Compact"/>
              <w:jc w:val="left"/>
            </w:pPr>
            <w:r>
              <w:t xml:space="preserve">Deployment</w:t>
            </w:r>
          </w:p>
        </w:tc>
        <w:tc>
          <w:tcPr/>
          <w:p>
            <w:pPr>
              <w:pStyle w:val="Compact"/>
              <w:jc w:val="left"/>
            </w:pPr>
            <w:r>
              <w:t xml:space="preserve">saas: Yes (Microsoft Entra cloud service); managed_cloud: Not publicly verified; vpc_byoc: Not publicly verified; private_cloud: Not publicly verified; self_hosted: Not publicly verified; on_prem: Not publicly verified</w:t>
            </w:r>
          </w:p>
        </w:tc>
        <w:tc>
          <w:tcPr/>
          <w:p>
            <w:pPr>
              <w:pStyle w:val="Compact"/>
            </w:pPr>
          </w:p>
        </w:tc>
        <w:tc>
          <w:tcPr/>
          <w:p>
            <w:pPr>
              <w:pStyle w:val="Compact"/>
            </w:pPr>
          </w:p>
        </w:tc>
      </w:tr>
    </w:tbl>
    <w:bookmarkEnd w:id="2167"/>
    <w:bookmarkStart w:id="2180" w:name="Xe7f7f0305b1d809fb7076b766f7fb10e9930f12"/>
    <w:p>
      <w:pPr>
        <w:pStyle w:val="Heading2"/>
      </w:pPr>
      <w:r>
        <w:t xml:space="preserve">MCP Authorization (MCP specification 2026-07-28) plus Enterprise-Managed Authorization extension (</w:t>
      </w:r>
      <w:r>
        <w:rPr>
          <w:rStyle w:val="VerbatimChar"/>
        </w:rPr>
        <w:t xml:space="preserve">C4-mcp-authorization</w:t>
      </w:r>
      <w:r>
        <w:t xml:space="preserve">)</w:t>
      </w:r>
    </w:p>
    <w:p>
      <w:pPr>
        <w:pStyle w:val="FirstParagraph"/>
      </w:pPr>
      <w:r>
        <w:rPr>
          <w:bCs/>
          <w:b/>
        </w:rPr>
        <w:t xml:space="preserve">Tier:</w:t>
      </w:r>
      <w:r>
        <w:t xml:space="preserve"> </w:t>
      </w:r>
      <w:r>
        <w:t xml:space="preserve">Strategic ·</w:t>
      </w:r>
      <w:r>
        <w:t xml:space="preserve"> </w:t>
      </w:r>
      <w:r>
        <w:rPr>
          <w:bCs/>
          <w:b/>
        </w:rPr>
        <w:t xml:space="preserve">Flags:</w:t>
      </w:r>
      <w:r>
        <w:t xml:space="preserve"> </w:t>
      </w:r>
      <w:r>
        <w:t xml:space="preserve">none ·</w:t>
      </w:r>
      <w:r>
        <w:t xml:space="preserve"> </w:t>
      </w:r>
      <w:r>
        <w:rPr>
          <w:bCs/>
          <w:b/>
        </w:rPr>
        <w:t xml:space="preserve">Original graphic label:</w:t>
      </w:r>
      <w:r>
        <w:t xml:space="preserve"> </w:t>
      </w:r>
      <w:r>
        <w:t xml:space="preserve">not in graphic</w:t>
      </w:r>
    </w:p>
    <w:p>
      <w:pPr>
        <w:pStyle w:val="BodyText"/>
      </w:pPr>
      <w:r>
        <w:rPr>
          <w:iCs/>
          <w:i/>
        </w:rPr>
        <w:t xml:space="preserve">Rationale:</w:t>
      </w:r>
      <w:r>
        <w:t xml:space="preserve"> </w:t>
      </w:r>
      <w:r>
        <w:t xml:space="preserve">Strategic, conditional: only behind a gateway with mandatory authorisation, an allow-list and pinned tool definitions. Tier set by the reader at Checkpoint 3 (CP3 Q1): MCP (L4-mcp) and its authorisation profile are one decision. FS 3.45 and reliability 2 (IETF drafts, four breaking revisions) are why the condition includes pinning the specification revision at the gateway. Conflict of interest: MCP originated at Anthropic and the author is an Anthropic model</w:t>
      </w:r>
      <w:r>
        <w:t xml:space="preserve"> </w:t>
      </w:r>
      <w:r>
        <w:rPr>
          <w:rStyle w:val="ClaimLabel"/>
        </w:rPr>
        <w:t xml:space="preserve">AJ</w:t>
      </w:r>
      <w:r>
        <w:t xml:space="preserve">.</w:t>
      </w:r>
    </w:p>
    <w:tbl>
      <w:tblPr>
        <w:tblStyle w:val="Table"/>
        <w:tblW w:type="pct" w:w="5000"/>
        <w:tblLook w:firstRow="1" w:lastRow="0" w:firstColumn="0" w:lastColumn="0" w:noHBand="0" w:noVBand="0" w:val="0020"/>
        <w:jc w:val="start"/>
      </w:tblPr>
      <w:tblGrid>
        <w:gridCol w:w="1545"/>
        <w:gridCol w:w="579"/>
        <w:gridCol w:w="5795"/>
      </w:tblGrid>
      <w:tr>
        <w:trPr>
          <w:tblHeader w:val="true"/>
        </w:trPr>
        <w:tc>
          <w:tcPr/>
          <w:p>
            <w:pPr>
              <w:pStyle w:val="Compact"/>
              <w:jc w:val="left"/>
            </w:pPr>
            <w:r>
              <w:t xml:space="preserve">Criterion</w:t>
            </w:r>
          </w:p>
        </w:tc>
        <w:tc>
          <w:tcPr/>
          <w:p>
            <w:pPr>
              <w:pStyle w:val="Compact"/>
              <w:jc w:val="right"/>
            </w:pPr>
            <w:r>
              <w:t xml:space="preserve">Score</w:t>
            </w:r>
          </w:p>
        </w:tc>
        <w:tc>
          <w:tcPr/>
          <w:p>
            <w:pPr>
              <w:pStyle w:val="Compact"/>
              <w:jc w:val="left"/>
            </w:pPr>
            <w:r>
              <w:t xml:space="preserve">Rationale</w:t>
            </w:r>
          </w:p>
        </w:tc>
      </w:tr>
      <w:tr>
        <w:tc>
          <w:tcPr/>
          <w:p>
            <w:pPr>
              <w:pStyle w:val="Compact"/>
              <w:jc w:val="left"/>
            </w:pPr>
            <w:r>
              <w:t xml:space="preserve">Technical</w:t>
            </w:r>
          </w:p>
        </w:tc>
        <w:tc>
          <w:tcPr/>
          <w:p>
            <w:pPr>
              <w:pStyle w:val="Compact"/>
              <w:jc w:val="right"/>
            </w:pPr>
            <w:r>
              <w:t xml:space="preserve">4</w:t>
            </w:r>
          </w:p>
        </w:tc>
        <w:tc>
          <w:tcPr/>
          <w:p>
            <w:pPr>
              <w:pStyle w:val="Compact"/>
              <w:jc w:val="left"/>
            </w:pPr>
            <w:r>
              <w:t xml:space="preserve">Strong agent-to-tool contract (audience binding, PRM, issuer validation, EMA); optional and silent on fine-grained policy.</w:t>
            </w:r>
          </w:p>
        </w:tc>
      </w:tr>
      <w:tr>
        <w:tc>
          <w:tcPr/>
          <w:p>
            <w:pPr>
              <w:pStyle w:val="Compact"/>
              <w:jc w:val="left"/>
            </w:pPr>
            <w:r>
              <w:t xml:space="preserve">Enterprise readiness</w:t>
            </w:r>
          </w:p>
        </w:tc>
        <w:tc>
          <w:tcPr/>
          <w:p>
            <w:pPr>
              <w:pStyle w:val="Compact"/>
              <w:jc w:val="right"/>
            </w:pPr>
            <w:r>
              <w:t xml:space="preserve">3</w:t>
            </w:r>
          </w:p>
        </w:tc>
        <w:tc>
          <w:tcPr/>
          <w:p>
            <w:pPr>
              <w:pStyle w:val="Compact"/>
              <w:jc w:val="left"/>
            </w:pPr>
            <w:r>
              <w:t xml:space="preserve">Rule 2: EMA lets the corporate IdP govern access; enterprise features come from implementations.</w:t>
            </w:r>
          </w:p>
        </w:tc>
      </w:tr>
      <w:tr>
        <w:tc>
          <w:tcPr/>
          <w:p>
            <w:pPr>
              <w:pStyle w:val="Compact"/>
              <w:jc w:val="left"/>
            </w:pPr>
            <w:r>
              <w:t xml:space="preserve">Security and compliance</w:t>
            </w:r>
          </w:p>
        </w:tc>
        <w:tc>
          <w:tcPr/>
          <w:p>
            <w:pPr>
              <w:pStyle w:val="Compact"/>
              <w:jc w:val="right"/>
            </w:pPr>
            <w:r>
              <w:t xml:space="preserve">3</w:t>
            </w:r>
          </w:p>
        </w:tc>
        <w:tc>
          <w:tcPr/>
          <w:p>
            <w:pPr>
              <w:pStyle w:val="Compact"/>
              <w:jc w:val="left"/>
            </w:pPr>
            <w:r>
              <w:t xml:space="preserve">Rule 2 hygiene: private advisory reporting and documented trust model (B-C4-S004); optional authorisation and draft dependencies keep it at 3.</w:t>
            </w:r>
          </w:p>
        </w:tc>
      </w:tr>
      <w:tr>
        <w:tc>
          <w:tcPr/>
          <w:p>
            <w:pPr>
              <w:pStyle w:val="Compact"/>
              <w:jc w:val="left"/>
            </w:pPr>
            <w:r>
              <w:t xml:space="preserve">Deployment flexibility</w:t>
            </w:r>
          </w:p>
        </w:tc>
        <w:tc>
          <w:tcPr/>
          <w:p>
            <w:pPr>
              <w:pStyle w:val="Compact"/>
              <w:jc w:val="right"/>
            </w:pPr>
            <w:r>
              <w:t xml:space="preserve">4</w:t>
            </w:r>
          </w:p>
        </w:tc>
        <w:tc>
          <w:tcPr/>
          <w:p>
            <w:pPr>
              <w:pStyle w:val="Compact"/>
              <w:jc w:val="left"/>
            </w:pPr>
            <w:r>
              <w:t xml:space="preserve">Implementation-dependent; usable in self-hosted and managed gateways.</w:t>
            </w:r>
          </w:p>
        </w:tc>
      </w:tr>
      <w:tr>
        <w:tc>
          <w:tcPr/>
          <w:p>
            <w:pPr>
              <w:pStyle w:val="Compact"/>
              <w:jc w:val="left"/>
            </w:pPr>
            <w:r>
              <w:t xml:space="preserve">Ecosystem</w:t>
            </w:r>
          </w:p>
        </w:tc>
        <w:tc>
          <w:tcPr/>
          <w:p>
            <w:pPr>
              <w:pStyle w:val="Compact"/>
              <w:jc w:val="right"/>
            </w:pPr>
            <w:r>
              <w:t xml:space="preserve">4</w:t>
            </w:r>
          </w:p>
        </w:tc>
        <w:tc>
          <w:tcPr/>
          <w:p>
            <w:pPr>
              <w:pStyle w:val="Compact"/>
              <w:jc w:val="left"/>
            </w:pPr>
            <w:r>
              <w:t xml:space="preserve">Implemented by AWS AgentCore Gateway, Kong AI Gateway, Okta XAA and Azure API Management; MCP itself is the de facto tool protocol (L4 scores it 5), but authorisation is optional and adoption of the authorisation profile across servers is not publicly verified, so 4.</w:t>
            </w:r>
          </w:p>
        </w:tc>
      </w:tr>
      <w:tr>
        <w:tc>
          <w:tcPr/>
          <w:p>
            <w:pPr>
              <w:pStyle w:val="Compact"/>
              <w:jc w:val="left"/>
            </w:pPr>
            <w:r>
              <w:t xml:space="preserve">Reliability and maturity</w:t>
            </w:r>
          </w:p>
        </w:tc>
        <w:tc>
          <w:tcPr/>
          <w:p>
            <w:pPr>
              <w:pStyle w:val="Compact"/>
              <w:jc w:val="right"/>
            </w:pPr>
            <w:r>
              <w:t xml:space="preserve">2</w:t>
            </w:r>
          </w:p>
        </w:tc>
        <w:tc>
          <w:tcPr/>
          <w:p>
            <w:pPr>
              <w:pStyle w:val="Compact"/>
              <w:jc w:val="left"/>
            </w:pPr>
            <w:r>
              <w:t xml:space="preserve">Four breaking revisions in about 16 months; OAuth 2.1 still draft.</w:t>
            </w:r>
          </w:p>
        </w:tc>
      </w:tr>
      <w:tr>
        <w:tc>
          <w:tcPr/>
          <w:p>
            <w:pPr>
              <w:pStyle w:val="Compact"/>
              <w:jc w:val="left"/>
            </w:pPr>
            <w:r>
              <w:t xml:space="preserve">Cost / TCO</w:t>
            </w:r>
          </w:p>
        </w:tc>
        <w:tc>
          <w:tcPr/>
          <w:p>
            <w:pPr>
              <w:pStyle w:val="Compact"/>
              <w:jc w:val="right"/>
            </w:pPr>
            <w:r>
              <w:t xml:space="preserve">4</w:t>
            </w:r>
          </w:p>
        </w:tc>
        <w:tc>
          <w:tcPr/>
          <w:p>
            <w:pPr>
              <w:pStyle w:val="Compact"/>
              <w:jc w:val="left"/>
            </w:pPr>
            <w:r>
              <w:t xml:space="preserve">Free specification; implementation and re-certification on each revision cost effort.</w:t>
            </w:r>
          </w:p>
        </w:tc>
      </w:tr>
      <w:tr>
        <w:tc>
          <w:tcPr/>
          <w:p>
            <w:pPr>
              <w:pStyle w:val="Compact"/>
              <w:jc w:val="left"/>
            </w:pPr>
            <w:r>
              <w:t xml:space="preserve">Lock-in / portability</w:t>
            </w:r>
          </w:p>
        </w:tc>
        <w:tc>
          <w:tcPr/>
          <w:p>
            <w:pPr>
              <w:pStyle w:val="Compact"/>
              <w:jc w:val="right"/>
            </w:pPr>
            <w:r>
              <w:t xml:space="preserve">4</w:t>
            </w:r>
          </w:p>
        </w:tc>
        <w:tc>
          <w:tcPr/>
          <w:p>
            <w:pPr>
              <w:pStyle w:val="Compact"/>
              <w:jc w:val="left"/>
            </w:pPr>
            <w:r>
              <w:t xml:space="preserve">Open specification under Linux Foundation hosting; maintainer concentration at one vendor.</w:t>
            </w:r>
          </w:p>
        </w:tc>
      </w:tr>
      <w:tr>
        <w:tc>
          <w:tcPr/>
          <w:p>
            <w:pPr>
              <w:pStyle w:val="Compact"/>
              <w:jc w:val="left"/>
            </w:pPr>
            <w:r>
              <w:rPr>
                <w:bCs/>
                <w:b/>
              </w:rPr>
              <w:t xml:space="preserve">Total (generic / FS)</w:t>
            </w:r>
          </w:p>
        </w:tc>
        <w:tc>
          <w:tcPr/>
          <w:p>
            <w:pPr>
              <w:pStyle w:val="Compact"/>
              <w:jc w:val="right"/>
            </w:pPr>
            <w:r>
              <w:rPr>
                <w:bCs/>
                <w:b/>
              </w:rPr>
              <w:t xml:space="preserve">3.50 / 3.45</w:t>
            </w:r>
          </w:p>
        </w:tc>
        <w:tc>
          <w:tcPr/>
          <w:p>
            <w:pPr>
              <w:pStyle w:val="Compact"/>
            </w:pPr>
          </w:p>
        </w:tc>
      </w:tr>
    </w:tbl>
    <w:p>
      <w:pPr>
        <w:pStyle w:val="BodyText"/>
      </w:pPr>
      <w:r>
        <w:rPr>
          <w:iCs/>
          <w:i/>
        </w:rPr>
        <w:t xml:space="preserve">Evidence rules applied:</w:t>
      </w:r>
      <w:r>
        <w:t xml:space="preserve"> </w:t>
      </w:r>
      <w:r>
        <w:t xml:space="preserve">Rule 2 (self-hosted software / open specification): enterprise_readiness and security_compliance capped at 4; NPV cap not applied; inherits host controls</w:t>
      </w:r>
    </w:p>
    <w:p>
      <w:pPr>
        <w:pStyle w:val="BodyText"/>
      </w:pPr>
      <w:r>
        <w:rPr>
          <w:bCs/>
          <w:b/>
        </w:rPr>
        <w:t xml:space="preserve">Capabilities.</w:t>
      </w:r>
      <w:r>
        <w:t xml:space="preserve"> </w:t>
      </w:r>
      <w:r>
        <w:t xml:space="preserve">Authorisation profile of OAuth 2.1 (still an IETF draft) for MCP: server as resource server with Protected Resource Metadata (RFC 9728), PKCE, audience-bound tokens via Resource Indicators (RFC 8707), token passthrough forbidden; 2026-07-28 adds RFC 9207 issuer validation and issuer-bound clients and deprecates Dynamic Client Registration; Enterprise-Managed Authorization (ID-JAG) extension Stable. Authorisation is OPTIONAL</w:t>
      </w:r>
      <w:r>
        <w:t xml:space="preserve"> </w:t>
      </w:r>
      <w:r>
        <w:rPr>
          <w:rStyle w:val="ClaimLabel"/>
        </w:rPr>
        <w:t xml:space="preserve">VF</w:t>
      </w:r>
      <w:r>
        <w:rPr>
          <w:rStyle w:val="FootnoteReference"/>
        </w:rPr>
        <w:footnoteReference w:id="2168"/>
      </w:r>
      <w:r>
        <w:t xml:space="preserve">.</w:t>
      </w:r>
    </w:p>
    <w:p>
      <w:pPr>
        <w:pStyle w:val="BodyText"/>
      </w:pPr>
      <w:r>
        <w:rPr>
          <w:bCs/>
          <w:b/>
        </w:rPr>
        <w:t xml:space="preserve">Strengths</w:t>
      </w:r>
    </w:p>
    <w:p>
      <w:pPr>
        <w:numPr>
          <w:ilvl w:val="0"/>
          <w:numId w:val="1465"/>
        </w:numPr>
        <w:pStyle w:val="Compact"/>
      </w:pPr>
      <w:r>
        <w:t xml:space="preserve">Audience binding and the ban on token passthrough address the confused-deputy problem</w:t>
      </w:r>
      <w:r>
        <w:t xml:space="preserve"> </w:t>
      </w:r>
      <w:r>
        <w:rPr>
          <w:rStyle w:val="ClaimLabel"/>
        </w:rPr>
        <w:t xml:space="preserve">VF</w:t>
      </w:r>
      <w:r>
        <w:rPr>
          <w:rStyle w:val="FootnoteReference"/>
        </w:rPr>
        <w:footnoteReference w:id="2170"/>
      </w:r>
    </w:p>
    <w:p>
      <w:pPr>
        <w:numPr>
          <w:ilvl w:val="0"/>
          <w:numId w:val="1465"/>
        </w:numPr>
        <w:pStyle w:val="Compact"/>
      </w:pPr>
      <w:r>
        <w:t xml:space="preserve">Enterprise IdP decides which MCP servers an employee can use (EMA/ID-JAG)</w:t>
      </w:r>
      <w:r>
        <w:t xml:space="preserve"> </w:t>
      </w:r>
      <w:r>
        <w:rPr>
          <w:rStyle w:val="ClaimLabel"/>
        </w:rPr>
        <w:t xml:space="preserve">VF</w:t>
      </w:r>
      <w:r>
        <w:rPr>
          <w:rStyle w:val="FootnoteReference"/>
        </w:rPr>
        <w:footnoteReference w:id="2171"/>
      </w:r>
    </w:p>
    <w:p>
      <w:pPr>
        <w:numPr>
          <w:ilvl w:val="0"/>
          <w:numId w:val="1465"/>
        </w:numPr>
        <w:pStyle w:val="Compact"/>
      </w:pPr>
      <w:r>
        <w:t xml:space="preserve">Implemented by AgentCore Gateway, Kong and Okta XAA</w:t>
      </w:r>
      <w:r>
        <w:t xml:space="preserve"> </w:t>
      </w:r>
      <w:r>
        <w:rPr>
          <w:rStyle w:val="ClaimLabel"/>
        </w:rPr>
        <w:t xml:space="preserve">VF</w:t>
      </w:r>
      <w:r>
        <w:rPr>
          <w:rStyle w:val="FootnoteReference"/>
        </w:rPr>
        <w:footnoteReference w:id="2172"/>
      </w:r>
    </w:p>
    <w:p>
      <w:pPr>
        <w:numPr>
          <w:ilvl w:val="0"/>
          <w:numId w:val="1465"/>
        </w:numPr>
        <w:pStyle w:val="Compact"/>
      </w:pPr>
      <w:r>
        <w:t xml:space="preserve">Hosted by the Agentic AI Foundation (Linux Foundation) since 9 December 2025</w:t>
      </w:r>
      <w:r>
        <w:t xml:space="preserve"> </w:t>
      </w:r>
      <w:r>
        <w:rPr>
          <w:rStyle w:val="ClaimLabel"/>
        </w:rPr>
        <w:t xml:space="preserve">VF</w:t>
      </w:r>
      <w:r>
        <w:rPr>
          <w:rStyle w:val="FootnoteReference"/>
        </w:rPr>
        <w:footnoteReference w:id="2173"/>
      </w:r>
    </w:p>
    <w:p>
      <w:pPr>
        <w:pStyle w:val="FirstParagraph"/>
      </w:pPr>
      <w:r>
        <w:rPr>
          <w:bCs/>
          <w:b/>
        </w:rPr>
        <w:t xml:space="preserve">Limitations and risks</w:t>
      </w:r>
    </w:p>
    <w:p>
      <w:pPr>
        <w:numPr>
          <w:ilvl w:val="0"/>
          <w:numId w:val="1466"/>
        </w:numPr>
        <w:pStyle w:val="Compact"/>
      </w:pPr>
      <w:r>
        <w:t xml:space="preserve">Authorisation is OPTIONAL in MCP</w:t>
      </w:r>
      <w:r>
        <w:t xml:space="preserve"> </w:t>
      </w:r>
      <w:r>
        <w:rPr>
          <w:rStyle w:val="ClaimLabel"/>
        </w:rPr>
        <w:t xml:space="preserve">VF</w:t>
      </w:r>
      <w:r>
        <w:rPr>
          <w:rStyle w:val="FootnoteReference"/>
        </w:rPr>
        <w:footnoteReference w:id="2174"/>
      </w:r>
    </w:p>
    <w:p>
      <w:pPr>
        <w:numPr>
          <w:ilvl w:val="0"/>
          <w:numId w:val="1466"/>
        </w:numPr>
        <w:pStyle w:val="Compact"/>
      </w:pPr>
      <w:r>
        <w:t xml:space="preserve">Frequent breaking revisions: 2025-03-26, 2025-06-18, 2025-11-25, 2026-07-28</w:t>
      </w:r>
      <w:r>
        <w:t xml:space="preserve"> </w:t>
      </w:r>
      <w:r>
        <w:rPr>
          <w:rStyle w:val="ClaimLabel"/>
        </w:rPr>
        <w:t xml:space="preserve">VF</w:t>
      </w:r>
      <w:r>
        <w:rPr>
          <w:rStyle w:val="FootnoteReference"/>
        </w:rPr>
        <w:footnoteReference w:id="2175"/>
      </w:r>
    </w:p>
    <w:p>
      <w:pPr>
        <w:numPr>
          <w:ilvl w:val="0"/>
          <w:numId w:val="1466"/>
        </w:numPr>
        <w:pStyle w:val="Compact"/>
      </w:pPr>
      <w:r>
        <w:t xml:space="preserve">Several dependencies are IETF drafts, including OAuth 2.1</w:t>
      </w:r>
      <w:r>
        <w:t xml:space="preserve"> </w:t>
      </w:r>
      <w:r>
        <w:rPr>
          <w:rStyle w:val="ClaimLabel"/>
        </w:rPr>
        <w:t xml:space="preserve">VF</w:t>
      </w:r>
      <w:r>
        <w:rPr>
          <w:rStyle w:val="FootnoteReference"/>
        </w:rPr>
        <w:footnoteReference w:id="2176"/>
      </w:r>
    </w:p>
    <w:p>
      <w:pPr>
        <w:numPr>
          <w:ilvl w:val="0"/>
          <w:numId w:val="1466"/>
        </w:numPr>
        <w:pStyle w:val="Compact"/>
      </w:pPr>
      <w:r>
        <w:t xml:space="preserve">Both Lead Maintainers are Anthropic staff</w:t>
      </w:r>
      <w:r>
        <w:t xml:space="preserve"> </w:t>
      </w:r>
      <w:r>
        <w:rPr>
          <w:rStyle w:val="ClaimLabel"/>
        </w:rPr>
        <w:t xml:space="preserve">VF</w:t>
      </w:r>
      <w:r>
        <w:rPr>
          <w:rStyle w:val="FootnoteReference"/>
        </w:rPr>
        <w:footnoteReference w:id="2177"/>
      </w:r>
      <w:r>
        <w:t xml:space="preserve">; the author is an Anthropic model (conflict of interest)</w:t>
      </w:r>
    </w:p>
    <w:p>
      <w:pPr>
        <w:numPr>
          <w:ilvl w:val="0"/>
          <w:numId w:val="1466"/>
        </w:numPr>
        <w:pStyle w:val="Compact"/>
      </w:pPr>
      <w:r>
        <w:t xml:space="preserve">Security policy states clients trust configured servers and that access control is the server developer’s responsibility</w:t>
      </w:r>
      <w:r>
        <w:t xml:space="preserve"> </w:t>
      </w:r>
      <w:r>
        <w:rPr>
          <w:rStyle w:val="ClaimLabel"/>
        </w:rPr>
        <w:t xml:space="preserve">VF</w:t>
      </w:r>
      <w:r>
        <w:rPr>
          <w:rStyle w:val="FootnoteReference"/>
        </w:rPr>
        <w:footnoteReference w:id="2178"/>
      </w:r>
    </w:p>
    <w:p>
      <w:pPr>
        <w:pStyle w:val="FirstParagraph"/>
      </w:pPr>
      <w:r>
        <w:rPr>
          <w:bCs/>
          <w:b/>
        </w:rPr>
        <w:t xml:space="preserve">Choose when</w:t>
      </w:r>
    </w:p>
    <w:p>
      <w:pPr>
        <w:numPr>
          <w:ilvl w:val="0"/>
          <w:numId w:val="1467"/>
        </w:numPr>
        <w:pStyle w:val="Compact"/>
      </w:pPr>
      <w:r>
        <w:t xml:space="preserve">MCP is the firm’s tool protocol</w:t>
      </w:r>
      <w:r>
        <w:t xml:space="preserve"> </w:t>
      </w:r>
      <w:r>
        <w:rPr>
          <w:rStyle w:val="ClaimLabel"/>
        </w:rPr>
        <w:t xml:space="preserve">AJ</w:t>
      </w:r>
    </w:p>
    <w:p>
      <w:pPr>
        <w:pStyle w:val="FirstParagraph"/>
      </w:pPr>
      <w:r>
        <w:rPr>
          <w:bCs/>
          <w:b/>
        </w:rPr>
        <w:t xml:space="preserve">Avoid when</w:t>
      </w:r>
    </w:p>
    <w:p>
      <w:pPr>
        <w:numPr>
          <w:ilvl w:val="0"/>
          <w:numId w:val="1468"/>
        </w:numPr>
        <w:pStyle w:val="Compact"/>
      </w:pPr>
      <w:r>
        <w:t xml:space="preserve">Tools are exposed as REST/OpenAPI behind a gateway, where plain OAuth 2.0 resource-server patterns suffice</w:t>
      </w:r>
      <w:r>
        <w:t xml:space="preserve"> </w:t>
      </w:r>
      <w:r>
        <w:rPr>
          <w:rStyle w:val="ClaimLabel"/>
        </w:rPr>
        <w:t xml:space="preserve">AJ</w:t>
      </w:r>
    </w:p>
    <w:p>
      <w:pPr>
        <w:pStyle w:val="FirstParagraph"/>
      </w:pPr>
      <w:r>
        <w:rPr>
          <w:bCs/>
          <w:b/>
        </w:rPr>
        <w:t xml:space="preserve">Nearest competitors:</w:t>
      </w:r>
      <w:r>
        <w:t xml:space="preserve"> </w:t>
      </w:r>
      <w:r>
        <w:t xml:space="preserve">Gateway-native tool auth (Kong, AgentCore Gateway, Azure APIM credential manager), C4-okta-auth0-ai-agents, OAuth 2.0 resource-server pattern for REST tools</w:t>
      </w:r>
    </w:p>
    <w:p>
      <w:pPr>
        <w:pStyle w:val="BodyText"/>
      </w:pPr>
      <w:r>
        <w:rPr>
          <w:bCs/>
          <w:b/>
        </w:rPr>
        <w:t xml:space="preserve">Regulated-FS note.</w:t>
      </w:r>
      <w:r>
        <w:t xml:space="preserve"> </w:t>
      </w:r>
      <w:r>
        <w:t xml:space="preserve">Strategic, conditional, and mandatory wherever MCP is used (CP3 Q1): make authorisation mandatory by firm policy, pin the spec revision at the gateway, and require EMA so the corporate IdP mediates access; the durable controls are the IdP and the gateway PDP, which keep working if the tool protocol changes</w:t>
      </w:r>
      <w:r>
        <w:t xml:space="preserve"> </w:t>
      </w:r>
      <w:r>
        <w:rPr>
          <w:rStyle w:val="ClaimLabel"/>
        </w:rPr>
        <w:t xml:space="preserve">Rec</w:t>
      </w:r>
      <w:r>
        <w:t xml:space="preserve">.</w:t>
      </w:r>
    </w:p>
    <w:p>
      <w:pPr>
        <w:pStyle w:val="BodyText"/>
      </w:pPr>
      <w:r>
        <w:rPr>
          <w:bCs/>
          <w:b/>
        </w:rPr>
        <w:t xml:space="preserve">Facts (as of 2026-10-08)</w:t>
      </w:r>
    </w:p>
    <w:tbl>
      <w:tblPr>
        <w:tblStyle w:val="Table"/>
        <w:tblW w:type="pct" w:w="5000"/>
        <w:tblLook w:firstRow="1" w:lastRow="0" w:firstColumn="0" w:lastColumn="0" w:noHBand="0" w:noVBand="0" w:val="0020"/>
        <w:jc w:val="start"/>
      </w:tblPr>
      <w:tblGrid>
        <w:gridCol w:w="1485"/>
        <w:gridCol w:w="4290"/>
        <w:gridCol w:w="1320"/>
        <w:gridCol w:w="825"/>
      </w:tblGrid>
      <w:tr>
        <w:trPr>
          <w:tblHeader w:val="true"/>
        </w:trPr>
        <w:tc>
          <w:tcPr/>
          <w:p>
            <w:pPr>
              <w:pStyle w:val="Compact"/>
              <w:jc w:val="left"/>
            </w:pPr>
            <w:r>
              <w:t xml:space="preserve">Field</w:t>
            </w:r>
          </w:p>
        </w:tc>
        <w:tc>
          <w:tcPr/>
          <w:p>
            <w:pPr>
              <w:pStyle w:val="Compact"/>
              <w:jc w:val="left"/>
            </w:pPr>
            <w:r>
              <w:t xml:space="preserve">Value</w:t>
            </w:r>
          </w:p>
        </w:tc>
        <w:tc>
          <w:tcPr/>
          <w:p>
            <w:pPr>
              <w:pStyle w:val="Compact"/>
              <w:jc w:val="left"/>
            </w:pPr>
            <w:r>
              <w:t xml:space="preserve">Label</w:t>
            </w:r>
          </w:p>
        </w:tc>
        <w:tc>
          <w:tcPr/>
          <w:p>
            <w:pPr>
              <w:pStyle w:val="Compact"/>
              <w:jc w:val="left"/>
            </w:pPr>
            <w:r>
              <w:t xml:space="preserve">Sources</w:t>
            </w:r>
          </w:p>
        </w:tc>
      </w:tr>
      <w:tr>
        <w:tc>
          <w:tcPr/>
          <w:p>
            <w:pPr>
              <w:pStyle w:val="Compact"/>
              <w:jc w:val="left"/>
            </w:pPr>
            <w:r>
              <w:t xml:space="preserve">Company</w:t>
            </w:r>
          </w:p>
        </w:tc>
        <w:tc>
          <w:tcPr/>
          <w:p>
            <w:pPr>
              <w:pStyle w:val="Compact"/>
              <w:jc w:val="left"/>
            </w:pPr>
            <w:r>
              <w:t xml:space="preserve">Model Context Protocol project (specification and extensions published in modelcontextprotocol GitHub organisation)</w:t>
            </w:r>
          </w:p>
        </w:tc>
        <w:tc>
          <w:tcPr/>
          <w:p>
            <w:pPr>
              <w:pStyle w:val="Compact"/>
              <w:jc w:val="left"/>
            </w:pPr>
            <w:r>
              <w:t xml:space="preserve">Verified fact</w:t>
            </w:r>
          </w:p>
        </w:tc>
        <w:tc>
          <w:tcPr/>
          <w:p>
            <w:pPr>
              <w:pStyle w:val="Compact"/>
              <w:jc w:val="left"/>
            </w:pPr>
            <w:r>
              <w:t xml:space="preserve">A6-S032, A6-S079</w:t>
            </w:r>
          </w:p>
        </w:tc>
      </w:tr>
      <w:tr>
        <w:tc>
          <w:tcPr/>
          <w:p>
            <w:pPr>
              <w:pStyle w:val="Compact"/>
              <w:jc w:val="left"/>
            </w:pPr>
            <w:r>
              <w:t xml:space="preserve">Category</w:t>
            </w:r>
          </w:p>
        </w:tc>
        <w:tc>
          <w:tcPr/>
          <w:p>
            <w:pPr>
              <w:pStyle w:val="Compact"/>
              <w:jc w:val="left"/>
            </w:pPr>
            <w:r>
              <w:t xml:space="preserve">Open specification (authorisation profile of OAuth 2.1 for agent-to-tool access)</w:t>
            </w:r>
          </w:p>
        </w:tc>
        <w:tc>
          <w:tcPr/>
          <w:p>
            <w:pPr>
              <w:pStyle w:val="Compact"/>
              <w:jc w:val="left"/>
            </w:pPr>
            <w:r>
              <w:t xml:space="preserve">Verified fact</w:t>
            </w:r>
          </w:p>
        </w:tc>
        <w:tc>
          <w:tcPr/>
          <w:p>
            <w:pPr>
              <w:pStyle w:val="Compact"/>
              <w:jc w:val="left"/>
            </w:pPr>
            <w:r>
              <w:t xml:space="preserve">A6-S033</w:t>
            </w:r>
          </w:p>
        </w:tc>
      </w:tr>
      <w:tr>
        <w:tc>
          <w:tcPr/>
          <w:p>
            <w:pPr>
              <w:pStyle w:val="Compact"/>
              <w:jc w:val="left"/>
            </w:pPr>
            <w:r>
              <w:t xml:space="preserve">Version / lineup</w:t>
            </w:r>
          </w:p>
        </w:tc>
        <w:tc>
          <w:tcPr/>
          <w:p>
            <w:pPr>
              <w:pStyle w:val="Compact"/>
              <w:jc w:val="left"/>
            </w:pPr>
            <w:r>
              <w:t xml:space="preserve">Specification revision 2026-07-28 (previous 2025-11-25); Enterprise-Managed Authorization extension status</w:t>
            </w:r>
            <w:r>
              <w:t xml:space="preserve"> </w:t>
            </w:r>
            <w:r>
              <w:t xml:space="preserve">‘</w:t>
            </w:r>
            <w:r>
              <w:t xml:space="preserve">Stable</w:t>
            </w:r>
            <w:r>
              <w:t xml:space="preserve">’</w:t>
            </w:r>
            <w:r>
              <w:t xml:space="preserve">; Python SDK mcp 2.3.0 (2 October 2026)</w:t>
            </w:r>
          </w:p>
        </w:tc>
        <w:tc>
          <w:tcPr/>
          <w:p>
            <w:pPr>
              <w:pStyle w:val="Compact"/>
              <w:jc w:val="left"/>
            </w:pPr>
            <w:r>
              <w:t xml:space="preserve">Verified fact</w:t>
            </w:r>
          </w:p>
        </w:tc>
        <w:tc>
          <w:tcPr/>
          <w:p>
            <w:pPr>
              <w:pStyle w:val="Compact"/>
              <w:jc w:val="left"/>
            </w:pPr>
            <w:r>
              <w:t xml:space="preserve">A6-S032, A6-S079, A6-S086, V2-S031</w:t>
            </w:r>
          </w:p>
        </w:tc>
      </w:tr>
      <w:tr>
        <w:tc>
          <w:tcPr/>
          <w:p>
            <w:pPr>
              <w:pStyle w:val="Compact"/>
              <w:jc w:val="left"/>
            </w:pPr>
            <w:r>
              <w:t xml:space="preserve">Licence</w:t>
            </w:r>
          </w:p>
        </w:tc>
        <w:tc>
          <w:tcPr/>
          <w:p>
            <w:pPr>
              <w:pStyle w:val="Compact"/>
              <w:jc w:val="left"/>
            </w:pPr>
            <w:r>
              <w:t xml:space="preserve">Open specification</w:t>
            </w:r>
          </w:p>
        </w:tc>
        <w:tc>
          <w:tcPr/>
          <w:p>
            <w:pPr>
              <w:pStyle w:val="Compact"/>
              <w:jc w:val="left"/>
            </w:pPr>
            <w:r>
              <w:t xml:space="preserve">Verified fact</w:t>
            </w:r>
          </w:p>
        </w:tc>
        <w:tc>
          <w:tcPr/>
          <w:p>
            <w:pPr>
              <w:pStyle w:val="Compact"/>
              <w:jc w:val="left"/>
            </w:pPr>
            <w:r>
              <w:t xml:space="preserve">A6-S033</w:t>
            </w:r>
          </w:p>
        </w:tc>
      </w:tr>
      <w:tr>
        <w:tc>
          <w:tcPr/>
          <w:p>
            <w:pPr>
              <w:pStyle w:val="Compact"/>
              <w:jc w:val="left"/>
            </w:pPr>
            <w:r>
              <w:t xml:space="preserve">Status events</w:t>
            </w:r>
          </w:p>
        </w:tc>
        <w:tc>
          <w:tcPr/>
          <w:p>
            <w:pPr>
              <w:pStyle w:val="Compact"/>
              <w:jc w:val="left"/>
            </w:pPr>
            <w:r>
              <w:t xml:space="preserve">28 July 2026: MCP specification revision 2026-07-28 published; OAuth Dynamic Client Registration deprecated as a registration mechanism</w:t>
            </w:r>
          </w:p>
        </w:tc>
        <w:tc>
          <w:tcPr/>
          <w:p>
            <w:pPr>
              <w:pStyle w:val="Compact"/>
              <w:jc w:val="left"/>
            </w:pPr>
            <w:r>
              <w:t xml:space="preserve">Verified fact</w:t>
            </w:r>
          </w:p>
        </w:tc>
        <w:tc>
          <w:tcPr/>
          <w:p>
            <w:pPr>
              <w:pStyle w:val="Compact"/>
              <w:jc w:val="left"/>
            </w:pPr>
            <w:r>
              <w:t xml:space="preserve">A6-S032, V2-S031</w:t>
            </w:r>
          </w:p>
        </w:tc>
      </w:tr>
      <w:tr>
        <w:tc>
          <w:tcPr/>
          <w:p>
            <w:pPr>
              <w:pStyle w:val="Compact"/>
              <w:jc w:val="left"/>
            </w:pPr>
            <w:r>
              <w:t xml:space="preserve">Strategic direction</w:t>
            </w:r>
          </w:p>
        </w:tc>
        <w:tc>
          <w:tcPr/>
          <w:p>
            <w:pPr>
              <w:pStyle w:val="Compact"/>
              <w:jc w:val="left"/>
            </w:pPr>
            <w:r>
              <w:t xml:space="preserve">Hardening for enterprise use: RFC 9207 issuer validation, issuer-bound client registration, Client ID Metadata Documents replacing Dynamic Client Registration, enterprise IdP control via ID-JAG; feature lifecycle policy with 12-month deprecation window; 2026-07-28 also makes the protocol stateless (no initialize handshake), removes SSE stream resumability, and deprecates the Roots, Sampling and Logging features</w:t>
            </w:r>
          </w:p>
        </w:tc>
        <w:tc>
          <w:tcPr/>
          <w:p>
            <w:pPr>
              <w:pStyle w:val="Compact"/>
              <w:jc w:val="left"/>
            </w:pPr>
            <w:r>
              <w:t xml:space="preserve">Verified fact</w:t>
            </w:r>
          </w:p>
        </w:tc>
        <w:tc>
          <w:tcPr/>
          <w:p>
            <w:pPr>
              <w:pStyle w:val="Compact"/>
              <w:jc w:val="left"/>
            </w:pPr>
            <w:r>
              <w:t xml:space="preserve">A6-S032, A6-S035, V2-S031</w:t>
            </w:r>
          </w:p>
        </w:tc>
      </w:tr>
      <w:tr>
        <w:tc>
          <w:tcPr/>
          <w:p>
            <w:pPr>
              <w:pStyle w:val="Compact"/>
              <w:jc w:val="left"/>
            </w:pPr>
            <w:r>
              <w:t xml:space="preserve">What it does</w:t>
            </w:r>
          </w:p>
        </w:tc>
        <w:tc>
          <w:tcPr/>
          <w:p>
            <w:pPr>
              <w:pStyle w:val="Compact"/>
              <w:jc w:val="left"/>
            </w:pPr>
            <w:r>
              <w:t xml:space="preserve">Defines how MCP clients obtain and present access tokens to protected MCP servers: MCP server is an OAuth 2.1 resource server; MUST publish Protected Resource Metadata (RFC 9728); clients MUST use PKCE and Resource Indicators (RFC 8707) so tokens are audience-bound; servers MUST reject tokens not issued for them (token passthrough forbidden). The Enterprise-Managed Authorization extension lets the corporate IdP decide which MCP servers an employee can use via an Identity Assertion JWT Authorization Grant.</w:t>
            </w:r>
          </w:p>
        </w:tc>
        <w:tc>
          <w:tcPr/>
          <w:p>
            <w:pPr>
              <w:pStyle w:val="Compact"/>
              <w:jc w:val="left"/>
            </w:pPr>
            <w:r>
              <w:t xml:space="preserve">Verified fact</w:t>
            </w:r>
          </w:p>
        </w:tc>
        <w:tc>
          <w:tcPr/>
          <w:p>
            <w:pPr>
              <w:pStyle w:val="Compact"/>
              <w:jc w:val="left"/>
            </w:pPr>
            <w:r>
              <w:t xml:space="preserve">A6-S033, A6-S034, A6-S035, A6-S079</w:t>
            </w:r>
          </w:p>
        </w:tc>
      </w:tr>
      <w:tr>
        <w:tc>
          <w:tcPr/>
          <w:p>
            <w:pPr>
              <w:pStyle w:val="Compact"/>
              <w:jc w:val="left"/>
            </w:pPr>
            <w:r>
              <w:t xml:space="preserve">Stack position</w:t>
            </w:r>
          </w:p>
        </w:tc>
        <w:tc>
          <w:tcPr/>
          <w:p>
            <w:pPr>
              <w:pStyle w:val="Compact"/>
              <w:jc w:val="left"/>
            </w:pPr>
            <w:r>
              <w:t xml:space="preserve">Authorisation contract between agents (MCP clients), MCP servers and identity providers; the standards basis for an agent identity/authorisation sub-layer</w:t>
            </w:r>
          </w:p>
        </w:tc>
        <w:tc>
          <w:tcPr/>
          <w:p>
            <w:pPr>
              <w:pStyle w:val="Compact"/>
              <w:jc w:val="left"/>
            </w:pPr>
            <w:r>
              <w:t xml:space="preserve">Verified fact</w:t>
            </w:r>
          </w:p>
        </w:tc>
        <w:tc>
          <w:tcPr/>
          <w:p>
            <w:pPr>
              <w:pStyle w:val="Compact"/>
              <w:jc w:val="left"/>
            </w:pPr>
            <w:r>
              <w:t xml:space="preserve">A6-S033, A6-S035</w:t>
            </w:r>
          </w:p>
        </w:tc>
      </w:tr>
      <w:tr>
        <w:tc>
          <w:tcPr/>
          <w:p>
            <w:pPr>
              <w:pStyle w:val="Compact"/>
              <w:jc w:val="left"/>
            </w:pPr>
            <w:r>
              <w:t xml:space="preserve">Integration</w:t>
            </w:r>
          </w:p>
        </w:tc>
        <w:tc>
          <w:tcPr/>
          <w:p>
            <w:pPr>
              <w:pStyle w:val="Compact"/>
              <w:jc w:val="left"/>
            </w:pPr>
            <w:r>
              <w:t xml:space="preserve">HTTP Authorization bearer header on every request; WWW-Authenticate resource_metadata discovery; scope challenge handling</w:t>
            </w:r>
          </w:p>
        </w:tc>
        <w:tc>
          <w:tcPr/>
          <w:p>
            <w:pPr>
              <w:pStyle w:val="Compact"/>
              <w:jc w:val="left"/>
            </w:pPr>
            <w:r>
              <w:t xml:space="preserve">Verified fact</w:t>
            </w:r>
          </w:p>
        </w:tc>
        <w:tc>
          <w:tcPr/>
          <w:p>
            <w:pPr>
              <w:pStyle w:val="Compact"/>
              <w:jc w:val="left"/>
            </w:pPr>
            <w:r>
              <w:t xml:space="preserve">A6-S033</w:t>
            </w:r>
          </w:p>
        </w:tc>
      </w:tr>
      <w:tr>
        <w:tc>
          <w:tcPr/>
          <w:p>
            <w:pPr>
              <w:pStyle w:val="Compact"/>
              <w:jc w:val="left"/>
            </w:pPr>
            <w:r>
              <w:t xml:space="preserve">Dependencies</w:t>
            </w:r>
          </w:p>
        </w:tc>
        <w:tc>
          <w:tcPr/>
          <w:p>
            <w:pPr>
              <w:pStyle w:val="Compact"/>
              <w:jc w:val="left"/>
            </w:pPr>
            <w:r>
              <w:t xml:space="preserve">OAuth 2.1 (draft-ietf-oauth-v2-1-13), RFC 8414, RFC 7591 (deprecated path), RFC 8707, RFC 9728, RFC 9207, draft-ietf-oauth-client-id-metadata-document-00; extension uses draft-ietf-oauth-identity-assertion-authz-grant, RFC 8693, RFC 7523</w:t>
            </w:r>
          </w:p>
        </w:tc>
        <w:tc>
          <w:tcPr/>
          <w:p>
            <w:pPr>
              <w:pStyle w:val="Compact"/>
              <w:jc w:val="left"/>
            </w:pPr>
            <w:r>
              <w:t xml:space="preserve">Verified fact</w:t>
            </w:r>
          </w:p>
        </w:tc>
        <w:tc>
          <w:tcPr/>
          <w:p>
            <w:pPr>
              <w:pStyle w:val="Compact"/>
              <w:jc w:val="left"/>
            </w:pPr>
            <w:r>
              <w:t xml:space="preserve">A6-S033, A6-S079</w:t>
            </w:r>
          </w:p>
        </w:tc>
      </w:tr>
      <w:tr>
        <w:tc>
          <w:tcPr/>
          <w:p>
            <w:pPr>
              <w:pStyle w:val="Compact"/>
              <w:jc w:val="left"/>
            </w:pPr>
            <w:r>
              <w:t xml:space="preserve">Certifications</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GDPR / residency</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Security features</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Access controls</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Enterprise support</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Pricing</w:t>
            </w:r>
          </w:p>
        </w:tc>
        <w:tc>
          <w:tcPr/>
          <w:p>
            <w:pPr>
              <w:pStyle w:val="Compact"/>
              <w:jc w:val="left"/>
            </w:pPr>
            <w:r>
              <w:t xml:space="preserve">Free open specification</w:t>
            </w:r>
          </w:p>
        </w:tc>
        <w:tc>
          <w:tcPr/>
          <w:p>
            <w:pPr>
              <w:pStyle w:val="Compact"/>
              <w:jc w:val="left"/>
            </w:pPr>
            <w:r>
              <w:t xml:space="preserve">Verified fact</w:t>
            </w:r>
          </w:p>
        </w:tc>
        <w:tc>
          <w:tcPr/>
          <w:p>
            <w:pPr>
              <w:pStyle w:val="Compact"/>
              <w:jc w:val="left"/>
            </w:pPr>
            <w:r>
              <w:t xml:space="preserve">A6-S033</w:t>
            </w:r>
          </w:p>
        </w:tc>
      </w:tr>
      <w:tr>
        <w:tc>
          <w:tcPr/>
          <w:p>
            <w:pPr>
              <w:pStyle w:val="Compact"/>
              <w:jc w:val="left"/>
            </w:pPr>
            <w:r>
              <w:t xml:space="preserve">Infrastructure cost</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Ecosystem</w:t>
            </w:r>
          </w:p>
        </w:tc>
        <w:tc>
          <w:tcPr/>
          <w:p>
            <w:pPr>
              <w:pStyle w:val="Compact"/>
              <w:jc w:val="left"/>
            </w:pPr>
            <w:r>
              <w:t xml:space="preserve">Implemented by gateways: AWS AgentCore Gateway supports MCP 2026-07-28; Kong AI Gateway 2.1.0 supports 2026-07-28; Okta Cross App Access sample uses ID-JAG; Okta states XAA is</w:t>
            </w:r>
            <w:r>
              <w:t xml:space="preserve"> </w:t>
            </w:r>
            <w:r>
              <w:t xml:space="preserve">‘</w:t>
            </w:r>
            <w:r>
              <w:t xml:space="preserve">formally incorporated as the official Enterprise-Managed Authorization extension</w:t>
            </w:r>
            <w:r>
              <w:t xml:space="preserve">’</w:t>
            </w:r>
            <w:r>
              <w:t xml:space="preserve"> </w:t>
            </w:r>
            <w:r>
              <w:t xml:space="preserve">for MCP</w:t>
            </w:r>
          </w:p>
        </w:tc>
        <w:tc>
          <w:tcPr/>
          <w:p>
            <w:pPr>
              <w:pStyle w:val="Compact"/>
              <w:jc w:val="left"/>
            </w:pPr>
            <w:r>
              <w:t xml:space="preserve">Verified fact</w:t>
            </w:r>
          </w:p>
        </w:tc>
        <w:tc>
          <w:tcPr/>
          <w:p>
            <w:pPr>
              <w:pStyle w:val="Compact"/>
              <w:jc w:val="left"/>
            </w:pPr>
            <w:r>
              <w:t xml:space="preserve">A6-S021, A6-S017, A6-S080, A6-S099</w:t>
            </w:r>
          </w:p>
        </w:tc>
      </w:tr>
      <w:tr>
        <w:tc>
          <w:tcPr/>
          <w:p>
            <w:pPr>
              <w:pStyle w:val="Compact"/>
              <w:jc w:val="left"/>
            </w:pPr>
            <w:r>
              <w:t xml:space="preserve">Adoption signals</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Maturity</w:t>
            </w:r>
          </w:p>
        </w:tc>
        <w:tc>
          <w:tcPr/>
          <w:p>
            <w:pPr>
              <w:pStyle w:val="Compact"/>
              <w:jc w:val="left"/>
            </w:pPr>
            <w:r>
              <w:t xml:space="preserve">Authorisation is OPTIONAL in MCP; several underlying documents are IETF drafts; frequent breaking revisions (2025-03-26, 2025-06-18, 2025-11-25, 2026-07-28)</w:t>
            </w:r>
          </w:p>
        </w:tc>
        <w:tc>
          <w:tcPr/>
          <w:p>
            <w:pPr>
              <w:pStyle w:val="Compact"/>
              <w:jc w:val="left"/>
            </w:pPr>
            <w:r>
              <w:t xml:space="preserve">Verified fact</w:t>
            </w:r>
          </w:p>
        </w:tc>
        <w:tc>
          <w:tcPr/>
          <w:p>
            <w:pPr>
              <w:pStyle w:val="Compact"/>
              <w:jc w:val="left"/>
            </w:pPr>
            <w:r>
              <w:t xml:space="preserve">A6-S033, A6-S021</w:t>
            </w:r>
          </w:p>
        </w:tc>
      </w:tr>
      <w:tr>
        <w:tc>
          <w:tcPr/>
          <w:p>
            <w:pPr>
              <w:pStyle w:val="Compact"/>
              <w:jc w:val="left"/>
            </w:pPr>
            <w:r>
              <w:t xml:space="preserve">Deployment</w:t>
            </w:r>
          </w:p>
        </w:tc>
        <w:tc>
          <w:tcPr/>
          <w:p>
            <w:pPr>
              <w:pStyle w:val="Compact"/>
              <w:jc w:val="left"/>
            </w:pPr>
            <w:r>
              <w:t xml:space="preserve">saas: Not publicly verified; managed_cloud: Not publicly verified; vpc_byoc: Not publicly verified; private_cloud: Not publicly verified; self_hosted: Not publicly verified; on_prem: Not publicly verified</w:t>
            </w:r>
          </w:p>
        </w:tc>
        <w:tc>
          <w:tcPr/>
          <w:p>
            <w:pPr>
              <w:pStyle w:val="Compact"/>
            </w:pPr>
          </w:p>
        </w:tc>
        <w:tc>
          <w:tcPr/>
          <w:p>
            <w:pPr>
              <w:pStyle w:val="Compact"/>
            </w:pPr>
          </w:p>
        </w:tc>
      </w:tr>
    </w:tbl>
    <w:bookmarkEnd w:id="2180"/>
    <w:bookmarkEnd w:id="2181"/>
    <w:bookmarkStart w:id="2251" w:name="c5-prompt-and-configuration-management"/>
    <w:p>
      <w:pPr>
        <w:pStyle w:val="Heading1"/>
      </w:pPr>
      <w:r>
        <w:t xml:space="preserve">C5: Prompt and configuration management</w:t>
      </w:r>
    </w:p>
    <w:bookmarkStart w:id="2194" w:name="X7a8aed464e982d29aff110e2580d9dbda211170"/>
    <w:p>
      <w:pPr>
        <w:pStyle w:val="Heading2"/>
      </w:pPr>
      <w:r>
        <w:t xml:space="preserve">LangSmith prompt management (Prompts, Prompt Hub) (</w:t>
      </w:r>
      <w:r>
        <w:rPr>
          <w:rStyle w:val="VerbatimChar"/>
        </w:rPr>
        <w:t xml:space="preserve">C5-langsmith-prompts</w:t>
      </w:r>
      <w:r>
        <w:t xml:space="preserve">)</w:t>
      </w:r>
    </w:p>
    <w:p>
      <w:pPr>
        <w:pStyle w:val="FirstParagraph"/>
      </w:pPr>
      <w:r>
        <w:rPr>
          <w:bCs/>
          <w:b/>
        </w:rPr>
        <w:t xml:space="preserve">Tier:</w:t>
      </w:r>
      <w:r>
        <w:t xml:space="preserve"> </w:t>
      </w:r>
      <w:r>
        <w:t xml:space="preserve">Strategic ·</w:t>
      </w:r>
      <w:r>
        <w:t xml:space="preserve"> </w:t>
      </w:r>
      <w:r>
        <w:rPr>
          <w:bCs/>
          <w:b/>
        </w:rPr>
        <w:t xml:space="preserve">Flags:</w:t>
      </w:r>
      <w:r>
        <w:t xml:space="preserve"> </w:t>
      </w:r>
      <w:r>
        <w:t xml:space="preserve">none ·</w:t>
      </w:r>
      <w:r>
        <w:t xml:space="preserve"> </w:t>
      </w:r>
      <w:r>
        <w:rPr>
          <w:bCs/>
          <w:b/>
        </w:rPr>
        <w:t xml:space="preserve">Original graphic label:</w:t>
      </w:r>
      <w:r>
        <w:t xml:space="preserve"> </w:t>
      </w:r>
      <w:r>
        <w:t xml:space="preserve">not in graphic</w:t>
      </w:r>
    </w:p>
    <w:p>
      <w:pPr>
        <w:pStyle w:val="BodyText"/>
      </w:pPr>
      <w:r>
        <w:rPr>
          <w:iCs/>
          <w:i/>
        </w:rPr>
        <w:t xml:space="preserve">Rationale:</w:t>
      </w:r>
      <w:r>
        <w:t xml:space="preserve"> </w:t>
      </w:r>
      <w:r>
        <w:t xml:space="preserve">Strategic only in a LangSmith/LangGraph estate, with GitHub sync enabled as the exit route; otherwise Tactical</w:t>
      </w:r>
      <w:r>
        <w:t xml:space="preserve"> </w:t>
      </w:r>
      <w:r>
        <w:rPr>
          <w:rStyle w:val="ClaimLabel"/>
        </w:rPr>
        <w:t xml:space="preserve">AJ</w:t>
      </w:r>
      <w:r>
        <w:t xml:space="preserve">.</w:t>
      </w:r>
    </w:p>
    <w:tbl>
      <w:tblPr>
        <w:tblStyle w:val="Table"/>
        <w:tblW w:type="pct" w:w="5000"/>
        <w:tblLook w:firstRow="1" w:lastRow="0" w:firstColumn="0" w:lastColumn="0" w:noHBand="0" w:noVBand="0" w:val="0020"/>
        <w:jc w:val="start"/>
      </w:tblPr>
      <w:tblGrid>
        <w:gridCol w:w="1545"/>
        <w:gridCol w:w="579"/>
        <w:gridCol w:w="5795"/>
      </w:tblGrid>
      <w:tr>
        <w:trPr>
          <w:tblHeader w:val="true"/>
        </w:trPr>
        <w:tc>
          <w:tcPr/>
          <w:p>
            <w:pPr>
              <w:pStyle w:val="Compact"/>
              <w:jc w:val="left"/>
            </w:pPr>
            <w:r>
              <w:t xml:space="preserve">Criterion</w:t>
            </w:r>
          </w:p>
        </w:tc>
        <w:tc>
          <w:tcPr/>
          <w:p>
            <w:pPr>
              <w:pStyle w:val="Compact"/>
              <w:jc w:val="right"/>
            </w:pPr>
            <w:r>
              <w:t xml:space="preserve">Score</w:t>
            </w:r>
          </w:p>
        </w:tc>
        <w:tc>
          <w:tcPr/>
          <w:p>
            <w:pPr>
              <w:pStyle w:val="Compact"/>
              <w:jc w:val="left"/>
            </w:pPr>
            <w:r>
              <w:t xml:space="preserve">Rationale</w:t>
            </w:r>
          </w:p>
        </w:tc>
      </w:tr>
      <w:tr>
        <w:tc>
          <w:tcPr/>
          <w:p>
            <w:pPr>
              <w:pStyle w:val="Compact"/>
              <w:jc w:val="left"/>
            </w:pPr>
            <w:r>
              <w:t xml:space="preserve">Technical</w:t>
            </w:r>
          </w:p>
        </w:tc>
        <w:tc>
          <w:tcPr/>
          <w:p>
            <w:pPr>
              <w:pStyle w:val="Compact"/>
              <w:jc w:val="right"/>
            </w:pPr>
            <w:r>
              <w:t xml:space="preserve">4</w:t>
            </w:r>
          </w:p>
        </w:tc>
        <w:tc>
          <w:tcPr/>
          <w:p>
            <w:pPr>
              <w:pStyle w:val="Compact"/>
              <w:jc w:val="left"/>
            </w:pPr>
            <w:r>
              <w:t xml:space="preserve">Commits, diffs, environments, promotion, rollback history, owners, webhooks and Git sync; no documented percentage rollout or user segmentation.</w:t>
            </w:r>
          </w:p>
        </w:tc>
      </w:tr>
      <w:tr>
        <w:tc>
          <w:tcPr/>
          <w:p>
            <w:pPr>
              <w:pStyle w:val="Compact"/>
              <w:jc w:val="left"/>
            </w:pPr>
            <w:r>
              <w:t xml:space="preserve">Enterprise readiness</w:t>
            </w:r>
          </w:p>
        </w:tc>
        <w:tc>
          <w:tcPr/>
          <w:p>
            <w:pPr>
              <w:pStyle w:val="Compact"/>
              <w:jc w:val="right"/>
            </w:pPr>
            <w:r>
              <w:t xml:space="preserve">4</w:t>
            </w:r>
          </w:p>
        </w:tc>
        <w:tc>
          <w:tcPr/>
          <w:p>
            <w:pPr>
              <w:pStyle w:val="Compact"/>
              <w:jc w:val="left"/>
            </w:pPr>
            <w:r>
              <w:t xml:space="preserve">Organisation and workspace roles, custom RBAC and per-prompt owners; Enterprise SSO, ABAC and support SLA from the platform record; SCIM not documented.</w:t>
            </w:r>
          </w:p>
        </w:tc>
      </w:tr>
      <w:tr>
        <w:tc>
          <w:tcPr/>
          <w:p>
            <w:pPr>
              <w:pStyle w:val="Compact"/>
              <w:jc w:val="left"/>
            </w:pPr>
            <w:r>
              <w:t xml:space="preserve">Security and compliance</w:t>
            </w:r>
          </w:p>
        </w:tc>
        <w:tc>
          <w:tcPr/>
          <w:p>
            <w:pPr>
              <w:pStyle w:val="Compact"/>
              <w:jc w:val="right"/>
            </w:pPr>
            <w:r>
              <w:t xml:space="preserve">4</w:t>
            </w:r>
          </w:p>
        </w:tc>
        <w:tc>
          <w:tcPr/>
          <w:p>
            <w:pPr>
              <w:pStyle w:val="Compact"/>
              <w:jc w:val="left"/>
            </w:pPr>
            <w:r>
              <w:t xml:space="preserve">SOC 2 Type II, ISO 27001:2022, HIPAA BAA on Enterprise; no CMK/BYOK documented, so not 5.</w:t>
            </w:r>
          </w:p>
        </w:tc>
      </w:tr>
      <w:tr>
        <w:tc>
          <w:tcPr/>
          <w:p>
            <w:pPr>
              <w:pStyle w:val="Compact"/>
              <w:jc w:val="left"/>
            </w:pPr>
            <w:r>
              <w:t xml:space="preserve">Deployment flexibility</w:t>
            </w:r>
          </w:p>
        </w:tc>
        <w:tc>
          <w:tcPr/>
          <w:p>
            <w:pPr>
              <w:pStyle w:val="Compact"/>
              <w:jc w:val="right"/>
            </w:pPr>
            <w:r>
              <w:t xml:space="preserve">5</w:t>
            </w:r>
          </w:p>
        </w:tc>
        <w:tc>
          <w:tcPr/>
          <w:p>
            <w:pPr>
              <w:pStyle w:val="Compact"/>
              <w:jc w:val="left"/>
            </w:pPr>
            <w:r>
              <w:t xml:space="preserve">SaaS in US, EU and APAC regions, BYOC on AWS, self-hosted and air-gapped self-host on Enterprise.</w:t>
            </w:r>
          </w:p>
        </w:tc>
      </w:tr>
      <w:tr>
        <w:tc>
          <w:tcPr/>
          <w:p>
            <w:pPr>
              <w:pStyle w:val="Compact"/>
              <w:jc w:val="left"/>
            </w:pPr>
            <w:r>
              <w:t xml:space="preserve">Ecosystem</w:t>
            </w:r>
          </w:p>
        </w:tc>
        <w:tc>
          <w:tcPr/>
          <w:p>
            <w:pPr>
              <w:pStyle w:val="Compact"/>
              <w:jc w:val="right"/>
            </w:pPr>
            <w:r>
              <w:t xml:space="preserve">4</w:t>
            </w:r>
          </w:p>
        </w:tc>
        <w:tc>
          <w:tcPr/>
          <w:p>
            <w:pPr>
              <w:pStyle w:val="Compact"/>
              <w:jc w:val="left"/>
            </w:pPr>
            <w:r>
              <w:t xml:space="preserve">LangChain ecosystem, langchain-prompty integration, webhooks and GitHub sync.</w:t>
            </w:r>
          </w:p>
        </w:tc>
      </w:tr>
      <w:tr>
        <w:tc>
          <w:tcPr/>
          <w:p>
            <w:pPr>
              <w:pStyle w:val="Compact"/>
              <w:jc w:val="left"/>
            </w:pPr>
            <w:r>
              <w:t xml:space="preserve">Reliability and maturity</w:t>
            </w:r>
          </w:p>
        </w:tc>
        <w:tc>
          <w:tcPr/>
          <w:p>
            <w:pPr>
              <w:pStyle w:val="Compact"/>
              <w:jc w:val="right"/>
            </w:pPr>
            <w:r>
              <w:t xml:space="preserve">4</w:t>
            </w:r>
          </w:p>
        </w:tc>
        <w:tc>
          <w:tcPr/>
          <w:p>
            <w:pPr>
              <w:pStyle w:val="Compact"/>
              <w:jc w:val="left"/>
            </w:pPr>
            <w:r>
              <w:t xml:space="preserve">GA since 2023, independent and funded (US$125M Series B, October 2025).</w:t>
            </w:r>
          </w:p>
        </w:tc>
      </w:tr>
      <w:tr>
        <w:tc>
          <w:tcPr/>
          <w:p>
            <w:pPr>
              <w:pStyle w:val="Compact"/>
              <w:jc w:val="left"/>
            </w:pPr>
            <w:r>
              <w:t xml:space="preserve">Cost / TCO</w:t>
            </w:r>
          </w:p>
        </w:tc>
        <w:tc>
          <w:tcPr/>
          <w:p>
            <w:pPr>
              <w:pStyle w:val="Compact"/>
              <w:jc w:val="right"/>
            </w:pPr>
            <w:r>
              <w:t xml:space="preserve">3</w:t>
            </w:r>
          </w:p>
        </w:tc>
        <w:tc>
          <w:tcPr/>
          <w:p>
            <w:pPr>
              <w:pStyle w:val="Compact"/>
              <w:jc w:val="left"/>
            </w:pPr>
            <w:r>
              <w:t xml:space="preserve">Per-seat plus per-trace pricing; heavy self-host footprint.</w:t>
            </w:r>
          </w:p>
        </w:tc>
      </w:tr>
      <w:tr>
        <w:tc>
          <w:tcPr/>
          <w:p>
            <w:pPr>
              <w:pStyle w:val="Compact"/>
              <w:jc w:val="left"/>
            </w:pPr>
            <w:r>
              <w:t xml:space="preserve">Lock-in / portability</w:t>
            </w:r>
          </w:p>
        </w:tc>
        <w:tc>
          <w:tcPr/>
          <w:p>
            <w:pPr>
              <w:pStyle w:val="Compact"/>
              <w:jc w:val="right"/>
            </w:pPr>
            <w:r>
              <w:t xml:space="preserve">3</w:t>
            </w:r>
          </w:p>
        </w:tc>
        <w:tc>
          <w:tcPr/>
          <w:p>
            <w:pPr>
              <w:pStyle w:val="Compact"/>
              <w:jc w:val="left"/>
            </w:pPr>
            <w:r>
              <w:t xml:space="preserve">Proprietary service, but prompt text syncs to GitHub, so lock-in is lower than for LangSmith traces (L9 scores 2).</w:t>
            </w:r>
          </w:p>
        </w:tc>
      </w:tr>
      <w:tr>
        <w:tc>
          <w:tcPr/>
          <w:p>
            <w:pPr>
              <w:pStyle w:val="Compact"/>
              <w:jc w:val="left"/>
            </w:pPr>
            <w:r>
              <w:rPr>
                <w:bCs/>
                <w:b/>
              </w:rPr>
              <w:t xml:space="preserve">Total (generic / FS)</w:t>
            </w:r>
          </w:p>
        </w:tc>
        <w:tc>
          <w:tcPr/>
          <w:p>
            <w:pPr>
              <w:pStyle w:val="Compact"/>
              <w:jc w:val="right"/>
            </w:pPr>
            <w:r>
              <w:rPr>
                <w:bCs/>
                <w:b/>
              </w:rPr>
              <w:t xml:space="preserve">4.00 / 3.95</w:t>
            </w:r>
          </w:p>
        </w:tc>
        <w:tc>
          <w:tcPr/>
          <w:p>
            <w:pPr>
              <w:pStyle w:val="Compact"/>
            </w:pPr>
          </w:p>
        </w:tc>
      </w:tr>
    </w:tbl>
    <w:p>
      <w:pPr>
        <w:pStyle w:val="BodyText"/>
      </w:pPr>
      <w:r>
        <w:rPr>
          <w:bCs/>
          <w:b/>
        </w:rPr>
        <w:t xml:space="preserve">Capabilities.</w:t>
      </w:r>
      <w:r>
        <w:t xml:space="preserve"> </w:t>
      </w:r>
      <w:r>
        <w:t xml:space="preserve">Prompts stored as a commit history with diffs; reserved Staging and Production environments assigned by promotion; per-environment rollback history;</w:t>
      </w:r>
      <w:r>
        <w:t xml:space="preserve"> </w:t>
      </w:r>
      <w:r>
        <w:t xml:space="preserve">‘</w:t>
      </w:r>
      <w:r>
        <w:t xml:space="preserve">owners only</w:t>
      </w:r>
      <w:r>
        <w:t xml:space="preserve">’</w:t>
      </w:r>
      <w:r>
        <w:t xml:space="preserve"> </w:t>
      </w:r>
      <w:r>
        <w:t xml:space="preserve">mode restricting who may tag, promote or delete; webhooks on every commit; synchronisation of prompts with a GitHub repository; public prompt hub</w:t>
      </w:r>
      <w:r>
        <w:t xml:space="preserve"> </w:t>
      </w:r>
      <w:r>
        <w:rPr>
          <w:rStyle w:val="ClaimLabel"/>
        </w:rPr>
        <w:t xml:space="preserve">VF</w:t>
      </w:r>
      <w:r>
        <w:rPr>
          <w:rStyle w:val="FootnoteReference"/>
        </w:rPr>
        <w:footnoteReference w:id="2182"/>
      </w:r>
      <w:r>
        <w:t xml:space="preserve">.</w:t>
      </w:r>
    </w:p>
    <w:p>
      <w:pPr>
        <w:pStyle w:val="BodyText"/>
      </w:pPr>
      <w:r>
        <w:rPr>
          <w:bCs/>
          <w:b/>
        </w:rPr>
        <w:t xml:space="preserve">Strengths</w:t>
      </w:r>
    </w:p>
    <w:p>
      <w:pPr>
        <w:numPr>
          <w:ilvl w:val="0"/>
          <w:numId w:val="1469"/>
        </w:numPr>
        <w:pStyle w:val="Compact"/>
      </w:pPr>
      <w:r>
        <w:t xml:space="preserve">The most complete change-control workflow among the registries profiled: commits, diffs, promotion, rollback history and prompt owners</w:t>
      </w:r>
      <w:r>
        <w:t xml:space="preserve"> </w:t>
      </w:r>
      <w:r>
        <w:rPr>
          <w:rStyle w:val="ClaimLabel"/>
        </w:rPr>
        <w:t xml:space="preserve">VF</w:t>
      </w:r>
      <w:r>
        <w:rPr>
          <w:rStyle w:val="FootnoteReference"/>
        </w:rPr>
        <w:footnoteReference w:id="2184"/>
      </w:r>
      <w:r>
        <w:t xml:space="preserve"> </w:t>
      </w:r>
      <w:r>
        <w:rPr>
          <w:rStyle w:val="ClaimLabel"/>
        </w:rPr>
        <w:t xml:space="preserve">AJ</w:t>
      </w:r>
    </w:p>
    <w:p>
      <w:pPr>
        <w:numPr>
          <w:ilvl w:val="0"/>
          <w:numId w:val="1469"/>
        </w:numPr>
        <w:pStyle w:val="Compact"/>
      </w:pPr>
      <w:r>
        <w:t xml:space="preserve">GitHub synchronisation gives a documented export path and lets Git remain the record</w:t>
      </w:r>
      <w:r>
        <w:t xml:space="preserve"> </w:t>
      </w:r>
      <w:r>
        <w:rPr>
          <w:rStyle w:val="ClaimLabel"/>
        </w:rPr>
        <w:t xml:space="preserve">VF</w:t>
      </w:r>
      <w:r>
        <w:rPr>
          <w:rStyle w:val="FootnoteReference"/>
        </w:rPr>
        <w:footnoteReference w:id="2185"/>
      </w:r>
    </w:p>
    <w:p>
      <w:pPr>
        <w:numPr>
          <w:ilvl w:val="0"/>
          <w:numId w:val="1469"/>
        </w:numPr>
        <w:pStyle w:val="Compact"/>
      </w:pPr>
      <w:r>
        <w:t xml:space="preserve">Webhooks on commit can trigger CI evaluation and change tickets</w:t>
      </w:r>
      <w:r>
        <w:t xml:space="preserve"> </w:t>
      </w:r>
      <w:r>
        <w:rPr>
          <w:rStyle w:val="ClaimLabel"/>
        </w:rPr>
        <w:t xml:space="preserve">VF</w:t>
      </w:r>
      <w:r>
        <w:rPr>
          <w:rStyle w:val="FootnoteReference"/>
        </w:rPr>
        <w:footnoteReference w:id="2186"/>
      </w:r>
    </w:p>
    <w:p>
      <w:pPr>
        <w:numPr>
          <w:ilvl w:val="0"/>
          <w:numId w:val="1469"/>
        </w:numPr>
        <w:pStyle w:val="Compact"/>
      </w:pPr>
      <w:r>
        <w:t xml:space="preserve">SOC 2 Type II, ISO 27001:2022 and HIPAA; US, EU (Netherlands) and APAC regions; BYOC on AWS, self-host and air-gapped self-host on Enterprise</w:t>
      </w:r>
      <w:r>
        <w:t xml:space="preserve"> </w:t>
      </w:r>
      <w:r>
        <w:rPr>
          <w:rStyle w:val="ClaimLabel"/>
        </w:rPr>
        <w:t xml:space="preserve">VF</w:t>
      </w:r>
      <w:r>
        <w:rPr>
          <w:rStyle w:val="FootnoteReference"/>
        </w:rPr>
        <w:footnoteReference w:id="2187"/>
      </w:r>
    </w:p>
    <w:p>
      <w:pPr>
        <w:pStyle w:val="FirstParagraph"/>
      </w:pPr>
      <w:r>
        <w:rPr>
          <w:bCs/>
          <w:b/>
        </w:rPr>
        <w:t xml:space="preserve">Limitations and risks</w:t>
      </w:r>
    </w:p>
    <w:p>
      <w:pPr>
        <w:numPr>
          <w:ilvl w:val="0"/>
          <w:numId w:val="1470"/>
        </w:numPr>
        <w:pStyle w:val="Compact"/>
      </w:pPr>
      <w:r>
        <w:t xml:space="preserve">Proprietary service for prompt storage and promotion</w:t>
      </w:r>
      <w:r>
        <w:t xml:space="preserve"> </w:t>
      </w:r>
      <w:r>
        <w:rPr>
          <w:rStyle w:val="ClaimLabel"/>
        </w:rPr>
        <w:t xml:space="preserve">VF</w:t>
      </w:r>
      <w:r>
        <w:rPr>
          <w:rStyle w:val="FootnoteReference"/>
        </w:rPr>
        <w:footnoteReference w:id="2189"/>
      </w:r>
    </w:p>
    <w:p>
      <w:pPr>
        <w:numPr>
          <w:ilvl w:val="0"/>
          <w:numId w:val="1470"/>
        </w:numPr>
        <w:pStyle w:val="Compact"/>
      </w:pPr>
      <w:r>
        <w:t xml:space="preserve">No EU legal entity for contracting</w:t>
      </w:r>
      <w:r>
        <w:t xml:space="preserve"> </w:t>
      </w:r>
      <w:r>
        <w:rPr>
          <w:rStyle w:val="ClaimLabel"/>
        </w:rPr>
        <w:t xml:space="preserve">VF</w:t>
      </w:r>
      <w:r>
        <w:rPr>
          <w:rStyle w:val="FootnoteReference"/>
        </w:rPr>
        <w:footnoteReference w:id="2191"/>
      </w:r>
    </w:p>
    <w:p>
      <w:pPr>
        <w:numPr>
          <w:ilvl w:val="0"/>
          <w:numId w:val="1470"/>
        </w:numPr>
        <w:pStyle w:val="Compact"/>
      </w:pPr>
      <w:r>
        <w:t xml:space="preserve">Self-hosting is an Enterprise add-on with a heavy footprint (Kubernetes, PostgreSQL, Redis, ClickHouse)</w:t>
      </w:r>
      <w:r>
        <w:t xml:space="preserve"> </w:t>
      </w:r>
      <w:r>
        <w:rPr>
          <w:rStyle w:val="ClaimLabel"/>
        </w:rPr>
        <w:t xml:space="preserve">VF</w:t>
      </w:r>
      <w:r>
        <w:rPr>
          <w:rStyle w:val="FootnoteReference"/>
        </w:rPr>
        <w:footnoteReference w:id="2192"/>
      </w:r>
    </w:p>
    <w:p>
      <w:pPr>
        <w:numPr>
          <w:ilvl w:val="0"/>
          <w:numId w:val="1470"/>
        </w:numPr>
        <w:pStyle w:val="Compact"/>
      </w:pPr>
      <w:r>
        <w:t xml:space="preserve">Platform increasingly bundles the LangChain agent runtime</w:t>
      </w:r>
      <w:r>
        <w:t xml:space="preserve"> </w:t>
      </w:r>
      <w:r>
        <w:rPr>
          <w:rStyle w:val="ClaimLabel"/>
        </w:rPr>
        <w:t xml:space="preserve">VF</w:t>
      </w:r>
      <w:r>
        <w:rPr>
          <w:rStyle w:val="FootnoteReference"/>
        </w:rPr>
        <w:footnoteReference w:id="2193"/>
      </w:r>
    </w:p>
    <w:p>
      <w:pPr>
        <w:pStyle w:val="FirstParagraph"/>
      </w:pPr>
      <w:r>
        <w:rPr>
          <w:bCs/>
          <w:b/>
        </w:rPr>
        <w:t xml:space="preserve">Choose when</w:t>
      </w:r>
    </w:p>
    <w:p>
      <w:pPr>
        <w:numPr>
          <w:ilvl w:val="0"/>
          <w:numId w:val="1471"/>
        </w:numPr>
        <w:pStyle w:val="Compact"/>
      </w:pPr>
      <w:r>
        <w:t xml:space="preserve">LangSmith is already the L9 platform and LangGraph the orchestration standard</w:t>
      </w:r>
      <w:r>
        <w:t xml:space="preserve"> </w:t>
      </w:r>
      <w:r>
        <w:rPr>
          <w:rStyle w:val="ClaimLabel"/>
        </w:rPr>
        <w:t xml:space="preserve">AJ</w:t>
      </w:r>
    </w:p>
    <w:p>
      <w:pPr>
        <w:numPr>
          <w:ilvl w:val="0"/>
          <w:numId w:val="1471"/>
        </w:numPr>
        <w:pStyle w:val="Compact"/>
      </w:pPr>
      <w:r>
        <w:t xml:space="preserve">Product owners need a UI promotion and rollback workflow while engineering keeps Git as the record via sync</w:t>
      </w:r>
      <w:r>
        <w:t xml:space="preserve"> </w:t>
      </w:r>
      <w:r>
        <w:rPr>
          <w:rStyle w:val="ClaimLabel"/>
        </w:rPr>
        <w:t xml:space="preserve">AJ</w:t>
      </w:r>
    </w:p>
    <w:p>
      <w:pPr>
        <w:pStyle w:val="FirstParagraph"/>
      </w:pPr>
      <w:r>
        <w:rPr>
          <w:bCs/>
          <w:b/>
        </w:rPr>
        <w:t xml:space="preserve">Avoid when</w:t>
      </w:r>
    </w:p>
    <w:p>
      <w:pPr>
        <w:numPr>
          <w:ilvl w:val="0"/>
          <w:numId w:val="1472"/>
        </w:numPr>
        <w:pStyle w:val="Compact"/>
      </w:pPr>
      <w:r>
        <w:t xml:space="preserve">You want the prompt registry separated from the agent runtime vendor</w:t>
      </w:r>
      <w:r>
        <w:t xml:space="preserve"> </w:t>
      </w:r>
      <w:r>
        <w:rPr>
          <w:rStyle w:val="ClaimLabel"/>
        </w:rPr>
        <w:t xml:space="preserve">AJ</w:t>
      </w:r>
    </w:p>
    <w:p>
      <w:pPr>
        <w:numPr>
          <w:ilvl w:val="0"/>
          <w:numId w:val="1472"/>
        </w:numPr>
        <w:pStyle w:val="Compact"/>
      </w:pPr>
      <w:r>
        <w:t xml:space="preserve">Contracting with an EU legal entity is a requirement</w:t>
      </w:r>
      <w:r>
        <w:t xml:space="preserve"> </w:t>
      </w:r>
      <w:r>
        <w:rPr>
          <w:rStyle w:val="ClaimLabel"/>
        </w:rPr>
        <w:t xml:space="preserve">AJ</w:t>
      </w:r>
    </w:p>
    <w:p>
      <w:pPr>
        <w:pStyle w:val="FirstParagraph"/>
      </w:pPr>
      <w:r>
        <w:rPr>
          <w:bCs/>
          <w:b/>
        </w:rPr>
        <w:t xml:space="preserve">Nearest competitors:</w:t>
      </w:r>
      <w:r>
        <w:t xml:space="preserve"> </w:t>
      </w:r>
      <w:r>
        <w:t xml:space="preserve">C5-langfuse-prompts, C5-promptlayer, C5-prompts-as-code</w:t>
      </w:r>
    </w:p>
    <w:p>
      <w:pPr>
        <w:pStyle w:val="BodyText"/>
      </w:pPr>
      <w:r>
        <w:rPr>
          <w:bCs/>
          <w:b/>
        </w:rPr>
        <w:t xml:space="preserve">Regulated-FS note.</w:t>
      </w:r>
      <w:r>
        <w:t xml:space="preserve"> </w:t>
      </w:r>
      <w:r>
        <w:t xml:space="preserve">Enable owners-only mode on production prompts, route promotion through a service identity triggered after the eval gate, and use GitHub sync so that the approved prompt text also lives in the firm’s repository</w:t>
      </w:r>
      <w:r>
        <w:t xml:space="preserve"> </w:t>
      </w:r>
      <w:r>
        <w:rPr>
          <w:rStyle w:val="ClaimLabel"/>
        </w:rPr>
        <w:t xml:space="preserve">Rec</w:t>
      </w:r>
      <w:r>
        <w:t xml:space="preserve">.</w:t>
      </w:r>
    </w:p>
    <w:p>
      <w:pPr>
        <w:pStyle w:val="BodyText"/>
      </w:pPr>
      <w:r>
        <w:rPr>
          <w:bCs/>
          <w:b/>
        </w:rPr>
        <w:t xml:space="preserve">Facts (as of 2026-10-07)</w:t>
      </w:r>
    </w:p>
    <w:tbl>
      <w:tblPr>
        <w:tblStyle w:val="Table"/>
        <w:tblW w:type="pct" w:w="5000"/>
        <w:tblLook w:firstRow="1" w:lastRow="0" w:firstColumn="0" w:lastColumn="0" w:noHBand="0" w:noVBand="0" w:val="0020"/>
        <w:jc w:val="start"/>
      </w:tblPr>
      <w:tblGrid>
        <w:gridCol w:w="1485"/>
        <w:gridCol w:w="4290"/>
        <w:gridCol w:w="1320"/>
        <w:gridCol w:w="825"/>
      </w:tblGrid>
      <w:tr>
        <w:trPr>
          <w:tblHeader w:val="true"/>
        </w:trPr>
        <w:tc>
          <w:tcPr/>
          <w:p>
            <w:pPr>
              <w:pStyle w:val="Compact"/>
              <w:jc w:val="left"/>
            </w:pPr>
            <w:r>
              <w:t xml:space="preserve">Field</w:t>
            </w:r>
          </w:p>
        </w:tc>
        <w:tc>
          <w:tcPr/>
          <w:p>
            <w:pPr>
              <w:pStyle w:val="Compact"/>
              <w:jc w:val="left"/>
            </w:pPr>
            <w:r>
              <w:t xml:space="preserve">Value</w:t>
            </w:r>
          </w:p>
        </w:tc>
        <w:tc>
          <w:tcPr/>
          <w:p>
            <w:pPr>
              <w:pStyle w:val="Compact"/>
              <w:jc w:val="left"/>
            </w:pPr>
            <w:r>
              <w:t xml:space="preserve">Label</w:t>
            </w:r>
          </w:p>
        </w:tc>
        <w:tc>
          <w:tcPr/>
          <w:p>
            <w:pPr>
              <w:pStyle w:val="Compact"/>
              <w:jc w:val="left"/>
            </w:pPr>
            <w:r>
              <w:t xml:space="preserve">Sources</w:t>
            </w:r>
          </w:p>
        </w:tc>
      </w:tr>
      <w:tr>
        <w:tc>
          <w:tcPr/>
          <w:p>
            <w:pPr>
              <w:pStyle w:val="Compact"/>
              <w:jc w:val="left"/>
            </w:pPr>
            <w:r>
              <w:t xml:space="preserve">Company</w:t>
            </w:r>
          </w:p>
        </w:tc>
        <w:tc>
          <w:tcPr/>
          <w:p>
            <w:pPr>
              <w:pStyle w:val="Compact"/>
              <w:jc w:val="left"/>
            </w:pPr>
            <w:r>
              <w:t xml:space="preserve">LangChain, Inc.</w:t>
            </w:r>
          </w:p>
        </w:tc>
        <w:tc>
          <w:tcPr/>
          <w:p>
            <w:pPr>
              <w:pStyle w:val="Compact"/>
              <w:jc w:val="left"/>
            </w:pPr>
            <w:r>
              <w:t xml:space="preserve">Verified fact</w:t>
            </w:r>
          </w:p>
        </w:tc>
        <w:tc>
          <w:tcPr/>
          <w:p>
            <w:pPr>
              <w:pStyle w:val="Compact"/>
              <w:jc w:val="left"/>
            </w:pPr>
            <w:r>
              <w:t xml:space="preserve">A7-S076, A7-S011</w:t>
            </w:r>
          </w:p>
        </w:tc>
      </w:tr>
      <w:tr>
        <w:tc>
          <w:tcPr/>
          <w:p>
            <w:pPr>
              <w:pStyle w:val="Compact"/>
              <w:jc w:val="left"/>
            </w:pPr>
            <w:r>
              <w:t xml:space="preserve">Category</w:t>
            </w:r>
          </w:p>
        </w:tc>
        <w:tc>
          <w:tcPr/>
          <w:p>
            <w:pPr>
              <w:pStyle w:val="Compact"/>
              <w:jc w:val="left"/>
            </w:pPr>
            <w:r>
              <w:t xml:space="preserve">Prompt management within an LLM observability, evaluation and deployment platform</w:t>
            </w:r>
          </w:p>
        </w:tc>
        <w:tc>
          <w:tcPr/>
          <w:p>
            <w:pPr>
              <w:pStyle w:val="Compact"/>
              <w:jc w:val="left"/>
            </w:pPr>
            <w:r>
              <w:t xml:space="preserve">Verified fact</w:t>
            </w:r>
          </w:p>
        </w:tc>
        <w:tc>
          <w:tcPr/>
          <w:p>
            <w:pPr>
              <w:pStyle w:val="Compact"/>
              <w:jc w:val="left"/>
            </w:pPr>
            <w:r>
              <w:t xml:space="preserve">A7-S076, A7-S078</w:t>
            </w:r>
          </w:p>
        </w:tc>
      </w:tr>
      <w:tr>
        <w:tc>
          <w:tcPr/>
          <w:p>
            <w:pPr>
              <w:pStyle w:val="Compact"/>
              <w:jc w:val="left"/>
            </w:pPr>
            <w:r>
              <w:t xml:space="preserve">Version / lineup</w:t>
            </w:r>
          </w:p>
        </w:tc>
        <w:tc>
          <w:tcPr/>
          <w:p>
            <w:pPr>
              <w:pStyle w:val="Compact"/>
              <w:jc w:val="left"/>
            </w:pPr>
            <w:r>
              <w:t xml:space="preserve">langsmith Python SDK 0.14.4 released 2 October 2026 (platform is a continuously deployed SaaS)</w:t>
            </w:r>
          </w:p>
        </w:tc>
        <w:tc>
          <w:tcPr/>
          <w:p>
            <w:pPr>
              <w:pStyle w:val="Compact"/>
              <w:jc w:val="left"/>
            </w:pPr>
            <w:r>
              <w:t xml:space="preserve">Verified fact</w:t>
            </w:r>
          </w:p>
        </w:tc>
        <w:tc>
          <w:tcPr/>
          <w:p>
            <w:pPr>
              <w:pStyle w:val="Compact"/>
              <w:jc w:val="left"/>
            </w:pPr>
            <w:r>
              <w:t xml:space="preserve">A7-S011</w:t>
            </w:r>
          </w:p>
        </w:tc>
      </w:tr>
      <w:tr>
        <w:tc>
          <w:tcPr/>
          <w:p>
            <w:pPr>
              <w:pStyle w:val="Compact"/>
              <w:jc w:val="left"/>
            </w:pPr>
            <w:r>
              <w:t xml:space="preserve">Licence</w:t>
            </w:r>
          </w:p>
        </w:tc>
        <w:tc>
          <w:tcPr/>
          <w:p>
            <w:pPr>
              <w:pStyle w:val="Compact"/>
              <w:jc w:val="left"/>
            </w:pPr>
            <w:r>
              <w:t xml:space="preserve">Proprietary platform (self-hosting is an Enterprise add-on); langsmith SDK MIT</w:t>
            </w:r>
          </w:p>
        </w:tc>
        <w:tc>
          <w:tcPr/>
          <w:p>
            <w:pPr>
              <w:pStyle w:val="Compact"/>
              <w:jc w:val="left"/>
            </w:pPr>
            <w:r>
              <w:t xml:space="preserve">Verified fact</w:t>
            </w:r>
          </w:p>
        </w:tc>
        <w:tc>
          <w:tcPr/>
          <w:p>
            <w:pPr>
              <w:pStyle w:val="Compact"/>
              <w:jc w:val="left"/>
            </w:pPr>
            <w:r>
              <w:t xml:space="preserve">A7-S079, A7-S011</w:t>
            </w:r>
          </w:p>
        </w:tc>
      </w:tr>
      <w:tr>
        <w:tc>
          <w:tcPr/>
          <w:p>
            <w:pPr>
              <w:pStyle w:val="Compact"/>
              <w:jc w:val="left"/>
            </w:pPr>
            <w:r>
              <w:t xml:space="preserve">Strategic direction</w:t>
            </w:r>
          </w:p>
        </w:tc>
        <w:tc>
          <w:tcPr/>
          <w:p>
            <w:pPr>
              <w:pStyle w:val="Compact"/>
              <w:jc w:val="left"/>
            </w:pPr>
            <w:r>
              <w:t xml:space="preserve">Prompt workflow modelled on commits: environments (Staging/Production) as reserved commit tags, promotion UI, prompt owners, webhooks on commit and synchronisation of prompts with a GitHub repository</w:t>
            </w:r>
          </w:p>
        </w:tc>
        <w:tc>
          <w:tcPr/>
          <w:p>
            <w:pPr>
              <w:pStyle w:val="Compact"/>
              <w:jc w:val="left"/>
            </w:pPr>
            <w:r>
              <w:t xml:space="preserve">Verified fact</w:t>
            </w:r>
          </w:p>
        </w:tc>
        <w:tc>
          <w:tcPr/>
          <w:p>
            <w:pPr>
              <w:pStyle w:val="Compact"/>
              <w:jc w:val="left"/>
            </w:pPr>
            <w:r>
              <w:t xml:space="preserve">A7-S076</w:t>
            </w:r>
          </w:p>
        </w:tc>
      </w:tr>
      <w:tr>
        <w:tc>
          <w:tcPr/>
          <w:p>
            <w:pPr>
              <w:pStyle w:val="Compact"/>
              <w:jc w:val="left"/>
            </w:pPr>
            <w:r>
              <w:t xml:space="preserve">What it does</w:t>
            </w:r>
          </w:p>
        </w:tc>
        <w:tc>
          <w:tcPr/>
          <w:p>
            <w:pPr>
              <w:pStyle w:val="Compact"/>
              <w:jc w:val="left"/>
            </w:pPr>
            <w:r>
              <w:t xml:space="preserve">Stores prompts as a commit history with diffs; commit tags and the reserved</w:t>
            </w:r>
            <w:r>
              <w:t xml:space="preserve"> </w:t>
            </w:r>
            <w:r>
              <w:t xml:space="preserve">‘</w:t>
            </w:r>
            <w:r>
              <w:t xml:space="preserve">staging</w:t>
            </w:r>
            <w:r>
              <w:t xml:space="preserve">’</w:t>
            </w:r>
            <w:r>
              <w:t xml:space="preserve"> </w:t>
            </w:r>
            <w:r>
              <w:t xml:space="preserve">and</w:t>
            </w:r>
            <w:r>
              <w:t xml:space="preserve"> </w:t>
            </w:r>
            <w:r>
              <w:t xml:space="preserve">‘</w:t>
            </w:r>
            <w:r>
              <w:t xml:space="preserve">production</w:t>
            </w:r>
            <w:r>
              <w:t xml:space="preserve">’</w:t>
            </w:r>
            <w:r>
              <w:t xml:space="preserve"> </w:t>
            </w:r>
            <w:r>
              <w:t xml:space="preserve">tags mark which version is live in each environment.</w:t>
            </w:r>
            <w:r>
              <w:t xml:space="preserve"> </w:t>
            </w:r>
            <w:r>
              <w:t xml:space="preserve">‘</w:t>
            </w:r>
            <w:r>
              <w:t xml:space="preserve">Owners only</w:t>
            </w:r>
            <w:r>
              <w:t xml:space="preserve">’</w:t>
            </w:r>
            <w:r>
              <w:t xml:space="preserve"> </w:t>
            </w:r>
            <w:r>
              <w:t xml:space="preserve">mode restricts who can tag, promote or delete a prompt. Webhooks fire on each commit, and a public prompt hub offers community prompts.</w:t>
            </w:r>
          </w:p>
        </w:tc>
        <w:tc>
          <w:tcPr/>
          <w:p>
            <w:pPr>
              <w:pStyle w:val="Compact"/>
              <w:jc w:val="left"/>
            </w:pPr>
            <w:r>
              <w:t xml:space="preserve">Verified fact</w:t>
            </w:r>
          </w:p>
        </w:tc>
        <w:tc>
          <w:tcPr/>
          <w:p>
            <w:pPr>
              <w:pStyle w:val="Compact"/>
              <w:jc w:val="left"/>
            </w:pPr>
            <w:r>
              <w:t xml:space="preserve">A7-S076</w:t>
            </w:r>
          </w:p>
        </w:tc>
      </w:tr>
      <w:tr>
        <w:tc>
          <w:tcPr/>
          <w:p>
            <w:pPr>
              <w:pStyle w:val="Compact"/>
              <w:jc w:val="left"/>
            </w:pPr>
            <w:r>
              <w:t xml:space="preserve">Stack position</w:t>
            </w:r>
          </w:p>
        </w:tc>
        <w:tc>
          <w:tcPr/>
          <w:p>
            <w:pPr>
              <w:pStyle w:val="Compact"/>
              <w:jc w:val="left"/>
            </w:pPr>
            <w:r>
              <w:t xml:space="preserve">Control-plane capability (C5) inside the L9 LangSmith platform; the graphic shows LangSmith only as</w:t>
            </w:r>
            <w:r>
              <w:t xml:space="preserve"> </w:t>
            </w:r>
            <w:r>
              <w:t xml:space="preserve">‘</w:t>
            </w:r>
            <w:r>
              <w:t xml:space="preserve">trace &amp; eval</w:t>
            </w:r>
            <w:r>
              <w:t xml:space="preserve">’</w:t>
            </w:r>
          </w:p>
        </w:tc>
        <w:tc>
          <w:tcPr/>
          <w:p>
            <w:pPr>
              <w:pStyle w:val="Compact"/>
              <w:jc w:val="left"/>
            </w:pPr>
            <w:r>
              <w:t xml:space="preserve">Verified fact</w:t>
            </w:r>
          </w:p>
        </w:tc>
        <w:tc>
          <w:tcPr/>
          <w:p>
            <w:pPr>
              <w:pStyle w:val="Compact"/>
              <w:jc w:val="left"/>
            </w:pPr>
            <w:r>
              <w:t xml:space="preserve">A7-S076</w:t>
            </w:r>
          </w:p>
        </w:tc>
      </w:tr>
      <w:tr>
        <w:tc>
          <w:tcPr/>
          <w:p>
            <w:pPr>
              <w:pStyle w:val="Compact"/>
              <w:jc w:val="left"/>
            </w:pPr>
            <w:r>
              <w:t xml:space="preserve">Integration</w:t>
            </w:r>
          </w:p>
        </w:tc>
        <w:tc>
          <w:tcPr/>
          <w:p>
            <w:pPr>
              <w:pStyle w:val="Compact"/>
              <w:jc w:val="left"/>
            </w:pPr>
            <w:r>
              <w:t xml:space="preserve">LangSmith UI, API and SDK; webhooks on prompt commit; GitHub synchronisation</w:t>
            </w:r>
          </w:p>
        </w:tc>
        <w:tc>
          <w:tcPr/>
          <w:p>
            <w:pPr>
              <w:pStyle w:val="Compact"/>
              <w:jc w:val="left"/>
            </w:pPr>
            <w:r>
              <w:t xml:space="preserve">Verified fact</w:t>
            </w:r>
          </w:p>
        </w:tc>
        <w:tc>
          <w:tcPr/>
          <w:p>
            <w:pPr>
              <w:pStyle w:val="Compact"/>
              <w:jc w:val="left"/>
            </w:pPr>
            <w:r>
              <w:t xml:space="preserve">A7-S076</w:t>
            </w:r>
          </w:p>
        </w:tc>
      </w:tr>
      <w:tr>
        <w:tc>
          <w:tcPr/>
          <w:p>
            <w:pPr>
              <w:pStyle w:val="Compact"/>
              <w:jc w:val="left"/>
            </w:pPr>
            <w:r>
              <w:t xml:space="preserve">Dependencies</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Certifications</w:t>
            </w:r>
          </w:p>
        </w:tc>
        <w:tc>
          <w:tcPr/>
          <w:p>
            <w:pPr>
              <w:pStyle w:val="Compact"/>
              <w:jc w:val="left"/>
            </w:pPr>
            <w:r>
              <w:t xml:space="preserve">SOC 2 Type 2; HIPAA compliant; GDPR</w:t>
            </w:r>
          </w:p>
        </w:tc>
        <w:tc>
          <w:tcPr/>
          <w:p>
            <w:pPr>
              <w:pStyle w:val="Compact"/>
              <w:jc w:val="left"/>
            </w:pPr>
            <w:r>
              <w:t xml:space="preserve">Verified fact</w:t>
            </w:r>
          </w:p>
        </w:tc>
        <w:tc>
          <w:tcPr/>
          <w:p>
            <w:pPr>
              <w:pStyle w:val="Compact"/>
              <w:jc w:val="left"/>
            </w:pPr>
            <w:r>
              <w:t xml:space="preserve">A7-S077</w:t>
            </w:r>
          </w:p>
        </w:tc>
      </w:tr>
      <w:tr>
        <w:tc>
          <w:tcPr/>
          <w:p>
            <w:pPr>
              <w:pStyle w:val="Compact"/>
              <w:jc w:val="left"/>
            </w:pPr>
            <w:r>
              <w:t xml:space="preserve">GDPR / residency</w:t>
            </w:r>
          </w:p>
        </w:tc>
        <w:tc>
          <w:tcPr/>
          <w:p>
            <w:pPr>
              <w:pStyle w:val="Compact"/>
              <w:jc w:val="left"/>
            </w:pPr>
            <w:r>
              <w:t xml:space="preserve">SaaS regions: US (GCP us-central1), EU (GCP europe-west4, Netherlands), APAC (GCP australia-southeast1, from May 2026), US on AWS (us-east-2, from April 2026). No EU legal entity for contracting.</w:t>
            </w:r>
          </w:p>
        </w:tc>
        <w:tc>
          <w:tcPr/>
          <w:p>
            <w:pPr>
              <w:pStyle w:val="Compact"/>
              <w:jc w:val="left"/>
            </w:pPr>
            <w:r>
              <w:t xml:space="preserve">Verified fact</w:t>
            </w:r>
          </w:p>
        </w:tc>
        <w:tc>
          <w:tcPr/>
          <w:p>
            <w:pPr>
              <w:pStyle w:val="Compact"/>
              <w:jc w:val="left"/>
            </w:pPr>
            <w:r>
              <w:t xml:space="preserve">A7-S077, A7-S078</w:t>
            </w:r>
          </w:p>
        </w:tc>
      </w:tr>
      <w:tr>
        <w:tc>
          <w:tcPr/>
          <w:p>
            <w:pPr>
              <w:pStyle w:val="Compact"/>
              <w:jc w:val="left"/>
            </w:pPr>
            <w:r>
              <w:t xml:space="preserve">Security features</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Access controls</w:t>
            </w:r>
          </w:p>
        </w:tc>
        <w:tc>
          <w:tcPr/>
          <w:p>
            <w:pPr>
              <w:pStyle w:val="Compact"/>
              <w:jc w:val="left"/>
            </w:pPr>
            <w:r>
              <w:t xml:space="preserve">Organisation and workspace roles, custom RBAC roles, personal access tokens; per-prompt owners</w:t>
            </w:r>
          </w:p>
        </w:tc>
        <w:tc>
          <w:tcPr/>
          <w:p>
            <w:pPr>
              <w:pStyle w:val="Compact"/>
              <w:jc w:val="left"/>
            </w:pPr>
            <w:r>
              <w:t xml:space="preserve">Verified fact</w:t>
            </w:r>
          </w:p>
        </w:tc>
        <w:tc>
          <w:tcPr/>
          <w:p>
            <w:pPr>
              <w:pStyle w:val="Compact"/>
              <w:jc w:val="left"/>
            </w:pPr>
            <w:r>
              <w:t xml:space="preserve">A7-S080, A7-S076</w:t>
            </w:r>
          </w:p>
        </w:tc>
      </w:tr>
      <w:tr>
        <w:tc>
          <w:tcPr/>
          <w:p>
            <w:pPr>
              <w:pStyle w:val="Compact"/>
              <w:jc w:val="left"/>
            </w:pPr>
            <w:r>
              <w:t xml:space="preserve">Enterprise support</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Pricing</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Infrastructure cost</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Ecosystem</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Adoption signals</w:t>
            </w:r>
          </w:p>
        </w:tc>
        <w:tc>
          <w:tcPr/>
          <w:p>
            <w:pPr>
              <w:pStyle w:val="Compact"/>
              <w:jc w:val="left"/>
            </w:pPr>
            <w:r>
              <w:t xml:space="preserve">langsmith SDK first published on PyPI 26 June 2023</w:t>
            </w:r>
          </w:p>
        </w:tc>
        <w:tc>
          <w:tcPr/>
          <w:p>
            <w:pPr>
              <w:pStyle w:val="Compact"/>
              <w:jc w:val="left"/>
            </w:pPr>
            <w:r>
              <w:t xml:space="preserve">Verified fact</w:t>
            </w:r>
          </w:p>
        </w:tc>
        <w:tc>
          <w:tcPr/>
          <w:p>
            <w:pPr>
              <w:pStyle w:val="Compact"/>
              <w:jc w:val="left"/>
            </w:pPr>
            <w:r>
              <w:t xml:space="preserve">A7-S011</w:t>
            </w:r>
          </w:p>
        </w:tc>
      </w:tr>
      <w:tr>
        <w:tc>
          <w:tcPr/>
          <w:p>
            <w:pPr>
              <w:pStyle w:val="Compact"/>
              <w:jc w:val="left"/>
            </w:pPr>
            <w:r>
              <w:t xml:space="preserve">Maturity</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Deployment</w:t>
            </w:r>
          </w:p>
        </w:tc>
        <w:tc>
          <w:tcPr/>
          <w:p>
            <w:pPr>
              <w:pStyle w:val="Compact"/>
              <w:jc w:val="left"/>
            </w:pPr>
            <w:r>
              <w:t xml:space="preserve">saas: Yes; managed_cloud: Not publicly verified; vpc_byoc: Not publicly verified; private_cloud: Not publicly verified; self_hosted: Yes (Enterprise add-on, Kubernetes); on_prem: Not publicly verified</w:t>
            </w:r>
          </w:p>
        </w:tc>
        <w:tc>
          <w:tcPr/>
          <w:p>
            <w:pPr>
              <w:pStyle w:val="Compact"/>
            </w:pPr>
          </w:p>
        </w:tc>
        <w:tc>
          <w:tcPr/>
          <w:p>
            <w:pPr>
              <w:pStyle w:val="Compact"/>
            </w:pPr>
          </w:p>
        </w:tc>
      </w:tr>
    </w:tbl>
    <w:bookmarkEnd w:id="2194"/>
    <w:bookmarkStart w:id="2208" w:name="X091957632d92049759dcc566bef0692edb2c07c"/>
    <w:p>
      <w:pPr>
        <w:pStyle w:val="Heading2"/>
      </w:pPr>
      <w:r>
        <w:t xml:space="preserve">Langfuse Prompt Management (a capability of the Langfuse platform) (</w:t>
      </w:r>
      <w:r>
        <w:rPr>
          <w:rStyle w:val="VerbatimChar"/>
        </w:rPr>
        <w:t xml:space="preserve">C5-langfuse-prompts</w:t>
      </w:r>
      <w:r>
        <w:t xml:space="preserve">)</w:t>
      </w:r>
    </w:p>
    <w:p>
      <w:pPr>
        <w:pStyle w:val="FirstParagraph"/>
      </w:pPr>
      <w:r>
        <w:rPr>
          <w:bCs/>
          <w:b/>
        </w:rPr>
        <w:t xml:space="preserve">Tier:</w:t>
      </w:r>
      <w:r>
        <w:t xml:space="preserve"> </w:t>
      </w:r>
      <w:r>
        <w:t xml:space="preserve">Strategic ·</w:t>
      </w:r>
      <w:r>
        <w:t xml:space="preserve"> </w:t>
      </w:r>
      <w:r>
        <w:rPr>
          <w:bCs/>
          <w:b/>
        </w:rPr>
        <w:t xml:space="preserve">Flags:</w:t>
      </w:r>
      <w:r>
        <w:t xml:space="preserve"> </w:t>
      </w:r>
      <w:r>
        <w:t xml:space="preserve">Acquired ·</w:t>
      </w:r>
      <w:r>
        <w:t xml:space="preserve"> </w:t>
      </w:r>
      <w:r>
        <w:rPr>
          <w:bCs/>
          <w:b/>
        </w:rPr>
        <w:t xml:space="preserve">Original graphic label:</w:t>
      </w:r>
      <w:r>
        <w:t xml:space="preserve"> </w:t>
      </w:r>
      <w:r>
        <w:t xml:space="preserve">not in graphic</w:t>
      </w:r>
    </w:p>
    <w:p>
      <w:pPr>
        <w:pStyle w:val="BodyText"/>
      </w:pPr>
      <w:r>
        <w:rPr>
          <w:iCs/>
          <w:i/>
        </w:rPr>
        <w:t xml:space="preserve">Rationale:</w:t>
      </w:r>
      <w:r>
        <w:t xml:space="preserve"> </w:t>
      </w:r>
      <w:r>
        <w:t xml:space="preserve">Strategic only where Langfuse is the L9 platform of record and the Enterprise licence is bought for protected labels, RBAC and audit logs; otherwise Tactical</w:t>
      </w:r>
      <w:r>
        <w:t xml:space="preserve"> </w:t>
      </w:r>
      <w:r>
        <w:rPr>
          <w:rStyle w:val="ClaimLabel"/>
        </w:rPr>
        <w:t xml:space="preserve">AJ</w:t>
      </w:r>
      <w:r>
        <w:t xml:space="preserve">.</w:t>
      </w:r>
    </w:p>
    <w:tbl>
      <w:tblPr>
        <w:tblStyle w:val="Table"/>
        <w:tblW w:type="pct" w:w="5000"/>
        <w:tblLook w:firstRow="1" w:lastRow="0" w:firstColumn="0" w:lastColumn="0" w:noHBand="0" w:noVBand="0" w:val="0020"/>
        <w:jc w:val="start"/>
      </w:tblPr>
      <w:tblGrid>
        <w:gridCol w:w="1545"/>
        <w:gridCol w:w="579"/>
        <w:gridCol w:w="5795"/>
      </w:tblGrid>
      <w:tr>
        <w:trPr>
          <w:tblHeader w:val="true"/>
        </w:trPr>
        <w:tc>
          <w:tcPr/>
          <w:p>
            <w:pPr>
              <w:pStyle w:val="Compact"/>
              <w:jc w:val="left"/>
            </w:pPr>
            <w:r>
              <w:t xml:space="preserve">Criterion</w:t>
            </w:r>
          </w:p>
        </w:tc>
        <w:tc>
          <w:tcPr/>
          <w:p>
            <w:pPr>
              <w:pStyle w:val="Compact"/>
              <w:jc w:val="right"/>
            </w:pPr>
            <w:r>
              <w:t xml:space="preserve">Score</w:t>
            </w:r>
          </w:p>
        </w:tc>
        <w:tc>
          <w:tcPr/>
          <w:p>
            <w:pPr>
              <w:pStyle w:val="Compact"/>
              <w:jc w:val="left"/>
            </w:pPr>
            <w:r>
              <w:t xml:space="preserve">Rationale</w:t>
            </w:r>
          </w:p>
        </w:tc>
      </w:tr>
      <w:tr>
        <w:tc>
          <w:tcPr/>
          <w:p>
            <w:pPr>
              <w:pStyle w:val="Compact"/>
              <w:jc w:val="left"/>
            </w:pPr>
            <w:r>
              <w:t xml:space="preserve">Technical</w:t>
            </w:r>
          </w:p>
        </w:tc>
        <w:tc>
          <w:tcPr/>
          <w:p>
            <w:pPr>
              <w:pStyle w:val="Compact"/>
              <w:jc w:val="right"/>
            </w:pPr>
            <w:r>
              <w:t xml:space="preserve">4</w:t>
            </w:r>
          </w:p>
        </w:tc>
        <w:tc>
          <w:tcPr/>
          <w:p>
            <w:pPr>
              <w:pStyle w:val="Compact"/>
              <w:jc w:val="left"/>
            </w:pPr>
            <w:r>
              <w:t xml:space="preserve">Versions, environment/tenant/experiment labels, client caching, loud failure on missing labels and trace linkage; no documented approval workflow, Git sync or percentage rollout.</w:t>
            </w:r>
          </w:p>
        </w:tc>
      </w:tr>
      <w:tr>
        <w:tc>
          <w:tcPr/>
          <w:p>
            <w:pPr>
              <w:pStyle w:val="Compact"/>
              <w:jc w:val="left"/>
            </w:pPr>
            <w:r>
              <w:t xml:space="preserve">Enterprise readiness</w:t>
            </w:r>
          </w:p>
        </w:tc>
        <w:tc>
          <w:tcPr/>
          <w:p>
            <w:pPr>
              <w:pStyle w:val="Compact"/>
              <w:jc w:val="right"/>
            </w:pPr>
            <w:r>
              <w:t xml:space="preserve">4</w:t>
            </w:r>
          </w:p>
        </w:tc>
        <w:tc>
          <w:tcPr/>
          <w:p>
            <w:pPr>
              <w:pStyle w:val="Compact"/>
              <w:jc w:val="left"/>
            </w:pPr>
            <w:r>
              <w:t xml:space="preserve">Rule 7, aligned with the CP2 rework of L9 Langfuse (4): SSO, project-level RBAC, audit logs, SCIM and the Org Management API verified</w:t>
            </w:r>
            <w:r>
              <w:t xml:space="preserve"> </w:t>
            </w:r>
            <w:r>
              <w:rPr>
                <w:rStyle w:val="ClaimLabel"/>
              </w:rPr>
              <w:t xml:space="preserve">VF</w:t>
            </w:r>
            <w:r>
              <w:rPr>
                <w:rStyle w:val="FootnoteReference"/>
              </w:rPr>
              <w:footnoteReference w:id="2195"/>
            </w:r>
            <w:r>
              <w:t xml:space="preserve">; Enterprise-licensed when self-hosted, which is a stated condition of the tier; SLA terms not published.</w:t>
            </w:r>
          </w:p>
        </w:tc>
      </w:tr>
      <w:tr>
        <w:tc>
          <w:tcPr/>
          <w:p>
            <w:pPr>
              <w:pStyle w:val="Compact"/>
              <w:jc w:val="left"/>
            </w:pPr>
            <w:r>
              <w:t xml:space="preserve">Security and compliance</w:t>
            </w:r>
          </w:p>
        </w:tc>
        <w:tc>
          <w:tcPr/>
          <w:p>
            <w:pPr>
              <w:pStyle w:val="Compact"/>
              <w:jc w:val="right"/>
            </w:pPr>
            <w:r>
              <w:t xml:space="preserve">4</w:t>
            </w:r>
          </w:p>
        </w:tc>
        <w:tc>
          <w:tcPr/>
          <w:p>
            <w:pPr>
              <w:pStyle w:val="Compact"/>
              <w:jc w:val="left"/>
            </w:pPr>
            <w:r>
              <w:t xml:space="preserve">SOC 2 Type II and ISO 27001 with annual audits, DPA, EU region on Cloud; no CMK/BYOK documented, so not 5.</w:t>
            </w:r>
          </w:p>
        </w:tc>
      </w:tr>
      <w:tr>
        <w:tc>
          <w:tcPr/>
          <w:p>
            <w:pPr>
              <w:pStyle w:val="Compact"/>
              <w:jc w:val="left"/>
            </w:pPr>
            <w:r>
              <w:t xml:space="preserve">Deployment flexibility</w:t>
            </w:r>
          </w:p>
        </w:tc>
        <w:tc>
          <w:tcPr/>
          <w:p>
            <w:pPr>
              <w:pStyle w:val="Compact"/>
              <w:jc w:val="right"/>
            </w:pPr>
            <w:r>
              <w:t xml:space="preserve">4</w:t>
            </w:r>
          </w:p>
        </w:tc>
        <w:tc>
          <w:tcPr/>
          <w:p>
            <w:pPr>
              <w:pStyle w:val="Compact"/>
              <w:jc w:val="left"/>
            </w:pPr>
            <w:r>
              <w:t xml:space="preserve">SaaS (US, EU, JP, HIPAA regions), self-hosted in any region and fully offline; kept at 4 for consistency with L9 because vendor-managed BYOC is not documented (see scoring notes).</w:t>
            </w:r>
          </w:p>
        </w:tc>
      </w:tr>
      <w:tr>
        <w:tc>
          <w:tcPr/>
          <w:p>
            <w:pPr>
              <w:pStyle w:val="Compact"/>
              <w:jc w:val="left"/>
            </w:pPr>
            <w:r>
              <w:t xml:space="preserve">Ecosystem</w:t>
            </w:r>
          </w:p>
        </w:tc>
        <w:tc>
          <w:tcPr/>
          <w:p>
            <w:pPr>
              <w:pStyle w:val="Compact"/>
              <w:jc w:val="right"/>
            </w:pPr>
            <w:r>
              <w:t xml:space="preserve">4</w:t>
            </w:r>
          </w:p>
        </w:tc>
        <w:tc>
          <w:tcPr/>
          <w:p>
            <w:pPr>
              <w:pStyle w:val="Compact"/>
              <w:jc w:val="left"/>
            </w:pPr>
            <w:r>
              <w:t xml:space="preserve">Open-source SDKs in Python and JS/TS, OTel-based platform, wide adoption of the parent platform; prompt API is Langfuse-specific.</w:t>
            </w:r>
          </w:p>
        </w:tc>
      </w:tr>
      <w:tr>
        <w:tc>
          <w:tcPr/>
          <w:p>
            <w:pPr>
              <w:pStyle w:val="Compact"/>
              <w:jc w:val="left"/>
            </w:pPr>
            <w:r>
              <w:t xml:space="preserve">Reliability and maturity</w:t>
            </w:r>
          </w:p>
        </w:tc>
        <w:tc>
          <w:tcPr/>
          <w:p>
            <w:pPr>
              <w:pStyle w:val="Compact"/>
              <w:jc w:val="right"/>
            </w:pPr>
            <w:r>
              <w:t xml:space="preserve">4</w:t>
            </w:r>
          </w:p>
        </w:tc>
        <w:tc>
          <w:tcPr/>
          <w:p>
            <w:pPr>
              <w:pStyle w:val="Compact"/>
              <w:jc w:val="left"/>
            </w:pPr>
            <w:r>
              <w:t xml:space="preserve">Platform at v4, frequent SDK releases (4.17.0 on 5 October 2026); ownership changed to ClickHouse in January 2026 with no planned licence change.</w:t>
            </w:r>
          </w:p>
        </w:tc>
      </w:tr>
      <w:tr>
        <w:tc>
          <w:tcPr/>
          <w:p>
            <w:pPr>
              <w:pStyle w:val="Compact"/>
              <w:jc w:val="left"/>
            </w:pPr>
            <w:r>
              <w:t xml:space="preserve">Cost / TCO</w:t>
            </w:r>
          </w:p>
        </w:tc>
        <w:tc>
          <w:tcPr/>
          <w:p>
            <w:pPr>
              <w:pStyle w:val="Compact"/>
              <w:jc w:val="right"/>
            </w:pPr>
            <w:r>
              <w:t xml:space="preserve">4</w:t>
            </w:r>
          </w:p>
        </w:tc>
        <w:tc>
          <w:tcPr/>
          <w:p>
            <w:pPr>
              <w:pStyle w:val="Compact"/>
              <w:jc w:val="left"/>
            </w:pPr>
            <w:r>
              <w:t xml:space="preserve">MIT core free; the governance controls this control needs are in the paid Enterprise tier.</w:t>
            </w:r>
          </w:p>
        </w:tc>
      </w:tr>
      <w:tr>
        <w:tc>
          <w:tcPr/>
          <w:p>
            <w:pPr>
              <w:pStyle w:val="Compact"/>
              <w:jc w:val="left"/>
            </w:pPr>
            <w:r>
              <w:t xml:space="preserve">Lock-in / portability</w:t>
            </w:r>
          </w:p>
        </w:tc>
        <w:tc>
          <w:tcPr/>
          <w:p>
            <w:pPr>
              <w:pStyle w:val="Compact"/>
              <w:jc w:val="right"/>
            </w:pPr>
            <w:r>
              <w:t xml:space="preserve">3</w:t>
            </w:r>
          </w:p>
        </w:tc>
        <w:tc>
          <w:tcPr/>
          <w:p>
            <w:pPr>
              <w:pStyle w:val="Compact"/>
              <w:jc w:val="left"/>
            </w:pPr>
            <w:r>
              <w:t xml:space="preserve">Base 4 (MIT, self-hostable, prompts are text) reduced by 1 for the 2026 ownership change.</w:t>
            </w:r>
          </w:p>
        </w:tc>
      </w:tr>
      <w:tr>
        <w:tc>
          <w:tcPr/>
          <w:p>
            <w:pPr>
              <w:pStyle w:val="Compact"/>
              <w:jc w:val="left"/>
            </w:pPr>
            <w:r>
              <w:rPr>
                <w:bCs/>
                <w:b/>
              </w:rPr>
              <w:t xml:space="preserve">Total (generic / FS)</w:t>
            </w:r>
          </w:p>
        </w:tc>
        <w:tc>
          <w:tcPr/>
          <w:p>
            <w:pPr>
              <w:pStyle w:val="Compact"/>
              <w:jc w:val="right"/>
            </w:pPr>
            <w:r>
              <w:rPr>
                <w:bCs/>
                <w:b/>
              </w:rPr>
              <w:t xml:space="preserve">3.95 / 3.85</w:t>
            </w:r>
          </w:p>
        </w:tc>
        <w:tc>
          <w:tcPr/>
          <w:p>
            <w:pPr>
              <w:pStyle w:val="Compact"/>
            </w:pPr>
          </w:p>
        </w:tc>
      </w:tr>
    </w:tbl>
    <w:p>
      <w:pPr>
        <w:pStyle w:val="BodyText"/>
      </w:pPr>
      <w:r>
        <w:rPr>
          <w:iCs/>
          <w:i/>
        </w:rPr>
        <w:t xml:space="preserve">Evidence rules applied:</w:t>
      </w:r>
      <w:r>
        <w:t xml:space="preserve"> </w:t>
      </w:r>
      <w:r>
        <w:t xml:space="preserve">CP3 review: enterprise readiness raised from 3 to 4 to match the CP2-reworked L9 Langfuse score (rule 7: all three controls plus SCIM and an admin API)</w:t>
      </w:r>
    </w:p>
    <w:p>
      <w:pPr>
        <w:pStyle w:val="BodyText"/>
      </w:pPr>
      <w:r>
        <w:rPr>
          <w:bCs/>
          <w:b/>
        </w:rPr>
        <w:t xml:space="preserve">Capabilities.</w:t>
      </w:r>
      <w:r>
        <w:t xml:space="preserve"> </w:t>
      </w:r>
      <w:r>
        <w:t xml:space="preserve">Prompt registry inside the Langfuse platform: every prompt version gets an immutable version ID; labels (production, staging, tenant or experiment) select which version the SDK fetches; SDKs cache prompts client-side; prompt versions are linked to traces so quality and cost can be analysed by version; protected prompt labels restrict who may move a production label (Enterprise)</w:t>
      </w:r>
      <w:r>
        <w:t xml:space="preserve"> </w:t>
      </w:r>
      <w:r>
        <w:rPr>
          <w:rStyle w:val="ClaimLabel"/>
        </w:rPr>
        <w:t xml:space="preserve">VF</w:t>
      </w:r>
      <w:r>
        <w:rPr>
          <w:rStyle w:val="FootnoteReference"/>
        </w:rPr>
        <w:footnoteReference w:id="2197"/>
      </w:r>
      <w:r>
        <w:t xml:space="preserve">.</w:t>
      </w:r>
    </w:p>
    <w:p>
      <w:pPr>
        <w:pStyle w:val="BodyText"/>
      </w:pPr>
      <w:r>
        <w:rPr>
          <w:bCs/>
          <w:b/>
        </w:rPr>
        <w:t xml:space="preserve">Strengths</w:t>
      </w:r>
    </w:p>
    <w:p>
      <w:pPr>
        <w:numPr>
          <w:ilvl w:val="0"/>
          <w:numId w:val="1473"/>
        </w:numPr>
        <w:pStyle w:val="Compact"/>
      </w:pPr>
      <w:r>
        <w:t xml:space="preserve">Version-to-trace linkage answers</w:t>
      </w:r>
      <w:r>
        <w:t xml:space="preserve"> </w:t>
      </w:r>
      <w:r>
        <w:t xml:space="preserve">‘</w:t>
      </w:r>
      <w:r>
        <w:t xml:space="preserve">which prompt version produced this output</w:t>
      </w:r>
      <w:r>
        <w:t xml:space="preserve">’</w:t>
      </w:r>
      <w:r>
        <w:t xml:space="preserve"> </w:t>
      </w:r>
      <w:r>
        <w:t xml:space="preserve">inside the same store that holds the evaluation evidence (see L9)</w:t>
      </w:r>
      <w:r>
        <w:t xml:space="preserve"> </w:t>
      </w:r>
      <w:r>
        <w:rPr>
          <w:rStyle w:val="ClaimLabel"/>
        </w:rPr>
        <w:t xml:space="preserve">VF</w:t>
      </w:r>
      <w:r>
        <w:rPr>
          <w:rStyle w:val="FootnoteReference"/>
        </w:rPr>
        <w:footnoteReference w:id="2200"/>
      </w:r>
    </w:p>
    <w:p>
      <w:pPr>
        <w:numPr>
          <w:ilvl w:val="0"/>
          <w:numId w:val="1473"/>
        </w:numPr>
        <w:pStyle w:val="Compact"/>
      </w:pPr>
      <w:r>
        <w:t xml:space="preserve">Client-side SDK caching keeps the registry off the hot path</w:t>
      </w:r>
      <w:r>
        <w:t xml:space="preserve"> </w:t>
      </w:r>
      <w:r>
        <w:rPr>
          <w:rStyle w:val="ClaimLabel"/>
        </w:rPr>
        <w:t xml:space="preserve">VF</w:t>
      </w:r>
      <w:r>
        <w:rPr>
          <w:rStyle w:val="FootnoteReference"/>
        </w:rPr>
        <w:footnoteReference w:id="2201"/>
      </w:r>
    </w:p>
    <w:p>
      <w:pPr>
        <w:numPr>
          <w:ilvl w:val="0"/>
          <w:numId w:val="1473"/>
        </w:numPr>
        <w:pStyle w:val="Compact"/>
      </w:pPr>
      <w:r>
        <w:t xml:space="preserve">A missing label returns an error rather than silently serving another version, so a mislabelled environment fails loudly</w:t>
      </w:r>
      <w:r>
        <w:t xml:space="preserve"> </w:t>
      </w:r>
      <w:r>
        <w:rPr>
          <w:rStyle w:val="ClaimLabel"/>
        </w:rPr>
        <w:t xml:space="preserve">VF</w:t>
      </w:r>
      <w:r>
        <w:rPr>
          <w:rStyle w:val="FootnoteReference"/>
        </w:rPr>
        <w:footnoteReference w:id="2202"/>
      </w:r>
    </w:p>
    <w:p>
      <w:pPr>
        <w:numPr>
          <w:ilvl w:val="0"/>
          <w:numId w:val="1473"/>
        </w:numPr>
        <w:pStyle w:val="Compact"/>
      </w:pPr>
      <w:r>
        <w:t xml:space="preserve">MIT core; self-hosted or Cloud with SOC 2 Type II, ISO 27001 and an EU (Ireland) region</w:t>
      </w:r>
      <w:r>
        <w:t xml:space="preserve"> </w:t>
      </w:r>
      <w:r>
        <w:rPr>
          <w:rStyle w:val="ClaimLabel"/>
        </w:rPr>
        <w:t xml:space="preserve">VF</w:t>
      </w:r>
      <w:r>
        <w:rPr>
          <w:rStyle w:val="FootnoteReference"/>
        </w:rPr>
        <w:footnoteReference w:id="2203"/>
      </w:r>
    </w:p>
    <w:p>
      <w:pPr>
        <w:pStyle w:val="FirstParagraph"/>
      </w:pPr>
      <w:r>
        <w:rPr>
          <w:bCs/>
          <w:b/>
        </w:rPr>
        <w:t xml:space="preserve">Limitations and risks</w:t>
      </w:r>
    </w:p>
    <w:p>
      <w:pPr>
        <w:numPr>
          <w:ilvl w:val="0"/>
          <w:numId w:val="1474"/>
        </w:numPr>
        <w:pStyle w:val="Compact"/>
      </w:pPr>
      <w:r>
        <w:t xml:space="preserve">Protected prompt labels, project-level RBAC, audit logs and SCIM need an Enterprise licence key when self-hosted, so segregation of duties on production prompts is a paid feature</w:t>
      </w:r>
      <w:r>
        <w:t xml:space="preserve"> </w:t>
      </w:r>
      <w:r>
        <w:rPr>
          <w:rStyle w:val="ClaimLabel"/>
        </w:rPr>
        <w:t xml:space="preserve">VF</w:t>
      </w:r>
      <w:r>
        <w:rPr>
          <w:rStyle w:val="FootnoteReference"/>
        </w:rPr>
        <w:footnoteReference w:id="2205"/>
      </w:r>
    </w:p>
    <w:p>
      <w:pPr>
        <w:numPr>
          <w:ilvl w:val="0"/>
          <w:numId w:val="1474"/>
        </w:numPr>
        <w:pStyle w:val="Compact"/>
      </w:pPr>
      <w:r>
        <w:t xml:space="preserve">No native pull-request style approval or Git synchronisation documented in the fact base</w:t>
      </w:r>
      <w:r>
        <w:t xml:space="preserve"> </w:t>
      </w:r>
      <w:r>
        <w:rPr>
          <w:rStyle w:val="ClaimLabel"/>
        </w:rPr>
        <w:t xml:space="preserve">NPV</w:t>
      </w:r>
    </w:p>
    <w:p>
      <w:pPr>
        <w:numPr>
          <w:ilvl w:val="0"/>
          <w:numId w:val="1474"/>
        </w:numPr>
        <w:pStyle w:val="Compact"/>
      </w:pPr>
      <w:r>
        <w:t xml:space="preserve">Owned by ClickHouse (acquisition announced 16 January 2026)</w:t>
      </w:r>
      <w:r>
        <w:t xml:space="preserve"> </w:t>
      </w:r>
      <w:r>
        <w:rPr>
          <w:rStyle w:val="ClaimLabel"/>
        </w:rPr>
        <w:t xml:space="preserve">VF</w:t>
      </w:r>
      <w:r>
        <w:rPr>
          <w:rStyle w:val="FootnoteReference"/>
        </w:rPr>
        <w:footnoteReference w:id="2206"/>
      </w:r>
    </w:p>
    <w:p>
      <w:pPr>
        <w:numPr>
          <w:ilvl w:val="0"/>
          <w:numId w:val="1474"/>
        </w:numPr>
        <w:pStyle w:val="Compact"/>
      </w:pPr>
      <w:r>
        <w:t xml:space="preserve">Langfuse-specific prompt API and SDK</w:t>
      </w:r>
      <w:r>
        <w:t xml:space="preserve"> </w:t>
      </w:r>
      <w:r>
        <w:rPr>
          <w:rStyle w:val="ClaimLabel"/>
        </w:rPr>
        <w:t xml:space="preserve">VF</w:t>
      </w:r>
      <w:r>
        <w:rPr>
          <w:rStyle w:val="FootnoteReference"/>
        </w:rPr>
        <w:footnoteReference w:id="2207"/>
      </w:r>
    </w:p>
    <w:p>
      <w:pPr>
        <w:pStyle w:val="FirstParagraph"/>
      </w:pPr>
      <w:r>
        <w:rPr>
          <w:bCs/>
          <w:b/>
        </w:rPr>
        <w:t xml:space="preserve">Choose when</w:t>
      </w:r>
    </w:p>
    <w:p>
      <w:pPr>
        <w:numPr>
          <w:ilvl w:val="0"/>
          <w:numId w:val="1475"/>
        </w:numPr>
        <w:pStyle w:val="Compact"/>
      </w:pPr>
      <w:r>
        <w:t xml:space="preserve">Langfuse is already the L9 platform of record and you want prompt versions and traces in one place</w:t>
      </w:r>
      <w:r>
        <w:t xml:space="preserve"> </w:t>
      </w:r>
      <w:r>
        <w:rPr>
          <w:rStyle w:val="ClaimLabel"/>
        </w:rPr>
        <w:t xml:space="preserve">AJ</w:t>
      </w:r>
    </w:p>
    <w:p>
      <w:pPr>
        <w:numPr>
          <w:ilvl w:val="0"/>
          <w:numId w:val="1475"/>
        </w:numPr>
        <w:pStyle w:val="Compact"/>
      </w:pPr>
      <w:r>
        <w:t xml:space="preserve">You need a self-hosted registry inside the estate</w:t>
      </w:r>
      <w:r>
        <w:t xml:space="preserve"> </w:t>
      </w:r>
      <w:r>
        <w:rPr>
          <w:rStyle w:val="ClaimLabel"/>
        </w:rPr>
        <w:t xml:space="preserve">AJ</w:t>
      </w:r>
    </w:p>
    <w:p>
      <w:pPr>
        <w:pStyle w:val="FirstParagraph"/>
      </w:pPr>
      <w:r>
        <w:rPr>
          <w:bCs/>
          <w:b/>
        </w:rPr>
        <w:t xml:space="preserve">Avoid when</w:t>
      </w:r>
    </w:p>
    <w:p>
      <w:pPr>
        <w:numPr>
          <w:ilvl w:val="0"/>
          <w:numId w:val="1476"/>
        </w:numPr>
        <w:pStyle w:val="Compact"/>
      </w:pPr>
      <w:r>
        <w:t xml:space="preserve">You will not buy the Enterprise licence, because without protected labels any project member with write access can move the production label</w:t>
      </w:r>
      <w:r>
        <w:t xml:space="preserve"> </w:t>
      </w:r>
      <w:r>
        <w:rPr>
          <w:rStyle w:val="ClaimLabel"/>
        </w:rPr>
        <w:t xml:space="preserve">AJ</w:t>
      </w:r>
    </w:p>
    <w:p>
      <w:pPr>
        <w:numPr>
          <w:ilvl w:val="0"/>
          <w:numId w:val="1476"/>
        </w:numPr>
        <w:pStyle w:val="Compact"/>
      </w:pPr>
      <w:r>
        <w:t xml:space="preserve">Your change process requires approvals to happen in the source-control system</w:t>
      </w:r>
      <w:r>
        <w:t xml:space="preserve"> </w:t>
      </w:r>
      <w:r>
        <w:rPr>
          <w:rStyle w:val="ClaimLabel"/>
        </w:rPr>
        <w:t xml:space="preserve">AJ</w:t>
      </w:r>
    </w:p>
    <w:p>
      <w:pPr>
        <w:pStyle w:val="FirstParagraph"/>
      </w:pPr>
      <w:r>
        <w:rPr>
          <w:bCs/>
          <w:b/>
        </w:rPr>
        <w:t xml:space="preserve">Nearest competitors:</w:t>
      </w:r>
      <w:r>
        <w:t xml:space="preserve"> </w:t>
      </w:r>
      <w:r>
        <w:t xml:space="preserve">C5-langsmith-prompts, C5-promptlayer, C5-prompts-as-code</w:t>
      </w:r>
    </w:p>
    <w:p>
      <w:pPr>
        <w:pStyle w:val="BodyText"/>
      </w:pPr>
      <w:r>
        <w:rPr>
          <w:bCs/>
          <w:b/>
        </w:rPr>
        <w:t xml:space="preserve">Regulated-FS note.</w:t>
      </w:r>
      <w:r>
        <w:t xml:space="preserve"> </w:t>
      </w:r>
      <w:r>
        <w:t xml:space="preserve">Use as the runtime delivery and trace-linkage layer, fed by CI from Git after the eval gate; make the production label protected and restrict label moves to the release pipeline’s identity</w:t>
      </w:r>
      <w:r>
        <w:t xml:space="preserve"> </w:t>
      </w:r>
      <w:r>
        <w:rPr>
          <w:rStyle w:val="ClaimLabel"/>
        </w:rPr>
        <w:t xml:space="preserve">Rec</w:t>
      </w:r>
      <w:r>
        <w:t xml:space="preserve">.</w:t>
      </w:r>
    </w:p>
    <w:p>
      <w:pPr>
        <w:pStyle w:val="BodyText"/>
      </w:pPr>
      <w:r>
        <w:rPr>
          <w:bCs/>
          <w:b/>
        </w:rPr>
        <w:t xml:space="preserve">Facts (as of 2026-10-08)</w:t>
      </w:r>
    </w:p>
    <w:tbl>
      <w:tblPr>
        <w:tblStyle w:val="Table"/>
        <w:tblW w:type="pct" w:w="5000"/>
        <w:tblLook w:firstRow="1" w:lastRow="0" w:firstColumn="0" w:lastColumn="0" w:noHBand="0" w:noVBand="0" w:val="0020"/>
        <w:jc w:val="start"/>
      </w:tblPr>
      <w:tblGrid>
        <w:gridCol w:w="1485"/>
        <w:gridCol w:w="4290"/>
        <w:gridCol w:w="1320"/>
        <w:gridCol w:w="825"/>
      </w:tblGrid>
      <w:tr>
        <w:trPr>
          <w:tblHeader w:val="true"/>
        </w:trPr>
        <w:tc>
          <w:tcPr/>
          <w:p>
            <w:pPr>
              <w:pStyle w:val="Compact"/>
              <w:jc w:val="left"/>
            </w:pPr>
            <w:r>
              <w:t xml:space="preserve">Field</w:t>
            </w:r>
          </w:p>
        </w:tc>
        <w:tc>
          <w:tcPr/>
          <w:p>
            <w:pPr>
              <w:pStyle w:val="Compact"/>
              <w:jc w:val="left"/>
            </w:pPr>
            <w:r>
              <w:t xml:space="preserve">Value</w:t>
            </w:r>
          </w:p>
        </w:tc>
        <w:tc>
          <w:tcPr/>
          <w:p>
            <w:pPr>
              <w:pStyle w:val="Compact"/>
              <w:jc w:val="left"/>
            </w:pPr>
            <w:r>
              <w:t xml:space="preserve">Label</w:t>
            </w:r>
          </w:p>
        </w:tc>
        <w:tc>
          <w:tcPr/>
          <w:p>
            <w:pPr>
              <w:pStyle w:val="Compact"/>
              <w:jc w:val="left"/>
            </w:pPr>
            <w:r>
              <w:t xml:space="preserve">Sources</w:t>
            </w:r>
          </w:p>
        </w:tc>
      </w:tr>
      <w:tr>
        <w:tc>
          <w:tcPr/>
          <w:p>
            <w:pPr>
              <w:pStyle w:val="Compact"/>
              <w:jc w:val="left"/>
            </w:pPr>
            <w:r>
              <w:t xml:space="preserve">Company</w:t>
            </w:r>
          </w:p>
        </w:tc>
        <w:tc>
          <w:tcPr/>
          <w:p>
            <w:pPr>
              <w:pStyle w:val="Compact"/>
              <w:jc w:val="left"/>
            </w:pPr>
            <w:r>
              <w:t xml:space="preserve">Langfuse (part of ClickHouse, Inc. since January 2026, per the Langfuse README; LICENSE copyright</w:t>
            </w:r>
            <w:r>
              <w:t xml:space="preserve"> </w:t>
            </w:r>
            <w:r>
              <w:t xml:space="preserve">‘</w:t>
            </w:r>
            <w:r>
              <w:t xml:space="preserve">ClickHouse, Inc.</w:t>
            </w:r>
            <w:r>
              <w:t xml:space="preserve">’</w:t>
            </w:r>
            <w:r>
              <w:t xml:space="preserve">)</w:t>
            </w:r>
          </w:p>
        </w:tc>
        <w:tc>
          <w:tcPr/>
          <w:p>
            <w:pPr>
              <w:pStyle w:val="Compact"/>
              <w:jc w:val="left"/>
            </w:pPr>
            <w:r>
              <w:t xml:space="preserve">Verified fact</w:t>
            </w:r>
          </w:p>
        </w:tc>
        <w:tc>
          <w:tcPr/>
          <w:p>
            <w:pPr>
              <w:pStyle w:val="Compact"/>
              <w:jc w:val="left"/>
            </w:pPr>
            <w:r>
              <w:t xml:space="preserve">A7-S075, V2-S041</w:t>
            </w:r>
          </w:p>
        </w:tc>
      </w:tr>
      <w:tr>
        <w:tc>
          <w:tcPr/>
          <w:p>
            <w:pPr>
              <w:pStyle w:val="Compact"/>
              <w:jc w:val="left"/>
            </w:pPr>
            <w:r>
              <w:t xml:space="preserve">Category</w:t>
            </w:r>
          </w:p>
        </w:tc>
        <w:tc>
          <w:tcPr/>
          <w:p>
            <w:pPr>
              <w:pStyle w:val="Compact"/>
              <w:jc w:val="left"/>
            </w:pPr>
            <w:r>
              <w:t xml:space="preserve">Prompt management / prompt registry (feature of an open-source LLM engineering platform)</w:t>
            </w:r>
          </w:p>
        </w:tc>
        <w:tc>
          <w:tcPr/>
          <w:p>
            <w:pPr>
              <w:pStyle w:val="Compact"/>
              <w:jc w:val="left"/>
            </w:pPr>
            <w:r>
              <w:t xml:space="preserve">Verified fact</w:t>
            </w:r>
          </w:p>
        </w:tc>
        <w:tc>
          <w:tcPr/>
          <w:p>
            <w:pPr>
              <w:pStyle w:val="Compact"/>
              <w:jc w:val="left"/>
            </w:pPr>
            <w:r>
              <w:t xml:space="preserve">A7-S071</w:t>
            </w:r>
          </w:p>
        </w:tc>
      </w:tr>
      <w:tr>
        <w:tc>
          <w:tcPr/>
          <w:p>
            <w:pPr>
              <w:pStyle w:val="Compact"/>
              <w:jc w:val="left"/>
            </w:pPr>
            <w:r>
              <w:t xml:space="preserve">Version / lineup</w:t>
            </w:r>
          </w:p>
        </w:tc>
        <w:tc>
          <w:tcPr/>
          <w:p>
            <w:pPr>
              <w:pStyle w:val="Compact"/>
              <w:jc w:val="left"/>
            </w:pPr>
            <w:r>
              <w:t xml:space="preserve">Docs labelled</w:t>
            </w:r>
            <w:r>
              <w:t xml:space="preserve"> </w:t>
            </w:r>
            <w:r>
              <w:t xml:space="preserve">‘</w:t>
            </w:r>
            <w:r>
              <w:t xml:space="preserve">Version: v4</w:t>
            </w:r>
            <w:r>
              <w:t xml:space="preserve">’</w:t>
            </w:r>
            <w:r>
              <w:t xml:space="preserve">; Python SDK langfuse 4.17.0 released 5 October 2026</w:t>
            </w:r>
          </w:p>
        </w:tc>
        <w:tc>
          <w:tcPr/>
          <w:p>
            <w:pPr>
              <w:pStyle w:val="Compact"/>
              <w:jc w:val="left"/>
            </w:pPr>
            <w:r>
              <w:t xml:space="preserve">Verified fact</w:t>
            </w:r>
          </w:p>
        </w:tc>
        <w:tc>
          <w:tcPr/>
          <w:p>
            <w:pPr>
              <w:pStyle w:val="Compact"/>
              <w:jc w:val="left"/>
            </w:pPr>
            <w:r>
              <w:t xml:space="preserve">A7-S009, A7-S074</w:t>
            </w:r>
          </w:p>
        </w:tc>
      </w:tr>
      <w:tr>
        <w:tc>
          <w:tcPr/>
          <w:p>
            <w:pPr>
              <w:pStyle w:val="Compact"/>
              <w:jc w:val="left"/>
            </w:pPr>
            <w:r>
              <w:t xml:space="preserve">Licence</w:t>
            </w:r>
          </w:p>
        </w:tc>
        <w:tc>
          <w:tcPr/>
          <w:p>
            <w:pPr>
              <w:pStyle w:val="Compact"/>
              <w:jc w:val="left"/>
            </w:pPr>
            <w:r>
              <w:t xml:space="preserve">Open core: core features (including prompt management) MIT;</w:t>
            </w:r>
            <w:r>
              <w:t xml:space="preserve"> </w:t>
            </w:r>
            <w:r>
              <w:t xml:space="preserve">‘</w:t>
            </w:r>
            <w:r>
              <w:t xml:space="preserve">Protected Prompt Labels</w:t>
            </w:r>
            <w:r>
              <w:t xml:space="preserve">’</w:t>
            </w:r>
            <w:r>
              <w:t xml:space="preserve">, project-level RBAC, audit logs, SCIM and data-retention policies require an Enterprise licence key (ee folders)</w:t>
            </w:r>
          </w:p>
        </w:tc>
        <w:tc>
          <w:tcPr/>
          <w:p>
            <w:pPr>
              <w:pStyle w:val="Compact"/>
              <w:jc w:val="left"/>
            </w:pPr>
            <w:r>
              <w:t xml:space="preserve">Verified fact</w:t>
            </w:r>
          </w:p>
        </w:tc>
        <w:tc>
          <w:tcPr/>
          <w:p>
            <w:pPr>
              <w:pStyle w:val="Compact"/>
              <w:jc w:val="left"/>
            </w:pPr>
            <w:r>
              <w:t xml:space="preserve">A7-S074, A7-S075</w:t>
            </w:r>
          </w:p>
        </w:tc>
      </w:tr>
      <w:tr>
        <w:tc>
          <w:tcPr/>
          <w:p>
            <w:pPr>
              <w:pStyle w:val="Compact"/>
              <w:jc w:val="left"/>
            </w:pPr>
            <w:r>
              <w:t xml:space="preserve">Status events</w:t>
            </w:r>
          </w:p>
        </w:tc>
        <w:tc>
          <w:tcPr/>
          <w:p>
            <w:pPr>
              <w:pStyle w:val="Compact"/>
              <w:jc w:val="left"/>
            </w:pPr>
            <w:r>
              <w:t xml:space="preserve">16 January 2026: ClickHouse announced its acquisition of Langfuse alongside a US$400m Series D; Langfuse states no planned licensing changes (closing date not stated)</w:t>
            </w:r>
          </w:p>
        </w:tc>
        <w:tc>
          <w:tcPr/>
          <w:p>
            <w:pPr>
              <w:pStyle w:val="Compact"/>
              <w:jc w:val="left"/>
            </w:pPr>
            <w:r>
              <w:t xml:space="preserve">Verified fact</w:t>
            </w:r>
          </w:p>
        </w:tc>
        <w:tc>
          <w:tcPr/>
          <w:p>
            <w:pPr>
              <w:pStyle w:val="Compact"/>
              <w:jc w:val="left"/>
            </w:pPr>
            <w:r>
              <w:t xml:space="preserve">A7-S075, V2-S041</w:t>
            </w:r>
          </w:p>
        </w:tc>
      </w:tr>
      <w:tr>
        <w:tc>
          <w:tcPr/>
          <w:p>
            <w:pPr>
              <w:pStyle w:val="Compact"/>
              <w:jc w:val="left"/>
            </w:pPr>
            <w:r>
              <w:t xml:space="preserve">Strategic direction</w:t>
            </w:r>
          </w:p>
        </w:tc>
        <w:tc>
          <w:tcPr/>
          <w:p>
            <w:pPr>
              <w:pStyle w:val="Compact"/>
              <w:jc w:val="left"/>
            </w:pPr>
            <w:r>
              <w:t xml:space="preserve">Positions prompt management as decoupling prompt updates from code deployment so non-engineers can change prompts in the UI; prompts linked to traces to analyse performance by prompt version</w:t>
            </w:r>
          </w:p>
        </w:tc>
        <w:tc>
          <w:tcPr/>
          <w:p>
            <w:pPr>
              <w:pStyle w:val="Compact"/>
              <w:jc w:val="left"/>
            </w:pPr>
            <w:r>
              <w:t xml:space="preserve">Verified fact</w:t>
            </w:r>
          </w:p>
        </w:tc>
        <w:tc>
          <w:tcPr/>
          <w:p>
            <w:pPr>
              <w:pStyle w:val="Compact"/>
              <w:jc w:val="left"/>
            </w:pPr>
            <w:r>
              <w:t xml:space="preserve">A7-S071</w:t>
            </w:r>
          </w:p>
        </w:tc>
      </w:tr>
      <w:tr>
        <w:tc>
          <w:tcPr/>
          <w:p>
            <w:pPr>
              <w:pStyle w:val="Compact"/>
              <w:jc w:val="left"/>
            </w:pPr>
            <w:r>
              <w:t xml:space="preserve">What it does</w:t>
            </w:r>
          </w:p>
        </w:tc>
        <w:tc>
          <w:tcPr/>
          <w:p>
            <w:pPr>
              <w:pStyle w:val="Compact"/>
              <w:jc w:val="left"/>
            </w:pPr>
            <w:r>
              <w:t xml:space="preserve">Stores, versions and serves prompts centrally instead of hard-coding them. Each prompt version gets a version ID; labels (e.g. production, staging, tenant or experiment labels) select which version the SDK fetches. SDKs cache prompts client-side, so retrieval adds no network latency on the hot path.</w:t>
            </w:r>
          </w:p>
        </w:tc>
        <w:tc>
          <w:tcPr/>
          <w:p>
            <w:pPr>
              <w:pStyle w:val="Compact"/>
              <w:jc w:val="left"/>
            </w:pPr>
            <w:r>
              <w:t xml:space="preserve">Verified fact</w:t>
            </w:r>
          </w:p>
        </w:tc>
        <w:tc>
          <w:tcPr/>
          <w:p>
            <w:pPr>
              <w:pStyle w:val="Compact"/>
              <w:jc w:val="left"/>
            </w:pPr>
            <w:r>
              <w:t xml:space="preserve">A7-S071, A7-S072</w:t>
            </w:r>
          </w:p>
        </w:tc>
      </w:tr>
      <w:tr>
        <w:tc>
          <w:tcPr/>
          <w:p>
            <w:pPr>
              <w:pStyle w:val="Compact"/>
              <w:jc w:val="left"/>
            </w:pPr>
            <w:r>
              <w:t xml:space="preserve">Stack position</w:t>
            </w:r>
          </w:p>
        </w:tc>
        <w:tc>
          <w:tcPr/>
          <w:p>
            <w:pPr>
              <w:pStyle w:val="Compact"/>
              <w:jc w:val="left"/>
            </w:pPr>
            <w:r>
              <w:t xml:space="preserve">Control-plane capability (C5) embedded in the L9 observability platform; prompt versions are linked to traces. The original graphic shows Langfuse only in L9 and has no prompt-management layer.</w:t>
            </w:r>
          </w:p>
        </w:tc>
        <w:tc>
          <w:tcPr/>
          <w:p>
            <w:pPr>
              <w:pStyle w:val="Compact"/>
              <w:jc w:val="left"/>
            </w:pPr>
            <w:r>
              <w:t xml:space="preserve">Verified fact</w:t>
            </w:r>
          </w:p>
        </w:tc>
        <w:tc>
          <w:tcPr/>
          <w:p>
            <w:pPr>
              <w:pStyle w:val="Compact"/>
              <w:jc w:val="left"/>
            </w:pPr>
            <w:r>
              <w:t xml:space="preserve">A7-S071</w:t>
            </w:r>
          </w:p>
        </w:tc>
      </w:tr>
      <w:tr>
        <w:tc>
          <w:tcPr/>
          <w:p>
            <w:pPr>
              <w:pStyle w:val="Compact"/>
              <w:jc w:val="left"/>
            </w:pPr>
            <w:r>
              <w:t xml:space="preserve">Integration</w:t>
            </w:r>
          </w:p>
        </w:tc>
        <w:tc>
          <w:tcPr/>
          <w:p>
            <w:pPr>
              <w:pStyle w:val="Compact"/>
              <w:jc w:val="left"/>
            </w:pPr>
            <w:r>
              <w:t xml:space="preserve">Langfuse SDKs (e.g. Python create_prompt/update_prompt, fetch by label) and UI; prompts cached by SDK</w:t>
            </w:r>
          </w:p>
        </w:tc>
        <w:tc>
          <w:tcPr/>
          <w:p>
            <w:pPr>
              <w:pStyle w:val="Compact"/>
              <w:jc w:val="left"/>
            </w:pPr>
            <w:r>
              <w:t xml:space="preserve">Verified fact</w:t>
            </w:r>
          </w:p>
        </w:tc>
        <w:tc>
          <w:tcPr/>
          <w:p>
            <w:pPr>
              <w:pStyle w:val="Compact"/>
              <w:jc w:val="left"/>
            </w:pPr>
            <w:r>
              <w:t xml:space="preserve">A7-S071, A7-S072</w:t>
            </w:r>
          </w:p>
        </w:tc>
      </w:tr>
      <w:tr>
        <w:tc>
          <w:tcPr/>
          <w:p>
            <w:pPr>
              <w:pStyle w:val="Compact"/>
              <w:jc w:val="left"/>
            </w:pPr>
            <w:r>
              <w:t xml:space="preserve">Dependencies</w:t>
            </w:r>
          </w:p>
        </w:tc>
        <w:tc>
          <w:tcPr/>
          <w:p>
            <w:pPr>
              <w:pStyle w:val="Compact"/>
              <w:jc w:val="left"/>
            </w:pPr>
            <w:r>
              <w:t xml:space="preserve">Same infrastructure as Langfuse Cloud when self-hosted: Postgres, ClickHouse, Redis and S3-compatible object storage; Langfuse Cloud runs on AWS and ClickHouse Cloud</w:t>
            </w:r>
          </w:p>
        </w:tc>
        <w:tc>
          <w:tcPr/>
          <w:p>
            <w:pPr>
              <w:pStyle w:val="Compact"/>
              <w:jc w:val="left"/>
            </w:pPr>
            <w:r>
              <w:t xml:space="preserve">Verified fact</w:t>
            </w:r>
          </w:p>
        </w:tc>
        <w:tc>
          <w:tcPr/>
          <w:p>
            <w:pPr>
              <w:pStyle w:val="Compact"/>
              <w:jc w:val="left"/>
            </w:pPr>
            <w:r>
              <w:t xml:space="preserve">A7-S073, A7-S074</w:t>
            </w:r>
          </w:p>
        </w:tc>
      </w:tr>
      <w:tr>
        <w:tc>
          <w:tcPr/>
          <w:p>
            <w:pPr>
              <w:pStyle w:val="Compact"/>
              <w:jc w:val="left"/>
            </w:pPr>
            <w:r>
              <w:t xml:space="preserve">Certifications</w:t>
            </w:r>
          </w:p>
        </w:tc>
        <w:tc>
          <w:tcPr/>
          <w:p>
            <w:pPr>
              <w:pStyle w:val="Compact"/>
              <w:jc w:val="left"/>
            </w:pPr>
            <w:r>
              <w:t xml:space="preserve">SOC 2 Type II and ISO 27001 (annual audits), external penetration tests, HIPAA-ready region; reports on request</w:t>
            </w:r>
          </w:p>
        </w:tc>
        <w:tc>
          <w:tcPr/>
          <w:p>
            <w:pPr>
              <w:pStyle w:val="Compact"/>
              <w:jc w:val="left"/>
            </w:pPr>
            <w:r>
              <w:t xml:space="preserve">Verified fact</w:t>
            </w:r>
          </w:p>
        </w:tc>
        <w:tc>
          <w:tcPr/>
          <w:p>
            <w:pPr>
              <w:pStyle w:val="Compact"/>
              <w:jc w:val="left"/>
            </w:pPr>
            <w:r>
              <w:t xml:space="preserve">A7-S073</w:t>
            </w:r>
          </w:p>
        </w:tc>
      </w:tr>
      <w:tr>
        <w:tc>
          <w:tcPr/>
          <w:p>
            <w:pPr>
              <w:pStyle w:val="Compact"/>
              <w:jc w:val="left"/>
            </w:pPr>
            <w:r>
              <w:t xml:space="preserve">GDPR / residency</w:t>
            </w:r>
          </w:p>
        </w:tc>
        <w:tc>
          <w:tcPr/>
          <w:p>
            <w:pPr>
              <w:pStyle w:val="Compact"/>
              <w:jc w:val="left"/>
            </w:pPr>
            <w:r>
              <w:t xml:space="preserve">GDPR compliant; DPA available; Langfuse Cloud regions US (us-west-2), EU (eu-west-1 Ireland), JP (ap-northeast-1) and HIPAA (us-west-2); self-hosted in any region</w:t>
            </w:r>
          </w:p>
        </w:tc>
        <w:tc>
          <w:tcPr/>
          <w:p>
            <w:pPr>
              <w:pStyle w:val="Compact"/>
              <w:jc w:val="left"/>
            </w:pPr>
            <w:r>
              <w:t xml:space="preserve">Verified fact</w:t>
            </w:r>
          </w:p>
        </w:tc>
        <w:tc>
          <w:tcPr/>
          <w:p>
            <w:pPr>
              <w:pStyle w:val="Compact"/>
              <w:jc w:val="left"/>
            </w:pPr>
            <w:r>
              <w:t xml:space="preserve">A7-S073</w:t>
            </w:r>
          </w:p>
        </w:tc>
      </w:tr>
      <w:tr>
        <w:tc>
          <w:tcPr/>
          <w:p>
            <w:pPr>
              <w:pStyle w:val="Compact"/>
              <w:jc w:val="left"/>
            </w:pPr>
            <w:r>
              <w:t xml:space="preserve">Security features</w:t>
            </w:r>
          </w:p>
        </w:tc>
        <w:tc>
          <w:tcPr/>
          <w:p>
            <w:pPr>
              <w:pStyle w:val="Compact"/>
              <w:jc w:val="left"/>
            </w:pPr>
            <w:r>
              <w:t xml:space="preserve">Encryption, project-scoped tenant isolation with RBAC checks before queries, masking, data retention and deletion controls</w:t>
            </w:r>
          </w:p>
        </w:tc>
        <w:tc>
          <w:tcPr/>
          <w:p>
            <w:pPr>
              <w:pStyle w:val="Compact"/>
              <w:jc w:val="left"/>
            </w:pPr>
            <w:r>
              <w:t xml:space="preserve">Verified fact</w:t>
            </w:r>
          </w:p>
        </w:tc>
        <w:tc>
          <w:tcPr/>
          <w:p>
            <w:pPr>
              <w:pStyle w:val="Compact"/>
              <w:jc w:val="left"/>
            </w:pPr>
            <w:r>
              <w:t xml:space="preserve">A7-S073</w:t>
            </w:r>
          </w:p>
        </w:tc>
      </w:tr>
      <w:tr>
        <w:tc>
          <w:tcPr/>
          <w:p>
            <w:pPr>
              <w:pStyle w:val="Compact"/>
              <w:jc w:val="left"/>
            </w:pPr>
            <w:r>
              <w:t xml:space="preserve">Access controls</w:t>
            </w:r>
          </w:p>
        </w:tc>
        <w:tc>
          <w:tcPr/>
          <w:p>
            <w:pPr>
              <w:pStyle w:val="Compact"/>
              <w:jc w:val="left"/>
            </w:pPr>
            <w:r>
              <w:t xml:space="preserve">Project-level RBAC roles, protected prompt labels (restricting who can change production labels), audit logs, SCIM and Org Management API are Enterprise (licence-key) features when self-hosted</w:t>
            </w:r>
          </w:p>
        </w:tc>
        <w:tc>
          <w:tcPr/>
          <w:p>
            <w:pPr>
              <w:pStyle w:val="Compact"/>
              <w:jc w:val="left"/>
            </w:pPr>
            <w:r>
              <w:t xml:space="preserve">Verified fact</w:t>
            </w:r>
          </w:p>
        </w:tc>
        <w:tc>
          <w:tcPr/>
          <w:p>
            <w:pPr>
              <w:pStyle w:val="Compact"/>
              <w:jc w:val="left"/>
            </w:pPr>
            <w:r>
              <w:t xml:space="preserve">A7-S074</w:t>
            </w:r>
          </w:p>
        </w:tc>
      </w:tr>
      <w:tr>
        <w:tc>
          <w:tcPr/>
          <w:p>
            <w:pPr>
              <w:pStyle w:val="Compact"/>
              <w:jc w:val="left"/>
            </w:pPr>
            <w:r>
              <w:t xml:space="preserve">Enterprise support</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Pricing</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Infrastructure cost</w:t>
            </w:r>
          </w:p>
        </w:tc>
        <w:tc>
          <w:tcPr/>
          <w:p>
            <w:pPr>
              <w:pStyle w:val="Compact"/>
              <w:jc w:val="left"/>
            </w:pPr>
            <w:r>
              <w:t xml:space="preserve">Self-hosting runs the same stack as the cloud service (Postgres, ClickHouse, Redis, object storage);</w:t>
            </w:r>
            <w:r>
              <w:t xml:space="preserve"> </w:t>
            </w:r>
            <w:r>
              <w:t xml:space="preserve">‘</w:t>
            </w:r>
            <w:r>
              <w:t xml:space="preserve">no scalability limitations between the different versions</w:t>
            </w:r>
            <w:r>
              <w:t xml:space="preserve">’</w:t>
            </w:r>
          </w:p>
        </w:tc>
        <w:tc>
          <w:tcPr/>
          <w:p>
            <w:pPr>
              <w:pStyle w:val="Compact"/>
              <w:jc w:val="left"/>
            </w:pPr>
            <w:r>
              <w:t xml:space="preserve">Verified fact</w:t>
            </w:r>
          </w:p>
        </w:tc>
        <w:tc>
          <w:tcPr/>
          <w:p>
            <w:pPr>
              <w:pStyle w:val="Compact"/>
              <w:jc w:val="left"/>
            </w:pPr>
            <w:r>
              <w:t xml:space="preserve">A7-S074</w:t>
            </w:r>
          </w:p>
        </w:tc>
      </w:tr>
      <w:tr>
        <w:tc>
          <w:tcPr/>
          <w:p>
            <w:pPr>
              <w:pStyle w:val="Compact"/>
              <w:jc w:val="left"/>
            </w:pPr>
            <w:r>
              <w:t xml:space="preserve">Ecosystem</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Adoption signals</w:t>
            </w:r>
          </w:p>
        </w:tc>
        <w:tc>
          <w:tcPr/>
          <w:p>
            <w:pPr>
              <w:pStyle w:val="Compact"/>
              <w:jc w:val="left"/>
            </w:pPr>
            <w:r>
              <w:t xml:space="preserve">langfuse Python package first published on PyPI 12 July 2023; latest 4.17.0 (5 October 2026)</w:t>
            </w:r>
          </w:p>
        </w:tc>
        <w:tc>
          <w:tcPr/>
          <w:p>
            <w:pPr>
              <w:pStyle w:val="Compact"/>
              <w:jc w:val="left"/>
            </w:pPr>
            <w:r>
              <w:t xml:space="preserve">Verified fact</w:t>
            </w:r>
          </w:p>
        </w:tc>
        <w:tc>
          <w:tcPr/>
          <w:p>
            <w:pPr>
              <w:pStyle w:val="Compact"/>
              <w:jc w:val="left"/>
            </w:pPr>
            <w:r>
              <w:t xml:space="preserve">A7-S009, V2-S028</w:t>
            </w:r>
          </w:p>
        </w:tc>
      </w:tr>
      <w:tr>
        <w:tc>
          <w:tcPr/>
          <w:p>
            <w:pPr>
              <w:pStyle w:val="Compact"/>
              <w:jc w:val="left"/>
            </w:pPr>
            <w:r>
              <w:t xml:space="preserve">Maturity</w:t>
            </w:r>
          </w:p>
        </w:tc>
        <w:tc>
          <w:tcPr/>
          <w:p>
            <w:pPr>
              <w:pStyle w:val="Compact"/>
              <w:jc w:val="left"/>
            </w:pPr>
            <w:r>
              <w:t xml:space="preserve">Platform at major version 4 (docs); SDK releases frequent (4.17.0 on 5 October 2026)</w:t>
            </w:r>
          </w:p>
        </w:tc>
        <w:tc>
          <w:tcPr/>
          <w:p>
            <w:pPr>
              <w:pStyle w:val="Compact"/>
              <w:jc w:val="left"/>
            </w:pPr>
            <w:r>
              <w:t xml:space="preserve">Verified fact</w:t>
            </w:r>
          </w:p>
        </w:tc>
        <w:tc>
          <w:tcPr/>
          <w:p>
            <w:pPr>
              <w:pStyle w:val="Compact"/>
              <w:jc w:val="left"/>
            </w:pPr>
            <w:r>
              <w:t xml:space="preserve">A7-S009, A7-S074</w:t>
            </w:r>
          </w:p>
        </w:tc>
      </w:tr>
      <w:tr>
        <w:tc>
          <w:tcPr/>
          <w:p>
            <w:pPr>
              <w:pStyle w:val="Compact"/>
              <w:jc w:val="left"/>
            </w:pPr>
            <w:r>
              <w:t xml:space="preserve">Deployment</w:t>
            </w:r>
          </w:p>
        </w:tc>
        <w:tc>
          <w:tcPr/>
          <w:p>
            <w:pPr>
              <w:pStyle w:val="Compact"/>
              <w:jc w:val="left"/>
            </w:pPr>
            <w:r>
              <w:t xml:space="preserve">saas: Yes; managed_cloud: Not publicly verified; vpc_byoc: Not publicly verified; private_cloud: Not publicly verified; self_hosted: Yes; on_prem: Yes (self-hosted can run fully offline/air-gapped)</w:t>
            </w:r>
          </w:p>
        </w:tc>
        <w:tc>
          <w:tcPr/>
          <w:p>
            <w:pPr>
              <w:pStyle w:val="Compact"/>
            </w:pPr>
          </w:p>
        </w:tc>
        <w:tc>
          <w:tcPr/>
          <w:p>
            <w:pPr>
              <w:pStyle w:val="Compact"/>
            </w:pPr>
          </w:p>
        </w:tc>
      </w:tr>
    </w:tbl>
    <w:bookmarkEnd w:id="2208"/>
    <w:bookmarkStart w:id="2219" w:name="X68e8d3ee26a09bda9172ec4d597a1b5ad4162fd"/>
    <w:p>
      <w:pPr>
        <w:pStyle w:val="Heading2"/>
      </w:pPr>
      <w:r>
        <w:t xml:space="preserve">Prompts-as-code pattern: Git-versioned prompt files (Prompty, Dotprompt) tested by config-driven evals (e.g. Promptfoo) (</w:t>
      </w:r>
      <w:r>
        <w:rPr>
          <w:rStyle w:val="VerbatimChar"/>
        </w:rPr>
        <w:t xml:space="preserve">C5-prompts-as-code</w:t>
      </w:r>
      <w:r>
        <w:t xml:space="preserve">)</w:t>
      </w:r>
    </w:p>
    <w:p>
      <w:pPr>
        <w:pStyle w:val="FirstParagraph"/>
      </w:pPr>
      <w:r>
        <w:rPr>
          <w:bCs/>
          <w:b/>
        </w:rPr>
        <w:t xml:space="preserve">Tier:</w:t>
      </w:r>
      <w:r>
        <w:t xml:space="preserve"> </w:t>
      </w:r>
      <w:r>
        <w:t xml:space="preserve">Strategic ·</w:t>
      </w:r>
      <w:r>
        <w:t xml:space="preserve"> </w:t>
      </w:r>
      <w:r>
        <w:rPr>
          <w:bCs/>
          <w:b/>
        </w:rPr>
        <w:t xml:space="preserve">Flags:</w:t>
      </w:r>
      <w:r>
        <w:t xml:space="preserve"> </w:t>
      </w:r>
      <w:r>
        <w:t xml:space="preserve">Acquired ·</w:t>
      </w:r>
      <w:r>
        <w:t xml:space="preserve"> </w:t>
      </w:r>
      <w:r>
        <w:rPr>
          <w:bCs/>
          <w:b/>
        </w:rPr>
        <w:t xml:space="preserve">Original graphic label:</w:t>
      </w:r>
      <w:r>
        <w:t xml:space="preserve"> </w:t>
      </w:r>
      <w:r>
        <w:t xml:space="preserve">not in graphic</w:t>
      </w:r>
    </w:p>
    <w:p>
      <w:pPr>
        <w:pStyle w:val="BodyText"/>
      </w:pPr>
      <w:r>
        <w:rPr>
          <w:iCs/>
          <w:i/>
        </w:rPr>
        <w:t xml:space="preserve">Rationale:</w:t>
      </w:r>
      <w:r>
        <w:t xml:space="preserve"> </w:t>
      </w:r>
      <w:r>
        <w:t xml:space="preserve">The only option whose change record lives in the firm’s own controls and survives any vendor exit; the Acquired flag refers to Promptfoo as the example eval CLI, which is replaceable</w:t>
      </w:r>
      <w:r>
        <w:t xml:space="preserve"> </w:t>
      </w:r>
      <w:r>
        <w:rPr>
          <w:rStyle w:val="ClaimLabel"/>
        </w:rPr>
        <w:t xml:space="preserve">AJ</w:t>
      </w:r>
      <w:r>
        <w:t xml:space="preserve">.</w:t>
      </w:r>
    </w:p>
    <w:tbl>
      <w:tblPr>
        <w:tblStyle w:val="Table"/>
        <w:tblW w:type="pct" w:w="5000"/>
        <w:tblLook w:firstRow="1" w:lastRow="0" w:firstColumn="0" w:lastColumn="0" w:noHBand="0" w:noVBand="0" w:val="0020"/>
        <w:jc w:val="start"/>
      </w:tblPr>
      <w:tblGrid>
        <w:gridCol w:w="1545"/>
        <w:gridCol w:w="579"/>
        <w:gridCol w:w="5795"/>
      </w:tblGrid>
      <w:tr>
        <w:trPr>
          <w:tblHeader w:val="true"/>
        </w:trPr>
        <w:tc>
          <w:tcPr/>
          <w:p>
            <w:pPr>
              <w:pStyle w:val="Compact"/>
              <w:jc w:val="left"/>
            </w:pPr>
            <w:r>
              <w:t xml:space="preserve">Criterion</w:t>
            </w:r>
          </w:p>
        </w:tc>
        <w:tc>
          <w:tcPr/>
          <w:p>
            <w:pPr>
              <w:pStyle w:val="Compact"/>
              <w:jc w:val="right"/>
            </w:pPr>
            <w:r>
              <w:t xml:space="preserve">Score</w:t>
            </w:r>
          </w:p>
        </w:tc>
        <w:tc>
          <w:tcPr/>
          <w:p>
            <w:pPr>
              <w:pStyle w:val="Compact"/>
              <w:jc w:val="left"/>
            </w:pPr>
            <w:r>
              <w:t xml:space="preserve">Rationale</w:t>
            </w:r>
          </w:p>
        </w:tc>
      </w:tr>
      <w:tr>
        <w:tc>
          <w:tcPr/>
          <w:p>
            <w:pPr>
              <w:pStyle w:val="Compact"/>
              <w:jc w:val="left"/>
            </w:pPr>
            <w:r>
              <w:t xml:space="preserve">Technical</w:t>
            </w:r>
          </w:p>
        </w:tc>
        <w:tc>
          <w:tcPr/>
          <w:p>
            <w:pPr>
              <w:pStyle w:val="Compact"/>
              <w:jc w:val="right"/>
            </w:pPr>
            <w:r>
              <w:t xml:space="preserve">3</w:t>
            </w:r>
          </w:p>
        </w:tc>
        <w:tc>
          <w:tcPr/>
          <w:p>
            <w:pPr>
              <w:pStyle w:val="Compact"/>
              <w:jc w:val="left"/>
            </w:pPr>
            <w:r>
              <w:t xml:space="preserve">Versioning, review, diff and CI evaluation are strong; runtime delivery, segmentation, instant rollback and trace linkage have to be built.</w:t>
            </w:r>
          </w:p>
        </w:tc>
      </w:tr>
      <w:tr>
        <w:tc>
          <w:tcPr/>
          <w:p>
            <w:pPr>
              <w:pStyle w:val="Compact"/>
              <w:jc w:val="left"/>
            </w:pPr>
            <w:r>
              <w:t xml:space="preserve">Enterprise readiness</w:t>
            </w:r>
          </w:p>
        </w:tc>
        <w:tc>
          <w:tcPr/>
          <w:p>
            <w:pPr>
              <w:pStyle w:val="Compact"/>
              <w:jc w:val="right"/>
            </w:pPr>
            <w:r>
              <w:t xml:space="preserve">4</w:t>
            </w:r>
          </w:p>
        </w:tc>
        <w:tc>
          <w:tcPr/>
          <w:p>
            <w:pPr>
              <w:pStyle w:val="Compact"/>
              <w:jc w:val="left"/>
            </w:pPr>
            <w:r>
              <w:t xml:space="preserve">Rubric rule 2: scored on what the pattern enables in-estate. It inherits the firm’s source-control SSO, RBAC, mandatory approvals and audit; scored at the rule 2 maximum of 4 (no commercial support for the formats) because approval and audit are the whole function of this control, unlike OPA or OpenLineage (3).</w:t>
            </w:r>
          </w:p>
        </w:tc>
      </w:tr>
      <w:tr>
        <w:tc>
          <w:tcPr/>
          <w:p>
            <w:pPr>
              <w:pStyle w:val="Compact"/>
              <w:jc w:val="left"/>
            </w:pPr>
            <w:r>
              <w:t xml:space="preserve">Security and compliance</w:t>
            </w:r>
          </w:p>
        </w:tc>
        <w:tc>
          <w:tcPr/>
          <w:p>
            <w:pPr>
              <w:pStyle w:val="Compact"/>
              <w:jc w:val="right"/>
            </w:pPr>
            <w:r>
              <w:t xml:space="preserve">3</w:t>
            </w:r>
          </w:p>
        </w:tc>
        <w:tc>
          <w:tcPr/>
          <w:p>
            <w:pPr>
              <w:pStyle w:val="Compact"/>
              <w:jc w:val="left"/>
            </w:pPr>
            <w:r>
              <w:t xml:space="preserve">Rubric rule 2: clear permissive licences; security policies, signed releases and CVE handling for the format libraries not verified; inherits host controls.</w:t>
            </w:r>
          </w:p>
        </w:tc>
      </w:tr>
      <w:tr>
        <w:tc>
          <w:tcPr/>
          <w:p>
            <w:pPr>
              <w:pStyle w:val="Compact"/>
              <w:jc w:val="left"/>
            </w:pPr>
            <w:r>
              <w:t xml:space="preserve">Deployment flexibility</w:t>
            </w:r>
          </w:p>
        </w:tc>
        <w:tc>
          <w:tcPr/>
          <w:p>
            <w:pPr>
              <w:pStyle w:val="Compact"/>
              <w:jc w:val="right"/>
            </w:pPr>
            <w:r>
              <w:t xml:space="preserve">5</w:t>
            </w:r>
          </w:p>
        </w:tc>
        <w:tc>
          <w:tcPr/>
          <w:p>
            <w:pPr>
              <w:pStyle w:val="Compact"/>
              <w:jc w:val="left"/>
            </w:pPr>
            <w:r>
              <w:t xml:space="preserve">Files in the customer’s repository; runs anywhere, including air-gapped.</w:t>
            </w:r>
          </w:p>
        </w:tc>
      </w:tr>
      <w:tr>
        <w:tc>
          <w:tcPr/>
          <w:p>
            <w:pPr>
              <w:pStyle w:val="Compact"/>
              <w:jc w:val="left"/>
            </w:pPr>
            <w:r>
              <w:t xml:space="preserve">Ecosystem</w:t>
            </w:r>
          </w:p>
        </w:tc>
        <w:tc>
          <w:tcPr/>
          <w:p>
            <w:pPr>
              <w:pStyle w:val="Compact"/>
              <w:jc w:val="right"/>
            </w:pPr>
            <w:r>
              <w:t xml:space="preserve">3</w:t>
            </w:r>
          </w:p>
        </w:tc>
        <w:tc>
          <w:tcPr/>
          <w:p>
            <w:pPr>
              <w:pStyle w:val="Compact"/>
              <w:jc w:val="left"/>
            </w:pPr>
            <w:r>
              <w:t xml:space="preserve">Two vendor-originated formats plus CLI tooling, langchain-prompty and LangSmith GitHub sync; no single standard.</w:t>
            </w:r>
          </w:p>
        </w:tc>
      </w:tr>
      <w:tr>
        <w:tc>
          <w:tcPr/>
          <w:p>
            <w:pPr>
              <w:pStyle w:val="Compact"/>
              <w:jc w:val="left"/>
            </w:pPr>
            <w:r>
              <w:t xml:space="preserve">Reliability and maturity</w:t>
            </w:r>
          </w:p>
        </w:tc>
        <w:tc>
          <w:tcPr/>
          <w:p>
            <w:pPr>
              <w:pStyle w:val="Compact"/>
              <w:jc w:val="right"/>
            </w:pPr>
            <w:r>
              <w:t xml:space="preserve">3</w:t>
            </w:r>
          </w:p>
        </w:tc>
        <w:tc>
          <w:tcPr/>
          <w:p>
            <w:pPr>
              <w:pStyle w:val="Compact"/>
              <w:jc w:val="left"/>
            </w:pPr>
            <w:r>
              <w:t xml:space="preserve">Git practice is mature; the formats are young (Prompty v2, Dotprompt 0.2.0) and Promptfoo is pre-1.0 and changing ownership.</w:t>
            </w:r>
          </w:p>
        </w:tc>
      </w:tr>
      <w:tr>
        <w:tc>
          <w:tcPr/>
          <w:p>
            <w:pPr>
              <w:pStyle w:val="Compact"/>
              <w:jc w:val="left"/>
            </w:pPr>
            <w:r>
              <w:t xml:space="preserve">Cost / TCO</w:t>
            </w:r>
          </w:p>
        </w:tc>
        <w:tc>
          <w:tcPr/>
          <w:p>
            <w:pPr>
              <w:pStyle w:val="Compact"/>
              <w:jc w:val="right"/>
            </w:pPr>
            <w:r>
              <w:t xml:space="preserve">4</w:t>
            </w:r>
          </w:p>
        </w:tc>
        <w:tc>
          <w:tcPr/>
          <w:p>
            <w:pPr>
              <w:pStyle w:val="Compact"/>
              <w:jc w:val="left"/>
            </w:pPr>
            <w:r>
              <w:t xml:space="preserve">Free and open source; engineering effort to build runtime delivery and trace linkage.</w:t>
            </w:r>
          </w:p>
        </w:tc>
      </w:tr>
      <w:tr>
        <w:tc>
          <w:tcPr/>
          <w:p>
            <w:pPr>
              <w:pStyle w:val="Compact"/>
              <w:jc w:val="left"/>
            </w:pPr>
            <w:r>
              <w:t xml:space="preserve">Lock-in / portability</w:t>
            </w:r>
          </w:p>
        </w:tc>
        <w:tc>
          <w:tcPr/>
          <w:p>
            <w:pPr>
              <w:pStyle w:val="Compact"/>
              <w:jc w:val="right"/>
            </w:pPr>
            <w:r>
              <w:t xml:space="preserve">4</w:t>
            </w:r>
          </w:p>
        </w:tc>
        <w:tc>
          <w:tcPr/>
          <w:p>
            <w:pPr>
              <w:pStyle w:val="Compact"/>
              <w:jc w:val="left"/>
            </w:pPr>
            <w:r>
              <w:t xml:space="preserve">Base 5 (plain files under customer control, permissive licences) reduced by 1 because the example eval tool’s ownership is changing and the formats are not under neutral governance.</w:t>
            </w:r>
          </w:p>
        </w:tc>
      </w:tr>
      <w:tr>
        <w:tc>
          <w:tcPr/>
          <w:p>
            <w:pPr>
              <w:pStyle w:val="Compact"/>
              <w:jc w:val="left"/>
            </w:pPr>
            <w:r>
              <w:rPr>
                <w:bCs/>
                <w:b/>
              </w:rPr>
              <w:t xml:space="preserve">Total (generic / FS)</w:t>
            </w:r>
          </w:p>
        </w:tc>
        <w:tc>
          <w:tcPr/>
          <w:p>
            <w:pPr>
              <w:pStyle w:val="Compact"/>
              <w:jc w:val="right"/>
            </w:pPr>
            <w:r>
              <w:rPr>
                <w:bCs/>
                <w:b/>
              </w:rPr>
              <w:t xml:space="preserve">3.60 / 3.65</w:t>
            </w:r>
          </w:p>
        </w:tc>
        <w:tc>
          <w:tcPr/>
          <w:p>
            <w:pPr>
              <w:pStyle w:val="Compact"/>
            </w:pPr>
          </w:p>
        </w:tc>
      </w:tr>
    </w:tbl>
    <w:p>
      <w:pPr>
        <w:pStyle w:val="BodyText"/>
      </w:pPr>
      <w:r>
        <w:rPr>
          <w:iCs/>
          <w:i/>
        </w:rPr>
        <w:t xml:space="preserve">Evidence rules applied:</w:t>
      </w:r>
      <w:r>
        <w:t xml:space="preserve"> </w:t>
      </w:r>
      <w:r>
        <w:t xml:space="preserve">Rubric rule 2 (self-hosted libraries and open formats): enterprise readiness and security scored on what the pattern enables and on project hygiene, each capped at 4; inherits host controls</w:t>
      </w:r>
    </w:p>
    <w:p>
      <w:pPr>
        <w:pStyle w:val="BodyText"/>
      </w:pPr>
      <w:r>
        <w:rPr>
          <w:bCs/>
          <w:b/>
        </w:rPr>
        <w:t xml:space="preserve">Capabilities.</w:t>
      </w:r>
      <w:r>
        <w:t xml:space="preserve"> </w:t>
      </w:r>
      <w:r>
        <w:t xml:space="preserve">Prompts as files in the application repository: Prompty (.prompty, markdown with YAML front matter for model, connection and template settings) or Dotprompt (executable Handlebars-based templates, language- and provider-agnostic); changes go through code review and CI, where a CLI such as Promptfoo evaluates the prompt files</w:t>
      </w:r>
      <w:r>
        <w:t xml:space="preserve"> </w:t>
      </w:r>
      <w:r>
        <w:rPr>
          <w:rStyle w:val="ClaimLabel"/>
        </w:rPr>
        <w:t xml:space="preserve">VF</w:t>
      </w:r>
      <w:r>
        <w:rPr>
          <w:rStyle w:val="FootnoteReference"/>
        </w:rPr>
        <w:footnoteReference w:id="2209"/>
      </w:r>
      <w:r>
        <w:t xml:space="preserve">.</w:t>
      </w:r>
    </w:p>
    <w:p>
      <w:pPr>
        <w:pStyle w:val="BodyText"/>
      </w:pPr>
      <w:r>
        <w:rPr>
          <w:bCs/>
          <w:b/>
        </w:rPr>
        <w:t xml:space="preserve">Strengths</w:t>
      </w:r>
    </w:p>
    <w:p>
      <w:pPr>
        <w:numPr>
          <w:ilvl w:val="0"/>
          <w:numId w:val="1477"/>
        </w:numPr>
        <w:pStyle w:val="Compact"/>
      </w:pPr>
      <w:r>
        <w:t xml:space="preserve">Uses the firm’s existing change-management controls (review, approval, branch protection, release tagging) without a new vendor</w:t>
      </w:r>
      <w:r>
        <w:t xml:space="preserve"> </w:t>
      </w:r>
      <w:r>
        <w:rPr>
          <w:rStyle w:val="ClaimLabel"/>
        </w:rPr>
        <w:t xml:space="preserve">AJ</w:t>
      </w:r>
    </w:p>
    <w:p>
      <w:pPr>
        <w:numPr>
          <w:ilvl w:val="0"/>
          <w:numId w:val="1477"/>
        </w:numPr>
        <w:pStyle w:val="Compact"/>
      </w:pPr>
      <w:r>
        <w:t xml:space="preserve">Open formats with permissive licences: Prompty MIT, Dotprompt Apache-2.0, Promptfoo MIT</w:t>
      </w:r>
      <w:r>
        <w:t xml:space="preserve"> </w:t>
      </w:r>
      <w:r>
        <w:rPr>
          <w:rStyle w:val="ClaimLabel"/>
        </w:rPr>
        <w:t xml:space="preserve">VF</w:t>
      </w:r>
      <w:r>
        <w:rPr>
          <w:rStyle w:val="FootnoteReference"/>
        </w:rPr>
        <w:footnoteReference w:id="2212"/>
      </w:r>
    </w:p>
    <w:p>
      <w:pPr>
        <w:numPr>
          <w:ilvl w:val="0"/>
          <w:numId w:val="1477"/>
        </w:numPr>
        <w:pStyle w:val="Compact"/>
      </w:pPr>
      <w:r>
        <w:t xml:space="preserve">Multi-language runtimes: Prompty for Python, TypeScript, Rust and C#; Dotprompt for JS/TS, Python, Go, Rust and Java</w:t>
      </w:r>
      <w:r>
        <w:t xml:space="preserve"> </w:t>
      </w:r>
      <w:r>
        <w:rPr>
          <w:rStyle w:val="ClaimLabel"/>
        </w:rPr>
        <w:t xml:space="preserve">VF</w:t>
      </w:r>
      <w:r>
        <w:rPr>
          <w:rStyle w:val="FootnoteReference"/>
        </w:rPr>
        <w:footnoteReference w:id="2215"/>
      </w:r>
    </w:p>
    <w:p>
      <w:pPr>
        <w:numPr>
          <w:ilvl w:val="0"/>
          <w:numId w:val="1477"/>
        </w:numPr>
        <w:pStyle w:val="Compact"/>
      </w:pPr>
      <w:r>
        <w:t xml:space="preserve">One artefact can carry prompt, model and parameter settings, so the release pins them together</w:t>
      </w:r>
      <w:r>
        <w:t xml:space="preserve"> </w:t>
      </w:r>
      <w:r>
        <w:rPr>
          <w:rStyle w:val="ClaimLabel"/>
        </w:rPr>
        <w:t xml:space="preserve">VF</w:t>
      </w:r>
      <w:r>
        <w:rPr>
          <w:rStyle w:val="FootnoteReference"/>
        </w:rPr>
        <w:footnoteReference w:id="2216"/>
      </w:r>
      <w:r>
        <w:t xml:space="preserve"> </w:t>
      </w:r>
      <w:r>
        <w:rPr>
          <w:rStyle w:val="ClaimLabel"/>
        </w:rPr>
        <w:t xml:space="preserve">AJ</w:t>
      </w:r>
    </w:p>
    <w:p>
      <w:pPr>
        <w:pStyle w:val="FirstParagraph"/>
      </w:pPr>
      <w:r>
        <w:rPr>
          <w:bCs/>
          <w:b/>
        </w:rPr>
        <w:t xml:space="preserve">Limitations and risks</w:t>
      </w:r>
    </w:p>
    <w:p>
      <w:pPr>
        <w:numPr>
          <w:ilvl w:val="0"/>
          <w:numId w:val="1478"/>
        </w:numPr>
        <w:pStyle w:val="Compact"/>
      </w:pPr>
      <w:r>
        <w:t xml:space="preserve">No runtime label switching, segmentation or instant rollback without a deployment; trace linkage must be built</w:t>
      </w:r>
      <w:r>
        <w:t xml:space="preserve"> </w:t>
      </w:r>
      <w:r>
        <w:rPr>
          <w:rStyle w:val="ClaimLabel"/>
        </w:rPr>
        <w:t xml:space="preserve">AJ</w:t>
      </w:r>
    </w:p>
    <w:p>
      <w:pPr>
        <w:numPr>
          <w:ilvl w:val="0"/>
          <w:numId w:val="1478"/>
        </w:numPr>
        <w:pStyle w:val="Compact"/>
      </w:pPr>
      <w:r>
        <w:t xml:space="preserve">Two competing formats, both pre-1.0 or recently re-versioned (Dotprompt Python 0.2.0; Prompty v2)</w:t>
      </w:r>
      <w:r>
        <w:t xml:space="preserve"> </w:t>
      </w:r>
      <w:r>
        <w:rPr>
          <w:rStyle w:val="ClaimLabel"/>
        </w:rPr>
        <w:t xml:space="preserve">VF</w:t>
      </w:r>
      <w:r>
        <w:rPr>
          <w:rStyle w:val="FootnoteReference"/>
        </w:rPr>
        <w:footnoteReference w:id="2217"/>
      </w:r>
    </w:p>
    <w:p>
      <w:pPr>
        <w:numPr>
          <w:ilvl w:val="0"/>
          <w:numId w:val="1478"/>
        </w:numPr>
        <w:pStyle w:val="Compact"/>
      </w:pPr>
      <w:r>
        <w:t xml:space="preserve">Promptfoo: OpenAI announced its acquisition on 9 March 2026, closing date not published; Promptfoo states it is part of OpenAI</w:t>
      </w:r>
      <w:r>
        <w:t xml:space="preserve"> </w:t>
      </w:r>
      <w:r>
        <w:rPr>
          <w:rStyle w:val="ClaimLabel"/>
        </w:rPr>
        <w:t xml:space="preserve">VF</w:t>
      </w:r>
      <w:r>
        <w:rPr>
          <w:rStyle w:val="FootnoteReference"/>
        </w:rPr>
        <w:footnoteReference w:id="2218"/>
      </w:r>
    </w:p>
    <w:p>
      <w:pPr>
        <w:numPr>
          <w:ilvl w:val="0"/>
          <w:numId w:val="1478"/>
        </w:numPr>
        <w:pStyle w:val="Compact"/>
      </w:pPr>
      <w:r>
        <w:t xml:space="preserve">Non-engineers cannot change prompts without a pull request, which is a feature for control and a cost for agility</w:t>
      </w:r>
      <w:r>
        <w:t xml:space="preserve"> </w:t>
      </w:r>
      <w:r>
        <w:rPr>
          <w:rStyle w:val="ClaimLabel"/>
        </w:rPr>
        <w:t xml:space="preserve">AJ</w:t>
      </w:r>
    </w:p>
    <w:p>
      <w:pPr>
        <w:pStyle w:val="FirstParagraph"/>
      </w:pPr>
      <w:r>
        <w:rPr>
          <w:bCs/>
          <w:b/>
        </w:rPr>
        <w:t xml:space="preserve">Choose when</w:t>
      </w:r>
    </w:p>
    <w:p>
      <w:pPr>
        <w:numPr>
          <w:ilvl w:val="0"/>
          <w:numId w:val="1479"/>
        </w:numPr>
        <w:pStyle w:val="Compact"/>
      </w:pPr>
      <w:r>
        <w:t xml:space="preserve">Always, as the system of record for approved prompts and configuration in a regulated firm</w:t>
      </w:r>
      <w:r>
        <w:t xml:space="preserve"> </w:t>
      </w:r>
      <w:r>
        <w:rPr>
          <w:rStyle w:val="ClaimLabel"/>
        </w:rPr>
        <w:t xml:space="preserve">Rec</w:t>
      </w:r>
    </w:p>
    <w:p>
      <w:pPr>
        <w:pStyle w:val="FirstParagraph"/>
      </w:pPr>
      <w:r>
        <w:rPr>
          <w:bCs/>
          <w:b/>
        </w:rPr>
        <w:t xml:space="preserve">Avoid when</w:t>
      </w:r>
    </w:p>
    <w:p>
      <w:pPr>
        <w:numPr>
          <w:ilvl w:val="0"/>
          <w:numId w:val="1480"/>
        </w:numPr>
        <w:pStyle w:val="Compact"/>
      </w:pPr>
      <w:r>
        <w:t xml:space="preserve">As the only mechanism when business users must test prompt variants daily; pair it with a registry that CI publishes to</w:t>
      </w:r>
      <w:r>
        <w:t xml:space="preserve"> </w:t>
      </w:r>
      <w:r>
        <w:rPr>
          <w:rStyle w:val="ClaimLabel"/>
        </w:rPr>
        <w:t xml:space="preserve">AJ</w:t>
      </w:r>
    </w:p>
    <w:p>
      <w:pPr>
        <w:pStyle w:val="FirstParagraph"/>
      </w:pPr>
      <w:r>
        <w:rPr>
          <w:bCs/>
          <w:b/>
        </w:rPr>
        <w:t xml:space="preserve">Nearest competitors:</w:t>
      </w:r>
      <w:r>
        <w:t xml:space="preserve"> </w:t>
      </w:r>
      <w:r>
        <w:t xml:space="preserve">C5-langsmith-prompts, C5-langfuse-prompts, C5-promptlayer</w:t>
      </w:r>
    </w:p>
    <w:p>
      <w:pPr>
        <w:pStyle w:val="BodyText"/>
      </w:pPr>
      <w:r>
        <w:rPr>
          <w:bCs/>
          <w:b/>
        </w:rPr>
        <w:t xml:space="preserve">Regulated-FS note.</w:t>
      </w:r>
      <w:r>
        <w:t xml:space="preserve"> </w:t>
      </w:r>
      <w:r>
        <w:t xml:space="preserve">Make the repository the change record that model-risk and audit teams inspect: pull-request approval by a second person, CODEOWNERS for the risk owner, eval results attached to the PR, and a signed release tag pinning prompt, model and retrieval versions</w:t>
      </w:r>
      <w:r>
        <w:t xml:space="preserve"> </w:t>
      </w:r>
      <w:r>
        <w:rPr>
          <w:rStyle w:val="ClaimLabel"/>
        </w:rPr>
        <w:t xml:space="preserve">Rec</w:t>
      </w:r>
      <w:r>
        <w:t xml:space="preserve">.</w:t>
      </w:r>
    </w:p>
    <w:p>
      <w:pPr>
        <w:pStyle w:val="BodyText"/>
      </w:pPr>
      <w:r>
        <w:rPr>
          <w:bCs/>
          <w:b/>
        </w:rPr>
        <w:t xml:space="preserve">Facts (as of 2026-10-08)</w:t>
      </w:r>
    </w:p>
    <w:tbl>
      <w:tblPr>
        <w:tblStyle w:val="Table"/>
        <w:tblW w:type="pct" w:w="5000"/>
        <w:tblLook w:firstRow="1" w:lastRow="0" w:firstColumn="0" w:lastColumn="0" w:noHBand="0" w:noVBand="0" w:val="0020"/>
        <w:jc w:val="start"/>
      </w:tblPr>
      <w:tblGrid>
        <w:gridCol w:w="1485"/>
        <w:gridCol w:w="4290"/>
        <w:gridCol w:w="1320"/>
        <w:gridCol w:w="825"/>
      </w:tblGrid>
      <w:tr>
        <w:trPr>
          <w:tblHeader w:val="true"/>
        </w:trPr>
        <w:tc>
          <w:tcPr/>
          <w:p>
            <w:pPr>
              <w:pStyle w:val="Compact"/>
              <w:jc w:val="left"/>
            </w:pPr>
            <w:r>
              <w:t xml:space="preserve">Field</w:t>
            </w:r>
          </w:p>
        </w:tc>
        <w:tc>
          <w:tcPr/>
          <w:p>
            <w:pPr>
              <w:pStyle w:val="Compact"/>
              <w:jc w:val="left"/>
            </w:pPr>
            <w:r>
              <w:t xml:space="preserve">Value</w:t>
            </w:r>
          </w:p>
        </w:tc>
        <w:tc>
          <w:tcPr/>
          <w:p>
            <w:pPr>
              <w:pStyle w:val="Compact"/>
              <w:jc w:val="left"/>
            </w:pPr>
            <w:r>
              <w:t xml:space="preserve">Label</w:t>
            </w:r>
          </w:p>
        </w:tc>
        <w:tc>
          <w:tcPr/>
          <w:p>
            <w:pPr>
              <w:pStyle w:val="Compact"/>
              <w:jc w:val="left"/>
            </w:pPr>
            <w:r>
              <w:t xml:space="preserve">Sources</w:t>
            </w:r>
          </w:p>
        </w:tc>
      </w:tr>
      <w:tr>
        <w:tc>
          <w:tcPr/>
          <w:p>
            <w:pPr>
              <w:pStyle w:val="Compact"/>
              <w:jc w:val="left"/>
            </w:pPr>
            <w:r>
              <w:t xml:space="preserve">Company</w:t>
            </w:r>
          </w:p>
        </w:tc>
        <w:tc>
          <w:tcPr/>
          <w:p>
            <w:pPr>
              <w:pStyle w:val="Compact"/>
              <w:jc w:val="left"/>
            </w:pPr>
            <w:r>
              <w:t xml:space="preserve">Pattern; formats from Microsoft (Prompty), Google (Dotprompt); Promptfoo is now part of OpenAI</w:t>
            </w:r>
          </w:p>
        </w:tc>
        <w:tc>
          <w:tcPr/>
          <w:p>
            <w:pPr>
              <w:pStyle w:val="Compact"/>
              <w:jc w:val="left"/>
            </w:pPr>
            <w:r>
              <w:t xml:space="preserve">Verified fact</w:t>
            </w:r>
          </w:p>
        </w:tc>
        <w:tc>
          <w:tcPr/>
          <w:p>
            <w:pPr>
              <w:pStyle w:val="Compact"/>
              <w:jc w:val="left"/>
            </w:pPr>
            <w:r>
              <w:t xml:space="preserve">A7-S067, A7-S066, A7-S068, V2-S042</w:t>
            </w:r>
          </w:p>
        </w:tc>
      </w:tr>
      <w:tr>
        <w:tc>
          <w:tcPr/>
          <w:p>
            <w:pPr>
              <w:pStyle w:val="Compact"/>
              <w:jc w:val="left"/>
            </w:pPr>
            <w:r>
              <w:t xml:space="preserve">Category</w:t>
            </w:r>
          </w:p>
        </w:tc>
        <w:tc>
          <w:tcPr/>
          <w:p>
            <w:pPr>
              <w:pStyle w:val="Compact"/>
              <w:jc w:val="left"/>
            </w:pPr>
            <w:r>
              <w:t xml:space="preserve">Named pattern and open file formats</w:t>
            </w:r>
          </w:p>
        </w:tc>
        <w:tc>
          <w:tcPr/>
          <w:p>
            <w:pPr>
              <w:pStyle w:val="Compact"/>
              <w:jc w:val="left"/>
            </w:pPr>
            <w:r>
              <w:t xml:space="preserve">Verified fact</w:t>
            </w:r>
          </w:p>
        </w:tc>
        <w:tc>
          <w:tcPr/>
          <w:p>
            <w:pPr>
              <w:pStyle w:val="Compact"/>
              <w:jc w:val="left"/>
            </w:pPr>
            <w:r>
              <w:t xml:space="preserve">A7-S067, A7-S066</w:t>
            </w:r>
          </w:p>
        </w:tc>
      </w:tr>
      <w:tr>
        <w:tc>
          <w:tcPr/>
          <w:p>
            <w:pPr>
              <w:pStyle w:val="Compact"/>
              <w:jc w:val="left"/>
            </w:pPr>
            <w:r>
              <w:t xml:space="preserve">Version / lineup</w:t>
            </w:r>
          </w:p>
        </w:tc>
        <w:tc>
          <w:tcPr/>
          <w:p>
            <w:pPr>
              <w:pStyle w:val="Compact"/>
              <w:jc w:val="left"/>
            </w:pPr>
            <w:r>
              <w:t xml:space="preserve">Prompty v2 (Python prompty 2.0.2, 16 September 2026; runtimes for Python, TypeScript, Rust, C#); Dotprompt (Python dotpromptz 0.2.0, 5 October 2026; JS/TS, Python, Go, Rust, Java); promptfoo 0.124.0 on npm (6 October 2026)</w:t>
            </w:r>
          </w:p>
        </w:tc>
        <w:tc>
          <w:tcPr/>
          <w:p>
            <w:pPr>
              <w:pStyle w:val="Compact"/>
              <w:jc w:val="left"/>
            </w:pPr>
            <w:r>
              <w:t xml:space="preserve">Verified fact</w:t>
            </w:r>
          </w:p>
        </w:tc>
        <w:tc>
          <w:tcPr/>
          <w:p>
            <w:pPr>
              <w:pStyle w:val="Compact"/>
              <w:jc w:val="left"/>
            </w:pPr>
            <w:r>
              <w:t xml:space="preserve">A7-S008, A7-S067, A7-S065, A7-S066, A7-S069</w:t>
            </w:r>
          </w:p>
        </w:tc>
      </w:tr>
      <w:tr>
        <w:tc>
          <w:tcPr/>
          <w:p>
            <w:pPr>
              <w:pStyle w:val="Compact"/>
              <w:jc w:val="left"/>
            </w:pPr>
            <w:r>
              <w:t xml:space="preserve">Licence</w:t>
            </w:r>
          </w:p>
        </w:tc>
        <w:tc>
          <w:tcPr/>
          <w:p>
            <w:pPr>
              <w:pStyle w:val="Compact"/>
              <w:jc w:val="left"/>
            </w:pPr>
            <w:r>
              <w:t xml:space="preserve">Open source: Prompty MIT; Dotprompt Apache-2.0; Promptfoo MIT</w:t>
            </w:r>
          </w:p>
        </w:tc>
        <w:tc>
          <w:tcPr/>
          <w:p>
            <w:pPr>
              <w:pStyle w:val="Compact"/>
              <w:jc w:val="left"/>
            </w:pPr>
            <w:r>
              <w:t xml:space="preserve">Verified fact</w:t>
            </w:r>
          </w:p>
        </w:tc>
        <w:tc>
          <w:tcPr/>
          <w:p>
            <w:pPr>
              <w:pStyle w:val="Compact"/>
              <w:jc w:val="left"/>
            </w:pPr>
            <w:r>
              <w:t xml:space="preserve">A7-S008, A7-S065, A7-S068</w:t>
            </w:r>
          </w:p>
        </w:tc>
      </w:tr>
      <w:tr>
        <w:tc>
          <w:tcPr/>
          <w:p>
            <w:pPr>
              <w:pStyle w:val="Compact"/>
              <w:jc w:val="left"/>
            </w:pPr>
            <w:r>
              <w:t xml:space="preserve">Status events</w:t>
            </w:r>
          </w:p>
        </w:tc>
        <w:tc>
          <w:tcPr/>
          <w:p>
            <w:pPr>
              <w:pStyle w:val="Compact"/>
              <w:jc w:val="left"/>
            </w:pPr>
            <w:r>
              <w:t xml:space="preserve">Promptfoo</w:t>
            </w:r>
            <w:r>
              <w:t xml:space="preserve"> </w:t>
            </w:r>
            <w:r>
              <w:t xml:space="preserve">‘</w:t>
            </w:r>
            <w:r>
              <w:t xml:space="preserve">is now part of OpenAI</w:t>
            </w:r>
            <w:r>
              <w:t xml:space="preserve">’</w:t>
            </w:r>
            <w:r>
              <w:t xml:space="preserve"> </w:t>
            </w:r>
            <w:r>
              <w:t xml:space="preserve">and</w:t>
            </w:r>
            <w:r>
              <w:t xml:space="preserve"> </w:t>
            </w:r>
            <w:r>
              <w:t xml:space="preserve">‘</w:t>
            </w:r>
            <w:r>
              <w:t xml:space="preserve">remains open source and MIT licensed</w:t>
            </w:r>
            <w:r>
              <w:t xml:space="preserve">’</w:t>
            </w:r>
            <w:r>
              <w:t xml:space="preserve"> </w:t>
            </w:r>
            <w:r>
              <w:t xml:space="preserve">(README); OpenAI announced its agreement to acquire Promptfoo on 9 March 2026 (terms undisclosed; closing date not published)</w:t>
            </w:r>
          </w:p>
        </w:tc>
        <w:tc>
          <w:tcPr/>
          <w:p>
            <w:pPr>
              <w:pStyle w:val="Compact"/>
              <w:jc w:val="left"/>
            </w:pPr>
            <w:r>
              <w:t xml:space="preserve">Verified fact</w:t>
            </w:r>
          </w:p>
        </w:tc>
        <w:tc>
          <w:tcPr/>
          <w:p>
            <w:pPr>
              <w:pStyle w:val="Compact"/>
              <w:jc w:val="left"/>
            </w:pPr>
            <w:r>
              <w:t xml:space="preserve">A7-S068, A7-S022, V2-S042</w:t>
            </w:r>
          </w:p>
        </w:tc>
      </w:tr>
      <w:tr>
        <w:tc>
          <w:tcPr/>
          <w:p>
            <w:pPr>
              <w:pStyle w:val="Compact"/>
              <w:jc w:val="left"/>
            </w:pPr>
            <w:r>
              <w:t xml:space="preserve">Strategic direction</w:t>
            </w:r>
          </w:p>
        </w:tc>
        <w:tc>
          <w:tcPr/>
          <w:p>
            <w:pPr>
              <w:pStyle w:val="Compact"/>
              <w:jc w:val="left"/>
            </w:pPr>
            <w:r>
              <w:t xml:space="preserve">Prompty v2 aligns the .prompty format across runtimes with generated model types and conformance vectors; Dotprompt ships IDE extensions and editors; Promptfoo remains open source after joining OpenAI</w:t>
            </w:r>
          </w:p>
        </w:tc>
        <w:tc>
          <w:tcPr/>
          <w:p>
            <w:pPr>
              <w:pStyle w:val="Compact"/>
              <w:jc w:val="left"/>
            </w:pPr>
            <w:r>
              <w:t xml:space="preserve">Verified fact</w:t>
            </w:r>
          </w:p>
        </w:tc>
        <w:tc>
          <w:tcPr/>
          <w:p>
            <w:pPr>
              <w:pStyle w:val="Compact"/>
              <w:jc w:val="left"/>
            </w:pPr>
            <w:r>
              <w:t xml:space="preserve">A7-S067, A7-S066, A7-S068</w:t>
            </w:r>
          </w:p>
        </w:tc>
      </w:tr>
      <w:tr>
        <w:tc>
          <w:tcPr/>
          <w:p>
            <w:pPr>
              <w:pStyle w:val="Compact"/>
              <w:jc w:val="left"/>
            </w:pPr>
            <w:r>
              <w:t xml:space="preserve">What it does</w:t>
            </w:r>
          </w:p>
        </w:tc>
        <w:tc>
          <w:tcPr/>
          <w:p>
            <w:pPr>
              <w:pStyle w:val="Compact"/>
              <w:jc w:val="left"/>
            </w:pPr>
            <w:r>
              <w:t xml:space="preserve">Prompts live as files in the application repository: .prompty is a markdown format with YAML front matter for model, connection and template settings; Dotprompt is an executable prompt template format extending Handlebars, agnostic to language and model provider. Changes go through code review and CI, where a CLI such as promptfoo runs evaluations against the prompt files.</w:t>
            </w:r>
          </w:p>
        </w:tc>
        <w:tc>
          <w:tcPr/>
          <w:p>
            <w:pPr>
              <w:pStyle w:val="Compact"/>
              <w:jc w:val="left"/>
            </w:pPr>
            <w:r>
              <w:t xml:space="preserve">Verified fact</w:t>
            </w:r>
          </w:p>
        </w:tc>
        <w:tc>
          <w:tcPr/>
          <w:p>
            <w:pPr>
              <w:pStyle w:val="Compact"/>
              <w:jc w:val="left"/>
            </w:pPr>
            <w:r>
              <w:t xml:space="preserve">A7-S067, A7-S066, A7-S068</w:t>
            </w:r>
          </w:p>
        </w:tc>
      </w:tr>
      <w:tr>
        <w:tc>
          <w:tcPr/>
          <w:p>
            <w:pPr>
              <w:pStyle w:val="Compact"/>
              <w:jc w:val="left"/>
            </w:pPr>
            <w:r>
              <w:t xml:space="preserve">Stack position</w:t>
            </w:r>
          </w:p>
        </w:tc>
        <w:tc>
          <w:tcPr/>
          <w:p>
            <w:pPr>
              <w:pStyle w:val="Compact"/>
              <w:jc w:val="left"/>
            </w:pPr>
            <w:r>
              <w:t xml:space="preserve">Alternative or complement to registry-based C5 tools: Git is the system of record and release follows the software change process</w:t>
            </w:r>
          </w:p>
        </w:tc>
        <w:tc>
          <w:tcPr/>
          <w:p>
            <w:pPr>
              <w:pStyle w:val="Compact"/>
              <w:jc w:val="left"/>
            </w:pPr>
            <w:r>
              <w:t xml:space="preserve">Architectural judgement</w:t>
            </w:r>
          </w:p>
        </w:tc>
        <w:tc>
          <w:tcPr/>
          <w:p>
            <w:pPr>
              <w:pStyle w:val="Compact"/>
            </w:pPr>
          </w:p>
        </w:tc>
      </w:tr>
      <w:tr>
        <w:tc>
          <w:tcPr/>
          <w:p>
            <w:pPr>
              <w:pStyle w:val="Compact"/>
              <w:jc w:val="left"/>
            </w:pPr>
            <w:r>
              <w:t xml:space="preserve">Integration</w:t>
            </w:r>
          </w:p>
        </w:tc>
        <w:tc>
          <w:tcPr/>
          <w:p>
            <w:pPr>
              <w:pStyle w:val="Compact"/>
              <w:jc w:val="left"/>
            </w:pPr>
            <w:r>
              <w:t xml:space="preserve">Libraries in multiple languages, VS Code extension (Prompty), IDE/editor plug-ins (Dotprompt), promptfoo CLI via npm, brew or pip (Python wrapper promptfoo 0.2.0, 18 September 2026)</w:t>
            </w:r>
          </w:p>
        </w:tc>
        <w:tc>
          <w:tcPr/>
          <w:p>
            <w:pPr>
              <w:pStyle w:val="Compact"/>
              <w:jc w:val="left"/>
            </w:pPr>
            <w:r>
              <w:t xml:space="preserve">Verified fact</w:t>
            </w:r>
          </w:p>
        </w:tc>
        <w:tc>
          <w:tcPr/>
          <w:p>
            <w:pPr>
              <w:pStyle w:val="Compact"/>
              <w:jc w:val="left"/>
            </w:pPr>
            <w:r>
              <w:t xml:space="preserve">A7-S067, A7-S066, A7-S068, A7-S095</w:t>
            </w:r>
          </w:p>
        </w:tc>
      </w:tr>
      <w:tr>
        <w:tc>
          <w:tcPr/>
          <w:p>
            <w:pPr>
              <w:pStyle w:val="Compact"/>
              <w:jc w:val="left"/>
            </w:pPr>
            <w:r>
              <w:t xml:space="preserve">Dependencies</w:t>
            </w:r>
          </w:p>
        </w:tc>
        <w:tc>
          <w:tcPr/>
          <w:p>
            <w:pPr>
              <w:pStyle w:val="Compact"/>
              <w:jc w:val="left"/>
            </w:pPr>
            <w:r>
              <w:t xml:space="preserve">Source control and CI; language runtime packages for the chosen format</w:t>
            </w:r>
          </w:p>
        </w:tc>
        <w:tc>
          <w:tcPr/>
          <w:p>
            <w:pPr>
              <w:pStyle w:val="Compact"/>
              <w:jc w:val="left"/>
            </w:pPr>
            <w:r>
              <w:t xml:space="preserve">Verified fact</w:t>
            </w:r>
          </w:p>
        </w:tc>
        <w:tc>
          <w:tcPr/>
          <w:p>
            <w:pPr>
              <w:pStyle w:val="Compact"/>
              <w:jc w:val="left"/>
            </w:pPr>
            <w:r>
              <w:t xml:space="preserve">A7-S067, A7-S066</w:t>
            </w:r>
          </w:p>
        </w:tc>
      </w:tr>
      <w:tr>
        <w:tc>
          <w:tcPr/>
          <w:p>
            <w:pPr>
              <w:pStyle w:val="Compact"/>
              <w:jc w:val="left"/>
            </w:pPr>
            <w:r>
              <w:t xml:space="preserve">Certifications</w:t>
            </w:r>
          </w:p>
        </w:tc>
        <w:tc>
          <w:tcPr/>
          <w:p>
            <w:pPr>
              <w:pStyle w:val="Compact"/>
              <w:jc w:val="left"/>
            </w:pPr>
            <w:r>
              <w:t xml:space="preserve">Not applicable (pattern and open formats)</w:t>
            </w:r>
          </w:p>
        </w:tc>
        <w:tc>
          <w:tcPr/>
          <w:p>
            <w:pPr>
              <w:pStyle w:val="Compact"/>
              <w:jc w:val="left"/>
            </w:pPr>
            <w:r>
              <w:t xml:space="preserve">Architectural judgement</w:t>
            </w:r>
          </w:p>
        </w:tc>
        <w:tc>
          <w:tcPr/>
          <w:p>
            <w:pPr>
              <w:pStyle w:val="Compact"/>
            </w:pPr>
          </w:p>
        </w:tc>
      </w:tr>
      <w:tr>
        <w:tc>
          <w:tcPr/>
          <w:p>
            <w:pPr>
              <w:pStyle w:val="Compact"/>
              <w:jc w:val="left"/>
            </w:pPr>
            <w:r>
              <w:t xml:space="preserve">GDPR / residency</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Security features</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Access controls</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Enterprise support</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Pricing</w:t>
            </w:r>
          </w:p>
        </w:tc>
        <w:tc>
          <w:tcPr/>
          <w:p>
            <w:pPr>
              <w:pStyle w:val="Compact"/>
              <w:jc w:val="left"/>
            </w:pPr>
            <w:r>
              <w:t xml:space="preserve">Free open-source formats and tools</w:t>
            </w:r>
          </w:p>
        </w:tc>
        <w:tc>
          <w:tcPr/>
          <w:p>
            <w:pPr>
              <w:pStyle w:val="Compact"/>
              <w:jc w:val="left"/>
            </w:pPr>
            <w:r>
              <w:t xml:space="preserve">Verified fact</w:t>
            </w:r>
          </w:p>
        </w:tc>
        <w:tc>
          <w:tcPr/>
          <w:p>
            <w:pPr>
              <w:pStyle w:val="Compact"/>
              <w:jc w:val="left"/>
            </w:pPr>
            <w:r>
              <w:t xml:space="preserve">A7-S008, A7-S065, A7-S068</w:t>
            </w:r>
          </w:p>
        </w:tc>
      </w:tr>
      <w:tr>
        <w:tc>
          <w:tcPr/>
          <w:p>
            <w:pPr>
              <w:pStyle w:val="Compact"/>
              <w:jc w:val="left"/>
            </w:pPr>
            <w:r>
              <w:t xml:space="preserve">Infrastructure cost</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Ecosystem</w:t>
            </w:r>
          </w:p>
        </w:tc>
        <w:tc>
          <w:tcPr/>
          <w:p>
            <w:pPr>
              <w:pStyle w:val="Compact"/>
              <w:jc w:val="left"/>
            </w:pPr>
            <w:r>
              <w:t xml:space="preserve">LangSmith documents synchronising prompts with a GitHub repository, bridging registry and Git approaches; langchain-prompty integration package exists</w:t>
            </w:r>
          </w:p>
        </w:tc>
        <w:tc>
          <w:tcPr/>
          <w:p>
            <w:pPr>
              <w:pStyle w:val="Compact"/>
              <w:jc w:val="left"/>
            </w:pPr>
            <w:r>
              <w:t xml:space="preserve">Verified fact</w:t>
            </w:r>
          </w:p>
        </w:tc>
        <w:tc>
          <w:tcPr/>
          <w:p>
            <w:pPr>
              <w:pStyle w:val="Compact"/>
              <w:jc w:val="left"/>
            </w:pPr>
            <w:r>
              <w:t xml:space="preserve">A7-S076</w:t>
            </w:r>
          </w:p>
        </w:tc>
      </w:tr>
      <w:tr>
        <w:tc>
          <w:tcPr/>
          <w:p>
            <w:pPr>
              <w:pStyle w:val="Compact"/>
              <w:jc w:val="left"/>
            </w:pPr>
            <w:r>
              <w:t xml:space="preserve">Adoption signals</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Maturity</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Deployment</w:t>
            </w:r>
          </w:p>
        </w:tc>
        <w:tc>
          <w:tcPr/>
          <w:p>
            <w:pPr>
              <w:pStyle w:val="Compact"/>
              <w:jc w:val="left"/>
            </w:pPr>
            <w:r>
              <w:t xml:space="preserve">saas: Not applicable (pattern); managed_cloud: Not publicly verified; vpc_byoc: Not publicly verified; private_cloud: Not publicly verified; self_hosted: Yes (files in the customer’s repository); on_prem: Not publicly verified</w:t>
            </w:r>
          </w:p>
        </w:tc>
        <w:tc>
          <w:tcPr/>
          <w:p>
            <w:pPr>
              <w:pStyle w:val="Compact"/>
            </w:pPr>
          </w:p>
        </w:tc>
        <w:tc>
          <w:tcPr/>
          <w:p>
            <w:pPr>
              <w:pStyle w:val="Compact"/>
            </w:pPr>
          </w:p>
        </w:tc>
      </w:tr>
    </w:tbl>
    <w:bookmarkEnd w:id="2219"/>
    <w:bookmarkStart w:id="2233" w:name="X20653afb836f9d90e2a0b892ae2b7376501bb91"/>
    <w:p>
      <w:pPr>
        <w:pStyle w:val="Heading2"/>
      </w:pPr>
      <w:r>
        <w:t xml:space="preserve">PromptLayer (Prompt Registry) (</w:t>
      </w:r>
      <w:r>
        <w:rPr>
          <w:rStyle w:val="VerbatimChar"/>
        </w:rPr>
        <w:t xml:space="preserve">C5-promptlayer</w:t>
      </w:r>
      <w:r>
        <w:t xml:space="preserve">)</w:t>
      </w:r>
    </w:p>
    <w:p>
      <w:pPr>
        <w:pStyle w:val="FirstParagraph"/>
      </w:pPr>
      <w:r>
        <w:rPr>
          <w:bCs/>
          <w:b/>
        </w:rPr>
        <w:t xml:space="preserve">Tier:</w:t>
      </w:r>
      <w:r>
        <w:t xml:space="preserve"> </w:t>
      </w:r>
      <w:r>
        <w:t xml:space="preserve">Tactical ·</w:t>
      </w:r>
      <w:r>
        <w:t xml:space="preserve"> </w:t>
      </w:r>
      <w:r>
        <w:rPr>
          <w:bCs/>
          <w:b/>
        </w:rPr>
        <w:t xml:space="preserve">Flags:</w:t>
      </w:r>
      <w:r>
        <w:t xml:space="preserve"> </w:t>
      </w:r>
      <w:r>
        <w:t xml:space="preserve">none ·</w:t>
      </w:r>
      <w:r>
        <w:t xml:space="preserve"> </w:t>
      </w:r>
      <w:r>
        <w:rPr>
          <w:bCs/>
          <w:b/>
        </w:rPr>
        <w:t xml:space="preserve">Original graphic label:</w:t>
      </w:r>
      <w:r>
        <w:t xml:space="preserve"> </w:t>
      </w:r>
      <w:r>
        <w:t xml:space="preserve">not in graphic</w:t>
      </w:r>
    </w:p>
    <w:p>
      <w:pPr>
        <w:pStyle w:val="BodyText"/>
      </w:pPr>
      <w:r>
        <w:rPr>
          <w:iCs/>
          <w:i/>
        </w:rPr>
        <w:t xml:space="preserve">Rationale:</w:t>
      </w:r>
      <w:r>
        <w:t xml:space="preserve"> </w:t>
      </w:r>
      <w:r>
        <w:t xml:space="preserve">Strong identity controls and rollout features, but security evidence is vendor-stated, pricing is unverified and it duplicates the registry built into the L9 platforms</w:t>
      </w:r>
      <w:r>
        <w:t xml:space="preserve"> </w:t>
      </w:r>
      <w:r>
        <w:rPr>
          <w:rStyle w:val="ClaimLabel"/>
        </w:rPr>
        <w:t xml:space="preserve">AJ</w:t>
      </w:r>
      <w:r>
        <w:t xml:space="preserve">.</w:t>
      </w:r>
    </w:p>
    <w:tbl>
      <w:tblPr>
        <w:tblStyle w:val="Table"/>
        <w:tblW w:type="pct" w:w="5000"/>
        <w:tblLook w:firstRow="1" w:lastRow="0" w:firstColumn="0" w:lastColumn="0" w:noHBand="0" w:noVBand="0" w:val="0020"/>
        <w:jc w:val="start"/>
      </w:tblPr>
      <w:tblGrid>
        <w:gridCol w:w="1545"/>
        <w:gridCol w:w="579"/>
        <w:gridCol w:w="5795"/>
      </w:tblGrid>
      <w:tr>
        <w:trPr>
          <w:tblHeader w:val="true"/>
        </w:trPr>
        <w:tc>
          <w:tcPr/>
          <w:p>
            <w:pPr>
              <w:pStyle w:val="Compact"/>
              <w:jc w:val="left"/>
            </w:pPr>
            <w:r>
              <w:t xml:space="preserve">Criterion</w:t>
            </w:r>
          </w:p>
        </w:tc>
        <w:tc>
          <w:tcPr/>
          <w:p>
            <w:pPr>
              <w:pStyle w:val="Compact"/>
              <w:jc w:val="right"/>
            </w:pPr>
            <w:r>
              <w:t xml:space="preserve">Score</w:t>
            </w:r>
          </w:p>
        </w:tc>
        <w:tc>
          <w:tcPr/>
          <w:p>
            <w:pPr>
              <w:pStyle w:val="Compact"/>
              <w:jc w:val="left"/>
            </w:pPr>
            <w:r>
              <w:t xml:space="preserve">Rationale</w:t>
            </w:r>
          </w:p>
        </w:tc>
      </w:tr>
      <w:tr>
        <w:tc>
          <w:tcPr/>
          <w:p>
            <w:pPr>
              <w:pStyle w:val="Compact"/>
              <w:jc w:val="left"/>
            </w:pPr>
            <w:r>
              <w:t xml:space="preserve">Technical</w:t>
            </w:r>
          </w:p>
        </w:tc>
        <w:tc>
          <w:tcPr/>
          <w:p>
            <w:pPr>
              <w:pStyle w:val="Compact"/>
              <w:jc w:val="right"/>
            </w:pPr>
            <w:r>
              <w:t xml:space="preserve">4</w:t>
            </w:r>
          </w:p>
        </w:tc>
        <w:tc>
          <w:tcPr/>
          <w:p>
            <w:pPr>
              <w:pStyle w:val="Compact"/>
              <w:jc w:val="left"/>
            </w:pPr>
            <w:r>
              <w:t xml:space="preserve">Versioned registry, release labels, staged rollout, segmentation and A/B testing, evals and tracing; approval workflow not documented.</w:t>
            </w:r>
          </w:p>
        </w:tc>
      </w:tr>
      <w:tr>
        <w:tc>
          <w:tcPr/>
          <w:p>
            <w:pPr>
              <w:pStyle w:val="Compact"/>
              <w:jc w:val="left"/>
            </w:pPr>
            <w:r>
              <w:t xml:space="preserve">Enterprise readiness</w:t>
            </w:r>
          </w:p>
        </w:tc>
        <w:tc>
          <w:tcPr/>
          <w:p>
            <w:pPr>
              <w:pStyle w:val="Compact"/>
              <w:jc w:val="right"/>
            </w:pPr>
            <w:r>
              <w:t xml:space="preserve">4</w:t>
            </w:r>
          </w:p>
        </w:tc>
        <w:tc>
          <w:tcPr/>
          <w:p>
            <w:pPr>
              <w:pStyle w:val="Compact"/>
              <w:jc w:val="left"/>
            </w:pPr>
            <w:r>
              <w:t xml:space="preserve">SSO, SCIM, group-role mapping, SSO enforcement, audit log and granular RBAC verified on Enterprise; SLA not verified.</w:t>
            </w:r>
          </w:p>
        </w:tc>
      </w:tr>
      <w:tr>
        <w:tc>
          <w:tcPr/>
          <w:p>
            <w:pPr>
              <w:pStyle w:val="Compact"/>
              <w:jc w:val="left"/>
            </w:pPr>
            <w:r>
              <w:t xml:space="preserve">Security and compliance</w:t>
            </w:r>
          </w:p>
        </w:tc>
        <w:tc>
          <w:tcPr/>
          <w:p>
            <w:pPr>
              <w:pStyle w:val="Compact"/>
              <w:jc w:val="right"/>
            </w:pPr>
            <w:r>
              <w:t xml:space="preserve">3</w:t>
            </w:r>
          </w:p>
        </w:tc>
        <w:tc>
          <w:tcPr/>
          <w:p>
            <w:pPr>
              <w:pStyle w:val="Compact"/>
              <w:jc w:val="left"/>
            </w:pPr>
            <w:r>
              <w:t xml:space="preserve">Vendor-stated SOC 2 Type 2 with a DPA committing to annual SOC 2 Type II audits and penetration tests; no ISO 27001; report not seen.</w:t>
            </w:r>
          </w:p>
        </w:tc>
      </w:tr>
      <w:tr>
        <w:tc>
          <w:tcPr/>
          <w:p>
            <w:pPr>
              <w:pStyle w:val="Compact"/>
              <w:jc w:val="left"/>
            </w:pPr>
            <w:r>
              <w:t xml:space="preserve">Deployment flexibility</w:t>
            </w:r>
          </w:p>
        </w:tc>
        <w:tc>
          <w:tcPr/>
          <w:p>
            <w:pPr>
              <w:pStyle w:val="Compact"/>
              <w:jc w:val="right"/>
            </w:pPr>
            <w:r>
              <w:t xml:space="preserve">4</w:t>
            </w:r>
          </w:p>
        </w:tc>
        <w:tc>
          <w:tcPr/>
          <w:p>
            <w:pPr>
              <w:pStyle w:val="Compact"/>
              <w:jc w:val="left"/>
            </w:pPr>
            <w:r>
              <w:t xml:space="preserve">SaaS, customer AWS account and self-hosted (Enterprise); air-gap and on-premises not verified.</w:t>
            </w:r>
          </w:p>
        </w:tc>
      </w:tr>
      <w:tr>
        <w:tc>
          <w:tcPr/>
          <w:p>
            <w:pPr>
              <w:pStyle w:val="Compact"/>
              <w:jc w:val="left"/>
            </w:pPr>
            <w:r>
              <w:t xml:space="preserve">Ecosystem</w:t>
            </w:r>
          </w:p>
        </w:tc>
        <w:tc>
          <w:tcPr/>
          <w:p>
            <w:pPr>
              <w:pStyle w:val="Compact"/>
              <w:jc w:val="right"/>
            </w:pPr>
            <w:r>
              <w:t xml:space="preserve">3</w:t>
            </w:r>
          </w:p>
        </w:tc>
        <w:tc>
          <w:tcPr/>
          <w:p>
            <w:pPr>
              <w:pStyle w:val="Compact"/>
              <w:jc w:val="left"/>
            </w:pPr>
            <w:r>
              <w:t xml:space="preserve">REST API, Python/JS SDKs, OTel tracing for major provider SDKs, webhooks; smaller ecosystem than the platform vendors.</w:t>
            </w:r>
          </w:p>
        </w:tc>
      </w:tr>
      <w:tr>
        <w:tc>
          <w:tcPr/>
          <w:p>
            <w:pPr>
              <w:pStyle w:val="Compact"/>
              <w:jc w:val="left"/>
            </w:pPr>
            <w:r>
              <w:t xml:space="preserve">Reliability and maturity</w:t>
            </w:r>
          </w:p>
        </w:tc>
        <w:tc>
          <w:tcPr/>
          <w:p>
            <w:pPr>
              <w:pStyle w:val="Compact"/>
              <w:jc w:val="right"/>
            </w:pPr>
            <w:r>
              <w:t xml:space="preserve">3</w:t>
            </w:r>
          </w:p>
        </w:tc>
        <w:tc>
          <w:tcPr/>
          <w:p>
            <w:pPr>
              <w:pStyle w:val="Compact"/>
              <w:jc w:val="left"/>
            </w:pPr>
            <w:r>
              <w:t xml:space="preserve">Independent, continuous releases on the 1.5.x SDK line since 2022; funding not verified.</w:t>
            </w:r>
          </w:p>
        </w:tc>
      </w:tr>
      <w:tr>
        <w:tc>
          <w:tcPr/>
          <w:p>
            <w:pPr>
              <w:pStyle w:val="Compact"/>
              <w:jc w:val="left"/>
            </w:pPr>
            <w:r>
              <w:t xml:space="preserve">Cost / TCO</w:t>
            </w:r>
          </w:p>
        </w:tc>
        <w:tc>
          <w:tcPr/>
          <w:p>
            <w:pPr>
              <w:pStyle w:val="Compact"/>
              <w:jc w:val="right"/>
            </w:pPr>
            <w:r>
              <w:t xml:space="preserve">2</w:t>
            </w:r>
          </w:p>
        </w:tc>
        <w:tc>
          <w:tcPr/>
          <w:p>
            <w:pPr>
              <w:pStyle w:val="Compact"/>
              <w:jc w:val="left"/>
            </w:pPr>
            <w:r>
              <w:t xml:space="preserve">Pricing not publicly verified; self-hosting and identity features need an Enterprise contract.</w:t>
            </w:r>
          </w:p>
        </w:tc>
      </w:tr>
      <w:tr>
        <w:tc>
          <w:tcPr/>
          <w:p>
            <w:pPr>
              <w:pStyle w:val="Compact"/>
              <w:jc w:val="left"/>
            </w:pPr>
            <w:r>
              <w:t xml:space="preserve">Lock-in / portability</w:t>
            </w:r>
          </w:p>
        </w:tc>
        <w:tc>
          <w:tcPr/>
          <w:p>
            <w:pPr>
              <w:pStyle w:val="Compact"/>
              <w:jc w:val="right"/>
            </w:pPr>
            <w:r>
              <w:t xml:space="preserve">3</w:t>
            </w:r>
          </w:p>
        </w:tc>
        <w:tc>
          <w:tcPr/>
          <w:p>
            <w:pPr>
              <w:pStyle w:val="Compact"/>
              <w:jc w:val="left"/>
            </w:pPr>
            <w:r>
              <w:t xml:space="preserve">Proprietary template API, but templates are text retrievable by API; no Git sync documented.</w:t>
            </w:r>
          </w:p>
        </w:tc>
      </w:tr>
      <w:tr>
        <w:tc>
          <w:tcPr/>
          <w:p>
            <w:pPr>
              <w:pStyle w:val="Compact"/>
              <w:jc w:val="left"/>
            </w:pPr>
            <w:r>
              <w:rPr>
                <w:bCs/>
                <w:b/>
              </w:rPr>
              <w:t xml:space="preserve">Total (generic / FS)</w:t>
            </w:r>
          </w:p>
        </w:tc>
        <w:tc>
          <w:tcPr/>
          <w:p>
            <w:pPr>
              <w:pStyle w:val="Compact"/>
              <w:jc w:val="right"/>
            </w:pPr>
            <w:r>
              <w:rPr>
                <w:bCs/>
                <w:b/>
              </w:rPr>
              <w:t xml:space="preserve">3.40 / 3.40</w:t>
            </w:r>
          </w:p>
        </w:tc>
        <w:tc>
          <w:tcPr/>
          <w:p>
            <w:pPr>
              <w:pStyle w:val="Compact"/>
            </w:pPr>
          </w:p>
        </w:tc>
      </w:tr>
    </w:tbl>
    <w:p>
      <w:pPr>
        <w:pStyle w:val="BodyText"/>
      </w:pPr>
      <w:r>
        <w:rPr>
          <w:bCs/>
          <w:b/>
        </w:rPr>
        <w:t xml:space="preserve">Capabilities.</w:t>
      </w:r>
      <w:r>
        <w:t xml:space="preserve"> </w:t>
      </w:r>
      <w:r>
        <w:t xml:space="preserve">Prompt Registry with versioned templates; release labels (e.g. </w:t>
      </w:r>
      <w:r>
        <w:t xml:space="preserve">‘</w:t>
      </w:r>
      <w:r>
        <w:t xml:space="preserve">prod</w:t>
      </w:r>
      <w:r>
        <w:t xml:space="preserve">’</w:t>
      </w:r>
      <w:r>
        <w:t xml:space="preserve">) select the served version and support staged rollouts, user segmentation and A/B testing via dynamic release labels; SDK fetches templates and can proxy provider calls for logging; evals and OpenTelemetry tracing alongside</w:t>
      </w:r>
      <w:r>
        <w:t xml:space="preserve"> </w:t>
      </w:r>
      <w:r>
        <w:rPr>
          <w:rStyle w:val="ClaimLabel"/>
        </w:rPr>
        <w:t xml:space="preserve">VF</w:t>
      </w:r>
      <w:r>
        <w:rPr>
          <w:rStyle w:val="FootnoteReference"/>
        </w:rPr>
        <w:footnoteReference w:id="2220"/>
      </w:r>
      <w:r>
        <w:t xml:space="preserve">.</w:t>
      </w:r>
    </w:p>
    <w:p>
      <w:pPr>
        <w:pStyle w:val="BodyText"/>
      </w:pPr>
      <w:r>
        <w:rPr>
          <w:bCs/>
          <w:b/>
        </w:rPr>
        <w:t xml:space="preserve">Strengths</w:t>
      </w:r>
    </w:p>
    <w:p>
      <w:pPr>
        <w:numPr>
          <w:ilvl w:val="0"/>
          <w:numId w:val="1481"/>
        </w:numPr>
        <w:pStyle w:val="Compact"/>
      </w:pPr>
      <w:r>
        <w:t xml:space="preserve">Release labels support staged rollout and segmentation of users to prompt versions, closest to feature-flag practice among the registries</w:t>
      </w:r>
      <w:r>
        <w:t xml:space="preserve"> </w:t>
      </w:r>
      <w:r>
        <w:rPr>
          <w:rStyle w:val="ClaimLabel"/>
        </w:rPr>
        <w:t xml:space="preserve">VF</w:t>
      </w:r>
      <w:r>
        <w:rPr>
          <w:rStyle w:val="FootnoteReference"/>
        </w:rPr>
        <w:footnoteReference w:id="2223"/>
      </w:r>
    </w:p>
    <w:p>
      <w:pPr>
        <w:numPr>
          <w:ilvl w:val="0"/>
          <w:numId w:val="1481"/>
        </w:numPr>
        <w:pStyle w:val="Compact"/>
      </w:pPr>
      <w:r>
        <w:t xml:space="preserve">Enterprise Identity: SSO (SAML/OIDC via WorkOS), SCIM, group-to-role mapping, SSO enforcement, org-scoped audit log and granular RBAC</w:t>
      </w:r>
      <w:r>
        <w:t xml:space="preserve"> </w:t>
      </w:r>
      <w:r>
        <w:rPr>
          <w:rStyle w:val="ClaimLabel"/>
        </w:rPr>
        <w:t xml:space="preserve">VF</w:t>
      </w:r>
      <w:r>
        <w:rPr>
          <w:rStyle w:val="FootnoteReference"/>
        </w:rPr>
        <w:footnoteReference w:id="2224"/>
      </w:r>
    </w:p>
    <w:p>
      <w:pPr>
        <w:numPr>
          <w:ilvl w:val="0"/>
          <w:numId w:val="1481"/>
        </w:numPr>
        <w:pStyle w:val="Compact"/>
      </w:pPr>
      <w:r>
        <w:t xml:space="preserve">Deployable into the customer’s AWS account or self-hosted on Enterprise</w:t>
      </w:r>
      <w:r>
        <w:t xml:space="preserve"> </w:t>
      </w:r>
      <w:r>
        <w:rPr>
          <w:rStyle w:val="ClaimLabel"/>
        </w:rPr>
        <w:t xml:space="preserve">VF</w:t>
      </w:r>
      <w:r>
        <w:rPr>
          <w:rStyle w:val="FootnoteReference"/>
        </w:rPr>
        <w:footnoteReference w:id="2226"/>
      </w:r>
    </w:p>
    <w:p>
      <w:pPr>
        <w:numPr>
          <w:ilvl w:val="0"/>
          <w:numId w:val="1481"/>
        </w:numPr>
        <w:pStyle w:val="Compact"/>
      </w:pPr>
      <w:r>
        <w:t xml:space="preserve">Independent; no acquisition found</w:t>
      </w:r>
      <w:r>
        <w:t xml:space="preserve"> </w:t>
      </w:r>
      <w:r>
        <w:rPr>
          <w:rStyle w:val="ClaimLabel"/>
        </w:rPr>
        <w:t xml:space="preserve">VF</w:t>
      </w:r>
      <w:r>
        <w:rPr>
          <w:rStyle w:val="FootnoteReference"/>
        </w:rPr>
        <w:footnoteReference w:id="2229"/>
      </w:r>
    </w:p>
    <w:p>
      <w:pPr>
        <w:pStyle w:val="FirstParagraph"/>
      </w:pPr>
      <w:r>
        <w:rPr>
          <w:bCs/>
          <w:b/>
        </w:rPr>
        <w:t xml:space="preserve">Limitations and risks</w:t>
      </w:r>
    </w:p>
    <w:p>
      <w:pPr>
        <w:numPr>
          <w:ilvl w:val="0"/>
          <w:numId w:val="1482"/>
        </w:numPr>
        <w:pStyle w:val="Compact"/>
      </w:pPr>
      <w:r>
        <w:t xml:space="preserve">SOC 2 Type 2 is a vendor statement; no report or ISO 27001 seen</w:t>
      </w:r>
      <w:r>
        <w:t xml:space="preserve"> </w:t>
      </w:r>
      <w:r>
        <w:rPr>
          <w:rStyle w:val="ClaimLabel"/>
        </w:rPr>
        <w:t xml:space="preserve">VF</w:t>
      </w:r>
      <w:r>
        <w:rPr>
          <w:rStyle w:val="FootnoteReference"/>
        </w:rPr>
        <w:footnoteReference w:id="2230"/>
      </w:r>
    </w:p>
    <w:p>
      <w:pPr>
        <w:numPr>
          <w:ilvl w:val="0"/>
          <w:numId w:val="1482"/>
        </w:numPr>
        <w:pStyle w:val="Compact"/>
      </w:pPr>
      <w:r>
        <w:t xml:space="preserve">Pricing and EU region not publicly verified</w:t>
      </w:r>
      <w:r>
        <w:t xml:space="preserve"> </w:t>
      </w:r>
      <w:r>
        <w:rPr>
          <w:rStyle w:val="ClaimLabel"/>
        </w:rPr>
        <w:t xml:space="preserve">NPV</w:t>
      </w:r>
    </w:p>
    <w:p>
      <w:pPr>
        <w:numPr>
          <w:ilvl w:val="0"/>
          <w:numId w:val="1482"/>
        </w:numPr>
        <w:pStyle w:val="Compact"/>
      </w:pPr>
      <w:r>
        <w:t xml:space="preserve">Proprietary template API; no Git synchronisation documented</w:t>
      </w:r>
      <w:r>
        <w:t xml:space="preserve"> </w:t>
      </w:r>
      <w:r>
        <w:rPr>
          <w:rStyle w:val="ClaimLabel"/>
        </w:rPr>
        <w:t xml:space="preserve">VF</w:t>
      </w:r>
      <w:r>
        <w:rPr>
          <w:rStyle w:val="FootnoteReference"/>
        </w:rPr>
        <w:footnoteReference w:id="2232"/>
      </w:r>
      <w:r>
        <w:t xml:space="preserve"> </w:t>
      </w:r>
      <w:r>
        <w:rPr>
          <w:rStyle w:val="ClaimLabel"/>
        </w:rPr>
        <w:t xml:space="preserve">NPV</w:t>
      </w:r>
    </w:p>
    <w:p>
      <w:pPr>
        <w:numPr>
          <w:ilvl w:val="0"/>
          <w:numId w:val="1482"/>
        </w:numPr>
        <w:pStyle w:val="Compact"/>
      </w:pPr>
      <w:r>
        <w:t xml:space="preserve">Small vendor; funding not publicly verified</w:t>
      </w:r>
      <w:r>
        <w:t xml:space="preserve"> </w:t>
      </w:r>
      <w:r>
        <w:rPr>
          <w:rStyle w:val="ClaimLabel"/>
        </w:rPr>
        <w:t xml:space="preserve">NPV</w:t>
      </w:r>
    </w:p>
    <w:p>
      <w:pPr>
        <w:pStyle w:val="FirstParagraph"/>
      </w:pPr>
      <w:r>
        <w:rPr>
          <w:bCs/>
          <w:b/>
        </w:rPr>
        <w:t xml:space="preserve">Choose when</w:t>
      </w:r>
    </w:p>
    <w:p>
      <w:pPr>
        <w:numPr>
          <w:ilvl w:val="0"/>
          <w:numId w:val="1483"/>
        </w:numPr>
        <w:pStyle w:val="Compact"/>
      </w:pPr>
      <w:r>
        <w:t xml:space="preserve">You want a standalone, model- and framework-neutral prompt registry with segmentation, and can run it in your own AWS account</w:t>
      </w:r>
      <w:r>
        <w:t xml:space="preserve"> </w:t>
      </w:r>
      <w:r>
        <w:rPr>
          <w:rStyle w:val="ClaimLabel"/>
        </w:rPr>
        <w:t xml:space="preserve">AJ</w:t>
      </w:r>
    </w:p>
    <w:p>
      <w:pPr>
        <w:pStyle w:val="FirstParagraph"/>
      </w:pPr>
      <w:r>
        <w:rPr>
          <w:bCs/>
          <w:b/>
        </w:rPr>
        <w:t xml:space="preserve">Avoid when</w:t>
      </w:r>
    </w:p>
    <w:p>
      <w:pPr>
        <w:numPr>
          <w:ilvl w:val="0"/>
          <w:numId w:val="1484"/>
        </w:numPr>
        <w:pStyle w:val="Compact"/>
      </w:pPr>
      <w:r>
        <w:t xml:space="preserve">ISO 27001 is a procurement gate</w:t>
      </w:r>
      <w:r>
        <w:t xml:space="preserve"> </w:t>
      </w:r>
      <w:r>
        <w:rPr>
          <w:rStyle w:val="ClaimLabel"/>
        </w:rPr>
        <w:t xml:space="preserve">AJ</w:t>
      </w:r>
    </w:p>
    <w:p>
      <w:pPr>
        <w:numPr>
          <w:ilvl w:val="0"/>
          <w:numId w:val="1484"/>
        </w:numPr>
        <w:pStyle w:val="Compact"/>
      </w:pPr>
      <w:r>
        <w:t xml:space="preserve">You already run Langfuse or LangSmith as the L9 platform, which would duplicate the registry</w:t>
      </w:r>
      <w:r>
        <w:t xml:space="preserve"> </w:t>
      </w:r>
      <w:r>
        <w:rPr>
          <w:rStyle w:val="ClaimLabel"/>
        </w:rPr>
        <w:t xml:space="preserve">AJ</w:t>
      </w:r>
    </w:p>
    <w:p>
      <w:pPr>
        <w:pStyle w:val="FirstParagraph"/>
      </w:pPr>
      <w:r>
        <w:rPr>
          <w:bCs/>
          <w:b/>
        </w:rPr>
        <w:t xml:space="preserve">Nearest competitors:</w:t>
      </w:r>
      <w:r>
        <w:t xml:space="preserve"> </w:t>
      </w:r>
      <w:r>
        <w:t xml:space="preserve">C5-langfuse-prompts, C5-langsmith-prompts, C5-launchdarkly-ai-configs</w:t>
      </w:r>
    </w:p>
    <w:p>
      <w:pPr>
        <w:pStyle w:val="BodyText"/>
      </w:pPr>
      <w:r>
        <w:rPr>
          <w:bCs/>
          <w:b/>
        </w:rPr>
        <w:t xml:space="preserve">Regulated-FS note.</w:t>
      </w:r>
      <w:r>
        <w:t xml:space="preserve"> </w:t>
      </w:r>
      <w:r>
        <w:t xml:space="preserve">Request the SOC 2 Type II report and subprocessor list before use with client data, prefer the customer-AWS deployment, and do not use the SDK proxy mode for regulated traffic unless the gateway (C1) is bypassed by design</w:t>
      </w:r>
      <w:r>
        <w:t xml:space="preserve"> </w:t>
      </w:r>
      <w:r>
        <w:rPr>
          <w:rStyle w:val="ClaimLabel"/>
        </w:rPr>
        <w:t xml:space="preserve">Rec</w:t>
      </w:r>
      <w:r>
        <w:t xml:space="preserve">.</w:t>
      </w:r>
    </w:p>
    <w:p>
      <w:pPr>
        <w:pStyle w:val="BodyText"/>
      </w:pPr>
      <w:r>
        <w:rPr>
          <w:bCs/>
          <w:b/>
        </w:rPr>
        <w:t xml:space="preserve">Facts (as of 2026-10-08)</w:t>
      </w:r>
    </w:p>
    <w:tbl>
      <w:tblPr>
        <w:tblStyle w:val="Table"/>
        <w:tblW w:type="pct" w:w="5000"/>
        <w:tblLook w:firstRow="1" w:lastRow="0" w:firstColumn="0" w:lastColumn="0" w:noHBand="0" w:noVBand="0" w:val="0020"/>
        <w:jc w:val="start"/>
      </w:tblPr>
      <w:tblGrid>
        <w:gridCol w:w="1485"/>
        <w:gridCol w:w="4290"/>
        <w:gridCol w:w="1320"/>
        <w:gridCol w:w="825"/>
      </w:tblGrid>
      <w:tr>
        <w:trPr>
          <w:tblHeader w:val="true"/>
        </w:trPr>
        <w:tc>
          <w:tcPr/>
          <w:p>
            <w:pPr>
              <w:pStyle w:val="Compact"/>
              <w:jc w:val="left"/>
            </w:pPr>
            <w:r>
              <w:t xml:space="preserve">Field</w:t>
            </w:r>
          </w:p>
        </w:tc>
        <w:tc>
          <w:tcPr/>
          <w:p>
            <w:pPr>
              <w:pStyle w:val="Compact"/>
              <w:jc w:val="left"/>
            </w:pPr>
            <w:r>
              <w:t xml:space="preserve">Value</w:t>
            </w:r>
          </w:p>
        </w:tc>
        <w:tc>
          <w:tcPr/>
          <w:p>
            <w:pPr>
              <w:pStyle w:val="Compact"/>
              <w:jc w:val="left"/>
            </w:pPr>
            <w:r>
              <w:t xml:space="preserve">Label</w:t>
            </w:r>
          </w:p>
        </w:tc>
        <w:tc>
          <w:tcPr/>
          <w:p>
            <w:pPr>
              <w:pStyle w:val="Compact"/>
              <w:jc w:val="left"/>
            </w:pPr>
            <w:r>
              <w:t xml:space="preserve">Sources</w:t>
            </w:r>
          </w:p>
        </w:tc>
      </w:tr>
      <w:tr>
        <w:tc>
          <w:tcPr/>
          <w:p>
            <w:pPr>
              <w:pStyle w:val="Compact"/>
              <w:jc w:val="left"/>
            </w:pPr>
            <w:r>
              <w:t xml:space="preserve">Company</w:t>
            </w:r>
          </w:p>
        </w:tc>
        <w:tc>
          <w:tcPr/>
          <w:p>
            <w:pPr>
              <w:pStyle w:val="Compact"/>
              <w:jc w:val="left"/>
            </w:pPr>
            <w:r>
              <w:t xml:space="preserve">PromptLayer (GitHub organisation</w:t>
            </w:r>
            <w:r>
              <w:t xml:space="preserve"> </w:t>
            </w:r>
            <w:r>
              <w:t xml:space="preserve">‘</w:t>
            </w:r>
            <w:r>
              <w:t xml:space="preserve">MagnivOrg</w:t>
            </w:r>
            <w:r>
              <w:t xml:space="preserve">’</w:t>
            </w:r>
            <w:r>
              <w:t xml:space="preserve">); independent - no acquisition found</w:t>
            </w:r>
          </w:p>
        </w:tc>
        <w:tc>
          <w:tcPr/>
          <w:p>
            <w:pPr>
              <w:pStyle w:val="Compact"/>
              <w:jc w:val="left"/>
            </w:pPr>
            <w:r>
              <w:t xml:space="preserve">Verified fact</w:t>
            </w:r>
          </w:p>
        </w:tc>
        <w:tc>
          <w:tcPr/>
          <w:p>
            <w:pPr>
              <w:pStyle w:val="Compact"/>
              <w:jc w:val="left"/>
            </w:pPr>
            <w:r>
              <w:t xml:space="preserve">A7-S004</w:t>
            </w:r>
          </w:p>
        </w:tc>
      </w:tr>
      <w:tr>
        <w:tc>
          <w:tcPr/>
          <w:p>
            <w:pPr>
              <w:pStyle w:val="Compact"/>
              <w:jc w:val="left"/>
            </w:pPr>
            <w:r>
              <w:t xml:space="preserve">Category</w:t>
            </w:r>
          </w:p>
        </w:tc>
        <w:tc>
          <w:tcPr/>
          <w:p>
            <w:pPr>
              <w:pStyle w:val="Compact"/>
              <w:jc w:val="left"/>
            </w:pPr>
            <w:r>
              <w:t xml:space="preserve">Prompt registry and LLM engineering workbench (versioning, evals, tracing)</w:t>
            </w:r>
          </w:p>
        </w:tc>
        <w:tc>
          <w:tcPr/>
          <w:p>
            <w:pPr>
              <w:pStyle w:val="Compact"/>
              <w:jc w:val="left"/>
            </w:pPr>
            <w:r>
              <w:t xml:space="preserve">Verified fact</w:t>
            </w:r>
          </w:p>
        </w:tc>
        <w:tc>
          <w:tcPr/>
          <w:p>
            <w:pPr>
              <w:pStyle w:val="Compact"/>
              <w:jc w:val="left"/>
            </w:pPr>
            <w:r>
              <w:t xml:space="preserve">A7-S004</w:t>
            </w:r>
          </w:p>
        </w:tc>
      </w:tr>
      <w:tr>
        <w:tc>
          <w:tcPr/>
          <w:p>
            <w:pPr>
              <w:pStyle w:val="Compact"/>
              <w:jc w:val="left"/>
            </w:pPr>
            <w:r>
              <w:t xml:space="preserve">Version / lineup</w:t>
            </w:r>
          </w:p>
        </w:tc>
        <w:tc>
          <w:tcPr/>
          <w:p>
            <w:pPr>
              <w:pStyle w:val="Compact"/>
              <w:jc w:val="left"/>
            </w:pPr>
            <w:r>
              <w:t xml:space="preserve">promptlayer Python SDK 1.5.16 released 19 August 2026</w:t>
            </w:r>
          </w:p>
        </w:tc>
        <w:tc>
          <w:tcPr/>
          <w:p>
            <w:pPr>
              <w:pStyle w:val="Compact"/>
              <w:jc w:val="left"/>
            </w:pPr>
            <w:r>
              <w:t xml:space="preserve">Verified fact</w:t>
            </w:r>
          </w:p>
        </w:tc>
        <w:tc>
          <w:tcPr/>
          <w:p>
            <w:pPr>
              <w:pStyle w:val="Compact"/>
              <w:jc w:val="left"/>
            </w:pPr>
            <w:r>
              <w:t xml:space="preserve">A7-S004, V2-S028</w:t>
            </w:r>
          </w:p>
        </w:tc>
      </w:tr>
      <w:tr>
        <w:tc>
          <w:tcPr/>
          <w:p>
            <w:pPr>
              <w:pStyle w:val="Compact"/>
              <w:jc w:val="left"/>
            </w:pPr>
            <w:r>
              <w:t xml:space="preserve">Licence</w:t>
            </w:r>
          </w:p>
        </w:tc>
        <w:tc>
          <w:tcPr/>
          <w:p>
            <w:pPr>
              <w:pStyle w:val="Compact"/>
              <w:jc w:val="left"/>
            </w:pPr>
            <w:r>
              <w:t xml:space="preserve">Proprietary platform; Python SDK Apache-2.0; self-hosting requires an Enterprise licence</w:t>
            </w:r>
          </w:p>
        </w:tc>
        <w:tc>
          <w:tcPr/>
          <w:p>
            <w:pPr>
              <w:pStyle w:val="Compact"/>
              <w:jc w:val="left"/>
            </w:pPr>
            <w:r>
              <w:t xml:space="preserve">Verified fact</w:t>
            </w:r>
          </w:p>
        </w:tc>
        <w:tc>
          <w:tcPr/>
          <w:p>
            <w:pPr>
              <w:pStyle w:val="Compact"/>
              <w:jc w:val="left"/>
            </w:pPr>
            <w:r>
              <w:t xml:space="preserve">A7-S004, A7-S085</w:t>
            </w:r>
          </w:p>
        </w:tc>
      </w:tr>
      <w:tr>
        <w:tc>
          <w:tcPr/>
          <w:p>
            <w:pPr>
              <w:pStyle w:val="Compact"/>
              <w:jc w:val="left"/>
            </w:pPr>
            <w:r>
              <w:t xml:space="preserve">Strategic direction</w:t>
            </w:r>
          </w:p>
        </w:tc>
        <w:tc>
          <w:tcPr/>
          <w:p>
            <w:pPr>
              <w:pStyle w:val="Compact"/>
              <w:jc w:val="left"/>
            </w:pPr>
            <w:r>
              <w:t xml:space="preserve">Extends from prompt registry to agents and evals (</w:t>
            </w:r>
            <w:r>
              <w:t xml:space="preserve">‘</w:t>
            </w:r>
            <w:r>
              <w:t xml:space="preserve">Version, test, and monitor every prompt and agent</w:t>
            </w:r>
            <w:r>
              <w:t xml:space="preserve">’</w:t>
            </w:r>
            <w:r>
              <w:t xml:space="preserve">); ships coding-agent skills and a Docs MCP server; OpenTelemetry tracing auto-instrumentation</w:t>
            </w:r>
          </w:p>
        </w:tc>
        <w:tc>
          <w:tcPr/>
          <w:p>
            <w:pPr>
              <w:pStyle w:val="Compact"/>
              <w:jc w:val="left"/>
            </w:pPr>
            <w:r>
              <w:t xml:space="preserve">Verified fact</w:t>
            </w:r>
          </w:p>
        </w:tc>
        <w:tc>
          <w:tcPr/>
          <w:p>
            <w:pPr>
              <w:pStyle w:val="Compact"/>
              <w:jc w:val="left"/>
            </w:pPr>
            <w:r>
              <w:t xml:space="preserve">A7-S004</w:t>
            </w:r>
          </w:p>
        </w:tc>
      </w:tr>
      <w:tr>
        <w:tc>
          <w:tcPr/>
          <w:p>
            <w:pPr>
              <w:pStyle w:val="Compact"/>
              <w:jc w:val="left"/>
            </w:pPr>
            <w:r>
              <w:t xml:space="preserve">What it does</w:t>
            </w:r>
          </w:p>
        </w:tc>
        <w:tc>
          <w:tcPr/>
          <w:p>
            <w:pPr>
              <w:pStyle w:val="Compact"/>
              <w:jc w:val="left"/>
            </w:pPr>
            <w:r>
              <w:t xml:space="preserve">Prompt Registry stores versioned prompt templates; release labels (e.g. </w:t>
            </w:r>
            <w:r>
              <w:t xml:space="preserve">‘</w:t>
            </w:r>
            <w:r>
              <w:t xml:space="preserve">prod</w:t>
            </w:r>
            <w:r>
              <w:t xml:space="preserve">’</w:t>
            </w:r>
            <w:r>
              <w:t xml:space="preserve">) select the version served and support staged rollouts and user segmentation. The SDK fetches templates and can proxy provider SDK calls for logging; evals and tracing sit alongside.</w:t>
            </w:r>
          </w:p>
        </w:tc>
        <w:tc>
          <w:tcPr/>
          <w:p>
            <w:pPr>
              <w:pStyle w:val="Compact"/>
              <w:jc w:val="left"/>
            </w:pPr>
            <w:r>
              <w:t xml:space="preserve">Verified fact</w:t>
            </w:r>
          </w:p>
        </w:tc>
        <w:tc>
          <w:tcPr/>
          <w:p>
            <w:pPr>
              <w:pStyle w:val="Compact"/>
              <w:jc w:val="left"/>
            </w:pPr>
            <w:r>
              <w:t xml:space="preserve">A7-S004, A7-S088</w:t>
            </w:r>
          </w:p>
        </w:tc>
      </w:tr>
      <w:tr>
        <w:tc>
          <w:tcPr/>
          <w:p>
            <w:pPr>
              <w:pStyle w:val="Compact"/>
              <w:jc w:val="left"/>
            </w:pPr>
            <w:r>
              <w:t xml:space="preserve">Stack position</w:t>
            </w:r>
          </w:p>
        </w:tc>
        <w:tc>
          <w:tcPr/>
          <w:p>
            <w:pPr>
              <w:pStyle w:val="Compact"/>
              <w:jc w:val="left"/>
            </w:pPr>
            <w:r>
              <w:t xml:space="preserve">Control-plane prompt management (C5) with overlap into L9 tracing/evals</w:t>
            </w:r>
          </w:p>
        </w:tc>
        <w:tc>
          <w:tcPr/>
          <w:p>
            <w:pPr>
              <w:pStyle w:val="Compact"/>
              <w:jc w:val="left"/>
            </w:pPr>
            <w:r>
              <w:t xml:space="preserve">Verified fact</w:t>
            </w:r>
          </w:p>
        </w:tc>
        <w:tc>
          <w:tcPr/>
          <w:p>
            <w:pPr>
              <w:pStyle w:val="Compact"/>
              <w:jc w:val="left"/>
            </w:pPr>
            <w:r>
              <w:t xml:space="preserve">A7-S004</w:t>
            </w:r>
          </w:p>
        </w:tc>
      </w:tr>
      <w:tr>
        <w:tc>
          <w:tcPr/>
          <w:p>
            <w:pPr>
              <w:pStyle w:val="Compact"/>
              <w:jc w:val="left"/>
            </w:pPr>
            <w:r>
              <w:t xml:space="preserve">Integration</w:t>
            </w:r>
          </w:p>
        </w:tc>
        <w:tc>
          <w:tcPr/>
          <w:p>
            <w:pPr>
              <w:pStyle w:val="Compact"/>
              <w:jc w:val="left"/>
            </w:pPr>
            <w:r>
              <w:t xml:space="preserve">REST API and Python/JS SDKs; proxy wrapper around OpenAI and other SDKs; OpenTelemetry tracing for OpenAI, Anthropic, Google GenAI and AWS Bedrock SDKs; webhooks</w:t>
            </w:r>
          </w:p>
        </w:tc>
        <w:tc>
          <w:tcPr/>
          <w:p>
            <w:pPr>
              <w:pStyle w:val="Compact"/>
              <w:jc w:val="left"/>
            </w:pPr>
            <w:r>
              <w:t xml:space="preserve">Verified fact</w:t>
            </w:r>
          </w:p>
        </w:tc>
        <w:tc>
          <w:tcPr/>
          <w:p>
            <w:pPr>
              <w:pStyle w:val="Compact"/>
              <w:jc w:val="left"/>
            </w:pPr>
            <w:r>
              <w:t xml:space="preserve">A7-S004</w:t>
            </w:r>
          </w:p>
        </w:tc>
      </w:tr>
      <w:tr>
        <w:tc>
          <w:tcPr/>
          <w:p>
            <w:pPr>
              <w:pStyle w:val="Compact"/>
              <w:jc w:val="left"/>
            </w:pPr>
            <w:r>
              <w:t xml:space="preserve">Dependencies</w:t>
            </w:r>
          </w:p>
        </w:tc>
        <w:tc>
          <w:tcPr/>
          <w:p>
            <w:pPr>
              <w:pStyle w:val="Compact"/>
              <w:jc w:val="left"/>
            </w:pPr>
            <w:r>
              <w:t xml:space="preserve">Self-hosted: Python Flask backend, PostgreSQL 15, object storage (Amazon S3 or Google Cloud Storage), Valkey 8.1.0; AWS reference deployment uses EKS, RDS, ElastiCache and OpenSearch via OpenTofu and Helm</w:t>
            </w:r>
          </w:p>
        </w:tc>
        <w:tc>
          <w:tcPr/>
          <w:p>
            <w:pPr>
              <w:pStyle w:val="Compact"/>
              <w:jc w:val="left"/>
            </w:pPr>
            <w:r>
              <w:t xml:space="preserve">Verified fact</w:t>
            </w:r>
          </w:p>
        </w:tc>
        <w:tc>
          <w:tcPr/>
          <w:p>
            <w:pPr>
              <w:pStyle w:val="Compact"/>
              <w:jc w:val="left"/>
            </w:pPr>
            <w:r>
              <w:t xml:space="preserve">A7-S085, A7-S087</w:t>
            </w:r>
          </w:p>
        </w:tc>
      </w:tr>
      <w:tr>
        <w:tc>
          <w:tcPr/>
          <w:p>
            <w:pPr>
              <w:pStyle w:val="Compact"/>
              <w:jc w:val="left"/>
            </w:pPr>
            <w:r>
              <w:t xml:space="preserve">Certifications</w:t>
            </w:r>
          </w:p>
        </w:tc>
        <w:tc>
          <w:tcPr/>
          <w:p>
            <w:pPr>
              <w:pStyle w:val="Compact"/>
              <w:jc w:val="left"/>
            </w:pPr>
            <w:r>
              <w:t xml:space="preserve">Claims SOC 2, HIPAA and GDPR compliance (self-hosted</w:t>
            </w:r>
            <w:r>
              <w:t xml:space="preserve"> </w:t>
            </w:r>
            <w:r>
              <w:t xml:space="preserve">‘</w:t>
            </w:r>
            <w:r>
              <w:t xml:space="preserve">inherits the same SOC 2, HIPAA, and GDPR compliance</w:t>
            </w:r>
            <w:r>
              <w:t xml:space="preserve">’</w:t>
            </w:r>
            <w:r>
              <w:t xml:space="preserve">); SOC 2 type not stated on the page fetched</w:t>
            </w:r>
          </w:p>
        </w:tc>
        <w:tc>
          <w:tcPr/>
          <w:p>
            <w:pPr>
              <w:pStyle w:val="Compact"/>
              <w:jc w:val="left"/>
            </w:pPr>
            <w:r>
              <w:t xml:space="preserve">Verified fact</w:t>
            </w:r>
          </w:p>
        </w:tc>
        <w:tc>
          <w:tcPr/>
          <w:p>
            <w:pPr>
              <w:pStyle w:val="Compact"/>
              <w:jc w:val="left"/>
            </w:pPr>
            <w:r>
              <w:t xml:space="preserve">A7-S085</w:t>
            </w:r>
          </w:p>
        </w:tc>
      </w:tr>
      <w:tr>
        <w:tc>
          <w:tcPr/>
          <w:p>
            <w:pPr>
              <w:pStyle w:val="Compact"/>
              <w:jc w:val="left"/>
            </w:pPr>
            <w:r>
              <w:t xml:space="preserve">GDPR / residency</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Security features</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Access controls</w:t>
            </w:r>
          </w:p>
        </w:tc>
        <w:tc>
          <w:tcPr/>
          <w:p>
            <w:pPr>
              <w:pStyle w:val="Compact"/>
              <w:jc w:val="left"/>
            </w:pPr>
            <w:r>
              <w:t xml:space="preserve">Enterprise Identity: SSO (SAML/OIDC via WorkOS), SCIM directory sync, group-to-role mappings, SSO enforcement, org-scoped audit log; RBAC with granular permissions</w:t>
            </w:r>
          </w:p>
        </w:tc>
        <w:tc>
          <w:tcPr/>
          <w:p>
            <w:pPr>
              <w:pStyle w:val="Compact"/>
              <w:jc w:val="left"/>
            </w:pPr>
            <w:r>
              <w:t xml:space="preserve">Verified fact</w:t>
            </w:r>
          </w:p>
        </w:tc>
        <w:tc>
          <w:tcPr/>
          <w:p>
            <w:pPr>
              <w:pStyle w:val="Compact"/>
              <w:jc w:val="left"/>
            </w:pPr>
            <w:r>
              <w:t xml:space="preserve">A7-S086</w:t>
            </w:r>
          </w:p>
        </w:tc>
      </w:tr>
      <w:tr>
        <w:tc>
          <w:tcPr/>
          <w:p>
            <w:pPr>
              <w:pStyle w:val="Compact"/>
              <w:jc w:val="left"/>
            </w:pPr>
            <w:r>
              <w:t xml:space="preserve">Enterprise support</w:t>
            </w:r>
          </w:p>
        </w:tc>
        <w:tc>
          <w:tcPr/>
          <w:p>
            <w:pPr>
              <w:pStyle w:val="Compact"/>
              <w:jc w:val="left"/>
            </w:pPr>
            <w:r>
              <w:t xml:space="preserve">Enterprise plan required for self-hosting and Enterprise Identity; contact sales</w:t>
            </w:r>
          </w:p>
        </w:tc>
        <w:tc>
          <w:tcPr/>
          <w:p>
            <w:pPr>
              <w:pStyle w:val="Compact"/>
              <w:jc w:val="left"/>
            </w:pPr>
            <w:r>
              <w:t xml:space="preserve">Verified fact</w:t>
            </w:r>
          </w:p>
        </w:tc>
        <w:tc>
          <w:tcPr/>
          <w:p>
            <w:pPr>
              <w:pStyle w:val="Compact"/>
              <w:jc w:val="left"/>
            </w:pPr>
            <w:r>
              <w:t xml:space="preserve">A7-S085, A7-S086</w:t>
            </w:r>
          </w:p>
        </w:tc>
      </w:tr>
      <w:tr>
        <w:tc>
          <w:tcPr/>
          <w:p>
            <w:pPr>
              <w:pStyle w:val="Compact"/>
              <w:jc w:val="left"/>
            </w:pPr>
            <w:r>
              <w:t xml:space="preserve">Pricing</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Infrastructure cost</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Ecosystem</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Adoption signals</w:t>
            </w:r>
          </w:p>
        </w:tc>
        <w:tc>
          <w:tcPr/>
          <w:p>
            <w:pPr>
              <w:pStyle w:val="Compact"/>
              <w:jc w:val="left"/>
            </w:pPr>
            <w:r>
              <w:t xml:space="preserve">promptlayer package first published on PyPI 29 December 2022</w:t>
            </w:r>
          </w:p>
        </w:tc>
        <w:tc>
          <w:tcPr/>
          <w:p>
            <w:pPr>
              <w:pStyle w:val="Compact"/>
              <w:jc w:val="left"/>
            </w:pPr>
            <w:r>
              <w:t xml:space="preserve">Verified fact</w:t>
            </w:r>
          </w:p>
        </w:tc>
        <w:tc>
          <w:tcPr/>
          <w:p>
            <w:pPr>
              <w:pStyle w:val="Compact"/>
              <w:jc w:val="left"/>
            </w:pPr>
            <w:r>
              <w:t xml:space="preserve">A7-S004</w:t>
            </w:r>
          </w:p>
        </w:tc>
      </w:tr>
      <w:tr>
        <w:tc>
          <w:tcPr/>
          <w:p>
            <w:pPr>
              <w:pStyle w:val="Compact"/>
              <w:jc w:val="left"/>
            </w:pPr>
            <w:r>
              <w:t xml:space="preserve">Maturity</w:t>
            </w:r>
          </w:p>
        </w:tc>
        <w:tc>
          <w:tcPr/>
          <w:p>
            <w:pPr>
              <w:pStyle w:val="Compact"/>
              <w:jc w:val="left"/>
            </w:pPr>
            <w:r>
              <w:t xml:space="preserve">SDK on 1.5.x line; continuous releases (1.5.16 on 19 August 2026)</w:t>
            </w:r>
          </w:p>
        </w:tc>
        <w:tc>
          <w:tcPr/>
          <w:p>
            <w:pPr>
              <w:pStyle w:val="Compact"/>
              <w:jc w:val="left"/>
            </w:pPr>
            <w:r>
              <w:t xml:space="preserve">Verified fact</w:t>
            </w:r>
          </w:p>
        </w:tc>
        <w:tc>
          <w:tcPr/>
          <w:p>
            <w:pPr>
              <w:pStyle w:val="Compact"/>
              <w:jc w:val="left"/>
            </w:pPr>
            <w:r>
              <w:t xml:space="preserve">A7-S004</w:t>
            </w:r>
          </w:p>
        </w:tc>
      </w:tr>
      <w:tr>
        <w:tc>
          <w:tcPr/>
          <w:p>
            <w:pPr>
              <w:pStyle w:val="Compact"/>
              <w:jc w:val="left"/>
            </w:pPr>
            <w:r>
              <w:t xml:space="preserve">Deployment</w:t>
            </w:r>
          </w:p>
        </w:tc>
        <w:tc>
          <w:tcPr/>
          <w:p>
            <w:pPr>
              <w:pStyle w:val="Compact"/>
              <w:jc w:val="left"/>
            </w:pPr>
            <w:r>
              <w:t xml:space="preserve">saas: Yes; managed_cloud: Not publicly verified; vpc_byoc: Yes (deploy into customer AWS account); private_cloud: Not publicly verified; self_hosted: Yes (Enterprise only); on_prem: Not publicly verified</w:t>
            </w:r>
          </w:p>
        </w:tc>
        <w:tc>
          <w:tcPr/>
          <w:p>
            <w:pPr>
              <w:pStyle w:val="Compact"/>
            </w:pPr>
          </w:p>
        </w:tc>
        <w:tc>
          <w:tcPr/>
          <w:p>
            <w:pPr>
              <w:pStyle w:val="Compact"/>
            </w:pPr>
          </w:p>
        </w:tc>
      </w:tr>
    </w:tbl>
    <w:bookmarkEnd w:id="2233"/>
    <w:bookmarkStart w:id="2250" w:name="Xd97d62b61a080432b076d3dabb2abf9bdf7fa26"/>
    <w:p>
      <w:pPr>
        <w:pStyle w:val="Heading2"/>
      </w:pPr>
      <w:r>
        <w:t xml:space="preserve">LaunchDarkly AgentControl (formerly AI Configs; API unchanged) (</w:t>
      </w:r>
      <w:r>
        <w:rPr>
          <w:rStyle w:val="VerbatimChar"/>
        </w:rPr>
        <w:t xml:space="preserve">C5-launchdarkly-ai-configs</w:t>
      </w:r>
      <w:r>
        <w:t xml:space="preserve">)</w:t>
      </w:r>
    </w:p>
    <w:p>
      <w:pPr>
        <w:pStyle w:val="FirstParagraph"/>
      </w:pPr>
      <w:r>
        <w:rPr>
          <w:bCs/>
          <w:b/>
        </w:rPr>
        <w:t xml:space="preserve">Tier:</w:t>
      </w:r>
      <w:r>
        <w:t xml:space="preserve"> </w:t>
      </w:r>
      <w:r>
        <w:t xml:space="preserve">Tactical ·</w:t>
      </w:r>
      <w:r>
        <w:t xml:space="preserve"> </w:t>
      </w:r>
      <w:r>
        <w:rPr>
          <w:bCs/>
          <w:b/>
        </w:rPr>
        <w:t xml:space="preserve">Flags:</w:t>
      </w:r>
      <w:r>
        <w:t xml:space="preserve"> </w:t>
      </w:r>
      <w:r>
        <w:t xml:space="preserve">Renamed ·</w:t>
      </w:r>
      <w:r>
        <w:t xml:space="preserve"> </w:t>
      </w:r>
      <w:r>
        <w:rPr>
          <w:bCs/>
          <w:b/>
        </w:rPr>
        <w:t xml:space="preserve">Original graphic label:</w:t>
      </w:r>
      <w:r>
        <w:t xml:space="preserve"> </w:t>
      </w:r>
      <w:r>
        <w:t xml:space="preserve">not in graphic</w:t>
      </w:r>
    </w:p>
    <w:p>
      <w:pPr>
        <w:pStyle w:val="BodyText"/>
      </w:pPr>
      <w:r>
        <w:rPr>
          <w:iCs/>
          <w:i/>
        </w:rPr>
        <w:t xml:space="preserve">Rationale:</w:t>
      </w:r>
      <w:r>
        <w:t xml:space="preserve"> </w:t>
      </w:r>
      <w:r>
        <w:t xml:space="preserve">Strongest certifications and rollout mechanics in the control, but SaaS-only with unverified residency scope and proprietary configuration delivery</w:t>
      </w:r>
      <w:r>
        <w:t xml:space="preserve"> </w:t>
      </w:r>
      <w:r>
        <w:rPr>
          <w:rStyle w:val="ClaimLabel"/>
        </w:rPr>
        <w:t xml:space="preserve">AJ</w:t>
      </w:r>
      <w:r>
        <w:t xml:space="preserve">.</w:t>
      </w:r>
    </w:p>
    <w:tbl>
      <w:tblPr>
        <w:tblStyle w:val="Table"/>
        <w:tblW w:type="pct" w:w="5000"/>
        <w:tblLook w:firstRow="1" w:lastRow="0" w:firstColumn="0" w:lastColumn="0" w:noHBand="0" w:noVBand="0" w:val="0020"/>
        <w:jc w:val="start"/>
      </w:tblPr>
      <w:tblGrid>
        <w:gridCol w:w="1545"/>
        <w:gridCol w:w="579"/>
        <w:gridCol w:w="5795"/>
      </w:tblGrid>
      <w:tr>
        <w:trPr>
          <w:tblHeader w:val="true"/>
        </w:trPr>
        <w:tc>
          <w:tcPr/>
          <w:p>
            <w:pPr>
              <w:pStyle w:val="Compact"/>
              <w:jc w:val="left"/>
            </w:pPr>
            <w:r>
              <w:t xml:space="preserve">Criterion</w:t>
            </w:r>
          </w:p>
        </w:tc>
        <w:tc>
          <w:tcPr/>
          <w:p>
            <w:pPr>
              <w:pStyle w:val="Compact"/>
              <w:jc w:val="right"/>
            </w:pPr>
            <w:r>
              <w:t xml:space="preserve">Score</w:t>
            </w:r>
          </w:p>
        </w:tc>
        <w:tc>
          <w:tcPr/>
          <w:p>
            <w:pPr>
              <w:pStyle w:val="Compact"/>
              <w:jc w:val="left"/>
            </w:pPr>
            <w:r>
              <w:t xml:space="preserve">Rationale</w:t>
            </w:r>
          </w:p>
        </w:tc>
      </w:tr>
      <w:tr>
        <w:tc>
          <w:tcPr/>
          <w:p>
            <w:pPr>
              <w:pStyle w:val="Compact"/>
              <w:jc w:val="left"/>
            </w:pPr>
            <w:r>
              <w:t xml:space="preserve">Technical</w:t>
            </w:r>
          </w:p>
        </w:tc>
        <w:tc>
          <w:tcPr/>
          <w:p>
            <w:pPr>
              <w:pStyle w:val="Compact"/>
              <w:jc w:val="right"/>
            </w:pPr>
            <w:r>
              <w:t xml:space="preserve">4</w:t>
            </w:r>
          </w:p>
        </w:tc>
        <w:tc>
          <w:tcPr/>
          <w:p>
            <w:pPr>
              <w:pStyle w:val="Compact"/>
              <w:jc w:val="left"/>
            </w:pPr>
            <w:r>
              <w:t xml:space="preserve">Runtime configuration of model, parameters and messages, per-context targeting, defaults, metrics, online evals and approvals; prompt diffing and Git-based review not documented.</w:t>
            </w:r>
          </w:p>
        </w:tc>
      </w:tr>
      <w:tr>
        <w:tc>
          <w:tcPr/>
          <w:p>
            <w:pPr>
              <w:pStyle w:val="Compact"/>
              <w:jc w:val="left"/>
            </w:pPr>
            <w:r>
              <w:t xml:space="preserve">Enterprise readiness</w:t>
            </w:r>
          </w:p>
        </w:tc>
        <w:tc>
          <w:tcPr/>
          <w:p>
            <w:pPr>
              <w:pStyle w:val="Compact"/>
              <w:jc w:val="right"/>
            </w:pPr>
            <w:r>
              <w:t xml:space="preserve">4</w:t>
            </w:r>
          </w:p>
        </w:tc>
        <w:tc>
          <w:tcPr/>
          <w:p>
            <w:pPr>
              <w:pStyle w:val="Compact"/>
              <w:jc w:val="left"/>
            </w:pPr>
            <w:r>
              <w:t xml:space="preserve">SAML SSO, Enterprise custom roles, audit log API and Enterprise uptime SLA; SSO and roles evidence is a search extract of older pages (medium confidence); SCIM not verified.</w:t>
            </w:r>
          </w:p>
        </w:tc>
      </w:tr>
      <w:tr>
        <w:tc>
          <w:tcPr/>
          <w:p>
            <w:pPr>
              <w:pStyle w:val="Compact"/>
              <w:jc w:val="left"/>
            </w:pPr>
            <w:r>
              <w:t xml:space="preserve">Security and compliance</w:t>
            </w:r>
          </w:p>
        </w:tc>
        <w:tc>
          <w:tcPr/>
          <w:p>
            <w:pPr>
              <w:pStyle w:val="Compact"/>
              <w:jc w:val="right"/>
            </w:pPr>
            <w:r>
              <w:t xml:space="preserve">4</w:t>
            </w:r>
          </w:p>
        </w:tc>
        <w:tc>
          <w:tcPr/>
          <w:p>
            <w:pPr>
              <w:pStyle w:val="Compact"/>
              <w:jc w:val="left"/>
            </w:pPr>
            <w:r>
              <w:t xml:space="preserve">SOC 2 Type II, ISO 27001, ISO 27701 and FedRAMP Moderate are company-level; AgentControl’s coverage is not stated, so one below 5 (CP2 Q4).</w:t>
            </w:r>
          </w:p>
        </w:tc>
      </w:tr>
      <w:tr>
        <w:tc>
          <w:tcPr/>
          <w:p>
            <w:pPr>
              <w:pStyle w:val="Compact"/>
              <w:jc w:val="left"/>
            </w:pPr>
            <w:r>
              <w:t xml:space="preserve">Deployment flexibility</w:t>
            </w:r>
          </w:p>
        </w:tc>
        <w:tc>
          <w:tcPr/>
          <w:p>
            <w:pPr>
              <w:pStyle w:val="Compact"/>
              <w:jc w:val="right"/>
            </w:pPr>
            <w:r>
              <w:t xml:space="preserve">2</w:t>
            </w:r>
          </w:p>
        </w:tc>
        <w:tc>
          <w:tcPr/>
          <w:p>
            <w:pPr>
              <w:pStyle w:val="Compact"/>
              <w:jc w:val="left"/>
            </w:pPr>
            <w:r>
              <w:t xml:space="preserve">Multi-tenant SaaS, an EU-hosted offering without region detail, and a US federal instance; no self-host or VPC.</w:t>
            </w:r>
          </w:p>
        </w:tc>
      </w:tr>
      <w:tr>
        <w:tc>
          <w:tcPr/>
          <w:p>
            <w:pPr>
              <w:pStyle w:val="Compact"/>
              <w:jc w:val="left"/>
            </w:pPr>
            <w:r>
              <w:t xml:space="preserve">Ecosystem</w:t>
            </w:r>
          </w:p>
        </w:tc>
        <w:tc>
          <w:tcPr/>
          <w:p>
            <w:pPr>
              <w:pStyle w:val="Compact"/>
              <w:jc w:val="right"/>
            </w:pPr>
            <w:r>
              <w:t xml:space="preserve">3</w:t>
            </w:r>
          </w:p>
        </w:tc>
        <w:tc>
          <w:tcPr/>
          <w:p>
            <w:pPr>
              <w:pStyle w:val="Compact"/>
              <w:jc w:val="left"/>
            </w:pPr>
            <w:r>
              <w:t xml:space="preserve">Established feature-management platform with an Apache-2.0 AI SDK; AI-specific integrations not evidenced beyond the Python SDK.</w:t>
            </w:r>
          </w:p>
        </w:tc>
      </w:tr>
      <w:tr>
        <w:tc>
          <w:tcPr/>
          <w:p>
            <w:pPr>
              <w:pStyle w:val="Compact"/>
              <w:jc w:val="left"/>
            </w:pPr>
            <w:r>
              <w:t xml:space="preserve">Reliability and maturity</w:t>
            </w:r>
          </w:p>
        </w:tc>
        <w:tc>
          <w:tcPr/>
          <w:p>
            <w:pPr>
              <w:pStyle w:val="Compact"/>
              <w:jc w:val="right"/>
            </w:pPr>
            <w:r>
              <w:t xml:space="preserve">3</w:t>
            </w:r>
          </w:p>
        </w:tc>
        <w:tc>
          <w:tcPr/>
          <w:p>
            <w:pPr>
              <w:pStyle w:val="Compact"/>
              <w:jc w:val="left"/>
            </w:pPr>
            <w:r>
              <w:t xml:space="preserve">Parent platform long-established, but the AI product is about 16 months GA and was renamed and repositioned in May 2026.</w:t>
            </w:r>
          </w:p>
        </w:tc>
      </w:tr>
      <w:tr>
        <w:tc>
          <w:tcPr/>
          <w:p>
            <w:pPr>
              <w:pStyle w:val="Compact"/>
              <w:jc w:val="left"/>
            </w:pPr>
            <w:r>
              <w:t xml:space="preserve">Cost / TCO</w:t>
            </w:r>
          </w:p>
        </w:tc>
        <w:tc>
          <w:tcPr/>
          <w:p>
            <w:pPr>
              <w:pStyle w:val="Compact"/>
              <w:jc w:val="right"/>
            </w:pPr>
            <w:r>
              <w:t xml:space="preserve">3</w:t>
            </w:r>
          </w:p>
        </w:tc>
        <w:tc>
          <w:tcPr/>
          <w:p>
            <w:pPr>
              <w:pStyle w:val="Compact"/>
              <w:jc w:val="left"/>
            </w:pPr>
            <w:r>
              <w:t xml:space="preserve">Transparent pricing (US$10 per service connection per month with 5,000 AI runs; US$5 per extra 1,000), but metered on every model call.</w:t>
            </w:r>
          </w:p>
        </w:tc>
      </w:tr>
      <w:tr>
        <w:tc>
          <w:tcPr/>
          <w:p>
            <w:pPr>
              <w:pStyle w:val="Compact"/>
              <w:jc w:val="left"/>
            </w:pPr>
            <w:r>
              <w:t xml:space="preserve">Lock-in / portability</w:t>
            </w:r>
          </w:p>
        </w:tc>
        <w:tc>
          <w:tcPr/>
          <w:p>
            <w:pPr>
              <w:pStyle w:val="Compact"/>
              <w:jc w:val="right"/>
            </w:pPr>
            <w:r>
              <w:t xml:space="preserve">2</w:t>
            </w:r>
          </w:p>
        </w:tc>
        <w:tc>
          <w:tcPr/>
          <w:p>
            <w:pPr>
              <w:pStyle w:val="Compact"/>
              <w:jc w:val="left"/>
            </w:pPr>
            <w:r>
              <w:t xml:space="preserve">Proprietary service and SDK; code-side defaults reduce runtime dependency but no export path is documented.</w:t>
            </w:r>
          </w:p>
        </w:tc>
      </w:tr>
      <w:tr>
        <w:tc>
          <w:tcPr/>
          <w:p>
            <w:pPr>
              <w:pStyle w:val="Compact"/>
              <w:jc w:val="left"/>
            </w:pPr>
            <w:r>
              <w:rPr>
                <w:bCs/>
                <w:b/>
              </w:rPr>
              <w:t xml:space="preserve">Total (generic / FS)</w:t>
            </w:r>
          </w:p>
        </w:tc>
        <w:tc>
          <w:tcPr/>
          <w:p>
            <w:pPr>
              <w:pStyle w:val="Compact"/>
              <w:jc w:val="right"/>
            </w:pPr>
            <w:r>
              <w:rPr>
                <w:bCs/>
                <w:b/>
              </w:rPr>
              <w:t xml:space="preserve">3.30 / 3.20</w:t>
            </w:r>
          </w:p>
        </w:tc>
        <w:tc>
          <w:tcPr/>
          <w:p>
            <w:pPr>
              <w:pStyle w:val="Compact"/>
            </w:pPr>
          </w:p>
        </w:tc>
      </w:tr>
    </w:tbl>
    <w:p>
      <w:pPr>
        <w:pStyle w:val="BodyText"/>
      </w:pPr>
      <w:r>
        <w:rPr>
          <w:bCs/>
          <w:b/>
        </w:rPr>
        <w:t xml:space="preserve">Capabilities.</w:t>
      </w:r>
      <w:r>
        <w:t xml:space="preserve"> </w:t>
      </w:r>
      <w:r>
        <w:t xml:space="preserve">AgentControl (formerly AI Configs; API unchanged) delivers model name, parameters and prompt messages per user context from the LaunchDarkly feature-management service, with variable interpolation, a code-side default if the service is unavailable, and a tracker recording tokens, latency and success per configuration; online evals with custom judges GA 11 March 2026; agents, trends and approvals added</w:t>
      </w:r>
      <w:r>
        <w:t xml:space="preserve"> </w:t>
      </w:r>
      <w:r>
        <w:rPr>
          <w:rStyle w:val="ClaimLabel"/>
        </w:rPr>
        <w:t xml:space="preserve">VF</w:t>
      </w:r>
      <w:r>
        <w:rPr>
          <w:rStyle w:val="FootnoteReference"/>
        </w:rPr>
        <w:footnoteReference w:id="2234"/>
      </w:r>
      <w:r>
        <w:t xml:space="preserve">.</w:t>
      </w:r>
    </w:p>
    <w:p>
      <w:pPr>
        <w:pStyle w:val="BodyText"/>
      </w:pPr>
      <w:r>
        <w:rPr>
          <w:bCs/>
          <w:b/>
        </w:rPr>
        <w:t xml:space="preserve">Strengths</w:t>
      </w:r>
    </w:p>
    <w:p>
      <w:pPr>
        <w:numPr>
          <w:ilvl w:val="0"/>
          <w:numId w:val="1485"/>
        </w:numPr>
        <w:pStyle w:val="Compact"/>
      </w:pPr>
      <w:r>
        <w:t xml:space="preserve">Feature-flag style targeting and rollout of model and prompt configuration per user context, with a code-side default as the failure mode</w:t>
      </w:r>
      <w:r>
        <w:t xml:space="preserve"> </w:t>
      </w:r>
      <w:r>
        <w:rPr>
          <w:rStyle w:val="ClaimLabel"/>
        </w:rPr>
        <w:t xml:space="preserve">VF</w:t>
      </w:r>
      <w:r>
        <w:rPr>
          <w:rStyle w:val="FootnoteReference"/>
        </w:rPr>
        <w:footnoteReference w:id="2238"/>
      </w:r>
    </w:p>
    <w:p>
      <w:pPr>
        <w:numPr>
          <w:ilvl w:val="0"/>
          <w:numId w:val="1485"/>
        </w:numPr>
        <w:pStyle w:val="Compact"/>
      </w:pPr>
      <w:r>
        <w:t xml:space="preserve">SOC 2 Type II, ISO 27001, ISO 27701 and FedRAMP Moderate (Federal instance); Enterprise uptime SLA</w:t>
      </w:r>
      <w:r>
        <w:t xml:space="preserve"> </w:t>
      </w:r>
      <w:r>
        <w:rPr>
          <w:rStyle w:val="ClaimLabel"/>
        </w:rPr>
        <w:t xml:space="preserve">VF</w:t>
      </w:r>
      <w:r>
        <w:rPr>
          <w:rStyle w:val="FootnoteReference"/>
        </w:rPr>
        <w:footnoteReference w:id="2239"/>
      </w:r>
    </w:p>
    <w:p>
      <w:pPr>
        <w:numPr>
          <w:ilvl w:val="0"/>
          <w:numId w:val="1485"/>
        </w:numPr>
        <w:pStyle w:val="Compact"/>
      </w:pPr>
      <w:r>
        <w:t xml:space="preserve">SAML SSO with IdP-managed roles, Enterprise custom roles and an audit log API with before-and-after versions of each change</w:t>
      </w:r>
      <w:r>
        <w:t xml:space="preserve"> </w:t>
      </w:r>
      <w:r>
        <w:rPr>
          <w:rStyle w:val="ClaimLabel"/>
        </w:rPr>
        <w:t xml:space="preserve">VF</w:t>
      </w:r>
      <w:r>
        <w:rPr>
          <w:rStyle w:val="FootnoteReference"/>
        </w:rPr>
        <w:footnoteReference w:id="2241"/>
      </w:r>
    </w:p>
    <w:p>
      <w:pPr>
        <w:numPr>
          <w:ilvl w:val="0"/>
          <w:numId w:val="1485"/>
        </w:numPr>
        <w:pStyle w:val="Compact"/>
      </w:pPr>
      <w:r>
        <w:t xml:space="preserve">Published per-run pricing</w:t>
      </w:r>
      <w:r>
        <w:t xml:space="preserve"> </w:t>
      </w:r>
      <w:r>
        <w:rPr>
          <w:rStyle w:val="ClaimLabel"/>
        </w:rPr>
        <w:t xml:space="preserve">VF</w:t>
      </w:r>
      <w:r>
        <w:rPr>
          <w:rStyle w:val="FootnoteReference"/>
        </w:rPr>
        <w:footnoteReference w:id="2244"/>
      </w:r>
    </w:p>
    <w:p>
      <w:pPr>
        <w:pStyle w:val="FirstParagraph"/>
      </w:pPr>
      <w:r>
        <w:rPr>
          <w:bCs/>
          <w:b/>
        </w:rPr>
        <w:t xml:space="preserve">Limitations and risks</w:t>
      </w:r>
    </w:p>
    <w:p>
      <w:pPr>
        <w:numPr>
          <w:ilvl w:val="0"/>
          <w:numId w:val="1486"/>
        </w:numPr>
        <w:pStyle w:val="Compact"/>
      </w:pPr>
      <w:r>
        <w:t xml:space="preserve">Multi-tenant SaaS only; EU residency offered but regions and data scope not detailed</w:t>
      </w:r>
      <w:r>
        <w:t xml:space="preserve"> </w:t>
      </w:r>
      <w:r>
        <w:rPr>
          <w:rStyle w:val="ClaimLabel"/>
        </w:rPr>
        <w:t xml:space="preserve">VF</w:t>
      </w:r>
      <w:r>
        <w:rPr>
          <w:rStyle w:val="FootnoteReference"/>
        </w:rPr>
        <w:footnoteReference w:id="2246"/>
      </w:r>
    </w:p>
    <w:p>
      <w:pPr>
        <w:numPr>
          <w:ilvl w:val="0"/>
          <w:numId w:val="1486"/>
        </w:numPr>
        <w:pStyle w:val="Compact"/>
      </w:pPr>
      <w:r>
        <w:t xml:space="preserve">Proprietary configuration service and SDK; no export path verified</w:t>
      </w:r>
      <w:r>
        <w:t xml:space="preserve"> </w:t>
      </w:r>
      <w:r>
        <w:rPr>
          <w:rStyle w:val="ClaimLabel"/>
        </w:rPr>
        <w:t xml:space="preserve">VF</w:t>
      </w:r>
      <w:r>
        <w:rPr>
          <w:rStyle w:val="FootnoteReference"/>
        </w:rPr>
        <w:footnoteReference w:id="2247"/>
      </w:r>
      <w:r>
        <w:t xml:space="preserve"> </w:t>
      </w:r>
      <w:r>
        <w:rPr>
          <w:rStyle w:val="ClaimLabel"/>
        </w:rPr>
        <w:t xml:space="preserve">NPV</w:t>
      </w:r>
    </w:p>
    <w:p>
      <w:pPr>
        <w:numPr>
          <w:ilvl w:val="0"/>
          <w:numId w:val="1486"/>
        </w:numPr>
        <w:pStyle w:val="Compact"/>
      </w:pPr>
      <w:r>
        <w:t xml:space="preserve">Renamed and repositioned twice in about a year (GA May 2025, AgentControl May 2026)</w:t>
      </w:r>
      <w:r>
        <w:t xml:space="preserve"> </w:t>
      </w:r>
      <w:r>
        <w:rPr>
          <w:rStyle w:val="ClaimLabel"/>
        </w:rPr>
        <w:t xml:space="preserve">VF</w:t>
      </w:r>
      <w:r>
        <w:rPr>
          <w:rStyle w:val="FootnoteReference"/>
        </w:rPr>
        <w:footnoteReference w:id="2248"/>
      </w:r>
    </w:p>
    <w:p>
      <w:pPr>
        <w:numPr>
          <w:ilvl w:val="0"/>
          <w:numId w:val="1486"/>
        </w:numPr>
        <w:pStyle w:val="Compact"/>
      </w:pPr>
      <w:r>
        <w:t xml:space="preserve">Every model call and judge run counts as a billable AI run</w:t>
      </w:r>
      <w:r>
        <w:t xml:space="preserve"> </w:t>
      </w:r>
      <w:r>
        <w:rPr>
          <w:rStyle w:val="ClaimLabel"/>
        </w:rPr>
        <w:t xml:space="preserve">VF</w:t>
      </w:r>
      <w:r>
        <w:rPr>
          <w:rStyle w:val="FootnoteReference"/>
        </w:rPr>
        <w:footnoteReference w:id="2249"/>
      </w:r>
    </w:p>
    <w:p>
      <w:pPr>
        <w:pStyle w:val="FirstParagraph"/>
      </w:pPr>
      <w:r>
        <w:rPr>
          <w:bCs/>
          <w:b/>
        </w:rPr>
        <w:t xml:space="preserve">Choose when</w:t>
      </w:r>
    </w:p>
    <w:p>
      <w:pPr>
        <w:numPr>
          <w:ilvl w:val="0"/>
          <w:numId w:val="1487"/>
        </w:numPr>
        <w:pStyle w:val="Compact"/>
      </w:pPr>
      <w:r>
        <w:t xml:space="preserve">LaunchDarkly is already the firm’s feature-management standard and you need per-segment rollout and kill switches for model and prompt choices</w:t>
      </w:r>
      <w:r>
        <w:t xml:space="preserve"> </w:t>
      </w:r>
      <w:r>
        <w:rPr>
          <w:rStyle w:val="ClaimLabel"/>
        </w:rPr>
        <w:t xml:space="preserve">AJ</w:t>
      </w:r>
    </w:p>
    <w:p>
      <w:pPr>
        <w:pStyle w:val="FirstParagraph"/>
      </w:pPr>
      <w:r>
        <w:rPr>
          <w:bCs/>
          <w:b/>
        </w:rPr>
        <w:t xml:space="preserve">Avoid when</w:t>
      </w:r>
    </w:p>
    <w:p>
      <w:pPr>
        <w:numPr>
          <w:ilvl w:val="0"/>
          <w:numId w:val="1488"/>
        </w:numPr>
        <w:pStyle w:val="Compact"/>
      </w:pPr>
      <w:r>
        <w:t xml:space="preserve">Configuration must be held in the UK or EU with documented regions, or in-estate</w:t>
      </w:r>
      <w:r>
        <w:t xml:space="preserve"> </w:t>
      </w:r>
      <w:r>
        <w:rPr>
          <w:rStyle w:val="ClaimLabel"/>
        </w:rPr>
        <w:t xml:space="preserve">AJ</w:t>
      </w:r>
    </w:p>
    <w:p>
      <w:pPr>
        <w:numPr>
          <w:ilvl w:val="0"/>
          <w:numId w:val="1488"/>
        </w:numPr>
        <w:pStyle w:val="Compact"/>
      </w:pPr>
      <w:r>
        <w:t xml:space="preserve">Volume is high and per-run metering would dominate the cost</w:t>
      </w:r>
      <w:r>
        <w:t xml:space="preserve"> </w:t>
      </w:r>
      <w:r>
        <w:rPr>
          <w:rStyle w:val="ClaimLabel"/>
        </w:rPr>
        <w:t xml:space="preserve">AJ</w:t>
      </w:r>
    </w:p>
    <w:p>
      <w:pPr>
        <w:pStyle w:val="FirstParagraph"/>
      </w:pPr>
      <w:r>
        <w:rPr>
          <w:bCs/>
          <w:b/>
        </w:rPr>
        <w:t xml:space="preserve">Nearest competitors:</w:t>
      </w:r>
      <w:r>
        <w:t xml:space="preserve"> </w:t>
      </w:r>
      <w:r>
        <w:t xml:space="preserve">C5-promptlayer, C5-langfuse-prompts, C5-prompts-as-code</w:t>
      </w:r>
    </w:p>
    <w:p>
      <w:pPr>
        <w:pStyle w:val="BodyText"/>
      </w:pPr>
      <w:r>
        <w:rPr>
          <w:bCs/>
          <w:b/>
        </w:rPr>
        <w:t xml:space="preserve">Regulated-FS note.</w:t>
      </w:r>
      <w:r>
        <w:t xml:space="preserve"> </w:t>
      </w:r>
      <w:r>
        <w:t xml:space="preserve">Keep the approved prompt text in Git and use AgentControl only to choose between approved, pinned variants; record the variation key on every trace, confirm EU data scope and audit-log retention on the contracted plan</w:t>
      </w:r>
      <w:r>
        <w:t xml:space="preserve"> </w:t>
      </w:r>
      <w:r>
        <w:rPr>
          <w:rStyle w:val="ClaimLabel"/>
        </w:rPr>
        <w:t xml:space="preserve">Rec</w:t>
      </w:r>
      <w:r>
        <w:t xml:space="preserve">.</w:t>
      </w:r>
    </w:p>
    <w:p>
      <w:pPr>
        <w:pStyle w:val="BodyText"/>
      </w:pPr>
      <w:r>
        <w:rPr>
          <w:bCs/>
          <w:b/>
        </w:rPr>
        <w:t xml:space="preserve">Facts (as of 2026-10-08)</w:t>
      </w:r>
    </w:p>
    <w:tbl>
      <w:tblPr>
        <w:tblStyle w:val="Table"/>
        <w:tblW w:type="pct" w:w="5000"/>
        <w:tblLook w:firstRow="1" w:lastRow="0" w:firstColumn="0" w:lastColumn="0" w:noHBand="0" w:noVBand="0" w:val="0020"/>
        <w:jc w:val="start"/>
      </w:tblPr>
      <w:tblGrid>
        <w:gridCol w:w="1485"/>
        <w:gridCol w:w="4290"/>
        <w:gridCol w:w="1320"/>
        <w:gridCol w:w="825"/>
      </w:tblGrid>
      <w:tr>
        <w:trPr>
          <w:tblHeader w:val="true"/>
        </w:trPr>
        <w:tc>
          <w:tcPr/>
          <w:p>
            <w:pPr>
              <w:pStyle w:val="Compact"/>
              <w:jc w:val="left"/>
            </w:pPr>
            <w:r>
              <w:t xml:space="preserve">Field</w:t>
            </w:r>
          </w:p>
        </w:tc>
        <w:tc>
          <w:tcPr/>
          <w:p>
            <w:pPr>
              <w:pStyle w:val="Compact"/>
              <w:jc w:val="left"/>
            </w:pPr>
            <w:r>
              <w:t xml:space="preserve">Value</w:t>
            </w:r>
          </w:p>
        </w:tc>
        <w:tc>
          <w:tcPr/>
          <w:p>
            <w:pPr>
              <w:pStyle w:val="Compact"/>
              <w:jc w:val="left"/>
            </w:pPr>
            <w:r>
              <w:t xml:space="preserve">Label</w:t>
            </w:r>
          </w:p>
        </w:tc>
        <w:tc>
          <w:tcPr/>
          <w:p>
            <w:pPr>
              <w:pStyle w:val="Compact"/>
              <w:jc w:val="left"/>
            </w:pPr>
            <w:r>
              <w:t xml:space="preserve">Sources</w:t>
            </w:r>
          </w:p>
        </w:tc>
      </w:tr>
      <w:tr>
        <w:tc>
          <w:tcPr/>
          <w:p>
            <w:pPr>
              <w:pStyle w:val="Compact"/>
              <w:jc w:val="left"/>
            </w:pPr>
            <w:r>
              <w:t xml:space="preserve">Company</w:t>
            </w:r>
          </w:p>
        </w:tc>
        <w:tc>
          <w:tcPr/>
          <w:p>
            <w:pPr>
              <w:pStyle w:val="Compact"/>
              <w:jc w:val="left"/>
            </w:pPr>
            <w:r>
              <w:t xml:space="preserve">LaunchDarkly</w:t>
            </w:r>
          </w:p>
        </w:tc>
        <w:tc>
          <w:tcPr/>
          <w:p>
            <w:pPr>
              <w:pStyle w:val="Compact"/>
              <w:jc w:val="left"/>
            </w:pPr>
            <w:r>
              <w:t xml:space="preserve">Verified fact</w:t>
            </w:r>
          </w:p>
        </w:tc>
        <w:tc>
          <w:tcPr/>
          <w:p>
            <w:pPr>
              <w:pStyle w:val="Compact"/>
              <w:jc w:val="left"/>
            </w:pPr>
            <w:r>
              <w:t xml:space="preserve">A7-S059</w:t>
            </w:r>
          </w:p>
        </w:tc>
      </w:tr>
      <w:tr>
        <w:tc>
          <w:tcPr/>
          <w:p>
            <w:pPr>
              <w:pStyle w:val="Compact"/>
              <w:jc w:val="left"/>
            </w:pPr>
            <w:r>
              <w:t xml:space="preserve">Category</w:t>
            </w:r>
          </w:p>
        </w:tc>
        <w:tc>
          <w:tcPr/>
          <w:p>
            <w:pPr>
              <w:pStyle w:val="Compact"/>
              <w:jc w:val="left"/>
            </w:pPr>
            <w:r>
              <w:t xml:space="preserve">Runtime configuration for model, parameters and prompt messages, delivered through a feature-management platform</w:t>
            </w:r>
          </w:p>
        </w:tc>
        <w:tc>
          <w:tcPr/>
          <w:p>
            <w:pPr>
              <w:pStyle w:val="Compact"/>
              <w:jc w:val="left"/>
            </w:pPr>
            <w:r>
              <w:t xml:space="preserve">Verified fact</w:t>
            </w:r>
          </w:p>
        </w:tc>
        <w:tc>
          <w:tcPr/>
          <w:p>
            <w:pPr>
              <w:pStyle w:val="Compact"/>
              <w:jc w:val="left"/>
            </w:pPr>
            <w:r>
              <w:t xml:space="preserve">A7-S089</w:t>
            </w:r>
          </w:p>
        </w:tc>
      </w:tr>
      <w:tr>
        <w:tc>
          <w:tcPr/>
          <w:p>
            <w:pPr>
              <w:pStyle w:val="Compact"/>
              <w:jc w:val="left"/>
            </w:pPr>
            <w:r>
              <w:t xml:space="preserve">Version / lineup</w:t>
            </w:r>
          </w:p>
        </w:tc>
        <w:tc>
          <w:tcPr/>
          <w:p>
            <w:pPr>
              <w:pStyle w:val="Compact"/>
              <w:jc w:val="left"/>
            </w:pPr>
            <w:r>
              <w:t xml:space="preserve">AI Configs GA 28 May 2025; online evals GA 11 March 2026; renamed AgentControl (launch post 12 May 2026; rebrand noted by 1 April 2026); Python AI SDK launchdarkly-server-sdk-ai 1.2.0 (17 July 2026)</w:t>
            </w:r>
          </w:p>
        </w:tc>
        <w:tc>
          <w:tcPr/>
          <w:p>
            <w:pPr>
              <w:pStyle w:val="Compact"/>
              <w:jc w:val="left"/>
            </w:pPr>
            <w:r>
              <w:t xml:space="preserve">Verified fact</w:t>
            </w:r>
          </w:p>
        </w:tc>
        <w:tc>
          <w:tcPr/>
          <w:p>
            <w:pPr>
              <w:pStyle w:val="Compact"/>
              <w:jc w:val="left"/>
            </w:pPr>
            <w:r>
              <w:t xml:space="preserve">A7-S117, A7-S059</w:t>
            </w:r>
          </w:p>
        </w:tc>
      </w:tr>
      <w:tr>
        <w:tc>
          <w:tcPr/>
          <w:p>
            <w:pPr>
              <w:pStyle w:val="Compact"/>
              <w:jc w:val="left"/>
            </w:pPr>
            <w:r>
              <w:t xml:space="preserve">Licence</w:t>
            </w:r>
          </w:p>
        </w:tc>
        <w:tc>
          <w:tcPr/>
          <w:p>
            <w:pPr>
              <w:pStyle w:val="Compact"/>
              <w:jc w:val="left"/>
            </w:pPr>
            <w:r>
              <w:t xml:space="preserve">Proprietary SaaS; AI SDK Apache-2.0</w:t>
            </w:r>
          </w:p>
        </w:tc>
        <w:tc>
          <w:tcPr/>
          <w:p>
            <w:pPr>
              <w:pStyle w:val="Compact"/>
              <w:jc w:val="left"/>
            </w:pPr>
            <w:r>
              <w:t xml:space="preserve">Verified fact</w:t>
            </w:r>
          </w:p>
        </w:tc>
        <w:tc>
          <w:tcPr/>
          <w:p>
            <w:pPr>
              <w:pStyle w:val="Compact"/>
              <w:jc w:val="left"/>
            </w:pPr>
            <w:r>
              <w:t xml:space="preserve">A7-S059</w:t>
            </w:r>
          </w:p>
        </w:tc>
      </w:tr>
      <w:tr>
        <w:tc>
          <w:tcPr/>
          <w:p>
            <w:pPr>
              <w:pStyle w:val="Compact"/>
              <w:jc w:val="left"/>
            </w:pPr>
            <w:r>
              <w:t xml:space="preserve">Status events</w:t>
            </w:r>
          </w:p>
        </w:tc>
        <w:tc>
          <w:tcPr/>
          <w:p>
            <w:pPr>
              <w:pStyle w:val="Compact"/>
              <w:jc w:val="left"/>
            </w:pPr>
            <w:r>
              <w:t xml:space="preserve">28 May 2025: AI Configs GA; 11 March 2026: online evals GA; 12 May 2026:</w:t>
            </w:r>
            <w:r>
              <w:t xml:space="preserve"> </w:t>
            </w:r>
            <w:r>
              <w:t xml:space="preserve">‘</w:t>
            </w:r>
            <w:r>
              <w:t xml:space="preserve">Introducing AgentControl</w:t>
            </w:r>
            <w:r>
              <w:t xml:space="preserve">’</w:t>
            </w:r>
            <w:r>
              <w:t xml:space="preserve"> </w:t>
            </w:r>
            <w:r>
              <w:t xml:space="preserve">(AI Configs renamed AgentControl)</w:t>
            </w:r>
          </w:p>
        </w:tc>
        <w:tc>
          <w:tcPr/>
          <w:p>
            <w:pPr>
              <w:pStyle w:val="Compact"/>
              <w:jc w:val="left"/>
            </w:pPr>
            <w:r>
              <w:t xml:space="preserve">Verified fact</w:t>
            </w:r>
          </w:p>
        </w:tc>
        <w:tc>
          <w:tcPr/>
          <w:p>
            <w:pPr>
              <w:pStyle w:val="Compact"/>
              <w:jc w:val="left"/>
            </w:pPr>
            <w:r>
              <w:t xml:space="preserve">A7-S117</w:t>
            </w:r>
          </w:p>
        </w:tc>
      </w:tr>
      <w:tr>
        <w:tc>
          <w:tcPr/>
          <w:p>
            <w:pPr>
              <w:pStyle w:val="Compact"/>
              <w:jc w:val="left"/>
            </w:pPr>
            <w:r>
              <w:t xml:space="preserve">Strategic direction</w:t>
            </w:r>
          </w:p>
        </w:tc>
        <w:tc>
          <w:tcPr/>
          <w:p>
            <w:pPr>
              <w:pStyle w:val="Compact"/>
              <w:jc w:val="left"/>
            </w:pPr>
            <w:r>
              <w:t xml:space="preserve">Repositioned from prompt/model configuration to an operational layer for agents in production: agents, tools, trends, approvals, online evals with custom judges</w:t>
            </w:r>
          </w:p>
        </w:tc>
        <w:tc>
          <w:tcPr/>
          <w:p>
            <w:pPr>
              <w:pStyle w:val="Compact"/>
              <w:jc w:val="left"/>
            </w:pPr>
            <w:r>
              <w:t xml:space="preserve">Verified fact</w:t>
            </w:r>
          </w:p>
        </w:tc>
        <w:tc>
          <w:tcPr/>
          <w:p>
            <w:pPr>
              <w:pStyle w:val="Compact"/>
              <w:jc w:val="left"/>
            </w:pPr>
            <w:r>
              <w:t xml:space="preserve">A7-S117</w:t>
            </w:r>
          </w:p>
        </w:tc>
      </w:tr>
      <w:tr>
        <w:tc>
          <w:tcPr/>
          <w:p>
            <w:pPr>
              <w:pStyle w:val="Compact"/>
              <w:jc w:val="left"/>
            </w:pPr>
            <w:r>
              <w:t xml:space="preserve">What it does</w:t>
            </w:r>
          </w:p>
        </w:tc>
        <w:tc>
          <w:tcPr/>
          <w:p>
            <w:pPr>
              <w:pStyle w:val="Compact"/>
              <w:jc w:val="left"/>
            </w:pPr>
            <w:r>
              <w:t xml:space="preserve">Applications request an AI Config per user context; LaunchDarkly returns the model name, parameters and messages, with variable interpolation and a code-side default used if the service is unavailable. A tracker records token usage, latency and success rates per configuration.</w:t>
            </w:r>
          </w:p>
        </w:tc>
        <w:tc>
          <w:tcPr/>
          <w:p>
            <w:pPr>
              <w:pStyle w:val="Compact"/>
              <w:jc w:val="left"/>
            </w:pPr>
            <w:r>
              <w:t xml:space="preserve">Verified fact</w:t>
            </w:r>
          </w:p>
        </w:tc>
        <w:tc>
          <w:tcPr/>
          <w:p>
            <w:pPr>
              <w:pStyle w:val="Compact"/>
              <w:jc w:val="left"/>
            </w:pPr>
            <w:r>
              <w:t xml:space="preserve">A7-S089</w:t>
            </w:r>
          </w:p>
        </w:tc>
      </w:tr>
      <w:tr>
        <w:tc>
          <w:tcPr/>
          <w:p>
            <w:pPr>
              <w:pStyle w:val="Compact"/>
              <w:jc w:val="left"/>
            </w:pPr>
            <w:r>
              <w:t xml:space="preserve">Stack position</w:t>
            </w:r>
          </w:p>
        </w:tc>
        <w:tc>
          <w:tcPr/>
          <w:p>
            <w:pPr>
              <w:pStyle w:val="Compact"/>
              <w:jc w:val="left"/>
            </w:pPr>
            <w:r>
              <w:t xml:space="preserve">Control-plane configuration (C5) on top of the existing LaunchDarkly feature-flag service</w:t>
            </w:r>
          </w:p>
        </w:tc>
        <w:tc>
          <w:tcPr/>
          <w:p>
            <w:pPr>
              <w:pStyle w:val="Compact"/>
              <w:jc w:val="left"/>
            </w:pPr>
            <w:r>
              <w:t xml:space="preserve">Verified fact</w:t>
            </w:r>
          </w:p>
        </w:tc>
        <w:tc>
          <w:tcPr/>
          <w:p>
            <w:pPr>
              <w:pStyle w:val="Compact"/>
              <w:jc w:val="left"/>
            </w:pPr>
            <w:r>
              <w:t xml:space="preserve">A7-S089</w:t>
            </w:r>
          </w:p>
        </w:tc>
      </w:tr>
      <w:tr>
        <w:tc>
          <w:tcPr/>
          <w:p>
            <w:pPr>
              <w:pStyle w:val="Compact"/>
              <w:jc w:val="left"/>
            </w:pPr>
            <w:r>
              <w:t xml:space="preserve">Integration</w:t>
            </w:r>
          </w:p>
        </w:tc>
        <w:tc>
          <w:tcPr/>
          <w:p>
            <w:pPr>
              <w:pStyle w:val="Compact"/>
              <w:jc w:val="left"/>
            </w:pPr>
            <w:r>
              <w:t xml:space="preserve">Server-side AI SDK (Python shown) wrapping LDClient; completion_config() with defaults; ManagedModel helper with automatic metrics</w:t>
            </w:r>
          </w:p>
        </w:tc>
        <w:tc>
          <w:tcPr/>
          <w:p>
            <w:pPr>
              <w:pStyle w:val="Compact"/>
              <w:jc w:val="left"/>
            </w:pPr>
            <w:r>
              <w:t xml:space="preserve">Verified fact</w:t>
            </w:r>
          </w:p>
        </w:tc>
        <w:tc>
          <w:tcPr/>
          <w:p>
            <w:pPr>
              <w:pStyle w:val="Compact"/>
              <w:jc w:val="left"/>
            </w:pPr>
            <w:r>
              <w:t xml:space="preserve">A7-S089</w:t>
            </w:r>
          </w:p>
        </w:tc>
      </w:tr>
      <w:tr>
        <w:tc>
          <w:tcPr/>
          <w:p>
            <w:pPr>
              <w:pStyle w:val="Compact"/>
              <w:jc w:val="left"/>
            </w:pPr>
            <w:r>
              <w:t xml:space="preserve">Dependencies</w:t>
            </w:r>
          </w:p>
        </w:tc>
        <w:tc>
          <w:tcPr/>
          <w:p>
            <w:pPr>
              <w:pStyle w:val="Compact"/>
              <w:jc w:val="left"/>
            </w:pPr>
            <w:r>
              <w:t xml:space="preserve">Requires the LaunchDarkly server-side SDK (LDClient) and an SDK key</w:t>
            </w:r>
          </w:p>
        </w:tc>
        <w:tc>
          <w:tcPr/>
          <w:p>
            <w:pPr>
              <w:pStyle w:val="Compact"/>
              <w:jc w:val="left"/>
            </w:pPr>
            <w:r>
              <w:t xml:space="preserve">Verified fact</w:t>
            </w:r>
          </w:p>
        </w:tc>
        <w:tc>
          <w:tcPr/>
          <w:p>
            <w:pPr>
              <w:pStyle w:val="Compact"/>
              <w:jc w:val="left"/>
            </w:pPr>
            <w:r>
              <w:t xml:space="preserve">A7-S089</w:t>
            </w:r>
          </w:p>
        </w:tc>
      </w:tr>
      <w:tr>
        <w:tc>
          <w:tcPr/>
          <w:p>
            <w:pPr>
              <w:pStyle w:val="Compact"/>
              <w:jc w:val="left"/>
            </w:pPr>
            <w:r>
              <w:t xml:space="preserve">Certifications</w:t>
            </w:r>
          </w:p>
        </w:tc>
        <w:tc>
          <w:tcPr/>
          <w:p>
            <w:pPr>
              <w:pStyle w:val="Compact"/>
              <w:jc w:val="left"/>
            </w:pPr>
            <w:r>
              <w:t xml:space="preserve">SOC 2 Type II, ISO 27001, ISO 27701, FedRAMP Moderate (Federal instance), EU-U.S. Data Privacy Framework; annual SOC 2 Type 2 audit and twice-yearly penetration tests per Security Program Addendum</w:t>
            </w:r>
          </w:p>
        </w:tc>
        <w:tc>
          <w:tcPr/>
          <w:p>
            <w:pPr>
              <w:pStyle w:val="Compact"/>
              <w:jc w:val="left"/>
            </w:pPr>
            <w:r>
              <w:t xml:space="preserve">Verified fact</w:t>
            </w:r>
          </w:p>
        </w:tc>
        <w:tc>
          <w:tcPr/>
          <w:p>
            <w:pPr>
              <w:pStyle w:val="Compact"/>
              <w:jc w:val="left"/>
            </w:pPr>
            <w:r>
              <w:t xml:space="preserve">A7-S119, V2-S065</w:t>
            </w:r>
          </w:p>
        </w:tc>
      </w:tr>
      <w:tr>
        <w:tc>
          <w:tcPr/>
          <w:p>
            <w:pPr>
              <w:pStyle w:val="Compact"/>
              <w:jc w:val="left"/>
            </w:pPr>
            <w:r>
              <w:t xml:space="preserve">GDPR / residency</w:t>
            </w:r>
          </w:p>
        </w:tc>
        <w:tc>
          <w:tcPr/>
          <w:p>
            <w:pPr>
              <w:pStyle w:val="Compact"/>
              <w:jc w:val="left"/>
            </w:pPr>
            <w:r>
              <w:t xml:space="preserve">GDPR/CCPA privacy programme; EU-hosted offering supporting EU data residency advertised (regions not detailed); multi-tenant with exceptions for large and US federal customers</w:t>
            </w:r>
          </w:p>
        </w:tc>
        <w:tc>
          <w:tcPr/>
          <w:p>
            <w:pPr>
              <w:pStyle w:val="Compact"/>
              <w:jc w:val="left"/>
            </w:pPr>
            <w:r>
              <w:t xml:space="preserve">Verified fact</w:t>
            </w:r>
          </w:p>
        </w:tc>
        <w:tc>
          <w:tcPr/>
          <w:p>
            <w:pPr>
              <w:pStyle w:val="Compact"/>
              <w:jc w:val="left"/>
            </w:pPr>
            <w:r>
              <w:t xml:space="preserve">A7-S119</w:t>
            </w:r>
          </w:p>
        </w:tc>
      </w:tr>
      <w:tr>
        <w:tc>
          <w:tcPr/>
          <w:p>
            <w:pPr>
              <w:pStyle w:val="Compact"/>
              <w:jc w:val="left"/>
            </w:pPr>
            <w:r>
              <w:t xml:space="preserve">Security features</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Access controls</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Enterprise support</w:t>
            </w:r>
          </w:p>
        </w:tc>
        <w:tc>
          <w:tcPr/>
          <w:p>
            <w:pPr>
              <w:pStyle w:val="Compact"/>
              <w:jc w:val="left"/>
            </w:pPr>
            <w:r>
              <w:t xml:space="preserve">Enterprise plan with custom pricing;</w:t>
            </w:r>
            <w:r>
              <w:t xml:space="preserve"> </w:t>
            </w:r>
            <w:r>
              <w:t xml:space="preserve">‘</w:t>
            </w:r>
            <w:r>
              <w:t xml:space="preserve">Enterprise uptime SLA</w:t>
            </w:r>
            <w:r>
              <w:t xml:space="preserve">’</w:t>
            </w:r>
            <w:r>
              <w:t xml:space="preserve"> </w:t>
            </w:r>
            <w:r>
              <w:t xml:space="preserve">advertised</w:t>
            </w:r>
          </w:p>
        </w:tc>
        <w:tc>
          <w:tcPr/>
          <w:p>
            <w:pPr>
              <w:pStyle w:val="Compact"/>
              <w:jc w:val="left"/>
            </w:pPr>
            <w:r>
              <w:t xml:space="preserve">Verified fact</w:t>
            </w:r>
          </w:p>
        </w:tc>
        <w:tc>
          <w:tcPr/>
          <w:p>
            <w:pPr>
              <w:pStyle w:val="Compact"/>
              <w:jc w:val="left"/>
            </w:pPr>
            <w:r>
              <w:t xml:space="preserve">A7-S118, A7-S119</w:t>
            </w:r>
          </w:p>
        </w:tc>
      </w:tr>
      <w:tr>
        <w:tc>
          <w:tcPr/>
          <w:p>
            <w:pPr>
              <w:pStyle w:val="Compact"/>
              <w:jc w:val="left"/>
            </w:pPr>
            <w:r>
              <w:t xml:space="preserve">Pricing</w:t>
            </w:r>
          </w:p>
        </w:tc>
        <w:tc>
          <w:tcPr/>
          <w:p>
            <w:pPr>
              <w:pStyle w:val="Compact"/>
              <w:jc w:val="left"/>
            </w:pPr>
            <w:r>
              <w:t xml:space="preserve">Developer: US$0 (limited AgentControl run entitlements); Foundation: US$10 per service connection/month incl. 5,000 AI runs, US$5 per additional 1,000 runs; Enterprise: custom. An AI run = each model call or judge run (as read 7 October 2026; cached snippets of different ages)</w:t>
            </w:r>
          </w:p>
        </w:tc>
        <w:tc>
          <w:tcPr/>
          <w:p>
            <w:pPr>
              <w:pStyle w:val="Compact"/>
              <w:jc w:val="left"/>
            </w:pPr>
            <w:r>
              <w:t xml:space="preserve">Verified fact</w:t>
            </w:r>
          </w:p>
        </w:tc>
        <w:tc>
          <w:tcPr/>
          <w:p>
            <w:pPr>
              <w:pStyle w:val="Compact"/>
              <w:jc w:val="left"/>
            </w:pPr>
            <w:r>
              <w:t xml:space="preserve">A7-S118</w:t>
            </w:r>
          </w:p>
        </w:tc>
      </w:tr>
      <w:tr>
        <w:tc>
          <w:tcPr/>
          <w:p>
            <w:pPr>
              <w:pStyle w:val="Compact"/>
              <w:jc w:val="left"/>
            </w:pPr>
            <w:r>
              <w:t xml:space="preserve">Infrastructure cost</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Ecosystem</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Adoption signals</w:t>
            </w:r>
          </w:p>
        </w:tc>
        <w:tc>
          <w:tcPr/>
          <w:p>
            <w:pPr>
              <w:pStyle w:val="Compact"/>
              <w:jc w:val="left"/>
            </w:pPr>
            <w:r>
              <w:t xml:space="preserve">Vendor states LaunchDarkly</w:t>
            </w:r>
            <w:r>
              <w:t xml:space="preserve"> </w:t>
            </w:r>
            <w:r>
              <w:t xml:space="preserve">‘</w:t>
            </w:r>
            <w:r>
              <w:t xml:space="preserve">serves over 100 billion feature flags daily</w:t>
            </w:r>
            <w:r>
              <w:t xml:space="preserve">’</w:t>
            </w:r>
            <w:r>
              <w:t xml:space="preserve"> </w:t>
            </w:r>
            <w:r>
              <w:t xml:space="preserve">(undated README claim)</w:t>
            </w:r>
          </w:p>
        </w:tc>
        <w:tc>
          <w:tcPr/>
          <w:p>
            <w:pPr>
              <w:pStyle w:val="Compact"/>
              <w:jc w:val="left"/>
            </w:pPr>
            <w:r>
              <w:t xml:space="preserve">Verified fact</w:t>
            </w:r>
          </w:p>
        </w:tc>
        <w:tc>
          <w:tcPr/>
          <w:p>
            <w:pPr>
              <w:pStyle w:val="Compact"/>
              <w:jc w:val="left"/>
            </w:pPr>
            <w:r>
              <w:t xml:space="preserve">A7-S089</w:t>
            </w:r>
          </w:p>
        </w:tc>
      </w:tr>
      <w:tr>
        <w:tc>
          <w:tcPr/>
          <w:p>
            <w:pPr>
              <w:pStyle w:val="Compact"/>
              <w:jc w:val="left"/>
            </w:pPr>
            <w:r>
              <w:t xml:space="preserve">Maturity</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Deployment</w:t>
            </w:r>
          </w:p>
        </w:tc>
        <w:tc>
          <w:tcPr/>
          <w:p>
            <w:pPr>
              <w:pStyle w:val="Compact"/>
              <w:jc w:val="left"/>
            </w:pPr>
            <w:r>
              <w:t xml:space="preserve">saas: Yes; managed_cloud: Not publicly verified; vpc_byoc: Not publicly verified; private_cloud: Yes (dedicated US federal instance, FedRAMP Moderate); self_hosted: Not publicly verified; on_prem: Not publicly verified</w:t>
            </w:r>
          </w:p>
        </w:tc>
        <w:tc>
          <w:tcPr/>
          <w:p>
            <w:pPr>
              <w:pStyle w:val="Compact"/>
            </w:pPr>
          </w:p>
        </w:tc>
        <w:tc>
          <w:tcPr/>
          <w:p>
            <w:pPr>
              <w:pStyle w:val="Compact"/>
            </w:pPr>
          </w:p>
        </w:tc>
      </w:tr>
    </w:tbl>
    <w:bookmarkEnd w:id="2250"/>
    <w:bookmarkEnd w:id="2251"/>
    <w:bookmarkStart w:id="2310" w:name="c6-ai-finops"/>
    <w:p>
      <w:pPr>
        <w:pStyle w:val="Heading1"/>
      </w:pPr>
      <w:r>
        <w:t xml:space="preserve">C6: AI FinOps</w:t>
      </w:r>
    </w:p>
    <w:bookmarkStart w:id="2265" w:name="Xefaec4027f88e17f95dd20d5ca9c29c9e8fde8a"/>
    <w:p>
      <w:pPr>
        <w:pStyle w:val="Heading2"/>
      </w:pPr>
      <w:r>
        <w:t xml:space="preserve">FinOps Open Cost and Usage Specification (FOCUS) (</w:t>
      </w:r>
      <w:r>
        <w:rPr>
          <w:rStyle w:val="VerbatimChar"/>
        </w:rPr>
        <w:t xml:space="preserve">C6-finops-focus</w:t>
      </w:r>
      <w:r>
        <w:t xml:space="preserve">)</w:t>
      </w:r>
    </w:p>
    <w:p>
      <w:pPr>
        <w:pStyle w:val="FirstParagraph"/>
      </w:pPr>
      <w:r>
        <w:rPr>
          <w:bCs/>
          <w:b/>
        </w:rPr>
        <w:t xml:space="preserve">Tier:</w:t>
      </w:r>
      <w:r>
        <w:t xml:space="preserve"> </w:t>
      </w:r>
      <w:r>
        <w:t xml:space="preserve">Strategic ·</w:t>
      </w:r>
      <w:r>
        <w:t xml:space="preserve"> </w:t>
      </w:r>
      <w:r>
        <w:rPr>
          <w:bCs/>
          <w:b/>
        </w:rPr>
        <w:t xml:space="preserve">Flags:</w:t>
      </w:r>
      <w:r>
        <w:t xml:space="preserve"> </w:t>
      </w:r>
      <w:r>
        <w:t xml:space="preserve">none ·</w:t>
      </w:r>
      <w:r>
        <w:t xml:space="preserve"> </w:t>
      </w:r>
      <w:r>
        <w:rPr>
          <w:bCs/>
          <w:b/>
        </w:rPr>
        <w:t xml:space="preserve">Original graphic label:</w:t>
      </w:r>
      <w:r>
        <w:t xml:space="preserve"> </w:t>
      </w:r>
      <w:r>
        <w:t xml:space="preserve">not in graphic</w:t>
      </w:r>
    </w:p>
    <w:p>
      <w:pPr>
        <w:pStyle w:val="BodyText"/>
      </w:pPr>
      <w:r>
        <w:rPr>
          <w:iCs/>
          <w:i/>
        </w:rPr>
        <w:t xml:space="preserve">Rationale:</w:t>
      </w:r>
      <w:r>
        <w:t xml:space="preserve"> </w:t>
      </w:r>
      <w:r>
        <w:t xml:space="preserve">Open, foundation-governed schema that removes tool lock-in from cost data; strategic as the data model, not as a product</w:t>
      </w:r>
      <w:r>
        <w:t xml:space="preserve"> </w:t>
      </w:r>
      <w:r>
        <w:rPr>
          <w:rStyle w:val="ClaimLabel"/>
        </w:rPr>
        <w:t xml:space="preserve">AJ</w:t>
      </w:r>
      <w:r>
        <w:t xml:space="preserve">.</w:t>
      </w:r>
    </w:p>
    <w:tbl>
      <w:tblPr>
        <w:tblStyle w:val="Table"/>
        <w:tblW w:type="pct" w:w="5000"/>
        <w:tblLook w:firstRow="1" w:lastRow="0" w:firstColumn="0" w:lastColumn="0" w:noHBand="0" w:noVBand="0" w:val="0020"/>
        <w:jc w:val="start"/>
      </w:tblPr>
      <w:tblGrid>
        <w:gridCol w:w="1545"/>
        <w:gridCol w:w="579"/>
        <w:gridCol w:w="5795"/>
      </w:tblGrid>
      <w:tr>
        <w:trPr>
          <w:tblHeader w:val="true"/>
        </w:trPr>
        <w:tc>
          <w:tcPr/>
          <w:p>
            <w:pPr>
              <w:pStyle w:val="Compact"/>
              <w:jc w:val="left"/>
            </w:pPr>
            <w:r>
              <w:t xml:space="preserve">Criterion</w:t>
            </w:r>
          </w:p>
        </w:tc>
        <w:tc>
          <w:tcPr/>
          <w:p>
            <w:pPr>
              <w:pStyle w:val="Compact"/>
              <w:jc w:val="right"/>
            </w:pPr>
            <w:r>
              <w:t xml:space="preserve">Score</w:t>
            </w:r>
          </w:p>
        </w:tc>
        <w:tc>
          <w:tcPr/>
          <w:p>
            <w:pPr>
              <w:pStyle w:val="Compact"/>
              <w:jc w:val="left"/>
            </w:pPr>
            <w:r>
              <w:t xml:space="preserve">Rationale</w:t>
            </w:r>
          </w:p>
        </w:tc>
      </w:tr>
      <w:tr>
        <w:tc>
          <w:tcPr/>
          <w:p>
            <w:pPr>
              <w:pStyle w:val="Compact"/>
              <w:jc w:val="left"/>
            </w:pPr>
            <w:r>
              <w:t xml:space="preserve">Technical</w:t>
            </w:r>
          </w:p>
        </w:tc>
        <w:tc>
          <w:tcPr/>
          <w:p>
            <w:pPr>
              <w:pStyle w:val="Compact"/>
              <w:jc w:val="right"/>
            </w:pPr>
            <w:r>
              <w:t xml:space="preserve">3</w:t>
            </w:r>
          </w:p>
        </w:tc>
        <w:tc>
          <w:tcPr/>
          <w:p>
            <w:pPr>
              <w:pStyle w:val="Compact"/>
              <w:jc w:val="left"/>
            </w:pPr>
            <w:r>
              <w:t xml:space="preserve">Covers cost and usage normalisation; AI model identity not yet ratified and token type deferred.</w:t>
            </w:r>
          </w:p>
        </w:tc>
      </w:tr>
      <w:tr>
        <w:tc>
          <w:tcPr/>
          <w:p>
            <w:pPr>
              <w:pStyle w:val="Compact"/>
              <w:jc w:val="left"/>
            </w:pPr>
            <w:r>
              <w:t xml:space="preserve">Enterprise readiness</w:t>
            </w:r>
          </w:p>
        </w:tc>
        <w:tc>
          <w:tcPr/>
          <w:p>
            <w:pPr>
              <w:pStyle w:val="Compact"/>
              <w:jc w:val="right"/>
            </w:pPr>
            <w:r>
              <w:t xml:space="preserve">3</w:t>
            </w:r>
          </w:p>
        </w:tc>
        <w:tc>
          <w:tcPr/>
          <w:p>
            <w:pPr>
              <w:pStyle w:val="Compact"/>
              <w:jc w:val="left"/>
            </w:pPr>
            <w:r>
              <w:t xml:space="preserve">Rubric rule 2: enables a common cost dataset and chargeback inside the estate; no commercial support of its own.</w:t>
            </w:r>
          </w:p>
        </w:tc>
      </w:tr>
      <w:tr>
        <w:tc>
          <w:tcPr/>
          <w:p>
            <w:pPr>
              <w:pStyle w:val="Compact"/>
              <w:jc w:val="left"/>
            </w:pPr>
            <w:r>
              <w:t xml:space="preserve">Security and compliance</w:t>
            </w:r>
          </w:p>
        </w:tc>
        <w:tc>
          <w:tcPr/>
          <w:p>
            <w:pPr>
              <w:pStyle w:val="Compact"/>
              <w:jc w:val="right"/>
            </w:pPr>
            <w:r>
              <w:t xml:space="preserve">3</w:t>
            </w:r>
          </w:p>
        </w:tc>
        <w:tc>
          <w:tcPr/>
          <w:p>
            <w:pPr>
              <w:pStyle w:val="Compact"/>
              <w:jc w:val="left"/>
            </w:pPr>
            <w:r>
              <w:t xml:space="preserve">Rubric rule 2: a specification with clear CC BY 4.0 licence and a validator; inherits the controls of the data platform it lands in.</w:t>
            </w:r>
          </w:p>
        </w:tc>
      </w:tr>
      <w:tr>
        <w:tc>
          <w:tcPr/>
          <w:p>
            <w:pPr>
              <w:pStyle w:val="Compact"/>
              <w:jc w:val="left"/>
            </w:pPr>
            <w:r>
              <w:t xml:space="preserve">Deployment flexibility</w:t>
            </w:r>
          </w:p>
        </w:tc>
        <w:tc>
          <w:tcPr/>
          <w:p>
            <w:pPr>
              <w:pStyle w:val="Compact"/>
              <w:jc w:val="right"/>
            </w:pPr>
            <w:r>
              <w:t xml:space="preserve">5</w:t>
            </w:r>
          </w:p>
        </w:tc>
        <w:tc>
          <w:tcPr/>
          <w:p>
            <w:pPr>
              <w:pStyle w:val="Compact"/>
              <w:jc w:val="left"/>
            </w:pPr>
            <w:r>
              <w:t xml:space="preserve">Specification; implemented anywhere.</w:t>
            </w:r>
          </w:p>
        </w:tc>
      </w:tr>
      <w:tr>
        <w:tc>
          <w:tcPr/>
          <w:p>
            <w:pPr>
              <w:pStyle w:val="Compact"/>
              <w:jc w:val="left"/>
            </w:pPr>
            <w:r>
              <w:t xml:space="preserve">Ecosystem</w:t>
            </w:r>
          </w:p>
        </w:tc>
        <w:tc>
          <w:tcPr/>
          <w:p>
            <w:pPr>
              <w:pStyle w:val="Compact"/>
              <w:jc w:val="right"/>
            </w:pPr>
            <w:r>
              <w:t xml:space="preserve">4</w:t>
            </w:r>
          </w:p>
        </w:tc>
        <w:tc>
          <w:tcPr/>
          <w:p>
            <w:pPr>
              <w:pStyle w:val="Compact"/>
              <w:jc w:val="left"/>
            </w:pPr>
            <w:r>
              <w:t xml:space="preserve">FinOps Foundation, validator and vendor mappings (e.g. Vantage); AI-provider adoption not verified.</w:t>
            </w:r>
          </w:p>
        </w:tc>
      </w:tr>
      <w:tr>
        <w:tc>
          <w:tcPr/>
          <w:p>
            <w:pPr>
              <w:pStyle w:val="Compact"/>
              <w:jc w:val="left"/>
            </w:pPr>
            <w:r>
              <w:t xml:space="preserve">Reliability and maturity</w:t>
            </w:r>
          </w:p>
        </w:tc>
        <w:tc>
          <w:tcPr/>
          <w:p>
            <w:pPr>
              <w:pStyle w:val="Compact"/>
              <w:jc w:val="right"/>
            </w:pPr>
            <w:r>
              <w:t xml:space="preserve">4</w:t>
            </w:r>
          </w:p>
        </w:tc>
        <w:tc>
          <w:tcPr/>
          <w:p>
            <w:pPr>
              <w:pStyle w:val="Compact"/>
              <w:jc w:val="left"/>
            </w:pPr>
            <w:r>
              <w:t xml:space="preserve">Ratified releases on a semi-annual cadence since 2024 under the Joint Development Foundation; AI scope still in progress.</w:t>
            </w:r>
          </w:p>
        </w:tc>
      </w:tr>
      <w:tr>
        <w:tc>
          <w:tcPr/>
          <w:p>
            <w:pPr>
              <w:pStyle w:val="Compact"/>
              <w:jc w:val="left"/>
            </w:pPr>
            <w:r>
              <w:t xml:space="preserve">Cost / TCO</w:t>
            </w:r>
          </w:p>
        </w:tc>
        <w:tc>
          <w:tcPr/>
          <w:p>
            <w:pPr>
              <w:pStyle w:val="Compact"/>
              <w:jc w:val="right"/>
            </w:pPr>
            <w:r>
              <w:t xml:space="preserve">5</w:t>
            </w:r>
          </w:p>
        </w:tc>
        <w:tc>
          <w:tcPr/>
          <w:p>
            <w:pPr>
              <w:pStyle w:val="Compact"/>
              <w:jc w:val="left"/>
            </w:pPr>
            <w:r>
              <w:t xml:space="preserve">Free open specification.</w:t>
            </w:r>
          </w:p>
        </w:tc>
      </w:tr>
      <w:tr>
        <w:tc>
          <w:tcPr/>
          <w:p>
            <w:pPr>
              <w:pStyle w:val="Compact"/>
              <w:jc w:val="left"/>
            </w:pPr>
            <w:r>
              <w:t xml:space="preserve">Lock-in / portability</w:t>
            </w:r>
          </w:p>
        </w:tc>
        <w:tc>
          <w:tcPr/>
          <w:p>
            <w:pPr>
              <w:pStyle w:val="Compact"/>
              <w:jc w:val="right"/>
            </w:pPr>
            <w:r>
              <w:t xml:space="preserve">5</w:t>
            </w:r>
          </w:p>
        </w:tc>
        <w:tc>
          <w:tcPr/>
          <w:p>
            <w:pPr>
              <w:pStyle w:val="Compact"/>
              <w:jc w:val="left"/>
            </w:pPr>
            <w:r>
              <w:t xml:space="preserve">Open standard, permissive licence, neutral governance.</w:t>
            </w:r>
          </w:p>
        </w:tc>
      </w:tr>
      <w:tr>
        <w:tc>
          <w:tcPr/>
          <w:p>
            <w:pPr>
              <w:pStyle w:val="Compact"/>
              <w:jc w:val="left"/>
            </w:pPr>
            <w:r>
              <w:rPr>
                <w:bCs/>
                <w:b/>
              </w:rPr>
              <w:t xml:space="preserve">Total (generic / FS)</w:t>
            </w:r>
          </w:p>
        </w:tc>
        <w:tc>
          <w:tcPr/>
          <w:p>
            <w:pPr>
              <w:pStyle w:val="Compact"/>
              <w:jc w:val="right"/>
            </w:pPr>
            <w:r>
              <w:rPr>
                <w:bCs/>
                <w:b/>
              </w:rPr>
              <w:t xml:space="preserve">3.80 / 3.85</w:t>
            </w:r>
          </w:p>
        </w:tc>
        <w:tc>
          <w:tcPr/>
          <w:p>
            <w:pPr>
              <w:pStyle w:val="Compact"/>
            </w:pPr>
          </w:p>
        </w:tc>
      </w:tr>
    </w:tbl>
    <w:p>
      <w:pPr>
        <w:pStyle w:val="BodyText"/>
      </w:pPr>
      <w:r>
        <w:rPr>
          <w:iCs/>
          <w:i/>
        </w:rPr>
        <w:t xml:space="preserve">Evidence rules applied:</w:t>
      </w:r>
      <w:r>
        <w:t xml:space="preserve"> </w:t>
      </w:r>
      <w:r>
        <w:t xml:space="preserve">Rubric rule 2 (open specification): enterprise readiness and security scored on what the specification enables and on hygiene, each capped at 4; inherits host controls</w:t>
      </w:r>
    </w:p>
    <w:p>
      <w:pPr>
        <w:pStyle w:val="BodyText"/>
      </w:pPr>
      <w:r>
        <w:rPr>
          <w:bCs/>
          <w:b/>
        </w:rPr>
        <w:t xml:space="preserve">Capabilities.</w:t>
      </w:r>
      <w:r>
        <w:t xml:space="preserve"> </w:t>
      </w:r>
      <w:r>
        <w:t xml:space="preserve">Open specification for cost and usage data. FOCUS 1.4 was ratified on 4 June 2026; 1.2 added virtual-currency columns for credits and tokens; tokens are carried today through SKU IDs, ConsumedUnit and ConsumedQuantity. FOCUS 1.5 (no ratification date) is scoped to add AI pricing dimensions on SkuPriceDetails and four model-identity properties (ModelDeveloper, ModelFamily, ModelId, ModelVersion) with no new columns; a first-class token-type (input/output) column is deferred</w:t>
      </w:r>
      <w:r>
        <w:t xml:space="preserve"> </w:t>
      </w:r>
      <w:r>
        <w:rPr>
          <w:rStyle w:val="ClaimLabel"/>
        </w:rPr>
        <w:t xml:space="preserve">VF</w:t>
      </w:r>
      <w:r>
        <w:rPr>
          <w:rStyle w:val="FootnoteReference"/>
        </w:rPr>
        <w:footnoteReference w:id="2252"/>
      </w:r>
      <w:r>
        <w:t xml:space="preserve">.</w:t>
      </w:r>
    </w:p>
    <w:p>
      <w:pPr>
        <w:pStyle w:val="BodyText"/>
      </w:pPr>
      <w:r>
        <w:rPr>
          <w:bCs/>
          <w:b/>
        </w:rPr>
        <w:t xml:space="preserve">Strengths</w:t>
      </w:r>
    </w:p>
    <w:p>
      <w:pPr>
        <w:numPr>
          <w:ilvl w:val="0"/>
          <w:numId w:val="1489"/>
        </w:numPr>
        <w:pStyle w:val="Compact"/>
      </w:pPr>
      <w:r>
        <w:t xml:space="preserve">Vendor-neutral target schema for normalising gateway logs, provider invoices and cloud bills</w:t>
      </w:r>
      <w:r>
        <w:t xml:space="preserve"> </w:t>
      </w:r>
      <w:r>
        <w:rPr>
          <w:rStyle w:val="ClaimLabel"/>
        </w:rPr>
        <w:t xml:space="preserve">VF</w:t>
      </w:r>
      <w:r>
        <w:rPr>
          <w:rStyle w:val="FootnoteReference"/>
        </w:rPr>
        <w:footnoteReference w:id="2255"/>
      </w:r>
      <w:r>
        <w:t xml:space="preserve"> </w:t>
      </w:r>
      <w:r>
        <w:rPr>
          <w:rStyle w:val="ClaimLabel"/>
        </w:rPr>
        <w:t xml:space="preserve">AJ</w:t>
      </w:r>
    </w:p>
    <w:p>
      <w:pPr>
        <w:numPr>
          <w:ilvl w:val="0"/>
          <w:numId w:val="1489"/>
        </w:numPr>
        <w:pStyle w:val="Compact"/>
      </w:pPr>
      <w:r>
        <w:t xml:space="preserve">Free, CC BY 4.0, with a conformance validator (2.2.1, August 2026)</w:t>
      </w:r>
      <w:r>
        <w:t xml:space="preserve"> </w:t>
      </w:r>
      <w:r>
        <w:rPr>
          <w:rStyle w:val="ClaimLabel"/>
        </w:rPr>
        <w:t xml:space="preserve">VF</w:t>
      </w:r>
      <w:r>
        <w:rPr>
          <w:rStyle w:val="FootnoteReference"/>
        </w:rPr>
        <w:footnoteReference w:id="2257"/>
      </w:r>
    </w:p>
    <w:p>
      <w:pPr>
        <w:numPr>
          <w:ilvl w:val="0"/>
          <w:numId w:val="1489"/>
        </w:numPr>
        <w:pStyle w:val="Compact"/>
      </w:pPr>
      <w:r>
        <w:t xml:space="preserve">Steady cadence: six public releases since June 2023</w:t>
      </w:r>
      <w:r>
        <w:t xml:space="preserve"> </w:t>
      </w:r>
      <w:r>
        <w:rPr>
          <w:rStyle w:val="ClaimLabel"/>
        </w:rPr>
        <w:t xml:space="preserve">VF</w:t>
      </w:r>
      <w:r>
        <w:rPr>
          <w:rStyle w:val="FootnoteReference"/>
        </w:rPr>
        <w:footnoteReference w:id="2260"/>
      </w:r>
    </w:p>
    <w:p>
      <w:pPr>
        <w:numPr>
          <w:ilvl w:val="0"/>
          <w:numId w:val="1489"/>
        </w:numPr>
        <w:pStyle w:val="Compact"/>
      </w:pPr>
      <w:r>
        <w:t xml:space="preserve">FinOps Framework 2026 adds a FinOps for AI category; vendors such as Vantage map to FOCUS</w:t>
      </w:r>
      <w:r>
        <w:t xml:space="preserve"> </w:t>
      </w:r>
      <w:r>
        <w:rPr>
          <w:rStyle w:val="ClaimLabel"/>
        </w:rPr>
        <w:t xml:space="preserve">VF</w:t>
      </w:r>
      <w:r>
        <w:rPr>
          <w:rStyle w:val="FootnoteReference"/>
        </w:rPr>
        <w:footnoteReference w:id="2261"/>
      </w:r>
    </w:p>
    <w:p>
      <w:pPr>
        <w:pStyle w:val="FirstParagraph"/>
      </w:pPr>
      <w:r>
        <w:rPr>
          <w:bCs/>
          <w:b/>
        </w:rPr>
        <w:t xml:space="preserve">Limitations and risks</w:t>
      </w:r>
    </w:p>
    <w:p>
      <w:pPr>
        <w:numPr>
          <w:ilvl w:val="0"/>
          <w:numId w:val="1490"/>
        </w:numPr>
        <w:pStyle w:val="Compact"/>
      </w:pPr>
      <w:r>
        <w:t xml:space="preserve">No AI-specific columns today; model identity arrives only with 1.5, which has no date, and token type is deferred</w:t>
      </w:r>
      <w:r>
        <w:t xml:space="preserve"> </w:t>
      </w:r>
      <w:r>
        <w:rPr>
          <w:rStyle w:val="ClaimLabel"/>
        </w:rPr>
        <w:t xml:space="preserve">VF</w:t>
      </w:r>
      <w:r>
        <w:rPr>
          <w:rStyle w:val="FootnoteReference"/>
        </w:rPr>
        <w:footnoteReference w:id="2264"/>
      </w:r>
    </w:p>
    <w:p>
      <w:pPr>
        <w:numPr>
          <w:ilvl w:val="0"/>
          <w:numId w:val="1490"/>
        </w:numPr>
        <w:pStyle w:val="Compact"/>
      </w:pPr>
      <w:r>
        <w:t xml:space="preserve">It is a data model only: no metering, budgets or enforcement</w:t>
      </w:r>
      <w:r>
        <w:t xml:space="preserve"> </w:t>
      </w:r>
      <w:r>
        <w:rPr>
          <w:rStyle w:val="ClaimLabel"/>
        </w:rPr>
        <w:t xml:space="preserve">AJ</w:t>
      </w:r>
    </w:p>
    <w:p>
      <w:pPr>
        <w:numPr>
          <w:ilvl w:val="0"/>
          <w:numId w:val="1490"/>
        </w:numPr>
        <w:pStyle w:val="Compact"/>
      </w:pPr>
      <w:r>
        <w:t xml:space="preserve">Adoption by AI providers not publicly verified</w:t>
      </w:r>
      <w:r>
        <w:t xml:space="preserve"> </w:t>
      </w:r>
      <w:r>
        <w:rPr>
          <w:rStyle w:val="ClaimLabel"/>
        </w:rPr>
        <w:t xml:space="preserve">NPV</w:t>
      </w:r>
    </w:p>
    <w:p>
      <w:pPr>
        <w:pStyle w:val="FirstParagraph"/>
      </w:pPr>
      <w:r>
        <w:rPr>
          <w:bCs/>
          <w:b/>
        </w:rPr>
        <w:t xml:space="preserve">Choose when</w:t>
      </w:r>
    </w:p>
    <w:p>
      <w:pPr>
        <w:numPr>
          <w:ilvl w:val="0"/>
          <w:numId w:val="1491"/>
        </w:numPr>
        <w:pStyle w:val="Compact"/>
      </w:pPr>
      <w:r>
        <w:t xml:space="preserve">Always, as the target schema for the firm’s AI cost dataset</w:t>
      </w:r>
      <w:r>
        <w:t xml:space="preserve"> </w:t>
      </w:r>
      <w:r>
        <w:rPr>
          <w:rStyle w:val="ClaimLabel"/>
        </w:rPr>
        <w:t xml:space="preserve">Rec</w:t>
      </w:r>
    </w:p>
    <w:p>
      <w:pPr>
        <w:pStyle w:val="FirstParagraph"/>
      </w:pPr>
      <w:r>
        <w:rPr>
          <w:bCs/>
          <w:b/>
        </w:rPr>
        <w:t xml:space="preserve">Avoid when</w:t>
      </w:r>
    </w:p>
    <w:p>
      <w:pPr>
        <w:numPr>
          <w:ilvl w:val="0"/>
          <w:numId w:val="1492"/>
        </w:numPr>
        <w:pStyle w:val="Compact"/>
      </w:pPr>
      <w:r>
        <w:t xml:space="preserve">Do not wait for 1.5 to start: map tokens to SKU and ConsumedQuantity now</w:t>
      </w:r>
      <w:r>
        <w:t xml:space="preserve"> </w:t>
      </w:r>
      <w:r>
        <w:rPr>
          <w:rStyle w:val="ClaimLabel"/>
        </w:rPr>
        <w:t xml:space="preserve">Rec</w:t>
      </w:r>
    </w:p>
    <w:p>
      <w:pPr>
        <w:pStyle w:val="FirstParagraph"/>
      </w:pPr>
      <w:r>
        <w:rPr>
          <w:bCs/>
          <w:b/>
        </w:rPr>
        <w:t xml:space="preserve">Nearest competitors:</w:t>
      </w:r>
      <w:r>
        <w:t xml:space="preserve"> </w:t>
      </w:r>
      <w:r>
        <w:t xml:space="preserve">C6-vantage, C6-cloudzero, C6-gateway-cost-attribution</w:t>
      </w:r>
    </w:p>
    <w:p>
      <w:pPr>
        <w:pStyle w:val="BodyText"/>
      </w:pPr>
      <w:r>
        <w:rPr>
          <w:bCs/>
          <w:b/>
        </w:rPr>
        <w:t xml:space="preserve">Regulated-FS note.</w:t>
      </w:r>
      <w:r>
        <w:t xml:space="preserve"> </w:t>
      </w:r>
      <w:r>
        <w:t xml:space="preserve">A FOCUS-shaped AI cost dataset makes provider spend comparable for concentration analysis and lets cost allocation feed the outsourcing register without vendor-specific mapping</w:t>
      </w:r>
      <w:r>
        <w:t xml:space="preserve"> </w:t>
      </w:r>
      <w:r>
        <w:rPr>
          <w:rStyle w:val="ClaimLabel"/>
        </w:rPr>
        <w:t xml:space="preserve">Rec</w:t>
      </w:r>
      <w:r>
        <w:t xml:space="preserve">.</w:t>
      </w:r>
    </w:p>
    <w:p>
      <w:pPr>
        <w:pStyle w:val="BodyText"/>
      </w:pPr>
      <w:r>
        <w:rPr>
          <w:bCs/>
          <w:b/>
        </w:rPr>
        <w:t xml:space="preserve">Facts (as of 2026-10-08)</w:t>
      </w:r>
    </w:p>
    <w:tbl>
      <w:tblPr>
        <w:tblStyle w:val="Table"/>
        <w:tblW w:type="pct" w:w="5000"/>
        <w:tblLook w:firstRow="1" w:lastRow="0" w:firstColumn="0" w:lastColumn="0" w:noHBand="0" w:noVBand="0" w:val="0020"/>
        <w:jc w:val="start"/>
      </w:tblPr>
      <w:tblGrid>
        <w:gridCol w:w="1485"/>
        <w:gridCol w:w="4290"/>
        <w:gridCol w:w="1320"/>
        <w:gridCol w:w="825"/>
      </w:tblGrid>
      <w:tr>
        <w:trPr>
          <w:tblHeader w:val="true"/>
        </w:trPr>
        <w:tc>
          <w:tcPr/>
          <w:p>
            <w:pPr>
              <w:pStyle w:val="Compact"/>
              <w:jc w:val="left"/>
            </w:pPr>
            <w:r>
              <w:t xml:space="preserve">Field</w:t>
            </w:r>
          </w:p>
        </w:tc>
        <w:tc>
          <w:tcPr/>
          <w:p>
            <w:pPr>
              <w:pStyle w:val="Compact"/>
              <w:jc w:val="left"/>
            </w:pPr>
            <w:r>
              <w:t xml:space="preserve">Value</w:t>
            </w:r>
          </w:p>
        </w:tc>
        <w:tc>
          <w:tcPr/>
          <w:p>
            <w:pPr>
              <w:pStyle w:val="Compact"/>
              <w:jc w:val="left"/>
            </w:pPr>
            <w:r>
              <w:t xml:space="preserve">Label</w:t>
            </w:r>
          </w:p>
        </w:tc>
        <w:tc>
          <w:tcPr/>
          <w:p>
            <w:pPr>
              <w:pStyle w:val="Compact"/>
              <w:jc w:val="left"/>
            </w:pPr>
            <w:r>
              <w:t xml:space="preserve">Sources</w:t>
            </w:r>
          </w:p>
        </w:tc>
      </w:tr>
      <w:tr>
        <w:tc>
          <w:tcPr/>
          <w:p>
            <w:pPr>
              <w:pStyle w:val="Compact"/>
              <w:jc w:val="left"/>
            </w:pPr>
            <w:r>
              <w:t xml:space="preserve">Company</w:t>
            </w:r>
          </w:p>
        </w:tc>
        <w:tc>
          <w:tcPr/>
          <w:p>
            <w:pPr>
              <w:pStyle w:val="Compact"/>
              <w:jc w:val="left"/>
            </w:pPr>
            <w:r>
              <w:t xml:space="preserve">FinOps Foundation FOCUS Working Group (copyright Joint Development Foundation Projects, LLC, FOCUS Series)</w:t>
            </w:r>
          </w:p>
        </w:tc>
        <w:tc>
          <w:tcPr/>
          <w:p>
            <w:pPr>
              <w:pStyle w:val="Compact"/>
              <w:jc w:val="left"/>
            </w:pPr>
            <w:r>
              <w:t xml:space="preserve">Verified fact</w:t>
            </w:r>
          </w:p>
        </w:tc>
        <w:tc>
          <w:tcPr/>
          <w:p>
            <w:pPr>
              <w:pStyle w:val="Compact"/>
              <w:jc w:val="left"/>
            </w:pPr>
            <w:r>
              <w:t xml:space="preserve">A7-S048, A7-S096</w:t>
            </w:r>
          </w:p>
        </w:tc>
      </w:tr>
      <w:tr>
        <w:tc>
          <w:tcPr/>
          <w:p>
            <w:pPr>
              <w:pStyle w:val="Compact"/>
              <w:jc w:val="left"/>
            </w:pPr>
            <w:r>
              <w:t xml:space="preserve">Category</w:t>
            </w:r>
          </w:p>
        </w:tc>
        <w:tc>
          <w:tcPr/>
          <w:p>
            <w:pPr>
              <w:pStyle w:val="Compact"/>
              <w:jc w:val="left"/>
            </w:pPr>
            <w:r>
              <w:t xml:space="preserve">Open specification (billing/cost and usage data schema)</w:t>
            </w:r>
          </w:p>
        </w:tc>
        <w:tc>
          <w:tcPr/>
          <w:p>
            <w:pPr>
              <w:pStyle w:val="Compact"/>
              <w:jc w:val="left"/>
            </w:pPr>
            <w:r>
              <w:t xml:space="preserve">Verified fact</w:t>
            </w:r>
          </w:p>
        </w:tc>
        <w:tc>
          <w:tcPr/>
          <w:p>
            <w:pPr>
              <w:pStyle w:val="Compact"/>
              <w:jc w:val="left"/>
            </w:pPr>
            <w:r>
              <w:t xml:space="preserve">A7-S048</w:t>
            </w:r>
          </w:p>
        </w:tc>
      </w:tr>
      <w:tr>
        <w:tc>
          <w:tcPr/>
          <w:p>
            <w:pPr>
              <w:pStyle w:val="Compact"/>
              <w:jc w:val="left"/>
            </w:pPr>
            <w:r>
              <w:t xml:space="preserve">Version / lineup</w:t>
            </w:r>
          </w:p>
        </w:tc>
        <w:tc>
          <w:tcPr/>
          <w:p>
            <w:pPr>
              <w:pStyle w:val="Compact"/>
              <w:jc w:val="left"/>
            </w:pPr>
            <w:r>
              <w:t xml:space="preserve">v1.4 ratified by the FOCUS Steering Committee on 4 June 2026 (adds BillingPeriod and InvoiceDetail datasets, 47 columns); v1.3 December 2025; v1.2 June 2025; v1.1 November 2024; v1.0 20 June 2024</w:t>
            </w:r>
          </w:p>
        </w:tc>
        <w:tc>
          <w:tcPr/>
          <w:p>
            <w:pPr>
              <w:pStyle w:val="Compact"/>
              <w:jc w:val="left"/>
            </w:pPr>
            <w:r>
              <w:t xml:space="preserve">Verified fact</w:t>
            </w:r>
          </w:p>
        </w:tc>
        <w:tc>
          <w:tcPr/>
          <w:p>
            <w:pPr>
              <w:pStyle w:val="Compact"/>
              <w:jc w:val="left"/>
            </w:pPr>
            <w:r>
              <w:t xml:space="preserve">A7-S049, V2-S046</w:t>
            </w:r>
          </w:p>
        </w:tc>
      </w:tr>
      <w:tr>
        <w:tc>
          <w:tcPr/>
          <w:p>
            <w:pPr>
              <w:pStyle w:val="Compact"/>
              <w:jc w:val="left"/>
            </w:pPr>
            <w:r>
              <w:t xml:space="preserve">Licence</w:t>
            </w:r>
          </w:p>
        </w:tc>
        <w:tc>
          <w:tcPr/>
          <w:p>
            <w:pPr>
              <w:pStyle w:val="Compact"/>
              <w:jc w:val="left"/>
            </w:pPr>
            <w:r>
              <w:t xml:space="preserve">Open specification; documents under Creative Commons Attribution 4.0 International</w:t>
            </w:r>
          </w:p>
        </w:tc>
        <w:tc>
          <w:tcPr/>
          <w:p>
            <w:pPr>
              <w:pStyle w:val="Compact"/>
              <w:jc w:val="left"/>
            </w:pPr>
            <w:r>
              <w:t xml:space="preserve">Verified fact</w:t>
            </w:r>
          </w:p>
        </w:tc>
        <w:tc>
          <w:tcPr/>
          <w:p>
            <w:pPr>
              <w:pStyle w:val="Compact"/>
              <w:jc w:val="left"/>
            </w:pPr>
            <w:r>
              <w:t xml:space="preserve">A7-S096</w:t>
            </w:r>
          </w:p>
        </w:tc>
      </w:tr>
      <w:tr>
        <w:tc>
          <w:tcPr/>
          <w:p>
            <w:pPr>
              <w:pStyle w:val="Compact"/>
              <w:jc w:val="left"/>
            </w:pPr>
            <w:r>
              <w:t xml:space="preserve">Status events</w:t>
            </w:r>
          </w:p>
        </w:tc>
        <w:tc>
          <w:tcPr/>
          <w:p>
            <w:pPr>
              <w:pStyle w:val="Compact"/>
              <w:jc w:val="left"/>
            </w:pPr>
            <w:r>
              <w:t xml:space="preserve">4 June 2026: FOCUS 1.4 ratified (Invoice Detail and Billing Period datasets; zero incompatible changes); validator support for 1.4 expected later in Q3 2026</w:t>
            </w:r>
          </w:p>
        </w:tc>
        <w:tc>
          <w:tcPr/>
          <w:p>
            <w:pPr>
              <w:pStyle w:val="Compact"/>
              <w:jc w:val="left"/>
            </w:pPr>
            <w:r>
              <w:t xml:space="preserve">Verified fact</w:t>
            </w:r>
          </w:p>
        </w:tc>
        <w:tc>
          <w:tcPr/>
          <w:p>
            <w:pPr>
              <w:pStyle w:val="Compact"/>
              <w:jc w:val="left"/>
            </w:pPr>
            <w:r>
              <w:t xml:space="preserve">V2-S046</w:t>
            </w:r>
          </w:p>
        </w:tc>
      </w:tr>
      <w:tr>
        <w:tc>
          <w:tcPr/>
          <w:p>
            <w:pPr>
              <w:pStyle w:val="Compact"/>
              <w:jc w:val="left"/>
            </w:pPr>
            <w:r>
              <w:t xml:space="preserve">Strategic direction</w:t>
            </w:r>
          </w:p>
        </w:tc>
        <w:tc>
          <w:tcPr/>
          <w:p>
            <w:pPr>
              <w:pStyle w:val="Compact"/>
              <w:jc w:val="left"/>
            </w:pPr>
            <w:r>
              <w:t xml:space="preserve">FinOps Framework 2026 adds a</w:t>
            </w:r>
            <w:r>
              <w:t xml:space="preserve"> </w:t>
            </w:r>
            <w:r>
              <w:t xml:space="preserve">‘</w:t>
            </w:r>
            <w:r>
              <w:t xml:space="preserve">FinOps for AI</w:t>
            </w:r>
            <w:r>
              <w:t xml:space="preserve">’</w:t>
            </w:r>
            <w:r>
              <w:t xml:space="preserve"> </w:t>
            </w:r>
            <w:r>
              <w:t xml:space="preserve">technology category; State of FinOps 2026 ranks FinOps for AI the top forward-looking priority (98% of respondents manage AI spend); FOCUS 1.5 (in progress; no ratification date) adds a Price Sheet and, for AI, confirmed scope of AI pricing dimensions (cached vs fresh tokens, global vs regional serving) as properties on SkuPriceDetails plus four model properties (ModelDeveloper, ModelFamily, ModelId, ModelVersion) with no new columns; a first-class input/output token-type column is deferred, so token splits stay in separate SKUs (SkuMeter) and Consu</w:t>
            </w:r>
          </w:p>
        </w:tc>
        <w:tc>
          <w:tcPr/>
          <w:p>
            <w:pPr>
              <w:pStyle w:val="Compact"/>
              <w:jc w:val="left"/>
            </w:pPr>
            <w:r>
              <w:t xml:space="preserve">Verified fact</w:t>
            </w:r>
          </w:p>
        </w:tc>
        <w:tc>
          <w:tcPr/>
          <w:p>
            <w:pPr>
              <w:pStyle w:val="Compact"/>
              <w:jc w:val="left"/>
            </w:pPr>
            <w:r>
              <w:t xml:space="preserve">A7-S115, A7-S116, V2-S046</w:t>
            </w:r>
          </w:p>
        </w:tc>
      </w:tr>
      <w:tr>
        <w:tc>
          <w:tcPr/>
          <w:p>
            <w:pPr>
              <w:pStyle w:val="Compact"/>
              <w:jc w:val="left"/>
            </w:pPr>
            <w:r>
              <w:t xml:space="preserve">What it does</w:t>
            </w:r>
          </w:p>
        </w:tc>
        <w:tc>
          <w:tcPr/>
          <w:p>
            <w:pPr>
              <w:pStyle w:val="Compact"/>
              <w:jc w:val="left"/>
            </w:pPr>
            <w:r>
              <w:t xml:space="preserve">Defines standard datasets, columns (dimensions and metrics) and requirements so billing and usage data from different providers are interoperable and comparable.</w:t>
            </w:r>
          </w:p>
        </w:tc>
        <w:tc>
          <w:tcPr/>
          <w:p>
            <w:pPr>
              <w:pStyle w:val="Compact"/>
              <w:jc w:val="left"/>
            </w:pPr>
            <w:r>
              <w:t xml:space="preserve">Verified fact</w:t>
            </w:r>
          </w:p>
        </w:tc>
        <w:tc>
          <w:tcPr/>
          <w:p>
            <w:pPr>
              <w:pStyle w:val="Compact"/>
              <w:jc w:val="left"/>
            </w:pPr>
            <w:r>
              <w:t xml:space="preserve">A7-S048</w:t>
            </w:r>
          </w:p>
        </w:tc>
      </w:tr>
      <w:tr>
        <w:tc>
          <w:tcPr/>
          <w:p>
            <w:pPr>
              <w:pStyle w:val="Compact"/>
              <w:jc w:val="left"/>
            </w:pPr>
            <w:r>
              <w:t xml:space="preserve">Stack position</w:t>
            </w:r>
          </w:p>
        </w:tc>
        <w:tc>
          <w:tcPr/>
          <w:p>
            <w:pPr>
              <w:pStyle w:val="Compact"/>
              <w:jc w:val="left"/>
            </w:pPr>
            <w:r>
              <w:t xml:space="preserve">Data-model standard underneath C6: target schema for normalising gateway token logs and provider invoices before allocation</w:t>
            </w:r>
          </w:p>
        </w:tc>
        <w:tc>
          <w:tcPr/>
          <w:p>
            <w:pPr>
              <w:pStyle w:val="Compact"/>
              <w:jc w:val="left"/>
            </w:pPr>
            <w:r>
              <w:t xml:space="preserve">Architectural judgement</w:t>
            </w:r>
          </w:p>
        </w:tc>
        <w:tc>
          <w:tcPr/>
          <w:p>
            <w:pPr>
              <w:pStyle w:val="Compact"/>
            </w:pPr>
          </w:p>
        </w:tc>
      </w:tr>
      <w:tr>
        <w:tc>
          <w:tcPr/>
          <w:p>
            <w:pPr>
              <w:pStyle w:val="Compact"/>
              <w:jc w:val="left"/>
            </w:pPr>
            <w:r>
              <w:t xml:space="preserve">Integration</w:t>
            </w:r>
          </w:p>
        </w:tc>
        <w:tc>
          <w:tcPr/>
          <w:p>
            <w:pPr>
              <w:pStyle w:val="Compact"/>
              <w:jc w:val="left"/>
            </w:pPr>
            <w:r>
              <w:t xml:space="preserve">Spec plus validation tooling; focus-validator 2.2.1 released 5 August 2026</w:t>
            </w:r>
          </w:p>
        </w:tc>
        <w:tc>
          <w:tcPr/>
          <w:p>
            <w:pPr>
              <w:pStyle w:val="Compact"/>
              <w:jc w:val="left"/>
            </w:pPr>
            <w:r>
              <w:t xml:space="preserve">Verified fact</w:t>
            </w:r>
          </w:p>
        </w:tc>
        <w:tc>
          <w:tcPr/>
          <w:p>
            <w:pPr>
              <w:pStyle w:val="Compact"/>
              <w:jc w:val="left"/>
            </w:pPr>
            <w:r>
              <w:t xml:space="preserve">A7-S048, A7-S050</w:t>
            </w:r>
          </w:p>
        </w:tc>
      </w:tr>
      <w:tr>
        <w:tc>
          <w:tcPr/>
          <w:p>
            <w:pPr>
              <w:pStyle w:val="Compact"/>
              <w:jc w:val="left"/>
            </w:pPr>
            <w:r>
              <w:t xml:space="preserve">Dependencies</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Certifications</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GDPR / residency</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Security features</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Access controls</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Enterprise support</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Pricing</w:t>
            </w:r>
          </w:p>
        </w:tc>
        <w:tc>
          <w:tcPr/>
          <w:p>
            <w:pPr>
              <w:pStyle w:val="Compact"/>
              <w:jc w:val="left"/>
            </w:pPr>
            <w:r>
              <w:t xml:space="preserve">Free open specification</w:t>
            </w:r>
          </w:p>
        </w:tc>
        <w:tc>
          <w:tcPr/>
          <w:p>
            <w:pPr>
              <w:pStyle w:val="Compact"/>
              <w:jc w:val="left"/>
            </w:pPr>
            <w:r>
              <w:t xml:space="preserve">Verified fact</w:t>
            </w:r>
          </w:p>
        </w:tc>
        <w:tc>
          <w:tcPr/>
          <w:p>
            <w:pPr>
              <w:pStyle w:val="Compact"/>
              <w:jc w:val="left"/>
            </w:pPr>
            <w:r>
              <w:t xml:space="preserve">A7-S096</w:t>
            </w:r>
          </w:p>
        </w:tc>
      </w:tr>
      <w:tr>
        <w:tc>
          <w:tcPr/>
          <w:p>
            <w:pPr>
              <w:pStyle w:val="Compact"/>
              <w:jc w:val="left"/>
            </w:pPr>
            <w:r>
              <w:t xml:space="preserve">Infrastructure cost</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Ecosystem</w:t>
            </w:r>
          </w:p>
        </w:tc>
        <w:tc>
          <w:tcPr/>
          <w:p>
            <w:pPr>
              <w:pStyle w:val="Compact"/>
              <w:jc w:val="left"/>
            </w:pPr>
            <w:r>
              <w:t xml:space="preserve">Tokens are representable today via FOCUS 1.2 virtual-currency columns and SKU/ConsumedUnit/ConsumedQuantity, with no AI-specific columns; AI-specific fields (model identity, input/output tokens; stretch: cached vs fresh tokens, global vs regional serving) are scoped for FOCUS 1.5 (release date not confirmed). Vendors such as Vantage map their schemas to FOCUS.</w:t>
            </w:r>
          </w:p>
        </w:tc>
        <w:tc>
          <w:tcPr/>
          <w:p>
            <w:pPr>
              <w:pStyle w:val="Compact"/>
              <w:jc w:val="left"/>
            </w:pPr>
            <w:r>
              <w:t xml:space="preserve">Verified fact</w:t>
            </w:r>
          </w:p>
        </w:tc>
        <w:tc>
          <w:tcPr/>
          <w:p>
            <w:pPr>
              <w:pStyle w:val="Compact"/>
              <w:jc w:val="left"/>
            </w:pPr>
            <w:r>
              <w:t xml:space="preserve">A7-S116, A7-S113</w:t>
            </w:r>
          </w:p>
        </w:tc>
      </w:tr>
      <w:tr>
        <w:tc>
          <w:tcPr/>
          <w:p>
            <w:pPr>
              <w:pStyle w:val="Compact"/>
              <w:jc w:val="left"/>
            </w:pPr>
            <w:r>
              <w:t xml:space="preserve">Adoption signals</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Maturity</w:t>
            </w:r>
          </w:p>
        </w:tc>
        <w:tc>
          <w:tcPr/>
          <w:p>
            <w:pPr>
              <w:pStyle w:val="Compact"/>
              <w:jc w:val="left"/>
            </w:pPr>
            <w:r>
              <w:t xml:space="preserve">Six public releases since v0.5 (June 2023); semi-annual cadence</w:t>
            </w:r>
          </w:p>
        </w:tc>
        <w:tc>
          <w:tcPr/>
          <w:p>
            <w:pPr>
              <w:pStyle w:val="Compact"/>
              <w:jc w:val="left"/>
            </w:pPr>
            <w:r>
              <w:t xml:space="preserve">Verified fact</w:t>
            </w:r>
          </w:p>
        </w:tc>
        <w:tc>
          <w:tcPr/>
          <w:p>
            <w:pPr>
              <w:pStyle w:val="Compact"/>
              <w:jc w:val="left"/>
            </w:pPr>
            <w:r>
              <w:t xml:space="preserve">A7-S049</w:t>
            </w:r>
          </w:p>
        </w:tc>
      </w:tr>
      <w:tr>
        <w:tc>
          <w:tcPr/>
          <w:p>
            <w:pPr>
              <w:pStyle w:val="Compact"/>
              <w:jc w:val="left"/>
            </w:pPr>
            <w:r>
              <w:t xml:space="preserve">Deployment</w:t>
            </w:r>
          </w:p>
        </w:tc>
        <w:tc>
          <w:tcPr/>
          <w:p>
            <w:pPr>
              <w:pStyle w:val="Compact"/>
              <w:jc w:val="left"/>
            </w:pPr>
            <w:r>
              <w:t xml:space="preserve">saas: Not publicly verified; managed_cloud: Not publicly verified; vpc_byoc: Not publicly verified; private_cloud: Not publicly verified; self_hosted: Not applicable (specification); on_prem: Not publicly verified</w:t>
            </w:r>
          </w:p>
        </w:tc>
        <w:tc>
          <w:tcPr/>
          <w:p>
            <w:pPr>
              <w:pStyle w:val="Compact"/>
            </w:pPr>
          </w:p>
        </w:tc>
        <w:tc>
          <w:tcPr/>
          <w:p>
            <w:pPr>
              <w:pStyle w:val="Compact"/>
            </w:pPr>
          </w:p>
        </w:tc>
      </w:tr>
    </w:tbl>
    <w:bookmarkEnd w:id="2265"/>
    <w:bookmarkStart w:id="2277" w:name="X63ce2433fad025dc9e0b0f5813c4e2a233207ce"/>
    <w:p>
      <w:pPr>
        <w:pStyle w:val="Heading2"/>
      </w:pPr>
      <w:r>
        <w:t xml:space="preserve">Gateway-native and provider-native token cost tracking, budgets and chargeback (pattern) (</w:t>
      </w:r>
      <w:r>
        <w:rPr>
          <w:rStyle w:val="VerbatimChar"/>
        </w:rPr>
        <w:t xml:space="preserve">C6-gateway-cost-attribution</w:t>
      </w:r>
      <w:r>
        <w:t xml:space="preserve">)</w:t>
      </w:r>
    </w:p>
    <w:p>
      <w:pPr>
        <w:pStyle w:val="FirstParagraph"/>
      </w:pPr>
      <w:r>
        <w:rPr>
          <w:bCs/>
          <w:b/>
        </w:rPr>
        <w:t xml:space="preserve">Tier:</w:t>
      </w:r>
      <w:r>
        <w:t xml:space="preserve"> </w:t>
      </w:r>
      <w:r>
        <w:t xml:space="preserve">Strategic ·</w:t>
      </w:r>
      <w:r>
        <w:t xml:space="preserve"> </w:t>
      </w:r>
      <w:r>
        <w:rPr>
          <w:bCs/>
          <w:b/>
        </w:rPr>
        <w:t xml:space="preserve">Flags:</w:t>
      </w:r>
      <w:r>
        <w:t xml:space="preserve"> </w:t>
      </w:r>
      <w:r>
        <w:t xml:space="preserve">Acquired ·</w:t>
      </w:r>
      <w:r>
        <w:t xml:space="preserve"> </w:t>
      </w:r>
      <w:r>
        <w:rPr>
          <w:bCs/>
          <w:b/>
        </w:rPr>
        <w:t xml:space="preserve">Original graphic label:</w:t>
      </w:r>
      <w:r>
        <w:t xml:space="preserve"> </w:t>
      </w:r>
      <w:r>
        <w:t xml:space="preserve">not in graphic</w:t>
      </w:r>
    </w:p>
    <w:p>
      <w:pPr>
        <w:pStyle w:val="BodyText"/>
      </w:pPr>
      <w:r>
        <w:rPr>
          <w:iCs/>
          <w:i/>
        </w:rPr>
        <w:t xml:space="preserve">Rationale:</w:t>
      </w:r>
      <w:r>
        <w:t xml:space="preserve"> </w:t>
      </w:r>
      <w:r>
        <w:t xml:space="preserve">The only place where AI spend can be attributed per request and stopped in real time; implementations are replaceable behind the OpenAI-compatible interface. Acquired refers to Portkey</w:t>
      </w:r>
      <w:r>
        <w:t xml:space="preserve"> </w:t>
      </w:r>
      <w:r>
        <w:rPr>
          <w:rStyle w:val="ClaimLabel"/>
        </w:rPr>
        <w:t xml:space="preserve">AJ</w:t>
      </w:r>
      <w:r>
        <w:t xml:space="preserve">.</w:t>
      </w:r>
    </w:p>
    <w:tbl>
      <w:tblPr>
        <w:tblStyle w:val="Table"/>
        <w:tblW w:type="pct" w:w="5000"/>
        <w:tblLook w:firstRow="1" w:lastRow="0" w:firstColumn="0" w:lastColumn="0" w:noHBand="0" w:noVBand="0" w:val="0020"/>
        <w:jc w:val="start"/>
      </w:tblPr>
      <w:tblGrid>
        <w:gridCol w:w="1545"/>
        <w:gridCol w:w="579"/>
        <w:gridCol w:w="5795"/>
      </w:tblGrid>
      <w:tr>
        <w:trPr>
          <w:tblHeader w:val="true"/>
        </w:trPr>
        <w:tc>
          <w:tcPr/>
          <w:p>
            <w:pPr>
              <w:pStyle w:val="Compact"/>
              <w:jc w:val="left"/>
            </w:pPr>
            <w:r>
              <w:t xml:space="preserve">Criterion</w:t>
            </w:r>
          </w:p>
        </w:tc>
        <w:tc>
          <w:tcPr/>
          <w:p>
            <w:pPr>
              <w:pStyle w:val="Compact"/>
              <w:jc w:val="right"/>
            </w:pPr>
            <w:r>
              <w:t xml:space="preserve">Score</w:t>
            </w:r>
          </w:p>
        </w:tc>
        <w:tc>
          <w:tcPr/>
          <w:p>
            <w:pPr>
              <w:pStyle w:val="Compact"/>
              <w:jc w:val="left"/>
            </w:pPr>
            <w:r>
              <w:t xml:space="preserve">Rationale</w:t>
            </w:r>
          </w:p>
        </w:tc>
      </w:tr>
      <w:tr>
        <w:tc>
          <w:tcPr/>
          <w:p>
            <w:pPr>
              <w:pStyle w:val="Compact"/>
              <w:jc w:val="left"/>
            </w:pPr>
            <w:r>
              <w:t xml:space="preserve">Technical</w:t>
            </w:r>
          </w:p>
        </w:tc>
        <w:tc>
          <w:tcPr/>
          <w:p>
            <w:pPr>
              <w:pStyle w:val="Compact"/>
              <w:jc w:val="right"/>
            </w:pPr>
            <w:r>
              <w:t xml:space="preserve">4</w:t>
            </w:r>
          </w:p>
        </w:tc>
        <w:tc>
          <w:tcPr/>
          <w:p>
            <w:pPr>
              <w:pStyle w:val="Compact"/>
              <w:jc w:val="left"/>
            </w:pPr>
            <w:r>
              <w:t xml:space="preserve">Per-key/team/user/customer budgets, rate limits, spend tracking, provider and cloud reconciliation data; cost per task needs a trace join and some controls fail open by default.</w:t>
            </w:r>
          </w:p>
        </w:tc>
      </w:tr>
      <w:tr>
        <w:tc>
          <w:tcPr/>
          <w:p>
            <w:pPr>
              <w:pStyle w:val="Compact"/>
              <w:jc w:val="left"/>
            </w:pPr>
            <w:r>
              <w:t xml:space="preserve">Enterprise readiness</w:t>
            </w:r>
          </w:p>
        </w:tc>
        <w:tc>
          <w:tcPr/>
          <w:p>
            <w:pPr>
              <w:pStyle w:val="Compact"/>
              <w:jc w:val="right"/>
            </w:pPr>
            <w:r>
              <w:t xml:space="preserve">4</w:t>
            </w:r>
          </w:p>
        </w:tc>
        <w:tc>
          <w:tcPr/>
          <w:p>
            <w:pPr>
              <w:pStyle w:val="Compact"/>
              <w:jc w:val="left"/>
            </w:pPr>
            <w:r>
              <w:t xml:space="preserve">Rubric rule 2 (pattern): implementations offer SSO, RBAC and audit (LiteLLM Enterprise SSO, RBAC, SCIM and audit logs; cloud IAM under CP2 Q1); capped at 4.</w:t>
            </w:r>
          </w:p>
        </w:tc>
      </w:tr>
      <w:tr>
        <w:tc>
          <w:tcPr/>
          <w:p>
            <w:pPr>
              <w:pStyle w:val="Compact"/>
              <w:jc w:val="left"/>
            </w:pPr>
            <w:r>
              <w:t xml:space="preserve">Security and compliance</w:t>
            </w:r>
          </w:p>
        </w:tc>
        <w:tc>
          <w:tcPr/>
          <w:p>
            <w:pPr>
              <w:pStyle w:val="Compact"/>
              <w:jc w:val="right"/>
            </w:pPr>
            <w:r>
              <w:t xml:space="preserve">3</w:t>
            </w:r>
          </w:p>
        </w:tc>
        <w:tc>
          <w:tcPr/>
          <w:p>
            <w:pPr>
              <w:pStyle w:val="Compact"/>
              <w:jc w:val="left"/>
            </w:pPr>
            <w:r>
              <w:t xml:space="preserve">Depends on implementation: LiteLLM SOC 2 Type 2 (September 2026), Cloudflare AI Gateway named in SOC 2 scope; LiteLLM’s March 2026 supply-chain incident; Admin API keys are powerful credentials.</w:t>
            </w:r>
          </w:p>
        </w:tc>
      </w:tr>
      <w:tr>
        <w:tc>
          <w:tcPr/>
          <w:p>
            <w:pPr>
              <w:pStyle w:val="Compact"/>
              <w:jc w:val="left"/>
            </w:pPr>
            <w:r>
              <w:t xml:space="preserve">Deployment flexibility</w:t>
            </w:r>
          </w:p>
        </w:tc>
        <w:tc>
          <w:tcPr/>
          <w:p>
            <w:pPr>
              <w:pStyle w:val="Compact"/>
              <w:jc w:val="right"/>
            </w:pPr>
            <w:r>
              <w:t xml:space="preserve">5</w:t>
            </w:r>
          </w:p>
        </w:tc>
        <w:tc>
          <w:tcPr/>
          <w:p>
            <w:pPr>
              <w:pStyle w:val="Compact"/>
              <w:jc w:val="left"/>
            </w:pPr>
            <w:r>
              <w:t xml:space="preserve">Self-hosted gateways, managed cloud gateways and SaaS gateways; runs in-estate or air-gapped.</w:t>
            </w:r>
          </w:p>
        </w:tc>
      </w:tr>
      <w:tr>
        <w:tc>
          <w:tcPr/>
          <w:p>
            <w:pPr>
              <w:pStyle w:val="Compact"/>
              <w:jc w:val="left"/>
            </w:pPr>
            <w:r>
              <w:t xml:space="preserve">Ecosystem</w:t>
            </w:r>
          </w:p>
        </w:tc>
        <w:tc>
          <w:tcPr/>
          <w:p>
            <w:pPr>
              <w:pStyle w:val="Compact"/>
              <w:jc w:val="right"/>
            </w:pPr>
            <w:r>
              <w:t xml:space="preserve">4</w:t>
            </w:r>
          </w:p>
        </w:tc>
        <w:tc>
          <w:tcPr/>
          <w:p>
            <w:pPr>
              <w:pStyle w:val="Compact"/>
              <w:jc w:val="left"/>
            </w:pPr>
            <w:r>
              <w:t xml:space="preserve">OpenAI-compatible gateway endpoints and provider admin APIs; FOCUS mapping not native.</w:t>
            </w:r>
          </w:p>
        </w:tc>
      </w:tr>
      <w:tr>
        <w:tc>
          <w:tcPr/>
          <w:p>
            <w:pPr>
              <w:pStyle w:val="Compact"/>
              <w:jc w:val="left"/>
            </w:pPr>
            <w:r>
              <w:t xml:space="preserve">Reliability and maturity</w:t>
            </w:r>
          </w:p>
        </w:tc>
        <w:tc>
          <w:tcPr/>
          <w:p>
            <w:pPr>
              <w:pStyle w:val="Compact"/>
              <w:jc w:val="right"/>
            </w:pPr>
            <w:r>
              <w:t xml:space="preserve">3</w:t>
            </w:r>
          </w:p>
        </w:tc>
        <w:tc>
          <w:tcPr/>
          <w:p>
            <w:pPr>
              <w:pStyle w:val="Compact"/>
              <w:jc w:val="left"/>
            </w:pPr>
            <w:r>
              <w:t xml:space="preserve">Cloud cost tags are mature, but Foundry project attribution is preview, LiteLLM had a supply-chain incident, and Portkey changed owner.</w:t>
            </w:r>
          </w:p>
        </w:tc>
      </w:tr>
      <w:tr>
        <w:tc>
          <w:tcPr/>
          <w:p>
            <w:pPr>
              <w:pStyle w:val="Compact"/>
              <w:jc w:val="left"/>
            </w:pPr>
            <w:r>
              <w:t xml:space="preserve">Cost / TCO</w:t>
            </w:r>
          </w:p>
        </w:tc>
        <w:tc>
          <w:tcPr/>
          <w:p>
            <w:pPr>
              <w:pStyle w:val="Compact"/>
              <w:jc w:val="right"/>
            </w:pPr>
            <w:r>
              <w:t xml:space="preserve">4</w:t>
            </w:r>
          </w:p>
        </w:tc>
        <w:tc>
          <w:tcPr/>
          <w:p>
            <w:pPr>
              <w:pStyle w:val="Compact"/>
              <w:jc w:val="left"/>
            </w:pPr>
            <w:r>
              <w:t xml:space="preserve">Open-source core; a database is needed for budgets and spend tracking.</w:t>
            </w:r>
          </w:p>
        </w:tc>
      </w:tr>
      <w:tr>
        <w:tc>
          <w:tcPr/>
          <w:p>
            <w:pPr>
              <w:pStyle w:val="Compact"/>
              <w:jc w:val="left"/>
            </w:pPr>
            <w:r>
              <w:t xml:space="preserve">Lock-in / portability</w:t>
            </w:r>
          </w:p>
        </w:tc>
        <w:tc>
          <w:tcPr/>
          <w:p>
            <w:pPr>
              <w:pStyle w:val="Compact"/>
              <w:jc w:val="right"/>
            </w:pPr>
            <w:r>
              <w:t xml:space="preserve">3</w:t>
            </w:r>
          </w:p>
        </w:tc>
        <w:tc>
          <w:tcPr/>
          <w:p>
            <w:pPr>
              <w:pStyle w:val="Compact"/>
              <w:jc w:val="left"/>
            </w:pPr>
            <w:r>
              <w:t xml:space="preserve">Base 4 (open interfaces, OSS gateways) reduced by 1 because a named implementation (Portkey) changed owner; cost data models differ per gateway.</w:t>
            </w:r>
          </w:p>
        </w:tc>
      </w:tr>
      <w:tr>
        <w:tc>
          <w:tcPr/>
          <w:p>
            <w:pPr>
              <w:pStyle w:val="Compact"/>
              <w:jc w:val="left"/>
            </w:pPr>
            <w:r>
              <w:rPr>
                <w:bCs/>
                <w:b/>
              </w:rPr>
              <w:t xml:space="preserve">Total (generic / FS)</w:t>
            </w:r>
          </w:p>
        </w:tc>
        <w:tc>
          <w:tcPr/>
          <w:p>
            <w:pPr>
              <w:pStyle w:val="Compact"/>
              <w:jc w:val="right"/>
            </w:pPr>
            <w:r>
              <w:rPr>
                <w:bCs/>
                <w:b/>
              </w:rPr>
              <w:t xml:space="preserve">3.85 / 3.70</w:t>
            </w:r>
          </w:p>
        </w:tc>
        <w:tc>
          <w:tcPr/>
          <w:p>
            <w:pPr>
              <w:pStyle w:val="Compact"/>
            </w:pPr>
          </w:p>
        </w:tc>
      </w:tr>
    </w:tbl>
    <w:p>
      <w:pPr>
        <w:pStyle w:val="BodyText"/>
      </w:pPr>
      <w:r>
        <w:rPr>
          <w:iCs/>
          <w:i/>
        </w:rPr>
        <w:t xml:space="preserve">Evidence rules applied:</w:t>
      </w:r>
      <w:r>
        <w:t xml:space="preserve"> </w:t>
      </w:r>
      <w:r>
        <w:t xml:space="preserve">Rubric rule 2 (pattern): enterprise readiness and security scored on what implementations enable and on their hygiene, each capped at 4; platform controls presumed for cloud gateways (CP2 Q1); confirm per service</w:t>
      </w:r>
    </w:p>
    <w:p>
      <w:pPr>
        <w:pStyle w:val="BodyText"/>
      </w:pPr>
      <w:r>
        <w:rPr>
          <w:bCs/>
          <w:b/>
        </w:rPr>
        <w:t xml:space="preserve">Capabilities.</w:t>
      </w:r>
      <w:r>
        <w:t xml:space="preserve"> </w:t>
      </w:r>
      <w:r>
        <w:t xml:space="preserve">Pattern: the gateway (C1) issues virtual keys per team, project, user or customer and records tokens and cost per request, enforcing budgets and rate limits (LiteLLM: budgets at key, user, team and customer level, TPM/RPM limits); provider admin APIs (Anthropic Usage &amp; Cost Admin API) and cloud billing tags (Bedrock application inference profiles, Microsoft Foundry project tags) are the reconciliation sources</w:t>
      </w:r>
      <w:r>
        <w:t xml:space="preserve"> </w:t>
      </w:r>
      <w:r>
        <w:rPr>
          <w:rStyle w:val="ClaimLabel"/>
        </w:rPr>
        <w:t xml:space="preserve">VF</w:t>
      </w:r>
      <w:r>
        <w:rPr>
          <w:rStyle w:val="FootnoteReference"/>
        </w:rPr>
        <w:footnoteReference w:id="2266"/>
      </w:r>
      <w:r>
        <w:t xml:space="preserve">.</w:t>
      </w:r>
    </w:p>
    <w:p>
      <w:pPr>
        <w:pStyle w:val="BodyText"/>
      </w:pPr>
      <w:r>
        <w:rPr>
          <w:bCs/>
          <w:b/>
        </w:rPr>
        <w:t xml:space="preserve">Strengths</w:t>
      </w:r>
    </w:p>
    <w:p>
      <w:pPr>
        <w:numPr>
          <w:ilvl w:val="0"/>
          <w:numId w:val="1493"/>
        </w:numPr>
        <w:pStyle w:val="Compact"/>
      </w:pPr>
      <w:r>
        <w:t xml:space="preserve">The gateway sees every model call, so it is the only point that can both attribute and stop spend in real time</w:t>
      </w:r>
      <w:r>
        <w:t xml:space="preserve"> </w:t>
      </w:r>
      <w:r>
        <w:rPr>
          <w:rStyle w:val="ClaimLabel"/>
        </w:rPr>
        <w:t xml:space="preserve">AJ</w:t>
      </w:r>
    </w:p>
    <w:p>
      <w:pPr>
        <w:numPr>
          <w:ilvl w:val="0"/>
          <w:numId w:val="1493"/>
        </w:numPr>
        <w:pStyle w:val="Compact"/>
      </w:pPr>
      <w:r>
        <w:t xml:space="preserve">Mature open-source implementation with budgets, limits and spend tracking (LiteLLM MIT core) and managed equivalents in the cloud gateways (token limits and quotas in Azure APIM, Apigee and Kong; spend limits in Cloudflare)</w:t>
      </w:r>
      <w:r>
        <w:t xml:space="preserve"> </w:t>
      </w:r>
      <w:r>
        <w:rPr>
          <w:rStyle w:val="ClaimLabel"/>
        </w:rPr>
        <w:t xml:space="preserve">VF</w:t>
      </w:r>
      <w:r>
        <w:rPr>
          <w:rStyle w:val="FootnoteReference"/>
        </w:rPr>
        <w:footnoteReference w:id="2270"/>
      </w:r>
    </w:p>
    <w:p>
      <w:pPr>
        <w:numPr>
          <w:ilvl w:val="0"/>
          <w:numId w:val="1493"/>
        </w:numPr>
        <w:pStyle w:val="Compact"/>
      </w:pPr>
      <w:r>
        <w:t xml:space="preserve">Provider-side data breaks tokens into uncached input, cached input, cache creation and output, by API key, workspace, model and service tier, for reconciliation</w:t>
      </w:r>
      <w:r>
        <w:t xml:space="preserve"> </w:t>
      </w:r>
      <w:r>
        <w:rPr>
          <w:rStyle w:val="ClaimLabel"/>
        </w:rPr>
        <w:t xml:space="preserve">VF</w:t>
      </w:r>
      <w:r>
        <w:rPr>
          <w:rStyle w:val="FootnoteReference"/>
        </w:rPr>
        <w:footnoteReference w:id="2271"/>
      </w:r>
    </w:p>
    <w:p>
      <w:pPr>
        <w:numPr>
          <w:ilvl w:val="0"/>
          <w:numId w:val="1493"/>
        </w:numPr>
        <w:pStyle w:val="Compact"/>
      </w:pPr>
      <w:r>
        <w:t xml:space="preserve">Cloud billing tags carry AI spend into the existing cost tools (Cost Explorer and CUR; Azure cost analysis)</w:t>
      </w:r>
      <w:r>
        <w:t xml:space="preserve"> </w:t>
      </w:r>
      <w:r>
        <w:rPr>
          <w:rStyle w:val="ClaimLabel"/>
        </w:rPr>
        <w:t xml:space="preserve">VF</w:t>
      </w:r>
      <w:r>
        <w:rPr>
          <w:rStyle w:val="FootnoteReference"/>
        </w:rPr>
        <w:footnoteReference w:id="2272"/>
      </w:r>
    </w:p>
    <w:p>
      <w:pPr>
        <w:pStyle w:val="FirstParagraph"/>
      </w:pPr>
      <w:r>
        <w:rPr>
          <w:bCs/>
          <w:b/>
        </w:rPr>
        <w:t xml:space="preserve">Limitations and risks</w:t>
      </w:r>
    </w:p>
    <w:p>
      <w:pPr>
        <w:numPr>
          <w:ilvl w:val="0"/>
          <w:numId w:val="1494"/>
        </w:numPr>
        <w:pStyle w:val="Compact"/>
      </w:pPr>
      <w:r>
        <w:t xml:space="preserve">Some LiteLLM controls fail open or are off by default: max_budget without a database, and a proxy admin key that bypasses budget checks</w:t>
      </w:r>
      <w:r>
        <w:t xml:space="preserve"> </w:t>
      </w:r>
      <w:r>
        <w:rPr>
          <w:rStyle w:val="ClaimLabel"/>
        </w:rPr>
        <w:t xml:space="preserve">VF</w:t>
      </w:r>
      <w:r>
        <w:rPr>
          <w:rStyle w:val="FootnoteReference"/>
        </w:rPr>
        <w:footnoteReference w:id="2273"/>
      </w:r>
    </w:p>
    <w:p>
      <w:pPr>
        <w:numPr>
          <w:ilvl w:val="0"/>
          <w:numId w:val="1494"/>
        </w:numPr>
        <w:pStyle w:val="Compact"/>
      </w:pPr>
      <w:r>
        <w:t xml:space="preserve">Cloud billing tags are aggregated per usage type per day, not per request; per-request attribution needs invocation logs or gateway data</w:t>
      </w:r>
      <w:r>
        <w:t xml:space="preserve"> </w:t>
      </w:r>
      <w:r>
        <w:rPr>
          <w:rStyle w:val="ClaimLabel"/>
        </w:rPr>
        <w:t xml:space="preserve">VF</w:t>
      </w:r>
      <w:r>
        <w:rPr>
          <w:rStyle w:val="FootnoteReference"/>
        </w:rPr>
        <w:footnoteReference w:id="2274"/>
      </w:r>
    </w:p>
    <w:p>
      <w:pPr>
        <w:numPr>
          <w:ilvl w:val="0"/>
          <w:numId w:val="1494"/>
        </w:numPr>
        <w:pStyle w:val="Compact"/>
      </w:pPr>
      <w:r>
        <w:t xml:space="preserve">Gateway consolidation: Portkey acquired by Palo Alto Networks (completed 29 May 2026) and folded into Prisma AIRS</w:t>
      </w:r>
      <w:r>
        <w:t xml:space="preserve"> </w:t>
      </w:r>
      <w:r>
        <w:rPr>
          <w:rStyle w:val="ClaimLabel"/>
        </w:rPr>
        <w:t xml:space="preserve">VF</w:t>
      </w:r>
      <w:r>
        <w:rPr>
          <w:rStyle w:val="FootnoteReference"/>
        </w:rPr>
        <w:footnoteReference w:id="2275"/>
      </w:r>
    </w:p>
    <w:p>
      <w:pPr>
        <w:numPr>
          <w:ilvl w:val="0"/>
          <w:numId w:val="1494"/>
        </w:numPr>
        <w:pStyle w:val="Compact"/>
      </w:pPr>
      <w:r>
        <w:t xml:space="preserve">LiteLLM suffered a PyPI supply-chain compromise on 24 March 2026</w:t>
      </w:r>
      <w:r>
        <w:t xml:space="preserve"> </w:t>
      </w:r>
      <w:r>
        <w:rPr>
          <w:rStyle w:val="ClaimLabel"/>
        </w:rPr>
        <w:t xml:space="preserve">VF</w:t>
      </w:r>
      <w:r>
        <w:rPr>
          <w:rStyle w:val="FootnoteReference"/>
        </w:rPr>
        <w:footnoteReference w:id="2276"/>
      </w:r>
    </w:p>
    <w:p>
      <w:pPr>
        <w:numPr>
          <w:ilvl w:val="0"/>
          <w:numId w:val="1494"/>
        </w:numPr>
        <w:pStyle w:val="Compact"/>
      </w:pPr>
      <w:r>
        <w:t xml:space="preserve">Cost per task needs a join between gateway records and traces (L9); no product does this end to end in the fact base</w:t>
      </w:r>
      <w:r>
        <w:t xml:space="preserve"> </w:t>
      </w:r>
      <w:r>
        <w:rPr>
          <w:rStyle w:val="ClaimLabel"/>
        </w:rPr>
        <w:t xml:space="preserve">AJ</w:t>
      </w:r>
    </w:p>
    <w:p>
      <w:pPr>
        <w:pStyle w:val="FirstParagraph"/>
      </w:pPr>
      <w:r>
        <w:rPr>
          <w:bCs/>
          <w:b/>
        </w:rPr>
        <w:t xml:space="preserve">Choose when</w:t>
      </w:r>
    </w:p>
    <w:p>
      <w:pPr>
        <w:numPr>
          <w:ilvl w:val="0"/>
          <w:numId w:val="1495"/>
        </w:numPr>
        <w:pStyle w:val="Compact"/>
      </w:pPr>
      <w:r>
        <w:t xml:space="preserve">Always, as the metering and enforcement point for model spend</w:t>
      </w:r>
      <w:r>
        <w:t xml:space="preserve"> </w:t>
      </w:r>
      <w:r>
        <w:rPr>
          <w:rStyle w:val="ClaimLabel"/>
        </w:rPr>
        <w:t xml:space="preserve">Rec</w:t>
      </w:r>
    </w:p>
    <w:p>
      <w:pPr>
        <w:pStyle w:val="FirstParagraph"/>
      </w:pPr>
      <w:r>
        <w:rPr>
          <w:bCs/>
          <w:b/>
        </w:rPr>
        <w:t xml:space="preserve">Avoid when</w:t>
      </w:r>
    </w:p>
    <w:p>
      <w:pPr>
        <w:numPr>
          <w:ilvl w:val="0"/>
          <w:numId w:val="1496"/>
        </w:numPr>
        <w:pStyle w:val="Compact"/>
      </w:pPr>
      <w:r>
        <w:t xml:space="preserve">Never as the only record: reconcile against provider invoices and cloud bills monthly</w:t>
      </w:r>
      <w:r>
        <w:t xml:space="preserve"> </w:t>
      </w:r>
      <w:r>
        <w:rPr>
          <w:rStyle w:val="ClaimLabel"/>
        </w:rPr>
        <w:t xml:space="preserve">Rec</w:t>
      </w:r>
    </w:p>
    <w:p>
      <w:pPr>
        <w:pStyle w:val="FirstParagraph"/>
      </w:pPr>
      <w:r>
        <w:rPr>
          <w:bCs/>
          <w:b/>
        </w:rPr>
        <w:t xml:space="preserve">Nearest competitors:</w:t>
      </w:r>
      <w:r>
        <w:t xml:space="preserve"> </w:t>
      </w:r>
      <w:r>
        <w:t xml:space="preserve">C6-helicone, C6-vantage, C6-cloudzero</w:t>
      </w:r>
    </w:p>
    <w:p>
      <w:pPr>
        <w:pStyle w:val="BodyText"/>
      </w:pPr>
      <w:r>
        <w:rPr>
          <w:bCs/>
          <w:b/>
        </w:rPr>
        <w:t xml:space="preserve">Regulated-FS note.</w:t>
      </w:r>
      <w:r>
        <w:t xml:space="preserve"> </w:t>
      </w:r>
      <w:r>
        <w:t xml:space="preserve">Budget enforcement is an operational-resilience control against runaway agents; test that budgets fail closed, restrict the admin key, and reconcile gateway spend to invoices for the outsourcing register</w:t>
      </w:r>
      <w:r>
        <w:t xml:space="preserve"> </w:t>
      </w:r>
      <w:r>
        <w:rPr>
          <w:rStyle w:val="ClaimLabel"/>
        </w:rPr>
        <w:t xml:space="preserve">Rec</w:t>
      </w:r>
      <w:r>
        <w:t xml:space="preserve">.</w:t>
      </w:r>
    </w:p>
    <w:p>
      <w:pPr>
        <w:pStyle w:val="BodyText"/>
      </w:pPr>
      <w:r>
        <w:rPr>
          <w:bCs/>
          <w:b/>
        </w:rPr>
        <w:t xml:space="preserve">Facts (as of 2026-10-08)</w:t>
      </w:r>
    </w:p>
    <w:tbl>
      <w:tblPr>
        <w:tblStyle w:val="Table"/>
        <w:tblW w:type="pct" w:w="5000"/>
        <w:tblLook w:firstRow="1" w:lastRow="0" w:firstColumn="0" w:lastColumn="0" w:noHBand="0" w:noVBand="0" w:val="0020"/>
        <w:jc w:val="start"/>
      </w:tblPr>
      <w:tblGrid>
        <w:gridCol w:w="1485"/>
        <w:gridCol w:w="4290"/>
        <w:gridCol w:w="1320"/>
        <w:gridCol w:w="825"/>
      </w:tblGrid>
      <w:tr>
        <w:trPr>
          <w:tblHeader w:val="true"/>
        </w:trPr>
        <w:tc>
          <w:tcPr/>
          <w:p>
            <w:pPr>
              <w:pStyle w:val="Compact"/>
              <w:jc w:val="left"/>
            </w:pPr>
            <w:r>
              <w:t xml:space="preserve">Field</w:t>
            </w:r>
          </w:p>
        </w:tc>
        <w:tc>
          <w:tcPr/>
          <w:p>
            <w:pPr>
              <w:pStyle w:val="Compact"/>
              <w:jc w:val="left"/>
            </w:pPr>
            <w:r>
              <w:t xml:space="preserve">Value</w:t>
            </w:r>
          </w:p>
        </w:tc>
        <w:tc>
          <w:tcPr/>
          <w:p>
            <w:pPr>
              <w:pStyle w:val="Compact"/>
              <w:jc w:val="left"/>
            </w:pPr>
            <w:r>
              <w:t xml:space="preserve">Label</w:t>
            </w:r>
          </w:p>
        </w:tc>
        <w:tc>
          <w:tcPr/>
          <w:p>
            <w:pPr>
              <w:pStyle w:val="Compact"/>
              <w:jc w:val="left"/>
            </w:pPr>
            <w:r>
              <w:t xml:space="preserve">Sources</w:t>
            </w:r>
          </w:p>
        </w:tc>
      </w:tr>
      <w:tr>
        <w:tc>
          <w:tcPr/>
          <w:p>
            <w:pPr>
              <w:pStyle w:val="Compact"/>
              <w:jc w:val="left"/>
            </w:pPr>
            <w:r>
              <w:t xml:space="preserve">Company</w:t>
            </w:r>
          </w:p>
        </w:tc>
        <w:tc>
          <w:tcPr/>
          <w:p>
            <w:pPr>
              <w:pStyle w:val="Compact"/>
              <w:jc w:val="left"/>
            </w:pPr>
            <w:r>
              <w:t xml:space="preserve">Pattern; implementations include LiteLLM (BerriAI), Portkey (acquired by Palo Alto Networks), Helicone, and model-provider admin APIs such as Anthropic’s Usage &amp; Cost Admin API</w:t>
            </w:r>
          </w:p>
        </w:tc>
        <w:tc>
          <w:tcPr/>
          <w:p>
            <w:pPr>
              <w:pStyle w:val="Compact"/>
              <w:jc w:val="left"/>
            </w:pPr>
            <w:r>
              <w:t xml:space="preserve">Verified fact</w:t>
            </w:r>
          </w:p>
        </w:tc>
        <w:tc>
          <w:tcPr/>
          <w:p>
            <w:pPr>
              <w:pStyle w:val="Compact"/>
              <w:jc w:val="left"/>
            </w:pPr>
            <w:r>
              <w:t xml:space="preserve">A7-S010, A7-S016, A7-S046, A7-S070</w:t>
            </w:r>
          </w:p>
        </w:tc>
      </w:tr>
      <w:tr>
        <w:tc>
          <w:tcPr/>
          <w:p>
            <w:pPr>
              <w:pStyle w:val="Compact"/>
              <w:jc w:val="left"/>
            </w:pPr>
            <w:r>
              <w:t xml:space="preserve">Category</w:t>
            </w:r>
          </w:p>
        </w:tc>
        <w:tc>
          <w:tcPr/>
          <w:p>
            <w:pPr>
              <w:pStyle w:val="Compact"/>
              <w:jc w:val="left"/>
            </w:pPr>
            <w:r>
              <w:t xml:space="preserve">Named pattern (AI FinOps: metering, attribution, budgets, showback/chargeback)</w:t>
            </w:r>
          </w:p>
        </w:tc>
        <w:tc>
          <w:tcPr/>
          <w:p>
            <w:pPr>
              <w:pStyle w:val="Compact"/>
              <w:jc w:val="left"/>
            </w:pPr>
            <w:r>
              <w:t xml:space="preserve">Verified fact</w:t>
            </w:r>
          </w:p>
        </w:tc>
        <w:tc>
          <w:tcPr/>
          <w:p>
            <w:pPr>
              <w:pStyle w:val="Compact"/>
              <w:jc w:val="left"/>
            </w:pPr>
            <w:r>
              <w:t xml:space="preserve">A7-S010, A7-S070</w:t>
            </w:r>
          </w:p>
        </w:tc>
      </w:tr>
      <w:tr>
        <w:tc>
          <w:tcPr/>
          <w:p>
            <w:pPr>
              <w:pStyle w:val="Compact"/>
              <w:jc w:val="left"/>
            </w:pPr>
            <w:r>
              <w:t xml:space="preserve">Version / lineup</w:t>
            </w:r>
          </w:p>
        </w:tc>
        <w:tc>
          <w:tcPr/>
          <w:p>
            <w:pPr>
              <w:pStyle w:val="Compact"/>
              <w:jc w:val="left"/>
            </w:pPr>
            <w:r>
              <w:t xml:space="preserve">Examples as of 7 October 2026: LiteLLM 1.104.1 (7 October 2026); portkey-ai SDK 2.3.4 (23 July 2026); Anthropic Usage &amp; Cost Admin API (current docs)</w:t>
            </w:r>
          </w:p>
        </w:tc>
        <w:tc>
          <w:tcPr/>
          <w:p>
            <w:pPr>
              <w:pStyle w:val="Compact"/>
              <w:jc w:val="left"/>
            </w:pPr>
            <w:r>
              <w:t xml:space="preserve">Verified fact</w:t>
            </w:r>
          </w:p>
        </w:tc>
        <w:tc>
          <w:tcPr/>
          <w:p>
            <w:pPr>
              <w:pStyle w:val="Compact"/>
              <w:jc w:val="left"/>
            </w:pPr>
            <w:r>
              <w:t xml:space="preserve">A7-S010, A7-S081, A7-S070</w:t>
            </w:r>
          </w:p>
        </w:tc>
      </w:tr>
      <w:tr>
        <w:tc>
          <w:tcPr/>
          <w:p>
            <w:pPr>
              <w:pStyle w:val="Compact"/>
              <w:jc w:val="left"/>
            </w:pPr>
            <w:r>
              <w:t xml:space="preserve">Licence</w:t>
            </w:r>
          </w:p>
        </w:tc>
        <w:tc>
          <w:tcPr/>
          <w:p>
            <w:pPr>
              <w:pStyle w:val="Compact"/>
              <w:jc w:val="left"/>
            </w:pPr>
            <w:r>
              <w:t xml:space="preserve">Mixed: LiteLLM MIT (open core gateway); Portkey SDK MIT; provider APIs proprietary</w:t>
            </w:r>
          </w:p>
        </w:tc>
        <w:tc>
          <w:tcPr/>
          <w:p>
            <w:pPr>
              <w:pStyle w:val="Compact"/>
              <w:jc w:val="left"/>
            </w:pPr>
            <w:r>
              <w:t xml:space="preserve">Verified fact</w:t>
            </w:r>
          </w:p>
        </w:tc>
        <w:tc>
          <w:tcPr/>
          <w:p>
            <w:pPr>
              <w:pStyle w:val="Compact"/>
              <w:jc w:val="left"/>
            </w:pPr>
            <w:r>
              <w:t xml:space="preserve">A7-S010, A7-S081, A7-S070</w:t>
            </w:r>
          </w:p>
        </w:tc>
      </w:tr>
      <w:tr>
        <w:tc>
          <w:tcPr/>
          <w:p>
            <w:pPr>
              <w:pStyle w:val="Compact"/>
              <w:jc w:val="left"/>
            </w:pPr>
            <w:r>
              <w:t xml:space="preserve">Status events</w:t>
            </w:r>
          </w:p>
        </w:tc>
        <w:tc>
          <w:tcPr/>
          <w:p>
            <w:pPr>
              <w:pStyle w:val="Compact"/>
              <w:jc w:val="left"/>
            </w:pPr>
            <w:r>
              <w:t xml:space="preserve">29 May 2026: Portkey, Inc. acquired by Palo Alto Networks (Form 10-Q); 16 July 2026: Palo Alto Networks AI Gateway GA (product page)</w:t>
            </w:r>
          </w:p>
        </w:tc>
        <w:tc>
          <w:tcPr/>
          <w:p>
            <w:pPr>
              <w:pStyle w:val="Compact"/>
              <w:jc w:val="left"/>
            </w:pPr>
            <w:r>
              <w:t xml:space="preserve">Verified fact</w:t>
            </w:r>
          </w:p>
        </w:tc>
        <w:tc>
          <w:tcPr/>
          <w:p>
            <w:pPr>
              <w:pStyle w:val="Compact"/>
              <w:jc w:val="left"/>
            </w:pPr>
            <w:r>
              <w:t xml:space="preserve">A7-S016, A7-S028, V2-S025, V2-S048</w:t>
            </w:r>
          </w:p>
        </w:tc>
      </w:tr>
      <w:tr>
        <w:tc>
          <w:tcPr/>
          <w:p>
            <w:pPr>
              <w:pStyle w:val="Compact"/>
              <w:jc w:val="left"/>
            </w:pPr>
            <w:r>
              <w:t xml:space="preserve">Strategic direction</w:t>
            </w:r>
          </w:p>
        </w:tc>
        <w:tc>
          <w:tcPr/>
          <w:p>
            <w:pPr>
              <w:pStyle w:val="Compact"/>
              <w:jc w:val="left"/>
            </w:pPr>
            <w:r>
              <w:t xml:space="preserve">Gateways are being absorbed by security vendors: Palo Alto Networks acquired Portkey (29 May 2026)</w:t>
            </w:r>
            <w:r>
              <w:t xml:space="preserve"> </w:t>
            </w:r>
            <w:r>
              <w:t xml:space="preserve">‘</w:t>
            </w:r>
            <w:r>
              <w:t xml:space="preserve">to enhance our Prisma AIRS capabilities</w:t>
            </w:r>
            <w:r>
              <w:t xml:space="preserve">’</w:t>
            </w:r>
            <w:r>
              <w:t xml:space="preserve"> </w:t>
            </w:r>
            <w:r>
              <w:t xml:space="preserve">and made its AI Gateway generally available on 16 July 2026</w:t>
            </w:r>
          </w:p>
        </w:tc>
        <w:tc>
          <w:tcPr/>
          <w:p>
            <w:pPr>
              <w:pStyle w:val="Compact"/>
              <w:jc w:val="left"/>
            </w:pPr>
            <w:r>
              <w:t xml:space="preserve">Verified fact</w:t>
            </w:r>
          </w:p>
        </w:tc>
        <w:tc>
          <w:tcPr/>
          <w:p>
            <w:pPr>
              <w:pStyle w:val="Compact"/>
              <w:jc w:val="left"/>
            </w:pPr>
            <w:r>
              <w:t xml:space="preserve">A7-S016, A7-S028</w:t>
            </w:r>
          </w:p>
        </w:tc>
      </w:tr>
      <w:tr>
        <w:tc>
          <w:tcPr/>
          <w:p>
            <w:pPr>
              <w:pStyle w:val="Compact"/>
              <w:jc w:val="left"/>
            </w:pPr>
            <w:r>
              <w:t xml:space="preserve">What it does</w:t>
            </w:r>
          </w:p>
        </w:tc>
        <w:tc>
          <w:tcPr/>
          <w:p>
            <w:pPr>
              <w:pStyle w:val="Compact"/>
              <w:jc w:val="left"/>
            </w:pPr>
            <w:r>
              <w:t xml:space="preserve">A gateway issues virtual keys per team, project or user and records token usage and cost per request, enabling budgets and multi-tenant spend reports (LiteLLM:</w:t>
            </w:r>
            <w:r>
              <w:t xml:space="preserve"> </w:t>
            </w:r>
            <w:r>
              <w:t xml:space="preserve">‘</w:t>
            </w:r>
            <w:r>
              <w:t xml:space="preserve">multi-tenant cost tracking and spend management per project/user</w:t>
            </w:r>
            <w:r>
              <w:t xml:space="preserve">’</w:t>
            </w:r>
            <w:r>
              <w:t xml:space="preserve">). Model providers expose organisation-level usage and cost data by API key, workspace, model and service tier (Anthropic Usage &amp; Cost Admin API), which can be reconciled with gateway records.</w:t>
            </w:r>
          </w:p>
        </w:tc>
        <w:tc>
          <w:tcPr/>
          <w:p>
            <w:pPr>
              <w:pStyle w:val="Compact"/>
              <w:jc w:val="left"/>
            </w:pPr>
            <w:r>
              <w:t xml:space="preserve">Verified fact</w:t>
            </w:r>
          </w:p>
        </w:tc>
        <w:tc>
          <w:tcPr/>
          <w:p>
            <w:pPr>
              <w:pStyle w:val="Compact"/>
              <w:jc w:val="left"/>
            </w:pPr>
            <w:r>
              <w:t xml:space="preserve">A7-S010, A7-S070</w:t>
            </w:r>
          </w:p>
        </w:tc>
      </w:tr>
      <w:tr>
        <w:tc>
          <w:tcPr/>
          <w:p>
            <w:pPr>
              <w:pStyle w:val="Compact"/>
              <w:jc w:val="left"/>
            </w:pPr>
            <w:r>
              <w:t xml:space="preserve">Stack position</w:t>
            </w:r>
          </w:p>
        </w:tc>
        <w:tc>
          <w:tcPr/>
          <w:p>
            <w:pPr>
              <w:pStyle w:val="Compact"/>
              <w:jc w:val="left"/>
            </w:pPr>
            <w:r>
              <w:t xml:space="preserve">Spans C1 (gateway) and C6; the gateway is the natural metering point because every model call passes through it, while provider billing APIs and cloud bills are the reconciliation source</w:t>
            </w:r>
          </w:p>
        </w:tc>
        <w:tc>
          <w:tcPr/>
          <w:p>
            <w:pPr>
              <w:pStyle w:val="Compact"/>
              <w:jc w:val="left"/>
            </w:pPr>
            <w:r>
              <w:t xml:space="preserve">Architectural judgement</w:t>
            </w:r>
          </w:p>
        </w:tc>
        <w:tc>
          <w:tcPr/>
          <w:p>
            <w:pPr>
              <w:pStyle w:val="Compact"/>
            </w:pPr>
          </w:p>
        </w:tc>
      </w:tr>
      <w:tr>
        <w:tc>
          <w:tcPr/>
          <w:p>
            <w:pPr>
              <w:pStyle w:val="Compact"/>
              <w:jc w:val="left"/>
            </w:pPr>
            <w:r>
              <w:t xml:space="preserve">Integration</w:t>
            </w:r>
          </w:p>
        </w:tc>
        <w:tc>
          <w:tcPr/>
          <w:p>
            <w:pPr>
              <w:pStyle w:val="Compact"/>
              <w:jc w:val="left"/>
            </w:pPr>
            <w:r>
              <w:t xml:space="preserve">OpenAI-compatible gateway endpoints with virtual keys; provider admin REST APIs (Anthropic Admin API key required; workspace keys do not work)</w:t>
            </w:r>
          </w:p>
        </w:tc>
        <w:tc>
          <w:tcPr/>
          <w:p>
            <w:pPr>
              <w:pStyle w:val="Compact"/>
              <w:jc w:val="left"/>
            </w:pPr>
            <w:r>
              <w:t xml:space="preserve">Verified fact</w:t>
            </w:r>
          </w:p>
        </w:tc>
        <w:tc>
          <w:tcPr/>
          <w:p>
            <w:pPr>
              <w:pStyle w:val="Compact"/>
              <w:jc w:val="left"/>
            </w:pPr>
            <w:r>
              <w:t xml:space="preserve">A7-S010, A7-S070</w:t>
            </w:r>
          </w:p>
        </w:tc>
      </w:tr>
      <w:tr>
        <w:tc>
          <w:tcPr/>
          <w:p>
            <w:pPr>
              <w:pStyle w:val="Compact"/>
              <w:jc w:val="left"/>
            </w:pPr>
            <w:r>
              <w:t xml:space="preserve">Dependencies</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Certifications</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GDPR / residency</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Security features</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Access controls</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Enterprise support</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Pricing</w:t>
            </w:r>
          </w:p>
        </w:tc>
        <w:tc>
          <w:tcPr/>
          <w:p>
            <w:pPr>
              <w:pStyle w:val="Compact"/>
              <w:jc w:val="left"/>
            </w:pPr>
            <w:r>
              <w:t xml:space="preserve">Depends on implementation; open-source gateways have no licence fee for the core</w:t>
            </w:r>
          </w:p>
        </w:tc>
        <w:tc>
          <w:tcPr/>
          <w:p>
            <w:pPr>
              <w:pStyle w:val="Compact"/>
              <w:jc w:val="left"/>
            </w:pPr>
            <w:r>
              <w:t xml:space="preserve">Architectural judgement</w:t>
            </w:r>
          </w:p>
        </w:tc>
        <w:tc>
          <w:tcPr/>
          <w:p>
            <w:pPr>
              <w:pStyle w:val="Compact"/>
            </w:pPr>
          </w:p>
        </w:tc>
      </w:tr>
      <w:tr>
        <w:tc>
          <w:tcPr/>
          <w:p>
            <w:pPr>
              <w:pStyle w:val="Compact"/>
              <w:jc w:val="left"/>
            </w:pPr>
            <w:r>
              <w:t xml:space="preserve">Infrastructure cost</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Ecosystem</w:t>
            </w:r>
          </w:p>
        </w:tc>
        <w:tc>
          <w:tcPr/>
          <w:p>
            <w:pPr>
              <w:pStyle w:val="Compact"/>
              <w:jc w:val="left"/>
            </w:pPr>
            <w:r>
              <w:t xml:space="preserve">FOCUS provides a vendor-neutral cost/usage schema (AI token fields scoped for FOCUS 1.5); cost platforms such as Vantage and CloudZero ingest provider token data via admin APIs for allocation</w:t>
            </w:r>
          </w:p>
        </w:tc>
        <w:tc>
          <w:tcPr/>
          <w:p>
            <w:pPr>
              <w:pStyle w:val="Compact"/>
              <w:jc w:val="left"/>
            </w:pPr>
            <w:r>
              <w:t xml:space="preserve">Verified fact</w:t>
            </w:r>
          </w:p>
        </w:tc>
        <w:tc>
          <w:tcPr/>
          <w:p>
            <w:pPr>
              <w:pStyle w:val="Compact"/>
              <w:jc w:val="left"/>
            </w:pPr>
            <w:r>
              <w:t xml:space="preserve">A7-S048, A7-S116, A7-S113, A7-S114</w:t>
            </w:r>
          </w:p>
        </w:tc>
      </w:tr>
      <w:tr>
        <w:tc>
          <w:tcPr/>
          <w:p>
            <w:pPr>
              <w:pStyle w:val="Compact"/>
              <w:jc w:val="left"/>
            </w:pPr>
            <w:r>
              <w:t xml:space="preserve">Adoption signals</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Maturity</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Deployment</w:t>
            </w:r>
          </w:p>
        </w:tc>
        <w:tc>
          <w:tcPr/>
          <w:p>
            <w:pPr>
              <w:pStyle w:val="Compact"/>
              <w:jc w:val="left"/>
            </w:pPr>
            <w:r>
              <w:t xml:space="preserve">saas: Yes (e.g. hosted gateways, provider APIs); managed_cloud: Not publicly verified; vpc_byoc: Not publicly verified; private_cloud: Not publicly verified; self_hosted: Yes (e.g. LiteLLM proxy, Helicone self-hosted); on_prem: Not publicly verified</w:t>
            </w:r>
          </w:p>
        </w:tc>
        <w:tc>
          <w:tcPr/>
          <w:p>
            <w:pPr>
              <w:pStyle w:val="Compact"/>
            </w:pPr>
          </w:p>
        </w:tc>
        <w:tc>
          <w:tcPr/>
          <w:p>
            <w:pPr>
              <w:pStyle w:val="Compact"/>
            </w:pPr>
          </w:p>
        </w:tc>
      </w:tr>
    </w:tbl>
    <w:bookmarkEnd w:id="2277"/>
    <w:bookmarkStart w:id="2287" w:name="X35929222248576a901b3e316e2c228ea368774a"/>
    <w:p>
      <w:pPr>
        <w:pStyle w:val="Heading2"/>
      </w:pPr>
      <w:r>
        <w:t xml:space="preserve">Vantage (cloud cost management platform) (</w:t>
      </w:r>
      <w:r>
        <w:rPr>
          <w:rStyle w:val="VerbatimChar"/>
        </w:rPr>
        <w:t xml:space="preserve">C6-vantage</w:t>
      </w:r>
      <w:r>
        <w:t xml:space="preserve">)</w:t>
      </w:r>
    </w:p>
    <w:p>
      <w:pPr>
        <w:pStyle w:val="FirstParagraph"/>
      </w:pPr>
      <w:r>
        <w:rPr>
          <w:bCs/>
          <w:b/>
        </w:rPr>
        <w:t xml:space="preserve">Tier:</w:t>
      </w:r>
      <w:r>
        <w:t xml:space="preserve"> </w:t>
      </w:r>
      <w:r>
        <w:t xml:space="preserve">Tactical ·</w:t>
      </w:r>
      <w:r>
        <w:t xml:space="preserve"> </w:t>
      </w:r>
      <w:r>
        <w:rPr>
          <w:bCs/>
          <w:b/>
        </w:rPr>
        <w:t xml:space="preserve">Flags:</w:t>
      </w:r>
      <w:r>
        <w:t xml:space="preserve"> </w:t>
      </w:r>
      <w:r>
        <w:t xml:space="preserve">none ·</w:t>
      </w:r>
      <w:r>
        <w:t xml:space="preserve"> </w:t>
      </w:r>
      <w:r>
        <w:rPr>
          <w:bCs/>
          <w:b/>
        </w:rPr>
        <w:t xml:space="preserve">Original graphic label:</w:t>
      </w:r>
      <w:r>
        <w:t xml:space="preserve"> </w:t>
      </w:r>
      <w:r>
        <w:t xml:space="preserve">not in graphic</w:t>
      </w:r>
    </w:p>
    <w:p>
      <w:pPr>
        <w:pStyle w:val="BodyText"/>
      </w:pPr>
      <w:r>
        <w:rPr>
          <w:iCs/>
          <w:i/>
        </w:rPr>
        <w:t xml:space="preserve">Rationale:</w:t>
      </w:r>
      <w:r>
        <w:t xml:space="preserve"> </w:t>
      </w:r>
      <w:r>
        <w:t xml:space="preserve">Useful reporting layer for organisations already using it; SaaS-only with unverified residency and vendor-described AI features</w:t>
      </w:r>
      <w:r>
        <w:t xml:space="preserve"> </w:t>
      </w:r>
      <w:r>
        <w:rPr>
          <w:rStyle w:val="ClaimLabel"/>
        </w:rPr>
        <w:t xml:space="preserve">AJ</w:t>
      </w:r>
      <w:r>
        <w:t xml:space="preserve">.</w:t>
      </w:r>
    </w:p>
    <w:tbl>
      <w:tblPr>
        <w:tblStyle w:val="Table"/>
        <w:tblW w:type="pct" w:w="5000"/>
        <w:tblLook w:firstRow="1" w:lastRow="0" w:firstColumn="0" w:lastColumn="0" w:noHBand="0" w:noVBand="0" w:val="0020"/>
        <w:jc w:val="start"/>
      </w:tblPr>
      <w:tblGrid>
        <w:gridCol w:w="1545"/>
        <w:gridCol w:w="579"/>
        <w:gridCol w:w="5795"/>
      </w:tblGrid>
      <w:tr>
        <w:trPr>
          <w:tblHeader w:val="true"/>
        </w:trPr>
        <w:tc>
          <w:tcPr/>
          <w:p>
            <w:pPr>
              <w:pStyle w:val="Compact"/>
              <w:jc w:val="left"/>
            </w:pPr>
            <w:r>
              <w:t xml:space="preserve">Criterion</w:t>
            </w:r>
          </w:p>
        </w:tc>
        <w:tc>
          <w:tcPr/>
          <w:p>
            <w:pPr>
              <w:pStyle w:val="Compact"/>
              <w:jc w:val="right"/>
            </w:pPr>
            <w:r>
              <w:t xml:space="preserve">Score</w:t>
            </w:r>
          </w:p>
        </w:tc>
        <w:tc>
          <w:tcPr/>
          <w:p>
            <w:pPr>
              <w:pStyle w:val="Compact"/>
              <w:jc w:val="left"/>
            </w:pPr>
            <w:r>
              <w:t xml:space="preserve">Rationale</w:t>
            </w:r>
          </w:p>
        </w:tc>
      </w:tr>
      <w:tr>
        <w:tc>
          <w:tcPr/>
          <w:p>
            <w:pPr>
              <w:pStyle w:val="Compact"/>
              <w:jc w:val="left"/>
            </w:pPr>
            <w:r>
              <w:t xml:space="preserve">Technical</w:t>
            </w:r>
          </w:p>
        </w:tc>
        <w:tc>
          <w:tcPr/>
          <w:p>
            <w:pPr>
              <w:pStyle w:val="Compact"/>
              <w:jc w:val="right"/>
            </w:pPr>
            <w:r>
              <w:t xml:space="preserve">3</w:t>
            </w:r>
          </w:p>
        </w:tc>
        <w:tc>
          <w:tcPr/>
          <w:p>
            <w:pPr>
              <w:pStyle w:val="Compact"/>
              <w:jc w:val="left"/>
            </w:pPr>
            <w:r>
              <w:t xml:space="preserve">Provider integrations, AI tag normalisation and hierarchical allocation; billing-level granularity only, and features described in vendor blogs.</w:t>
            </w:r>
          </w:p>
        </w:tc>
      </w:tr>
      <w:tr>
        <w:tc>
          <w:tcPr/>
          <w:p>
            <w:pPr>
              <w:pStyle w:val="Compact"/>
              <w:jc w:val="left"/>
            </w:pPr>
            <w:r>
              <w:t xml:space="preserve">Enterprise readiness</w:t>
            </w:r>
          </w:p>
        </w:tc>
        <w:tc>
          <w:tcPr/>
          <w:p>
            <w:pPr>
              <w:pStyle w:val="Compact"/>
              <w:jc w:val="right"/>
            </w:pPr>
            <w:r>
              <w:t xml:space="preserve">3</w:t>
            </w:r>
          </w:p>
        </w:tc>
        <w:tc>
          <w:tcPr/>
          <w:p>
            <w:pPr>
              <w:pStyle w:val="Compact"/>
              <w:jc w:val="left"/>
            </w:pPr>
            <w:r>
              <w:t xml:space="preserve">SAML SSO verified (lifts NPV cap to max 3 under CP2 Q2); RBAC and audit logs not verified; SAML plan availability conflicts between pages.</w:t>
            </w:r>
          </w:p>
        </w:tc>
      </w:tr>
      <w:tr>
        <w:tc>
          <w:tcPr/>
          <w:p>
            <w:pPr>
              <w:pStyle w:val="Compact"/>
              <w:jc w:val="left"/>
            </w:pPr>
            <w:r>
              <w:t xml:space="preserve">Security and compliance</w:t>
            </w:r>
          </w:p>
        </w:tc>
        <w:tc>
          <w:tcPr/>
          <w:p>
            <w:pPr>
              <w:pStyle w:val="Compact"/>
              <w:jc w:val="right"/>
            </w:pPr>
            <w:r>
              <w:t xml:space="preserve">3</w:t>
            </w:r>
          </w:p>
        </w:tc>
        <w:tc>
          <w:tcPr/>
          <w:p>
            <w:pPr>
              <w:pStyle w:val="Compact"/>
              <w:jc w:val="left"/>
            </w:pPr>
            <w:r>
              <w:t xml:space="preserve">SOC 2 Type 2 and SOC 1 Type 2, reports on request; no ISO 27001 found.</w:t>
            </w:r>
          </w:p>
        </w:tc>
      </w:tr>
      <w:tr>
        <w:tc>
          <w:tcPr/>
          <w:p>
            <w:pPr>
              <w:pStyle w:val="Compact"/>
              <w:jc w:val="left"/>
            </w:pPr>
            <w:r>
              <w:t xml:space="preserve">Deployment flexibility</w:t>
            </w:r>
          </w:p>
        </w:tc>
        <w:tc>
          <w:tcPr/>
          <w:p>
            <w:pPr>
              <w:pStyle w:val="Compact"/>
              <w:jc w:val="right"/>
            </w:pPr>
            <w:r>
              <w:t xml:space="preserve">2</w:t>
            </w:r>
          </w:p>
        </w:tc>
        <w:tc>
          <w:tcPr/>
          <w:p>
            <w:pPr>
              <w:pStyle w:val="Compact"/>
              <w:jc w:val="left"/>
            </w:pPr>
            <w:r>
              <w:t xml:space="preserve">SaaS only; regions not verified.</w:t>
            </w:r>
          </w:p>
        </w:tc>
      </w:tr>
      <w:tr>
        <w:tc>
          <w:tcPr/>
          <w:p>
            <w:pPr>
              <w:pStyle w:val="Compact"/>
              <w:jc w:val="left"/>
            </w:pPr>
            <w:r>
              <w:t xml:space="preserve">Ecosystem</w:t>
            </w:r>
          </w:p>
        </w:tc>
        <w:tc>
          <w:tcPr/>
          <w:p>
            <w:pPr>
              <w:pStyle w:val="Compact"/>
              <w:jc w:val="right"/>
            </w:pPr>
            <w:r>
              <w:t xml:space="preserve">4</w:t>
            </w:r>
          </w:p>
        </w:tc>
        <w:tc>
          <w:tcPr/>
          <w:p>
            <w:pPr>
              <w:pStyle w:val="Compact"/>
              <w:jc w:val="left"/>
            </w:pPr>
            <w:r>
              <w:t xml:space="preserve">AI-provider and cloud billing integrations, API, MCP server and FOCUS-mapped schema.</w:t>
            </w:r>
          </w:p>
        </w:tc>
      </w:tr>
      <w:tr>
        <w:tc>
          <w:tcPr/>
          <w:p>
            <w:pPr>
              <w:pStyle w:val="Compact"/>
              <w:jc w:val="left"/>
            </w:pPr>
            <w:r>
              <w:t xml:space="preserve">Reliability and maturity</w:t>
            </w:r>
          </w:p>
        </w:tc>
        <w:tc>
          <w:tcPr/>
          <w:p>
            <w:pPr>
              <w:pStyle w:val="Compact"/>
              <w:jc w:val="right"/>
            </w:pPr>
            <w:r>
              <w:t xml:space="preserve">3</w:t>
            </w:r>
          </w:p>
        </w:tc>
        <w:tc>
          <w:tcPr/>
          <w:p>
            <w:pPr>
              <w:pStyle w:val="Compact"/>
              <w:jc w:val="left"/>
            </w:pPr>
            <w:r>
              <w:t xml:space="preserve">Established cloud cost vendor; AI features added from 2025; ownership and funding not verified.</w:t>
            </w:r>
          </w:p>
        </w:tc>
      </w:tr>
      <w:tr>
        <w:tc>
          <w:tcPr/>
          <w:p>
            <w:pPr>
              <w:pStyle w:val="Compact"/>
              <w:jc w:val="left"/>
            </w:pPr>
            <w:r>
              <w:t xml:space="preserve">Cost / TCO</w:t>
            </w:r>
          </w:p>
        </w:tc>
        <w:tc>
          <w:tcPr/>
          <w:p>
            <w:pPr>
              <w:pStyle w:val="Compact"/>
              <w:jc w:val="right"/>
            </w:pPr>
            <w:r>
              <w:t xml:space="preserve">3</w:t>
            </w:r>
          </w:p>
        </w:tc>
        <w:tc>
          <w:tcPr/>
          <w:p>
            <w:pPr>
              <w:pStyle w:val="Compact"/>
              <w:jc w:val="left"/>
            </w:pPr>
            <w:r>
              <w:t xml:space="preserve">Managed AI Tags at no extra cost; AI spend counts toward quota tiers whose prices were not verified.</w:t>
            </w:r>
          </w:p>
        </w:tc>
      </w:tr>
      <w:tr>
        <w:tc>
          <w:tcPr/>
          <w:p>
            <w:pPr>
              <w:pStyle w:val="Compact"/>
              <w:jc w:val="left"/>
            </w:pPr>
            <w:r>
              <w:t xml:space="preserve">Lock-in / portability</w:t>
            </w:r>
          </w:p>
        </w:tc>
        <w:tc>
          <w:tcPr/>
          <w:p>
            <w:pPr>
              <w:pStyle w:val="Compact"/>
              <w:jc w:val="right"/>
            </w:pPr>
            <w:r>
              <w:t xml:space="preserve">3</w:t>
            </w:r>
          </w:p>
        </w:tc>
        <w:tc>
          <w:tcPr/>
          <w:p>
            <w:pPr>
              <w:pStyle w:val="Compact"/>
              <w:jc w:val="left"/>
            </w:pPr>
            <w:r>
              <w:t xml:space="preserve">Proprietary SaaS, but FOCUS-mapped data and an API make export feasible.</w:t>
            </w:r>
          </w:p>
        </w:tc>
      </w:tr>
      <w:tr>
        <w:tc>
          <w:tcPr/>
          <w:p>
            <w:pPr>
              <w:pStyle w:val="Compact"/>
              <w:jc w:val="left"/>
            </w:pPr>
            <w:r>
              <w:rPr>
                <w:bCs/>
                <w:b/>
              </w:rPr>
              <w:t xml:space="preserve">Total (generic / FS)</w:t>
            </w:r>
          </w:p>
        </w:tc>
        <w:tc>
          <w:tcPr/>
          <w:p>
            <w:pPr>
              <w:pStyle w:val="Compact"/>
              <w:jc w:val="right"/>
            </w:pPr>
            <w:r>
              <w:rPr>
                <w:bCs/>
                <w:b/>
              </w:rPr>
              <w:t xml:space="preserve">2.95 / 2.90</w:t>
            </w:r>
          </w:p>
        </w:tc>
        <w:tc>
          <w:tcPr/>
          <w:p>
            <w:pPr>
              <w:pStyle w:val="Compact"/>
            </w:pPr>
          </w:p>
        </w:tc>
      </w:tr>
    </w:tbl>
    <w:p>
      <w:pPr>
        <w:pStyle w:val="BodyText"/>
      </w:pPr>
      <w:r>
        <w:rPr>
          <w:bCs/>
          <w:b/>
        </w:rPr>
        <w:t xml:space="preserve">Capabilities.</w:t>
      </w:r>
      <w:r>
        <w:t xml:space="preserve"> </w:t>
      </w:r>
      <w:r>
        <w:t xml:space="preserve">Cloud cost management platform that ingests cloud and AI-provider billing (Anthropic tokens by model, workspace, API key and service tier; Claude Enterprise; OpenAI tokens by model and operation), allocates it via virtual tagging and hierarchical allocation, normalises AI spend with Managed AI Tags (model, provider, token type) and exposes data through an API and an MCP server; its internal schema maps to FOCUS</w:t>
      </w:r>
      <w:r>
        <w:t xml:space="preserve"> </w:t>
      </w:r>
      <w:r>
        <w:rPr>
          <w:rStyle w:val="ClaimLabel"/>
        </w:rPr>
        <w:t xml:space="preserve">VF</w:t>
      </w:r>
      <w:r>
        <w:rPr>
          <w:rStyle w:val="FootnoteReference"/>
        </w:rPr>
        <w:footnoteReference w:id="2278"/>
      </w:r>
      <w:r>
        <w:t xml:space="preserve">.</w:t>
      </w:r>
    </w:p>
    <w:p>
      <w:pPr>
        <w:pStyle w:val="BodyText"/>
      </w:pPr>
      <w:r>
        <w:rPr>
          <w:bCs/>
          <w:b/>
        </w:rPr>
        <w:t xml:space="preserve">Strengths</w:t>
      </w:r>
    </w:p>
    <w:p>
      <w:pPr>
        <w:numPr>
          <w:ilvl w:val="0"/>
          <w:numId w:val="1497"/>
        </w:numPr>
        <w:pStyle w:val="Compact"/>
      </w:pPr>
      <w:r>
        <w:t xml:space="preserve">Direct AI-provider integrations, with Anthropic GA September 2025 and Claude Enterprise added July 2026</w:t>
      </w:r>
      <w:r>
        <w:t xml:space="preserve"> </w:t>
      </w:r>
      <w:r>
        <w:rPr>
          <w:rStyle w:val="ClaimLabel"/>
        </w:rPr>
        <w:t xml:space="preserve">VF</w:t>
      </w:r>
      <w:r>
        <w:rPr>
          <w:rStyle w:val="FootnoteReference"/>
        </w:rPr>
        <w:footnoteReference w:id="2280"/>
      </w:r>
    </w:p>
    <w:p>
      <w:pPr>
        <w:numPr>
          <w:ilvl w:val="0"/>
          <w:numId w:val="1497"/>
        </w:numPr>
        <w:pStyle w:val="Compact"/>
      </w:pPr>
      <w:r>
        <w:t xml:space="preserve">Managed AI Tags normalise model, provider and token type across providers at no extra cost</w:t>
      </w:r>
      <w:r>
        <w:t xml:space="preserve"> </w:t>
      </w:r>
      <w:r>
        <w:rPr>
          <w:rStyle w:val="ClaimLabel"/>
        </w:rPr>
        <w:t xml:space="preserve">VF</w:t>
      </w:r>
      <w:r>
        <w:rPr>
          <w:rStyle w:val="FootnoteReference"/>
        </w:rPr>
        <w:footnoteReference w:id="2281"/>
      </w:r>
    </w:p>
    <w:p>
      <w:pPr>
        <w:numPr>
          <w:ilvl w:val="0"/>
          <w:numId w:val="1497"/>
        </w:numPr>
        <w:pStyle w:val="Compact"/>
      </w:pPr>
      <w:r>
        <w:t xml:space="preserve">SOC 1 Type 2 and SOC 2 Type 2 (reports on request) and self-service SAML SSO</w:t>
      </w:r>
      <w:r>
        <w:t xml:space="preserve"> </w:t>
      </w:r>
      <w:r>
        <w:rPr>
          <w:rStyle w:val="ClaimLabel"/>
        </w:rPr>
        <w:t xml:space="preserve">VF</w:t>
      </w:r>
      <w:r>
        <w:rPr>
          <w:rStyle w:val="FootnoteReference"/>
        </w:rPr>
        <w:footnoteReference w:id="2282"/>
      </w:r>
    </w:p>
    <w:p>
      <w:pPr>
        <w:numPr>
          <w:ilvl w:val="0"/>
          <w:numId w:val="1497"/>
        </w:numPr>
        <w:pStyle w:val="Compact"/>
      </w:pPr>
      <w:r>
        <w:t xml:space="preserve">Schema mapped to FOCUS</w:t>
      </w:r>
      <w:r>
        <w:t xml:space="preserve"> </w:t>
      </w:r>
      <w:r>
        <w:rPr>
          <w:rStyle w:val="ClaimLabel"/>
        </w:rPr>
        <w:t xml:space="preserve">VF</w:t>
      </w:r>
      <w:r>
        <w:rPr>
          <w:rStyle w:val="FootnoteReference"/>
        </w:rPr>
        <w:footnoteReference w:id="2284"/>
      </w:r>
    </w:p>
    <w:p>
      <w:pPr>
        <w:pStyle w:val="FirstParagraph"/>
      </w:pPr>
      <w:r>
        <w:rPr>
          <w:bCs/>
          <w:b/>
        </w:rPr>
        <w:t xml:space="preserve">Limitations and risks</w:t>
      </w:r>
    </w:p>
    <w:p>
      <w:pPr>
        <w:numPr>
          <w:ilvl w:val="0"/>
          <w:numId w:val="1498"/>
        </w:numPr>
        <w:pStyle w:val="Compact"/>
      </w:pPr>
      <w:r>
        <w:t xml:space="preserve">AI cost features are described in vendor blog posts</w:t>
      </w:r>
      <w:r>
        <w:t xml:space="preserve"> </w:t>
      </w:r>
      <w:r>
        <w:rPr>
          <w:rStyle w:val="ClaimLabel"/>
        </w:rPr>
        <w:t xml:space="preserve">VF</w:t>
      </w:r>
      <w:r>
        <w:rPr>
          <w:rStyle w:val="FootnoteReference"/>
        </w:rPr>
        <w:footnoteReference w:id="2285"/>
      </w:r>
    </w:p>
    <w:p>
      <w:pPr>
        <w:numPr>
          <w:ilvl w:val="0"/>
          <w:numId w:val="1498"/>
        </w:numPr>
        <w:pStyle w:val="Compact"/>
      </w:pPr>
      <w:r>
        <w:t xml:space="preserve">Anthropic integration uses an Admin API key, which has revocable read-write access</w:t>
      </w:r>
      <w:r>
        <w:t xml:space="preserve"> </w:t>
      </w:r>
      <w:r>
        <w:rPr>
          <w:rStyle w:val="ClaimLabel"/>
        </w:rPr>
        <w:t xml:space="preserve">VF</w:t>
      </w:r>
      <w:r>
        <w:rPr>
          <w:rStyle w:val="FootnoteReference"/>
        </w:rPr>
        <w:footnoteReference w:id="2286"/>
      </w:r>
    </w:p>
    <w:p>
      <w:pPr>
        <w:numPr>
          <w:ilvl w:val="0"/>
          <w:numId w:val="1498"/>
        </w:numPr>
        <w:pStyle w:val="Compact"/>
      </w:pPr>
      <w:r>
        <w:t xml:space="preserve">SaaS only; EU region, RBAC and audit logs not publicly verified</w:t>
      </w:r>
      <w:r>
        <w:t xml:space="preserve"> </w:t>
      </w:r>
      <w:r>
        <w:rPr>
          <w:rStyle w:val="ClaimLabel"/>
        </w:rPr>
        <w:t xml:space="preserve">NPV</w:t>
      </w:r>
    </w:p>
    <w:p>
      <w:pPr>
        <w:numPr>
          <w:ilvl w:val="0"/>
          <w:numId w:val="1498"/>
        </w:numPr>
        <w:pStyle w:val="Compact"/>
      </w:pPr>
      <w:r>
        <w:t xml:space="preserve">Billing data is per provider account, not per task; cost per commentary still needs gateway and trace data</w:t>
      </w:r>
      <w:r>
        <w:t xml:space="preserve"> </w:t>
      </w:r>
      <w:r>
        <w:rPr>
          <w:rStyle w:val="ClaimLabel"/>
        </w:rPr>
        <w:t xml:space="preserve">AJ</w:t>
      </w:r>
    </w:p>
    <w:p>
      <w:pPr>
        <w:pStyle w:val="FirstParagraph"/>
      </w:pPr>
      <w:r>
        <w:rPr>
          <w:bCs/>
          <w:b/>
        </w:rPr>
        <w:t xml:space="preserve">Choose when</w:t>
      </w:r>
    </w:p>
    <w:p>
      <w:pPr>
        <w:numPr>
          <w:ilvl w:val="0"/>
          <w:numId w:val="1499"/>
        </w:numPr>
        <w:pStyle w:val="Compact"/>
      </w:pPr>
      <w:r>
        <w:t xml:space="preserve">Vantage is already the cloud FinOps tool and you want AI provider spend in the same allocation and showback model</w:t>
      </w:r>
      <w:r>
        <w:t xml:space="preserve"> </w:t>
      </w:r>
      <w:r>
        <w:rPr>
          <w:rStyle w:val="ClaimLabel"/>
        </w:rPr>
        <w:t xml:space="preserve">AJ</w:t>
      </w:r>
    </w:p>
    <w:p>
      <w:pPr>
        <w:pStyle w:val="FirstParagraph"/>
      </w:pPr>
      <w:r>
        <w:rPr>
          <w:bCs/>
          <w:b/>
        </w:rPr>
        <w:t xml:space="preserve">Avoid when</w:t>
      </w:r>
    </w:p>
    <w:p>
      <w:pPr>
        <w:numPr>
          <w:ilvl w:val="0"/>
          <w:numId w:val="1500"/>
        </w:numPr>
        <w:pStyle w:val="Compact"/>
      </w:pPr>
      <w:r>
        <w:t xml:space="preserve">You cannot accept a third party holding a read-write provider admin key</w:t>
      </w:r>
      <w:r>
        <w:t xml:space="preserve"> </w:t>
      </w:r>
      <w:r>
        <w:rPr>
          <w:rStyle w:val="ClaimLabel"/>
        </w:rPr>
        <w:t xml:space="preserve">AJ</w:t>
      </w:r>
    </w:p>
    <w:p>
      <w:pPr>
        <w:numPr>
          <w:ilvl w:val="0"/>
          <w:numId w:val="1500"/>
        </w:numPr>
        <w:pStyle w:val="Compact"/>
      </w:pPr>
      <w:r>
        <w:t xml:space="preserve">You need per-request or per-task attribution, which belongs to the gateway</w:t>
      </w:r>
      <w:r>
        <w:t xml:space="preserve"> </w:t>
      </w:r>
      <w:r>
        <w:rPr>
          <w:rStyle w:val="ClaimLabel"/>
        </w:rPr>
        <w:t xml:space="preserve">AJ</w:t>
      </w:r>
    </w:p>
    <w:p>
      <w:pPr>
        <w:pStyle w:val="FirstParagraph"/>
      </w:pPr>
      <w:r>
        <w:rPr>
          <w:bCs/>
          <w:b/>
        </w:rPr>
        <w:t xml:space="preserve">Nearest competitors:</w:t>
      </w:r>
      <w:r>
        <w:t xml:space="preserve"> </w:t>
      </w:r>
      <w:r>
        <w:t xml:space="preserve">C6-cloudzero, C6-gateway-cost-attribution, C6-finops-focus</w:t>
      </w:r>
    </w:p>
    <w:p>
      <w:pPr>
        <w:pStyle w:val="BodyText"/>
      </w:pPr>
      <w:r>
        <w:rPr>
          <w:bCs/>
          <w:b/>
        </w:rPr>
        <w:t xml:space="preserve">Regulated-FS note.</w:t>
      </w:r>
      <w:r>
        <w:t xml:space="preserve"> </w:t>
      </w:r>
      <w:r>
        <w:t xml:space="preserve">Treat it as the showback and chargeback reporting layer, fed by provider billing and gateway exports; assess the admin-key access under C4 and C7 and the platform under the outsourcing register</w:t>
      </w:r>
      <w:r>
        <w:t xml:space="preserve"> </w:t>
      </w:r>
      <w:r>
        <w:rPr>
          <w:rStyle w:val="ClaimLabel"/>
        </w:rPr>
        <w:t xml:space="preserve">Rec</w:t>
      </w:r>
      <w:r>
        <w:t xml:space="preserve">.</w:t>
      </w:r>
    </w:p>
    <w:p>
      <w:pPr>
        <w:pStyle w:val="BodyText"/>
      </w:pPr>
      <w:r>
        <w:rPr>
          <w:bCs/>
          <w:b/>
        </w:rPr>
        <w:t xml:space="preserve">Facts (as of 2026-10-07)</w:t>
      </w:r>
    </w:p>
    <w:tbl>
      <w:tblPr>
        <w:tblStyle w:val="Table"/>
        <w:tblW w:type="pct" w:w="5000"/>
        <w:tblLook w:firstRow="1" w:lastRow="0" w:firstColumn="0" w:lastColumn="0" w:noHBand="0" w:noVBand="0" w:val="0020"/>
        <w:jc w:val="start"/>
      </w:tblPr>
      <w:tblGrid>
        <w:gridCol w:w="1485"/>
        <w:gridCol w:w="4290"/>
        <w:gridCol w:w="1320"/>
        <w:gridCol w:w="825"/>
      </w:tblGrid>
      <w:tr>
        <w:trPr>
          <w:tblHeader w:val="true"/>
        </w:trPr>
        <w:tc>
          <w:tcPr/>
          <w:p>
            <w:pPr>
              <w:pStyle w:val="Compact"/>
              <w:jc w:val="left"/>
            </w:pPr>
            <w:r>
              <w:t xml:space="preserve">Field</w:t>
            </w:r>
          </w:p>
        </w:tc>
        <w:tc>
          <w:tcPr/>
          <w:p>
            <w:pPr>
              <w:pStyle w:val="Compact"/>
              <w:jc w:val="left"/>
            </w:pPr>
            <w:r>
              <w:t xml:space="preserve">Value</w:t>
            </w:r>
          </w:p>
        </w:tc>
        <w:tc>
          <w:tcPr/>
          <w:p>
            <w:pPr>
              <w:pStyle w:val="Compact"/>
              <w:jc w:val="left"/>
            </w:pPr>
            <w:r>
              <w:t xml:space="preserve">Label</w:t>
            </w:r>
          </w:p>
        </w:tc>
        <w:tc>
          <w:tcPr/>
          <w:p>
            <w:pPr>
              <w:pStyle w:val="Compact"/>
              <w:jc w:val="left"/>
            </w:pPr>
            <w:r>
              <w:t xml:space="preserve">Sources</w:t>
            </w:r>
          </w:p>
        </w:tc>
      </w:tr>
      <w:tr>
        <w:tc>
          <w:tcPr/>
          <w:p>
            <w:pPr>
              <w:pStyle w:val="Compact"/>
              <w:jc w:val="left"/>
            </w:pPr>
            <w:r>
              <w:t xml:space="preserve">Company</w:t>
            </w:r>
          </w:p>
        </w:tc>
        <w:tc>
          <w:tcPr/>
          <w:p>
            <w:pPr>
              <w:pStyle w:val="Compact"/>
              <w:jc w:val="left"/>
            </w:pPr>
            <w:r>
              <w:t xml:space="preserve">Vantage (vantage.sh)</w:t>
            </w:r>
          </w:p>
        </w:tc>
        <w:tc>
          <w:tcPr/>
          <w:p>
            <w:pPr>
              <w:pStyle w:val="Compact"/>
              <w:jc w:val="left"/>
            </w:pPr>
            <w:r>
              <w:t xml:space="preserve">Verified fact</w:t>
            </w:r>
          </w:p>
        </w:tc>
        <w:tc>
          <w:tcPr/>
          <w:p>
            <w:pPr>
              <w:pStyle w:val="Compact"/>
              <w:jc w:val="left"/>
            </w:pPr>
            <w:r>
              <w:t xml:space="preserve">A7-S090</w:t>
            </w:r>
          </w:p>
        </w:tc>
      </w:tr>
      <w:tr>
        <w:tc>
          <w:tcPr/>
          <w:p>
            <w:pPr>
              <w:pStyle w:val="Compact"/>
              <w:jc w:val="left"/>
            </w:pPr>
            <w:r>
              <w:t xml:space="preserve">Category</w:t>
            </w:r>
          </w:p>
        </w:tc>
        <w:tc>
          <w:tcPr/>
          <w:p>
            <w:pPr>
              <w:pStyle w:val="Compact"/>
              <w:jc w:val="left"/>
            </w:pPr>
            <w:r>
              <w:t xml:space="preserve">Cloud cost management / FinOps platform</w:t>
            </w:r>
          </w:p>
        </w:tc>
        <w:tc>
          <w:tcPr/>
          <w:p>
            <w:pPr>
              <w:pStyle w:val="Compact"/>
              <w:jc w:val="left"/>
            </w:pPr>
            <w:r>
              <w:t xml:space="preserve">Verified fact</w:t>
            </w:r>
          </w:p>
        </w:tc>
        <w:tc>
          <w:tcPr/>
          <w:p>
            <w:pPr>
              <w:pStyle w:val="Compact"/>
              <w:jc w:val="left"/>
            </w:pPr>
            <w:r>
              <w:t xml:space="preserve">A7-S090</w:t>
            </w:r>
          </w:p>
        </w:tc>
      </w:tr>
      <w:tr>
        <w:tc>
          <w:tcPr/>
          <w:p>
            <w:pPr>
              <w:pStyle w:val="Compact"/>
              <w:jc w:val="left"/>
            </w:pPr>
            <w:r>
              <w:t xml:space="preserve">Version / lineup</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Licence</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Strategic direction</w:t>
            </w:r>
          </w:p>
        </w:tc>
        <w:tc>
          <w:tcPr/>
          <w:p>
            <w:pPr>
              <w:pStyle w:val="Compact"/>
              <w:jc w:val="left"/>
            </w:pPr>
            <w:r>
              <w:t xml:space="preserve">AI cost management: native Anthropic API (GA September 2025), Claude Enterprise (July 2026) and OpenAI integrations; Managed AI Tags (vntg:ai: model, provider, token type) normalise AI spend across providers; hosted MCP server (OAuth 2.1) for cost queries</w:t>
            </w:r>
          </w:p>
        </w:tc>
        <w:tc>
          <w:tcPr/>
          <w:p>
            <w:pPr>
              <w:pStyle w:val="Compact"/>
              <w:jc w:val="left"/>
            </w:pPr>
            <w:r>
              <w:t xml:space="preserve">Verified fact</w:t>
            </w:r>
          </w:p>
        </w:tc>
        <w:tc>
          <w:tcPr/>
          <w:p>
            <w:pPr>
              <w:pStyle w:val="Compact"/>
              <w:jc w:val="left"/>
            </w:pPr>
            <w:r>
              <w:t xml:space="preserve">A7-S113, A7-S090</w:t>
            </w:r>
          </w:p>
        </w:tc>
      </w:tr>
      <w:tr>
        <w:tc>
          <w:tcPr/>
          <w:p>
            <w:pPr>
              <w:pStyle w:val="Compact"/>
              <w:jc w:val="left"/>
            </w:pPr>
            <w:r>
              <w:t xml:space="preserve">What it does</w:t>
            </w:r>
          </w:p>
        </w:tc>
        <w:tc>
          <w:tcPr/>
          <w:p>
            <w:pPr>
              <w:pStyle w:val="Compact"/>
              <w:jc w:val="left"/>
            </w:pPr>
            <w:r>
              <w:t xml:space="preserve">Ingests cloud and AI-provider billing (token counts by model, workspace, API key, service tier for Anthropic; by model and operation for OpenAI) and allocates costs via virtual tagging and hierarchical allocation; exposes data through API and MCP.</w:t>
            </w:r>
          </w:p>
        </w:tc>
        <w:tc>
          <w:tcPr/>
          <w:p>
            <w:pPr>
              <w:pStyle w:val="Compact"/>
              <w:jc w:val="left"/>
            </w:pPr>
            <w:r>
              <w:t xml:space="preserve">Verified fact</w:t>
            </w:r>
          </w:p>
        </w:tc>
        <w:tc>
          <w:tcPr/>
          <w:p>
            <w:pPr>
              <w:pStyle w:val="Compact"/>
              <w:jc w:val="left"/>
            </w:pPr>
            <w:r>
              <w:t xml:space="preserve">A7-S113, A7-S090</w:t>
            </w:r>
          </w:p>
        </w:tc>
      </w:tr>
      <w:tr>
        <w:tc>
          <w:tcPr/>
          <w:p>
            <w:pPr>
              <w:pStyle w:val="Compact"/>
              <w:jc w:val="left"/>
            </w:pPr>
            <w:r>
              <w:t xml:space="preserve">Stack position</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Integration</w:t>
            </w:r>
          </w:p>
        </w:tc>
        <w:tc>
          <w:tcPr/>
          <w:p>
            <w:pPr>
              <w:pStyle w:val="Compact"/>
              <w:jc w:val="left"/>
            </w:pPr>
            <w:r>
              <w:t xml:space="preserve">Provider admin API keys (Anthropic Admin API, Claude Enterprise Analytics API), cloud billing integrations; Vantage API and MCP server; internal VQL schema maps to FOCUS</w:t>
            </w:r>
          </w:p>
        </w:tc>
        <w:tc>
          <w:tcPr/>
          <w:p>
            <w:pPr>
              <w:pStyle w:val="Compact"/>
              <w:jc w:val="left"/>
            </w:pPr>
            <w:r>
              <w:t xml:space="preserve">Verified fact</w:t>
            </w:r>
          </w:p>
        </w:tc>
        <w:tc>
          <w:tcPr/>
          <w:p>
            <w:pPr>
              <w:pStyle w:val="Compact"/>
              <w:jc w:val="left"/>
            </w:pPr>
            <w:r>
              <w:t xml:space="preserve">A7-S113, A7-S090</w:t>
            </w:r>
          </w:p>
        </w:tc>
      </w:tr>
      <w:tr>
        <w:tc>
          <w:tcPr/>
          <w:p>
            <w:pPr>
              <w:pStyle w:val="Compact"/>
              <w:jc w:val="left"/>
            </w:pPr>
            <w:r>
              <w:t xml:space="preserve">Dependencies</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Certifications</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GDPR / residency</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Security features</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Access controls</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Enterprise support</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Pricing</w:t>
            </w:r>
          </w:p>
        </w:tc>
        <w:tc>
          <w:tcPr/>
          <w:p>
            <w:pPr>
              <w:pStyle w:val="Compact"/>
              <w:jc w:val="left"/>
            </w:pPr>
            <w:r>
              <w:t xml:space="preserve">Managed AI Tags at no additional cost; AI provider costs count toward Vantage quota tiers (tier prices not verified)</w:t>
            </w:r>
          </w:p>
        </w:tc>
        <w:tc>
          <w:tcPr/>
          <w:p>
            <w:pPr>
              <w:pStyle w:val="Compact"/>
              <w:jc w:val="left"/>
            </w:pPr>
            <w:r>
              <w:t xml:space="preserve">Verified fact</w:t>
            </w:r>
          </w:p>
        </w:tc>
        <w:tc>
          <w:tcPr/>
          <w:p>
            <w:pPr>
              <w:pStyle w:val="Compact"/>
              <w:jc w:val="left"/>
            </w:pPr>
            <w:r>
              <w:t xml:space="preserve">A7-S113</w:t>
            </w:r>
          </w:p>
        </w:tc>
      </w:tr>
      <w:tr>
        <w:tc>
          <w:tcPr/>
          <w:p>
            <w:pPr>
              <w:pStyle w:val="Compact"/>
              <w:jc w:val="left"/>
            </w:pPr>
            <w:r>
              <w:t xml:space="preserve">Infrastructure cost</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Ecosystem</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Adoption signals</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Maturity</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Deployment</w:t>
            </w:r>
          </w:p>
        </w:tc>
        <w:tc>
          <w:tcPr/>
          <w:p>
            <w:pPr>
              <w:pStyle w:val="Compact"/>
              <w:jc w:val="left"/>
            </w:pPr>
            <w:r>
              <w:t xml:space="preserve">saas: Yes; managed_cloud: Not publicly verified; vpc_byoc: Not publicly verified; private_cloud: Not publicly verified; self_hosted: Not publicly verified; on_prem: Not publicly verified</w:t>
            </w:r>
          </w:p>
        </w:tc>
        <w:tc>
          <w:tcPr/>
          <w:p>
            <w:pPr>
              <w:pStyle w:val="Compact"/>
            </w:pPr>
          </w:p>
        </w:tc>
        <w:tc>
          <w:tcPr/>
          <w:p>
            <w:pPr>
              <w:pStyle w:val="Compact"/>
            </w:pPr>
          </w:p>
        </w:tc>
      </w:tr>
    </w:tbl>
    <w:bookmarkEnd w:id="2287"/>
    <w:bookmarkStart w:id="2298" w:name="cloudzero-c6-cloudzero"/>
    <w:p>
      <w:pPr>
        <w:pStyle w:val="Heading2"/>
      </w:pPr>
      <w:r>
        <w:t xml:space="preserve">CloudZero (</w:t>
      </w:r>
      <w:r>
        <w:rPr>
          <w:rStyle w:val="VerbatimChar"/>
        </w:rPr>
        <w:t xml:space="preserve">C6-cloudzero</w:t>
      </w:r>
      <w:r>
        <w:t xml:space="preserve">)</w:t>
      </w:r>
    </w:p>
    <w:p>
      <w:pPr>
        <w:pStyle w:val="FirstParagraph"/>
      </w:pPr>
      <w:r>
        <w:rPr>
          <w:bCs/>
          <w:b/>
        </w:rPr>
        <w:t xml:space="preserve">Tier:</w:t>
      </w:r>
      <w:r>
        <w:t xml:space="preserve"> </w:t>
      </w:r>
      <w:r>
        <w:t xml:space="preserve">Tactical ·</w:t>
      </w:r>
      <w:r>
        <w:t xml:space="preserve"> </w:t>
      </w:r>
      <w:r>
        <w:rPr>
          <w:bCs/>
          <w:b/>
        </w:rPr>
        <w:t xml:space="preserve">Flags:</w:t>
      </w:r>
      <w:r>
        <w:t xml:space="preserve"> </w:t>
      </w:r>
      <w:r>
        <w:t xml:space="preserve">none ·</w:t>
      </w:r>
      <w:r>
        <w:t xml:space="preserve"> </w:t>
      </w:r>
      <w:r>
        <w:rPr>
          <w:bCs/>
          <w:b/>
        </w:rPr>
        <w:t xml:space="preserve">Original graphic label:</w:t>
      </w:r>
      <w:r>
        <w:t xml:space="preserve"> </w:t>
      </w:r>
      <w:r>
        <w:t xml:space="preserve">not in graphic</w:t>
      </w:r>
    </w:p>
    <w:p>
      <w:pPr>
        <w:pStyle w:val="BodyText"/>
      </w:pPr>
      <w:r>
        <w:rPr>
          <w:iCs/>
          <w:i/>
        </w:rPr>
        <w:t xml:space="preserve">Rationale:</w:t>
      </w:r>
      <w:r>
        <w:t xml:space="preserve"> </w:t>
      </w:r>
      <w:r>
        <w:t xml:space="preserve">Credible allocation features and SOC 2, but SaaS-only, proprietary allocation logic, unverified pricing and vendor-described AI claims</w:t>
      </w:r>
      <w:r>
        <w:t xml:space="preserve"> </w:t>
      </w:r>
      <w:r>
        <w:rPr>
          <w:rStyle w:val="ClaimLabel"/>
        </w:rPr>
        <w:t xml:space="preserve">AJ</w:t>
      </w:r>
      <w:r>
        <w:t xml:space="preserve">.</w:t>
      </w:r>
    </w:p>
    <w:tbl>
      <w:tblPr>
        <w:tblStyle w:val="Table"/>
        <w:tblW w:type="pct" w:w="5000"/>
        <w:tblLook w:firstRow="1" w:lastRow="0" w:firstColumn="0" w:lastColumn="0" w:noHBand="0" w:noVBand="0" w:val="0020"/>
        <w:jc w:val="start"/>
      </w:tblPr>
      <w:tblGrid>
        <w:gridCol w:w="1545"/>
        <w:gridCol w:w="579"/>
        <w:gridCol w:w="5795"/>
      </w:tblGrid>
      <w:tr>
        <w:trPr>
          <w:tblHeader w:val="true"/>
        </w:trPr>
        <w:tc>
          <w:tcPr/>
          <w:p>
            <w:pPr>
              <w:pStyle w:val="Compact"/>
              <w:jc w:val="left"/>
            </w:pPr>
            <w:r>
              <w:t xml:space="preserve">Criterion</w:t>
            </w:r>
          </w:p>
        </w:tc>
        <w:tc>
          <w:tcPr/>
          <w:p>
            <w:pPr>
              <w:pStyle w:val="Compact"/>
              <w:jc w:val="right"/>
            </w:pPr>
            <w:r>
              <w:t xml:space="preserve">Score</w:t>
            </w:r>
          </w:p>
        </w:tc>
        <w:tc>
          <w:tcPr/>
          <w:p>
            <w:pPr>
              <w:pStyle w:val="Compact"/>
              <w:jc w:val="left"/>
            </w:pPr>
            <w:r>
              <w:t xml:space="preserve">Rationale</w:t>
            </w:r>
          </w:p>
        </w:tc>
      </w:tr>
      <w:tr>
        <w:tc>
          <w:tcPr/>
          <w:p>
            <w:pPr>
              <w:pStyle w:val="Compact"/>
              <w:jc w:val="left"/>
            </w:pPr>
            <w:r>
              <w:t xml:space="preserve">Technical</w:t>
            </w:r>
          </w:p>
        </w:tc>
        <w:tc>
          <w:tcPr/>
          <w:p>
            <w:pPr>
              <w:pStyle w:val="Compact"/>
              <w:jc w:val="right"/>
            </w:pPr>
            <w:r>
              <w:t xml:space="preserve">3</w:t>
            </w:r>
          </w:p>
        </w:tc>
        <w:tc>
          <w:tcPr/>
          <w:p>
            <w:pPr>
              <w:pStyle w:val="Compact"/>
              <w:jc w:val="left"/>
            </w:pPr>
            <w:r>
              <w:t xml:space="preserve">Token-level ingestion across four AI sources and allocation by customer, feature and team; claims are vendor blog posts.</w:t>
            </w:r>
          </w:p>
        </w:tc>
      </w:tr>
      <w:tr>
        <w:tc>
          <w:tcPr/>
          <w:p>
            <w:pPr>
              <w:pStyle w:val="Compact"/>
              <w:jc w:val="left"/>
            </w:pPr>
            <w:r>
              <w:t xml:space="preserve">Enterprise readiness</w:t>
            </w:r>
          </w:p>
        </w:tc>
        <w:tc>
          <w:tcPr/>
          <w:p>
            <w:pPr>
              <w:pStyle w:val="Compact"/>
              <w:jc w:val="right"/>
            </w:pPr>
            <w:r>
              <w:t xml:space="preserve">3</w:t>
            </w:r>
          </w:p>
        </w:tc>
        <w:tc>
          <w:tcPr/>
          <w:p>
            <w:pPr>
              <w:pStyle w:val="Compact"/>
              <w:jc w:val="left"/>
            </w:pPr>
            <w:r>
              <w:t xml:space="preserve">SAML SSO and role-based data access verified; audit logs not verified; max 3 under CP2 Q2.</w:t>
            </w:r>
          </w:p>
        </w:tc>
      </w:tr>
      <w:tr>
        <w:tc>
          <w:tcPr/>
          <w:p>
            <w:pPr>
              <w:pStyle w:val="Compact"/>
              <w:jc w:val="left"/>
            </w:pPr>
            <w:r>
              <w:t xml:space="preserve">Security and compliance</w:t>
            </w:r>
          </w:p>
        </w:tc>
        <w:tc>
          <w:tcPr/>
          <w:p>
            <w:pPr>
              <w:pStyle w:val="Compact"/>
              <w:jc w:val="right"/>
            </w:pPr>
            <w:r>
              <w:t xml:space="preserve">3</w:t>
            </w:r>
          </w:p>
        </w:tc>
        <w:tc>
          <w:tcPr/>
          <w:p>
            <w:pPr>
              <w:pStyle w:val="Compact"/>
              <w:jc w:val="left"/>
            </w:pPr>
            <w:r>
              <w:t xml:space="preserve">SOC 2 Type 2 and SOC 1 Type 2 listed; no ISO 27001 found.</w:t>
            </w:r>
          </w:p>
        </w:tc>
      </w:tr>
      <w:tr>
        <w:tc>
          <w:tcPr/>
          <w:p>
            <w:pPr>
              <w:pStyle w:val="Compact"/>
              <w:jc w:val="left"/>
            </w:pPr>
            <w:r>
              <w:t xml:space="preserve">Deployment flexibility</w:t>
            </w:r>
          </w:p>
        </w:tc>
        <w:tc>
          <w:tcPr/>
          <w:p>
            <w:pPr>
              <w:pStyle w:val="Compact"/>
              <w:jc w:val="right"/>
            </w:pPr>
            <w:r>
              <w:t xml:space="preserve">2</w:t>
            </w:r>
          </w:p>
        </w:tc>
        <w:tc>
          <w:tcPr/>
          <w:p>
            <w:pPr>
              <w:pStyle w:val="Compact"/>
              <w:jc w:val="left"/>
            </w:pPr>
            <w:r>
              <w:t xml:space="preserve">SaaS receiving telemetry; regions not verified.</w:t>
            </w:r>
          </w:p>
        </w:tc>
      </w:tr>
      <w:tr>
        <w:tc>
          <w:tcPr/>
          <w:p>
            <w:pPr>
              <w:pStyle w:val="Compact"/>
              <w:jc w:val="left"/>
            </w:pPr>
            <w:r>
              <w:t xml:space="preserve">Ecosystem</w:t>
            </w:r>
          </w:p>
        </w:tc>
        <w:tc>
          <w:tcPr/>
          <w:p>
            <w:pPr>
              <w:pStyle w:val="Compact"/>
              <w:jc w:val="right"/>
            </w:pPr>
            <w:r>
              <w:t xml:space="preserve">3</w:t>
            </w:r>
          </w:p>
        </w:tc>
        <w:tc>
          <w:tcPr/>
          <w:p>
            <w:pPr>
              <w:pStyle w:val="Compact"/>
              <w:jc w:val="left"/>
            </w:pPr>
            <w:r>
              <w:t xml:space="preserve">Integrations for major AI providers and clouds plus a Kubernetes agent; FOCUS not evidenced.</w:t>
            </w:r>
          </w:p>
        </w:tc>
      </w:tr>
      <w:tr>
        <w:tc>
          <w:tcPr/>
          <w:p>
            <w:pPr>
              <w:pStyle w:val="Compact"/>
              <w:jc w:val="left"/>
            </w:pPr>
            <w:r>
              <w:t xml:space="preserve">Reliability and maturity</w:t>
            </w:r>
          </w:p>
        </w:tc>
        <w:tc>
          <w:tcPr/>
          <w:p>
            <w:pPr>
              <w:pStyle w:val="Compact"/>
              <w:jc w:val="right"/>
            </w:pPr>
            <w:r>
              <w:t xml:space="preserve">3</w:t>
            </w:r>
          </w:p>
        </w:tc>
        <w:tc>
          <w:tcPr/>
          <w:p>
            <w:pPr>
              <w:pStyle w:val="Compact"/>
              <w:jc w:val="left"/>
            </w:pPr>
            <w:r>
              <w:t xml:space="preserve">Established cost vendor with SOC 1 since 2022; ownership and funding not verified.</w:t>
            </w:r>
          </w:p>
        </w:tc>
      </w:tr>
      <w:tr>
        <w:tc>
          <w:tcPr/>
          <w:p>
            <w:pPr>
              <w:pStyle w:val="Compact"/>
              <w:jc w:val="left"/>
            </w:pPr>
            <w:r>
              <w:t xml:space="preserve">Cost / TCO</w:t>
            </w:r>
          </w:p>
        </w:tc>
        <w:tc>
          <w:tcPr/>
          <w:p>
            <w:pPr>
              <w:pStyle w:val="Compact"/>
              <w:jc w:val="right"/>
            </w:pPr>
            <w:r>
              <w:t xml:space="preserve">2</w:t>
            </w:r>
          </w:p>
        </w:tc>
        <w:tc>
          <w:tcPr/>
          <w:p>
            <w:pPr>
              <w:pStyle w:val="Compact"/>
              <w:jc w:val="left"/>
            </w:pPr>
            <w:r>
              <w:t xml:space="preserve">Pricing not publicly verified.</w:t>
            </w:r>
          </w:p>
        </w:tc>
      </w:tr>
      <w:tr>
        <w:tc>
          <w:tcPr/>
          <w:p>
            <w:pPr>
              <w:pStyle w:val="Compact"/>
              <w:jc w:val="left"/>
            </w:pPr>
            <w:r>
              <w:t xml:space="preserve">Lock-in / portability</w:t>
            </w:r>
          </w:p>
        </w:tc>
        <w:tc>
          <w:tcPr/>
          <w:p>
            <w:pPr>
              <w:pStyle w:val="Compact"/>
              <w:jc w:val="right"/>
            </w:pPr>
            <w:r>
              <w:t xml:space="preserve">2</w:t>
            </w:r>
          </w:p>
        </w:tc>
        <w:tc>
          <w:tcPr/>
          <w:p>
            <w:pPr>
              <w:pStyle w:val="Compact"/>
              <w:jc w:val="left"/>
            </w:pPr>
            <w:r>
              <w:t xml:space="preserve">Proprietary allocation engine (CostFormation); export and FOCUS support not verified.</w:t>
            </w:r>
          </w:p>
        </w:tc>
      </w:tr>
      <w:tr>
        <w:tc>
          <w:tcPr/>
          <w:p>
            <w:pPr>
              <w:pStyle w:val="Compact"/>
              <w:jc w:val="left"/>
            </w:pPr>
            <w:r>
              <w:rPr>
                <w:bCs/>
                <w:b/>
              </w:rPr>
              <w:t xml:space="preserve">Total (generic / FS)</w:t>
            </w:r>
          </w:p>
        </w:tc>
        <w:tc>
          <w:tcPr/>
          <w:p>
            <w:pPr>
              <w:pStyle w:val="Compact"/>
              <w:jc w:val="right"/>
            </w:pPr>
            <w:r>
              <w:rPr>
                <w:bCs/>
                <w:b/>
              </w:rPr>
              <w:t xml:space="preserve">2.70 / 2.65</w:t>
            </w:r>
          </w:p>
        </w:tc>
        <w:tc>
          <w:tcPr/>
          <w:p>
            <w:pPr>
              <w:pStyle w:val="Compact"/>
            </w:pPr>
          </w:p>
        </w:tc>
      </w:tr>
    </w:tbl>
    <w:p>
      <w:pPr>
        <w:pStyle w:val="BodyText"/>
      </w:pPr>
      <w:r>
        <w:rPr>
          <w:bCs/>
          <w:b/>
        </w:rPr>
        <w:t xml:space="preserve">Capabilities.</w:t>
      </w:r>
      <w:r>
        <w:t xml:space="preserve"> </w:t>
      </w:r>
      <w:r>
        <w:t xml:space="preserve">Cloud cost intelligence platform that ingests token-level usage and cost from OpenAI, the Anthropic API, Amazon Bedrock (including Claude Platform on AWS) and Azure OpenAI, and allocates it by customer, feature, team, product and environment through its CostFormation engine; a Kubernetes agent supplies container telemetry</w:t>
      </w:r>
      <w:r>
        <w:t xml:space="preserve"> </w:t>
      </w:r>
      <w:r>
        <w:rPr>
          <w:rStyle w:val="ClaimLabel"/>
        </w:rPr>
        <w:t xml:space="preserve">VF</w:t>
      </w:r>
      <w:r>
        <w:rPr>
          <w:rStyle w:val="FootnoteReference"/>
        </w:rPr>
        <w:footnoteReference w:id="2288"/>
      </w:r>
      <w:r>
        <w:t xml:space="preserve">.</w:t>
      </w:r>
    </w:p>
    <w:p>
      <w:pPr>
        <w:pStyle w:val="BodyText"/>
      </w:pPr>
      <w:r>
        <w:rPr>
          <w:bCs/>
          <w:b/>
        </w:rPr>
        <w:t xml:space="preserve">Strengths</w:t>
      </w:r>
    </w:p>
    <w:p>
      <w:pPr>
        <w:numPr>
          <w:ilvl w:val="0"/>
          <w:numId w:val="1501"/>
        </w:numPr>
        <w:pStyle w:val="Compact"/>
      </w:pPr>
      <w:r>
        <w:t xml:space="preserve">Anthropic ingestion breaks out uncached input, cache hits, output and tool usage by model, workspace and API key (vendor statement)</w:t>
      </w:r>
      <w:r>
        <w:t xml:space="preserve"> </w:t>
      </w:r>
      <w:r>
        <w:rPr>
          <w:rStyle w:val="ClaimLabel"/>
        </w:rPr>
        <w:t xml:space="preserve">VF</w:t>
      </w:r>
      <w:r>
        <w:rPr>
          <w:rStyle w:val="FootnoteReference"/>
        </w:rPr>
        <w:footnoteReference w:id="2291"/>
      </w:r>
    </w:p>
    <w:p>
      <w:pPr>
        <w:numPr>
          <w:ilvl w:val="0"/>
          <w:numId w:val="1501"/>
        </w:numPr>
        <w:pStyle w:val="Compact"/>
      </w:pPr>
      <w:r>
        <w:t xml:space="preserve">Allocation by customer and feature supports unit economics</w:t>
      </w:r>
      <w:r>
        <w:t xml:space="preserve"> </w:t>
      </w:r>
      <w:r>
        <w:rPr>
          <w:rStyle w:val="ClaimLabel"/>
        </w:rPr>
        <w:t xml:space="preserve">VF</w:t>
      </w:r>
      <w:r>
        <w:rPr>
          <w:rStyle w:val="FootnoteReference"/>
        </w:rPr>
        <w:footnoteReference w:id="2292"/>
      </w:r>
    </w:p>
    <w:p>
      <w:pPr>
        <w:numPr>
          <w:ilvl w:val="0"/>
          <w:numId w:val="1501"/>
        </w:numPr>
        <w:pStyle w:val="Compact"/>
      </w:pPr>
      <w:r>
        <w:t xml:space="preserve">SOC 1 Type 2 and SOC 2 Type 2 listed in the Trust Center; SAML SSO with custom roles that scope data access and map to IdP groups</w:t>
      </w:r>
      <w:r>
        <w:t xml:space="preserve"> </w:t>
      </w:r>
      <w:r>
        <w:rPr>
          <w:rStyle w:val="ClaimLabel"/>
        </w:rPr>
        <w:t xml:space="preserve">VF</w:t>
      </w:r>
      <w:r>
        <w:rPr>
          <w:rStyle w:val="FootnoteReference"/>
        </w:rPr>
        <w:footnoteReference w:id="2293"/>
      </w:r>
    </w:p>
    <w:p>
      <w:pPr>
        <w:pStyle w:val="FirstParagraph"/>
      </w:pPr>
      <w:r>
        <w:rPr>
          <w:bCs/>
          <w:b/>
        </w:rPr>
        <w:t xml:space="preserve">Limitations and risks</w:t>
      </w:r>
    </w:p>
    <w:p>
      <w:pPr>
        <w:numPr>
          <w:ilvl w:val="0"/>
          <w:numId w:val="1502"/>
        </w:numPr>
        <w:pStyle w:val="Compact"/>
      </w:pPr>
      <w:r>
        <w:t xml:space="preserve">AI cost claims are from CloudZero’s own blog posts</w:t>
      </w:r>
      <w:r>
        <w:t xml:space="preserve"> </w:t>
      </w:r>
      <w:r>
        <w:rPr>
          <w:rStyle w:val="ClaimLabel"/>
        </w:rPr>
        <w:t xml:space="preserve">VF</w:t>
      </w:r>
      <w:r>
        <w:rPr>
          <w:rStyle w:val="FootnoteReference"/>
        </w:rPr>
        <w:footnoteReference w:id="2296"/>
      </w:r>
    </w:p>
    <w:p>
      <w:pPr>
        <w:numPr>
          <w:ilvl w:val="0"/>
          <w:numId w:val="1502"/>
        </w:numPr>
        <w:pStyle w:val="Compact"/>
      </w:pPr>
      <w:r>
        <w:t xml:space="preserve">No ISO 27001 found; SOC reports under NDA</w:t>
      </w:r>
      <w:r>
        <w:t xml:space="preserve"> </w:t>
      </w:r>
      <w:r>
        <w:rPr>
          <w:rStyle w:val="ClaimLabel"/>
        </w:rPr>
        <w:t xml:space="preserve">VF</w:t>
      </w:r>
      <w:r>
        <w:rPr>
          <w:rStyle w:val="FootnoteReference"/>
        </w:rPr>
        <w:footnoteReference w:id="2297"/>
      </w:r>
    </w:p>
    <w:p>
      <w:pPr>
        <w:numPr>
          <w:ilvl w:val="0"/>
          <w:numId w:val="1502"/>
        </w:numPr>
        <w:pStyle w:val="Compact"/>
      </w:pPr>
      <w:r>
        <w:t xml:space="preserve">Pricing, EU region and audit logs not publicly verified</w:t>
      </w:r>
      <w:r>
        <w:t xml:space="preserve"> </w:t>
      </w:r>
      <w:r>
        <w:rPr>
          <w:rStyle w:val="ClaimLabel"/>
        </w:rPr>
        <w:t xml:space="preserve">NPV</w:t>
      </w:r>
    </w:p>
    <w:p>
      <w:pPr>
        <w:numPr>
          <w:ilvl w:val="0"/>
          <w:numId w:val="1502"/>
        </w:numPr>
        <w:pStyle w:val="Compact"/>
      </w:pPr>
      <w:r>
        <w:t xml:space="preserve">Proprietary allocation engine; FOCUS support not evidenced</w:t>
      </w:r>
      <w:r>
        <w:t xml:space="preserve"> </w:t>
      </w:r>
      <w:r>
        <w:rPr>
          <w:rStyle w:val="ClaimLabel"/>
        </w:rPr>
        <w:t xml:space="preserve">NPV</w:t>
      </w:r>
    </w:p>
    <w:p>
      <w:pPr>
        <w:pStyle w:val="FirstParagraph"/>
      </w:pPr>
      <w:r>
        <w:rPr>
          <w:bCs/>
          <w:b/>
        </w:rPr>
        <w:t xml:space="preserve">Choose when</w:t>
      </w:r>
    </w:p>
    <w:p>
      <w:pPr>
        <w:numPr>
          <w:ilvl w:val="0"/>
          <w:numId w:val="1503"/>
        </w:numPr>
        <w:pStyle w:val="Compact"/>
      </w:pPr>
      <w:r>
        <w:t xml:space="preserve">CloudZero is already the cost platform and you want AI spend allocated by customer or product next to Kubernetes costs</w:t>
      </w:r>
      <w:r>
        <w:t xml:space="preserve"> </w:t>
      </w:r>
      <w:r>
        <w:rPr>
          <w:rStyle w:val="ClaimLabel"/>
        </w:rPr>
        <w:t xml:space="preserve">AJ</w:t>
      </w:r>
    </w:p>
    <w:p>
      <w:pPr>
        <w:pStyle w:val="FirstParagraph"/>
      </w:pPr>
      <w:r>
        <w:rPr>
          <w:bCs/>
          <w:b/>
        </w:rPr>
        <w:t xml:space="preserve">Avoid when</w:t>
      </w:r>
    </w:p>
    <w:p>
      <w:pPr>
        <w:numPr>
          <w:ilvl w:val="0"/>
          <w:numId w:val="1504"/>
        </w:numPr>
        <w:pStyle w:val="Compact"/>
      </w:pPr>
      <w:r>
        <w:t xml:space="preserve">Residency of billing metadata must be documented in the UK or EU</w:t>
      </w:r>
      <w:r>
        <w:t xml:space="preserve"> </w:t>
      </w:r>
      <w:r>
        <w:rPr>
          <w:rStyle w:val="ClaimLabel"/>
        </w:rPr>
        <w:t xml:space="preserve">AJ</w:t>
      </w:r>
    </w:p>
    <w:p>
      <w:pPr>
        <w:numPr>
          <w:ilvl w:val="0"/>
          <w:numId w:val="1504"/>
        </w:numPr>
        <w:pStyle w:val="Compact"/>
      </w:pPr>
      <w:r>
        <w:t xml:space="preserve">You want allocation rules in an open schema</w:t>
      </w:r>
      <w:r>
        <w:t xml:space="preserve"> </w:t>
      </w:r>
      <w:r>
        <w:rPr>
          <w:rStyle w:val="ClaimLabel"/>
        </w:rPr>
        <w:t xml:space="preserve">AJ</w:t>
      </w:r>
    </w:p>
    <w:p>
      <w:pPr>
        <w:pStyle w:val="FirstParagraph"/>
      </w:pPr>
      <w:r>
        <w:rPr>
          <w:bCs/>
          <w:b/>
        </w:rPr>
        <w:t xml:space="preserve">Nearest competitors:</w:t>
      </w:r>
      <w:r>
        <w:t xml:space="preserve"> </w:t>
      </w:r>
      <w:r>
        <w:t xml:space="preserve">C6-vantage, C6-gateway-cost-attribution, C6-finops-focus</w:t>
      </w:r>
    </w:p>
    <w:p>
      <w:pPr>
        <w:pStyle w:val="BodyText"/>
      </w:pPr>
      <w:r>
        <w:rPr>
          <w:bCs/>
          <w:b/>
        </w:rPr>
        <w:t xml:space="preserve">Regulated-FS note.</w:t>
      </w:r>
      <w:r>
        <w:t xml:space="preserve"> </w:t>
      </w:r>
      <w:r>
        <w:t xml:space="preserve">Use for showback where already contracted; keep the allocation rules documented outside the tool so chargeback survives an exit</w:t>
      </w:r>
      <w:r>
        <w:t xml:space="preserve"> </w:t>
      </w:r>
      <w:r>
        <w:rPr>
          <w:rStyle w:val="ClaimLabel"/>
        </w:rPr>
        <w:t xml:space="preserve">Rec</w:t>
      </w:r>
      <w:r>
        <w:t xml:space="preserve">.</w:t>
      </w:r>
    </w:p>
    <w:p>
      <w:pPr>
        <w:pStyle w:val="BodyText"/>
      </w:pPr>
      <w:r>
        <w:rPr>
          <w:bCs/>
          <w:b/>
        </w:rPr>
        <w:t xml:space="preserve">Facts (as of 2026-10-07)</w:t>
      </w:r>
    </w:p>
    <w:tbl>
      <w:tblPr>
        <w:tblStyle w:val="Table"/>
        <w:tblW w:type="pct" w:w="5000"/>
        <w:tblLook w:firstRow="1" w:lastRow="0" w:firstColumn="0" w:lastColumn="0" w:noHBand="0" w:noVBand="0" w:val="0020"/>
        <w:jc w:val="start"/>
      </w:tblPr>
      <w:tblGrid>
        <w:gridCol w:w="1485"/>
        <w:gridCol w:w="4290"/>
        <w:gridCol w:w="1320"/>
        <w:gridCol w:w="825"/>
      </w:tblGrid>
      <w:tr>
        <w:trPr>
          <w:tblHeader w:val="true"/>
        </w:trPr>
        <w:tc>
          <w:tcPr/>
          <w:p>
            <w:pPr>
              <w:pStyle w:val="Compact"/>
              <w:jc w:val="left"/>
            </w:pPr>
            <w:r>
              <w:t xml:space="preserve">Field</w:t>
            </w:r>
          </w:p>
        </w:tc>
        <w:tc>
          <w:tcPr/>
          <w:p>
            <w:pPr>
              <w:pStyle w:val="Compact"/>
              <w:jc w:val="left"/>
            </w:pPr>
            <w:r>
              <w:t xml:space="preserve">Value</w:t>
            </w:r>
          </w:p>
        </w:tc>
        <w:tc>
          <w:tcPr/>
          <w:p>
            <w:pPr>
              <w:pStyle w:val="Compact"/>
              <w:jc w:val="left"/>
            </w:pPr>
            <w:r>
              <w:t xml:space="preserve">Label</w:t>
            </w:r>
          </w:p>
        </w:tc>
        <w:tc>
          <w:tcPr/>
          <w:p>
            <w:pPr>
              <w:pStyle w:val="Compact"/>
              <w:jc w:val="left"/>
            </w:pPr>
            <w:r>
              <w:t xml:space="preserve">Sources</w:t>
            </w:r>
          </w:p>
        </w:tc>
      </w:tr>
      <w:tr>
        <w:tc>
          <w:tcPr/>
          <w:p>
            <w:pPr>
              <w:pStyle w:val="Compact"/>
              <w:jc w:val="left"/>
            </w:pPr>
            <w:r>
              <w:t xml:space="preserve">Company</w:t>
            </w:r>
          </w:p>
        </w:tc>
        <w:tc>
          <w:tcPr/>
          <w:p>
            <w:pPr>
              <w:pStyle w:val="Compact"/>
              <w:jc w:val="left"/>
            </w:pPr>
            <w:r>
              <w:t xml:space="preserve">CloudZero</w:t>
            </w:r>
          </w:p>
        </w:tc>
        <w:tc>
          <w:tcPr/>
          <w:p>
            <w:pPr>
              <w:pStyle w:val="Compact"/>
              <w:jc w:val="left"/>
            </w:pPr>
            <w:r>
              <w:t xml:space="preserve">Verified fact</w:t>
            </w:r>
          </w:p>
        </w:tc>
        <w:tc>
          <w:tcPr/>
          <w:p>
            <w:pPr>
              <w:pStyle w:val="Compact"/>
              <w:jc w:val="left"/>
            </w:pPr>
            <w:r>
              <w:t xml:space="preserve">A7-S091</w:t>
            </w:r>
          </w:p>
        </w:tc>
      </w:tr>
      <w:tr>
        <w:tc>
          <w:tcPr/>
          <w:p>
            <w:pPr>
              <w:pStyle w:val="Compact"/>
              <w:jc w:val="left"/>
            </w:pPr>
            <w:r>
              <w:t xml:space="preserve">Category</w:t>
            </w:r>
          </w:p>
        </w:tc>
        <w:tc>
          <w:tcPr/>
          <w:p>
            <w:pPr>
              <w:pStyle w:val="Compact"/>
              <w:jc w:val="left"/>
            </w:pPr>
            <w:r>
              <w:t xml:space="preserve">Cloud cost intelligence / allocation platform</w:t>
            </w:r>
          </w:p>
        </w:tc>
        <w:tc>
          <w:tcPr/>
          <w:p>
            <w:pPr>
              <w:pStyle w:val="Compact"/>
              <w:jc w:val="left"/>
            </w:pPr>
            <w:r>
              <w:t xml:space="preserve">Verified fact</w:t>
            </w:r>
          </w:p>
        </w:tc>
        <w:tc>
          <w:tcPr/>
          <w:p>
            <w:pPr>
              <w:pStyle w:val="Compact"/>
              <w:jc w:val="left"/>
            </w:pPr>
            <w:r>
              <w:t xml:space="preserve">A7-S091</w:t>
            </w:r>
          </w:p>
        </w:tc>
      </w:tr>
      <w:tr>
        <w:tc>
          <w:tcPr/>
          <w:p>
            <w:pPr>
              <w:pStyle w:val="Compact"/>
              <w:jc w:val="left"/>
            </w:pPr>
            <w:r>
              <w:t xml:space="preserve">Version / lineup</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Licence</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Strategic direction</w:t>
            </w:r>
          </w:p>
        </w:tc>
        <w:tc>
          <w:tcPr/>
          <w:p>
            <w:pPr>
              <w:pStyle w:val="Compact"/>
              <w:jc w:val="left"/>
            </w:pPr>
            <w:r>
              <w:t xml:space="preserve">Publishes extensive AI-pricing content and positions on AI cost allocation: integrations for OpenAI, Anthropic direct API, Amazon Bedrock, Claude Platform on AWS and Azure OpenAI</w:t>
            </w:r>
          </w:p>
        </w:tc>
        <w:tc>
          <w:tcPr/>
          <w:p>
            <w:pPr>
              <w:pStyle w:val="Compact"/>
              <w:jc w:val="left"/>
            </w:pPr>
            <w:r>
              <w:t xml:space="preserve">Verified fact</w:t>
            </w:r>
          </w:p>
        </w:tc>
        <w:tc>
          <w:tcPr/>
          <w:p>
            <w:pPr>
              <w:pStyle w:val="Compact"/>
              <w:jc w:val="left"/>
            </w:pPr>
            <w:r>
              <w:t xml:space="preserve">A7-S114</w:t>
            </w:r>
          </w:p>
        </w:tc>
      </w:tr>
      <w:tr>
        <w:tc>
          <w:tcPr/>
          <w:p>
            <w:pPr>
              <w:pStyle w:val="Compact"/>
              <w:jc w:val="left"/>
            </w:pPr>
            <w:r>
              <w:t xml:space="preserve">What it does</w:t>
            </w:r>
          </w:p>
        </w:tc>
        <w:tc>
          <w:tcPr/>
          <w:p>
            <w:pPr>
              <w:pStyle w:val="Compact"/>
              <w:jc w:val="left"/>
            </w:pPr>
            <w:r>
              <w:t xml:space="preserve">Ingests token-level usage and cost from AI providers and cloud bills and allocates it by customer, feature, team, product and environment via the CostFormation engine; a Kubernetes agent supplies container telemetry.</w:t>
            </w:r>
          </w:p>
        </w:tc>
        <w:tc>
          <w:tcPr/>
          <w:p>
            <w:pPr>
              <w:pStyle w:val="Compact"/>
              <w:jc w:val="left"/>
            </w:pPr>
            <w:r>
              <w:t xml:space="preserve">Verified fact</w:t>
            </w:r>
          </w:p>
        </w:tc>
        <w:tc>
          <w:tcPr/>
          <w:p>
            <w:pPr>
              <w:pStyle w:val="Compact"/>
              <w:jc w:val="left"/>
            </w:pPr>
            <w:r>
              <w:t xml:space="preserve">A7-S114, A7-S091</w:t>
            </w:r>
          </w:p>
        </w:tc>
      </w:tr>
      <w:tr>
        <w:tc>
          <w:tcPr/>
          <w:p>
            <w:pPr>
              <w:pStyle w:val="Compact"/>
              <w:jc w:val="left"/>
            </w:pPr>
            <w:r>
              <w:t xml:space="preserve">Stack position</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Integration</w:t>
            </w:r>
          </w:p>
        </w:tc>
        <w:tc>
          <w:tcPr/>
          <w:p>
            <w:pPr>
              <w:pStyle w:val="Compact"/>
              <w:jc w:val="left"/>
            </w:pPr>
            <w:r>
              <w:t xml:space="preserve">Kubernetes agent (Prometheus-compatible collector) shipping to CloudZero via upload API and S3</w:t>
            </w:r>
          </w:p>
        </w:tc>
        <w:tc>
          <w:tcPr/>
          <w:p>
            <w:pPr>
              <w:pStyle w:val="Compact"/>
              <w:jc w:val="left"/>
            </w:pPr>
            <w:r>
              <w:t xml:space="preserve">Verified fact</w:t>
            </w:r>
          </w:p>
        </w:tc>
        <w:tc>
          <w:tcPr/>
          <w:p>
            <w:pPr>
              <w:pStyle w:val="Compact"/>
              <w:jc w:val="left"/>
            </w:pPr>
            <w:r>
              <w:t xml:space="preserve">A7-S091</w:t>
            </w:r>
          </w:p>
        </w:tc>
      </w:tr>
      <w:tr>
        <w:tc>
          <w:tcPr/>
          <w:p>
            <w:pPr>
              <w:pStyle w:val="Compact"/>
              <w:jc w:val="left"/>
            </w:pPr>
            <w:r>
              <w:t xml:space="preserve">Dependencies</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Certifications</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GDPR / residency</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Security features</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Access controls</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Enterprise support</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Pricing</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Infrastructure cost</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Ecosystem</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Adoption signals</w:t>
            </w:r>
          </w:p>
        </w:tc>
        <w:tc>
          <w:tcPr/>
          <w:p>
            <w:pPr>
              <w:pStyle w:val="Compact"/>
              <w:jc w:val="left"/>
            </w:pPr>
            <w:r>
              <w:t xml:space="preserve">Vendor claims to be the first cloud cost platform to integrate directly with Anthropic; reports customers’ Bedrock spend typically 1.5x-2x initial estimates</w:t>
            </w:r>
          </w:p>
        </w:tc>
        <w:tc>
          <w:tcPr/>
          <w:p>
            <w:pPr>
              <w:pStyle w:val="Compact"/>
              <w:jc w:val="left"/>
            </w:pPr>
            <w:r>
              <w:t xml:space="preserve">Verified fact</w:t>
            </w:r>
          </w:p>
        </w:tc>
        <w:tc>
          <w:tcPr/>
          <w:p>
            <w:pPr>
              <w:pStyle w:val="Compact"/>
              <w:jc w:val="left"/>
            </w:pPr>
            <w:r>
              <w:t xml:space="preserve">A7-S114</w:t>
            </w:r>
          </w:p>
        </w:tc>
      </w:tr>
      <w:tr>
        <w:tc>
          <w:tcPr/>
          <w:p>
            <w:pPr>
              <w:pStyle w:val="Compact"/>
              <w:jc w:val="left"/>
            </w:pPr>
            <w:r>
              <w:t xml:space="preserve">Maturity</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Deployment</w:t>
            </w:r>
          </w:p>
        </w:tc>
        <w:tc>
          <w:tcPr/>
          <w:p>
            <w:pPr>
              <w:pStyle w:val="Compact"/>
              <w:jc w:val="left"/>
            </w:pPr>
            <w:r>
              <w:t xml:space="preserve">saas: Yes (platform receives telemetry); managed_cloud: Not publicly verified; vpc_byoc: Not publicly verified; private_cloud: Not publicly verified; self_hosted: Not publicly verified; on_prem: Not publicly verified</w:t>
            </w:r>
          </w:p>
        </w:tc>
        <w:tc>
          <w:tcPr/>
          <w:p>
            <w:pPr>
              <w:pStyle w:val="Compact"/>
            </w:pPr>
          </w:p>
        </w:tc>
        <w:tc>
          <w:tcPr/>
          <w:p>
            <w:pPr>
              <w:pStyle w:val="Compact"/>
            </w:pPr>
          </w:p>
        </w:tc>
      </w:tr>
    </w:tbl>
    <w:bookmarkEnd w:id="2298"/>
    <w:bookmarkStart w:id="2309" w:name="X0c13322d8559f5f4fa3a6f15334b7ea5693cf6c"/>
    <w:p>
      <w:pPr>
        <w:pStyle w:val="Heading2"/>
      </w:pPr>
      <w:r>
        <w:t xml:space="preserve">Helicone (AI Gateway and LLM Observability Platform) (</w:t>
      </w:r>
      <w:r>
        <w:rPr>
          <w:rStyle w:val="VerbatimChar"/>
        </w:rPr>
        <w:t xml:space="preserve">C6-helicone</w:t>
      </w:r>
      <w:r>
        <w:t xml:space="preserve">)</w:t>
      </w:r>
    </w:p>
    <w:p>
      <w:pPr>
        <w:pStyle w:val="FirstParagraph"/>
      </w:pPr>
      <w:r>
        <w:rPr>
          <w:bCs/>
          <w:b/>
        </w:rPr>
        <w:t xml:space="preserve">Tier:</w:t>
      </w:r>
      <w:r>
        <w:t xml:space="preserve"> </w:t>
      </w:r>
      <w:r>
        <w:t xml:space="preserve">Experimental ·</w:t>
      </w:r>
      <w:r>
        <w:t xml:space="preserve"> </w:t>
      </w:r>
      <w:r>
        <w:rPr>
          <w:bCs/>
          <w:b/>
        </w:rPr>
        <w:t xml:space="preserve">Flags:</w:t>
      </w:r>
      <w:r>
        <w:t xml:space="preserve"> </w:t>
      </w:r>
      <w:r>
        <w:t xml:space="preserve">Acquired, Not recommended ·</w:t>
      </w:r>
      <w:r>
        <w:t xml:space="preserve"> </w:t>
      </w:r>
      <w:r>
        <w:rPr>
          <w:bCs/>
          <w:b/>
        </w:rPr>
        <w:t xml:space="preserve">Original graphic label:</w:t>
      </w:r>
      <w:r>
        <w:t xml:space="preserve"> </w:t>
      </w:r>
      <w:r>
        <w:t xml:space="preserve">not in graphic</w:t>
      </w:r>
    </w:p>
    <w:p>
      <w:pPr>
        <w:pStyle w:val="BodyText"/>
      </w:pPr>
      <w:r>
        <w:rPr>
          <w:iCs/>
          <w:i/>
        </w:rPr>
        <w:t xml:space="preserve">Rationale:</w:t>
      </w:r>
      <w:r>
        <w:t xml:space="preserve"> </w:t>
      </w:r>
      <w:r>
        <w:t xml:space="preserve">Maintenance mode after the Mintlify acquisition makes it unsuitable as a dependency; not recommended for new use</w:t>
      </w:r>
      <w:r>
        <w:t xml:space="preserve"> </w:t>
      </w:r>
      <w:r>
        <w:rPr>
          <w:rStyle w:val="ClaimLabel"/>
        </w:rPr>
        <w:t xml:space="preserve">AJ</w:t>
      </w:r>
      <w:r>
        <w:t xml:space="preserve">.</w:t>
      </w:r>
    </w:p>
    <w:tbl>
      <w:tblPr>
        <w:tblStyle w:val="Table"/>
        <w:tblW w:type="pct" w:w="5000"/>
        <w:tblLook w:firstRow="1" w:lastRow="0" w:firstColumn="0" w:lastColumn="0" w:noHBand="0" w:noVBand="0" w:val="0020"/>
        <w:jc w:val="start"/>
      </w:tblPr>
      <w:tblGrid>
        <w:gridCol w:w="1545"/>
        <w:gridCol w:w="579"/>
        <w:gridCol w:w="5795"/>
      </w:tblGrid>
      <w:tr>
        <w:trPr>
          <w:tblHeader w:val="true"/>
        </w:trPr>
        <w:tc>
          <w:tcPr/>
          <w:p>
            <w:pPr>
              <w:pStyle w:val="Compact"/>
              <w:jc w:val="left"/>
            </w:pPr>
            <w:r>
              <w:t xml:space="preserve">Criterion</w:t>
            </w:r>
          </w:p>
        </w:tc>
        <w:tc>
          <w:tcPr/>
          <w:p>
            <w:pPr>
              <w:pStyle w:val="Compact"/>
              <w:jc w:val="right"/>
            </w:pPr>
            <w:r>
              <w:t xml:space="preserve">Score</w:t>
            </w:r>
          </w:p>
        </w:tc>
        <w:tc>
          <w:tcPr/>
          <w:p>
            <w:pPr>
              <w:pStyle w:val="Compact"/>
              <w:jc w:val="left"/>
            </w:pPr>
            <w:r>
              <w:t xml:space="preserve">Rationale</w:t>
            </w:r>
          </w:p>
        </w:tc>
      </w:tr>
      <w:tr>
        <w:tc>
          <w:tcPr/>
          <w:p>
            <w:pPr>
              <w:pStyle w:val="Compact"/>
              <w:jc w:val="left"/>
            </w:pPr>
            <w:r>
              <w:t xml:space="preserve">Technical</w:t>
            </w:r>
          </w:p>
        </w:tc>
        <w:tc>
          <w:tcPr/>
          <w:p>
            <w:pPr>
              <w:pStyle w:val="Compact"/>
              <w:jc w:val="right"/>
            </w:pPr>
            <w:r>
              <w:t xml:space="preserve">3</w:t>
            </w:r>
          </w:p>
        </w:tc>
        <w:tc>
          <w:tcPr/>
          <w:p>
            <w:pPr>
              <w:pStyle w:val="Compact"/>
              <w:jc w:val="left"/>
            </w:pPr>
            <w:r>
              <w:t xml:space="preserve">Per-request, session and user cost and latency tracking with a gateway and prompt versioning; no budgets or chargeback features evidenced.</w:t>
            </w:r>
          </w:p>
        </w:tc>
      </w:tr>
      <w:tr>
        <w:tc>
          <w:tcPr/>
          <w:p>
            <w:pPr>
              <w:pStyle w:val="Compact"/>
              <w:jc w:val="left"/>
            </w:pPr>
            <w:r>
              <w:t xml:space="preserve">Enterprise readiness</w:t>
            </w:r>
          </w:p>
        </w:tc>
        <w:tc>
          <w:tcPr/>
          <w:p>
            <w:pPr>
              <w:pStyle w:val="Compact"/>
              <w:jc w:val="right"/>
            </w:pPr>
            <w:r>
              <w:t xml:space="preserve">2</w:t>
            </w:r>
          </w:p>
        </w:tc>
        <w:tc>
          <w:tcPr/>
          <w:p>
            <w:pPr>
              <w:pStyle w:val="Compact"/>
              <w:jc w:val="left"/>
            </w:pPr>
            <w:r>
              <w:t xml:space="preserve">SSO, RBAC and audit logs not publicly verified; NPV cap.</w:t>
            </w:r>
          </w:p>
        </w:tc>
      </w:tr>
      <w:tr>
        <w:tc>
          <w:tcPr/>
          <w:p>
            <w:pPr>
              <w:pStyle w:val="Compact"/>
              <w:jc w:val="left"/>
            </w:pPr>
            <w:r>
              <w:t xml:space="preserve">Security and compliance</w:t>
            </w:r>
          </w:p>
        </w:tc>
        <w:tc>
          <w:tcPr/>
          <w:p>
            <w:pPr>
              <w:pStyle w:val="Compact"/>
              <w:jc w:val="right"/>
            </w:pPr>
            <w:r>
              <w:t xml:space="preserve">2</w:t>
            </w:r>
          </w:p>
        </w:tc>
        <w:tc>
          <w:tcPr/>
          <w:p>
            <w:pPr>
              <w:pStyle w:val="Compact"/>
              <w:jc w:val="left"/>
            </w:pPr>
            <w:r>
              <w:t xml:space="preserve">SOC 2 claimed without type in a README; NPV cap.</w:t>
            </w:r>
          </w:p>
        </w:tc>
      </w:tr>
      <w:tr>
        <w:tc>
          <w:tcPr/>
          <w:p>
            <w:pPr>
              <w:pStyle w:val="Compact"/>
              <w:jc w:val="left"/>
            </w:pPr>
            <w:r>
              <w:t xml:space="preserve">Deployment flexibility</w:t>
            </w:r>
          </w:p>
        </w:tc>
        <w:tc>
          <w:tcPr/>
          <w:p>
            <w:pPr>
              <w:pStyle w:val="Compact"/>
              <w:jc w:val="right"/>
            </w:pPr>
            <w:r>
              <w:t xml:space="preserve">3</w:t>
            </w:r>
          </w:p>
        </w:tc>
        <w:tc>
          <w:tcPr/>
          <w:p>
            <w:pPr>
              <w:pStyle w:val="Compact"/>
              <w:jc w:val="left"/>
            </w:pPr>
            <w:r>
              <w:t xml:space="preserve">SaaS and self-hosted (Docker; Helm on request for enterprise).</w:t>
            </w:r>
          </w:p>
        </w:tc>
      </w:tr>
      <w:tr>
        <w:tc>
          <w:tcPr/>
          <w:p>
            <w:pPr>
              <w:pStyle w:val="Compact"/>
              <w:jc w:val="left"/>
            </w:pPr>
            <w:r>
              <w:t xml:space="preserve">Ecosystem</w:t>
            </w:r>
          </w:p>
        </w:tc>
        <w:tc>
          <w:tcPr/>
          <w:p>
            <w:pPr>
              <w:pStyle w:val="Compact"/>
              <w:jc w:val="right"/>
            </w:pPr>
            <w:r>
              <w:t xml:space="preserve">3</w:t>
            </w:r>
          </w:p>
        </w:tc>
        <w:tc>
          <w:tcPr/>
          <w:p>
            <w:pPr>
              <w:pStyle w:val="Compact"/>
              <w:jc w:val="left"/>
            </w:pPr>
            <w:r>
              <w:t xml:space="preserve">OpenAI-compatible base URL, integrations for major providers and frameworks, PostHog export.</w:t>
            </w:r>
          </w:p>
        </w:tc>
      </w:tr>
      <w:tr>
        <w:tc>
          <w:tcPr/>
          <w:p>
            <w:pPr>
              <w:pStyle w:val="Compact"/>
              <w:jc w:val="left"/>
            </w:pPr>
            <w:r>
              <w:t xml:space="preserve">Reliability and maturity</w:t>
            </w:r>
          </w:p>
        </w:tc>
        <w:tc>
          <w:tcPr/>
          <w:p>
            <w:pPr>
              <w:pStyle w:val="Compact"/>
              <w:jc w:val="right"/>
            </w:pPr>
            <w:r>
              <w:t xml:space="preserve">1</w:t>
            </w:r>
          </w:p>
        </w:tc>
        <w:tc>
          <w:tcPr/>
          <w:p>
            <w:pPr>
              <w:pStyle w:val="Compact"/>
              <w:jc w:val="left"/>
            </w:pPr>
            <w:r>
              <w:t xml:space="preserve">Maintenance mode after the Mintlify acquisition (3 March 2026); feature development wound down.</w:t>
            </w:r>
          </w:p>
        </w:tc>
      </w:tr>
      <w:tr>
        <w:tc>
          <w:tcPr/>
          <w:p>
            <w:pPr>
              <w:pStyle w:val="Compact"/>
              <w:jc w:val="left"/>
            </w:pPr>
            <w:r>
              <w:t xml:space="preserve">Cost / TCO</w:t>
            </w:r>
          </w:p>
        </w:tc>
        <w:tc>
          <w:tcPr/>
          <w:p>
            <w:pPr>
              <w:pStyle w:val="Compact"/>
              <w:jc w:val="right"/>
            </w:pPr>
            <w:r>
              <w:t xml:space="preserve">4</w:t>
            </w:r>
          </w:p>
        </w:tc>
        <w:tc>
          <w:tcPr/>
          <w:p>
            <w:pPr>
              <w:pStyle w:val="Compact"/>
              <w:jc w:val="left"/>
            </w:pPr>
            <w:r>
              <w:t xml:space="preserve">Apache-2.0; free tier of 10,000 requests per month.</w:t>
            </w:r>
          </w:p>
        </w:tc>
      </w:tr>
      <w:tr>
        <w:tc>
          <w:tcPr/>
          <w:p>
            <w:pPr>
              <w:pStyle w:val="Compact"/>
              <w:jc w:val="left"/>
            </w:pPr>
            <w:r>
              <w:t xml:space="preserve">Lock-in / portability</w:t>
            </w:r>
          </w:p>
        </w:tc>
        <w:tc>
          <w:tcPr/>
          <w:p>
            <w:pPr>
              <w:pStyle w:val="Compact"/>
              <w:jc w:val="right"/>
            </w:pPr>
            <w:r>
              <w:t xml:space="preserve">3</w:t>
            </w:r>
          </w:p>
        </w:tc>
        <w:tc>
          <w:tcPr/>
          <w:p>
            <w:pPr>
              <w:pStyle w:val="Compact"/>
              <w:jc w:val="left"/>
            </w:pPr>
            <w:r>
              <w:t xml:space="preserve">Base 4 (Apache-2.0, base-URL integration) reduced by 1 for the ownership change; governance is company-controlled.</w:t>
            </w:r>
          </w:p>
        </w:tc>
      </w:tr>
      <w:tr>
        <w:tc>
          <w:tcPr/>
          <w:p>
            <w:pPr>
              <w:pStyle w:val="Compact"/>
              <w:jc w:val="left"/>
            </w:pPr>
            <w:r>
              <w:rPr>
                <w:bCs/>
                <w:b/>
              </w:rPr>
              <w:t xml:space="preserve">Total (generic / FS)</w:t>
            </w:r>
          </w:p>
        </w:tc>
        <w:tc>
          <w:tcPr/>
          <w:p>
            <w:pPr>
              <w:pStyle w:val="Compact"/>
              <w:jc w:val="right"/>
            </w:pPr>
            <w:r>
              <w:rPr>
                <w:bCs/>
                <w:b/>
              </w:rPr>
              <w:t xml:space="preserve">2.60 / 2.50</w:t>
            </w:r>
          </w:p>
        </w:tc>
        <w:tc>
          <w:tcPr/>
          <w:p>
            <w:pPr>
              <w:pStyle w:val="Compact"/>
            </w:pPr>
          </w:p>
        </w:tc>
      </w:tr>
    </w:tbl>
    <w:p>
      <w:pPr>
        <w:pStyle w:val="BodyText"/>
      </w:pPr>
      <w:r>
        <w:rPr>
          <w:iCs/>
          <w:i/>
        </w:rPr>
        <w:t xml:space="preserve">Evidence rules applied:</w:t>
      </w:r>
      <w:r>
        <w:t xml:space="preserve"> </w:t>
      </w:r>
      <w:r>
        <w:t xml:space="preserve">enterprise_readiness capped at 2: SSO, RBAC and audit logs NPV; security_compliance capped at 2: SOC 2 type not stated, no trust-centre report</w:t>
      </w:r>
    </w:p>
    <w:p>
      <w:pPr>
        <w:pStyle w:val="BodyText"/>
      </w:pPr>
      <w:r>
        <w:rPr>
          <w:bCs/>
          <w:b/>
        </w:rPr>
        <w:t xml:space="preserve">Capabilities.</w:t>
      </w:r>
      <w:r>
        <w:t xml:space="preserve"> </w:t>
      </w:r>
      <w:r>
        <w:t xml:space="preserve">Proxy or logging layer for LLM requests that tracks cost, latency and quality per request, session and user, with prompt versioning and an OpenAI-compatible AI gateway with fallbacks</w:t>
      </w:r>
      <w:r>
        <w:t xml:space="preserve"> </w:t>
      </w:r>
      <w:r>
        <w:rPr>
          <w:rStyle w:val="ClaimLabel"/>
        </w:rPr>
        <w:t xml:space="preserve">VF</w:t>
      </w:r>
      <w:r>
        <w:rPr>
          <w:rStyle w:val="FootnoteReference"/>
        </w:rPr>
        <w:footnoteReference w:id="2299"/>
      </w:r>
      <w:r>
        <w:t xml:space="preserve">.</w:t>
      </w:r>
    </w:p>
    <w:p>
      <w:pPr>
        <w:pStyle w:val="BodyText"/>
      </w:pPr>
      <w:r>
        <w:rPr>
          <w:bCs/>
          <w:b/>
        </w:rPr>
        <w:t xml:space="preserve">Strengths</w:t>
      </w:r>
    </w:p>
    <w:p>
      <w:pPr>
        <w:numPr>
          <w:ilvl w:val="0"/>
          <w:numId w:val="1505"/>
        </w:numPr>
        <w:pStyle w:val="Compact"/>
      </w:pPr>
      <w:r>
        <w:t xml:space="preserve">Apache-2.0 and self-hostable with Docker</w:t>
      </w:r>
      <w:r>
        <w:t xml:space="preserve"> </w:t>
      </w:r>
      <w:r>
        <w:rPr>
          <w:rStyle w:val="ClaimLabel"/>
        </w:rPr>
        <w:t xml:space="preserve">VF</w:t>
      </w:r>
      <w:r>
        <w:rPr>
          <w:rStyle w:val="FootnoteReference"/>
        </w:rPr>
        <w:footnoteReference w:id="2301"/>
      </w:r>
    </w:p>
    <w:p>
      <w:pPr>
        <w:numPr>
          <w:ilvl w:val="0"/>
          <w:numId w:val="1505"/>
        </w:numPr>
        <w:pStyle w:val="Compact"/>
      </w:pPr>
      <w:r>
        <w:t xml:space="preserve">Simple integration by changing the base URL</w:t>
      </w:r>
      <w:r>
        <w:t xml:space="preserve"> </w:t>
      </w:r>
      <w:r>
        <w:rPr>
          <w:rStyle w:val="ClaimLabel"/>
        </w:rPr>
        <w:t xml:space="preserve">VF</w:t>
      </w:r>
      <w:r>
        <w:rPr>
          <w:rStyle w:val="FootnoteReference"/>
        </w:rPr>
        <w:footnoteReference w:id="2302"/>
      </w:r>
    </w:p>
    <w:p>
      <w:pPr>
        <w:pStyle w:val="FirstParagraph"/>
      </w:pPr>
      <w:r>
        <w:rPr>
          <w:bCs/>
          <w:b/>
        </w:rPr>
        <w:t xml:space="preserve">Limitations and risks</w:t>
      </w:r>
    </w:p>
    <w:p>
      <w:pPr>
        <w:numPr>
          <w:ilvl w:val="0"/>
          <w:numId w:val="1506"/>
        </w:numPr>
        <w:pStyle w:val="Compact"/>
      </w:pPr>
      <w:r>
        <w:t xml:space="preserve">Acquired by Mintlify on 3 March 2026; in maintenance mode with security fixes, bug fixes and new model support only</w:t>
      </w:r>
      <w:r>
        <w:t xml:space="preserve"> </w:t>
      </w:r>
      <w:r>
        <w:rPr>
          <w:rStyle w:val="ClaimLabel"/>
        </w:rPr>
        <w:t xml:space="preserve">VF</w:t>
      </w:r>
      <w:r>
        <w:rPr>
          <w:rStyle w:val="FootnoteReference"/>
        </w:rPr>
        <w:footnoteReference w:id="2303"/>
      </w:r>
    </w:p>
    <w:p>
      <w:pPr>
        <w:numPr>
          <w:ilvl w:val="0"/>
          <w:numId w:val="1506"/>
        </w:numPr>
        <w:pStyle w:val="Compact"/>
      </w:pPr>
      <w:r>
        <w:t xml:space="preserve">No npm helper release since 7 November 2025</w:t>
      </w:r>
      <w:r>
        <w:t xml:space="preserve"> </w:t>
      </w:r>
      <w:r>
        <w:rPr>
          <w:rStyle w:val="ClaimLabel"/>
        </w:rPr>
        <w:t xml:space="preserve">VF</w:t>
      </w:r>
      <w:r>
        <w:rPr>
          <w:rStyle w:val="FootnoteReference"/>
        </w:rPr>
        <w:footnoteReference w:id="2306"/>
      </w:r>
    </w:p>
    <w:p>
      <w:pPr>
        <w:numPr>
          <w:ilvl w:val="0"/>
          <w:numId w:val="1506"/>
        </w:numPr>
        <w:pStyle w:val="Compact"/>
      </w:pPr>
      <w:r>
        <w:t xml:space="preserve">‘</w:t>
      </w:r>
      <w:r>
        <w:t xml:space="preserve">SOC 2 and GDPR compliant</w:t>
      </w:r>
      <w:r>
        <w:t xml:space="preserve">’</w:t>
      </w:r>
      <w:r>
        <w:t xml:space="preserve"> </w:t>
      </w:r>
      <w:r>
        <w:t xml:space="preserve">stated without SOC 2 type; access controls not publicly verified</w:t>
      </w:r>
      <w:r>
        <w:t xml:space="preserve"> </w:t>
      </w:r>
      <w:r>
        <w:rPr>
          <w:rStyle w:val="ClaimLabel"/>
        </w:rPr>
        <w:t xml:space="preserve">VF</w:t>
      </w:r>
      <w:r>
        <w:rPr>
          <w:rStyle w:val="FootnoteReference"/>
        </w:rPr>
        <w:footnoteReference w:id="2308"/>
      </w:r>
      <w:r>
        <w:t xml:space="preserve"> </w:t>
      </w:r>
      <w:r>
        <w:rPr>
          <w:rStyle w:val="ClaimLabel"/>
        </w:rPr>
        <w:t xml:space="preserve">NPV</w:t>
      </w:r>
    </w:p>
    <w:p>
      <w:pPr>
        <w:numPr>
          <w:ilvl w:val="0"/>
          <w:numId w:val="1506"/>
        </w:numPr>
        <w:pStyle w:val="Compact"/>
      </w:pPr>
      <w:r>
        <w:t xml:space="preserve">A competitor states new sign-ups are disabled (single rival source)</w:t>
      </w:r>
      <w:r>
        <w:t xml:space="preserve"> </w:t>
      </w:r>
      <w:r>
        <w:rPr>
          <w:rStyle w:val="ClaimLabel"/>
        </w:rPr>
        <w:t xml:space="preserve">NPV</w:t>
      </w:r>
    </w:p>
    <w:p>
      <w:pPr>
        <w:pStyle w:val="FirstParagraph"/>
      </w:pPr>
      <w:r>
        <w:rPr>
          <w:bCs/>
          <w:b/>
        </w:rPr>
        <w:t xml:space="preserve">Choose when</w:t>
      </w:r>
    </w:p>
    <w:p>
      <w:pPr>
        <w:numPr>
          <w:ilvl w:val="0"/>
          <w:numId w:val="1507"/>
        </w:numPr>
        <w:pStyle w:val="Compact"/>
      </w:pPr>
      <w:r>
        <w:t xml:space="preserve">Only as a short-term bridge for an existing deployment while migrating</w:t>
      </w:r>
      <w:r>
        <w:t xml:space="preserve"> </w:t>
      </w:r>
      <w:r>
        <w:rPr>
          <w:rStyle w:val="ClaimLabel"/>
        </w:rPr>
        <w:t xml:space="preserve">AJ</w:t>
      </w:r>
    </w:p>
    <w:p>
      <w:pPr>
        <w:pStyle w:val="FirstParagraph"/>
      </w:pPr>
      <w:r>
        <w:rPr>
          <w:bCs/>
          <w:b/>
        </w:rPr>
        <w:t xml:space="preserve">Avoid when</w:t>
      </w:r>
    </w:p>
    <w:p>
      <w:pPr>
        <w:numPr>
          <w:ilvl w:val="0"/>
          <w:numId w:val="1508"/>
        </w:numPr>
        <w:pStyle w:val="Compact"/>
      </w:pPr>
      <w:r>
        <w:t xml:space="preserve">Any new deployment</w:t>
      </w:r>
      <w:r>
        <w:t xml:space="preserve"> </w:t>
      </w:r>
      <w:r>
        <w:rPr>
          <w:rStyle w:val="ClaimLabel"/>
        </w:rPr>
        <w:t xml:space="preserve">Rec</w:t>
      </w:r>
    </w:p>
    <w:p>
      <w:pPr>
        <w:pStyle w:val="FirstParagraph"/>
      </w:pPr>
      <w:r>
        <w:rPr>
          <w:bCs/>
          <w:b/>
        </w:rPr>
        <w:t xml:space="preserve">Nearest competitors:</w:t>
      </w:r>
      <w:r>
        <w:t xml:space="preserve"> </w:t>
      </w:r>
      <w:r>
        <w:t xml:space="preserve">C6-gateway-cost-attribution, L9-langfuse, C1-litellm</w:t>
      </w:r>
    </w:p>
    <w:p>
      <w:pPr>
        <w:pStyle w:val="BodyText"/>
      </w:pPr>
      <w:r>
        <w:rPr>
          <w:bCs/>
          <w:b/>
        </w:rPr>
        <w:t xml:space="preserve">Regulated-FS note.</w:t>
      </w:r>
      <w:r>
        <w:t xml:space="preserve"> </w:t>
      </w:r>
      <w:r>
        <w:t xml:space="preserve">Plan migration of existing usage to the gateway (C1) and the L9 platform; record the change of ownership and maintenance status in third-party risk files</w:t>
      </w:r>
      <w:r>
        <w:t xml:space="preserve"> </w:t>
      </w:r>
      <w:r>
        <w:rPr>
          <w:rStyle w:val="ClaimLabel"/>
        </w:rPr>
        <w:t xml:space="preserve">Rec</w:t>
      </w:r>
      <w:r>
        <w:t xml:space="preserve">.</w:t>
      </w:r>
    </w:p>
    <w:p>
      <w:pPr>
        <w:pStyle w:val="BodyText"/>
      </w:pPr>
      <w:r>
        <w:rPr>
          <w:bCs/>
          <w:b/>
        </w:rPr>
        <w:t xml:space="preserve">Facts (as of 2026-10-08)</w:t>
      </w:r>
    </w:p>
    <w:tbl>
      <w:tblPr>
        <w:tblStyle w:val="Table"/>
        <w:tblW w:type="pct" w:w="5000"/>
        <w:tblLook w:firstRow="1" w:lastRow="0" w:firstColumn="0" w:lastColumn="0" w:noHBand="0" w:noVBand="0" w:val="0020"/>
        <w:jc w:val="start"/>
      </w:tblPr>
      <w:tblGrid>
        <w:gridCol w:w="1485"/>
        <w:gridCol w:w="4290"/>
        <w:gridCol w:w="1320"/>
        <w:gridCol w:w="825"/>
      </w:tblGrid>
      <w:tr>
        <w:trPr>
          <w:tblHeader w:val="true"/>
        </w:trPr>
        <w:tc>
          <w:tcPr/>
          <w:p>
            <w:pPr>
              <w:pStyle w:val="Compact"/>
              <w:jc w:val="left"/>
            </w:pPr>
            <w:r>
              <w:t xml:space="preserve">Field</w:t>
            </w:r>
          </w:p>
        </w:tc>
        <w:tc>
          <w:tcPr/>
          <w:p>
            <w:pPr>
              <w:pStyle w:val="Compact"/>
              <w:jc w:val="left"/>
            </w:pPr>
            <w:r>
              <w:t xml:space="preserve">Value</w:t>
            </w:r>
          </w:p>
        </w:tc>
        <w:tc>
          <w:tcPr/>
          <w:p>
            <w:pPr>
              <w:pStyle w:val="Compact"/>
              <w:jc w:val="left"/>
            </w:pPr>
            <w:r>
              <w:t xml:space="preserve">Label</w:t>
            </w:r>
          </w:p>
        </w:tc>
        <w:tc>
          <w:tcPr/>
          <w:p>
            <w:pPr>
              <w:pStyle w:val="Compact"/>
              <w:jc w:val="left"/>
            </w:pPr>
            <w:r>
              <w:t xml:space="preserve">Sources</w:t>
            </w:r>
          </w:p>
        </w:tc>
      </w:tr>
      <w:tr>
        <w:tc>
          <w:tcPr/>
          <w:p>
            <w:pPr>
              <w:pStyle w:val="Compact"/>
              <w:jc w:val="left"/>
            </w:pPr>
            <w:r>
              <w:t xml:space="preserve">Company</w:t>
            </w:r>
          </w:p>
        </w:tc>
        <w:tc>
          <w:tcPr/>
          <w:p>
            <w:pPr>
              <w:pStyle w:val="Compact"/>
              <w:jc w:val="left"/>
            </w:pPr>
            <w:r>
              <w:t xml:space="preserve">Helicone, acquired by Mintlify (announced and completed 3 March 2026)</w:t>
            </w:r>
          </w:p>
        </w:tc>
        <w:tc>
          <w:tcPr/>
          <w:p>
            <w:pPr>
              <w:pStyle w:val="Compact"/>
              <w:jc w:val="left"/>
            </w:pPr>
            <w:r>
              <w:t xml:space="preserve">Verified fact</w:t>
            </w:r>
          </w:p>
        </w:tc>
        <w:tc>
          <w:tcPr/>
          <w:p>
            <w:pPr>
              <w:pStyle w:val="Compact"/>
              <w:jc w:val="left"/>
            </w:pPr>
            <w:r>
              <w:t xml:space="preserve">A7-S112, V2-S043</w:t>
            </w:r>
          </w:p>
        </w:tc>
      </w:tr>
      <w:tr>
        <w:tc>
          <w:tcPr/>
          <w:p>
            <w:pPr>
              <w:pStyle w:val="Compact"/>
              <w:jc w:val="left"/>
            </w:pPr>
            <w:r>
              <w:t xml:space="preserve">Category</w:t>
            </w:r>
          </w:p>
        </w:tc>
        <w:tc>
          <w:tcPr/>
          <w:p>
            <w:pPr>
              <w:pStyle w:val="Compact"/>
              <w:jc w:val="left"/>
            </w:pPr>
            <w:r>
              <w:t xml:space="preserve">AI gateway plus LLM observability with cost and latency tracking</w:t>
            </w:r>
          </w:p>
        </w:tc>
        <w:tc>
          <w:tcPr/>
          <w:p>
            <w:pPr>
              <w:pStyle w:val="Compact"/>
              <w:jc w:val="left"/>
            </w:pPr>
            <w:r>
              <w:t xml:space="preserve">Verified fact</w:t>
            </w:r>
          </w:p>
        </w:tc>
        <w:tc>
          <w:tcPr/>
          <w:p>
            <w:pPr>
              <w:pStyle w:val="Compact"/>
              <w:jc w:val="left"/>
            </w:pPr>
            <w:r>
              <w:t xml:space="preserve">A7-S046</w:t>
            </w:r>
          </w:p>
        </w:tc>
      </w:tr>
      <w:tr>
        <w:tc>
          <w:tcPr/>
          <w:p>
            <w:pPr>
              <w:pStyle w:val="Compact"/>
              <w:jc w:val="left"/>
            </w:pPr>
            <w:r>
              <w:t xml:space="preserve">Version / lineup</w:t>
            </w:r>
          </w:p>
        </w:tc>
        <w:tc>
          <w:tcPr/>
          <w:p>
            <w:pPr>
              <w:pStyle w:val="Compact"/>
              <w:jc w:val="left"/>
            </w:pPr>
            <w:r>
              <w:t xml:space="preserve">No versioned platform release found;</w:t>
            </w:r>
            <w:r>
              <w:t xml:space="preserve"> </w:t>
            </w:r>
            <w:r>
              <w:t xml:space="preserve">@helicone/helpers</w:t>
            </w:r>
            <w:r>
              <w:t xml:space="preserve"> </w:t>
            </w:r>
            <w:r>
              <w:t xml:space="preserve">npm package last published 1.8.3 on 7 November 2025; legacy Python package</w:t>
            </w:r>
            <w:r>
              <w:t xml:space="preserve"> </w:t>
            </w:r>
            <w:r>
              <w:t xml:space="preserve">‘</w:t>
            </w:r>
            <w:r>
              <w:t xml:space="preserve">helicone</w:t>
            </w:r>
            <w:r>
              <w:t xml:space="preserve">’</w:t>
            </w:r>
            <w:r>
              <w:t xml:space="preserve"> </w:t>
            </w:r>
            <w:r>
              <w:t xml:space="preserve">last released 1.0.14 on 3 November 2023</w:t>
            </w:r>
          </w:p>
        </w:tc>
        <w:tc>
          <w:tcPr/>
          <w:p>
            <w:pPr>
              <w:pStyle w:val="Compact"/>
              <w:jc w:val="left"/>
            </w:pPr>
            <w:r>
              <w:t xml:space="preserve">Verified fact</w:t>
            </w:r>
          </w:p>
        </w:tc>
        <w:tc>
          <w:tcPr/>
          <w:p>
            <w:pPr>
              <w:pStyle w:val="Compact"/>
              <w:jc w:val="left"/>
            </w:pPr>
            <w:r>
              <w:t xml:space="preserve">A7-S047, A7-S005</w:t>
            </w:r>
          </w:p>
        </w:tc>
      </w:tr>
      <w:tr>
        <w:tc>
          <w:tcPr/>
          <w:p>
            <w:pPr>
              <w:pStyle w:val="Compact"/>
              <w:jc w:val="left"/>
            </w:pPr>
            <w:r>
              <w:t xml:space="preserve">Licence</w:t>
            </w:r>
          </w:p>
        </w:tc>
        <w:tc>
          <w:tcPr/>
          <w:p>
            <w:pPr>
              <w:pStyle w:val="Compact"/>
              <w:jc w:val="left"/>
            </w:pPr>
            <w:r>
              <w:t xml:space="preserve">Open source, Apache-2.0</w:t>
            </w:r>
          </w:p>
        </w:tc>
        <w:tc>
          <w:tcPr/>
          <w:p>
            <w:pPr>
              <w:pStyle w:val="Compact"/>
              <w:jc w:val="left"/>
            </w:pPr>
            <w:r>
              <w:t xml:space="preserve">Verified fact</w:t>
            </w:r>
          </w:p>
        </w:tc>
        <w:tc>
          <w:tcPr/>
          <w:p>
            <w:pPr>
              <w:pStyle w:val="Compact"/>
              <w:jc w:val="left"/>
            </w:pPr>
            <w:r>
              <w:t xml:space="preserve">A7-S046, A7-S005</w:t>
            </w:r>
          </w:p>
        </w:tc>
      </w:tr>
      <w:tr>
        <w:tc>
          <w:tcPr/>
          <w:p>
            <w:pPr>
              <w:pStyle w:val="Compact"/>
              <w:jc w:val="left"/>
            </w:pPr>
            <w:r>
              <w:t xml:space="preserve">Status events</w:t>
            </w:r>
          </w:p>
        </w:tc>
        <w:tc>
          <w:tcPr/>
          <w:p>
            <w:pPr>
              <w:pStyle w:val="Compact"/>
              <w:jc w:val="left"/>
            </w:pPr>
            <w:r>
              <w:t xml:space="preserve">3 March 2026: acquired by Mintlify; product in maintenance mode (security and bug fixes, new model support; standalone feature development wound down)</w:t>
            </w:r>
          </w:p>
        </w:tc>
        <w:tc>
          <w:tcPr/>
          <w:p>
            <w:pPr>
              <w:pStyle w:val="Compact"/>
              <w:jc w:val="left"/>
            </w:pPr>
            <w:r>
              <w:t xml:space="preserve">Verified fact</w:t>
            </w:r>
          </w:p>
        </w:tc>
        <w:tc>
          <w:tcPr/>
          <w:p>
            <w:pPr>
              <w:pStyle w:val="Compact"/>
              <w:jc w:val="left"/>
            </w:pPr>
            <w:r>
              <w:t xml:space="preserve">A7-S112, V2-S043</w:t>
            </w:r>
          </w:p>
        </w:tc>
      </w:tr>
      <w:tr>
        <w:tc>
          <w:tcPr/>
          <w:p>
            <w:pPr>
              <w:pStyle w:val="Compact"/>
              <w:jc w:val="left"/>
            </w:pPr>
            <w:r>
              <w:t xml:space="preserve">Strategic direction</w:t>
            </w:r>
          </w:p>
        </w:tc>
        <w:tc>
          <w:tcPr/>
          <w:p>
            <w:pPr>
              <w:pStyle w:val="Compact"/>
              <w:jc w:val="left"/>
            </w:pPr>
            <w:r>
              <w:t xml:space="preserve">After acquisition, founders moved to Mintlify to work on AI knowledge infrastructure; Helicone in maintenance mode</w:t>
            </w:r>
          </w:p>
        </w:tc>
        <w:tc>
          <w:tcPr/>
          <w:p>
            <w:pPr>
              <w:pStyle w:val="Compact"/>
              <w:jc w:val="left"/>
            </w:pPr>
            <w:r>
              <w:t xml:space="preserve">Verified fact</w:t>
            </w:r>
          </w:p>
        </w:tc>
        <w:tc>
          <w:tcPr/>
          <w:p>
            <w:pPr>
              <w:pStyle w:val="Compact"/>
              <w:jc w:val="left"/>
            </w:pPr>
            <w:r>
              <w:t xml:space="preserve">A7-S112</w:t>
            </w:r>
          </w:p>
        </w:tc>
      </w:tr>
      <w:tr>
        <w:tc>
          <w:tcPr/>
          <w:p>
            <w:pPr>
              <w:pStyle w:val="Compact"/>
              <w:jc w:val="left"/>
            </w:pPr>
            <w:r>
              <w:t xml:space="preserve">What it does</w:t>
            </w:r>
          </w:p>
        </w:tc>
        <w:tc>
          <w:tcPr/>
          <w:p>
            <w:pPr>
              <w:pStyle w:val="Compact"/>
              <w:jc w:val="left"/>
            </w:pPr>
            <w:r>
              <w:t xml:space="preserve">Proxies or logs LLM requests, then tracks cost, latency and quality per request, session and user; supports prompt versioning and an AI gateway with fallbacks.</w:t>
            </w:r>
          </w:p>
        </w:tc>
        <w:tc>
          <w:tcPr/>
          <w:p>
            <w:pPr>
              <w:pStyle w:val="Compact"/>
              <w:jc w:val="left"/>
            </w:pPr>
            <w:r>
              <w:t xml:space="preserve">Verified fact</w:t>
            </w:r>
          </w:p>
        </w:tc>
        <w:tc>
          <w:tcPr/>
          <w:p>
            <w:pPr>
              <w:pStyle w:val="Compact"/>
              <w:jc w:val="left"/>
            </w:pPr>
            <w:r>
              <w:t xml:space="preserve">A7-S046</w:t>
            </w:r>
          </w:p>
        </w:tc>
      </w:tr>
      <w:tr>
        <w:tc>
          <w:tcPr/>
          <w:p>
            <w:pPr>
              <w:pStyle w:val="Compact"/>
              <w:jc w:val="left"/>
            </w:pPr>
            <w:r>
              <w:t xml:space="preserve">Stack position</w:t>
            </w:r>
          </w:p>
        </w:tc>
        <w:tc>
          <w:tcPr/>
          <w:p>
            <w:pPr>
              <w:pStyle w:val="Compact"/>
              <w:jc w:val="left"/>
            </w:pPr>
            <w:r>
              <w:t xml:space="preserve">Overlaps C1 (gateway), L9 (observability) and C6 (cost tracking)</w:t>
            </w:r>
          </w:p>
        </w:tc>
        <w:tc>
          <w:tcPr/>
          <w:p>
            <w:pPr>
              <w:pStyle w:val="Compact"/>
              <w:jc w:val="left"/>
            </w:pPr>
            <w:r>
              <w:t xml:space="preserve">Verified fact</w:t>
            </w:r>
          </w:p>
        </w:tc>
        <w:tc>
          <w:tcPr/>
          <w:p>
            <w:pPr>
              <w:pStyle w:val="Compact"/>
              <w:jc w:val="left"/>
            </w:pPr>
            <w:r>
              <w:t xml:space="preserve">A7-S046</w:t>
            </w:r>
          </w:p>
        </w:tc>
      </w:tr>
      <w:tr>
        <w:tc>
          <w:tcPr/>
          <w:p>
            <w:pPr>
              <w:pStyle w:val="Compact"/>
              <w:jc w:val="left"/>
            </w:pPr>
            <w:r>
              <w:t xml:space="preserve">Integration</w:t>
            </w:r>
          </w:p>
        </w:tc>
        <w:tc>
          <w:tcPr/>
          <w:p>
            <w:pPr>
              <w:pStyle w:val="Compact"/>
              <w:jc w:val="left"/>
            </w:pPr>
            <w:r>
              <w:t xml:space="preserve">Change base URL to the Helicone gateway (OpenAI-compatible); integrations for OpenAI, Anthropic, Gemini, LangChain, Vercel AI SDK; export to PostHog</w:t>
            </w:r>
          </w:p>
        </w:tc>
        <w:tc>
          <w:tcPr/>
          <w:p>
            <w:pPr>
              <w:pStyle w:val="Compact"/>
              <w:jc w:val="left"/>
            </w:pPr>
            <w:r>
              <w:t xml:space="preserve">Verified fact</w:t>
            </w:r>
          </w:p>
        </w:tc>
        <w:tc>
          <w:tcPr/>
          <w:p>
            <w:pPr>
              <w:pStyle w:val="Compact"/>
              <w:jc w:val="left"/>
            </w:pPr>
            <w:r>
              <w:t xml:space="preserve">A7-S046</w:t>
            </w:r>
          </w:p>
        </w:tc>
      </w:tr>
      <w:tr>
        <w:tc>
          <w:tcPr/>
          <w:p>
            <w:pPr>
              <w:pStyle w:val="Compact"/>
              <w:jc w:val="left"/>
            </w:pPr>
            <w:r>
              <w:t xml:space="preserve">Dependencies</w:t>
            </w:r>
          </w:p>
        </w:tc>
        <w:tc>
          <w:tcPr/>
          <w:p>
            <w:pPr>
              <w:pStyle w:val="Compact"/>
              <w:jc w:val="left"/>
            </w:pPr>
            <w:r>
              <w:t xml:space="preserve">Self-hosting via docker-compose; production Helm chart available to enterprise customers on request</w:t>
            </w:r>
          </w:p>
        </w:tc>
        <w:tc>
          <w:tcPr/>
          <w:p>
            <w:pPr>
              <w:pStyle w:val="Compact"/>
              <w:jc w:val="left"/>
            </w:pPr>
            <w:r>
              <w:t xml:space="preserve">Verified fact</w:t>
            </w:r>
          </w:p>
        </w:tc>
        <w:tc>
          <w:tcPr/>
          <w:p>
            <w:pPr>
              <w:pStyle w:val="Compact"/>
              <w:jc w:val="left"/>
            </w:pPr>
            <w:r>
              <w:t xml:space="preserve">A7-S046</w:t>
            </w:r>
          </w:p>
        </w:tc>
      </w:tr>
      <w:tr>
        <w:tc>
          <w:tcPr/>
          <w:p>
            <w:pPr>
              <w:pStyle w:val="Compact"/>
              <w:jc w:val="left"/>
            </w:pPr>
            <w:r>
              <w:t xml:space="preserve">Certifications</w:t>
            </w:r>
          </w:p>
        </w:tc>
        <w:tc>
          <w:tcPr/>
          <w:p>
            <w:pPr>
              <w:pStyle w:val="Compact"/>
              <w:jc w:val="left"/>
            </w:pPr>
            <w:r>
              <w:t xml:space="preserve">Claims</w:t>
            </w:r>
            <w:r>
              <w:t xml:space="preserve"> </w:t>
            </w:r>
            <w:r>
              <w:t xml:space="preserve">‘</w:t>
            </w:r>
            <w:r>
              <w:t xml:space="preserve">SOC 2 and GDPR compliant</w:t>
            </w:r>
            <w:r>
              <w:t xml:space="preserve">’</w:t>
            </w:r>
            <w:r>
              <w:t xml:space="preserve"> </w:t>
            </w:r>
            <w:r>
              <w:t xml:space="preserve">(README; SOC 2 type not stated)</w:t>
            </w:r>
          </w:p>
        </w:tc>
        <w:tc>
          <w:tcPr/>
          <w:p>
            <w:pPr>
              <w:pStyle w:val="Compact"/>
              <w:jc w:val="left"/>
            </w:pPr>
            <w:r>
              <w:t xml:space="preserve">Verified fact</w:t>
            </w:r>
          </w:p>
        </w:tc>
        <w:tc>
          <w:tcPr/>
          <w:p>
            <w:pPr>
              <w:pStyle w:val="Compact"/>
              <w:jc w:val="left"/>
            </w:pPr>
            <w:r>
              <w:t xml:space="preserve">A7-S046</w:t>
            </w:r>
          </w:p>
        </w:tc>
      </w:tr>
      <w:tr>
        <w:tc>
          <w:tcPr/>
          <w:p>
            <w:pPr>
              <w:pStyle w:val="Compact"/>
              <w:jc w:val="left"/>
            </w:pPr>
            <w:r>
              <w:t xml:space="preserve">GDPR / residency</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Security features</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Access controls</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Enterprise support</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Pricing</w:t>
            </w:r>
          </w:p>
        </w:tc>
        <w:tc>
          <w:tcPr/>
          <w:p>
            <w:pPr>
              <w:pStyle w:val="Compact"/>
              <w:jc w:val="left"/>
            </w:pPr>
            <w:r>
              <w:t xml:space="preserve">Free tier of 10,000 requests per month, no credit card; paid plans not verified</w:t>
            </w:r>
          </w:p>
        </w:tc>
        <w:tc>
          <w:tcPr/>
          <w:p>
            <w:pPr>
              <w:pStyle w:val="Compact"/>
              <w:jc w:val="left"/>
            </w:pPr>
            <w:r>
              <w:t xml:space="preserve">Verified fact</w:t>
            </w:r>
          </w:p>
        </w:tc>
        <w:tc>
          <w:tcPr/>
          <w:p>
            <w:pPr>
              <w:pStyle w:val="Compact"/>
              <w:jc w:val="left"/>
            </w:pPr>
            <w:r>
              <w:t xml:space="preserve">A7-S046</w:t>
            </w:r>
          </w:p>
        </w:tc>
      </w:tr>
      <w:tr>
        <w:tc>
          <w:tcPr/>
          <w:p>
            <w:pPr>
              <w:pStyle w:val="Compact"/>
              <w:jc w:val="left"/>
            </w:pPr>
            <w:r>
              <w:t xml:space="preserve">Infrastructure cost</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Ecosystem</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Adoption signals</w:t>
            </w:r>
          </w:p>
        </w:tc>
        <w:tc>
          <w:tcPr/>
          <w:p>
            <w:pPr>
              <w:pStyle w:val="Compact"/>
              <w:jc w:val="left"/>
            </w:pPr>
            <w:r>
              <w:t xml:space="preserve">Helicone states 14.2 trillion tokens processed and 16,000 organisations served over three years</w:t>
            </w:r>
          </w:p>
        </w:tc>
        <w:tc>
          <w:tcPr/>
          <w:p>
            <w:pPr>
              <w:pStyle w:val="Compact"/>
              <w:jc w:val="left"/>
            </w:pPr>
            <w:r>
              <w:t xml:space="preserve">Verified fact</w:t>
            </w:r>
          </w:p>
        </w:tc>
        <w:tc>
          <w:tcPr/>
          <w:p>
            <w:pPr>
              <w:pStyle w:val="Compact"/>
              <w:jc w:val="left"/>
            </w:pPr>
            <w:r>
              <w:t xml:space="preserve">A7-S112</w:t>
            </w:r>
          </w:p>
        </w:tc>
      </w:tr>
      <w:tr>
        <w:tc>
          <w:tcPr/>
          <w:p>
            <w:pPr>
              <w:pStyle w:val="Compact"/>
              <w:jc w:val="left"/>
            </w:pPr>
            <w:r>
              <w:t xml:space="preserve">Maturity</w:t>
            </w:r>
          </w:p>
        </w:tc>
        <w:tc>
          <w:tcPr/>
          <w:p>
            <w:pPr>
              <w:pStyle w:val="Compact"/>
              <w:jc w:val="left"/>
            </w:pPr>
            <w:r>
              <w:t xml:space="preserve">npm helper packages show no release since 7 November 2025</w:t>
            </w:r>
          </w:p>
        </w:tc>
        <w:tc>
          <w:tcPr/>
          <w:p>
            <w:pPr>
              <w:pStyle w:val="Compact"/>
              <w:jc w:val="left"/>
            </w:pPr>
            <w:r>
              <w:t xml:space="preserve">Verified fact</w:t>
            </w:r>
          </w:p>
        </w:tc>
        <w:tc>
          <w:tcPr/>
          <w:p>
            <w:pPr>
              <w:pStyle w:val="Compact"/>
              <w:jc w:val="left"/>
            </w:pPr>
            <w:r>
              <w:t xml:space="preserve">A7-S047</w:t>
            </w:r>
          </w:p>
        </w:tc>
      </w:tr>
      <w:tr>
        <w:tc>
          <w:tcPr/>
          <w:p>
            <w:pPr>
              <w:pStyle w:val="Compact"/>
              <w:jc w:val="left"/>
            </w:pPr>
            <w:r>
              <w:t xml:space="preserve">Deployment</w:t>
            </w:r>
          </w:p>
        </w:tc>
        <w:tc>
          <w:tcPr/>
          <w:p>
            <w:pPr>
              <w:pStyle w:val="Compact"/>
              <w:jc w:val="left"/>
            </w:pPr>
            <w:r>
              <w:t xml:space="preserve">saas: Yes; managed_cloud: Not publicly verified; vpc_byoc: Not publicly verified; private_cloud: Not publicly verified; self_hosted: Yes (Docker; Helm for enterprise); on_prem: Not publicly verified</w:t>
            </w:r>
          </w:p>
        </w:tc>
        <w:tc>
          <w:tcPr/>
          <w:p>
            <w:pPr>
              <w:pStyle w:val="Compact"/>
            </w:pPr>
          </w:p>
        </w:tc>
        <w:tc>
          <w:tcPr/>
          <w:p>
            <w:pPr>
              <w:pStyle w:val="Compact"/>
            </w:pPr>
          </w:p>
        </w:tc>
      </w:tr>
    </w:tbl>
    <w:bookmarkEnd w:id="2309"/>
    <w:bookmarkEnd w:id="2310"/>
    <w:bookmarkStart w:id="2408" w:name="c7-ai-security"/>
    <w:p>
      <w:pPr>
        <w:pStyle w:val="Heading1"/>
      </w:pPr>
      <w:r>
        <w:t xml:space="preserve">C7: AI security</w:t>
      </w:r>
    </w:p>
    <w:bookmarkStart w:id="2326" w:name="X06191f78b6dbc0380b72036042131c5ee689d81"/>
    <w:p>
      <w:pPr>
        <w:pStyle w:val="Heading2"/>
      </w:pPr>
      <w:r>
        <w:t xml:space="preserve">HashiCorp Vault (IBM Vault Self-Managed; HCP Vault Dedicated) (</w:t>
      </w:r>
      <w:r>
        <w:rPr>
          <w:rStyle w:val="VerbatimChar"/>
        </w:rPr>
        <w:t xml:space="preserve">C7-hashicorp-vault</w:t>
      </w:r>
      <w:r>
        <w:t xml:space="preserve">)</w:t>
      </w:r>
    </w:p>
    <w:p>
      <w:pPr>
        <w:pStyle w:val="FirstParagraph"/>
      </w:pPr>
      <w:r>
        <w:rPr>
          <w:bCs/>
          <w:b/>
        </w:rPr>
        <w:t xml:space="preserve">Tier:</w:t>
      </w:r>
      <w:r>
        <w:t xml:space="preserve"> </w:t>
      </w:r>
      <w:r>
        <w:t xml:space="preserve">Strategic ·</w:t>
      </w:r>
      <w:r>
        <w:t xml:space="preserve"> </w:t>
      </w:r>
      <w:r>
        <w:rPr>
          <w:bCs/>
          <w:b/>
        </w:rPr>
        <w:t xml:space="preserve">Flags:</w:t>
      </w:r>
      <w:r>
        <w:t xml:space="preserve"> </w:t>
      </w:r>
      <w:r>
        <w:t xml:space="preserve">Acquired ·</w:t>
      </w:r>
      <w:r>
        <w:t xml:space="preserve"> </w:t>
      </w:r>
      <w:r>
        <w:rPr>
          <w:bCs/>
          <w:b/>
        </w:rPr>
        <w:t xml:space="preserve">Original graphic label:</w:t>
      </w:r>
      <w:r>
        <w:t xml:space="preserve"> </w:t>
      </w:r>
      <w:r>
        <w:t xml:space="preserve">not in graphic</w:t>
      </w:r>
    </w:p>
    <w:p>
      <w:pPr>
        <w:pStyle w:val="BodyText"/>
      </w:pPr>
      <w:r>
        <w:rPr>
          <w:iCs/>
          <w:i/>
        </w:rPr>
        <w:t xml:space="preserve">Rationale:</w:t>
      </w:r>
      <w:r>
        <w:t xml:space="preserve"> </w:t>
      </w:r>
      <w:r>
        <w:t xml:space="preserve">Strategic for secrets and agent credential brokerage, conditional on accepting BUSL and IBM ownership (lock-in 2)</w:t>
      </w:r>
      <w:r>
        <w:t xml:space="preserve"> </w:t>
      </w:r>
      <w:r>
        <w:rPr>
          <w:rStyle w:val="ClaimLabel"/>
        </w:rPr>
        <w:t xml:space="preserve">AJ</w:t>
      </w:r>
      <w:r>
        <w:t xml:space="preserve">.</w:t>
      </w:r>
    </w:p>
    <w:tbl>
      <w:tblPr>
        <w:tblStyle w:val="Table"/>
        <w:tblW w:type="pct" w:w="5000"/>
        <w:tblLook w:firstRow="1" w:lastRow="0" w:firstColumn="0" w:lastColumn="0" w:noHBand="0" w:noVBand="0" w:val="0020"/>
        <w:jc w:val="start"/>
      </w:tblPr>
      <w:tblGrid>
        <w:gridCol w:w="1545"/>
        <w:gridCol w:w="579"/>
        <w:gridCol w:w="5795"/>
      </w:tblGrid>
      <w:tr>
        <w:trPr>
          <w:tblHeader w:val="true"/>
        </w:trPr>
        <w:tc>
          <w:tcPr/>
          <w:p>
            <w:pPr>
              <w:pStyle w:val="Compact"/>
              <w:jc w:val="left"/>
            </w:pPr>
            <w:r>
              <w:t xml:space="preserve">Criterion</w:t>
            </w:r>
          </w:p>
        </w:tc>
        <w:tc>
          <w:tcPr/>
          <w:p>
            <w:pPr>
              <w:pStyle w:val="Compact"/>
              <w:jc w:val="right"/>
            </w:pPr>
            <w:r>
              <w:t xml:space="preserve">Score</w:t>
            </w:r>
          </w:p>
        </w:tc>
        <w:tc>
          <w:tcPr/>
          <w:p>
            <w:pPr>
              <w:pStyle w:val="Compact"/>
              <w:jc w:val="left"/>
            </w:pPr>
            <w:r>
              <w:t xml:space="preserve">Rationale</w:t>
            </w:r>
          </w:p>
        </w:tc>
      </w:tr>
      <w:tr>
        <w:tc>
          <w:tcPr/>
          <w:p>
            <w:pPr>
              <w:pStyle w:val="Compact"/>
              <w:jc w:val="left"/>
            </w:pPr>
            <w:r>
              <w:t xml:space="preserve">Technical</w:t>
            </w:r>
          </w:p>
        </w:tc>
        <w:tc>
          <w:tcPr/>
          <w:p>
            <w:pPr>
              <w:pStyle w:val="Compact"/>
              <w:jc w:val="right"/>
            </w:pPr>
            <w:r>
              <w:t xml:space="preserve">4</w:t>
            </w:r>
          </w:p>
        </w:tc>
        <w:tc>
          <w:tcPr/>
          <w:p>
            <w:pPr>
              <w:pStyle w:val="Compact"/>
              <w:jc w:val="left"/>
            </w:pPr>
            <w:r>
              <w:t xml:space="preserve">Leading depth in secrets and agent credential brokerage; not a prompt-injection or supply-chain control.</w:t>
            </w:r>
          </w:p>
        </w:tc>
      </w:tr>
      <w:tr>
        <w:tc>
          <w:tcPr/>
          <w:p>
            <w:pPr>
              <w:pStyle w:val="Compact"/>
              <w:jc w:val="left"/>
            </w:pPr>
            <w:r>
              <w:t xml:space="preserve">Enterprise readiness</w:t>
            </w:r>
          </w:p>
        </w:tc>
        <w:tc>
          <w:tcPr/>
          <w:p>
            <w:pPr>
              <w:pStyle w:val="Compact"/>
              <w:jc w:val="right"/>
            </w:pPr>
            <w:r>
              <w:t xml:space="preserve">4</w:t>
            </w:r>
          </w:p>
        </w:tc>
        <w:tc>
          <w:tcPr/>
          <w:p>
            <w:pPr>
              <w:pStyle w:val="Compact"/>
              <w:jc w:val="left"/>
            </w:pPr>
            <w:r>
              <w:t xml:space="preserve">Policy ACLs, namespaces (multi-tenancy), SCIM 2.0, audit devices and IBM support lifecycle; human SSO and SLA not verified in the dataset.</w:t>
            </w:r>
          </w:p>
        </w:tc>
      </w:tr>
      <w:tr>
        <w:tc>
          <w:tcPr/>
          <w:p>
            <w:pPr>
              <w:pStyle w:val="Compact"/>
              <w:jc w:val="left"/>
            </w:pPr>
            <w:r>
              <w:t xml:space="preserve">Security and compliance</w:t>
            </w:r>
          </w:p>
        </w:tc>
        <w:tc>
          <w:tcPr/>
          <w:p>
            <w:pPr>
              <w:pStyle w:val="Compact"/>
              <w:jc w:val="right"/>
            </w:pPr>
            <w:r>
              <w:t xml:space="preserve">4</w:t>
            </w:r>
          </w:p>
        </w:tc>
        <w:tc>
          <w:tcPr/>
          <w:p>
            <w:pPr>
              <w:pStyle w:val="Compact"/>
              <w:jc w:val="left"/>
            </w:pPr>
            <w:r>
              <w:t xml:space="preserve">SOC 2 Type 2 and ISO 27001 with IBM Vault in scope (anchor 4); no CMK/BYOK, ISO 42001 or FedRAMP evidence for 5.</w:t>
            </w:r>
          </w:p>
        </w:tc>
      </w:tr>
      <w:tr>
        <w:tc>
          <w:tcPr/>
          <w:p>
            <w:pPr>
              <w:pStyle w:val="Compact"/>
              <w:jc w:val="left"/>
            </w:pPr>
            <w:r>
              <w:t xml:space="preserve">Deployment flexibility</w:t>
            </w:r>
          </w:p>
        </w:tc>
        <w:tc>
          <w:tcPr/>
          <w:p>
            <w:pPr>
              <w:pStyle w:val="Compact"/>
              <w:jc w:val="right"/>
            </w:pPr>
            <w:r>
              <w:t xml:space="preserve">4</w:t>
            </w:r>
          </w:p>
        </w:tc>
        <w:tc>
          <w:tcPr/>
          <w:p>
            <w:pPr>
              <w:pStyle w:val="Compact"/>
              <w:jc w:val="left"/>
            </w:pPr>
            <w:r>
              <w:t xml:space="preserve">HCP Vault Dedicated plus self-managed on-prem; air-gap not verified.</w:t>
            </w:r>
          </w:p>
        </w:tc>
      </w:tr>
      <w:tr>
        <w:tc>
          <w:tcPr/>
          <w:p>
            <w:pPr>
              <w:pStyle w:val="Compact"/>
              <w:jc w:val="left"/>
            </w:pPr>
            <w:r>
              <w:t xml:space="preserve">Ecosystem</w:t>
            </w:r>
          </w:p>
        </w:tc>
        <w:tc>
          <w:tcPr/>
          <w:p>
            <w:pPr>
              <w:pStyle w:val="Compact"/>
              <w:jc w:val="right"/>
            </w:pPr>
            <w:r>
              <w:t xml:space="preserve">4</w:t>
            </w:r>
          </w:p>
        </w:tc>
        <w:tc>
          <w:tcPr/>
          <w:p>
            <w:pPr>
              <w:pStyle w:val="Compact"/>
              <w:jc w:val="left"/>
            </w:pPr>
            <w:r>
              <w:t xml:space="preserve">API, CLI, Terraform provider and validated IdPs (IBM Verify, Auth0, PingFederate, Entra, Okta).</w:t>
            </w:r>
          </w:p>
        </w:tc>
      </w:tr>
      <w:tr>
        <w:tc>
          <w:tcPr/>
          <w:p>
            <w:pPr>
              <w:pStyle w:val="Compact"/>
              <w:jc w:val="left"/>
            </w:pPr>
            <w:r>
              <w:t xml:space="preserve">Reliability and maturity</w:t>
            </w:r>
          </w:p>
        </w:tc>
        <w:tc>
          <w:tcPr/>
          <w:p>
            <w:pPr>
              <w:pStyle w:val="Compact"/>
              <w:jc w:val="right"/>
            </w:pPr>
            <w:r>
              <w:t xml:space="preserve">4</w:t>
            </w:r>
          </w:p>
        </w:tc>
        <w:tc>
          <w:tcPr/>
          <w:p>
            <w:pPr>
              <w:pStyle w:val="Compact"/>
              <w:jc w:val="left"/>
            </w:pPr>
            <w:r>
              <w:t xml:space="preserve">Years of production use and IBM lifecycle; IBM ownership change (February 2025) and 2.0 major-version transition noted.</w:t>
            </w:r>
          </w:p>
        </w:tc>
      </w:tr>
      <w:tr>
        <w:tc>
          <w:tcPr/>
          <w:p>
            <w:pPr>
              <w:pStyle w:val="Compact"/>
              <w:jc w:val="left"/>
            </w:pPr>
            <w:r>
              <w:t xml:space="preserve">Cost / TCO</w:t>
            </w:r>
          </w:p>
        </w:tc>
        <w:tc>
          <w:tcPr/>
          <w:p>
            <w:pPr>
              <w:pStyle w:val="Compact"/>
              <w:jc w:val="right"/>
            </w:pPr>
            <w:r>
              <w:t xml:space="preserve">3</w:t>
            </w:r>
          </w:p>
        </w:tc>
        <w:tc>
          <w:tcPr/>
          <w:p>
            <w:pPr>
              <w:pStyle w:val="Compact"/>
              <w:jc w:val="left"/>
            </w:pPr>
            <w:r>
              <w:t xml:space="preserve">BUSL community use free; Enterprise needed for agentic IAM; HCP hourly pricing published.</w:t>
            </w:r>
          </w:p>
        </w:tc>
      </w:tr>
      <w:tr>
        <w:tc>
          <w:tcPr/>
          <w:p>
            <w:pPr>
              <w:pStyle w:val="Compact"/>
              <w:jc w:val="left"/>
            </w:pPr>
            <w:r>
              <w:t xml:space="preserve">Lock-in / portability</w:t>
            </w:r>
          </w:p>
        </w:tc>
        <w:tc>
          <w:tcPr/>
          <w:p>
            <w:pPr>
              <w:pStyle w:val="Compact"/>
              <w:jc w:val="right"/>
            </w:pPr>
            <w:r>
              <w:t xml:space="preserve">2</w:t>
            </w:r>
          </w:p>
        </w:tc>
        <w:tc>
          <w:tcPr/>
          <w:p>
            <w:pPr>
              <w:pStyle w:val="Compact"/>
              <w:jc w:val="left"/>
            </w:pPr>
            <w:r>
              <w:t xml:space="preserve">Source-available BUSL (base 3), reduced by 1 for the 2025 acquisition (rule 3); licence risk under rule 4.</w:t>
            </w:r>
          </w:p>
        </w:tc>
      </w:tr>
      <w:tr>
        <w:tc>
          <w:tcPr/>
          <w:p>
            <w:pPr>
              <w:pStyle w:val="Compact"/>
              <w:jc w:val="left"/>
            </w:pPr>
            <w:r>
              <w:rPr>
                <w:bCs/>
                <w:b/>
              </w:rPr>
              <w:t xml:space="preserve">Total (generic / FS)</w:t>
            </w:r>
          </w:p>
        </w:tc>
        <w:tc>
          <w:tcPr/>
          <w:p>
            <w:pPr>
              <w:pStyle w:val="Compact"/>
              <w:jc w:val="right"/>
            </w:pPr>
            <w:r>
              <w:rPr>
                <w:bCs/>
                <w:b/>
              </w:rPr>
              <w:t xml:space="preserve">3.80 / 3.65</w:t>
            </w:r>
          </w:p>
        </w:tc>
        <w:tc>
          <w:tcPr/>
          <w:p>
            <w:pPr>
              <w:pStyle w:val="Compact"/>
            </w:pPr>
          </w:p>
        </w:tc>
      </w:tr>
    </w:tbl>
    <w:p>
      <w:pPr>
        <w:pStyle w:val="BodyText"/>
      </w:pPr>
      <w:r>
        <w:rPr>
          <w:bCs/>
          <w:b/>
        </w:rPr>
        <w:t xml:space="preserve">Capabilities.</w:t>
      </w:r>
      <w:r>
        <w:t xml:space="preserve"> </w:t>
      </w:r>
      <w:r>
        <w:t xml:space="preserve">Secrets storage and brokerage, dynamic credentials and certificates, identity-based authorisation; agentic IAM (GA in Vault Enterprise 2.1, 1 September 2026) registers agents, validates IdP OAuth JWTs, enforces user, agent-ceiling and request-scoped authorisation, and records user and agent in audit logs</w:t>
      </w:r>
      <w:r>
        <w:t xml:space="preserve"> </w:t>
      </w:r>
      <w:r>
        <w:rPr>
          <w:rStyle w:val="ClaimLabel"/>
        </w:rPr>
        <w:t xml:space="preserve">VF</w:t>
      </w:r>
      <w:r>
        <w:rPr>
          <w:rStyle w:val="FootnoteReference"/>
        </w:rPr>
        <w:footnoteReference w:id="2311"/>
      </w:r>
      <w:r>
        <w:t xml:space="preserve">.</w:t>
      </w:r>
    </w:p>
    <w:p>
      <w:pPr>
        <w:pStyle w:val="BodyText"/>
      </w:pPr>
      <w:r>
        <w:rPr>
          <w:bCs/>
          <w:b/>
        </w:rPr>
        <w:t xml:space="preserve">Strengths</w:t>
      </w:r>
    </w:p>
    <w:p>
      <w:pPr>
        <w:numPr>
          <w:ilvl w:val="0"/>
          <w:numId w:val="1509"/>
        </w:numPr>
        <w:pStyle w:val="Compact"/>
      </w:pPr>
      <w:r>
        <w:t xml:space="preserve">Keeps credentials out of the model with short-lived, request-scoped issuance and dual attribution</w:t>
      </w:r>
      <w:r>
        <w:t xml:space="preserve"> </w:t>
      </w:r>
      <w:r>
        <w:rPr>
          <w:rStyle w:val="ClaimLabel"/>
        </w:rPr>
        <w:t xml:space="preserve">VF</w:t>
      </w:r>
      <w:r>
        <w:rPr>
          <w:rStyle w:val="FootnoteReference"/>
        </w:rPr>
        <w:footnoteReference w:id="2314"/>
      </w:r>
      <w:r>
        <w:t xml:space="preserve"> </w:t>
      </w:r>
      <w:r>
        <w:rPr>
          <w:rStyle w:val="ClaimLabel"/>
        </w:rPr>
        <w:t xml:space="preserve">AJ</w:t>
      </w:r>
    </w:p>
    <w:p>
      <w:pPr>
        <w:numPr>
          <w:ilvl w:val="0"/>
          <w:numId w:val="1509"/>
        </w:numPr>
        <w:pStyle w:val="Compact"/>
      </w:pPr>
      <w:r>
        <w:t xml:space="preserve">SOC 2 Type 2 and ISO 27001/27017/27018 with IBM Vault in scope; FIPS 140-2 for Enterprise</w:t>
      </w:r>
      <w:r>
        <w:t xml:space="preserve"> </w:t>
      </w:r>
      <w:r>
        <w:rPr>
          <w:rStyle w:val="ClaimLabel"/>
        </w:rPr>
        <w:t xml:space="preserve">VF</w:t>
      </w:r>
      <w:r>
        <w:rPr>
          <w:rStyle w:val="FootnoteReference"/>
        </w:rPr>
        <w:footnoteReference w:id="2315"/>
      </w:r>
    </w:p>
    <w:p>
      <w:pPr>
        <w:numPr>
          <w:ilvl w:val="0"/>
          <w:numId w:val="1509"/>
        </w:numPr>
        <w:pStyle w:val="Compact"/>
      </w:pPr>
      <w:r>
        <w:t xml:space="preserve">Namespaces, SCIM 2.0, policy ACLs and audit devices</w:t>
      </w:r>
      <w:r>
        <w:t xml:space="preserve"> </w:t>
      </w:r>
      <w:r>
        <w:rPr>
          <w:rStyle w:val="ClaimLabel"/>
        </w:rPr>
        <w:t xml:space="preserve">VF</w:t>
      </w:r>
      <w:r>
        <w:rPr>
          <w:rStyle w:val="FootnoteReference"/>
        </w:rPr>
        <w:footnoteReference w:id="2317"/>
      </w:r>
    </w:p>
    <w:p>
      <w:pPr>
        <w:numPr>
          <w:ilvl w:val="0"/>
          <w:numId w:val="1509"/>
        </w:numPr>
        <w:pStyle w:val="Compact"/>
      </w:pPr>
      <w:r>
        <w:t xml:space="preserve">IBM lifecycle: two years support plus extensions</w:t>
      </w:r>
      <w:r>
        <w:t xml:space="preserve"> </w:t>
      </w:r>
      <w:r>
        <w:rPr>
          <w:rStyle w:val="ClaimLabel"/>
        </w:rPr>
        <w:t xml:space="preserve">VF</w:t>
      </w:r>
      <w:r>
        <w:rPr>
          <w:rStyle w:val="FootnoteReference"/>
        </w:rPr>
        <w:footnoteReference w:id="2319"/>
      </w:r>
    </w:p>
    <w:p>
      <w:pPr>
        <w:pStyle w:val="FirstParagraph"/>
      </w:pPr>
      <w:r>
        <w:rPr>
          <w:bCs/>
          <w:b/>
        </w:rPr>
        <w:t xml:space="preserve">Limitations and risks</w:t>
      </w:r>
    </w:p>
    <w:p>
      <w:pPr>
        <w:numPr>
          <w:ilvl w:val="0"/>
          <w:numId w:val="1510"/>
        </w:numPr>
        <w:pStyle w:val="Compact"/>
      </w:pPr>
      <w:r>
        <w:t xml:space="preserve">BUSL 1.1 (IBM licensor) restricts competing hosted or embedded offerings</w:t>
      </w:r>
      <w:r>
        <w:t xml:space="preserve"> </w:t>
      </w:r>
      <w:r>
        <w:rPr>
          <w:rStyle w:val="ClaimLabel"/>
        </w:rPr>
        <w:t xml:space="preserve">VF</w:t>
      </w:r>
      <w:r>
        <w:rPr>
          <w:rStyle w:val="FootnoteReference"/>
        </w:rPr>
        <w:footnoteReference w:id="2320"/>
      </w:r>
    </w:p>
    <w:p>
      <w:pPr>
        <w:numPr>
          <w:ilvl w:val="0"/>
          <w:numId w:val="1510"/>
        </w:numPr>
        <w:pStyle w:val="Compact"/>
      </w:pPr>
      <w:r>
        <w:t xml:space="preserve">Agentic IAM is Enterprise-only</w:t>
      </w:r>
      <w:r>
        <w:t xml:space="preserve"> </w:t>
      </w:r>
      <w:r>
        <w:rPr>
          <w:rStyle w:val="ClaimLabel"/>
        </w:rPr>
        <w:t xml:space="preserve">VF</w:t>
      </w:r>
      <w:r>
        <w:rPr>
          <w:rStyle w:val="FootnoteReference"/>
        </w:rPr>
        <w:footnoteReference w:id="2322"/>
      </w:r>
    </w:p>
    <w:p>
      <w:pPr>
        <w:numPr>
          <w:ilvl w:val="0"/>
          <w:numId w:val="1510"/>
        </w:numPr>
        <w:pStyle w:val="Compact"/>
      </w:pPr>
      <w:r>
        <w:t xml:space="preserve">Owned by IBM since 27 February 2025</w:t>
      </w:r>
      <w:r>
        <w:t xml:space="preserve"> </w:t>
      </w:r>
      <w:r>
        <w:rPr>
          <w:rStyle w:val="ClaimLabel"/>
        </w:rPr>
        <w:t xml:space="preserve">VF</w:t>
      </w:r>
      <w:r>
        <w:rPr>
          <w:rStyle w:val="FootnoteReference"/>
        </w:rPr>
        <w:footnoteReference w:id="2323"/>
      </w:r>
    </w:p>
    <w:p>
      <w:pPr>
        <w:numPr>
          <w:ilvl w:val="0"/>
          <w:numId w:val="1510"/>
        </w:numPr>
        <w:pStyle w:val="Compact"/>
      </w:pPr>
      <w:r>
        <w:t xml:space="preserve">Version caveat: changelog stops at 2.1.1 but a v2.1.2 tag exists</w:t>
      </w:r>
      <w:r>
        <w:t xml:space="preserve"> </w:t>
      </w:r>
      <w:r>
        <w:rPr>
          <w:rStyle w:val="ClaimLabel"/>
        </w:rPr>
        <w:t xml:space="preserve">VF</w:t>
      </w:r>
      <w:r>
        <w:rPr>
          <w:rStyle w:val="FootnoteReference"/>
        </w:rPr>
        <w:footnoteReference w:id="2325"/>
      </w:r>
    </w:p>
    <w:p>
      <w:pPr>
        <w:pStyle w:val="FirstParagraph"/>
      </w:pPr>
      <w:r>
        <w:rPr>
          <w:bCs/>
          <w:b/>
        </w:rPr>
        <w:t xml:space="preserve">Choose when</w:t>
      </w:r>
    </w:p>
    <w:p>
      <w:pPr>
        <w:numPr>
          <w:ilvl w:val="0"/>
          <w:numId w:val="1511"/>
        </w:numPr>
        <w:pStyle w:val="Compact"/>
      </w:pPr>
      <w:r>
        <w:t xml:space="preserve">Multi-cloud or hybrid estate needing one broker for human, workload and agent credentials</w:t>
      </w:r>
      <w:r>
        <w:t xml:space="preserve"> </w:t>
      </w:r>
      <w:r>
        <w:rPr>
          <w:rStyle w:val="ClaimLabel"/>
        </w:rPr>
        <w:t xml:space="preserve">AJ</w:t>
      </w:r>
    </w:p>
    <w:p>
      <w:pPr>
        <w:pStyle w:val="FirstParagraph"/>
      </w:pPr>
      <w:r>
        <w:rPr>
          <w:bCs/>
          <w:b/>
        </w:rPr>
        <w:t xml:space="preserve">Avoid when</w:t>
      </w:r>
    </w:p>
    <w:p>
      <w:pPr>
        <w:numPr>
          <w:ilvl w:val="0"/>
          <w:numId w:val="1512"/>
        </w:numPr>
        <w:pStyle w:val="Compact"/>
      </w:pPr>
      <w:r>
        <w:t xml:space="preserve">A single cloud’s native secrets service suffices and agent delegation is not needed</w:t>
      </w:r>
      <w:r>
        <w:t xml:space="preserve"> </w:t>
      </w:r>
      <w:r>
        <w:rPr>
          <w:rStyle w:val="ClaimLabel"/>
        </w:rPr>
        <w:t xml:space="preserve">AJ</w:t>
      </w:r>
    </w:p>
    <w:p>
      <w:pPr>
        <w:pStyle w:val="FirstParagraph"/>
      </w:pPr>
      <w:r>
        <w:rPr>
          <w:bCs/>
          <w:b/>
        </w:rPr>
        <w:t xml:space="preserve">Nearest competitors:</w:t>
      </w:r>
      <w:r>
        <w:t xml:space="preserve"> </w:t>
      </w:r>
      <w:r>
        <w:t xml:space="preserve">Cloud-native secrets managers, C4-entra-agent-id, C4-okta-auth0-ai-agents</w:t>
      </w:r>
    </w:p>
    <w:p>
      <w:pPr>
        <w:pStyle w:val="BodyText"/>
      </w:pPr>
      <w:r>
        <w:rPr>
          <w:bCs/>
          <w:b/>
        </w:rPr>
        <w:t xml:space="preserve">Regulated-FS note.</w:t>
      </w:r>
      <w:r>
        <w:t xml:space="preserve"> </w:t>
      </w:r>
      <w:r>
        <w:t xml:space="preserve">Use audit devices as the authoritative record of which agent obtained which credential on whose behalf; include IBM in concentration analysis if watsonx.governance is also chosen</w:t>
      </w:r>
      <w:r>
        <w:t xml:space="preserve"> </w:t>
      </w:r>
      <w:r>
        <w:rPr>
          <w:rStyle w:val="ClaimLabel"/>
        </w:rPr>
        <w:t xml:space="preserve">Rec</w:t>
      </w:r>
      <w:r>
        <w:t xml:space="preserve">.</w:t>
      </w:r>
    </w:p>
    <w:p>
      <w:pPr>
        <w:pStyle w:val="BodyText"/>
      </w:pPr>
      <w:r>
        <w:rPr>
          <w:bCs/>
          <w:b/>
        </w:rPr>
        <w:t xml:space="preserve">Facts (as of 2026-10-08)</w:t>
      </w:r>
    </w:p>
    <w:tbl>
      <w:tblPr>
        <w:tblStyle w:val="Table"/>
        <w:tblW w:type="pct" w:w="5000"/>
        <w:tblLook w:firstRow="1" w:lastRow="0" w:firstColumn="0" w:lastColumn="0" w:noHBand="0" w:noVBand="0" w:val="0020"/>
        <w:jc w:val="start"/>
      </w:tblPr>
      <w:tblGrid>
        <w:gridCol w:w="1485"/>
        <w:gridCol w:w="4290"/>
        <w:gridCol w:w="1320"/>
        <w:gridCol w:w="825"/>
      </w:tblGrid>
      <w:tr>
        <w:trPr>
          <w:tblHeader w:val="true"/>
        </w:trPr>
        <w:tc>
          <w:tcPr/>
          <w:p>
            <w:pPr>
              <w:pStyle w:val="Compact"/>
              <w:jc w:val="left"/>
            </w:pPr>
            <w:r>
              <w:t xml:space="preserve">Field</w:t>
            </w:r>
          </w:p>
        </w:tc>
        <w:tc>
          <w:tcPr/>
          <w:p>
            <w:pPr>
              <w:pStyle w:val="Compact"/>
              <w:jc w:val="left"/>
            </w:pPr>
            <w:r>
              <w:t xml:space="preserve">Value</w:t>
            </w:r>
          </w:p>
        </w:tc>
        <w:tc>
          <w:tcPr/>
          <w:p>
            <w:pPr>
              <w:pStyle w:val="Compact"/>
              <w:jc w:val="left"/>
            </w:pPr>
            <w:r>
              <w:t xml:space="preserve">Label</w:t>
            </w:r>
          </w:p>
        </w:tc>
        <w:tc>
          <w:tcPr/>
          <w:p>
            <w:pPr>
              <w:pStyle w:val="Compact"/>
              <w:jc w:val="left"/>
            </w:pPr>
            <w:r>
              <w:t xml:space="preserve">Sources</w:t>
            </w:r>
          </w:p>
        </w:tc>
      </w:tr>
      <w:tr>
        <w:tc>
          <w:tcPr/>
          <w:p>
            <w:pPr>
              <w:pStyle w:val="Compact"/>
              <w:jc w:val="left"/>
            </w:pPr>
            <w:r>
              <w:t xml:space="preserve">Company</w:t>
            </w:r>
          </w:p>
        </w:tc>
        <w:tc>
          <w:tcPr/>
          <w:p>
            <w:pPr>
              <w:pStyle w:val="Compact"/>
              <w:jc w:val="left"/>
            </w:pPr>
            <w:r>
              <w:t xml:space="preserve">HashiCorp, an IBM company (IBM acquisition closed 27 February 2025)</w:t>
            </w:r>
          </w:p>
        </w:tc>
        <w:tc>
          <w:tcPr/>
          <w:p>
            <w:pPr>
              <w:pStyle w:val="Compact"/>
              <w:jc w:val="left"/>
            </w:pPr>
            <w:r>
              <w:t xml:space="preserve">Verified fact</w:t>
            </w:r>
          </w:p>
        </w:tc>
        <w:tc>
          <w:tcPr/>
          <w:p>
            <w:pPr>
              <w:pStyle w:val="Compact"/>
              <w:jc w:val="left"/>
            </w:pPr>
            <w:r>
              <w:t xml:space="preserve">A7-S032</w:t>
            </w:r>
          </w:p>
        </w:tc>
      </w:tr>
      <w:tr>
        <w:tc>
          <w:tcPr/>
          <w:p>
            <w:pPr>
              <w:pStyle w:val="Compact"/>
              <w:jc w:val="left"/>
            </w:pPr>
            <w:r>
              <w:t xml:space="preserve">Category</w:t>
            </w:r>
          </w:p>
        </w:tc>
        <w:tc>
          <w:tcPr/>
          <w:p>
            <w:pPr>
              <w:pStyle w:val="Compact"/>
              <w:jc w:val="left"/>
            </w:pPr>
            <w:r>
              <w:t xml:space="preserve">Secrets management, identity-based access and encryption; agentic IAM for AI agents</w:t>
            </w:r>
          </w:p>
        </w:tc>
        <w:tc>
          <w:tcPr/>
          <w:p>
            <w:pPr>
              <w:pStyle w:val="Compact"/>
              <w:jc w:val="left"/>
            </w:pPr>
            <w:r>
              <w:t xml:space="preserve">Verified fact</w:t>
            </w:r>
          </w:p>
        </w:tc>
        <w:tc>
          <w:tcPr/>
          <w:p>
            <w:pPr>
              <w:pStyle w:val="Compact"/>
              <w:jc w:val="left"/>
            </w:pPr>
            <w:r>
              <w:t xml:space="preserve">A7-S034</w:t>
            </w:r>
          </w:p>
        </w:tc>
      </w:tr>
      <w:tr>
        <w:tc>
          <w:tcPr/>
          <w:p>
            <w:pPr>
              <w:pStyle w:val="Compact"/>
              <w:jc w:val="left"/>
            </w:pPr>
            <w:r>
              <w:t xml:space="preserve">Version / lineup</w:t>
            </w:r>
          </w:p>
        </w:tc>
        <w:tc>
          <w:tcPr/>
          <w:p>
            <w:pPr>
              <w:pStyle w:val="Compact"/>
              <w:jc w:val="left"/>
            </w:pPr>
            <w:r>
              <w:t xml:space="preserve">Vault 2.1.1 (16 September 2026); 2.1.0 (1 September 2026) made agentic IAM GA in Vault Enterprise; Vault 2.0 GA 14 April 2026 (first major version since 1.0, aligned to IBM lifecycle)</w:t>
            </w:r>
          </w:p>
        </w:tc>
        <w:tc>
          <w:tcPr/>
          <w:p>
            <w:pPr>
              <w:pStyle w:val="Compact"/>
              <w:jc w:val="left"/>
            </w:pPr>
            <w:r>
              <w:t xml:space="preserve">Verified fact</w:t>
            </w:r>
          </w:p>
        </w:tc>
        <w:tc>
          <w:tcPr/>
          <w:p>
            <w:pPr>
              <w:pStyle w:val="Compact"/>
              <w:jc w:val="left"/>
            </w:pPr>
            <w:r>
              <w:t xml:space="preserve">A7-S061, A7-S033, A7-S034, V2-S061</w:t>
            </w:r>
          </w:p>
        </w:tc>
      </w:tr>
      <w:tr>
        <w:tc>
          <w:tcPr/>
          <w:p>
            <w:pPr>
              <w:pStyle w:val="Compact"/>
              <w:jc w:val="left"/>
            </w:pPr>
            <w:r>
              <w:t xml:space="preserve">Licence</w:t>
            </w:r>
          </w:p>
        </w:tc>
        <w:tc>
          <w:tcPr/>
          <w:p>
            <w:pPr>
              <w:pStyle w:val="Compact"/>
              <w:jc w:val="left"/>
            </w:pPr>
            <w:r>
              <w:t xml:space="preserve">Source-available Business Source License 1.1 (licensor IBM) for Vault 1.15.0 and later; production use permitted except competing hosted/embedded offerings; IBM Vault Self-Managed sold under IBM International Program License Agreement; Enterprise features need a licence</w:t>
            </w:r>
          </w:p>
        </w:tc>
        <w:tc>
          <w:tcPr/>
          <w:p>
            <w:pPr>
              <w:pStyle w:val="Compact"/>
              <w:jc w:val="left"/>
            </w:pPr>
            <w:r>
              <w:t xml:space="preserve">Verified fact</w:t>
            </w:r>
          </w:p>
        </w:tc>
        <w:tc>
          <w:tcPr/>
          <w:p>
            <w:pPr>
              <w:pStyle w:val="Compact"/>
              <w:jc w:val="left"/>
            </w:pPr>
            <w:r>
              <w:t xml:space="preserve">A7-S060, A7-S033, A7-S036</w:t>
            </w:r>
          </w:p>
        </w:tc>
      </w:tr>
      <w:tr>
        <w:tc>
          <w:tcPr/>
          <w:p>
            <w:pPr>
              <w:pStyle w:val="Compact"/>
              <w:jc w:val="left"/>
            </w:pPr>
            <w:r>
              <w:t xml:space="preserve">Status events</w:t>
            </w:r>
          </w:p>
        </w:tc>
        <w:tc>
          <w:tcPr/>
          <w:p>
            <w:pPr>
              <w:pStyle w:val="Compact"/>
              <w:jc w:val="left"/>
            </w:pPr>
            <w:r>
              <w:t xml:space="preserve">27 February 2025: IBM completed acquisition of HashiCorp; June/August 2025: HCP Vault Secrets end of sale (30 June 2025) and end of life for pay-as-you-go customers (27 August 2025); 14 April 2026: Vault 2.0 GA under IBM support lifecycle; 1 September 2026: agentic IAM GA (Vault Enterprise 2.1)</w:t>
            </w:r>
          </w:p>
        </w:tc>
        <w:tc>
          <w:tcPr/>
          <w:p>
            <w:pPr>
              <w:pStyle w:val="Compact"/>
              <w:jc w:val="left"/>
            </w:pPr>
            <w:r>
              <w:t xml:space="preserve">Verified fact</w:t>
            </w:r>
          </w:p>
        </w:tc>
        <w:tc>
          <w:tcPr/>
          <w:p>
            <w:pPr>
              <w:pStyle w:val="Compact"/>
              <w:jc w:val="left"/>
            </w:pPr>
            <w:r>
              <w:t xml:space="preserve">A7-S032, A7-S036, A7-S033, A7-S061</w:t>
            </w:r>
          </w:p>
        </w:tc>
      </w:tr>
      <w:tr>
        <w:tc>
          <w:tcPr/>
          <w:p>
            <w:pPr>
              <w:pStyle w:val="Compact"/>
              <w:jc w:val="left"/>
            </w:pPr>
            <w:r>
              <w:t xml:space="preserve">Strategic direction</w:t>
            </w:r>
          </w:p>
        </w:tc>
        <w:tc>
          <w:tcPr/>
          <w:p>
            <w:pPr>
              <w:pStyle w:val="Compact"/>
              <w:jc w:val="left"/>
            </w:pPr>
            <w:r>
              <w:t xml:space="preserve">Positions Vault as the governance layer for AI agent identities: agent registry, OAuth request-scoped authorisation (authorization_details), on-behalf-of delegation, audit attribution to both user and agent; SPIFFE JWT-SVID and SCIM 2.0 in 2.0</w:t>
            </w:r>
          </w:p>
        </w:tc>
        <w:tc>
          <w:tcPr/>
          <w:p>
            <w:pPr>
              <w:pStyle w:val="Compact"/>
              <w:jc w:val="left"/>
            </w:pPr>
            <w:r>
              <w:t xml:space="preserve">Verified fact</w:t>
            </w:r>
          </w:p>
        </w:tc>
        <w:tc>
          <w:tcPr/>
          <w:p>
            <w:pPr>
              <w:pStyle w:val="Compact"/>
              <w:jc w:val="left"/>
            </w:pPr>
            <w:r>
              <w:t xml:space="preserve">A7-S034, A7-S033</w:t>
            </w:r>
          </w:p>
        </w:tc>
      </w:tr>
      <w:tr>
        <w:tc>
          <w:tcPr/>
          <w:p>
            <w:pPr>
              <w:pStyle w:val="Compact"/>
              <w:jc w:val="left"/>
            </w:pPr>
            <w:r>
              <w:t xml:space="preserve">What it does</w:t>
            </w:r>
          </w:p>
        </w:tc>
        <w:tc>
          <w:tcPr/>
          <w:p>
            <w:pPr>
              <w:pStyle w:val="Compact"/>
              <w:jc w:val="left"/>
            </w:pPr>
            <w:r>
              <w:t xml:space="preserve">Stores and brokers secrets, issues dynamic credentials and certificates, and authorises access by identity. Agentic IAM registers AI agents, validates OAuth JWTs from IdPs, enforces the intersection of user permissions, agent ceiling policies and request-scoped authorisation details, and records both user and agent in audit logs.</w:t>
            </w:r>
          </w:p>
        </w:tc>
        <w:tc>
          <w:tcPr/>
          <w:p>
            <w:pPr>
              <w:pStyle w:val="Compact"/>
              <w:jc w:val="left"/>
            </w:pPr>
            <w:r>
              <w:t xml:space="preserve">Verified fact</w:t>
            </w:r>
          </w:p>
        </w:tc>
        <w:tc>
          <w:tcPr/>
          <w:p>
            <w:pPr>
              <w:pStyle w:val="Compact"/>
              <w:jc w:val="left"/>
            </w:pPr>
            <w:r>
              <w:t xml:space="preserve">A7-S034</w:t>
            </w:r>
          </w:p>
        </w:tc>
      </w:tr>
      <w:tr>
        <w:tc>
          <w:tcPr/>
          <w:p>
            <w:pPr>
              <w:pStyle w:val="Compact"/>
              <w:jc w:val="left"/>
            </w:pPr>
            <w:r>
              <w:t xml:space="preserve">Stack position</w:t>
            </w:r>
          </w:p>
        </w:tc>
        <w:tc>
          <w:tcPr/>
          <w:p>
            <w:pPr>
              <w:pStyle w:val="Compact"/>
              <w:jc w:val="left"/>
            </w:pPr>
            <w:r>
              <w:t xml:space="preserve">C7 secrets and C4 agent identity/authorisation; not shown in the original graphic</w:t>
            </w:r>
          </w:p>
        </w:tc>
        <w:tc>
          <w:tcPr/>
          <w:p>
            <w:pPr>
              <w:pStyle w:val="Compact"/>
              <w:jc w:val="left"/>
            </w:pPr>
            <w:r>
              <w:t xml:space="preserve">Verified fact</w:t>
            </w:r>
          </w:p>
        </w:tc>
        <w:tc>
          <w:tcPr/>
          <w:p>
            <w:pPr>
              <w:pStyle w:val="Compact"/>
              <w:jc w:val="left"/>
            </w:pPr>
            <w:r>
              <w:t xml:space="preserve">A7-S034</w:t>
            </w:r>
          </w:p>
        </w:tc>
      </w:tr>
      <w:tr>
        <w:tc>
          <w:tcPr/>
          <w:p>
            <w:pPr>
              <w:pStyle w:val="Compact"/>
              <w:jc w:val="left"/>
            </w:pPr>
            <w:r>
              <w:t xml:space="preserve">Integration</w:t>
            </w:r>
          </w:p>
        </w:tc>
        <w:tc>
          <w:tcPr/>
          <w:p>
            <w:pPr>
              <w:pStyle w:val="Compact"/>
              <w:jc w:val="left"/>
            </w:pPr>
            <w:r>
              <w:t xml:space="preserve">API, CLI, Terraform Vault provider (vault_agent_registration, vault_oauth_resource_server_config_profile); validated IdPs: IBM Verify, Auth0, PingFederate, Microsoft Entra, Okta</w:t>
            </w:r>
          </w:p>
        </w:tc>
        <w:tc>
          <w:tcPr/>
          <w:p>
            <w:pPr>
              <w:pStyle w:val="Compact"/>
              <w:jc w:val="left"/>
            </w:pPr>
            <w:r>
              <w:t xml:space="preserve">Verified fact</w:t>
            </w:r>
          </w:p>
        </w:tc>
        <w:tc>
          <w:tcPr/>
          <w:p>
            <w:pPr>
              <w:pStyle w:val="Compact"/>
              <w:jc w:val="left"/>
            </w:pPr>
            <w:r>
              <w:t xml:space="preserve">A7-S034</w:t>
            </w:r>
          </w:p>
        </w:tc>
      </w:tr>
      <w:tr>
        <w:tc>
          <w:tcPr/>
          <w:p>
            <w:pPr>
              <w:pStyle w:val="Compact"/>
              <w:jc w:val="left"/>
            </w:pPr>
            <w:r>
              <w:t xml:space="preserve">Dependencies</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Certifications</w:t>
            </w:r>
          </w:p>
        </w:tc>
        <w:tc>
          <w:tcPr/>
          <w:p>
            <w:pPr>
              <w:pStyle w:val="Compact"/>
              <w:jc w:val="left"/>
            </w:pPr>
            <w:r>
              <w:t xml:space="preserve">SOC 2 Type 2; ISO 27001, 27017, 27018 (scope includes IBM Vault); Vault Enterprise FIPS 140-2; SOC 2 report under NDA via customertrust@ibm.com</w:t>
            </w:r>
          </w:p>
        </w:tc>
        <w:tc>
          <w:tcPr/>
          <w:p>
            <w:pPr>
              <w:pStyle w:val="Compact"/>
              <w:jc w:val="left"/>
            </w:pPr>
            <w:r>
              <w:t xml:space="preserve">Verified fact</w:t>
            </w:r>
          </w:p>
        </w:tc>
        <w:tc>
          <w:tcPr/>
          <w:p>
            <w:pPr>
              <w:pStyle w:val="Compact"/>
              <w:jc w:val="left"/>
            </w:pPr>
            <w:r>
              <w:t xml:space="preserve">A7-S035</w:t>
            </w:r>
          </w:p>
        </w:tc>
      </w:tr>
      <w:tr>
        <w:tc>
          <w:tcPr/>
          <w:p>
            <w:pPr>
              <w:pStyle w:val="Compact"/>
              <w:jc w:val="left"/>
            </w:pPr>
            <w:r>
              <w:t xml:space="preserve">GDPR / residency</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Security features</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Access controls</w:t>
            </w:r>
          </w:p>
        </w:tc>
        <w:tc>
          <w:tcPr/>
          <w:p>
            <w:pPr>
              <w:pStyle w:val="Compact"/>
              <w:jc w:val="left"/>
            </w:pPr>
            <w:r>
              <w:t xml:space="preserve">Policy-based ACLs, namespaces, SCIM 2.0 provisioning, agent registry UI, audit devices with user+agent attribution</w:t>
            </w:r>
          </w:p>
        </w:tc>
        <w:tc>
          <w:tcPr/>
          <w:p>
            <w:pPr>
              <w:pStyle w:val="Compact"/>
              <w:jc w:val="left"/>
            </w:pPr>
            <w:r>
              <w:t xml:space="preserve">Verified fact</w:t>
            </w:r>
          </w:p>
        </w:tc>
        <w:tc>
          <w:tcPr/>
          <w:p>
            <w:pPr>
              <w:pStyle w:val="Compact"/>
              <w:jc w:val="left"/>
            </w:pPr>
            <w:r>
              <w:t xml:space="preserve">A7-S033, A7-S034, A7-S061</w:t>
            </w:r>
          </w:p>
        </w:tc>
      </w:tr>
      <w:tr>
        <w:tc>
          <w:tcPr/>
          <w:p>
            <w:pPr>
              <w:pStyle w:val="Compact"/>
              <w:jc w:val="left"/>
            </w:pPr>
            <w:r>
              <w:t xml:space="preserve">Enterprise support</w:t>
            </w:r>
          </w:p>
        </w:tc>
        <w:tc>
          <w:tcPr/>
          <w:p>
            <w:pPr>
              <w:pStyle w:val="Compact"/>
              <w:jc w:val="left"/>
            </w:pPr>
            <w:r>
              <w:t xml:space="preserve">IBM lifecycle for 2.x: 2 years support + 1 year critical-fix extension + 3 years usage/existing fixes</w:t>
            </w:r>
          </w:p>
        </w:tc>
        <w:tc>
          <w:tcPr/>
          <w:p>
            <w:pPr>
              <w:pStyle w:val="Compact"/>
              <w:jc w:val="left"/>
            </w:pPr>
            <w:r>
              <w:t xml:space="preserve">Verified fact</w:t>
            </w:r>
          </w:p>
        </w:tc>
        <w:tc>
          <w:tcPr/>
          <w:p>
            <w:pPr>
              <w:pStyle w:val="Compact"/>
              <w:jc w:val="left"/>
            </w:pPr>
            <w:r>
              <w:t xml:space="preserve">A7-S033</w:t>
            </w:r>
          </w:p>
        </w:tc>
      </w:tr>
      <w:tr>
        <w:tc>
          <w:tcPr/>
          <w:p>
            <w:pPr>
              <w:pStyle w:val="Compact"/>
              <w:jc w:val="left"/>
            </w:pPr>
            <w:r>
              <w:t xml:space="preserve">Pricing</w:t>
            </w:r>
          </w:p>
        </w:tc>
        <w:tc>
          <w:tcPr/>
          <w:p>
            <w:pPr>
              <w:pStyle w:val="Compact"/>
              <w:jc w:val="left"/>
            </w:pPr>
            <w:r>
              <w:t xml:space="preserve">HCP Vault Dedicated: trial, pay-as-you-go or contract; hourly base cost by tier/size/region plus per-client hourly charge (Essentials/Standard); self-managed: contact sales</w:t>
            </w:r>
          </w:p>
        </w:tc>
        <w:tc>
          <w:tcPr/>
          <w:p>
            <w:pPr>
              <w:pStyle w:val="Compact"/>
              <w:jc w:val="left"/>
            </w:pPr>
            <w:r>
              <w:t xml:space="preserve">Verified fact</w:t>
            </w:r>
          </w:p>
        </w:tc>
        <w:tc>
          <w:tcPr/>
          <w:p>
            <w:pPr>
              <w:pStyle w:val="Compact"/>
              <w:jc w:val="left"/>
            </w:pPr>
            <w:r>
              <w:t xml:space="preserve">A7-S036</w:t>
            </w:r>
          </w:p>
        </w:tc>
      </w:tr>
      <w:tr>
        <w:tc>
          <w:tcPr/>
          <w:p>
            <w:pPr>
              <w:pStyle w:val="Compact"/>
              <w:jc w:val="left"/>
            </w:pPr>
            <w:r>
              <w:t xml:space="preserve">Infrastructure cost</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Ecosystem</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Adoption signals</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Maturity</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Deployment</w:t>
            </w:r>
          </w:p>
        </w:tc>
        <w:tc>
          <w:tcPr/>
          <w:p>
            <w:pPr>
              <w:pStyle w:val="Compact"/>
              <w:jc w:val="left"/>
            </w:pPr>
            <w:r>
              <w:t xml:space="preserve">saas: Yes (HCP Vault Dedicated); managed_cloud: Yes (HCP Vault Dedicated); vpc_byoc: Not publicly verified; private_cloud: Not publicly verified; self_hosted: Yes (Vault Community / IBM Vault Self-Managed); on_prem: Yes (self-managed)</w:t>
            </w:r>
          </w:p>
        </w:tc>
        <w:tc>
          <w:tcPr/>
          <w:p>
            <w:pPr>
              <w:pStyle w:val="Compact"/>
            </w:pPr>
          </w:p>
        </w:tc>
        <w:tc>
          <w:tcPr/>
          <w:p>
            <w:pPr>
              <w:pStyle w:val="Compact"/>
            </w:pPr>
          </w:p>
        </w:tc>
      </w:tr>
    </w:tbl>
    <w:bookmarkEnd w:id="2326"/>
    <w:bookmarkStart w:id="2345" w:name="X25b46166927280b31c4224a674f8ae96c2d64f7"/>
    <w:p>
      <w:pPr>
        <w:pStyle w:val="Heading2"/>
      </w:pPr>
      <w:r>
        <w:t xml:space="preserve">Model and package supply-chain scanning (pattern): ModelScan, picklescan, fickling, Hugging Face Hub scanning, safetensors (</w:t>
      </w:r>
      <w:r>
        <w:rPr>
          <w:rStyle w:val="VerbatimChar"/>
        </w:rPr>
        <w:t xml:space="preserve">C7-model-supply-chain-scanning</w:t>
      </w:r>
      <w:r>
        <w:t xml:space="preserve">)</w:t>
      </w:r>
    </w:p>
    <w:p>
      <w:pPr>
        <w:pStyle w:val="FirstParagraph"/>
      </w:pPr>
      <w:r>
        <w:rPr>
          <w:bCs/>
          <w:b/>
        </w:rPr>
        <w:t xml:space="preserve">Tier:</w:t>
      </w:r>
      <w:r>
        <w:t xml:space="preserve"> </w:t>
      </w:r>
      <w:r>
        <w:t xml:space="preserve">Strategic ·</w:t>
      </w:r>
      <w:r>
        <w:t xml:space="preserve"> </w:t>
      </w:r>
      <w:r>
        <w:rPr>
          <w:bCs/>
          <w:b/>
        </w:rPr>
        <w:t xml:space="preserve">Flags:</w:t>
      </w:r>
      <w:r>
        <w:t xml:space="preserve"> </w:t>
      </w:r>
      <w:r>
        <w:t xml:space="preserve">Acquired ·</w:t>
      </w:r>
      <w:r>
        <w:t xml:space="preserve"> </w:t>
      </w:r>
      <w:r>
        <w:rPr>
          <w:bCs/>
          <w:b/>
        </w:rPr>
        <w:t xml:space="preserve">Original graphic label:</w:t>
      </w:r>
      <w:r>
        <w:t xml:space="preserve"> </w:t>
      </w:r>
      <w:r>
        <w:t xml:space="preserve">not in graphic</w:t>
      </w:r>
    </w:p>
    <w:p>
      <w:pPr>
        <w:pStyle w:val="BodyText"/>
      </w:pPr>
      <w:r>
        <w:rPr>
          <w:iCs/>
          <w:i/>
        </w:rPr>
        <w:t xml:space="preserve">Rationale:</w:t>
      </w:r>
      <w:r>
        <w:t xml:space="preserve"> </w:t>
      </w:r>
      <w:r>
        <w:t xml:space="preserve">Mandatory baseline pattern (safetensors by default plus scanning gate); ModelScan’s owner was acquired</w:t>
      </w:r>
      <w:r>
        <w:t xml:space="preserve"> </w:t>
      </w:r>
      <w:r>
        <w:rPr>
          <w:rStyle w:val="ClaimLabel"/>
        </w:rPr>
        <w:t xml:space="preserve">AJ</w:t>
      </w:r>
      <w:r>
        <w:t xml:space="preserve">.</w:t>
      </w:r>
    </w:p>
    <w:tbl>
      <w:tblPr>
        <w:tblStyle w:val="Table"/>
        <w:tblW w:type="pct" w:w="5000"/>
        <w:tblLook w:firstRow="1" w:lastRow="0" w:firstColumn="0" w:lastColumn="0" w:noHBand="0" w:noVBand="0" w:val="0020"/>
        <w:jc w:val="start"/>
      </w:tblPr>
      <w:tblGrid>
        <w:gridCol w:w="1545"/>
        <w:gridCol w:w="579"/>
        <w:gridCol w:w="5795"/>
      </w:tblGrid>
      <w:tr>
        <w:trPr>
          <w:tblHeader w:val="true"/>
        </w:trPr>
        <w:tc>
          <w:tcPr/>
          <w:p>
            <w:pPr>
              <w:pStyle w:val="Compact"/>
              <w:jc w:val="left"/>
            </w:pPr>
            <w:r>
              <w:t xml:space="preserve">Criterion</w:t>
            </w:r>
          </w:p>
        </w:tc>
        <w:tc>
          <w:tcPr/>
          <w:p>
            <w:pPr>
              <w:pStyle w:val="Compact"/>
              <w:jc w:val="right"/>
            </w:pPr>
            <w:r>
              <w:t xml:space="preserve">Score</w:t>
            </w:r>
          </w:p>
        </w:tc>
        <w:tc>
          <w:tcPr/>
          <w:p>
            <w:pPr>
              <w:pStyle w:val="Compact"/>
              <w:jc w:val="left"/>
            </w:pPr>
            <w:r>
              <w:t xml:space="preserve">Rationale</w:t>
            </w:r>
          </w:p>
        </w:tc>
      </w:tr>
      <w:tr>
        <w:tc>
          <w:tcPr/>
          <w:p>
            <w:pPr>
              <w:pStyle w:val="Compact"/>
              <w:jc w:val="left"/>
            </w:pPr>
            <w:r>
              <w:t xml:space="preserve">Technical</w:t>
            </w:r>
          </w:p>
        </w:tc>
        <w:tc>
          <w:tcPr/>
          <w:p>
            <w:pPr>
              <w:pStyle w:val="Compact"/>
              <w:jc w:val="right"/>
            </w:pPr>
            <w:r>
              <w:t xml:space="preserve">3</w:t>
            </w:r>
          </w:p>
        </w:tc>
        <w:tc>
          <w:tcPr/>
          <w:p>
            <w:pPr>
              <w:pStyle w:val="Compact"/>
              <w:jc w:val="left"/>
            </w:pPr>
            <w:r>
              <w:t xml:space="preserve">Covers executable model formats competently; pattern-matching limits and no package or agent-artefact coverage.</w:t>
            </w:r>
          </w:p>
        </w:tc>
      </w:tr>
      <w:tr>
        <w:tc>
          <w:tcPr/>
          <w:p>
            <w:pPr>
              <w:pStyle w:val="Compact"/>
              <w:jc w:val="left"/>
            </w:pPr>
            <w:r>
              <w:t xml:space="preserve">Enterprise readiness</w:t>
            </w:r>
          </w:p>
        </w:tc>
        <w:tc>
          <w:tcPr/>
          <w:p>
            <w:pPr>
              <w:pStyle w:val="Compact"/>
              <w:jc w:val="right"/>
            </w:pPr>
            <w:r>
              <w:t xml:space="preserve">3</w:t>
            </w:r>
          </w:p>
        </w:tc>
        <w:tc>
          <w:tcPr/>
          <w:p>
            <w:pPr>
              <w:pStyle w:val="Compact"/>
              <w:jc w:val="left"/>
            </w:pPr>
            <w:r>
              <w:t xml:space="preserve">Rule 2: CI libraries inherit host controls; no commercial support for the open tools (commercial successors are separate products).</w:t>
            </w:r>
          </w:p>
        </w:tc>
      </w:tr>
      <w:tr>
        <w:tc>
          <w:tcPr/>
          <w:p>
            <w:pPr>
              <w:pStyle w:val="Compact"/>
              <w:jc w:val="left"/>
            </w:pPr>
            <w:r>
              <w:t xml:space="preserve">Security and compliance</w:t>
            </w:r>
          </w:p>
        </w:tc>
        <w:tc>
          <w:tcPr/>
          <w:p>
            <w:pPr>
              <w:pStyle w:val="Compact"/>
              <w:jc w:val="right"/>
            </w:pPr>
            <w:r>
              <w:t xml:space="preserve">3</w:t>
            </w:r>
          </w:p>
        </w:tc>
        <w:tc>
          <w:tcPr/>
          <w:p>
            <w:pPr>
              <w:pStyle w:val="Compact"/>
              <w:jc w:val="left"/>
            </w:pPr>
            <w:r>
              <w:t xml:space="preserve">Rule 2 hygiene: security policy for ModelScan, clear licences; owner acquired and components pre-1.0.</w:t>
            </w:r>
          </w:p>
        </w:tc>
      </w:tr>
      <w:tr>
        <w:tc>
          <w:tcPr/>
          <w:p>
            <w:pPr>
              <w:pStyle w:val="Compact"/>
              <w:jc w:val="left"/>
            </w:pPr>
            <w:r>
              <w:t xml:space="preserve">Deployment flexibility</w:t>
            </w:r>
          </w:p>
        </w:tc>
        <w:tc>
          <w:tcPr/>
          <w:p>
            <w:pPr>
              <w:pStyle w:val="Compact"/>
              <w:jc w:val="right"/>
            </w:pPr>
            <w:r>
              <w:t xml:space="preserve">5</w:t>
            </w:r>
          </w:p>
        </w:tc>
        <w:tc>
          <w:tcPr/>
          <w:p>
            <w:pPr>
              <w:pStyle w:val="Compact"/>
              <w:jc w:val="left"/>
            </w:pPr>
            <w:r>
              <w:t xml:space="preserve">Runs anywhere, including air-gapped CI.</w:t>
            </w:r>
          </w:p>
        </w:tc>
      </w:tr>
      <w:tr>
        <w:tc>
          <w:tcPr/>
          <w:p>
            <w:pPr>
              <w:pStyle w:val="Compact"/>
              <w:jc w:val="left"/>
            </w:pPr>
            <w:r>
              <w:t xml:space="preserve">Ecosystem</w:t>
            </w:r>
          </w:p>
        </w:tc>
        <w:tc>
          <w:tcPr/>
          <w:p>
            <w:pPr>
              <w:pStyle w:val="Compact"/>
              <w:jc w:val="right"/>
            </w:pPr>
            <w:r>
              <w:t xml:space="preserve">4</w:t>
            </w:r>
          </w:p>
        </w:tc>
        <w:tc>
          <w:tcPr/>
          <w:p>
            <w:pPr>
              <w:pStyle w:val="Compact"/>
              <w:jc w:val="left"/>
            </w:pPr>
            <w:r>
              <w:t xml:space="preserve">Hugging Face Hub uses picklescan; commercial platforms build on the same approach.</w:t>
            </w:r>
          </w:p>
        </w:tc>
      </w:tr>
      <w:tr>
        <w:tc>
          <w:tcPr/>
          <w:p>
            <w:pPr>
              <w:pStyle w:val="Compact"/>
              <w:jc w:val="left"/>
            </w:pPr>
            <w:r>
              <w:t xml:space="preserve">Reliability and maturity</w:t>
            </w:r>
          </w:p>
        </w:tc>
        <w:tc>
          <w:tcPr/>
          <w:p>
            <w:pPr>
              <w:pStyle w:val="Compact"/>
              <w:jc w:val="right"/>
            </w:pPr>
            <w:r>
              <w:t xml:space="preserve">3</w:t>
            </w:r>
          </w:p>
        </w:tc>
        <w:tc>
          <w:tcPr/>
          <w:p>
            <w:pPr>
              <w:pStyle w:val="Compact"/>
              <w:jc w:val="left"/>
            </w:pPr>
            <w:r>
              <w:t xml:space="preserve">Mostly pre-1.0; ModelScan cadence slowed after acquisition.</w:t>
            </w:r>
          </w:p>
        </w:tc>
      </w:tr>
      <w:tr>
        <w:tc>
          <w:tcPr/>
          <w:p>
            <w:pPr>
              <w:pStyle w:val="Compact"/>
              <w:jc w:val="left"/>
            </w:pPr>
            <w:r>
              <w:t xml:space="preserve">Cost / TCO</w:t>
            </w:r>
          </w:p>
        </w:tc>
        <w:tc>
          <w:tcPr/>
          <w:p>
            <w:pPr>
              <w:pStyle w:val="Compact"/>
              <w:jc w:val="right"/>
            </w:pPr>
            <w:r>
              <w:t xml:space="preserve">5</w:t>
            </w:r>
          </w:p>
        </w:tc>
        <w:tc>
          <w:tcPr/>
          <w:p>
            <w:pPr>
              <w:pStyle w:val="Compact"/>
              <w:jc w:val="left"/>
            </w:pPr>
            <w:r>
              <w:t xml:space="preserve">Free open source with light operations.</w:t>
            </w:r>
          </w:p>
        </w:tc>
      </w:tr>
      <w:tr>
        <w:tc>
          <w:tcPr/>
          <w:p>
            <w:pPr>
              <w:pStyle w:val="Compact"/>
              <w:jc w:val="left"/>
            </w:pPr>
            <w:r>
              <w:t xml:space="preserve">Lock-in / portability</w:t>
            </w:r>
          </w:p>
        </w:tc>
        <w:tc>
          <w:tcPr/>
          <w:p>
            <w:pPr>
              <w:pStyle w:val="Compact"/>
              <w:jc w:val="right"/>
            </w:pPr>
            <w:r>
              <w:t xml:space="preserve">4</w:t>
            </w:r>
          </w:p>
        </w:tc>
        <w:tc>
          <w:tcPr/>
          <w:p>
            <w:pPr>
              <w:pStyle w:val="Compact"/>
              <w:jc w:val="left"/>
            </w:pPr>
            <w:r>
              <w:t xml:space="preserve">Permissive licences and an open format (base 5), reduced by 1 because ModelScan is vendor-owned after a 2025 acquisition (rule 3).</w:t>
            </w:r>
          </w:p>
        </w:tc>
      </w:tr>
      <w:tr>
        <w:tc>
          <w:tcPr/>
          <w:p>
            <w:pPr>
              <w:pStyle w:val="Compact"/>
              <w:jc w:val="left"/>
            </w:pPr>
            <w:r>
              <w:rPr>
                <w:bCs/>
                <w:b/>
              </w:rPr>
              <w:t xml:space="preserve">Total (generic / FS)</w:t>
            </w:r>
          </w:p>
        </w:tc>
        <w:tc>
          <w:tcPr/>
          <w:p>
            <w:pPr>
              <w:pStyle w:val="Compact"/>
              <w:jc w:val="right"/>
            </w:pPr>
            <w:r>
              <w:rPr>
                <w:bCs/>
                <w:b/>
              </w:rPr>
              <w:t xml:space="preserve">3.65 / 3.60</w:t>
            </w:r>
          </w:p>
        </w:tc>
        <w:tc>
          <w:tcPr/>
          <w:p>
            <w:pPr>
              <w:pStyle w:val="Compact"/>
            </w:pPr>
          </w:p>
        </w:tc>
      </w:tr>
    </w:tbl>
    <w:p>
      <w:pPr>
        <w:pStyle w:val="BodyText"/>
      </w:pPr>
      <w:r>
        <w:rPr>
          <w:bCs/>
          <w:b/>
        </w:rPr>
        <w:t xml:space="preserve">Capabilities.</w:t>
      </w:r>
      <w:r>
        <w:t xml:space="preserve"> </w:t>
      </w:r>
      <w:r>
        <w:t xml:space="preserve">Pattern: safe serialisation (safetensors) plus open-source scanners (ModelScan, picklescan, fickling) in CI and at registry promotion, complemented by Hugging Face Hub-side scanning</w:t>
      </w:r>
      <w:r>
        <w:t xml:space="preserve"> </w:t>
      </w:r>
      <w:r>
        <w:rPr>
          <w:rStyle w:val="ClaimLabel"/>
        </w:rPr>
        <w:t xml:space="preserve">VF</w:t>
      </w:r>
      <w:r>
        <w:rPr>
          <w:rStyle w:val="FootnoteReference"/>
        </w:rPr>
        <w:footnoteReference w:id="2327"/>
      </w:r>
      <w:r>
        <w:t xml:space="preserve">.</w:t>
      </w:r>
    </w:p>
    <w:p>
      <w:pPr>
        <w:pStyle w:val="BodyText"/>
      </w:pPr>
      <w:r>
        <w:rPr>
          <w:bCs/>
          <w:b/>
        </w:rPr>
        <w:t xml:space="preserve">Strengths</w:t>
      </w:r>
    </w:p>
    <w:p>
      <w:pPr>
        <w:numPr>
          <w:ilvl w:val="0"/>
          <w:numId w:val="1513"/>
        </w:numPr>
        <w:pStyle w:val="Compact"/>
      </w:pPr>
      <w:r>
        <w:t xml:space="preserve">safetensors removes pickle’s code-execution risk (</w:t>
      </w:r>
      <w:r>
        <w:t xml:space="preserve">‘</w:t>
      </w:r>
      <w:r>
        <w:t xml:space="preserve">Pickle: Unsafe, runs arbitrary code</w:t>
      </w:r>
      <w:r>
        <w:t xml:space="preserve">’</w:t>
      </w:r>
      <w:r>
        <w:t xml:space="preserve">)</w:t>
      </w:r>
      <w:r>
        <w:t xml:space="preserve"> </w:t>
      </w:r>
      <w:r>
        <w:rPr>
          <w:rStyle w:val="ClaimLabel"/>
        </w:rPr>
        <w:t xml:space="preserve">VF</w:t>
      </w:r>
      <w:r>
        <w:rPr>
          <w:rStyle w:val="FootnoteReference"/>
        </w:rPr>
        <w:footnoteReference w:id="2333"/>
      </w:r>
    </w:p>
    <w:p>
      <w:pPr>
        <w:numPr>
          <w:ilvl w:val="0"/>
          <w:numId w:val="1513"/>
        </w:numPr>
        <w:pStyle w:val="Compact"/>
      </w:pPr>
      <w:r>
        <w:t xml:space="preserve">Free, local, CI-native and air-gap friendly</w:t>
      </w:r>
      <w:r>
        <w:t xml:space="preserve"> </w:t>
      </w:r>
      <w:r>
        <w:rPr>
          <w:rStyle w:val="ClaimLabel"/>
        </w:rPr>
        <w:t xml:space="preserve">VF</w:t>
      </w:r>
      <w:r>
        <w:rPr>
          <w:rStyle w:val="FootnoteReference"/>
        </w:rPr>
        <w:footnoteReference w:id="2335"/>
      </w:r>
      <w:r>
        <w:t xml:space="preserve"> </w:t>
      </w:r>
      <w:r>
        <w:rPr>
          <w:rStyle w:val="ClaimLabel"/>
        </w:rPr>
        <w:t xml:space="preserve">AJ</w:t>
      </w:r>
    </w:p>
    <w:p>
      <w:pPr>
        <w:numPr>
          <w:ilvl w:val="0"/>
          <w:numId w:val="1513"/>
        </w:numPr>
        <w:pStyle w:val="Compact"/>
      </w:pPr>
      <w:r>
        <w:t xml:space="preserve">ModelScan publishes a security policy with GitHub advisories</w:t>
      </w:r>
      <w:r>
        <w:t xml:space="preserve"> </w:t>
      </w:r>
      <w:r>
        <w:rPr>
          <w:rStyle w:val="ClaimLabel"/>
        </w:rPr>
        <w:t xml:space="preserve">VF</w:t>
      </w:r>
      <w:r>
        <w:rPr>
          <w:rStyle w:val="FootnoteReference"/>
        </w:rPr>
        <w:footnoteReference w:id="2338"/>
      </w:r>
    </w:p>
    <w:p>
      <w:pPr>
        <w:pStyle w:val="FirstParagraph"/>
      </w:pPr>
      <w:r>
        <w:rPr>
          <w:bCs/>
          <w:b/>
        </w:rPr>
        <w:t xml:space="preserve">Limitations and risks</w:t>
      </w:r>
    </w:p>
    <w:p>
      <w:pPr>
        <w:numPr>
          <w:ilvl w:val="0"/>
          <w:numId w:val="1514"/>
        </w:numPr>
        <w:pStyle w:val="Compact"/>
      </w:pPr>
      <w:r>
        <w:t xml:space="preserve">picklescan only pattern-matches module names; scanning reduces but does not remove risk</w:t>
      </w:r>
      <w:r>
        <w:t xml:space="preserve"> </w:t>
      </w:r>
      <w:r>
        <w:rPr>
          <w:rStyle w:val="ClaimLabel"/>
        </w:rPr>
        <w:t xml:space="preserve">VF</w:t>
      </w:r>
      <w:r>
        <w:rPr>
          <w:rStyle w:val="FootnoteReference"/>
        </w:rPr>
        <w:footnoteReference w:id="2340"/>
      </w:r>
    </w:p>
    <w:p>
      <w:pPr>
        <w:numPr>
          <w:ilvl w:val="0"/>
          <w:numId w:val="1514"/>
        </w:numPr>
        <w:pStyle w:val="Compact"/>
      </w:pPr>
      <w:r>
        <w:t xml:space="preserve">ModelScan’s owner Protect AI is now Palo Alto Networks; README directs users to Guardian; last release February 2026</w:t>
      </w:r>
      <w:r>
        <w:t xml:space="preserve"> </w:t>
      </w:r>
      <w:r>
        <w:rPr>
          <w:rStyle w:val="ClaimLabel"/>
        </w:rPr>
        <w:t xml:space="preserve">VF</w:t>
      </w:r>
      <w:r>
        <w:rPr>
          <w:rStyle w:val="FootnoteReference"/>
        </w:rPr>
        <w:footnoteReference w:id="2341"/>
      </w:r>
    </w:p>
    <w:p>
      <w:pPr>
        <w:numPr>
          <w:ilvl w:val="0"/>
          <w:numId w:val="1514"/>
        </w:numPr>
        <w:pStyle w:val="Compact"/>
      </w:pPr>
      <w:r>
        <w:t xml:space="preserve">Most components pre-1.0</w:t>
      </w:r>
      <w:r>
        <w:t xml:space="preserve"> </w:t>
      </w:r>
      <w:r>
        <w:rPr>
          <w:rStyle w:val="ClaimLabel"/>
        </w:rPr>
        <w:t xml:space="preserve">VF</w:t>
      </w:r>
      <w:r>
        <w:rPr>
          <w:rStyle w:val="FootnoteReference"/>
        </w:rPr>
        <w:footnoteReference w:id="2343"/>
      </w:r>
    </w:p>
    <w:p>
      <w:pPr>
        <w:numPr>
          <w:ilvl w:val="0"/>
          <w:numId w:val="1514"/>
        </w:numPr>
        <w:pStyle w:val="Compact"/>
      </w:pPr>
      <w:r>
        <w:t xml:space="preserve">Does not address package compromise (LiteLLM case)</w:t>
      </w:r>
      <w:r>
        <w:t xml:space="preserve"> </w:t>
      </w:r>
      <w:r>
        <w:rPr>
          <w:rStyle w:val="ClaimLabel"/>
        </w:rPr>
        <w:t xml:space="preserve">VF</w:t>
      </w:r>
      <w:r>
        <w:rPr>
          <w:rStyle w:val="FootnoteReference"/>
        </w:rPr>
        <w:footnoteReference w:id="2344"/>
      </w:r>
      <w:r>
        <w:t xml:space="preserve"> </w:t>
      </w:r>
      <w:r>
        <w:rPr>
          <w:rStyle w:val="ClaimLabel"/>
        </w:rPr>
        <w:t xml:space="preserve">AJ</w:t>
      </w:r>
    </w:p>
    <w:p>
      <w:pPr>
        <w:pStyle w:val="FirstParagraph"/>
      </w:pPr>
      <w:r>
        <w:rPr>
          <w:bCs/>
          <w:b/>
        </w:rPr>
        <w:t xml:space="preserve">Choose when</w:t>
      </w:r>
    </w:p>
    <w:p>
      <w:pPr>
        <w:numPr>
          <w:ilvl w:val="0"/>
          <w:numId w:val="1515"/>
        </w:numPr>
        <w:pStyle w:val="Compact"/>
      </w:pPr>
      <w:r>
        <w:t xml:space="preserve">Always, as the minimum gate for self-hosted weights</w:t>
      </w:r>
      <w:r>
        <w:t xml:space="preserve"> </w:t>
      </w:r>
      <w:r>
        <w:rPr>
          <w:rStyle w:val="ClaimLabel"/>
        </w:rPr>
        <w:t xml:space="preserve">Rec</w:t>
      </w:r>
    </w:p>
    <w:p>
      <w:pPr>
        <w:pStyle w:val="FirstParagraph"/>
      </w:pPr>
      <w:r>
        <w:rPr>
          <w:bCs/>
          <w:b/>
        </w:rPr>
        <w:t xml:space="preserve">Avoid when</w:t>
      </w:r>
    </w:p>
    <w:p>
      <w:pPr>
        <w:numPr>
          <w:ilvl w:val="0"/>
          <w:numId w:val="1516"/>
        </w:numPr>
        <w:pStyle w:val="Compact"/>
      </w:pPr>
      <w:r>
        <w:t xml:space="preserve">Never as the only supply-chain control</w:t>
      </w:r>
      <w:r>
        <w:t xml:space="preserve"> </w:t>
      </w:r>
      <w:r>
        <w:rPr>
          <w:rStyle w:val="ClaimLabel"/>
        </w:rPr>
        <w:t xml:space="preserve">AJ</w:t>
      </w:r>
    </w:p>
    <w:p>
      <w:pPr>
        <w:pStyle w:val="FirstParagraph"/>
      </w:pPr>
      <w:r>
        <w:rPr>
          <w:bCs/>
          <w:b/>
        </w:rPr>
        <w:t xml:space="preserve">Nearest competitors:</w:t>
      </w:r>
      <w:r>
        <w:t xml:space="preserve"> </w:t>
      </w:r>
      <w:r>
        <w:t xml:space="preserve">C7-prisma-airs, C7-hiddenlayer, C7-openssf-model-signing</w:t>
      </w:r>
    </w:p>
    <w:p>
      <w:pPr>
        <w:pStyle w:val="BodyText"/>
      </w:pPr>
      <w:r>
        <w:rPr>
          <w:bCs/>
          <w:b/>
        </w:rPr>
        <w:t xml:space="preserve">Regulated-FS note.</w:t>
      </w:r>
      <w:r>
        <w:t xml:space="preserve"> </w:t>
      </w:r>
      <w:r>
        <w:t xml:space="preserve">Record scan results and artefact hashes in the model inventory (C8) so validation evidence refers to the exact weights scanned</w:t>
      </w:r>
      <w:r>
        <w:t xml:space="preserve"> </w:t>
      </w:r>
      <w:r>
        <w:rPr>
          <w:rStyle w:val="ClaimLabel"/>
        </w:rPr>
        <w:t xml:space="preserve">Rec</w:t>
      </w:r>
      <w:r>
        <w:t xml:space="preserve">.</w:t>
      </w:r>
    </w:p>
    <w:p>
      <w:pPr>
        <w:pStyle w:val="BodyText"/>
      </w:pPr>
      <w:r>
        <w:rPr>
          <w:bCs/>
          <w:b/>
        </w:rPr>
        <w:t xml:space="preserve">Facts (as of 2026-10-08)</w:t>
      </w:r>
    </w:p>
    <w:tbl>
      <w:tblPr>
        <w:tblStyle w:val="Table"/>
        <w:tblW w:type="pct" w:w="5000"/>
        <w:tblLook w:firstRow="1" w:lastRow="0" w:firstColumn="0" w:lastColumn="0" w:noHBand="0" w:noVBand="0" w:val="0020"/>
        <w:jc w:val="start"/>
      </w:tblPr>
      <w:tblGrid>
        <w:gridCol w:w="1485"/>
        <w:gridCol w:w="4290"/>
        <w:gridCol w:w="1320"/>
        <w:gridCol w:w="825"/>
      </w:tblGrid>
      <w:tr>
        <w:trPr>
          <w:tblHeader w:val="true"/>
        </w:trPr>
        <w:tc>
          <w:tcPr/>
          <w:p>
            <w:pPr>
              <w:pStyle w:val="Compact"/>
              <w:jc w:val="left"/>
            </w:pPr>
            <w:r>
              <w:t xml:space="preserve">Field</w:t>
            </w:r>
          </w:p>
        </w:tc>
        <w:tc>
          <w:tcPr/>
          <w:p>
            <w:pPr>
              <w:pStyle w:val="Compact"/>
              <w:jc w:val="left"/>
            </w:pPr>
            <w:r>
              <w:t xml:space="preserve">Value</w:t>
            </w:r>
          </w:p>
        </w:tc>
        <w:tc>
          <w:tcPr/>
          <w:p>
            <w:pPr>
              <w:pStyle w:val="Compact"/>
              <w:jc w:val="left"/>
            </w:pPr>
            <w:r>
              <w:t xml:space="preserve">Label</w:t>
            </w:r>
          </w:p>
        </w:tc>
        <w:tc>
          <w:tcPr/>
          <w:p>
            <w:pPr>
              <w:pStyle w:val="Compact"/>
              <w:jc w:val="left"/>
            </w:pPr>
            <w:r>
              <w:t xml:space="preserve">Sources</w:t>
            </w:r>
          </w:p>
        </w:tc>
      </w:tr>
      <w:tr>
        <w:tc>
          <w:tcPr/>
          <w:p>
            <w:pPr>
              <w:pStyle w:val="Compact"/>
              <w:jc w:val="left"/>
            </w:pPr>
            <w:r>
              <w:t xml:space="preserve">Company</w:t>
            </w:r>
          </w:p>
        </w:tc>
        <w:tc>
          <w:tcPr/>
          <w:p>
            <w:pPr>
              <w:pStyle w:val="Compact"/>
              <w:jc w:val="left"/>
            </w:pPr>
            <w:r>
              <w:t xml:space="preserve">Pattern; ModelScan by Protect AI (now Palo Alto Networks); picklescan (community, used by Hugging Face); fickling by Trail of Bits; safetensors by Hugging Face</w:t>
            </w:r>
          </w:p>
        </w:tc>
        <w:tc>
          <w:tcPr/>
          <w:p>
            <w:pPr>
              <w:pStyle w:val="Compact"/>
              <w:jc w:val="left"/>
            </w:pPr>
            <w:r>
              <w:t xml:space="preserve">Verified fact</w:t>
            </w:r>
          </w:p>
        </w:tc>
        <w:tc>
          <w:tcPr/>
          <w:p>
            <w:pPr>
              <w:pStyle w:val="Compact"/>
              <w:jc w:val="left"/>
            </w:pPr>
            <w:r>
              <w:t xml:space="preserve">A7-S082, A7-S014, A7-S037, A7-S064, A7-S007</w:t>
            </w:r>
          </w:p>
        </w:tc>
      </w:tr>
      <w:tr>
        <w:tc>
          <w:tcPr/>
          <w:p>
            <w:pPr>
              <w:pStyle w:val="Compact"/>
              <w:jc w:val="left"/>
            </w:pPr>
            <w:r>
              <w:t xml:space="preserve">Category</w:t>
            </w:r>
          </w:p>
        </w:tc>
        <w:tc>
          <w:tcPr/>
          <w:p>
            <w:pPr>
              <w:pStyle w:val="Compact"/>
              <w:jc w:val="left"/>
            </w:pPr>
            <w:r>
              <w:t xml:space="preserve">Named pattern plus open-source scanners (e.g. picklescan:</w:t>
            </w:r>
            <w:r>
              <w:t xml:space="preserve"> </w:t>
            </w:r>
            <w:r>
              <w:t xml:space="preserve">‘</w:t>
            </w:r>
            <w:r>
              <w:t xml:space="preserve">Security scanner detecting Python Pickle files performing suspicious actions</w:t>
            </w:r>
            <w:r>
              <w:t xml:space="preserve">’</w:t>
            </w:r>
            <w:r>
              <w:t xml:space="preserve">) and a safe serialisation format</w:t>
            </w:r>
          </w:p>
        </w:tc>
        <w:tc>
          <w:tcPr/>
          <w:p>
            <w:pPr>
              <w:pStyle w:val="Compact"/>
              <w:jc w:val="left"/>
            </w:pPr>
            <w:r>
              <w:t xml:space="preserve">Verified fact</w:t>
            </w:r>
          </w:p>
        </w:tc>
        <w:tc>
          <w:tcPr/>
          <w:p>
            <w:pPr>
              <w:pStyle w:val="Compact"/>
              <w:jc w:val="left"/>
            </w:pPr>
            <w:r>
              <w:t xml:space="preserve">A7-S082, A7-S083, A7-S007</w:t>
            </w:r>
          </w:p>
        </w:tc>
      </w:tr>
      <w:tr>
        <w:tc>
          <w:tcPr/>
          <w:p>
            <w:pPr>
              <w:pStyle w:val="Compact"/>
              <w:jc w:val="left"/>
            </w:pPr>
            <w:r>
              <w:t xml:space="preserve">Version / lineup</w:t>
            </w:r>
          </w:p>
        </w:tc>
        <w:tc>
          <w:tcPr/>
          <w:p>
            <w:pPr>
              <w:pStyle w:val="Compact"/>
              <w:jc w:val="left"/>
            </w:pPr>
            <w:r>
              <w:t xml:space="preserve">modelscan 0.8.8 (18 February 2026); picklescan 1.0.5 (1 July 2026); fickling 0.1.12 (26 June 2026); safetensors 0.8.0 (9 June 2026)</w:t>
            </w:r>
          </w:p>
        </w:tc>
        <w:tc>
          <w:tcPr/>
          <w:p>
            <w:pPr>
              <w:pStyle w:val="Compact"/>
              <w:jc w:val="left"/>
            </w:pPr>
            <w:r>
              <w:t xml:space="preserve">Verified fact</w:t>
            </w:r>
          </w:p>
        </w:tc>
        <w:tc>
          <w:tcPr/>
          <w:p>
            <w:pPr>
              <w:pStyle w:val="Compact"/>
              <w:jc w:val="left"/>
            </w:pPr>
            <w:r>
              <w:t xml:space="preserve">A7-S002, A7-S006, A7-S064, A7-S007, V2-S028</w:t>
            </w:r>
          </w:p>
        </w:tc>
      </w:tr>
      <w:tr>
        <w:tc>
          <w:tcPr/>
          <w:p>
            <w:pPr>
              <w:pStyle w:val="Compact"/>
              <w:jc w:val="left"/>
            </w:pPr>
            <w:r>
              <w:t xml:space="preserve">Licence</w:t>
            </w:r>
          </w:p>
        </w:tc>
        <w:tc>
          <w:tcPr/>
          <w:p>
            <w:pPr>
              <w:pStyle w:val="Compact"/>
              <w:jc w:val="left"/>
            </w:pPr>
            <w:r>
              <w:t xml:space="preserve">Open source: ModelScan Apache-2.0; picklescan MIT; fickling LGPLv3+; safetensors Apache-2.0</w:t>
            </w:r>
          </w:p>
        </w:tc>
        <w:tc>
          <w:tcPr/>
          <w:p>
            <w:pPr>
              <w:pStyle w:val="Compact"/>
              <w:jc w:val="left"/>
            </w:pPr>
            <w:r>
              <w:t xml:space="preserve">Verified fact</w:t>
            </w:r>
          </w:p>
        </w:tc>
        <w:tc>
          <w:tcPr/>
          <w:p>
            <w:pPr>
              <w:pStyle w:val="Compact"/>
              <w:jc w:val="left"/>
            </w:pPr>
            <w:r>
              <w:t xml:space="preserve">A7-S002, A7-S006, A7-S064, A7-S007</w:t>
            </w:r>
          </w:p>
        </w:tc>
      </w:tr>
      <w:tr>
        <w:tc>
          <w:tcPr/>
          <w:p>
            <w:pPr>
              <w:pStyle w:val="Compact"/>
              <w:jc w:val="left"/>
            </w:pPr>
            <w:r>
              <w:t xml:space="preserve">Status events</w:t>
            </w:r>
          </w:p>
        </w:tc>
        <w:tc>
          <w:tcPr/>
          <w:p>
            <w:pPr>
              <w:pStyle w:val="Compact"/>
              <w:jc w:val="left"/>
            </w:pPr>
            <w:r>
              <w:t xml:space="preserve">22 July 2025: Protect AI (ModelScan, Guardian) acquired by Palo Alto Networks</w:t>
            </w:r>
          </w:p>
        </w:tc>
        <w:tc>
          <w:tcPr/>
          <w:p>
            <w:pPr>
              <w:pStyle w:val="Compact"/>
              <w:jc w:val="left"/>
            </w:pPr>
            <w:r>
              <w:t xml:space="preserve">Verified fact</w:t>
            </w:r>
          </w:p>
        </w:tc>
        <w:tc>
          <w:tcPr/>
          <w:p>
            <w:pPr>
              <w:pStyle w:val="Compact"/>
              <w:jc w:val="left"/>
            </w:pPr>
            <w:r>
              <w:t xml:space="preserve">A7-S014</w:t>
            </w:r>
          </w:p>
        </w:tc>
      </w:tr>
      <w:tr>
        <w:tc>
          <w:tcPr/>
          <w:p>
            <w:pPr>
              <w:pStyle w:val="Compact"/>
              <w:jc w:val="left"/>
            </w:pPr>
            <w:r>
              <w:t xml:space="preserve">Strategic direction</w:t>
            </w:r>
          </w:p>
        </w:tc>
        <w:tc>
          <w:tcPr/>
          <w:p>
            <w:pPr>
              <w:pStyle w:val="Compact"/>
              <w:jc w:val="left"/>
            </w:pPr>
            <w:r>
              <w:t xml:space="preserve">Commercial successors bundle scanning into AI security platforms (Prisma AIRS AI Model Security, HiddenLayer Model Scanner); Hugging Face layers ClamAV, picklescan, trufflehog and third-party scanners (Protect AI, JFrog) on the Hub</w:t>
            </w:r>
          </w:p>
        </w:tc>
        <w:tc>
          <w:tcPr/>
          <w:p>
            <w:pPr>
              <w:pStyle w:val="Compact"/>
              <w:jc w:val="left"/>
            </w:pPr>
            <w:r>
              <w:t xml:space="preserve">Verified fact</w:t>
            </w:r>
          </w:p>
        </w:tc>
        <w:tc>
          <w:tcPr/>
          <w:p>
            <w:pPr>
              <w:pStyle w:val="Compact"/>
              <w:jc w:val="left"/>
            </w:pPr>
            <w:r>
              <w:t xml:space="preserve">A7-S039, A7-S029, A7-S037</w:t>
            </w:r>
          </w:p>
        </w:tc>
      </w:tr>
      <w:tr>
        <w:tc>
          <w:tcPr/>
          <w:p>
            <w:pPr>
              <w:pStyle w:val="Compact"/>
              <w:jc w:val="left"/>
            </w:pPr>
            <w:r>
              <w:t xml:space="preserve">What it does</w:t>
            </w:r>
          </w:p>
        </w:tc>
        <w:tc>
          <w:tcPr/>
          <w:p>
            <w:pPr>
              <w:pStyle w:val="Compact"/>
              <w:jc w:val="left"/>
            </w:pPr>
            <w:r>
              <w:t xml:space="preserve">Scans serialised model files (pickle, H5, SavedModel and others) for code that executes on load before models enter registries or runtime; safetensors avoids executable pickle formats altogether. Hugging Face notes picklescan only pattern-matches module names, and scanning reduces but does not remove risk.</w:t>
            </w:r>
          </w:p>
        </w:tc>
        <w:tc>
          <w:tcPr/>
          <w:p>
            <w:pPr>
              <w:pStyle w:val="Compact"/>
              <w:jc w:val="left"/>
            </w:pPr>
            <w:r>
              <w:t xml:space="preserve">Verified fact</w:t>
            </w:r>
          </w:p>
        </w:tc>
        <w:tc>
          <w:tcPr/>
          <w:p>
            <w:pPr>
              <w:pStyle w:val="Compact"/>
              <w:jc w:val="left"/>
            </w:pPr>
            <w:r>
              <w:t xml:space="preserve">A7-S082, A7-S037</w:t>
            </w:r>
          </w:p>
        </w:tc>
      </w:tr>
      <w:tr>
        <w:tc>
          <w:tcPr/>
          <w:p>
            <w:pPr>
              <w:pStyle w:val="Compact"/>
              <w:jc w:val="left"/>
            </w:pPr>
            <w:r>
              <w:t xml:space="preserve">Stack position</w:t>
            </w:r>
          </w:p>
        </w:tc>
        <w:tc>
          <w:tcPr/>
          <w:p>
            <w:pPr>
              <w:pStyle w:val="Compact"/>
              <w:jc w:val="left"/>
            </w:pPr>
            <w:r>
              <w:t xml:space="preserve">Pre-deployment gate in CI and model registry promotion (C7), upstream of L1/L2 self-hosted models</w:t>
            </w:r>
          </w:p>
        </w:tc>
        <w:tc>
          <w:tcPr/>
          <w:p>
            <w:pPr>
              <w:pStyle w:val="Compact"/>
              <w:jc w:val="left"/>
            </w:pPr>
            <w:r>
              <w:t xml:space="preserve">Architectural judgement</w:t>
            </w:r>
          </w:p>
        </w:tc>
        <w:tc>
          <w:tcPr/>
          <w:p>
            <w:pPr>
              <w:pStyle w:val="Compact"/>
            </w:pPr>
          </w:p>
        </w:tc>
      </w:tr>
      <w:tr>
        <w:tc>
          <w:tcPr/>
          <w:p>
            <w:pPr>
              <w:pStyle w:val="Compact"/>
              <w:jc w:val="left"/>
            </w:pPr>
            <w:r>
              <w:t xml:space="preserve">Integration</w:t>
            </w:r>
          </w:p>
        </w:tc>
        <w:tc>
          <w:tcPr/>
          <w:p>
            <w:pPr>
              <w:pStyle w:val="Compact"/>
              <w:jc w:val="left"/>
            </w:pPr>
            <w:r>
              <w:t xml:space="preserve">CLIs and Python libraries for CI pipelines; Hub-side automatic scanning of public repositories</w:t>
            </w:r>
          </w:p>
        </w:tc>
        <w:tc>
          <w:tcPr/>
          <w:p>
            <w:pPr>
              <w:pStyle w:val="Compact"/>
              <w:jc w:val="left"/>
            </w:pPr>
            <w:r>
              <w:t xml:space="preserve">Verified fact</w:t>
            </w:r>
          </w:p>
        </w:tc>
        <w:tc>
          <w:tcPr/>
          <w:p>
            <w:pPr>
              <w:pStyle w:val="Compact"/>
              <w:jc w:val="left"/>
            </w:pPr>
            <w:r>
              <w:t xml:space="preserve">A7-S082, A7-S037</w:t>
            </w:r>
          </w:p>
        </w:tc>
      </w:tr>
      <w:tr>
        <w:tc>
          <w:tcPr/>
          <w:p>
            <w:pPr>
              <w:pStyle w:val="Compact"/>
              <w:jc w:val="left"/>
            </w:pPr>
            <w:r>
              <w:t xml:space="preserve">Dependencies</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Certifications</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GDPR / residency</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Security features</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Access controls</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Enterprise support</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Pricing</w:t>
            </w:r>
          </w:p>
        </w:tc>
        <w:tc>
          <w:tcPr/>
          <w:p>
            <w:pPr>
              <w:pStyle w:val="Compact"/>
              <w:jc w:val="left"/>
            </w:pPr>
            <w:r>
              <w:t xml:space="preserve">Open-source tools free; commercial scanners priced by vendor</w:t>
            </w:r>
          </w:p>
        </w:tc>
        <w:tc>
          <w:tcPr/>
          <w:p>
            <w:pPr>
              <w:pStyle w:val="Compact"/>
              <w:jc w:val="left"/>
            </w:pPr>
            <w:r>
              <w:t xml:space="preserve">Verified fact</w:t>
            </w:r>
          </w:p>
        </w:tc>
        <w:tc>
          <w:tcPr/>
          <w:p>
            <w:pPr>
              <w:pStyle w:val="Compact"/>
              <w:jc w:val="left"/>
            </w:pPr>
            <w:r>
              <w:t xml:space="preserve">A7-S002, A7-S006, A7-S031</w:t>
            </w:r>
          </w:p>
        </w:tc>
      </w:tr>
      <w:tr>
        <w:tc>
          <w:tcPr/>
          <w:p>
            <w:pPr>
              <w:pStyle w:val="Compact"/>
              <w:jc w:val="left"/>
            </w:pPr>
            <w:r>
              <w:t xml:space="preserve">Infrastructure cost</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Ecosystem</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Adoption signals</w:t>
            </w:r>
          </w:p>
        </w:tc>
        <w:tc>
          <w:tcPr/>
          <w:p>
            <w:pPr>
              <w:pStyle w:val="Compact"/>
              <w:jc w:val="left"/>
            </w:pPr>
            <w:r>
              <w:t xml:space="preserve">Protect AI reported 4.47 million model versions in 1.41 million Hub repositories scanned by 1 April 2025, flagging 352,000 issues across 51,700 models</w:t>
            </w:r>
          </w:p>
        </w:tc>
        <w:tc>
          <w:tcPr/>
          <w:p>
            <w:pPr>
              <w:pStyle w:val="Compact"/>
              <w:jc w:val="left"/>
            </w:pPr>
            <w:r>
              <w:t xml:space="preserve">Verified fact</w:t>
            </w:r>
          </w:p>
        </w:tc>
        <w:tc>
          <w:tcPr/>
          <w:p>
            <w:pPr>
              <w:pStyle w:val="Compact"/>
              <w:jc w:val="left"/>
            </w:pPr>
            <w:r>
              <w:t xml:space="preserve">A7-S037</w:t>
            </w:r>
          </w:p>
        </w:tc>
      </w:tr>
      <w:tr>
        <w:tc>
          <w:tcPr/>
          <w:p>
            <w:pPr>
              <w:pStyle w:val="Compact"/>
              <w:jc w:val="left"/>
            </w:pPr>
            <w:r>
              <w:t xml:space="preserve">Maturity</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Deployment</w:t>
            </w:r>
          </w:p>
        </w:tc>
        <w:tc>
          <w:tcPr/>
          <w:p>
            <w:pPr>
              <w:pStyle w:val="Compact"/>
              <w:jc w:val="left"/>
            </w:pPr>
            <w:r>
              <w:t xml:space="preserve">saas: Yes (Hugging Face Hub scanning; commercial platforms); managed_cloud: Not publicly verified; vpc_byoc: Not publicly verified; private_cloud: Not publicly verified; self_hosted: Yes (open-source CLIs); on_prem: Not publicly verified</w:t>
            </w:r>
          </w:p>
        </w:tc>
        <w:tc>
          <w:tcPr/>
          <w:p>
            <w:pPr>
              <w:pStyle w:val="Compact"/>
            </w:pPr>
          </w:p>
        </w:tc>
        <w:tc>
          <w:tcPr/>
          <w:p>
            <w:pPr>
              <w:pStyle w:val="Compact"/>
            </w:pPr>
          </w:p>
        </w:tc>
      </w:tr>
    </w:tbl>
    <w:bookmarkEnd w:id="2345"/>
    <w:bookmarkStart w:id="2354" w:name="Xbd84307c4e258cafffe349e217f4ddb210320aa"/>
    <w:p>
      <w:pPr>
        <w:pStyle w:val="Heading2"/>
      </w:pPr>
      <w:r>
        <w:t xml:space="preserve">OpenSSF Model Signing (OMS) specification and model-signing library (</w:t>
      </w:r>
      <w:r>
        <w:rPr>
          <w:rStyle w:val="VerbatimChar"/>
        </w:rPr>
        <w:t xml:space="preserve">C7-openssf-model-signing</w:t>
      </w:r>
      <w:r>
        <w:t xml:space="preserve">)</w:t>
      </w:r>
    </w:p>
    <w:p>
      <w:pPr>
        <w:pStyle w:val="FirstParagraph"/>
      </w:pPr>
      <w:r>
        <w:rPr>
          <w:bCs/>
          <w:b/>
        </w:rPr>
        <w:t xml:space="preserve">Tier:</w:t>
      </w:r>
      <w:r>
        <w:t xml:space="preserve"> </w:t>
      </w:r>
      <w:r>
        <w:t xml:space="preserve">Tactical ·</w:t>
      </w:r>
      <w:r>
        <w:t xml:space="preserve"> </w:t>
      </w:r>
      <w:r>
        <w:rPr>
          <w:bCs/>
          <w:b/>
        </w:rPr>
        <w:t xml:space="preserve">Flags:</w:t>
      </w:r>
      <w:r>
        <w:t xml:space="preserve"> </w:t>
      </w:r>
      <w:r>
        <w:t xml:space="preserve">none ·</w:t>
      </w:r>
      <w:r>
        <w:t xml:space="preserve"> </w:t>
      </w:r>
      <w:r>
        <w:rPr>
          <w:bCs/>
          <w:b/>
        </w:rPr>
        <w:t xml:space="preserve">Original graphic label:</w:t>
      </w:r>
      <w:r>
        <w:t xml:space="preserve"> </w:t>
      </w:r>
      <w:r>
        <w:t xml:space="preserve">not in graphic</w:t>
      </w:r>
    </w:p>
    <w:p>
      <w:pPr>
        <w:pStyle w:val="BodyText"/>
      </w:pPr>
      <w:r>
        <w:rPr>
          <w:iCs/>
          <w:i/>
        </w:rPr>
        <w:t xml:space="preserve">Rationale:</w:t>
      </w:r>
      <w:r>
        <w:t xml:space="preserve"> </w:t>
      </w:r>
      <w:r>
        <w:t xml:space="preserve">Right standard for internally produced weights, but narrow and with unverified adoption</w:t>
      </w:r>
      <w:r>
        <w:t xml:space="preserve"> </w:t>
      </w:r>
      <w:r>
        <w:rPr>
          <w:rStyle w:val="ClaimLabel"/>
        </w:rPr>
        <w:t xml:space="preserve">AJ</w:t>
      </w:r>
      <w:r>
        <w:t xml:space="preserve">.</w:t>
      </w:r>
    </w:p>
    <w:tbl>
      <w:tblPr>
        <w:tblStyle w:val="Table"/>
        <w:tblW w:type="pct" w:w="5000"/>
        <w:tblLook w:firstRow="1" w:lastRow="0" w:firstColumn="0" w:lastColumn="0" w:noHBand="0" w:noVBand="0" w:val="0020"/>
        <w:jc w:val="start"/>
      </w:tblPr>
      <w:tblGrid>
        <w:gridCol w:w="1545"/>
        <w:gridCol w:w="579"/>
        <w:gridCol w:w="5795"/>
      </w:tblGrid>
      <w:tr>
        <w:trPr>
          <w:tblHeader w:val="true"/>
        </w:trPr>
        <w:tc>
          <w:tcPr/>
          <w:p>
            <w:pPr>
              <w:pStyle w:val="Compact"/>
              <w:jc w:val="left"/>
            </w:pPr>
            <w:r>
              <w:t xml:space="preserve">Criterion</w:t>
            </w:r>
          </w:p>
        </w:tc>
        <w:tc>
          <w:tcPr/>
          <w:p>
            <w:pPr>
              <w:pStyle w:val="Compact"/>
              <w:jc w:val="right"/>
            </w:pPr>
            <w:r>
              <w:t xml:space="preserve">Score</w:t>
            </w:r>
          </w:p>
        </w:tc>
        <w:tc>
          <w:tcPr/>
          <w:p>
            <w:pPr>
              <w:pStyle w:val="Compact"/>
              <w:jc w:val="left"/>
            </w:pPr>
            <w:r>
              <w:t xml:space="preserve">Rationale</w:t>
            </w:r>
          </w:p>
        </w:tc>
      </w:tr>
      <w:tr>
        <w:tc>
          <w:tcPr/>
          <w:p>
            <w:pPr>
              <w:pStyle w:val="Compact"/>
              <w:jc w:val="left"/>
            </w:pPr>
            <w:r>
              <w:t xml:space="preserve">Technical</w:t>
            </w:r>
          </w:p>
        </w:tc>
        <w:tc>
          <w:tcPr/>
          <w:p>
            <w:pPr>
              <w:pStyle w:val="Compact"/>
              <w:jc w:val="right"/>
            </w:pPr>
            <w:r>
              <w:t xml:space="preserve">3</w:t>
            </w:r>
          </w:p>
        </w:tc>
        <w:tc>
          <w:tcPr/>
          <w:p>
            <w:pPr>
              <w:pStyle w:val="Compact"/>
              <w:jc w:val="left"/>
            </w:pPr>
            <w:r>
              <w:t xml:space="preserve">Does integrity and signer verification well; narrow scope by design.</w:t>
            </w:r>
          </w:p>
        </w:tc>
      </w:tr>
      <w:tr>
        <w:tc>
          <w:tcPr/>
          <w:p>
            <w:pPr>
              <w:pStyle w:val="Compact"/>
              <w:jc w:val="left"/>
            </w:pPr>
            <w:r>
              <w:t xml:space="preserve">Enterprise readiness</w:t>
            </w:r>
          </w:p>
        </w:tc>
        <w:tc>
          <w:tcPr/>
          <w:p>
            <w:pPr>
              <w:pStyle w:val="Compact"/>
              <w:jc w:val="right"/>
            </w:pPr>
            <w:r>
              <w:t xml:space="preserve">3</w:t>
            </w:r>
          </w:p>
        </w:tc>
        <w:tc>
          <w:tcPr/>
          <w:p>
            <w:pPr>
              <w:pStyle w:val="Compact"/>
              <w:jc w:val="left"/>
            </w:pPr>
            <w:r>
              <w:t xml:space="preserve">Rule 2: library inherits host controls; PKCS#11 and private Sigstore enable enterprise key custody.</w:t>
            </w:r>
          </w:p>
        </w:tc>
      </w:tr>
      <w:tr>
        <w:tc>
          <w:tcPr/>
          <w:p>
            <w:pPr>
              <w:pStyle w:val="Compact"/>
              <w:jc w:val="left"/>
            </w:pPr>
            <w:r>
              <w:t xml:space="preserve">Security and compliance</w:t>
            </w:r>
          </w:p>
        </w:tc>
        <w:tc>
          <w:tcPr/>
          <w:p>
            <w:pPr>
              <w:pStyle w:val="Compact"/>
              <w:jc w:val="right"/>
            </w:pPr>
            <w:r>
              <w:t xml:space="preserve">3</w:t>
            </w:r>
          </w:p>
        </w:tc>
        <w:tc>
          <w:tcPr/>
          <w:p>
            <w:pPr>
              <w:pStyle w:val="Compact"/>
              <w:jc w:val="left"/>
            </w:pPr>
            <w:r>
              <w:t xml:space="preserve">Rule 2 hygiene: foundation-governed, Apache-2.0; no security policy file found.</w:t>
            </w:r>
          </w:p>
        </w:tc>
      </w:tr>
      <w:tr>
        <w:tc>
          <w:tcPr/>
          <w:p>
            <w:pPr>
              <w:pStyle w:val="Compact"/>
              <w:jc w:val="left"/>
            </w:pPr>
            <w:r>
              <w:t xml:space="preserve">Deployment flexibility</w:t>
            </w:r>
          </w:p>
        </w:tc>
        <w:tc>
          <w:tcPr/>
          <w:p>
            <w:pPr>
              <w:pStyle w:val="Compact"/>
              <w:jc w:val="right"/>
            </w:pPr>
            <w:r>
              <w:t xml:space="preserve">4</w:t>
            </w:r>
          </w:p>
        </w:tc>
        <w:tc>
          <w:tcPr/>
          <w:p>
            <w:pPr>
              <w:pStyle w:val="Compact"/>
              <w:jc w:val="left"/>
            </w:pPr>
            <w:r>
              <w:t xml:space="preserve">Self-hosted library; offline key or certificate signing possible; private Sigstore supported.</w:t>
            </w:r>
          </w:p>
        </w:tc>
      </w:tr>
      <w:tr>
        <w:tc>
          <w:tcPr/>
          <w:p>
            <w:pPr>
              <w:pStyle w:val="Compact"/>
              <w:jc w:val="left"/>
            </w:pPr>
            <w:r>
              <w:t xml:space="preserve">Ecosystem</w:t>
            </w:r>
          </w:p>
        </w:tc>
        <w:tc>
          <w:tcPr/>
          <w:p>
            <w:pPr>
              <w:pStyle w:val="Compact"/>
              <w:jc w:val="right"/>
            </w:pPr>
            <w:r>
              <w:t xml:space="preserve">2</w:t>
            </w:r>
          </w:p>
        </w:tc>
        <w:tc>
          <w:tcPr/>
          <w:p>
            <w:pPr>
              <w:pStyle w:val="Compact"/>
              <w:jc w:val="left"/>
            </w:pPr>
            <w:r>
              <w:t xml:space="preserve">Adoption by hubs and registries not publicly verified.</w:t>
            </w:r>
          </w:p>
        </w:tc>
      </w:tr>
      <w:tr>
        <w:tc>
          <w:tcPr/>
          <w:p>
            <w:pPr>
              <w:pStyle w:val="Compact"/>
              <w:jc w:val="left"/>
            </w:pPr>
            <w:r>
              <w:t xml:space="preserve">Reliability and maturity</w:t>
            </w:r>
          </w:p>
        </w:tc>
        <w:tc>
          <w:tcPr/>
          <w:p>
            <w:pPr>
              <w:pStyle w:val="Compact"/>
              <w:jc w:val="right"/>
            </w:pPr>
            <w:r>
              <w:t xml:space="preserve">3</w:t>
            </w:r>
          </w:p>
        </w:tc>
        <w:tc>
          <w:tcPr/>
          <w:p>
            <w:pPr>
              <w:pStyle w:val="Compact"/>
              <w:jc w:val="left"/>
            </w:pPr>
            <w:r>
              <w:t xml:space="preserve">v1.0 spec (April 2025), library 1.1.1; no release in the last twelve months found.</w:t>
            </w:r>
          </w:p>
        </w:tc>
      </w:tr>
      <w:tr>
        <w:tc>
          <w:tcPr/>
          <w:p>
            <w:pPr>
              <w:pStyle w:val="Compact"/>
              <w:jc w:val="left"/>
            </w:pPr>
            <w:r>
              <w:t xml:space="preserve">Cost / TCO</w:t>
            </w:r>
          </w:p>
        </w:tc>
        <w:tc>
          <w:tcPr/>
          <w:p>
            <w:pPr>
              <w:pStyle w:val="Compact"/>
              <w:jc w:val="right"/>
            </w:pPr>
            <w:r>
              <w:t xml:space="preserve">5</w:t>
            </w:r>
          </w:p>
        </w:tc>
        <w:tc>
          <w:tcPr/>
          <w:p>
            <w:pPr>
              <w:pStyle w:val="Compact"/>
              <w:jc w:val="left"/>
            </w:pPr>
            <w:r>
              <w:t xml:space="preserve">Free.</w:t>
            </w:r>
          </w:p>
        </w:tc>
      </w:tr>
      <w:tr>
        <w:tc>
          <w:tcPr/>
          <w:p>
            <w:pPr>
              <w:pStyle w:val="Compact"/>
              <w:jc w:val="left"/>
            </w:pPr>
            <w:r>
              <w:t xml:space="preserve">Lock-in / portability</w:t>
            </w:r>
          </w:p>
        </w:tc>
        <w:tc>
          <w:tcPr/>
          <w:p>
            <w:pPr>
              <w:pStyle w:val="Compact"/>
              <w:jc w:val="right"/>
            </w:pPr>
            <w:r>
              <w:t xml:space="preserve">5</w:t>
            </w:r>
          </w:p>
        </w:tc>
        <w:tc>
          <w:tcPr/>
          <w:p>
            <w:pPr>
              <w:pStyle w:val="Compact"/>
              <w:jc w:val="left"/>
            </w:pPr>
            <w:r>
              <w:t xml:space="preserve">Open specification, Apache-2.0, neutral governance.</w:t>
            </w:r>
          </w:p>
        </w:tc>
      </w:tr>
      <w:tr>
        <w:tc>
          <w:tcPr/>
          <w:p>
            <w:pPr>
              <w:pStyle w:val="Compact"/>
              <w:jc w:val="left"/>
            </w:pPr>
            <w:r>
              <w:rPr>
                <w:bCs/>
                <w:b/>
              </w:rPr>
              <w:t xml:space="preserve">Total (generic / FS)</w:t>
            </w:r>
          </w:p>
        </w:tc>
        <w:tc>
          <w:tcPr/>
          <w:p>
            <w:pPr>
              <w:pStyle w:val="Compact"/>
              <w:jc w:val="right"/>
            </w:pPr>
            <w:r>
              <w:rPr>
                <w:bCs/>
                <w:b/>
              </w:rPr>
              <w:t xml:space="preserve">3.35 / 3.50</w:t>
            </w:r>
          </w:p>
        </w:tc>
        <w:tc>
          <w:tcPr/>
          <w:p>
            <w:pPr>
              <w:pStyle w:val="Compact"/>
            </w:pPr>
          </w:p>
        </w:tc>
      </w:tr>
    </w:tbl>
    <w:p>
      <w:pPr>
        <w:pStyle w:val="BodyText"/>
      </w:pPr>
      <w:r>
        <w:rPr>
          <w:bCs/>
          <w:b/>
        </w:rPr>
        <w:t xml:space="preserve">Capabilities.</w:t>
      </w:r>
      <w:r>
        <w:t xml:space="preserve"> </w:t>
      </w:r>
      <w:r>
        <w:t xml:space="preserve">Open specification and Apache-2.0 library to sign and verify ML models of any format with a detached Sigstore bundle (DSSE/in-toto), using Sigstore, key pairs, certificates or PKCS#11 devices, with optional private Sigstore instances and a transparency log</w:t>
      </w:r>
      <w:r>
        <w:t xml:space="preserve"> </w:t>
      </w:r>
      <w:r>
        <w:rPr>
          <w:rStyle w:val="ClaimLabel"/>
        </w:rPr>
        <w:t xml:space="preserve">VF</w:t>
      </w:r>
      <w:r>
        <w:rPr>
          <w:rStyle w:val="FootnoteReference"/>
        </w:rPr>
        <w:footnoteReference w:id="2346"/>
      </w:r>
      <w:r>
        <w:t xml:space="preserve">.</w:t>
      </w:r>
    </w:p>
    <w:p>
      <w:pPr>
        <w:pStyle w:val="BodyText"/>
      </w:pPr>
      <w:r>
        <w:rPr>
          <w:bCs/>
          <w:b/>
        </w:rPr>
        <w:t xml:space="preserve">Strengths</w:t>
      </w:r>
    </w:p>
    <w:p>
      <w:pPr>
        <w:numPr>
          <w:ilvl w:val="0"/>
          <w:numId w:val="1517"/>
        </w:numPr>
        <w:pStyle w:val="Compact"/>
      </w:pPr>
      <w:r>
        <w:t xml:space="preserve">Vendor-neutral integrity and signer verification under OpenSSF (Linux Foundation)</w:t>
      </w:r>
      <w:r>
        <w:t xml:space="preserve"> </w:t>
      </w:r>
      <w:r>
        <w:rPr>
          <w:rStyle w:val="ClaimLabel"/>
        </w:rPr>
        <w:t xml:space="preserve">VF</w:t>
      </w:r>
      <w:r>
        <w:rPr>
          <w:rStyle w:val="FootnoteReference"/>
        </w:rPr>
        <w:footnoteReference w:id="2350"/>
      </w:r>
    </w:p>
    <w:p>
      <w:pPr>
        <w:numPr>
          <w:ilvl w:val="0"/>
          <w:numId w:val="1517"/>
        </w:numPr>
        <w:pStyle w:val="Compact"/>
      </w:pPr>
      <w:r>
        <w:t xml:space="preserve">HSM (PKCS#11) and private Sigstore support suit regulated key custody</w:t>
      </w:r>
      <w:r>
        <w:t xml:space="preserve"> </w:t>
      </w:r>
      <w:r>
        <w:rPr>
          <w:rStyle w:val="ClaimLabel"/>
        </w:rPr>
        <w:t xml:space="preserve">VF</w:t>
      </w:r>
      <w:r>
        <w:rPr>
          <w:rStyle w:val="FootnoteReference"/>
        </w:rPr>
        <w:footnoteReference w:id="2351"/>
      </w:r>
    </w:p>
    <w:p>
      <w:pPr>
        <w:numPr>
          <w:ilvl w:val="0"/>
          <w:numId w:val="1517"/>
        </w:numPr>
        <w:pStyle w:val="Compact"/>
      </w:pPr>
      <w:r>
        <w:t xml:space="preserve">Free</w:t>
      </w:r>
      <w:r>
        <w:t xml:space="preserve"> </w:t>
      </w:r>
      <w:r>
        <w:rPr>
          <w:rStyle w:val="ClaimLabel"/>
        </w:rPr>
        <w:t xml:space="preserve">VF</w:t>
      </w:r>
      <w:r>
        <w:rPr>
          <w:rStyle w:val="FootnoteReference"/>
        </w:rPr>
        <w:footnoteReference w:id="2352"/>
      </w:r>
    </w:p>
    <w:p>
      <w:pPr>
        <w:pStyle w:val="FirstParagraph"/>
      </w:pPr>
      <w:r>
        <w:rPr>
          <w:bCs/>
          <w:b/>
        </w:rPr>
        <w:t xml:space="preserve">Limitations and risks</w:t>
      </w:r>
    </w:p>
    <w:p>
      <w:pPr>
        <w:numPr>
          <w:ilvl w:val="0"/>
          <w:numId w:val="1518"/>
        </w:numPr>
        <w:pStyle w:val="Compact"/>
      </w:pPr>
      <w:r>
        <w:t xml:space="preserve">Proves integrity and signer, not provenance or safety</w:t>
      </w:r>
      <w:r>
        <w:t xml:space="preserve"> </w:t>
      </w:r>
      <w:r>
        <w:rPr>
          <w:rStyle w:val="ClaimLabel"/>
        </w:rPr>
        <w:t xml:space="preserve">AJ</w:t>
      </w:r>
    </w:p>
    <w:p>
      <w:pPr>
        <w:numPr>
          <w:ilvl w:val="0"/>
          <w:numId w:val="1518"/>
        </w:numPr>
        <w:pStyle w:val="Compact"/>
      </w:pPr>
      <w:r>
        <w:t xml:space="preserve">Hub and registry adoption not publicly verified</w:t>
      </w:r>
      <w:r>
        <w:t xml:space="preserve"> </w:t>
      </w:r>
      <w:r>
        <w:rPr>
          <w:rStyle w:val="ClaimLabel"/>
        </w:rPr>
        <w:t xml:space="preserve">NPV</w:t>
      </w:r>
    </w:p>
    <w:p>
      <w:pPr>
        <w:numPr>
          <w:ilvl w:val="0"/>
          <w:numId w:val="1518"/>
        </w:numPr>
        <w:pStyle w:val="Compact"/>
      </w:pPr>
      <w:r>
        <w:t xml:space="preserve">No library release on PyPI since 1.1.1 (10 October 2025)</w:t>
      </w:r>
      <w:r>
        <w:t xml:space="preserve"> </w:t>
      </w:r>
      <w:r>
        <w:rPr>
          <w:rStyle w:val="ClaimLabel"/>
        </w:rPr>
        <w:t xml:space="preserve">VF</w:t>
      </w:r>
      <w:r>
        <w:rPr>
          <w:rStyle w:val="FootnoteReference"/>
        </w:rPr>
        <w:footnoteReference w:id="2353"/>
      </w:r>
      <w:r>
        <w:t xml:space="preserve">; no security policy file found</w:t>
      </w:r>
    </w:p>
    <w:p>
      <w:pPr>
        <w:pStyle w:val="FirstParagraph"/>
      </w:pPr>
      <w:r>
        <w:rPr>
          <w:bCs/>
          <w:b/>
        </w:rPr>
        <w:t xml:space="preserve">Choose when</w:t>
      </w:r>
    </w:p>
    <w:p>
      <w:pPr>
        <w:numPr>
          <w:ilvl w:val="0"/>
          <w:numId w:val="1519"/>
        </w:numPr>
        <w:pStyle w:val="Compact"/>
      </w:pPr>
      <w:r>
        <w:t xml:space="preserve">You fine-tune or distil models internally and must prove served weights equal validated weights</w:t>
      </w:r>
      <w:r>
        <w:t xml:space="preserve"> </w:t>
      </w:r>
      <w:r>
        <w:rPr>
          <w:rStyle w:val="ClaimLabel"/>
        </w:rPr>
        <w:t xml:space="preserve">AJ</w:t>
      </w:r>
    </w:p>
    <w:p>
      <w:pPr>
        <w:pStyle w:val="FirstParagraph"/>
      </w:pPr>
      <w:r>
        <w:rPr>
          <w:bCs/>
          <w:b/>
        </w:rPr>
        <w:t xml:space="preserve">Avoid when</w:t>
      </w:r>
    </w:p>
    <w:p>
      <w:pPr>
        <w:numPr>
          <w:ilvl w:val="0"/>
          <w:numId w:val="1520"/>
        </w:numPr>
        <w:pStyle w:val="Compact"/>
      </w:pPr>
      <w:r>
        <w:t xml:space="preserve">You only consume hosted model APIs</w:t>
      </w:r>
      <w:r>
        <w:t xml:space="preserve"> </w:t>
      </w:r>
      <w:r>
        <w:rPr>
          <w:rStyle w:val="ClaimLabel"/>
        </w:rPr>
        <w:t xml:space="preserve">AJ</w:t>
      </w:r>
    </w:p>
    <w:p>
      <w:pPr>
        <w:pStyle w:val="FirstParagraph"/>
      </w:pPr>
      <w:r>
        <w:rPr>
          <w:bCs/>
          <w:b/>
        </w:rPr>
        <w:t xml:space="preserve">Nearest competitors:</w:t>
      </w:r>
      <w:r>
        <w:t xml:space="preserve"> </w:t>
      </w:r>
      <w:r>
        <w:t xml:space="preserve">C7-model-supply-chain-scanning, C7-hiddenlayer</w:t>
      </w:r>
    </w:p>
    <w:p>
      <w:pPr>
        <w:pStyle w:val="BodyText"/>
      </w:pPr>
      <w:r>
        <w:rPr>
          <w:bCs/>
          <w:b/>
        </w:rPr>
        <w:t xml:space="preserve">Regulated-FS note.</w:t>
      </w:r>
      <w:r>
        <w:t xml:space="preserve"> </w:t>
      </w:r>
      <w:r>
        <w:t xml:space="preserve">Sign with a firm-controlled key or HSM and verify the signature at model-server start-up</w:t>
      </w:r>
      <w:r>
        <w:t xml:space="preserve"> </w:t>
      </w:r>
      <w:r>
        <w:rPr>
          <w:rStyle w:val="ClaimLabel"/>
        </w:rPr>
        <w:t xml:space="preserve">Rec</w:t>
      </w:r>
      <w:r>
        <w:t xml:space="preserve">.</w:t>
      </w:r>
    </w:p>
    <w:p>
      <w:pPr>
        <w:pStyle w:val="BodyText"/>
      </w:pPr>
      <w:r>
        <w:rPr>
          <w:bCs/>
          <w:b/>
        </w:rPr>
        <w:t xml:space="preserve">Facts (as of 2026-10-08)</w:t>
      </w:r>
    </w:p>
    <w:tbl>
      <w:tblPr>
        <w:tblStyle w:val="Table"/>
        <w:tblW w:type="pct" w:w="5000"/>
        <w:tblLook w:firstRow="1" w:lastRow="0" w:firstColumn="0" w:lastColumn="0" w:noHBand="0" w:noVBand="0" w:val="0020"/>
        <w:jc w:val="start"/>
      </w:tblPr>
      <w:tblGrid>
        <w:gridCol w:w="1485"/>
        <w:gridCol w:w="4290"/>
        <w:gridCol w:w="1320"/>
        <w:gridCol w:w="825"/>
      </w:tblGrid>
      <w:tr>
        <w:trPr>
          <w:tblHeader w:val="true"/>
        </w:trPr>
        <w:tc>
          <w:tcPr/>
          <w:p>
            <w:pPr>
              <w:pStyle w:val="Compact"/>
              <w:jc w:val="left"/>
            </w:pPr>
            <w:r>
              <w:t xml:space="preserve">Field</w:t>
            </w:r>
          </w:p>
        </w:tc>
        <w:tc>
          <w:tcPr/>
          <w:p>
            <w:pPr>
              <w:pStyle w:val="Compact"/>
              <w:jc w:val="left"/>
            </w:pPr>
            <w:r>
              <w:t xml:space="preserve">Value</w:t>
            </w:r>
          </w:p>
        </w:tc>
        <w:tc>
          <w:tcPr/>
          <w:p>
            <w:pPr>
              <w:pStyle w:val="Compact"/>
              <w:jc w:val="left"/>
            </w:pPr>
            <w:r>
              <w:t xml:space="preserve">Label</w:t>
            </w:r>
          </w:p>
        </w:tc>
        <w:tc>
          <w:tcPr/>
          <w:p>
            <w:pPr>
              <w:pStyle w:val="Compact"/>
              <w:jc w:val="left"/>
            </w:pPr>
            <w:r>
              <w:t xml:space="preserve">Sources</w:t>
            </w:r>
          </w:p>
        </w:tc>
      </w:tr>
      <w:tr>
        <w:tc>
          <w:tcPr/>
          <w:p>
            <w:pPr>
              <w:pStyle w:val="Compact"/>
              <w:jc w:val="left"/>
            </w:pPr>
            <w:r>
              <w:t xml:space="preserve">Company</w:t>
            </w:r>
          </w:p>
        </w:tc>
        <w:tc>
          <w:tcPr/>
          <w:p>
            <w:pPr>
              <w:pStyle w:val="Compact"/>
              <w:jc w:val="left"/>
            </w:pPr>
            <w:r>
              <w:t xml:space="preserve">OpenSSF AI/ML Working Group (Linux Foundation); reference implementation in Sigstore model-transparency; contributors include Google, NVIDIA and HiddenLayer</w:t>
            </w:r>
          </w:p>
        </w:tc>
        <w:tc>
          <w:tcPr/>
          <w:p>
            <w:pPr>
              <w:pStyle w:val="Compact"/>
              <w:jc w:val="left"/>
            </w:pPr>
            <w:r>
              <w:t xml:space="preserve">Verified fact</w:t>
            </w:r>
          </w:p>
        </w:tc>
        <w:tc>
          <w:tcPr/>
          <w:p>
            <w:pPr>
              <w:pStyle w:val="Compact"/>
              <w:jc w:val="left"/>
            </w:pPr>
            <w:r>
              <w:t xml:space="preserve">A7-S040, A7-S038</w:t>
            </w:r>
          </w:p>
        </w:tc>
      </w:tr>
      <w:tr>
        <w:tc>
          <w:tcPr/>
          <w:p>
            <w:pPr>
              <w:pStyle w:val="Compact"/>
              <w:jc w:val="left"/>
            </w:pPr>
            <w:r>
              <w:t xml:space="preserve">Category</w:t>
            </w:r>
          </w:p>
        </w:tc>
        <w:tc>
          <w:tcPr/>
          <w:p>
            <w:pPr>
              <w:pStyle w:val="Compact"/>
              <w:jc w:val="left"/>
            </w:pPr>
            <w:r>
              <w:t xml:space="preserve">Open specification and library for signing and verifying ML models</w:t>
            </w:r>
          </w:p>
        </w:tc>
        <w:tc>
          <w:tcPr/>
          <w:p>
            <w:pPr>
              <w:pStyle w:val="Compact"/>
              <w:jc w:val="left"/>
            </w:pPr>
            <w:r>
              <w:t xml:space="preserve">Verified fact</w:t>
            </w:r>
          </w:p>
        </w:tc>
        <w:tc>
          <w:tcPr/>
          <w:p>
            <w:pPr>
              <w:pStyle w:val="Compact"/>
              <w:jc w:val="left"/>
            </w:pPr>
            <w:r>
              <w:t xml:space="preserve">A7-S040</w:t>
            </w:r>
          </w:p>
        </w:tc>
      </w:tr>
      <w:tr>
        <w:tc>
          <w:tcPr/>
          <w:p>
            <w:pPr>
              <w:pStyle w:val="Compact"/>
              <w:jc w:val="left"/>
            </w:pPr>
            <w:r>
              <w:t xml:space="preserve">Version / lineup</w:t>
            </w:r>
          </w:p>
        </w:tc>
        <w:tc>
          <w:tcPr/>
          <w:p>
            <w:pPr>
              <w:pStyle w:val="Compact"/>
              <w:jc w:val="left"/>
            </w:pPr>
            <w:r>
              <w:t xml:space="preserve">v1.0 launched 4 April 2025; model-signing 1.1.1 on PyPI (10 October 2025); OpenSSF podcast (July 2026) refers to v1.1 and v1.2 iterations</w:t>
            </w:r>
          </w:p>
        </w:tc>
        <w:tc>
          <w:tcPr/>
          <w:p>
            <w:pPr>
              <w:pStyle w:val="Compact"/>
              <w:jc w:val="left"/>
            </w:pPr>
            <w:r>
              <w:t xml:space="preserve">Verified fact</w:t>
            </w:r>
          </w:p>
        </w:tc>
        <w:tc>
          <w:tcPr/>
          <w:p>
            <w:pPr>
              <w:pStyle w:val="Compact"/>
              <w:jc w:val="left"/>
            </w:pPr>
            <w:r>
              <w:t xml:space="preserve">A7-S040, A7-S038, V2-S028</w:t>
            </w:r>
          </w:p>
        </w:tc>
      </w:tr>
      <w:tr>
        <w:tc>
          <w:tcPr/>
          <w:p>
            <w:pPr>
              <w:pStyle w:val="Compact"/>
              <w:jc w:val="left"/>
            </w:pPr>
            <w:r>
              <w:t xml:space="preserve">Licence</w:t>
            </w:r>
          </w:p>
        </w:tc>
        <w:tc>
          <w:tcPr/>
          <w:p>
            <w:pPr>
              <w:pStyle w:val="Compact"/>
              <w:jc w:val="left"/>
            </w:pPr>
            <w:r>
              <w:t xml:space="preserve">Open source, Apache-2.0 (library)</w:t>
            </w:r>
          </w:p>
        </w:tc>
        <w:tc>
          <w:tcPr/>
          <w:p>
            <w:pPr>
              <w:pStyle w:val="Compact"/>
              <w:jc w:val="left"/>
            </w:pPr>
            <w:r>
              <w:t xml:space="preserve">Verified fact</w:t>
            </w:r>
          </w:p>
        </w:tc>
        <w:tc>
          <w:tcPr/>
          <w:p>
            <w:pPr>
              <w:pStyle w:val="Compact"/>
              <w:jc w:val="left"/>
            </w:pPr>
            <w:r>
              <w:t xml:space="preserve">A7-S038</w:t>
            </w:r>
          </w:p>
        </w:tc>
      </w:tr>
      <w:tr>
        <w:tc>
          <w:tcPr/>
          <w:p>
            <w:pPr>
              <w:pStyle w:val="Compact"/>
              <w:jc w:val="left"/>
            </w:pPr>
            <w:r>
              <w:t xml:space="preserve">Strategic direction</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What it does</w:t>
            </w:r>
          </w:p>
        </w:tc>
        <w:tc>
          <w:tcPr/>
          <w:p>
            <w:pPr>
              <w:pStyle w:val="Compact"/>
              <w:jc w:val="left"/>
            </w:pPr>
            <w:r>
              <w:t xml:space="preserve">Signs a model of any format and size with a detached signature (Sigstore bundle) stored with the model, using Sigstore, self-signed certificates or key pairs, so consumers can verify integrity and signer before loading.</w:t>
            </w:r>
          </w:p>
        </w:tc>
        <w:tc>
          <w:tcPr/>
          <w:p>
            <w:pPr>
              <w:pStyle w:val="Compact"/>
              <w:jc w:val="left"/>
            </w:pPr>
            <w:r>
              <w:t xml:space="preserve">Verified fact</w:t>
            </w:r>
          </w:p>
        </w:tc>
        <w:tc>
          <w:tcPr/>
          <w:p>
            <w:pPr>
              <w:pStyle w:val="Compact"/>
              <w:jc w:val="left"/>
            </w:pPr>
            <w:r>
              <w:t xml:space="preserve">A7-S040</w:t>
            </w:r>
          </w:p>
        </w:tc>
      </w:tr>
      <w:tr>
        <w:tc>
          <w:tcPr/>
          <w:p>
            <w:pPr>
              <w:pStyle w:val="Compact"/>
              <w:jc w:val="left"/>
            </w:pPr>
            <w:r>
              <w:t xml:space="preserve">Stack position</w:t>
            </w:r>
          </w:p>
        </w:tc>
        <w:tc>
          <w:tcPr/>
          <w:p>
            <w:pPr>
              <w:pStyle w:val="Compact"/>
              <w:jc w:val="left"/>
            </w:pPr>
            <w:r>
              <w:t xml:space="preserve">C7 supply-chain control complementing scanning: verifies integrity and signer, not provenance or safety</w:t>
            </w:r>
          </w:p>
        </w:tc>
        <w:tc>
          <w:tcPr/>
          <w:p>
            <w:pPr>
              <w:pStyle w:val="Compact"/>
              <w:jc w:val="left"/>
            </w:pPr>
            <w:r>
              <w:t xml:space="preserve">Architectural judgement</w:t>
            </w:r>
          </w:p>
        </w:tc>
        <w:tc>
          <w:tcPr/>
          <w:p>
            <w:pPr>
              <w:pStyle w:val="Compact"/>
            </w:pPr>
          </w:p>
        </w:tc>
      </w:tr>
      <w:tr>
        <w:tc>
          <w:tcPr/>
          <w:p>
            <w:pPr>
              <w:pStyle w:val="Compact"/>
              <w:jc w:val="left"/>
            </w:pPr>
            <w:r>
              <w:t xml:space="preserve">Integration</w:t>
            </w:r>
          </w:p>
        </w:tc>
        <w:tc>
          <w:tcPr/>
          <w:p>
            <w:pPr>
              <w:pStyle w:val="Compact"/>
              <w:jc w:val="left"/>
            </w:pPr>
            <w:r>
              <w:t xml:space="preserve">Python library and CLI (sign/verify)</w:t>
            </w:r>
          </w:p>
        </w:tc>
        <w:tc>
          <w:tcPr/>
          <w:p>
            <w:pPr>
              <w:pStyle w:val="Compact"/>
              <w:jc w:val="left"/>
            </w:pPr>
            <w:r>
              <w:t xml:space="preserve">Verified fact</w:t>
            </w:r>
          </w:p>
        </w:tc>
        <w:tc>
          <w:tcPr/>
          <w:p>
            <w:pPr>
              <w:pStyle w:val="Compact"/>
              <w:jc w:val="left"/>
            </w:pPr>
            <w:r>
              <w:t xml:space="preserve">A7-S038, A7-S040</w:t>
            </w:r>
          </w:p>
        </w:tc>
      </w:tr>
      <w:tr>
        <w:tc>
          <w:tcPr/>
          <w:p>
            <w:pPr>
              <w:pStyle w:val="Compact"/>
              <w:jc w:val="left"/>
            </w:pPr>
            <w:r>
              <w:t xml:space="preserve">Dependencies</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Certifications</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GDPR / residency</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Security features</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Access controls</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Enterprise support</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Pricing</w:t>
            </w:r>
          </w:p>
        </w:tc>
        <w:tc>
          <w:tcPr/>
          <w:p>
            <w:pPr>
              <w:pStyle w:val="Compact"/>
              <w:jc w:val="left"/>
            </w:pPr>
            <w:r>
              <w:t xml:space="preserve">Free open source</w:t>
            </w:r>
          </w:p>
        </w:tc>
        <w:tc>
          <w:tcPr/>
          <w:p>
            <w:pPr>
              <w:pStyle w:val="Compact"/>
              <w:jc w:val="left"/>
            </w:pPr>
            <w:r>
              <w:t xml:space="preserve">Verified fact</w:t>
            </w:r>
          </w:p>
        </w:tc>
        <w:tc>
          <w:tcPr/>
          <w:p>
            <w:pPr>
              <w:pStyle w:val="Compact"/>
              <w:jc w:val="left"/>
            </w:pPr>
            <w:r>
              <w:t xml:space="preserve">A7-S038</w:t>
            </w:r>
          </w:p>
        </w:tc>
      </w:tr>
      <w:tr>
        <w:tc>
          <w:tcPr/>
          <w:p>
            <w:pPr>
              <w:pStyle w:val="Compact"/>
              <w:jc w:val="left"/>
            </w:pPr>
            <w:r>
              <w:t xml:space="preserve">Infrastructure cost</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Ecosystem</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Adoption signals</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Maturity</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Deployment</w:t>
            </w:r>
          </w:p>
        </w:tc>
        <w:tc>
          <w:tcPr/>
          <w:p>
            <w:pPr>
              <w:pStyle w:val="Compact"/>
              <w:jc w:val="left"/>
            </w:pPr>
            <w:r>
              <w:t xml:space="preserve">saas: Not publicly verified; managed_cloud: Not publicly verified; vpc_byoc: Not publicly verified; private_cloud: Not publicly verified; self_hosted: Yes; on_prem: Not publicly verified</w:t>
            </w:r>
          </w:p>
        </w:tc>
        <w:tc>
          <w:tcPr/>
          <w:p>
            <w:pPr>
              <w:pStyle w:val="Compact"/>
            </w:pPr>
          </w:p>
        </w:tc>
        <w:tc>
          <w:tcPr/>
          <w:p>
            <w:pPr>
              <w:pStyle w:val="Compact"/>
            </w:pPr>
          </w:p>
        </w:tc>
      </w:tr>
    </w:tbl>
    <w:bookmarkEnd w:id="2354"/>
    <w:bookmarkStart w:id="2374" w:name="X70990525bc6dbfb16c598789e3a2d1955bf8b8b"/>
    <w:p>
      <w:pPr>
        <w:pStyle w:val="Heading2"/>
      </w:pPr>
      <w:r>
        <w:t xml:space="preserve">Prisma AIRS (AI Runtime Security) 3.0 (</w:t>
      </w:r>
      <w:r>
        <w:rPr>
          <w:rStyle w:val="VerbatimChar"/>
        </w:rPr>
        <w:t xml:space="preserve">C7-prisma-airs</w:t>
      </w:r>
      <w:r>
        <w:t xml:space="preserve">)</w:t>
      </w:r>
    </w:p>
    <w:p>
      <w:pPr>
        <w:pStyle w:val="FirstParagraph"/>
      </w:pPr>
      <w:r>
        <w:rPr>
          <w:bCs/>
          <w:b/>
        </w:rPr>
        <w:t xml:space="preserve">Tier:</w:t>
      </w:r>
      <w:r>
        <w:t xml:space="preserve"> </w:t>
      </w:r>
      <w:r>
        <w:t xml:space="preserve">Tactical ·</w:t>
      </w:r>
      <w:r>
        <w:t xml:space="preserve"> </w:t>
      </w:r>
      <w:r>
        <w:rPr>
          <w:bCs/>
          <w:b/>
        </w:rPr>
        <w:t xml:space="preserve">Flags:</w:t>
      </w:r>
      <w:r>
        <w:t xml:space="preserve"> </w:t>
      </w:r>
      <w:r>
        <w:t xml:space="preserve">none ·</w:t>
      </w:r>
      <w:r>
        <w:t xml:space="preserve"> </w:t>
      </w:r>
      <w:r>
        <w:rPr>
          <w:bCs/>
          <w:b/>
        </w:rPr>
        <w:t xml:space="preserve">Original graphic label:</w:t>
      </w:r>
      <w:r>
        <w:t xml:space="preserve"> </w:t>
      </w:r>
      <w:r>
        <w:t xml:space="preserve">not in graphic</w:t>
      </w:r>
    </w:p>
    <w:p>
      <w:pPr>
        <w:pStyle w:val="BodyText"/>
      </w:pPr>
      <w:r>
        <w:rPr>
          <w:iCs/>
          <w:i/>
        </w:rPr>
        <w:t xml:space="preserve">Rationale:</w:t>
      </w:r>
      <w:r>
        <w:t xml:space="preserve"> </w:t>
      </w:r>
      <w:r>
        <w:t xml:space="preserve">Strongest runtime platform technically, but product-scoped certification is unconfirmed and credit licensing plus a proprietary SDK create lock-in; Strategic candidate only in Palo Alto estates after due diligence</w:t>
      </w:r>
      <w:r>
        <w:t xml:space="preserve"> </w:t>
      </w:r>
      <w:r>
        <w:rPr>
          <w:rStyle w:val="ClaimLabel"/>
        </w:rPr>
        <w:t xml:space="preserve">AJ</w:t>
      </w:r>
      <w:r>
        <w:t xml:space="preserve">.</w:t>
      </w:r>
    </w:p>
    <w:tbl>
      <w:tblPr>
        <w:tblStyle w:val="Table"/>
        <w:tblW w:type="pct" w:w="5000"/>
        <w:tblLook w:firstRow="1" w:lastRow="0" w:firstColumn="0" w:lastColumn="0" w:noHBand="0" w:noVBand="0" w:val="0020"/>
        <w:jc w:val="start"/>
      </w:tblPr>
      <w:tblGrid>
        <w:gridCol w:w="1545"/>
        <w:gridCol w:w="579"/>
        <w:gridCol w:w="5795"/>
      </w:tblGrid>
      <w:tr>
        <w:trPr>
          <w:tblHeader w:val="true"/>
        </w:trPr>
        <w:tc>
          <w:tcPr/>
          <w:p>
            <w:pPr>
              <w:pStyle w:val="Compact"/>
              <w:jc w:val="left"/>
            </w:pPr>
            <w:r>
              <w:t xml:space="preserve">Criterion</w:t>
            </w:r>
          </w:p>
        </w:tc>
        <w:tc>
          <w:tcPr/>
          <w:p>
            <w:pPr>
              <w:pStyle w:val="Compact"/>
              <w:jc w:val="right"/>
            </w:pPr>
            <w:r>
              <w:t xml:space="preserve">Score</w:t>
            </w:r>
          </w:p>
        </w:tc>
        <w:tc>
          <w:tcPr/>
          <w:p>
            <w:pPr>
              <w:pStyle w:val="Compact"/>
              <w:jc w:val="left"/>
            </w:pPr>
            <w:r>
              <w:t xml:space="preserve">Rationale</w:t>
            </w:r>
          </w:p>
        </w:tc>
      </w:tr>
      <w:tr>
        <w:tc>
          <w:tcPr/>
          <w:p>
            <w:pPr>
              <w:pStyle w:val="Compact"/>
              <w:jc w:val="left"/>
            </w:pPr>
            <w:r>
              <w:t xml:space="preserve">Technical</w:t>
            </w:r>
          </w:p>
        </w:tc>
        <w:tc>
          <w:tcPr/>
          <w:p>
            <w:pPr>
              <w:pStyle w:val="Compact"/>
              <w:jc w:val="right"/>
            </w:pPr>
            <w:r>
              <w:t xml:space="preserve">5</w:t>
            </w:r>
          </w:p>
        </w:tc>
        <w:tc>
          <w:tcPr/>
          <w:p>
            <w:pPr>
              <w:pStyle w:val="Compact"/>
              <w:jc w:val="left"/>
            </w:pPr>
            <w:r>
              <w:t xml:space="preserve">Leading breadth across C7 research questions: supply chain, agent artefacts, red-teaming, runtime and gateway.</w:t>
            </w:r>
          </w:p>
        </w:tc>
      </w:tr>
      <w:tr>
        <w:tc>
          <w:tcPr/>
          <w:p>
            <w:pPr>
              <w:pStyle w:val="Compact"/>
              <w:jc w:val="left"/>
            </w:pPr>
            <w:r>
              <w:t xml:space="preserve">Enterprise readiness</w:t>
            </w:r>
          </w:p>
        </w:tc>
        <w:tc>
          <w:tcPr/>
          <w:p>
            <w:pPr>
              <w:pStyle w:val="Compact"/>
              <w:jc w:val="right"/>
            </w:pPr>
            <w:r>
              <w:t xml:space="preserve">3</w:t>
            </w:r>
          </w:p>
        </w:tc>
        <w:tc>
          <w:tcPr/>
          <w:p>
            <w:pPr>
              <w:pStyle w:val="Compact"/>
              <w:jc w:val="left"/>
            </w:pPr>
            <w:r>
              <w:t xml:space="preserve">Tenant RBAC roles, AIRS API role and red-team override audit trail verified (B-C7-S003); AIRS-specific SSO and admin audit logs not documented, so 3.</w:t>
            </w:r>
          </w:p>
        </w:tc>
      </w:tr>
      <w:tr>
        <w:tc>
          <w:tcPr/>
          <w:p>
            <w:pPr>
              <w:pStyle w:val="Compact"/>
              <w:jc w:val="left"/>
            </w:pPr>
            <w:r>
              <w:t xml:space="preserve">Security and compliance</w:t>
            </w:r>
          </w:p>
        </w:tc>
        <w:tc>
          <w:tcPr/>
          <w:p>
            <w:pPr>
              <w:pStyle w:val="Compact"/>
              <w:jc w:val="right"/>
            </w:pPr>
            <w:r>
              <w:t xml:space="preserve">3</w:t>
            </w:r>
          </w:p>
        </w:tc>
        <w:tc>
          <w:tcPr/>
          <w:p>
            <w:pPr>
              <w:pStyle w:val="Compact"/>
              <w:jc w:val="left"/>
            </w:pPr>
            <w:r>
              <w:t xml:space="preserve">Company-level SOC 2 Type II and ISO 27001 with product scope not stated: one below the anchor of 4 (rule 8).</w:t>
            </w:r>
          </w:p>
        </w:tc>
      </w:tr>
      <w:tr>
        <w:tc>
          <w:tcPr/>
          <w:p>
            <w:pPr>
              <w:pStyle w:val="Compact"/>
              <w:jc w:val="left"/>
            </w:pPr>
            <w:r>
              <w:t xml:space="preserve">Deployment flexibility</w:t>
            </w:r>
          </w:p>
        </w:tc>
        <w:tc>
          <w:tcPr/>
          <w:p>
            <w:pPr>
              <w:pStyle w:val="Compact"/>
              <w:jc w:val="right"/>
            </w:pPr>
            <w:r>
              <w:t xml:space="preserve">4</w:t>
            </w:r>
          </w:p>
        </w:tc>
        <w:tc>
          <w:tcPr/>
          <w:p>
            <w:pPr>
              <w:pStyle w:val="Compact"/>
              <w:jc w:val="left"/>
            </w:pPr>
            <w:r>
              <w:t xml:space="preserve">Managed SaaS, AWS Marketplace, private-cloud firewall and local scans; on-prem and air-gap not verified.</w:t>
            </w:r>
          </w:p>
        </w:tc>
      </w:tr>
      <w:tr>
        <w:tc>
          <w:tcPr/>
          <w:p>
            <w:pPr>
              <w:pStyle w:val="Compact"/>
              <w:jc w:val="left"/>
            </w:pPr>
            <w:r>
              <w:t xml:space="preserve">Ecosystem</w:t>
            </w:r>
          </w:p>
        </w:tc>
        <w:tc>
          <w:tcPr/>
          <w:p>
            <w:pPr>
              <w:pStyle w:val="Compact"/>
              <w:jc w:val="right"/>
            </w:pPr>
            <w:r>
              <w:t xml:space="preserve">4</w:t>
            </w:r>
          </w:p>
        </w:tc>
        <w:tc>
          <w:tcPr/>
          <w:p>
            <w:pPr>
              <w:pStyle w:val="Compact"/>
              <w:jc w:val="left"/>
            </w:pPr>
            <w:r>
              <w:t xml:space="preserve">Registry, cloud-AI-platform and agent-tool connectors.</w:t>
            </w:r>
          </w:p>
        </w:tc>
      </w:tr>
      <w:tr>
        <w:tc>
          <w:tcPr/>
          <w:p>
            <w:pPr>
              <w:pStyle w:val="Compact"/>
              <w:jc w:val="left"/>
            </w:pPr>
            <w:r>
              <w:t xml:space="preserve">Reliability and maturity</w:t>
            </w:r>
          </w:p>
        </w:tc>
        <w:tc>
          <w:tcPr/>
          <w:p>
            <w:pPr>
              <w:pStyle w:val="Compact"/>
              <w:jc w:val="right"/>
            </w:pPr>
            <w:r>
              <w:t xml:space="preserve">3</w:t>
            </w:r>
          </w:p>
        </w:tc>
        <w:tc>
          <w:tcPr/>
          <w:p>
            <w:pPr>
              <w:pStyle w:val="Compact"/>
              <w:jc w:val="left"/>
            </w:pPr>
            <w:r>
              <w:t xml:space="preserve">GA with monthly releases, but three acquisitions in ten months and conflicting region documentation.</w:t>
            </w:r>
          </w:p>
        </w:tc>
      </w:tr>
      <w:tr>
        <w:tc>
          <w:tcPr/>
          <w:p>
            <w:pPr>
              <w:pStyle w:val="Compact"/>
              <w:jc w:val="left"/>
            </w:pPr>
            <w:r>
              <w:t xml:space="preserve">Cost / TCO</w:t>
            </w:r>
          </w:p>
        </w:tc>
        <w:tc>
          <w:tcPr/>
          <w:p>
            <w:pPr>
              <w:pStyle w:val="Compact"/>
              <w:jc w:val="right"/>
            </w:pPr>
            <w:r>
              <w:t xml:space="preserve">3</w:t>
            </w:r>
          </w:p>
        </w:tc>
        <w:tc>
          <w:tcPr/>
          <w:p>
            <w:pPr>
              <w:pStyle w:val="Compact"/>
              <w:jc w:val="left"/>
            </w:pPr>
            <w:r>
              <w:t xml:space="preserve">Published but complex pricing (token-metered credits, PAYG SKU).</w:t>
            </w:r>
          </w:p>
        </w:tc>
      </w:tr>
      <w:tr>
        <w:tc>
          <w:tcPr/>
          <w:p>
            <w:pPr>
              <w:pStyle w:val="Compact"/>
              <w:jc w:val="left"/>
            </w:pPr>
            <w:r>
              <w:t xml:space="preserve">Lock-in / portability</w:t>
            </w:r>
          </w:p>
        </w:tc>
        <w:tc>
          <w:tcPr/>
          <w:p>
            <w:pPr>
              <w:pStyle w:val="Compact"/>
              <w:jc w:val="right"/>
            </w:pPr>
            <w:r>
              <w:t xml:space="preserve">2</w:t>
            </w:r>
          </w:p>
        </w:tc>
        <w:tc>
          <w:tcPr/>
          <w:p>
            <w:pPr>
              <w:pStyle w:val="Compact"/>
              <w:jc w:val="left"/>
            </w:pPr>
            <w:r>
              <w:t xml:space="preserve">Proprietary SDK licence and credit licensing tied to Strata Cloud Manager; Palo Alto is the acquirer, so no rule 3 reduction.</w:t>
            </w:r>
          </w:p>
        </w:tc>
      </w:tr>
      <w:tr>
        <w:tc>
          <w:tcPr/>
          <w:p>
            <w:pPr>
              <w:pStyle w:val="Compact"/>
              <w:jc w:val="left"/>
            </w:pPr>
            <w:r>
              <w:rPr>
                <w:bCs/>
                <w:b/>
              </w:rPr>
              <w:t xml:space="preserve">Total (generic / FS)</w:t>
            </w:r>
          </w:p>
        </w:tc>
        <w:tc>
          <w:tcPr/>
          <w:p>
            <w:pPr>
              <w:pStyle w:val="Compact"/>
              <w:jc w:val="right"/>
            </w:pPr>
            <w:r>
              <w:rPr>
                <w:bCs/>
                <w:b/>
              </w:rPr>
              <w:t xml:space="preserve">3.60 / 3.35</w:t>
            </w:r>
          </w:p>
        </w:tc>
        <w:tc>
          <w:tcPr/>
          <w:p>
            <w:pPr>
              <w:pStyle w:val="Compact"/>
            </w:pPr>
          </w:p>
        </w:tc>
      </w:tr>
    </w:tbl>
    <w:p>
      <w:pPr>
        <w:pStyle w:val="BodyText"/>
      </w:pPr>
      <w:r>
        <w:rPr>
          <w:bCs/>
          <w:b/>
        </w:rPr>
        <w:t xml:space="preserve">Capabilities.</w:t>
      </w:r>
      <w:r>
        <w:t xml:space="preserve"> </w:t>
      </w:r>
      <w:r>
        <w:t xml:space="preserve">AI security platform (3.0, 23 March 2026): AI Model Security (35+ formats, 25+ threat categories, local scans), AI Red Teaming (including agents), AI Runtime by API or network intercept, Agent Artifact Scanning (agent code, MCP servers, skills), AI Skill Security and AI Gateway (GA 16 July 2026)</w:t>
      </w:r>
      <w:r>
        <w:t xml:space="preserve"> </w:t>
      </w:r>
      <w:r>
        <w:rPr>
          <w:rStyle w:val="ClaimLabel"/>
        </w:rPr>
        <w:t xml:space="preserve">VF</w:t>
      </w:r>
      <w:r>
        <w:rPr>
          <w:rStyle w:val="FootnoteReference"/>
        </w:rPr>
        <w:footnoteReference w:id="2355"/>
      </w:r>
      <w:r>
        <w:t xml:space="preserve">.</w:t>
      </w:r>
    </w:p>
    <w:p>
      <w:pPr>
        <w:pStyle w:val="BodyText"/>
      </w:pPr>
      <w:r>
        <w:rPr>
          <w:bCs/>
          <w:b/>
        </w:rPr>
        <w:t xml:space="preserve">Strengths</w:t>
      </w:r>
    </w:p>
    <w:p>
      <w:pPr>
        <w:numPr>
          <w:ilvl w:val="0"/>
          <w:numId w:val="1521"/>
        </w:numPr>
        <w:pStyle w:val="Compact"/>
      </w:pPr>
      <w:r>
        <w:t xml:space="preserve">Broadest coverage across supply chain, red-teaming, runtime and gateway</w:t>
      </w:r>
      <w:r>
        <w:t xml:space="preserve"> </w:t>
      </w:r>
      <w:r>
        <w:rPr>
          <w:rStyle w:val="ClaimLabel"/>
        </w:rPr>
        <w:t xml:space="preserve">VF</w:t>
      </w:r>
      <w:r>
        <w:rPr>
          <w:rStyle w:val="FootnoteReference"/>
        </w:rPr>
        <w:footnoteReference w:id="2359"/>
      </w:r>
      <w:r>
        <w:t xml:space="preserve"> </w:t>
      </w:r>
      <w:r>
        <w:rPr>
          <w:rStyle w:val="ClaimLabel"/>
        </w:rPr>
        <w:t xml:space="preserve">AJ</w:t>
      </w:r>
    </w:p>
    <w:p>
      <w:pPr>
        <w:numPr>
          <w:ilvl w:val="0"/>
          <w:numId w:val="1521"/>
        </w:numPr>
        <w:pStyle w:val="Compact"/>
      </w:pPr>
      <w:r>
        <w:t xml:space="preserve">Registry integrations (JFrog Artifactory, GitLab Model Registry) and connectors for Microsoft Foundry, Copilot Studio and others</w:t>
      </w:r>
      <w:r>
        <w:t xml:space="preserve"> </w:t>
      </w:r>
      <w:r>
        <w:rPr>
          <w:rStyle w:val="ClaimLabel"/>
        </w:rPr>
        <w:t xml:space="preserve">VF</w:t>
      </w:r>
      <w:r>
        <w:rPr>
          <w:rStyle w:val="FootnoteReference"/>
        </w:rPr>
        <w:footnoteReference w:id="2360"/>
      </w:r>
    </w:p>
    <w:p>
      <w:pPr>
        <w:numPr>
          <w:ilvl w:val="0"/>
          <w:numId w:val="1521"/>
        </w:numPr>
        <w:pStyle w:val="Compact"/>
      </w:pPr>
      <w:r>
        <w:t xml:space="preserve">Tenant RBAC roles and audit trail of red-team verdict overrides; scan logs to SIEM</w:t>
      </w:r>
      <w:r>
        <w:t xml:space="preserve"> </w:t>
      </w:r>
      <w:r>
        <w:rPr>
          <w:rStyle w:val="ClaimLabel"/>
        </w:rPr>
        <w:t xml:space="preserve">VF</w:t>
      </w:r>
      <w:r>
        <w:rPr>
          <w:rStyle w:val="FootnoteReference"/>
        </w:rPr>
        <w:footnoteReference w:id="2362"/>
      </w:r>
    </w:p>
    <w:p>
      <w:pPr>
        <w:numPr>
          <w:ilvl w:val="0"/>
          <w:numId w:val="1521"/>
        </w:numPr>
        <w:pStyle w:val="Compact"/>
      </w:pPr>
      <w:r>
        <w:t xml:space="preserve">Private-cloud firewall deployment (ESXi, KVM, OpenShift, Rancher)</w:t>
      </w:r>
      <w:r>
        <w:t xml:space="preserve"> </w:t>
      </w:r>
      <w:r>
        <w:rPr>
          <w:rStyle w:val="ClaimLabel"/>
        </w:rPr>
        <w:t xml:space="preserve">VF</w:t>
      </w:r>
      <w:r>
        <w:rPr>
          <w:rStyle w:val="FootnoteReference"/>
        </w:rPr>
        <w:footnoteReference w:id="2364"/>
      </w:r>
    </w:p>
    <w:p>
      <w:pPr>
        <w:pStyle w:val="FirstParagraph"/>
      </w:pPr>
      <w:r>
        <w:rPr>
          <w:bCs/>
          <w:b/>
        </w:rPr>
        <w:t xml:space="preserve">Limitations and risks</w:t>
      </w:r>
    </w:p>
    <w:p>
      <w:pPr>
        <w:numPr>
          <w:ilvl w:val="0"/>
          <w:numId w:val="1522"/>
        </w:numPr>
        <w:pStyle w:val="Compact"/>
      </w:pPr>
      <w:r>
        <w:t xml:space="preserve">Company-level SOC 2 Type II and ISO 27001:2022; Prisma AIRS scope not stated</w:t>
      </w:r>
      <w:r>
        <w:t xml:space="preserve"> </w:t>
      </w:r>
      <w:r>
        <w:rPr>
          <w:rStyle w:val="ClaimLabel"/>
        </w:rPr>
        <w:t xml:space="preserve">VF</w:t>
      </w:r>
      <w:r>
        <w:rPr>
          <w:rStyle w:val="FootnoteReference"/>
        </w:rPr>
        <w:footnoteReference w:id="2365"/>
      </w:r>
    </w:p>
    <w:p>
      <w:pPr>
        <w:numPr>
          <w:ilvl w:val="0"/>
          <w:numId w:val="1522"/>
        </w:numPr>
        <w:pStyle w:val="Compact"/>
      </w:pPr>
      <w:r>
        <w:t xml:space="preserve">Not FedRAMP; API intercept unavailable in FedRAMP environments</w:t>
      </w:r>
      <w:r>
        <w:t xml:space="preserve"> </w:t>
      </w:r>
      <w:r>
        <w:rPr>
          <w:rStyle w:val="ClaimLabel"/>
        </w:rPr>
        <w:t xml:space="preserve">VF</w:t>
      </w:r>
      <w:r>
        <w:rPr>
          <w:rStyle w:val="FootnoteReference"/>
        </w:rPr>
        <w:footnoteReference w:id="2367"/>
      </w:r>
    </w:p>
    <w:p>
      <w:pPr>
        <w:numPr>
          <w:ilvl w:val="0"/>
          <w:numId w:val="1522"/>
        </w:numPr>
        <w:pStyle w:val="Compact"/>
      </w:pPr>
      <w:r>
        <w:t xml:space="preserve">EU-Germany region routes some functions through the Netherlands; several modules Americas-only</w:t>
      </w:r>
      <w:r>
        <w:t xml:space="preserve"> </w:t>
      </w:r>
      <w:r>
        <w:rPr>
          <w:rStyle w:val="ClaimLabel"/>
        </w:rPr>
        <w:t xml:space="preserve">VF</w:t>
      </w:r>
      <w:r>
        <w:rPr>
          <w:rStyle w:val="FootnoteReference"/>
        </w:rPr>
        <w:footnoteReference w:id="2369"/>
      </w:r>
    </w:p>
    <w:p>
      <w:pPr>
        <w:numPr>
          <w:ilvl w:val="0"/>
          <w:numId w:val="1522"/>
        </w:numPr>
        <w:pStyle w:val="Compact"/>
      </w:pPr>
      <w:r>
        <w:t xml:space="preserve">Credit-based licensing, one-billion-token monthly minimum and proprietary SDK licence</w:t>
      </w:r>
      <w:r>
        <w:t xml:space="preserve"> </w:t>
      </w:r>
      <w:r>
        <w:rPr>
          <w:rStyle w:val="ClaimLabel"/>
        </w:rPr>
        <w:t xml:space="preserve">VF</w:t>
      </w:r>
      <w:r>
        <w:rPr>
          <w:rStyle w:val="FootnoteReference"/>
        </w:rPr>
        <w:footnoteReference w:id="2370"/>
      </w:r>
    </w:p>
    <w:p>
      <w:pPr>
        <w:numPr>
          <w:ilvl w:val="0"/>
          <w:numId w:val="1522"/>
        </w:numPr>
        <w:pStyle w:val="Compact"/>
      </w:pPr>
      <w:r>
        <w:t xml:space="preserve">Integration churn after Protect AI, Koi and Portkey acquisitions</w:t>
      </w:r>
      <w:r>
        <w:t xml:space="preserve"> </w:t>
      </w:r>
      <w:r>
        <w:rPr>
          <w:rStyle w:val="ClaimLabel"/>
        </w:rPr>
        <w:t xml:space="preserve">VF</w:t>
      </w:r>
      <w:r>
        <w:rPr>
          <w:rStyle w:val="FootnoteReference"/>
        </w:rPr>
        <w:footnoteReference w:id="2372"/>
      </w:r>
      <w:r>
        <w:t xml:space="preserve"> </w:t>
      </w:r>
      <w:r>
        <w:rPr>
          <w:rStyle w:val="ClaimLabel"/>
        </w:rPr>
        <w:t xml:space="preserve">AJ</w:t>
      </w:r>
    </w:p>
    <w:p>
      <w:pPr>
        <w:pStyle w:val="FirstParagraph"/>
      </w:pPr>
      <w:r>
        <w:rPr>
          <w:bCs/>
          <w:b/>
        </w:rPr>
        <w:t xml:space="preserve">Choose when</w:t>
      </w:r>
    </w:p>
    <w:p>
      <w:pPr>
        <w:numPr>
          <w:ilvl w:val="0"/>
          <w:numId w:val="1523"/>
        </w:numPr>
        <w:pStyle w:val="Compact"/>
      </w:pPr>
      <w:r>
        <w:t xml:space="preserve">Palo Alto Networks is already your network security platform</w:t>
      </w:r>
      <w:r>
        <w:t xml:space="preserve"> </w:t>
      </w:r>
      <w:r>
        <w:rPr>
          <w:rStyle w:val="ClaimLabel"/>
        </w:rPr>
        <w:t xml:space="preserve">AJ</w:t>
      </w:r>
    </w:p>
    <w:p>
      <w:pPr>
        <w:numPr>
          <w:ilvl w:val="0"/>
          <w:numId w:val="1523"/>
        </w:numPr>
        <w:pStyle w:val="Compact"/>
      </w:pPr>
      <w:r>
        <w:t xml:space="preserve">You want one supplier for model scanning, red-teaming and runtime inspection</w:t>
      </w:r>
      <w:r>
        <w:t xml:space="preserve"> </w:t>
      </w:r>
      <w:r>
        <w:rPr>
          <w:rStyle w:val="ClaimLabel"/>
        </w:rPr>
        <w:t xml:space="preserve">AJ</w:t>
      </w:r>
    </w:p>
    <w:p>
      <w:pPr>
        <w:pStyle w:val="FirstParagraph"/>
      </w:pPr>
      <w:r>
        <w:rPr>
          <w:bCs/>
          <w:b/>
        </w:rPr>
        <w:t xml:space="preserve">Avoid when</w:t>
      </w:r>
    </w:p>
    <w:p>
      <w:pPr>
        <w:numPr>
          <w:ilvl w:val="0"/>
          <w:numId w:val="1524"/>
        </w:numPr>
        <w:pStyle w:val="Compact"/>
      </w:pPr>
      <w:r>
        <w:t xml:space="preserve">You need all processing in one EU jurisdiction</w:t>
      </w:r>
      <w:r>
        <w:t xml:space="preserve"> </w:t>
      </w:r>
      <w:r>
        <w:rPr>
          <w:rStyle w:val="ClaimLabel"/>
        </w:rPr>
        <w:t xml:space="preserve">AJ</w:t>
      </w:r>
    </w:p>
    <w:p>
      <w:pPr>
        <w:numPr>
          <w:ilvl w:val="0"/>
          <w:numId w:val="1524"/>
        </w:numPr>
        <w:pStyle w:val="Compact"/>
      </w:pPr>
      <w:r>
        <w:t xml:space="preserve">You do not want your AI gateway and AI security vendor to be the same company</w:t>
      </w:r>
      <w:r>
        <w:t xml:space="preserve"> </w:t>
      </w:r>
      <w:r>
        <w:rPr>
          <w:rStyle w:val="ClaimLabel"/>
        </w:rPr>
        <w:t xml:space="preserve">AJ</w:t>
      </w:r>
    </w:p>
    <w:p>
      <w:pPr>
        <w:pStyle w:val="FirstParagraph"/>
      </w:pPr>
      <w:r>
        <w:rPr>
          <w:bCs/>
          <w:b/>
        </w:rPr>
        <w:t xml:space="preserve">Nearest competitors:</w:t>
      </w:r>
      <w:r>
        <w:t xml:space="preserve"> </w:t>
      </w:r>
      <w:r>
        <w:t xml:space="preserve">C7-hiddenlayer, C7-lakera, C7-model-supply-chain-scanning</w:t>
      </w:r>
    </w:p>
    <w:p>
      <w:pPr>
        <w:pStyle w:val="BodyText"/>
      </w:pPr>
      <w:r>
        <w:rPr>
          <w:bCs/>
          <w:b/>
        </w:rPr>
        <w:t xml:space="preserve">Regulated-FS note.</w:t>
      </w:r>
      <w:r>
        <w:t xml:space="preserve"> </w:t>
      </w:r>
      <w:r>
        <w:t xml:space="preserve">Map processing region per module before onboarding; if the AI Gateway is adopted, record gateway plus security as one concentration point in the register of information</w:t>
      </w:r>
      <w:r>
        <w:t xml:space="preserve"> </w:t>
      </w:r>
      <w:r>
        <w:rPr>
          <w:rStyle w:val="ClaimLabel"/>
        </w:rPr>
        <w:t xml:space="preserve">Rec</w:t>
      </w:r>
      <w:r>
        <w:t xml:space="preserve">.</w:t>
      </w:r>
    </w:p>
    <w:p>
      <w:pPr>
        <w:pStyle w:val="BodyText"/>
      </w:pPr>
      <w:r>
        <w:rPr>
          <w:bCs/>
          <w:b/>
        </w:rPr>
        <w:t xml:space="preserve">Facts (as of 2026-10-08)</w:t>
      </w:r>
    </w:p>
    <w:tbl>
      <w:tblPr>
        <w:tblStyle w:val="Table"/>
        <w:tblW w:type="pct" w:w="5000"/>
        <w:tblLook w:firstRow="1" w:lastRow="0" w:firstColumn="0" w:lastColumn="0" w:noHBand="0" w:noVBand="0" w:val="0020"/>
        <w:jc w:val="start"/>
      </w:tblPr>
      <w:tblGrid>
        <w:gridCol w:w="1485"/>
        <w:gridCol w:w="4290"/>
        <w:gridCol w:w="1320"/>
        <w:gridCol w:w="825"/>
      </w:tblGrid>
      <w:tr>
        <w:trPr>
          <w:tblHeader w:val="true"/>
        </w:trPr>
        <w:tc>
          <w:tcPr/>
          <w:p>
            <w:pPr>
              <w:pStyle w:val="Compact"/>
              <w:jc w:val="left"/>
            </w:pPr>
            <w:r>
              <w:t xml:space="preserve">Field</w:t>
            </w:r>
          </w:p>
        </w:tc>
        <w:tc>
          <w:tcPr/>
          <w:p>
            <w:pPr>
              <w:pStyle w:val="Compact"/>
              <w:jc w:val="left"/>
            </w:pPr>
            <w:r>
              <w:t xml:space="preserve">Value</w:t>
            </w:r>
          </w:p>
        </w:tc>
        <w:tc>
          <w:tcPr/>
          <w:p>
            <w:pPr>
              <w:pStyle w:val="Compact"/>
              <w:jc w:val="left"/>
            </w:pPr>
            <w:r>
              <w:t xml:space="preserve">Label</w:t>
            </w:r>
          </w:p>
        </w:tc>
        <w:tc>
          <w:tcPr/>
          <w:p>
            <w:pPr>
              <w:pStyle w:val="Compact"/>
              <w:jc w:val="left"/>
            </w:pPr>
            <w:r>
              <w:t xml:space="preserve">Sources</w:t>
            </w:r>
          </w:p>
        </w:tc>
      </w:tr>
      <w:tr>
        <w:tc>
          <w:tcPr/>
          <w:p>
            <w:pPr>
              <w:pStyle w:val="Compact"/>
              <w:jc w:val="left"/>
            </w:pPr>
            <w:r>
              <w:t xml:space="preserve">Company</w:t>
            </w:r>
          </w:p>
        </w:tc>
        <w:tc>
          <w:tcPr/>
          <w:p>
            <w:pPr>
              <w:pStyle w:val="Compact"/>
              <w:jc w:val="left"/>
            </w:pPr>
            <w:r>
              <w:t xml:space="preserve">Palo Alto Networks (acquired Protect AI, July 2025; Koi, April 2026; Portkey, May 2026)</w:t>
            </w:r>
          </w:p>
        </w:tc>
        <w:tc>
          <w:tcPr/>
          <w:p>
            <w:pPr>
              <w:pStyle w:val="Compact"/>
              <w:jc w:val="left"/>
            </w:pPr>
            <w:r>
              <w:t xml:space="preserve">Verified fact</w:t>
            </w:r>
          </w:p>
        </w:tc>
        <w:tc>
          <w:tcPr/>
          <w:p>
            <w:pPr>
              <w:pStyle w:val="Compact"/>
              <w:jc w:val="left"/>
            </w:pPr>
            <w:r>
              <w:t xml:space="preserve">A7-S014, A7-S016</w:t>
            </w:r>
          </w:p>
        </w:tc>
      </w:tr>
      <w:tr>
        <w:tc>
          <w:tcPr/>
          <w:p>
            <w:pPr>
              <w:pStyle w:val="Compact"/>
              <w:jc w:val="left"/>
            </w:pPr>
            <w:r>
              <w:t xml:space="preserve">Category</w:t>
            </w:r>
          </w:p>
        </w:tc>
        <w:tc>
          <w:tcPr/>
          <w:p>
            <w:pPr>
              <w:pStyle w:val="Compact"/>
              <w:jc w:val="left"/>
            </w:pPr>
            <w:r>
              <w:t xml:space="preserve">AI security platform: model scanning, posture, AI red teaming, runtime protection, agent security, AI gateway</w:t>
            </w:r>
          </w:p>
        </w:tc>
        <w:tc>
          <w:tcPr/>
          <w:p>
            <w:pPr>
              <w:pStyle w:val="Compact"/>
              <w:jc w:val="left"/>
            </w:pPr>
            <w:r>
              <w:t xml:space="preserve">Verified fact</w:t>
            </w:r>
          </w:p>
        </w:tc>
        <w:tc>
          <w:tcPr/>
          <w:p>
            <w:pPr>
              <w:pStyle w:val="Compact"/>
              <w:jc w:val="left"/>
            </w:pPr>
            <w:r>
              <w:t xml:space="preserve">A7-S014, A7-S027, A7-S028</w:t>
            </w:r>
          </w:p>
        </w:tc>
      </w:tr>
      <w:tr>
        <w:tc>
          <w:tcPr/>
          <w:p>
            <w:pPr>
              <w:pStyle w:val="Compact"/>
              <w:jc w:val="left"/>
            </w:pPr>
            <w:r>
              <w:t xml:space="preserve">Version / lineup</w:t>
            </w:r>
          </w:p>
        </w:tc>
        <w:tc>
          <w:tcPr/>
          <w:p>
            <w:pPr>
              <w:pStyle w:val="Compact"/>
              <w:jc w:val="left"/>
            </w:pPr>
            <w:r>
              <w:t xml:space="preserve">Prisma AIRS 3.0 launched 23 March 2026 (2.0 on 28 October 2025); monthly feature releases through August 2026; modules: AI Model Security, AI Red Teaming, AI Runtime (API and network intercept), Agent Artifact Scanning, AI Skill Security, AI Gateway (GA 16 July 2026)</w:t>
            </w:r>
          </w:p>
        </w:tc>
        <w:tc>
          <w:tcPr/>
          <w:p>
            <w:pPr>
              <w:pStyle w:val="Compact"/>
              <w:jc w:val="left"/>
            </w:pPr>
            <w:r>
              <w:t xml:space="preserve">Verified fact</w:t>
            </w:r>
          </w:p>
        </w:tc>
        <w:tc>
          <w:tcPr/>
          <w:p>
            <w:pPr>
              <w:pStyle w:val="Compact"/>
              <w:jc w:val="left"/>
            </w:pPr>
            <w:r>
              <w:t xml:space="preserve">A7-S027, A7-S015, A7-S028, A7-S031</w:t>
            </w:r>
          </w:p>
        </w:tc>
      </w:tr>
      <w:tr>
        <w:tc>
          <w:tcPr/>
          <w:p>
            <w:pPr>
              <w:pStyle w:val="Compact"/>
              <w:jc w:val="left"/>
            </w:pPr>
            <w:r>
              <w:t xml:space="preserve">Licence</w:t>
            </w:r>
          </w:p>
        </w:tc>
        <w:tc>
          <w:tcPr/>
          <w:p>
            <w:pPr>
              <w:pStyle w:val="Compact"/>
              <w:jc w:val="left"/>
            </w:pPr>
            <w:r>
              <w:t xml:space="preserve">Proprietary; BYOL funded with Software NGFW credits; Python API-intercept SDK (pan-aisecurity 0.11.0) under proprietary licence</w:t>
            </w:r>
          </w:p>
        </w:tc>
        <w:tc>
          <w:tcPr/>
          <w:p>
            <w:pPr>
              <w:pStyle w:val="Compact"/>
              <w:jc w:val="left"/>
            </w:pPr>
            <w:r>
              <w:t xml:space="preserve">Verified fact</w:t>
            </w:r>
          </w:p>
        </w:tc>
        <w:tc>
          <w:tcPr/>
          <w:p>
            <w:pPr>
              <w:pStyle w:val="Compact"/>
              <w:jc w:val="left"/>
            </w:pPr>
            <w:r>
              <w:t xml:space="preserve">A7-S031, A7-S063</w:t>
            </w:r>
          </w:p>
        </w:tc>
      </w:tr>
      <w:tr>
        <w:tc>
          <w:tcPr/>
          <w:p>
            <w:pPr>
              <w:pStyle w:val="Compact"/>
              <w:jc w:val="left"/>
            </w:pPr>
            <w:r>
              <w:t xml:space="preserve">Status events</w:t>
            </w:r>
          </w:p>
        </w:tc>
        <w:tc>
          <w:tcPr/>
          <w:p>
            <w:pPr>
              <w:pStyle w:val="Compact"/>
              <w:jc w:val="left"/>
            </w:pPr>
            <w:r>
              <w:t xml:space="preserve">28 April 2025: intent to acquire Protect AI announced; 22 July 2025: Protect AI acquisition completed; 28 October 2025: Prisma AIRS 2.0 completes Protect AI integration; 23 March 2026: Prisma AIRS 3.0; 14 April 2026: Koi acquired (agentic endpoint security, to enhance Prisma AIRS); 29 May 2026: Portkey acquired (AI gateway); 16 July 2026: AI Gateway GA</w:t>
            </w:r>
          </w:p>
        </w:tc>
        <w:tc>
          <w:tcPr/>
          <w:p>
            <w:pPr>
              <w:pStyle w:val="Compact"/>
              <w:jc w:val="left"/>
            </w:pPr>
            <w:r>
              <w:t xml:space="preserve">Verified fact</w:t>
            </w:r>
          </w:p>
        </w:tc>
        <w:tc>
          <w:tcPr/>
          <w:p>
            <w:pPr>
              <w:pStyle w:val="Compact"/>
              <w:jc w:val="left"/>
            </w:pPr>
            <w:r>
              <w:t xml:space="preserve">A7-S014, A7-S015, A7-S027, A7-S016, A7-S028, V2-S039, V2-S048, V2-S025</w:t>
            </w:r>
          </w:p>
        </w:tc>
      </w:tr>
      <w:tr>
        <w:tc>
          <w:tcPr/>
          <w:p>
            <w:pPr>
              <w:pStyle w:val="Compact"/>
              <w:jc w:val="left"/>
            </w:pPr>
            <w:r>
              <w:t xml:space="preserve">Strategic direction</w:t>
            </w:r>
          </w:p>
        </w:tc>
        <w:tc>
          <w:tcPr/>
          <w:p>
            <w:pPr>
              <w:pStyle w:val="Compact"/>
              <w:jc w:val="left"/>
            </w:pPr>
            <w:r>
              <w:t xml:space="preserve">Moving from observing AI to</w:t>
            </w:r>
            <w:r>
              <w:t xml:space="preserve"> </w:t>
            </w:r>
            <w:r>
              <w:t xml:space="preserve">‘</w:t>
            </w:r>
            <w:r>
              <w:t xml:space="preserve">authorising autonomous execution</w:t>
            </w:r>
            <w:r>
              <w:t xml:space="preserve">’</w:t>
            </w:r>
            <w:r>
              <w:t xml:space="preserve">: agent artifact scanning (agent code, MCP servers, skills), agent red teaming (tool chaining, privilege misuse, memory poisoning), AI gateway from Portkey, integration with Anthropic inference hooks and OpenAI Codex Enterprise</w:t>
            </w:r>
          </w:p>
        </w:tc>
        <w:tc>
          <w:tcPr/>
          <w:p>
            <w:pPr>
              <w:pStyle w:val="Compact"/>
              <w:jc w:val="left"/>
            </w:pPr>
            <w:r>
              <w:t xml:space="preserve">Verified fact</w:t>
            </w:r>
          </w:p>
        </w:tc>
        <w:tc>
          <w:tcPr/>
          <w:p>
            <w:pPr>
              <w:pStyle w:val="Compact"/>
              <w:jc w:val="left"/>
            </w:pPr>
            <w:r>
              <w:t xml:space="preserve">A7-S027, A7-S028, A7-S016</w:t>
            </w:r>
          </w:p>
        </w:tc>
      </w:tr>
      <w:tr>
        <w:tc>
          <w:tcPr/>
          <w:p>
            <w:pPr>
              <w:pStyle w:val="Compact"/>
              <w:jc w:val="left"/>
            </w:pPr>
            <w:r>
              <w:t xml:space="preserve">What it does</w:t>
            </w:r>
          </w:p>
        </w:tc>
        <w:tc>
          <w:tcPr/>
          <w:p>
            <w:pPr>
              <w:pStyle w:val="Compact"/>
              <w:jc w:val="left"/>
            </w:pPr>
            <w:r>
              <w:t xml:space="preserve">Scans models and agent artefacts for malicious payloads and unsafe permissions, red-teams AI apps and agents, and inspects prompts/responses at runtime via API or network intercept for injection, data leakage and policy violations. AI Model Security analyses 35+ model file types for 25+ threat categories and can run scans locally.</w:t>
            </w:r>
          </w:p>
        </w:tc>
        <w:tc>
          <w:tcPr/>
          <w:p>
            <w:pPr>
              <w:pStyle w:val="Compact"/>
              <w:jc w:val="left"/>
            </w:pPr>
            <w:r>
              <w:t xml:space="preserve">Verified fact</w:t>
            </w:r>
          </w:p>
        </w:tc>
        <w:tc>
          <w:tcPr/>
          <w:p>
            <w:pPr>
              <w:pStyle w:val="Compact"/>
              <w:jc w:val="left"/>
            </w:pPr>
            <w:r>
              <w:t xml:space="preserve">A7-S027, A7-S039, A7-S031</w:t>
            </w:r>
          </w:p>
        </w:tc>
      </w:tr>
      <w:tr>
        <w:tc>
          <w:tcPr/>
          <w:p>
            <w:pPr>
              <w:pStyle w:val="Compact"/>
              <w:jc w:val="left"/>
            </w:pPr>
            <w:r>
              <w:t xml:space="preserve">Stack position</w:t>
            </w:r>
          </w:p>
        </w:tc>
        <w:tc>
          <w:tcPr/>
          <w:p>
            <w:pPr>
              <w:pStyle w:val="Compact"/>
              <w:jc w:val="left"/>
            </w:pPr>
            <w:r>
              <w:t xml:space="preserve">Cross-cutting C7 platform spanning supply chain (pre-deployment), runtime (C2/C3 overlap) and gateway (C1 overlap)</w:t>
            </w:r>
          </w:p>
        </w:tc>
        <w:tc>
          <w:tcPr/>
          <w:p>
            <w:pPr>
              <w:pStyle w:val="Compact"/>
              <w:jc w:val="left"/>
            </w:pPr>
            <w:r>
              <w:t xml:space="preserve">Verified fact</w:t>
            </w:r>
          </w:p>
        </w:tc>
        <w:tc>
          <w:tcPr/>
          <w:p>
            <w:pPr>
              <w:pStyle w:val="Compact"/>
              <w:jc w:val="left"/>
            </w:pPr>
            <w:r>
              <w:t xml:space="preserve">A7-S027, A7-S028</w:t>
            </w:r>
          </w:p>
        </w:tc>
      </w:tr>
      <w:tr>
        <w:tc>
          <w:tcPr/>
          <w:p>
            <w:pPr>
              <w:pStyle w:val="Compact"/>
              <w:jc w:val="left"/>
            </w:pPr>
            <w:r>
              <w:t xml:space="preserve">Integration</w:t>
            </w:r>
          </w:p>
        </w:tc>
        <w:tc>
          <w:tcPr/>
          <w:p>
            <w:pPr>
              <w:pStyle w:val="Compact"/>
              <w:jc w:val="left"/>
            </w:pPr>
            <w:r>
              <w:t xml:space="preserve">API intercept (SDK/REST), network intercept (AI runtime firewall), model registry scan sources (JFrog Artifactory, GitLab Model Registry), connectors for Microsoft Foundry, Copilot Studio, n8n, Anthropic inference hooks, OpenAI Codex Enterprise</w:t>
            </w:r>
          </w:p>
        </w:tc>
        <w:tc>
          <w:tcPr/>
          <w:p>
            <w:pPr>
              <w:pStyle w:val="Compact"/>
              <w:jc w:val="left"/>
            </w:pPr>
            <w:r>
              <w:t xml:space="preserve">Verified fact</w:t>
            </w:r>
          </w:p>
        </w:tc>
        <w:tc>
          <w:tcPr/>
          <w:p>
            <w:pPr>
              <w:pStyle w:val="Compact"/>
              <w:jc w:val="left"/>
            </w:pPr>
            <w:r>
              <w:t xml:space="preserve">A7-S028, A7-S031</w:t>
            </w:r>
          </w:p>
        </w:tc>
      </w:tr>
      <w:tr>
        <w:tc>
          <w:tcPr/>
          <w:p>
            <w:pPr>
              <w:pStyle w:val="Compact"/>
              <w:jc w:val="left"/>
            </w:pPr>
            <w:r>
              <w:t xml:space="preserve">Dependencies</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Certifications</w:t>
            </w:r>
          </w:p>
        </w:tc>
        <w:tc>
          <w:tcPr/>
          <w:p>
            <w:pPr>
              <w:pStyle w:val="Compact"/>
              <w:jc w:val="left"/>
            </w:pPr>
            <w:r>
              <w:t xml:space="preserve">Prisma AIRS not listed among Palo Alto Networks’ FedRAMP-authorised offerings (Prisma Cloud, Prisma Access, Prisma SASE are); API intercept unavailable in FedRAMP environments. SOC 2/ISO for AIRS not verified.</w:t>
            </w:r>
          </w:p>
        </w:tc>
        <w:tc>
          <w:tcPr/>
          <w:p>
            <w:pPr>
              <w:pStyle w:val="Compact"/>
              <w:jc w:val="left"/>
            </w:pPr>
            <w:r>
              <w:t xml:space="preserve">Verified fact</w:t>
            </w:r>
          </w:p>
        </w:tc>
        <w:tc>
          <w:tcPr/>
          <w:p>
            <w:pPr>
              <w:pStyle w:val="Compact"/>
              <w:jc w:val="left"/>
            </w:pPr>
            <w:r>
              <w:t xml:space="preserve">A7-S120, A7-S031</w:t>
            </w:r>
          </w:p>
        </w:tc>
      </w:tr>
      <w:tr>
        <w:tc>
          <w:tcPr/>
          <w:p>
            <w:pPr>
              <w:pStyle w:val="Compact"/>
              <w:jc w:val="left"/>
            </w:pPr>
            <w:r>
              <w:t xml:space="preserve">GDPR / residency</w:t>
            </w:r>
          </w:p>
        </w:tc>
        <w:tc>
          <w:tcPr/>
          <w:p>
            <w:pPr>
              <w:pStyle w:val="Compact"/>
              <w:jc w:val="left"/>
            </w:pPr>
            <w:r>
              <w:t xml:space="preserve">API Intercept regions: Americas, EU-Germany, India, Singapore, Japan (region determines processing and storage), but in EU-Germany URL category detection and contextual grounding run via the Netherlands; older firewall setup pages state US-only inspection; AI Model Security in US, EU-Netherlands, Japan, Singapore; AI Skill Security and AI Discovery Americas only</w:t>
            </w:r>
          </w:p>
        </w:tc>
        <w:tc>
          <w:tcPr/>
          <w:p>
            <w:pPr>
              <w:pStyle w:val="Compact"/>
              <w:jc w:val="left"/>
            </w:pPr>
            <w:r>
              <w:t xml:space="preserve">Verified fact</w:t>
            </w:r>
          </w:p>
        </w:tc>
        <w:tc>
          <w:tcPr/>
          <w:p>
            <w:pPr>
              <w:pStyle w:val="Compact"/>
              <w:jc w:val="left"/>
            </w:pPr>
            <w:r>
              <w:t xml:space="preserve">A7-S120, A7-S031</w:t>
            </w:r>
          </w:p>
        </w:tc>
      </w:tr>
      <w:tr>
        <w:tc>
          <w:tcPr/>
          <w:p>
            <w:pPr>
              <w:pStyle w:val="Compact"/>
              <w:jc w:val="left"/>
            </w:pPr>
            <w:r>
              <w:t xml:space="preserve">Security features</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Access controls</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Enterprise support</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Pricing</w:t>
            </w:r>
          </w:p>
        </w:tc>
        <w:tc>
          <w:tcPr/>
          <w:p>
            <w:pPr>
              <w:pStyle w:val="Compact"/>
              <w:jc w:val="left"/>
            </w:pPr>
            <w:r>
              <w:t xml:space="preserve">BYOL credits; AI Runtime API metered in billions of tokens per month (1 token = 4 characters, minimum 1 billion) from February 2026; Managed AIRS for AWS PAYG premium SKU US$3.00/hour plus traffic from US$0.065/GB</w:t>
            </w:r>
          </w:p>
        </w:tc>
        <w:tc>
          <w:tcPr/>
          <w:p>
            <w:pPr>
              <w:pStyle w:val="Compact"/>
              <w:jc w:val="left"/>
            </w:pPr>
            <w:r>
              <w:t xml:space="preserve">Verified fact</w:t>
            </w:r>
          </w:p>
        </w:tc>
        <w:tc>
          <w:tcPr/>
          <w:p>
            <w:pPr>
              <w:pStyle w:val="Compact"/>
              <w:jc w:val="left"/>
            </w:pPr>
            <w:r>
              <w:t xml:space="preserve">A7-S031</w:t>
            </w:r>
          </w:p>
        </w:tc>
      </w:tr>
      <w:tr>
        <w:tc>
          <w:tcPr/>
          <w:p>
            <w:pPr>
              <w:pStyle w:val="Compact"/>
              <w:jc w:val="left"/>
            </w:pPr>
            <w:r>
              <w:t xml:space="preserve">Infrastructure cost</w:t>
            </w:r>
          </w:p>
        </w:tc>
        <w:tc>
          <w:tcPr/>
          <w:p>
            <w:pPr>
              <w:pStyle w:val="Compact"/>
              <w:jc w:val="left"/>
            </w:pPr>
            <w:r>
              <w:t xml:space="preserve">Network intercept needs at least 4 vCPUs; capacity up to 10K AI transactions per day per vCPU</w:t>
            </w:r>
          </w:p>
        </w:tc>
        <w:tc>
          <w:tcPr/>
          <w:p>
            <w:pPr>
              <w:pStyle w:val="Compact"/>
              <w:jc w:val="left"/>
            </w:pPr>
            <w:r>
              <w:t xml:space="preserve">Verified fact</w:t>
            </w:r>
          </w:p>
        </w:tc>
        <w:tc>
          <w:tcPr/>
          <w:p>
            <w:pPr>
              <w:pStyle w:val="Compact"/>
              <w:jc w:val="left"/>
            </w:pPr>
            <w:r>
              <w:t xml:space="preserve">A7-S031</w:t>
            </w:r>
          </w:p>
        </w:tc>
      </w:tr>
      <w:tr>
        <w:tc>
          <w:tcPr/>
          <w:p>
            <w:pPr>
              <w:pStyle w:val="Compact"/>
              <w:jc w:val="left"/>
            </w:pPr>
            <w:r>
              <w:t xml:space="preserve">Ecosystem</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Adoption signals</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Maturity</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Deployment</w:t>
            </w:r>
          </w:p>
        </w:tc>
        <w:tc>
          <w:tcPr/>
          <w:p>
            <w:pPr>
              <w:pStyle w:val="Compact"/>
              <w:jc w:val="left"/>
            </w:pPr>
            <w:r>
              <w:t xml:space="preserve">saas: Yes (Managed SaaS firewall on AWS, Azure, GCP; Strata Cloud Manager); managed_cloud: Yes (Managed AIRS for AWS via AWS Marketplace); vpc_byoc: Not publicly verified; private_cloud: Yes (runtime firewall on ESXi, KVM, OpenShift, Rancher); self_hosted: Yes (model scans run locally; VM-series firewall images); on_prem: Not publicly verified</w:t>
            </w:r>
          </w:p>
        </w:tc>
        <w:tc>
          <w:tcPr/>
          <w:p>
            <w:pPr>
              <w:pStyle w:val="Compact"/>
            </w:pPr>
          </w:p>
        </w:tc>
        <w:tc>
          <w:tcPr/>
          <w:p>
            <w:pPr>
              <w:pStyle w:val="Compact"/>
            </w:pPr>
          </w:p>
        </w:tc>
      </w:tr>
    </w:tbl>
    <w:bookmarkEnd w:id="2374"/>
    <w:bookmarkStart w:id="2390" w:name="Xe112e3100893e912c9ccf021a41b1ccc9ea3ae9"/>
    <w:p>
      <w:pPr>
        <w:pStyle w:val="Heading2"/>
      </w:pPr>
      <w:r>
        <w:t xml:space="preserve">HiddenLayer AI Security Platform (</w:t>
      </w:r>
      <w:r>
        <w:rPr>
          <w:rStyle w:val="VerbatimChar"/>
        </w:rPr>
        <w:t xml:space="preserve">C7-hiddenlayer</w:t>
      </w:r>
      <w:r>
        <w:t xml:space="preserve">)</w:t>
      </w:r>
    </w:p>
    <w:p>
      <w:pPr>
        <w:pStyle w:val="FirstParagraph"/>
      </w:pPr>
      <w:r>
        <w:rPr>
          <w:bCs/>
          <w:b/>
        </w:rPr>
        <w:t xml:space="preserve">Tier:</w:t>
      </w:r>
      <w:r>
        <w:t xml:space="preserve"> </w:t>
      </w:r>
      <w:r>
        <w:t xml:space="preserve">Tactical ·</w:t>
      </w:r>
      <w:r>
        <w:t xml:space="preserve"> </w:t>
      </w:r>
      <w:r>
        <w:rPr>
          <w:bCs/>
          <w:b/>
        </w:rPr>
        <w:t xml:space="preserve">Flags:</w:t>
      </w:r>
      <w:r>
        <w:t xml:space="preserve"> </w:t>
      </w:r>
      <w:r>
        <w:t xml:space="preserve">none ·</w:t>
      </w:r>
      <w:r>
        <w:t xml:space="preserve"> </w:t>
      </w:r>
      <w:r>
        <w:rPr>
          <w:bCs/>
          <w:b/>
        </w:rPr>
        <w:t xml:space="preserve">Original graphic label:</w:t>
      </w:r>
      <w:r>
        <w:t xml:space="preserve"> </w:t>
      </w:r>
      <w:r>
        <w:t xml:space="preserve">not in graphic</w:t>
      </w:r>
    </w:p>
    <w:p>
      <w:pPr>
        <w:pStyle w:val="BodyText"/>
      </w:pPr>
      <w:r>
        <w:rPr>
          <w:iCs/>
          <w:i/>
        </w:rPr>
        <w:t xml:space="preserve">Rationale:</w:t>
      </w:r>
      <w:r>
        <w:t xml:space="preserve"> </w:t>
      </w:r>
      <w:r>
        <w:t xml:space="preserve">Capable independent specialist, but dated certification evidence, unverified deployment breadth and opaque pricing</w:t>
      </w:r>
      <w:r>
        <w:t xml:space="preserve"> </w:t>
      </w:r>
      <w:r>
        <w:rPr>
          <w:rStyle w:val="ClaimLabel"/>
        </w:rPr>
        <w:t xml:space="preserve">AJ</w:t>
      </w:r>
      <w:r>
        <w:t xml:space="preserve">.</w:t>
      </w:r>
    </w:p>
    <w:tbl>
      <w:tblPr>
        <w:tblStyle w:val="Table"/>
        <w:tblW w:type="pct" w:w="5000"/>
        <w:tblLook w:firstRow="1" w:lastRow="0" w:firstColumn="0" w:lastColumn="0" w:noHBand="0" w:noVBand="0" w:val="0020"/>
        <w:jc w:val="start"/>
      </w:tblPr>
      <w:tblGrid>
        <w:gridCol w:w="1545"/>
        <w:gridCol w:w="579"/>
        <w:gridCol w:w="5795"/>
      </w:tblGrid>
      <w:tr>
        <w:trPr>
          <w:tblHeader w:val="true"/>
        </w:trPr>
        <w:tc>
          <w:tcPr/>
          <w:p>
            <w:pPr>
              <w:pStyle w:val="Compact"/>
              <w:jc w:val="left"/>
            </w:pPr>
            <w:r>
              <w:t xml:space="preserve">Criterion</w:t>
            </w:r>
          </w:p>
        </w:tc>
        <w:tc>
          <w:tcPr/>
          <w:p>
            <w:pPr>
              <w:pStyle w:val="Compact"/>
              <w:jc w:val="right"/>
            </w:pPr>
            <w:r>
              <w:t xml:space="preserve">Score</w:t>
            </w:r>
          </w:p>
        </w:tc>
        <w:tc>
          <w:tcPr/>
          <w:p>
            <w:pPr>
              <w:pStyle w:val="Compact"/>
              <w:jc w:val="left"/>
            </w:pPr>
            <w:r>
              <w:t xml:space="preserve">Rationale</w:t>
            </w:r>
          </w:p>
        </w:tc>
      </w:tr>
      <w:tr>
        <w:tc>
          <w:tcPr/>
          <w:p>
            <w:pPr>
              <w:pStyle w:val="Compact"/>
              <w:jc w:val="left"/>
            </w:pPr>
            <w:r>
              <w:t xml:space="preserve">Technical</w:t>
            </w:r>
          </w:p>
        </w:tc>
        <w:tc>
          <w:tcPr/>
          <w:p>
            <w:pPr>
              <w:pStyle w:val="Compact"/>
              <w:jc w:val="right"/>
            </w:pPr>
            <w:r>
              <w:t xml:space="preserve">4</w:t>
            </w:r>
          </w:p>
        </w:tc>
        <w:tc>
          <w:tcPr/>
          <w:p>
            <w:pPr>
              <w:pStyle w:val="Compact"/>
              <w:jc w:val="left"/>
            </w:pPr>
            <w:r>
              <w:t xml:space="preserve">Model scanning plus agent runtime and coding-agent protection; red-teaming not evidenced.</w:t>
            </w:r>
          </w:p>
        </w:tc>
      </w:tr>
      <w:tr>
        <w:tc>
          <w:tcPr/>
          <w:p>
            <w:pPr>
              <w:pStyle w:val="Compact"/>
              <w:jc w:val="left"/>
            </w:pPr>
            <w:r>
              <w:t xml:space="preserve">Enterprise readiness</w:t>
            </w:r>
          </w:p>
        </w:tc>
        <w:tc>
          <w:tcPr/>
          <w:p>
            <w:pPr>
              <w:pStyle w:val="Compact"/>
              <w:jc w:val="right"/>
            </w:pPr>
            <w:r>
              <w:t xml:space="preserve">3</w:t>
            </w:r>
          </w:p>
        </w:tc>
        <w:tc>
          <w:tcPr/>
          <w:p>
            <w:pPr>
              <w:pStyle w:val="Compact"/>
              <w:jc w:val="left"/>
            </w:pPr>
            <w:r>
              <w:t xml:space="preserve">SAML SSO and RBAC verified (B-C7-S004); audit logs not documented, so 3 (rule 7).</w:t>
            </w:r>
          </w:p>
        </w:tc>
      </w:tr>
      <w:tr>
        <w:tc>
          <w:tcPr/>
          <w:p>
            <w:pPr>
              <w:pStyle w:val="Compact"/>
              <w:jc w:val="left"/>
            </w:pPr>
            <w:r>
              <w:t xml:space="preserve">Security and compliance</w:t>
            </w:r>
          </w:p>
        </w:tc>
        <w:tc>
          <w:tcPr/>
          <w:p>
            <w:pPr>
              <w:pStyle w:val="Compact"/>
              <w:jc w:val="right"/>
            </w:pPr>
            <w:r>
              <w:t xml:space="preserve">3</w:t>
            </w:r>
          </w:p>
        </w:tc>
        <w:tc>
          <w:tcPr/>
          <w:p>
            <w:pPr>
              <w:pStyle w:val="Compact"/>
              <w:jc w:val="left"/>
            </w:pPr>
            <w:r>
              <w:t xml:space="preserve">ISO 27001 and SOC 2 Type 2 at company level, scope not stated and evidence 20 months old: one below anchor (rule 8).</w:t>
            </w:r>
          </w:p>
        </w:tc>
      </w:tr>
      <w:tr>
        <w:tc>
          <w:tcPr/>
          <w:p>
            <w:pPr>
              <w:pStyle w:val="Compact"/>
              <w:jc w:val="left"/>
            </w:pPr>
            <w:r>
              <w:t xml:space="preserve">Deployment flexibility</w:t>
            </w:r>
          </w:p>
        </w:tc>
        <w:tc>
          <w:tcPr/>
          <w:p>
            <w:pPr>
              <w:pStyle w:val="Compact"/>
              <w:jc w:val="right"/>
            </w:pPr>
            <w:r>
              <w:t xml:space="preserve">3</w:t>
            </w:r>
          </w:p>
        </w:tc>
        <w:tc>
          <w:tcPr/>
          <w:p>
            <w:pPr>
              <w:pStyle w:val="Compact"/>
              <w:jc w:val="left"/>
            </w:pPr>
            <w:r>
              <w:t xml:space="preserve">Customer AWS VPC verified; SaaS and on-prem only reported.</w:t>
            </w:r>
          </w:p>
        </w:tc>
      </w:tr>
      <w:tr>
        <w:tc>
          <w:tcPr/>
          <w:p>
            <w:pPr>
              <w:pStyle w:val="Compact"/>
              <w:jc w:val="left"/>
            </w:pPr>
            <w:r>
              <w:t xml:space="preserve">Ecosystem</w:t>
            </w:r>
          </w:p>
        </w:tc>
        <w:tc>
          <w:tcPr/>
          <w:p>
            <w:pPr>
              <w:pStyle w:val="Compact"/>
              <w:jc w:val="right"/>
            </w:pPr>
            <w:r>
              <w:t xml:space="preserve">3</w:t>
            </w:r>
          </w:p>
        </w:tc>
        <w:tc>
          <w:tcPr/>
          <w:p>
            <w:pPr>
              <w:pStyle w:val="Compact"/>
              <w:jc w:val="left"/>
            </w:pPr>
            <w:r>
              <w:t xml:space="preserve">REST API, Python SDK, AWS Marketplace, Databricks Unity Catalog.</w:t>
            </w:r>
          </w:p>
        </w:tc>
      </w:tr>
      <w:tr>
        <w:tc>
          <w:tcPr/>
          <w:p>
            <w:pPr>
              <w:pStyle w:val="Compact"/>
              <w:jc w:val="left"/>
            </w:pPr>
            <w:r>
              <w:t xml:space="preserve">Reliability and maturity</w:t>
            </w:r>
          </w:p>
        </w:tc>
        <w:tc>
          <w:tcPr/>
          <w:p>
            <w:pPr>
              <w:pStyle w:val="Compact"/>
              <w:jc w:val="right"/>
            </w:pPr>
            <w:r>
              <w:t xml:space="preserve">3</w:t>
            </w:r>
          </w:p>
        </w:tc>
        <w:tc>
          <w:tcPr/>
          <w:p>
            <w:pPr>
              <w:pStyle w:val="Compact"/>
              <w:jc w:val="left"/>
            </w:pPr>
            <w:r>
              <w:t xml:space="preserve">Independent and funded; agentic modules launched in 2026.</w:t>
            </w:r>
          </w:p>
        </w:tc>
      </w:tr>
      <w:tr>
        <w:tc>
          <w:tcPr/>
          <w:p>
            <w:pPr>
              <w:pStyle w:val="Compact"/>
              <w:jc w:val="left"/>
            </w:pPr>
            <w:r>
              <w:t xml:space="preserve">Cost / TCO</w:t>
            </w:r>
          </w:p>
        </w:tc>
        <w:tc>
          <w:tcPr/>
          <w:p>
            <w:pPr>
              <w:pStyle w:val="Compact"/>
              <w:jc w:val="right"/>
            </w:pPr>
            <w:r>
              <w:t xml:space="preserve">2</w:t>
            </w:r>
          </w:p>
        </w:tc>
        <w:tc>
          <w:tcPr/>
          <w:p>
            <w:pPr>
              <w:pStyle w:val="Compact"/>
              <w:jc w:val="left"/>
            </w:pPr>
            <w:r>
              <w:t xml:space="preserve">Contract-only pricing, not published.</w:t>
            </w:r>
          </w:p>
        </w:tc>
      </w:tr>
      <w:tr>
        <w:tc>
          <w:tcPr/>
          <w:p>
            <w:pPr>
              <w:pStyle w:val="Compact"/>
              <w:jc w:val="left"/>
            </w:pPr>
            <w:r>
              <w:t xml:space="preserve">Lock-in / portability</w:t>
            </w:r>
          </w:p>
        </w:tc>
        <w:tc>
          <w:tcPr/>
          <w:p>
            <w:pPr>
              <w:pStyle w:val="Compact"/>
              <w:jc w:val="right"/>
            </w:pPr>
            <w:r>
              <w:t xml:space="preserve">3</w:t>
            </w:r>
          </w:p>
        </w:tc>
        <w:tc>
          <w:tcPr/>
          <w:p>
            <w:pPr>
              <w:pStyle w:val="Compact"/>
              <w:jc w:val="left"/>
            </w:pPr>
            <w:r>
              <w:t xml:space="preserve">Proprietary platform with Apache-2.0 SDK; independent ownership.</w:t>
            </w:r>
          </w:p>
        </w:tc>
      </w:tr>
      <w:tr>
        <w:tc>
          <w:tcPr/>
          <w:p>
            <w:pPr>
              <w:pStyle w:val="Compact"/>
              <w:jc w:val="left"/>
            </w:pPr>
            <w:r>
              <w:rPr>
                <w:bCs/>
                <w:b/>
              </w:rPr>
              <w:t xml:space="preserve">Total (generic / FS)</w:t>
            </w:r>
          </w:p>
        </w:tc>
        <w:tc>
          <w:tcPr/>
          <w:p>
            <w:pPr>
              <w:pStyle w:val="Compact"/>
              <w:jc w:val="right"/>
            </w:pPr>
            <w:r>
              <w:rPr>
                <w:bCs/>
                <w:b/>
              </w:rPr>
              <w:t xml:space="preserve">3.10 / 3.10</w:t>
            </w:r>
          </w:p>
        </w:tc>
        <w:tc>
          <w:tcPr/>
          <w:p>
            <w:pPr>
              <w:pStyle w:val="Compact"/>
            </w:pPr>
          </w:p>
        </w:tc>
      </w:tr>
    </w:tbl>
    <w:p>
      <w:pPr>
        <w:pStyle w:val="BodyText"/>
      </w:pPr>
      <w:r>
        <w:rPr>
          <w:bCs/>
          <w:b/>
        </w:rPr>
        <w:t xml:space="preserve">Capabilities.</w:t>
      </w:r>
      <w:r>
        <w:t xml:space="preserve"> </w:t>
      </w:r>
      <w:r>
        <w:t xml:space="preserve">Model supply-chain scanning for registries and storage (S3, EFS, container registries), AI Runtime Security for agents against prompt injection, secret exposure and unsafe commands, and Agent Harness Security for coding agents (3 August 2026)</w:t>
      </w:r>
      <w:r>
        <w:t xml:space="preserve"> </w:t>
      </w:r>
      <w:r>
        <w:rPr>
          <w:rStyle w:val="ClaimLabel"/>
        </w:rPr>
        <w:t xml:space="preserve">VF</w:t>
      </w:r>
      <w:r>
        <w:rPr>
          <w:rStyle w:val="FootnoteReference"/>
        </w:rPr>
        <w:footnoteReference w:id="2375"/>
      </w:r>
      <w:r>
        <w:t xml:space="preserve">.</w:t>
      </w:r>
    </w:p>
    <w:p>
      <w:pPr>
        <w:pStyle w:val="BodyText"/>
      </w:pPr>
      <w:r>
        <w:rPr>
          <w:bCs/>
          <w:b/>
        </w:rPr>
        <w:t xml:space="preserve">Strengths</w:t>
      </w:r>
    </w:p>
    <w:p>
      <w:pPr>
        <w:numPr>
          <w:ilvl w:val="0"/>
          <w:numId w:val="1525"/>
        </w:numPr>
        <w:pStyle w:val="Compact"/>
      </w:pPr>
      <w:r>
        <w:t xml:space="preserve">Independent; US$100m Series B on 2 September 2026</w:t>
      </w:r>
      <w:r>
        <w:t xml:space="preserve"> </w:t>
      </w:r>
      <w:r>
        <w:rPr>
          <w:rStyle w:val="ClaimLabel"/>
        </w:rPr>
        <w:t xml:space="preserve">VF</w:t>
      </w:r>
      <w:r>
        <w:rPr>
          <w:rStyle w:val="FootnoteReference"/>
        </w:rPr>
        <w:footnoteReference w:id="2378"/>
      </w:r>
    </w:p>
    <w:p>
      <w:pPr>
        <w:numPr>
          <w:ilvl w:val="0"/>
          <w:numId w:val="1525"/>
        </w:numPr>
        <w:pStyle w:val="Compact"/>
      </w:pPr>
      <w:r>
        <w:t xml:space="preserve">ISO 27001 and SOC 2 Type 2 announced February 2025</w:t>
      </w:r>
      <w:r>
        <w:t xml:space="preserve"> </w:t>
      </w:r>
      <w:r>
        <w:rPr>
          <w:rStyle w:val="ClaimLabel"/>
        </w:rPr>
        <w:t xml:space="preserve">VF</w:t>
      </w:r>
      <w:r>
        <w:rPr>
          <w:rStyle w:val="FootnoteReference"/>
        </w:rPr>
        <w:footnoteReference w:id="2380"/>
      </w:r>
    </w:p>
    <w:p>
      <w:pPr>
        <w:numPr>
          <w:ilvl w:val="0"/>
          <w:numId w:val="1525"/>
        </w:numPr>
        <w:pStyle w:val="Compact"/>
      </w:pPr>
      <w:r>
        <w:t xml:space="preserve">SAML SSO with RBAC and tenant user management</w:t>
      </w:r>
      <w:r>
        <w:t xml:space="preserve"> </w:t>
      </w:r>
      <w:r>
        <w:rPr>
          <w:rStyle w:val="ClaimLabel"/>
        </w:rPr>
        <w:t xml:space="preserve">VF</w:t>
      </w:r>
      <w:r>
        <w:rPr>
          <w:rStyle w:val="FootnoteReference"/>
        </w:rPr>
        <w:footnoteReference w:id="2382"/>
      </w:r>
    </w:p>
    <w:p>
      <w:pPr>
        <w:numPr>
          <w:ilvl w:val="0"/>
          <w:numId w:val="1525"/>
        </w:numPr>
        <w:pStyle w:val="Compact"/>
      </w:pPr>
      <w:r>
        <w:t xml:space="preserve">Deploys inside the customer’s AWS environment with private networking</w:t>
      </w:r>
      <w:r>
        <w:t xml:space="preserve"> </w:t>
      </w:r>
      <w:r>
        <w:rPr>
          <w:rStyle w:val="ClaimLabel"/>
        </w:rPr>
        <w:t xml:space="preserve">VF</w:t>
      </w:r>
      <w:r>
        <w:rPr>
          <w:rStyle w:val="FootnoteReference"/>
        </w:rPr>
        <w:footnoteReference w:id="2384"/>
      </w:r>
      <w:r>
        <w:t xml:space="preserve">; co-contributor to OpenSSF Model Signing</w:t>
      </w:r>
      <w:r>
        <w:t xml:space="preserve"> </w:t>
      </w:r>
      <w:r>
        <w:rPr>
          <w:rStyle w:val="ClaimLabel"/>
        </w:rPr>
        <w:t xml:space="preserve">VF</w:t>
      </w:r>
      <w:r>
        <w:rPr>
          <w:rStyle w:val="FootnoteReference"/>
        </w:rPr>
        <w:footnoteReference w:id="2385"/>
      </w:r>
    </w:p>
    <w:p>
      <w:pPr>
        <w:pStyle w:val="FirstParagraph"/>
      </w:pPr>
      <w:r>
        <w:rPr>
          <w:bCs/>
          <w:b/>
        </w:rPr>
        <w:t xml:space="preserve">Limitations and risks</w:t>
      </w:r>
    </w:p>
    <w:p>
      <w:pPr>
        <w:numPr>
          <w:ilvl w:val="0"/>
          <w:numId w:val="1526"/>
        </w:numPr>
        <w:pStyle w:val="Compact"/>
      </w:pPr>
      <w:r>
        <w:t xml:space="preserve">Certification evidence dated February 2025; no trust centre found</w:t>
      </w:r>
      <w:r>
        <w:t xml:space="preserve"> </w:t>
      </w:r>
      <w:r>
        <w:rPr>
          <w:rStyle w:val="ClaimLabel"/>
        </w:rPr>
        <w:t xml:space="preserve">VF</w:t>
      </w:r>
      <w:r>
        <w:rPr>
          <w:rStyle w:val="FootnoteReference"/>
        </w:rPr>
        <w:footnoteReference w:id="2386"/>
      </w:r>
    </w:p>
    <w:p>
      <w:pPr>
        <w:numPr>
          <w:ilvl w:val="0"/>
          <w:numId w:val="1526"/>
        </w:numPr>
        <w:pStyle w:val="Compact"/>
      </w:pPr>
      <w:r>
        <w:t xml:space="preserve">SaaS and on-prem or air-gapped deployment rest on vendor text in a third-party listing</w:t>
      </w:r>
      <w:r>
        <w:t xml:space="preserve"> </w:t>
      </w:r>
      <w:r>
        <w:rPr>
          <w:rStyle w:val="ClaimLabel"/>
        </w:rPr>
        <w:t xml:space="preserve">R</w:t>
      </w:r>
      <w:r>
        <w:rPr>
          <w:rStyle w:val="FootnoteReference"/>
        </w:rPr>
        <w:footnoteReference w:id="2387"/>
      </w:r>
    </w:p>
    <w:p>
      <w:pPr>
        <w:numPr>
          <w:ilvl w:val="0"/>
          <w:numId w:val="1526"/>
        </w:numPr>
        <w:pStyle w:val="Compact"/>
      </w:pPr>
      <w:r>
        <w:t xml:space="preserve">No customer audit-log documentation found</w:t>
      </w:r>
      <w:r>
        <w:t xml:space="preserve"> </w:t>
      </w:r>
      <w:r>
        <w:rPr>
          <w:rStyle w:val="ClaimLabel"/>
        </w:rPr>
        <w:t xml:space="preserve">VF</w:t>
      </w:r>
      <w:r>
        <w:rPr>
          <w:rStyle w:val="FootnoteReference"/>
        </w:rPr>
        <w:footnoteReference w:id="2388"/>
      </w:r>
    </w:p>
    <w:p>
      <w:pPr>
        <w:numPr>
          <w:ilvl w:val="0"/>
          <w:numId w:val="1526"/>
        </w:numPr>
        <w:pStyle w:val="Compact"/>
      </w:pPr>
      <w:r>
        <w:t xml:space="preserve">Contract-only pricing</w:t>
      </w:r>
      <w:r>
        <w:t xml:space="preserve"> </w:t>
      </w:r>
      <w:r>
        <w:rPr>
          <w:rStyle w:val="ClaimLabel"/>
        </w:rPr>
        <w:t xml:space="preserve">VF</w:t>
      </w:r>
      <w:r>
        <w:rPr>
          <w:rStyle w:val="FootnoteReference"/>
        </w:rPr>
        <w:footnoteReference w:id="2389"/>
      </w:r>
    </w:p>
    <w:p>
      <w:pPr>
        <w:pStyle w:val="FirstParagraph"/>
      </w:pPr>
      <w:r>
        <w:rPr>
          <w:bCs/>
          <w:b/>
        </w:rPr>
        <w:t xml:space="preserve">Choose when</w:t>
      </w:r>
    </w:p>
    <w:p>
      <w:pPr>
        <w:numPr>
          <w:ilvl w:val="0"/>
          <w:numId w:val="1527"/>
        </w:numPr>
        <w:pStyle w:val="Compact"/>
      </w:pPr>
      <w:r>
        <w:t xml:space="preserve">You want an independent model-scanning and agent-runtime specialist outside a network-security suite</w:t>
      </w:r>
      <w:r>
        <w:t xml:space="preserve"> </w:t>
      </w:r>
      <w:r>
        <w:rPr>
          <w:rStyle w:val="ClaimLabel"/>
        </w:rPr>
        <w:t xml:space="preserve">AJ</w:t>
      </w:r>
    </w:p>
    <w:p>
      <w:pPr>
        <w:pStyle w:val="FirstParagraph"/>
      </w:pPr>
      <w:r>
        <w:rPr>
          <w:bCs/>
          <w:b/>
        </w:rPr>
        <w:t xml:space="preserve">Avoid when</w:t>
      </w:r>
    </w:p>
    <w:p>
      <w:pPr>
        <w:numPr>
          <w:ilvl w:val="0"/>
          <w:numId w:val="1528"/>
        </w:numPr>
        <w:pStyle w:val="Compact"/>
      </w:pPr>
      <w:r>
        <w:t xml:space="preserve">You need verified on-prem or EU-region deployment today</w:t>
      </w:r>
      <w:r>
        <w:t xml:space="preserve"> </w:t>
      </w:r>
      <w:r>
        <w:rPr>
          <w:rStyle w:val="ClaimLabel"/>
        </w:rPr>
        <w:t xml:space="preserve">AJ</w:t>
      </w:r>
    </w:p>
    <w:p>
      <w:pPr>
        <w:pStyle w:val="FirstParagraph"/>
      </w:pPr>
      <w:r>
        <w:rPr>
          <w:bCs/>
          <w:b/>
        </w:rPr>
        <w:t xml:space="preserve">Nearest competitors:</w:t>
      </w:r>
      <w:r>
        <w:t xml:space="preserve"> </w:t>
      </w:r>
      <w:r>
        <w:t xml:space="preserve">C7-prisma-airs, C7-lakera, C7-model-supply-chain-scanning</w:t>
      </w:r>
    </w:p>
    <w:p>
      <w:pPr>
        <w:pStyle w:val="BodyText"/>
      </w:pPr>
      <w:r>
        <w:rPr>
          <w:bCs/>
          <w:b/>
        </w:rPr>
        <w:t xml:space="preserve">Regulated-FS note.</w:t>
      </w:r>
      <w:r>
        <w:t xml:space="preserve"> </w:t>
      </w:r>
      <w:r>
        <w:t xml:space="preserve">Obtain current SOC 2 and ISO certificates and a change-of-control exit clause; independents in this market have tended to be acquired</w:t>
      </w:r>
      <w:r>
        <w:t xml:space="preserve"> </w:t>
      </w:r>
      <w:r>
        <w:rPr>
          <w:rStyle w:val="ClaimLabel"/>
        </w:rPr>
        <w:t xml:space="preserve">Rec</w:t>
      </w:r>
      <w:r>
        <w:t xml:space="preserve">.</w:t>
      </w:r>
    </w:p>
    <w:p>
      <w:pPr>
        <w:pStyle w:val="BodyText"/>
      </w:pPr>
      <w:r>
        <w:rPr>
          <w:bCs/>
          <w:b/>
        </w:rPr>
        <w:t xml:space="preserve">Facts (as of 2026-10-08)</w:t>
      </w:r>
    </w:p>
    <w:tbl>
      <w:tblPr>
        <w:tblStyle w:val="Table"/>
        <w:tblW w:type="pct" w:w="5000"/>
        <w:tblLook w:firstRow="1" w:lastRow="0" w:firstColumn="0" w:lastColumn="0" w:noHBand="0" w:noVBand="0" w:val="0020"/>
        <w:jc w:val="start"/>
      </w:tblPr>
      <w:tblGrid>
        <w:gridCol w:w="1485"/>
        <w:gridCol w:w="4290"/>
        <w:gridCol w:w="1320"/>
        <w:gridCol w:w="825"/>
      </w:tblGrid>
      <w:tr>
        <w:trPr>
          <w:tblHeader w:val="true"/>
        </w:trPr>
        <w:tc>
          <w:tcPr/>
          <w:p>
            <w:pPr>
              <w:pStyle w:val="Compact"/>
              <w:jc w:val="left"/>
            </w:pPr>
            <w:r>
              <w:t xml:space="preserve">Field</w:t>
            </w:r>
          </w:p>
        </w:tc>
        <w:tc>
          <w:tcPr/>
          <w:p>
            <w:pPr>
              <w:pStyle w:val="Compact"/>
              <w:jc w:val="left"/>
            </w:pPr>
            <w:r>
              <w:t xml:space="preserve">Value</w:t>
            </w:r>
          </w:p>
        </w:tc>
        <w:tc>
          <w:tcPr/>
          <w:p>
            <w:pPr>
              <w:pStyle w:val="Compact"/>
              <w:jc w:val="left"/>
            </w:pPr>
            <w:r>
              <w:t xml:space="preserve">Label</w:t>
            </w:r>
          </w:p>
        </w:tc>
        <w:tc>
          <w:tcPr/>
          <w:p>
            <w:pPr>
              <w:pStyle w:val="Compact"/>
              <w:jc w:val="left"/>
            </w:pPr>
            <w:r>
              <w:t xml:space="preserve">Sources</w:t>
            </w:r>
          </w:p>
        </w:tc>
      </w:tr>
      <w:tr>
        <w:tc>
          <w:tcPr/>
          <w:p>
            <w:pPr>
              <w:pStyle w:val="Compact"/>
              <w:jc w:val="left"/>
            </w:pPr>
            <w:r>
              <w:t xml:space="preserve">Company</w:t>
            </w:r>
          </w:p>
        </w:tc>
        <w:tc>
          <w:tcPr/>
          <w:p>
            <w:pPr>
              <w:pStyle w:val="Compact"/>
              <w:jc w:val="left"/>
            </w:pPr>
            <w:r>
              <w:t xml:space="preserve">HiddenLayer (independent; US$100 million Series B in September 2026, total raised over US$155 million)</w:t>
            </w:r>
          </w:p>
        </w:tc>
        <w:tc>
          <w:tcPr/>
          <w:p>
            <w:pPr>
              <w:pStyle w:val="Compact"/>
              <w:jc w:val="left"/>
            </w:pPr>
            <w:r>
              <w:t xml:space="preserve">Verified fact</w:t>
            </w:r>
          </w:p>
        </w:tc>
        <w:tc>
          <w:tcPr/>
          <w:p>
            <w:pPr>
              <w:pStyle w:val="Compact"/>
              <w:jc w:val="left"/>
            </w:pPr>
            <w:r>
              <w:t xml:space="preserve">A7-S017</w:t>
            </w:r>
          </w:p>
        </w:tc>
      </w:tr>
      <w:tr>
        <w:tc>
          <w:tcPr/>
          <w:p>
            <w:pPr>
              <w:pStyle w:val="Compact"/>
              <w:jc w:val="left"/>
            </w:pPr>
            <w:r>
              <w:t xml:space="preserve">Category</w:t>
            </w:r>
          </w:p>
        </w:tc>
        <w:tc>
          <w:tcPr/>
          <w:p>
            <w:pPr>
              <w:pStyle w:val="Compact"/>
              <w:jc w:val="left"/>
            </w:pPr>
            <w:r>
              <w:t xml:space="preserve">AI security platform: model supply-chain scanning, AI runtime security for agents, AI threat detection and response</w:t>
            </w:r>
          </w:p>
        </w:tc>
        <w:tc>
          <w:tcPr/>
          <w:p>
            <w:pPr>
              <w:pStyle w:val="Compact"/>
              <w:jc w:val="left"/>
            </w:pPr>
            <w:r>
              <w:t xml:space="preserve">Verified fact</w:t>
            </w:r>
          </w:p>
        </w:tc>
        <w:tc>
          <w:tcPr/>
          <w:p>
            <w:pPr>
              <w:pStyle w:val="Compact"/>
              <w:jc w:val="left"/>
            </w:pPr>
            <w:r>
              <w:t xml:space="preserve">A7-S017, A7-S029</w:t>
            </w:r>
          </w:p>
        </w:tc>
      </w:tr>
      <w:tr>
        <w:tc>
          <w:tcPr/>
          <w:p>
            <w:pPr>
              <w:pStyle w:val="Compact"/>
              <w:jc w:val="left"/>
            </w:pPr>
            <w:r>
              <w:t xml:space="preserve">Version / lineup</w:t>
            </w:r>
          </w:p>
        </w:tc>
        <w:tc>
          <w:tcPr/>
          <w:p>
            <w:pPr>
              <w:pStyle w:val="Compact"/>
              <w:jc w:val="left"/>
            </w:pPr>
            <w:r>
              <w:t xml:space="preserve">Modules: AI Supply Chain Security (Model Scanner), AI Runtime Security (agentic capabilities, March 2026), Agent Harness Security for coding agents (3 August 2026); hiddenlayer-sdk 3.10.0 (10 September 2026)</w:t>
            </w:r>
          </w:p>
        </w:tc>
        <w:tc>
          <w:tcPr/>
          <w:p>
            <w:pPr>
              <w:pStyle w:val="Compact"/>
              <w:jc w:val="left"/>
            </w:pPr>
            <w:r>
              <w:t xml:space="preserve">Verified fact</w:t>
            </w:r>
          </w:p>
        </w:tc>
        <w:tc>
          <w:tcPr/>
          <w:p>
            <w:pPr>
              <w:pStyle w:val="Compact"/>
              <w:jc w:val="left"/>
            </w:pPr>
            <w:r>
              <w:t xml:space="preserve">A7-S017, A7-S029, A7-S062</w:t>
            </w:r>
          </w:p>
        </w:tc>
      </w:tr>
      <w:tr>
        <w:tc>
          <w:tcPr/>
          <w:p>
            <w:pPr>
              <w:pStyle w:val="Compact"/>
              <w:jc w:val="left"/>
            </w:pPr>
            <w:r>
              <w:t xml:space="preserve">Licence</w:t>
            </w:r>
          </w:p>
        </w:tc>
        <w:tc>
          <w:tcPr/>
          <w:p>
            <w:pPr>
              <w:pStyle w:val="Compact"/>
              <w:jc w:val="left"/>
            </w:pPr>
            <w:r>
              <w:t xml:space="preserve">Proprietary platform; Python client SDK Apache-2.0</w:t>
            </w:r>
          </w:p>
        </w:tc>
        <w:tc>
          <w:tcPr/>
          <w:p>
            <w:pPr>
              <w:pStyle w:val="Compact"/>
              <w:jc w:val="left"/>
            </w:pPr>
            <w:r>
              <w:t xml:space="preserve">Verified fact</w:t>
            </w:r>
          </w:p>
        </w:tc>
        <w:tc>
          <w:tcPr/>
          <w:p>
            <w:pPr>
              <w:pStyle w:val="Compact"/>
              <w:jc w:val="left"/>
            </w:pPr>
            <w:r>
              <w:t xml:space="preserve">A7-S062</w:t>
            </w:r>
          </w:p>
        </w:tc>
      </w:tr>
      <w:tr>
        <w:tc>
          <w:tcPr/>
          <w:p>
            <w:pPr>
              <w:pStyle w:val="Compact"/>
              <w:jc w:val="left"/>
            </w:pPr>
            <w:r>
              <w:t xml:space="preserve">Status events</w:t>
            </w:r>
          </w:p>
        </w:tc>
        <w:tc>
          <w:tcPr/>
          <w:p>
            <w:pPr>
              <w:pStyle w:val="Compact"/>
              <w:jc w:val="left"/>
            </w:pPr>
            <w:r>
              <w:t xml:space="preserve">23 March 2026: next-generation AI Runtime Security for agents; 3 August 2026: Agent Harness Security launched; 2 September 2026: US$100m Series B (Delta-v Capital lead)</w:t>
            </w:r>
          </w:p>
        </w:tc>
        <w:tc>
          <w:tcPr/>
          <w:p>
            <w:pPr>
              <w:pStyle w:val="Compact"/>
              <w:jc w:val="left"/>
            </w:pPr>
            <w:r>
              <w:t xml:space="preserve">Verified fact</w:t>
            </w:r>
          </w:p>
        </w:tc>
        <w:tc>
          <w:tcPr/>
          <w:p>
            <w:pPr>
              <w:pStyle w:val="Compact"/>
              <w:jc w:val="left"/>
            </w:pPr>
            <w:r>
              <w:t xml:space="preserve">A7-S017, V2-S047</w:t>
            </w:r>
          </w:p>
        </w:tc>
      </w:tr>
      <w:tr>
        <w:tc>
          <w:tcPr/>
          <w:p>
            <w:pPr>
              <w:pStyle w:val="Compact"/>
              <w:jc w:val="left"/>
            </w:pPr>
            <w:r>
              <w:t xml:space="preserve">Strategic direction</w:t>
            </w:r>
          </w:p>
        </w:tc>
        <w:tc>
          <w:tcPr/>
          <w:p>
            <w:pPr>
              <w:pStyle w:val="Compact"/>
              <w:jc w:val="left"/>
            </w:pPr>
            <w:r>
              <w:t xml:space="preserve">Focus on agentic runtime security and AI coding-agent protection; Databricks Unity Catalog integration being extended</w:t>
            </w:r>
          </w:p>
        </w:tc>
        <w:tc>
          <w:tcPr/>
          <w:p>
            <w:pPr>
              <w:pStyle w:val="Compact"/>
              <w:jc w:val="left"/>
            </w:pPr>
            <w:r>
              <w:t xml:space="preserve">Verified fact</w:t>
            </w:r>
          </w:p>
        </w:tc>
        <w:tc>
          <w:tcPr/>
          <w:p>
            <w:pPr>
              <w:pStyle w:val="Compact"/>
              <w:jc w:val="left"/>
            </w:pPr>
            <w:r>
              <w:t xml:space="preserve">A7-S017</w:t>
            </w:r>
          </w:p>
        </w:tc>
      </w:tr>
      <w:tr>
        <w:tc>
          <w:tcPr/>
          <w:p>
            <w:pPr>
              <w:pStyle w:val="Compact"/>
              <w:jc w:val="left"/>
            </w:pPr>
            <w:r>
              <w:t xml:space="preserve">What it does</w:t>
            </w:r>
          </w:p>
        </w:tc>
        <w:tc>
          <w:tcPr/>
          <w:p>
            <w:pPr>
              <w:pStyle w:val="Compact"/>
              <w:jc w:val="left"/>
            </w:pPr>
            <w:r>
              <w:t xml:space="preserve">Scans model files for malicious code and vulnerabilities in registries and storage (S3, EFS, container registries), and protects agents at runtime against prompt injection, secret exposure and unsafe commands.</w:t>
            </w:r>
          </w:p>
        </w:tc>
        <w:tc>
          <w:tcPr/>
          <w:p>
            <w:pPr>
              <w:pStyle w:val="Compact"/>
              <w:jc w:val="left"/>
            </w:pPr>
            <w:r>
              <w:t xml:space="preserve">Verified fact</w:t>
            </w:r>
          </w:p>
        </w:tc>
        <w:tc>
          <w:tcPr/>
          <w:p>
            <w:pPr>
              <w:pStyle w:val="Compact"/>
              <w:jc w:val="left"/>
            </w:pPr>
            <w:r>
              <w:t xml:space="preserve">A7-S029, A7-S017</w:t>
            </w:r>
          </w:p>
        </w:tc>
      </w:tr>
      <w:tr>
        <w:tc>
          <w:tcPr/>
          <w:p>
            <w:pPr>
              <w:pStyle w:val="Compact"/>
              <w:jc w:val="left"/>
            </w:pPr>
            <w:r>
              <w:t xml:space="preserve">Stack position</w:t>
            </w:r>
          </w:p>
        </w:tc>
        <w:tc>
          <w:tcPr/>
          <w:p>
            <w:pPr>
              <w:pStyle w:val="Compact"/>
              <w:jc w:val="left"/>
            </w:pPr>
            <w:r>
              <w:t xml:space="preserve">C7 across model supply chain and runtime</w:t>
            </w:r>
          </w:p>
        </w:tc>
        <w:tc>
          <w:tcPr/>
          <w:p>
            <w:pPr>
              <w:pStyle w:val="Compact"/>
              <w:jc w:val="left"/>
            </w:pPr>
            <w:r>
              <w:t xml:space="preserve">Verified fact</w:t>
            </w:r>
          </w:p>
        </w:tc>
        <w:tc>
          <w:tcPr/>
          <w:p>
            <w:pPr>
              <w:pStyle w:val="Compact"/>
              <w:jc w:val="left"/>
            </w:pPr>
            <w:r>
              <w:t xml:space="preserve">A7-S029, A7-S017</w:t>
            </w:r>
          </w:p>
        </w:tc>
      </w:tr>
      <w:tr>
        <w:tc>
          <w:tcPr/>
          <w:p>
            <w:pPr>
              <w:pStyle w:val="Compact"/>
              <w:jc w:val="left"/>
            </w:pPr>
            <w:r>
              <w:t xml:space="preserve">Integration</w:t>
            </w:r>
          </w:p>
        </w:tc>
        <w:tc>
          <w:tcPr/>
          <w:p>
            <w:pPr>
              <w:pStyle w:val="Compact"/>
              <w:jc w:val="left"/>
            </w:pPr>
            <w:r>
              <w:t xml:space="preserve">REST API and Python SDK; AWS Marketplace; Databricks Unity Catalog integration</w:t>
            </w:r>
          </w:p>
        </w:tc>
        <w:tc>
          <w:tcPr/>
          <w:p>
            <w:pPr>
              <w:pStyle w:val="Compact"/>
              <w:jc w:val="left"/>
            </w:pPr>
            <w:r>
              <w:t xml:space="preserve">Verified fact</w:t>
            </w:r>
          </w:p>
        </w:tc>
        <w:tc>
          <w:tcPr/>
          <w:p>
            <w:pPr>
              <w:pStyle w:val="Compact"/>
              <w:jc w:val="left"/>
            </w:pPr>
            <w:r>
              <w:t xml:space="preserve">A7-S062, A7-S029, A7-S017</w:t>
            </w:r>
          </w:p>
        </w:tc>
      </w:tr>
      <w:tr>
        <w:tc>
          <w:tcPr/>
          <w:p>
            <w:pPr>
              <w:pStyle w:val="Compact"/>
              <w:jc w:val="left"/>
            </w:pPr>
            <w:r>
              <w:t xml:space="preserve">Dependencies</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Certifications</w:t>
            </w:r>
          </w:p>
        </w:tc>
        <w:tc>
          <w:tcPr/>
          <w:p>
            <w:pPr>
              <w:pStyle w:val="Compact"/>
              <w:jc w:val="left"/>
            </w:pPr>
            <w:r>
              <w:t xml:space="preserve">ISO 27001 and SOC 2 Type 2 (all five trust services criteria) announced 13 February 2025</w:t>
            </w:r>
          </w:p>
        </w:tc>
        <w:tc>
          <w:tcPr/>
          <w:p>
            <w:pPr>
              <w:pStyle w:val="Compact"/>
              <w:jc w:val="left"/>
            </w:pPr>
            <w:r>
              <w:t xml:space="preserve">Verified fact</w:t>
            </w:r>
          </w:p>
        </w:tc>
        <w:tc>
          <w:tcPr/>
          <w:p>
            <w:pPr>
              <w:pStyle w:val="Compact"/>
              <w:jc w:val="left"/>
            </w:pPr>
            <w:r>
              <w:t xml:space="preserve">A7-S030</w:t>
            </w:r>
          </w:p>
        </w:tc>
      </w:tr>
      <w:tr>
        <w:tc>
          <w:tcPr/>
          <w:p>
            <w:pPr>
              <w:pStyle w:val="Compact"/>
              <w:jc w:val="left"/>
            </w:pPr>
            <w:r>
              <w:t xml:space="preserve">GDPR / residency</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Security features</w:t>
            </w:r>
          </w:p>
        </w:tc>
        <w:tc>
          <w:tcPr/>
          <w:p>
            <w:pPr>
              <w:pStyle w:val="Compact"/>
              <w:jc w:val="left"/>
            </w:pPr>
            <w:r>
              <w:t xml:space="preserve">Encryption at rest and in transit (security page)</w:t>
            </w:r>
          </w:p>
        </w:tc>
        <w:tc>
          <w:tcPr/>
          <w:p>
            <w:pPr>
              <w:pStyle w:val="Compact"/>
              <w:jc w:val="left"/>
            </w:pPr>
            <w:r>
              <w:t xml:space="preserve">Verified fact</w:t>
            </w:r>
          </w:p>
        </w:tc>
        <w:tc>
          <w:tcPr/>
          <w:p>
            <w:pPr>
              <w:pStyle w:val="Compact"/>
              <w:jc w:val="left"/>
            </w:pPr>
            <w:r>
              <w:t xml:space="preserve">A7-S030</w:t>
            </w:r>
          </w:p>
        </w:tc>
      </w:tr>
      <w:tr>
        <w:tc>
          <w:tcPr/>
          <w:p>
            <w:pPr>
              <w:pStyle w:val="Compact"/>
              <w:jc w:val="left"/>
            </w:pPr>
            <w:r>
              <w:t xml:space="preserve">Access controls</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Enterprise support</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Pricing</w:t>
            </w:r>
          </w:p>
        </w:tc>
        <w:tc>
          <w:tcPr/>
          <w:p>
            <w:pPr>
              <w:pStyle w:val="Compact"/>
              <w:jc w:val="left"/>
            </w:pPr>
            <w:r>
              <w:t xml:space="preserve">Custom/contract-based; available through AWS Marketplace private offers</w:t>
            </w:r>
          </w:p>
        </w:tc>
        <w:tc>
          <w:tcPr/>
          <w:p>
            <w:pPr>
              <w:pStyle w:val="Compact"/>
              <w:jc w:val="left"/>
            </w:pPr>
            <w:r>
              <w:t xml:space="preserve">Verified fact</w:t>
            </w:r>
          </w:p>
        </w:tc>
        <w:tc>
          <w:tcPr/>
          <w:p>
            <w:pPr>
              <w:pStyle w:val="Compact"/>
              <w:jc w:val="left"/>
            </w:pPr>
            <w:r>
              <w:t xml:space="preserve">A7-S029</w:t>
            </w:r>
          </w:p>
        </w:tc>
      </w:tr>
      <w:tr>
        <w:tc>
          <w:tcPr/>
          <w:p>
            <w:pPr>
              <w:pStyle w:val="Compact"/>
              <w:jc w:val="left"/>
            </w:pPr>
            <w:r>
              <w:t xml:space="preserve">Infrastructure cost</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Ecosystem</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Adoption signals</w:t>
            </w:r>
          </w:p>
        </w:tc>
        <w:tc>
          <w:tcPr/>
          <w:p>
            <w:pPr>
              <w:pStyle w:val="Compact"/>
              <w:jc w:val="left"/>
            </w:pPr>
            <w:r>
              <w:t xml:space="preserve">Investors include Morgan Stanley and Microsoft’s venture fund (Series B); co-contributor to OpenSSF Model Signing v1.0</w:t>
            </w:r>
          </w:p>
        </w:tc>
        <w:tc>
          <w:tcPr/>
          <w:p>
            <w:pPr>
              <w:pStyle w:val="Compact"/>
              <w:jc w:val="left"/>
            </w:pPr>
            <w:r>
              <w:t xml:space="preserve">Verified fact</w:t>
            </w:r>
          </w:p>
        </w:tc>
        <w:tc>
          <w:tcPr/>
          <w:p>
            <w:pPr>
              <w:pStyle w:val="Compact"/>
              <w:jc w:val="left"/>
            </w:pPr>
            <w:r>
              <w:t xml:space="preserve">A7-S017, A7-S040</w:t>
            </w:r>
          </w:p>
        </w:tc>
      </w:tr>
      <w:tr>
        <w:tc>
          <w:tcPr/>
          <w:p>
            <w:pPr>
              <w:pStyle w:val="Compact"/>
              <w:jc w:val="left"/>
            </w:pPr>
            <w:r>
              <w:t xml:space="preserve">Maturity</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Deployment</w:t>
            </w:r>
          </w:p>
        </w:tc>
        <w:tc>
          <w:tcPr/>
          <w:p>
            <w:pPr>
              <w:pStyle w:val="Compact"/>
              <w:jc w:val="left"/>
            </w:pPr>
            <w:r>
              <w:t xml:space="preserve">saas: Yes; managed_cloud: Not publicly verified; vpc_byoc: Yes (inside customer AWS environment with private networking); private_cloud: Not publicly verified; self_hosted: Not publicly verified; on_prem: Yes (on-prem, air-gapped or hybrid per vendor listing text)</w:t>
            </w:r>
          </w:p>
        </w:tc>
        <w:tc>
          <w:tcPr/>
          <w:p>
            <w:pPr>
              <w:pStyle w:val="Compact"/>
            </w:pPr>
          </w:p>
        </w:tc>
        <w:tc>
          <w:tcPr/>
          <w:p>
            <w:pPr>
              <w:pStyle w:val="Compact"/>
            </w:pPr>
          </w:p>
        </w:tc>
      </w:tr>
    </w:tbl>
    <w:bookmarkEnd w:id="2390"/>
    <w:bookmarkStart w:id="2407" w:name="X1eb7ea740ce15e4c6dd326071d55fdb41bd2bf8"/>
    <w:p>
      <w:pPr>
        <w:pStyle w:val="Heading2"/>
      </w:pPr>
      <w:r>
        <w:t xml:space="preserve">Check Point AI Guardrails (formerly Lakera Guard), part of the Check Point AI Defense Plane; AI Agent Security in early access (</w:t>
      </w:r>
      <w:r>
        <w:rPr>
          <w:rStyle w:val="VerbatimChar"/>
        </w:rPr>
        <w:t xml:space="preserve">C7-lakera</w:t>
      </w:r>
      <w:r>
        <w:t xml:space="preserve">)</w:t>
      </w:r>
    </w:p>
    <w:p>
      <w:pPr>
        <w:pStyle w:val="FirstParagraph"/>
      </w:pPr>
      <w:r>
        <w:rPr>
          <w:bCs/>
          <w:b/>
        </w:rPr>
        <w:t xml:space="preserve">Tier:</w:t>
      </w:r>
      <w:r>
        <w:t xml:space="preserve"> </w:t>
      </w:r>
      <w:r>
        <w:t xml:space="preserve">Tactical ·</w:t>
      </w:r>
      <w:r>
        <w:t xml:space="preserve"> </w:t>
      </w:r>
      <w:r>
        <w:rPr>
          <w:bCs/>
          <w:b/>
        </w:rPr>
        <w:t xml:space="preserve">Flags:</w:t>
      </w:r>
      <w:r>
        <w:t xml:space="preserve"> </w:t>
      </w:r>
      <w:r>
        <w:t xml:space="preserve">Acquired, Renamed ·</w:t>
      </w:r>
      <w:r>
        <w:t xml:space="preserve"> </w:t>
      </w:r>
      <w:r>
        <w:rPr>
          <w:bCs/>
          <w:b/>
        </w:rPr>
        <w:t xml:space="preserve">Original graphic label:</w:t>
      </w:r>
      <w:r>
        <w:t xml:space="preserve"> </w:t>
      </w:r>
      <w:r>
        <w:t xml:space="preserve">not in graphic</w:t>
      </w:r>
    </w:p>
    <w:p>
      <w:pPr>
        <w:pStyle w:val="BodyText"/>
      </w:pPr>
      <w:r>
        <w:rPr>
          <w:iCs/>
          <w:i/>
        </w:rPr>
        <w:t xml:space="preserve">Rationale:</w:t>
      </w:r>
      <w:r>
        <w:t xml:space="preserve"> </w:t>
      </w:r>
      <w:r>
        <w:t xml:space="preserve">Focused, self-hostable runtime detector; acquisition, renaming, proprietary API and default prompt logging keep it a replaceable component</w:t>
      </w:r>
      <w:r>
        <w:t xml:space="preserve"> </w:t>
      </w:r>
      <w:r>
        <w:rPr>
          <w:rStyle w:val="ClaimLabel"/>
        </w:rPr>
        <w:t xml:space="preserve">AJ</w:t>
      </w:r>
      <w:r>
        <w:t xml:space="preserve">.</w:t>
      </w:r>
    </w:p>
    <w:tbl>
      <w:tblPr>
        <w:tblStyle w:val="Table"/>
        <w:tblW w:type="pct" w:w="5000"/>
        <w:tblLook w:firstRow="1" w:lastRow="0" w:firstColumn="0" w:lastColumn="0" w:noHBand="0" w:noVBand="0" w:val="0020"/>
        <w:jc w:val="start"/>
      </w:tblPr>
      <w:tblGrid>
        <w:gridCol w:w="1545"/>
        <w:gridCol w:w="579"/>
        <w:gridCol w:w="5795"/>
      </w:tblGrid>
      <w:tr>
        <w:trPr>
          <w:tblHeader w:val="true"/>
        </w:trPr>
        <w:tc>
          <w:tcPr/>
          <w:p>
            <w:pPr>
              <w:pStyle w:val="Compact"/>
              <w:jc w:val="left"/>
            </w:pPr>
            <w:r>
              <w:t xml:space="preserve">Criterion</w:t>
            </w:r>
          </w:p>
        </w:tc>
        <w:tc>
          <w:tcPr/>
          <w:p>
            <w:pPr>
              <w:pStyle w:val="Compact"/>
              <w:jc w:val="right"/>
            </w:pPr>
            <w:r>
              <w:t xml:space="preserve">Score</w:t>
            </w:r>
          </w:p>
        </w:tc>
        <w:tc>
          <w:tcPr/>
          <w:p>
            <w:pPr>
              <w:pStyle w:val="Compact"/>
              <w:jc w:val="left"/>
            </w:pPr>
            <w:r>
              <w:t xml:space="preserve">Rationale</w:t>
            </w:r>
          </w:p>
        </w:tc>
      </w:tr>
      <w:tr>
        <w:tc>
          <w:tcPr/>
          <w:p>
            <w:pPr>
              <w:pStyle w:val="Compact"/>
              <w:jc w:val="left"/>
            </w:pPr>
            <w:r>
              <w:t xml:space="preserve">Technical</w:t>
            </w:r>
          </w:p>
        </w:tc>
        <w:tc>
          <w:tcPr/>
          <w:p>
            <w:pPr>
              <w:pStyle w:val="Compact"/>
              <w:jc w:val="right"/>
            </w:pPr>
            <w:r>
              <w:t xml:space="preserve">3</w:t>
            </w:r>
          </w:p>
        </w:tc>
        <w:tc>
          <w:tcPr/>
          <w:p>
            <w:pPr>
              <w:pStyle w:val="Compact"/>
              <w:jc w:val="left"/>
            </w:pPr>
            <w:r>
              <w:t xml:space="preserve">Covers runtime injection, leakage and content screening and early-access agent discovery; no supply-chain scanning or red-teaming.</w:t>
            </w:r>
          </w:p>
        </w:tc>
      </w:tr>
      <w:tr>
        <w:tc>
          <w:tcPr/>
          <w:p>
            <w:pPr>
              <w:pStyle w:val="Compact"/>
              <w:jc w:val="left"/>
            </w:pPr>
            <w:r>
              <w:t xml:space="preserve">Enterprise readiness</w:t>
            </w:r>
          </w:p>
        </w:tc>
        <w:tc>
          <w:tcPr/>
          <w:p>
            <w:pPr>
              <w:pStyle w:val="Compact"/>
              <w:jc w:val="right"/>
            </w:pPr>
            <w:r>
              <w:t xml:space="preserve">3</w:t>
            </w:r>
          </w:p>
        </w:tc>
        <w:tc>
          <w:tcPr/>
          <w:p>
            <w:pPr>
              <w:pStyle w:val="Compact"/>
              <w:jc w:val="left"/>
            </w:pPr>
            <w:r>
              <w:t xml:space="preserve">SSO, RBAC (three roles) and SIEM export verified on Enterprise (rule 7); no SCIM or SLA found, so 3.</w:t>
            </w:r>
          </w:p>
        </w:tc>
      </w:tr>
      <w:tr>
        <w:tc>
          <w:tcPr/>
          <w:p>
            <w:pPr>
              <w:pStyle w:val="Compact"/>
              <w:jc w:val="left"/>
            </w:pPr>
            <w:r>
              <w:t xml:space="preserve">Security and compliance</w:t>
            </w:r>
          </w:p>
        </w:tc>
        <w:tc>
          <w:tcPr/>
          <w:p>
            <w:pPr>
              <w:pStyle w:val="Compact"/>
              <w:jc w:val="right"/>
            </w:pPr>
            <w:r>
              <w:t xml:space="preserve">3</w:t>
            </w:r>
          </w:p>
        </w:tc>
        <w:tc>
          <w:tcPr/>
          <w:p>
            <w:pPr>
              <w:pStyle w:val="Compact"/>
              <w:jc w:val="left"/>
            </w:pPr>
            <w:r>
              <w:t xml:space="preserve">SOC 2 Type II stated in vendor docs plus encryption (B-C7-S001); no ISO 27001; anchor 3.</w:t>
            </w:r>
          </w:p>
        </w:tc>
      </w:tr>
      <w:tr>
        <w:tc>
          <w:tcPr/>
          <w:p>
            <w:pPr>
              <w:pStyle w:val="Compact"/>
              <w:jc w:val="left"/>
            </w:pPr>
            <w:r>
              <w:t xml:space="preserve">Deployment flexibility</w:t>
            </w:r>
          </w:p>
        </w:tc>
        <w:tc>
          <w:tcPr/>
          <w:p>
            <w:pPr>
              <w:pStyle w:val="Compact"/>
              <w:jc w:val="right"/>
            </w:pPr>
            <w:r>
              <w:t xml:space="preserve">4</w:t>
            </w:r>
          </w:p>
        </w:tc>
        <w:tc>
          <w:tcPr/>
          <w:p>
            <w:pPr>
              <w:pStyle w:val="Compact"/>
              <w:jc w:val="left"/>
            </w:pPr>
            <w:r>
              <w:t xml:space="preserve">SaaS, self-hosted, private cloud and on-prem; air-gap not verified.</w:t>
            </w:r>
          </w:p>
        </w:tc>
      </w:tr>
      <w:tr>
        <w:tc>
          <w:tcPr/>
          <w:p>
            <w:pPr>
              <w:pStyle w:val="Compact"/>
              <w:jc w:val="left"/>
            </w:pPr>
            <w:r>
              <w:t xml:space="preserve">Ecosystem</w:t>
            </w:r>
          </w:p>
        </w:tc>
        <w:tc>
          <w:tcPr/>
          <w:p>
            <w:pPr>
              <w:pStyle w:val="Compact"/>
              <w:jc w:val="right"/>
            </w:pPr>
            <w:r>
              <w:t xml:space="preserve">3</w:t>
            </w:r>
          </w:p>
        </w:tc>
        <w:tc>
          <w:tcPr/>
          <w:p>
            <w:pPr>
              <w:pStyle w:val="Compact"/>
              <w:jc w:val="left"/>
            </w:pPr>
            <w:r>
              <w:t xml:space="preserve">REST API and SIEM export; broader integrations not verified.</w:t>
            </w:r>
          </w:p>
        </w:tc>
      </w:tr>
      <w:tr>
        <w:tc>
          <w:tcPr/>
          <w:p>
            <w:pPr>
              <w:pStyle w:val="Compact"/>
              <w:jc w:val="left"/>
            </w:pPr>
            <w:r>
              <w:t xml:space="preserve">Reliability and maturity</w:t>
            </w:r>
          </w:p>
        </w:tc>
        <w:tc>
          <w:tcPr/>
          <w:p>
            <w:pPr>
              <w:pStyle w:val="Compact"/>
              <w:jc w:val="right"/>
            </w:pPr>
            <w:r>
              <w:t xml:space="preserve">3</w:t>
            </w:r>
          </w:p>
        </w:tc>
        <w:tc>
          <w:tcPr/>
          <w:p>
            <w:pPr>
              <w:pStyle w:val="Compact"/>
              <w:jc w:val="left"/>
            </w:pPr>
            <w:r>
              <w:t xml:space="preserve">GA product; ownership change (Check Point, 22 October 2025) and naming in flux.</w:t>
            </w:r>
          </w:p>
        </w:tc>
      </w:tr>
      <w:tr>
        <w:tc>
          <w:tcPr/>
          <w:p>
            <w:pPr>
              <w:pStyle w:val="Compact"/>
              <w:jc w:val="left"/>
            </w:pPr>
            <w:r>
              <w:t xml:space="preserve">Cost / TCO</w:t>
            </w:r>
          </w:p>
        </w:tc>
        <w:tc>
          <w:tcPr/>
          <w:p>
            <w:pPr>
              <w:pStyle w:val="Compact"/>
              <w:jc w:val="right"/>
            </w:pPr>
            <w:r>
              <w:t xml:space="preserve">3</w:t>
            </w:r>
          </w:p>
        </w:tc>
        <w:tc>
          <w:tcPr/>
          <w:p>
            <w:pPr>
              <w:pStyle w:val="Compact"/>
              <w:jc w:val="left"/>
            </w:pPr>
            <w:r>
              <w:t xml:space="preserve">Published free tier; Enterprise quote-based.</w:t>
            </w:r>
          </w:p>
        </w:tc>
      </w:tr>
      <w:tr>
        <w:tc>
          <w:tcPr/>
          <w:p>
            <w:pPr>
              <w:pStyle w:val="Compact"/>
              <w:jc w:val="left"/>
            </w:pPr>
            <w:r>
              <w:t xml:space="preserve">Lock-in / portability</w:t>
            </w:r>
          </w:p>
        </w:tc>
        <w:tc>
          <w:tcPr/>
          <w:p>
            <w:pPr>
              <w:pStyle w:val="Compact"/>
              <w:jc w:val="right"/>
            </w:pPr>
            <w:r>
              <w:t xml:space="preserve">2</w:t>
            </w:r>
          </w:p>
        </w:tc>
        <w:tc>
          <w:tcPr/>
          <w:p>
            <w:pPr>
              <w:pStyle w:val="Compact"/>
              <w:jc w:val="left"/>
            </w:pPr>
            <w:r>
              <w:t xml:space="preserve">Proprietary Guard API (base 3), reduced by 1 for the 2025 acquisition (rule 3).</w:t>
            </w:r>
          </w:p>
        </w:tc>
      </w:tr>
      <w:tr>
        <w:tc>
          <w:tcPr/>
          <w:p>
            <w:pPr>
              <w:pStyle w:val="Compact"/>
              <w:jc w:val="left"/>
            </w:pPr>
            <w:r>
              <w:rPr>
                <w:bCs/>
                <w:b/>
              </w:rPr>
              <w:t xml:space="preserve">Total (generic / FS)</w:t>
            </w:r>
          </w:p>
        </w:tc>
        <w:tc>
          <w:tcPr/>
          <w:p>
            <w:pPr>
              <w:pStyle w:val="Compact"/>
              <w:jc w:val="right"/>
            </w:pPr>
            <w:r>
              <w:rPr>
                <w:bCs/>
                <w:b/>
              </w:rPr>
              <w:t xml:space="preserve">3.10 / 3.00</w:t>
            </w:r>
          </w:p>
        </w:tc>
        <w:tc>
          <w:tcPr/>
          <w:p>
            <w:pPr>
              <w:pStyle w:val="Compact"/>
            </w:pPr>
          </w:p>
        </w:tc>
      </w:tr>
    </w:tbl>
    <w:p>
      <w:pPr>
        <w:pStyle w:val="BodyText"/>
      </w:pPr>
      <w:r>
        <w:rPr>
          <w:bCs/>
          <w:b/>
        </w:rPr>
        <w:t xml:space="preserve">Capabilities.</w:t>
      </w:r>
      <w:r>
        <w:t xml:space="preserve"> </w:t>
      </w:r>
      <w:r>
        <w:t xml:space="preserve">Runtime screening of prompts and responses through the Guard API for prompt attacks, data leakage (including PII), content violations and off-policy agent behaviour; AI Agent Security (early access from 10 April 2026) adds agent discovery and configuration risk assessment inside the Check Point AI Defense Plane</w:t>
      </w:r>
      <w:r>
        <w:t xml:space="preserve"> </w:t>
      </w:r>
      <w:r>
        <w:rPr>
          <w:rStyle w:val="ClaimLabel"/>
        </w:rPr>
        <w:t xml:space="preserve">VF</w:t>
      </w:r>
      <w:r>
        <w:rPr>
          <w:rStyle w:val="FootnoteReference"/>
        </w:rPr>
        <w:footnoteReference w:id="2391"/>
      </w:r>
      <w:r>
        <w:t xml:space="preserve">.</w:t>
      </w:r>
    </w:p>
    <w:p>
      <w:pPr>
        <w:pStyle w:val="BodyText"/>
      </w:pPr>
      <w:r>
        <w:rPr>
          <w:bCs/>
          <w:b/>
        </w:rPr>
        <w:t xml:space="preserve">Strengths</w:t>
      </w:r>
    </w:p>
    <w:p>
      <w:pPr>
        <w:numPr>
          <w:ilvl w:val="0"/>
          <w:numId w:val="1529"/>
        </w:numPr>
        <w:pStyle w:val="Compact"/>
      </w:pPr>
      <w:r>
        <w:t xml:space="preserve">Self-hostable on-premises or in a private cloud, with EU residency on SaaS</w:t>
      </w:r>
      <w:r>
        <w:t xml:space="preserve"> </w:t>
      </w:r>
      <w:r>
        <w:rPr>
          <w:rStyle w:val="ClaimLabel"/>
        </w:rPr>
        <w:t xml:space="preserve">VF</w:t>
      </w:r>
      <w:r>
        <w:rPr>
          <w:rStyle w:val="FootnoteReference"/>
        </w:rPr>
        <w:footnoteReference w:id="2394"/>
      </w:r>
    </w:p>
    <w:p>
      <w:pPr>
        <w:numPr>
          <w:ilvl w:val="0"/>
          <w:numId w:val="1529"/>
        </w:numPr>
        <w:pStyle w:val="Compact"/>
      </w:pPr>
      <w:r>
        <w:t xml:space="preserve">SOC 2 Type II stated in vendor docs; encryption at rest and in transit</w:t>
      </w:r>
      <w:r>
        <w:t xml:space="preserve"> </w:t>
      </w:r>
      <w:r>
        <w:rPr>
          <w:rStyle w:val="ClaimLabel"/>
        </w:rPr>
        <w:t xml:space="preserve">VF</w:t>
      </w:r>
      <w:r>
        <w:rPr>
          <w:rStyle w:val="FootnoteReference"/>
        </w:rPr>
        <w:footnoteReference w:id="2397"/>
      </w:r>
    </w:p>
    <w:p>
      <w:pPr>
        <w:numPr>
          <w:ilvl w:val="0"/>
          <w:numId w:val="1529"/>
        </w:numPr>
        <w:pStyle w:val="Compact"/>
      </w:pPr>
      <w:r>
        <w:t xml:space="preserve">SSO, RBAC and SIEM export on Enterprise</w:t>
      </w:r>
      <w:r>
        <w:t xml:space="preserve"> </w:t>
      </w:r>
      <w:r>
        <w:rPr>
          <w:rStyle w:val="ClaimLabel"/>
        </w:rPr>
        <w:t xml:space="preserve">VF</w:t>
      </w:r>
      <w:r>
        <w:rPr>
          <w:rStyle w:val="FootnoteReference"/>
        </w:rPr>
        <w:footnoteReference w:id="2398"/>
      </w:r>
    </w:p>
    <w:p>
      <w:pPr>
        <w:numPr>
          <w:ilvl w:val="0"/>
          <w:numId w:val="1529"/>
        </w:numPr>
        <w:pStyle w:val="Compact"/>
      </w:pPr>
      <w:r>
        <w:t xml:space="preserve">Free Community tier for evaluation (10,000 requests/month)</w:t>
      </w:r>
      <w:r>
        <w:t xml:space="preserve"> </w:t>
      </w:r>
      <w:r>
        <w:rPr>
          <w:rStyle w:val="ClaimLabel"/>
        </w:rPr>
        <w:t xml:space="preserve">VF</w:t>
      </w:r>
      <w:r>
        <w:rPr>
          <w:rStyle w:val="FootnoteReference"/>
        </w:rPr>
        <w:footnoteReference w:id="2399"/>
      </w:r>
    </w:p>
    <w:p>
      <w:pPr>
        <w:pStyle w:val="FirstParagraph"/>
      </w:pPr>
      <w:r>
        <w:rPr>
          <w:bCs/>
          <w:b/>
        </w:rPr>
        <w:t xml:space="preserve">Limitations and risks</w:t>
      </w:r>
    </w:p>
    <w:p>
      <w:pPr>
        <w:numPr>
          <w:ilvl w:val="0"/>
          <w:numId w:val="1530"/>
        </w:numPr>
        <w:pStyle w:val="Compact"/>
      </w:pPr>
      <w:r>
        <w:t xml:space="preserve">Acquired by Check Point (completed 22 October 2025); naming in flux between Lakera and Check Point</w:t>
      </w:r>
      <w:r>
        <w:t xml:space="preserve"> </w:t>
      </w:r>
      <w:r>
        <w:rPr>
          <w:rStyle w:val="ClaimLabel"/>
        </w:rPr>
        <w:t xml:space="preserve">VF</w:t>
      </w:r>
      <w:r>
        <w:rPr>
          <w:rStyle w:val="FootnoteReference"/>
        </w:rPr>
        <w:footnoteReference w:id="2400"/>
      </w:r>
    </w:p>
    <w:p>
      <w:pPr>
        <w:numPr>
          <w:ilvl w:val="0"/>
          <w:numId w:val="1530"/>
        </w:numPr>
        <w:pStyle w:val="Compact"/>
      </w:pPr>
      <w:r>
        <w:t xml:space="preserve">Dashboard records all prompts and model outputs by default</w:t>
      </w:r>
      <w:r>
        <w:t xml:space="preserve"> </w:t>
      </w:r>
      <w:r>
        <w:rPr>
          <w:rStyle w:val="ClaimLabel"/>
        </w:rPr>
        <w:t xml:space="preserve">VF</w:t>
      </w:r>
      <w:r>
        <w:rPr>
          <w:rStyle w:val="FootnoteReference"/>
        </w:rPr>
        <w:footnoteReference w:id="2404"/>
      </w:r>
    </w:p>
    <w:p>
      <w:pPr>
        <w:numPr>
          <w:ilvl w:val="0"/>
          <w:numId w:val="1530"/>
        </w:numPr>
        <w:pStyle w:val="Compact"/>
      </w:pPr>
      <w:r>
        <w:t xml:space="preserve">No ISO 27001 certificate found</w:t>
      </w:r>
      <w:r>
        <w:t xml:space="preserve"> </w:t>
      </w:r>
      <w:r>
        <w:rPr>
          <w:rStyle w:val="ClaimLabel"/>
        </w:rPr>
        <w:t xml:space="preserve">VF</w:t>
      </w:r>
      <w:r>
        <w:rPr>
          <w:rStyle w:val="FootnoteReference"/>
        </w:rPr>
        <w:footnoteReference w:id="2405"/>
      </w:r>
    </w:p>
    <w:p>
      <w:pPr>
        <w:numPr>
          <w:ilvl w:val="0"/>
          <w:numId w:val="1530"/>
        </w:numPr>
        <w:pStyle w:val="Compact"/>
      </w:pPr>
      <w:r>
        <w:t xml:space="preserve">Proprietary Guard API; no supply-chain scanning or red-teaming in the product</w:t>
      </w:r>
      <w:r>
        <w:t xml:space="preserve"> </w:t>
      </w:r>
      <w:r>
        <w:rPr>
          <w:rStyle w:val="ClaimLabel"/>
        </w:rPr>
        <w:t xml:space="preserve">VF</w:t>
      </w:r>
      <w:r>
        <w:rPr>
          <w:rStyle w:val="FootnoteReference"/>
        </w:rPr>
        <w:footnoteReference w:id="2406"/>
      </w:r>
      <w:r>
        <w:t xml:space="preserve"> </w:t>
      </w:r>
      <w:r>
        <w:rPr>
          <w:rStyle w:val="ClaimLabel"/>
        </w:rPr>
        <w:t xml:space="preserve">AJ</w:t>
      </w:r>
    </w:p>
    <w:p>
      <w:pPr>
        <w:pStyle w:val="FirstParagraph"/>
      </w:pPr>
      <w:r>
        <w:rPr>
          <w:bCs/>
          <w:b/>
        </w:rPr>
        <w:t xml:space="preserve">Choose when</w:t>
      </w:r>
    </w:p>
    <w:p>
      <w:pPr>
        <w:numPr>
          <w:ilvl w:val="0"/>
          <w:numId w:val="1531"/>
        </w:numPr>
        <w:pStyle w:val="Compact"/>
      </w:pPr>
      <w:r>
        <w:t xml:space="preserve">You need a self-hostable runtime injection and leakage detector</w:t>
      </w:r>
      <w:r>
        <w:t xml:space="preserve"> </w:t>
      </w:r>
      <w:r>
        <w:rPr>
          <w:rStyle w:val="ClaimLabel"/>
        </w:rPr>
        <w:t xml:space="preserve">AJ</w:t>
      </w:r>
    </w:p>
    <w:p>
      <w:pPr>
        <w:numPr>
          <w:ilvl w:val="0"/>
          <w:numId w:val="1531"/>
        </w:numPr>
        <w:pStyle w:val="Compact"/>
      </w:pPr>
      <w:r>
        <w:t xml:space="preserve">Check Point is already your security standard</w:t>
      </w:r>
      <w:r>
        <w:t xml:space="preserve"> </w:t>
      </w:r>
      <w:r>
        <w:rPr>
          <w:rStyle w:val="ClaimLabel"/>
        </w:rPr>
        <w:t xml:space="preserve">AJ</w:t>
      </w:r>
    </w:p>
    <w:p>
      <w:pPr>
        <w:pStyle w:val="FirstParagraph"/>
      </w:pPr>
      <w:r>
        <w:rPr>
          <w:bCs/>
          <w:b/>
        </w:rPr>
        <w:t xml:space="preserve">Avoid when</w:t>
      </w:r>
    </w:p>
    <w:p>
      <w:pPr>
        <w:numPr>
          <w:ilvl w:val="0"/>
          <w:numId w:val="1532"/>
        </w:numPr>
        <w:pStyle w:val="Compact"/>
      </w:pPr>
      <w:r>
        <w:t xml:space="preserve">You need model scanning or red-teaming from the same product</w:t>
      </w:r>
      <w:r>
        <w:t xml:space="preserve"> </w:t>
      </w:r>
      <w:r>
        <w:rPr>
          <w:rStyle w:val="ClaimLabel"/>
        </w:rPr>
        <w:t xml:space="preserve">AJ</w:t>
      </w:r>
    </w:p>
    <w:p>
      <w:pPr>
        <w:numPr>
          <w:ilvl w:val="0"/>
          <w:numId w:val="1532"/>
        </w:numPr>
        <w:pStyle w:val="Compact"/>
      </w:pPr>
      <w:r>
        <w:t xml:space="preserve">You cannot control the detector’s own prompt logging and retention</w:t>
      </w:r>
      <w:r>
        <w:t xml:space="preserve"> </w:t>
      </w:r>
      <w:r>
        <w:rPr>
          <w:rStyle w:val="ClaimLabel"/>
        </w:rPr>
        <w:t xml:space="preserve">AJ</w:t>
      </w:r>
    </w:p>
    <w:p>
      <w:pPr>
        <w:pStyle w:val="FirstParagraph"/>
      </w:pPr>
      <w:r>
        <w:rPr>
          <w:bCs/>
          <w:b/>
        </w:rPr>
        <w:t xml:space="preserve">Nearest competitors:</w:t>
      </w:r>
      <w:r>
        <w:t xml:space="preserve"> </w:t>
      </w:r>
      <w:r>
        <w:t xml:space="preserve">C7-prisma-airs, C7-hiddenlayer</w:t>
      </w:r>
    </w:p>
    <w:p>
      <w:pPr>
        <w:pStyle w:val="BodyText"/>
      </w:pPr>
      <w:r>
        <w:rPr>
          <w:bCs/>
          <w:b/>
        </w:rPr>
        <w:t xml:space="preserve">Regulated-FS note.</w:t>
      </w:r>
      <w:r>
        <w:t xml:space="preserve"> </w:t>
      </w:r>
      <w:r>
        <w:t xml:space="preserve">Self-host for client data or switch off default prompt logging and align retention to the records policy; refresh due diligence after the change of control</w:t>
      </w:r>
      <w:r>
        <w:t xml:space="preserve"> </w:t>
      </w:r>
      <w:r>
        <w:rPr>
          <w:rStyle w:val="ClaimLabel"/>
        </w:rPr>
        <w:t xml:space="preserve">Rec</w:t>
      </w:r>
      <w:r>
        <w:t xml:space="preserve">.</w:t>
      </w:r>
    </w:p>
    <w:p>
      <w:pPr>
        <w:pStyle w:val="BodyText"/>
      </w:pPr>
      <w:r>
        <w:rPr>
          <w:bCs/>
          <w:b/>
        </w:rPr>
        <w:t xml:space="preserve">Facts (as of 2026-10-08)</w:t>
      </w:r>
    </w:p>
    <w:tbl>
      <w:tblPr>
        <w:tblStyle w:val="Table"/>
        <w:tblW w:type="pct" w:w="5000"/>
        <w:tblLook w:firstRow="1" w:lastRow="0" w:firstColumn="0" w:lastColumn="0" w:noHBand="0" w:noVBand="0" w:val="0020"/>
        <w:jc w:val="start"/>
      </w:tblPr>
      <w:tblGrid>
        <w:gridCol w:w="1485"/>
        <w:gridCol w:w="4290"/>
        <w:gridCol w:w="1320"/>
        <w:gridCol w:w="825"/>
      </w:tblGrid>
      <w:tr>
        <w:trPr>
          <w:tblHeader w:val="true"/>
        </w:trPr>
        <w:tc>
          <w:tcPr/>
          <w:p>
            <w:pPr>
              <w:pStyle w:val="Compact"/>
              <w:jc w:val="left"/>
            </w:pPr>
            <w:r>
              <w:t xml:space="preserve">Field</w:t>
            </w:r>
          </w:p>
        </w:tc>
        <w:tc>
          <w:tcPr/>
          <w:p>
            <w:pPr>
              <w:pStyle w:val="Compact"/>
              <w:jc w:val="left"/>
            </w:pPr>
            <w:r>
              <w:t xml:space="preserve">Value</w:t>
            </w:r>
          </w:p>
        </w:tc>
        <w:tc>
          <w:tcPr/>
          <w:p>
            <w:pPr>
              <w:pStyle w:val="Compact"/>
              <w:jc w:val="left"/>
            </w:pPr>
            <w:r>
              <w:t xml:space="preserve">Label</w:t>
            </w:r>
          </w:p>
        </w:tc>
        <w:tc>
          <w:tcPr/>
          <w:p>
            <w:pPr>
              <w:pStyle w:val="Compact"/>
              <w:jc w:val="left"/>
            </w:pPr>
            <w:r>
              <w:t xml:space="preserve">Sources</w:t>
            </w:r>
          </w:p>
        </w:tc>
      </w:tr>
      <w:tr>
        <w:tc>
          <w:tcPr/>
          <w:p>
            <w:pPr>
              <w:pStyle w:val="Compact"/>
              <w:jc w:val="left"/>
            </w:pPr>
            <w:r>
              <w:t xml:space="preserve">Company</w:t>
            </w:r>
          </w:p>
        </w:tc>
        <w:tc>
          <w:tcPr/>
          <w:p>
            <w:pPr>
              <w:pStyle w:val="Compact"/>
              <w:jc w:val="left"/>
            </w:pPr>
            <w:r>
              <w:t xml:space="preserve">Check Point Software Technologies (acquired Lakera AI AG, Zurich)</w:t>
            </w:r>
          </w:p>
        </w:tc>
        <w:tc>
          <w:tcPr/>
          <w:p>
            <w:pPr>
              <w:pStyle w:val="Compact"/>
              <w:jc w:val="left"/>
            </w:pPr>
            <w:r>
              <w:t xml:space="preserve">Verified fact</w:t>
            </w:r>
          </w:p>
        </w:tc>
        <w:tc>
          <w:tcPr/>
          <w:p>
            <w:pPr>
              <w:pStyle w:val="Compact"/>
              <w:jc w:val="left"/>
            </w:pPr>
            <w:r>
              <w:t xml:space="preserve">A7-S012, A7-S013</w:t>
            </w:r>
          </w:p>
        </w:tc>
      </w:tr>
      <w:tr>
        <w:tc>
          <w:tcPr/>
          <w:p>
            <w:pPr>
              <w:pStyle w:val="Compact"/>
              <w:jc w:val="left"/>
            </w:pPr>
            <w:r>
              <w:t xml:space="preserve">Category</w:t>
            </w:r>
          </w:p>
        </w:tc>
        <w:tc>
          <w:tcPr/>
          <w:p>
            <w:pPr>
              <w:pStyle w:val="Compact"/>
              <w:jc w:val="left"/>
            </w:pPr>
            <w:r>
              <w:t xml:space="preserve">AI runtime security: prompt-attack, data-leakage and policy guardrails for LLM apps and agents</w:t>
            </w:r>
          </w:p>
        </w:tc>
        <w:tc>
          <w:tcPr/>
          <w:p>
            <w:pPr>
              <w:pStyle w:val="Compact"/>
              <w:jc w:val="left"/>
            </w:pPr>
            <w:r>
              <w:t xml:space="preserve">Verified fact</w:t>
            </w:r>
          </w:p>
        </w:tc>
        <w:tc>
          <w:tcPr/>
          <w:p>
            <w:pPr>
              <w:pStyle w:val="Compact"/>
              <w:jc w:val="left"/>
            </w:pPr>
            <w:r>
              <w:t xml:space="preserve">A7-S025</w:t>
            </w:r>
          </w:p>
        </w:tc>
      </w:tr>
      <w:tr>
        <w:tc>
          <w:tcPr/>
          <w:p>
            <w:pPr>
              <w:pStyle w:val="Compact"/>
              <w:jc w:val="left"/>
            </w:pPr>
            <w:r>
              <w:t xml:space="preserve">Version / lineup</w:t>
            </w:r>
          </w:p>
        </w:tc>
        <w:tc>
          <w:tcPr/>
          <w:p>
            <w:pPr>
              <w:pStyle w:val="Compact"/>
              <w:jc w:val="left"/>
            </w:pPr>
            <w:r>
              <w:t xml:space="preserve">AI Guardrails (runtime, Guard API; standalone tier available); AI Agent Security (early access from 10 April 2026); umbrella</w:t>
            </w:r>
            <w:r>
              <w:t xml:space="preserve"> </w:t>
            </w:r>
            <w:r>
              <w:t xml:space="preserve">‘</w:t>
            </w:r>
            <w:r>
              <w:t xml:space="preserve">Check Point AI Defense Plane</w:t>
            </w:r>
            <w:r>
              <w:t xml:space="preserve">’</w:t>
            </w:r>
            <w:r>
              <w:t xml:space="preserve"> </w:t>
            </w:r>
            <w:r>
              <w:t xml:space="preserve">launched 23 March 2026</w:t>
            </w:r>
          </w:p>
        </w:tc>
        <w:tc>
          <w:tcPr/>
          <w:p>
            <w:pPr>
              <w:pStyle w:val="Compact"/>
              <w:jc w:val="left"/>
            </w:pPr>
            <w:r>
              <w:t xml:space="preserve">Verified fact</w:t>
            </w:r>
          </w:p>
        </w:tc>
        <w:tc>
          <w:tcPr/>
          <w:p>
            <w:pPr>
              <w:pStyle w:val="Compact"/>
              <w:jc w:val="left"/>
            </w:pPr>
            <w:r>
              <w:t xml:space="preserve">A7-S025, A7-S026</w:t>
            </w:r>
          </w:p>
        </w:tc>
      </w:tr>
      <w:tr>
        <w:tc>
          <w:tcPr/>
          <w:p>
            <w:pPr>
              <w:pStyle w:val="Compact"/>
              <w:jc w:val="left"/>
            </w:pPr>
            <w:r>
              <w:t xml:space="preserve">Licence</w:t>
            </w:r>
          </w:p>
        </w:tc>
        <w:tc>
          <w:tcPr/>
          <w:p>
            <w:pPr>
              <w:pStyle w:val="Compact"/>
              <w:jc w:val="left"/>
            </w:pPr>
            <w:r>
              <w:t xml:space="preserve">Proprietary (SaaS and self-hosted licence)</w:t>
            </w:r>
          </w:p>
        </w:tc>
        <w:tc>
          <w:tcPr/>
          <w:p>
            <w:pPr>
              <w:pStyle w:val="Compact"/>
              <w:jc w:val="left"/>
            </w:pPr>
            <w:r>
              <w:t xml:space="preserve">Verified fact</w:t>
            </w:r>
          </w:p>
        </w:tc>
        <w:tc>
          <w:tcPr/>
          <w:p>
            <w:pPr>
              <w:pStyle w:val="Compact"/>
              <w:jc w:val="left"/>
            </w:pPr>
            <w:r>
              <w:t xml:space="preserve">A7-S023, A7-S024</w:t>
            </w:r>
          </w:p>
        </w:tc>
      </w:tr>
      <w:tr>
        <w:tc>
          <w:tcPr/>
          <w:p>
            <w:pPr>
              <w:pStyle w:val="Compact"/>
              <w:jc w:val="left"/>
            </w:pPr>
            <w:r>
              <w:t xml:space="preserve">Status events</w:t>
            </w:r>
          </w:p>
        </w:tc>
        <w:tc>
          <w:tcPr/>
          <w:p>
            <w:pPr>
              <w:pStyle w:val="Compact"/>
              <w:jc w:val="left"/>
            </w:pPr>
            <w:r>
              <w:t xml:space="preserve">16 September 2025: Check Point announced agreement to acquire Lakera (value not disclosed; reported c. US$300 million); 22 October 2025: completion (confirmed in Check Point Q3 2025 results); completion press release circulated 11 November 2025; FY2025 20-F reportedly gives consideration of about US$201.8m (second-hand); 23 March 2026: Check Point AI Defense Plane launched; 10 April 2026: AI Agent Security in early access</w:t>
            </w:r>
          </w:p>
        </w:tc>
        <w:tc>
          <w:tcPr/>
          <w:p>
            <w:pPr>
              <w:pStyle w:val="Compact"/>
              <w:jc w:val="left"/>
            </w:pPr>
            <w:r>
              <w:t xml:space="preserve">Verified fact</w:t>
            </w:r>
          </w:p>
        </w:tc>
        <w:tc>
          <w:tcPr/>
          <w:p>
            <w:pPr>
              <w:pStyle w:val="Compact"/>
              <w:jc w:val="left"/>
            </w:pPr>
            <w:r>
              <w:t xml:space="preserve">A7-S012, A7-S013, A7-S026, A7-S025, V2-S038, V2-S067</w:t>
            </w:r>
          </w:p>
        </w:tc>
      </w:tr>
      <w:tr>
        <w:tc>
          <w:tcPr/>
          <w:p>
            <w:pPr>
              <w:pStyle w:val="Compact"/>
              <w:jc w:val="left"/>
            </w:pPr>
            <w:r>
              <w:t xml:space="preserve">Strategic direction</w:t>
            </w:r>
          </w:p>
        </w:tc>
        <w:tc>
          <w:tcPr/>
          <w:p>
            <w:pPr>
              <w:pStyle w:val="Compact"/>
              <w:jc w:val="left"/>
            </w:pPr>
            <w:r>
              <w:t xml:space="preserve">Check Point uses Lakera as the foundation of its Global Center of Excellence for AI Security, with Zurich as global AI security R&amp;D centre; extending from guardrails to agent discovery, configuration risk assessment and runtime protection</w:t>
            </w:r>
          </w:p>
        </w:tc>
        <w:tc>
          <w:tcPr/>
          <w:p>
            <w:pPr>
              <w:pStyle w:val="Compact"/>
              <w:jc w:val="left"/>
            </w:pPr>
            <w:r>
              <w:t xml:space="preserve">Verified fact</w:t>
            </w:r>
          </w:p>
        </w:tc>
        <w:tc>
          <w:tcPr/>
          <w:p>
            <w:pPr>
              <w:pStyle w:val="Compact"/>
              <w:jc w:val="left"/>
            </w:pPr>
            <w:r>
              <w:t xml:space="preserve">A7-S012, A7-S025</w:t>
            </w:r>
          </w:p>
        </w:tc>
      </w:tr>
      <w:tr>
        <w:tc>
          <w:tcPr/>
          <w:p>
            <w:pPr>
              <w:pStyle w:val="Compact"/>
              <w:jc w:val="left"/>
            </w:pPr>
            <w:r>
              <w:t xml:space="preserve">What it does</w:t>
            </w:r>
          </w:p>
        </w:tc>
        <w:tc>
          <w:tcPr/>
          <w:p>
            <w:pPr>
              <w:pStyle w:val="Compact"/>
              <w:jc w:val="left"/>
            </w:pPr>
            <w:r>
              <w:t xml:space="preserve">Screens prompts and responses through the Guard API to detect prompt attacks, data leakage (including PII), content violations and off-policy agent behaviour. AI Agent Security adds discovery of agents across platforms and risk assessment of their configuration.</w:t>
            </w:r>
          </w:p>
        </w:tc>
        <w:tc>
          <w:tcPr/>
          <w:p>
            <w:pPr>
              <w:pStyle w:val="Compact"/>
              <w:jc w:val="left"/>
            </w:pPr>
            <w:r>
              <w:t xml:space="preserve">Verified fact</w:t>
            </w:r>
          </w:p>
        </w:tc>
        <w:tc>
          <w:tcPr/>
          <w:p>
            <w:pPr>
              <w:pStyle w:val="Compact"/>
              <w:jc w:val="left"/>
            </w:pPr>
            <w:r>
              <w:t xml:space="preserve">A7-S025</w:t>
            </w:r>
          </w:p>
        </w:tc>
      </w:tr>
      <w:tr>
        <w:tc>
          <w:tcPr/>
          <w:p>
            <w:pPr>
              <w:pStyle w:val="Compact"/>
              <w:jc w:val="left"/>
            </w:pPr>
            <w:r>
              <w:t xml:space="preserve">Stack position</w:t>
            </w:r>
          </w:p>
        </w:tc>
        <w:tc>
          <w:tcPr/>
          <w:p>
            <w:pPr>
              <w:pStyle w:val="Compact"/>
              <w:jc w:val="left"/>
            </w:pPr>
            <w:r>
              <w:t xml:space="preserve">Runtime control at the application/gateway boundary (C7, overlapping C2 guardrails and C3 DLP)</w:t>
            </w:r>
          </w:p>
        </w:tc>
        <w:tc>
          <w:tcPr/>
          <w:p>
            <w:pPr>
              <w:pStyle w:val="Compact"/>
              <w:jc w:val="left"/>
            </w:pPr>
            <w:r>
              <w:t xml:space="preserve">Verified fact</w:t>
            </w:r>
          </w:p>
        </w:tc>
        <w:tc>
          <w:tcPr/>
          <w:p>
            <w:pPr>
              <w:pStyle w:val="Compact"/>
              <w:jc w:val="left"/>
            </w:pPr>
            <w:r>
              <w:t xml:space="preserve">A7-S025</w:t>
            </w:r>
          </w:p>
        </w:tc>
      </w:tr>
      <w:tr>
        <w:tc>
          <w:tcPr/>
          <w:p>
            <w:pPr>
              <w:pStyle w:val="Compact"/>
              <w:jc w:val="left"/>
            </w:pPr>
            <w:r>
              <w:t xml:space="preserve">Integration</w:t>
            </w:r>
          </w:p>
        </w:tc>
        <w:tc>
          <w:tcPr/>
          <w:p>
            <w:pPr>
              <w:pStyle w:val="Compact"/>
              <w:jc w:val="left"/>
            </w:pPr>
            <w:r>
              <w:t xml:space="preserve">Guard REST API; SIEM log export (Enterprise)</w:t>
            </w:r>
          </w:p>
        </w:tc>
        <w:tc>
          <w:tcPr/>
          <w:p>
            <w:pPr>
              <w:pStyle w:val="Compact"/>
              <w:jc w:val="left"/>
            </w:pPr>
            <w:r>
              <w:t xml:space="preserve">Verified fact</w:t>
            </w:r>
          </w:p>
        </w:tc>
        <w:tc>
          <w:tcPr/>
          <w:p>
            <w:pPr>
              <w:pStyle w:val="Compact"/>
              <w:jc w:val="left"/>
            </w:pPr>
            <w:r>
              <w:t xml:space="preserve">A7-S025, A7-S024</w:t>
            </w:r>
          </w:p>
        </w:tc>
      </w:tr>
      <w:tr>
        <w:tc>
          <w:tcPr/>
          <w:p>
            <w:pPr>
              <w:pStyle w:val="Compact"/>
              <w:jc w:val="left"/>
            </w:pPr>
            <w:r>
              <w:t xml:space="preserve">Dependencies</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Certifications</w:t>
            </w:r>
          </w:p>
        </w:tc>
        <w:tc>
          <w:tcPr/>
          <w:p>
            <w:pPr>
              <w:pStyle w:val="Compact"/>
              <w:jc w:val="left"/>
            </w:pPr>
            <w:r>
              <w:t xml:space="preserve">Claims SOC 2 and GDPR compliance (pricing page; SOC 2 type not stated)</w:t>
            </w:r>
          </w:p>
        </w:tc>
        <w:tc>
          <w:tcPr/>
          <w:p>
            <w:pPr>
              <w:pStyle w:val="Compact"/>
              <w:jc w:val="left"/>
            </w:pPr>
            <w:r>
              <w:t xml:space="preserve">Verified fact</w:t>
            </w:r>
          </w:p>
        </w:tc>
        <w:tc>
          <w:tcPr/>
          <w:p>
            <w:pPr>
              <w:pStyle w:val="Compact"/>
              <w:jc w:val="left"/>
            </w:pPr>
            <w:r>
              <w:t xml:space="preserve">A7-S023</w:t>
            </w:r>
          </w:p>
        </w:tc>
      </w:tr>
      <w:tr>
        <w:tc>
          <w:tcPr/>
          <w:p>
            <w:pPr>
              <w:pStyle w:val="Compact"/>
              <w:jc w:val="left"/>
            </w:pPr>
            <w:r>
              <w:t xml:space="preserve">GDPR / residency</w:t>
            </w:r>
          </w:p>
        </w:tc>
        <w:tc>
          <w:tcPr/>
          <w:p>
            <w:pPr>
              <w:pStyle w:val="Compact"/>
              <w:jc w:val="left"/>
            </w:pPr>
            <w:r>
              <w:t xml:space="preserve">Community tier: EU data residency; Enterprise: EU or US; self-hosting for full residency control</w:t>
            </w:r>
          </w:p>
        </w:tc>
        <w:tc>
          <w:tcPr/>
          <w:p>
            <w:pPr>
              <w:pStyle w:val="Compact"/>
              <w:jc w:val="left"/>
            </w:pPr>
            <w:r>
              <w:t xml:space="preserve">Verified fact</w:t>
            </w:r>
          </w:p>
        </w:tc>
        <w:tc>
          <w:tcPr/>
          <w:p>
            <w:pPr>
              <w:pStyle w:val="Compact"/>
              <w:jc w:val="left"/>
            </w:pPr>
            <w:r>
              <w:t xml:space="preserve">A7-S023, A7-S024</w:t>
            </w:r>
          </w:p>
        </w:tc>
      </w:tr>
      <w:tr>
        <w:tc>
          <w:tcPr/>
          <w:p>
            <w:pPr>
              <w:pStyle w:val="Compact"/>
              <w:jc w:val="left"/>
            </w:pPr>
            <w:r>
              <w:t xml:space="preserve">Security features</w:t>
            </w:r>
          </w:p>
        </w:tc>
        <w:tc>
          <w:tcPr/>
          <w:p>
            <w:pPr>
              <w:pStyle w:val="Compact"/>
              <w:jc w:val="left"/>
            </w:pPr>
            <w:r>
              <w:t xml:space="preserve">Encryption in transit and at rest (pricing page)</w:t>
            </w:r>
          </w:p>
        </w:tc>
        <w:tc>
          <w:tcPr/>
          <w:p>
            <w:pPr>
              <w:pStyle w:val="Compact"/>
              <w:jc w:val="left"/>
            </w:pPr>
            <w:r>
              <w:t xml:space="preserve">Verified fact</w:t>
            </w:r>
          </w:p>
        </w:tc>
        <w:tc>
          <w:tcPr/>
          <w:p>
            <w:pPr>
              <w:pStyle w:val="Compact"/>
              <w:jc w:val="left"/>
            </w:pPr>
            <w:r>
              <w:t xml:space="preserve">A7-S023</w:t>
            </w:r>
          </w:p>
        </w:tc>
      </w:tr>
      <w:tr>
        <w:tc>
          <w:tcPr/>
          <w:p>
            <w:pPr>
              <w:pStyle w:val="Compact"/>
              <w:jc w:val="left"/>
            </w:pPr>
            <w:r>
              <w:t xml:space="preserve">Access controls</w:t>
            </w:r>
          </w:p>
        </w:tc>
        <w:tc>
          <w:tcPr/>
          <w:p>
            <w:pPr>
              <w:pStyle w:val="Compact"/>
              <w:jc w:val="left"/>
            </w:pPr>
            <w:r>
              <w:t xml:space="preserve">SSO, RBAC (three roles) and SIEM log export are Enterprise-only</w:t>
            </w:r>
          </w:p>
        </w:tc>
        <w:tc>
          <w:tcPr/>
          <w:p>
            <w:pPr>
              <w:pStyle w:val="Compact"/>
              <w:jc w:val="left"/>
            </w:pPr>
            <w:r>
              <w:t xml:space="preserve">Verified fact</w:t>
            </w:r>
          </w:p>
        </w:tc>
        <w:tc>
          <w:tcPr/>
          <w:p>
            <w:pPr>
              <w:pStyle w:val="Compact"/>
              <w:jc w:val="left"/>
            </w:pPr>
            <w:r>
              <w:t xml:space="preserve">A7-S023, A7-S024</w:t>
            </w:r>
          </w:p>
        </w:tc>
      </w:tr>
      <w:tr>
        <w:tc>
          <w:tcPr/>
          <w:p>
            <w:pPr>
              <w:pStyle w:val="Compact"/>
              <w:jc w:val="left"/>
            </w:pPr>
            <w:r>
              <w:t xml:space="preserve">Enterprise support</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Pricing</w:t>
            </w:r>
          </w:p>
        </w:tc>
        <w:tc>
          <w:tcPr/>
          <w:p>
            <w:pPr>
              <w:pStyle w:val="Compact"/>
              <w:jc w:val="left"/>
            </w:pPr>
            <w:r>
              <w:t xml:space="preserve">Community: US$0/month, 10,000 requests/month, 8k-token prompt limit, SaaS, community support; Enterprise: quote-based (as read 7 October 2026; page undated)</w:t>
            </w:r>
          </w:p>
        </w:tc>
        <w:tc>
          <w:tcPr/>
          <w:p>
            <w:pPr>
              <w:pStyle w:val="Compact"/>
              <w:jc w:val="left"/>
            </w:pPr>
            <w:r>
              <w:t xml:space="preserve">Verified fact</w:t>
            </w:r>
          </w:p>
        </w:tc>
        <w:tc>
          <w:tcPr/>
          <w:p>
            <w:pPr>
              <w:pStyle w:val="Compact"/>
              <w:jc w:val="left"/>
            </w:pPr>
            <w:r>
              <w:t xml:space="preserve">A7-S023</w:t>
            </w:r>
          </w:p>
        </w:tc>
      </w:tr>
      <w:tr>
        <w:tc>
          <w:tcPr/>
          <w:p>
            <w:pPr>
              <w:pStyle w:val="Compact"/>
              <w:jc w:val="left"/>
            </w:pPr>
            <w:r>
              <w:t xml:space="preserve">Infrastructure cost</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Ecosystem</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Adoption signals</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Maturity</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Deployment</w:t>
            </w:r>
          </w:p>
        </w:tc>
        <w:tc>
          <w:tcPr/>
          <w:p>
            <w:pPr>
              <w:pStyle w:val="Compact"/>
              <w:jc w:val="left"/>
            </w:pPr>
            <w:r>
              <w:t xml:space="preserve">saas: Yes; managed_cloud: Not publicly verified; vpc_byoc: Not publicly verified; private_cloud: Yes; self_hosted: Yes (AI Guardrails self-hosting); on_prem: Yes</w:t>
            </w:r>
          </w:p>
        </w:tc>
        <w:tc>
          <w:tcPr/>
          <w:p>
            <w:pPr>
              <w:pStyle w:val="Compact"/>
            </w:pPr>
          </w:p>
        </w:tc>
        <w:tc>
          <w:tcPr/>
          <w:p>
            <w:pPr>
              <w:pStyle w:val="Compact"/>
            </w:pPr>
          </w:p>
        </w:tc>
      </w:tr>
    </w:tbl>
    <w:bookmarkEnd w:id="2407"/>
    <w:bookmarkEnd w:id="2408"/>
    <w:bookmarkStart w:id="2497" w:name="X920553b2891d35d00e05b02b54fca0c24032a2e"/>
    <w:p>
      <w:pPr>
        <w:pStyle w:val="Heading1"/>
      </w:pPr>
      <w:r>
        <w:t xml:space="preserve">C8: Model risk, governance and auditability</w:t>
      </w:r>
    </w:p>
    <w:bookmarkStart w:id="2421" w:name="X170727bf846bdb6898dfed7fb9b4672ba4d4411"/>
    <w:p>
      <w:pPr>
        <w:pStyle w:val="Heading2"/>
      </w:pPr>
      <w:r>
        <w:t xml:space="preserve">OpenLineage (with Marquez reference implementation) (</w:t>
      </w:r>
      <w:r>
        <w:rPr>
          <w:rStyle w:val="VerbatimChar"/>
        </w:rPr>
        <w:t xml:space="preserve">C8-openlineage</w:t>
      </w:r>
      <w:r>
        <w:t xml:space="preserve">)</w:t>
      </w:r>
    </w:p>
    <w:p>
      <w:pPr>
        <w:pStyle w:val="FirstParagraph"/>
      </w:pPr>
      <w:r>
        <w:rPr>
          <w:bCs/>
          <w:b/>
        </w:rPr>
        <w:t xml:space="preserve">Tier:</w:t>
      </w:r>
      <w:r>
        <w:t xml:space="preserve"> </w:t>
      </w:r>
      <w:r>
        <w:t xml:space="preserve">Strategic ·</w:t>
      </w:r>
      <w:r>
        <w:t xml:space="preserve"> </w:t>
      </w:r>
      <w:r>
        <w:rPr>
          <w:bCs/>
          <w:b/>
        </w:rPr>
        <w:t xml:space="preserve">Flags:</w:t>
      </w:r>
      <w:r>
        <w:t xml:space="preserve"> </w:t>
      </w:r>
      <w:r>
        <w:t xml:space="preserve">none ·</w:t>
      </w:r>
      <w:r>
        <w:t xml:space="preserve"> </w:t>
      </w:r>
      <w:r>
        <w:rPr>
          <w:bCs/>
          <w:b/>
        </w:rPr>
        <w:t xml:space="preserve">Original graphic label:</w:t>
      </w:r>
      <w:r>
        <w:t xml:space="preserve"> </w:t>
      </w:r>
      <w:r>
        <w:t xml:space="preserve">not in graphic</w:t>
      </w:r>
    </w:p>
    <w:p>
      <w:pPr>
        <w:pStyle w:val="BodyText"/>
      </w:pPr>
      <w:r>
        <w:rPr>
          <w:iCs/>
          <w:i/>
        </w:rPr>
        <w:t xml:space="preserve">Rationale:</w:t>
      </w:r>
      <w:r>
        <w:t xml:space="preserve"> </w:t>
      </w:r>
      <w:r>
        <w:t xml:space="preserve">The neutral lineage interchange standard; the firm must add GenAI facets</w:t>
      </w:r>
      <w:r>
        <w:t xml:space="preserve"> </w:t>
      </w:r>
      <w:r>
        <w:rPr>
          <w:rStyle w:val="ClaimLabel"/>
        </w:rPr>
        <w:t xml:space="preserve">AJ</w:t>
      </w:r>
      <w:r>
        <w:t xml:space="preserve">.</w:t>
      </w:r>
    </w:p>
    <w:tbl>
      <w:tblPr>
        <w:tblStyle w:val="Table"/>
        <w:tblW w:type="pct" w:w="5000"/>
        <w:tblLook w:firstRow="1" w:lastRow="0" w:firstColumn="0" w:lastColumn="0" w:noHBand="0" w:noVBand="0" w:val="0020"/>
        <w:jc w:val="start"/>
      </w:tblPr>
      <w:tblGrid>
        <w:gridCol w:w="1545"/>
        <w:gridCol w:w="579"/>
        <w:gridCol w:w="5795"/>
      </w:tblGrid>
      <w:tr>
        <w:trPr>
          <w:tblHeader w:val="true"/>
        </w:trPr>
        <w:tc>
          <w:tcPr/>
          <w:p>
            <w:pPr>
              <w:pStyle w:val="Compact"/>
              <w:jc w:val="left"/>
            </w:pPr>
            <w:r>
              <w:t xml:space="preserve">Criterion</w:t>
            </w:r>
          </w:p>
        </w:tc>
        <w:tc>
          <w:tcPr/>
          <w:p>
            <w:pPr>
              <w:pStyle w:val="Compact"/>
              <w:jc w:val="right"/>
            </w:pPr>
            <w:r>
              <w:t xml:space="preserve">Score</w:t>
            </w:r>
          </w:p>
        </w:tc>
        <w:tc>
          <w:tcPr/>
          <w:p>
            <w:pPr>
              <w:pStyle w:val="Compact"/>
              <w:jc w:val="left"/>
            </w:pPr>
            <w:r>
              <w:t xml:space="preserve">Rationale</w:t>
            </w:r>
          </w:p>
        </w:tc>
      </w:tr>
      <w:tr>
        <w:tc>
          <w:tcPr/>
          <w:p>
            <w:pPr>
              <w:pStyle w:val="Compact"/>
              <w:jc w:val="left"/>
            </w:pPr>
            <w:r>
              <w:t xml:space="preserve">Technical</w:t>
            </w:r>
          </w:p>
        </w:tc>
        <w:tc>
          <w:tcPr/>
          <w:p>
            <w:pPr>
              <w:pStyle w:val="Compact"/>
              <w:jc w:val="right"/>
            </w:pPr>
            <w:r>
              <w:t xml:space="preserve">3</w:t>
            </w:r>
          </w:p>
        </w:tc>
        <w:tc>
          <w:tcPr/>
          <w:p>
            <w:pPr>
              <w:pStyle w:val="Compact"/>
              <w:jc w:val="left"/>
            </w:pPr>
            <w:r>
              <w:t xml:space="preserve">Competent lineage model and protocol; no GenAI facets.</w:t>
            </w:r>
          </w:p>
        </w:tc>
      </w:tr>
      <w:tr>
        <w:tc>
          <w:tcPr/>
          <w:p>
            <w:pPr>
              <w:pStyle w:val="Compact"/>
              <w:jc w:val="left"/>
            </w:pPr>
            <w:r>
              <w:t xml:space="preserve">Enterprise readiness</w:t>
            </w:r>
          </w:p>
        </w:tc>
        <w:tc>
          <w:tcPr/>
          <w:p>
            <w:pPr>
              <w:pStyle w:val="Compact"/>
              <w:jc w:val="right"/>
            </w:pPr>
            <w:r>
              <w:t xml:space="preserve">3</w:t>
            </w:r>
          </w:p>
        </w:tc>
        <w:tc>
          <w:tcPr/>
          <w:p>
            <w:pPr>
              <w:pStyle w:val="Compact"/>
              <w:jc w:val="left"/>
            </w:pPr>
            <w:r>
              <w:t xml:space="preserve">Rule 2: specification and clients inherit host controls; no commercial support verified.</w:t>
            </w:r>
          </w:p>
        </w:tc>
      </w:tr>
      <w:tr>
        <w:tc>
          <w:tcPr/>
          <w:p>
            <w:pPr>
              <w:pStyle w:val="Compact"/>
              <w:jc w:val="left"/>
            </w:pPr>
            <w:r>
              <w:t xml:space="preserve">Security and compliance</w:t>
            </w:r>
          </w:p>
        </w:tc>
        <w:tc>
          <w:tcPr/>
          <w:p>
            <w:pPr>
              <w:pStyle w:val="Compact"/>
              <w:jc w:val="right"/>
            </w:pPr>
            <w:r>
              <w:t xml:space="preserve">3</w:t>
            </w:r>
          </w:p>
        </w:tc>
        <w:tc>
          <w:tcPr/>
          <w:p>
            <w:pPr>
              <w:pStyle w:val="Compact"/>
              <w:jc w:val="left"/>
            </w:pPr>
            <w:r>
              <w:t xml:space="preserve">Rule 2 hygiene: Apache-2.0, foundation governance, monthly releases; no security policy file found.</w:t>
            </w:r>
          </w:p>
        </w:tc>
      </w:tr>
      <w:tr>
        <w:tc>
          <w:tcPr/>
          <w:p>
            <w:pPr>
              <w:pStyle w:val="Compact"/>
              <w:jc w:val="left"/>
            </w:pPr>
            <w:r>
              <w:t xml:space="preserve">Deployment flexibility</w:t>
            </w:r>
          </w:p>
        </w:tc>
        <w:tc>
          <w:tcPr/>
          <w:p>
            <w:pPr>
              <w:pStyle w:val="Compact"/>
              <w:jc w:val="right"/>
            </w:pPr>
            <w:r>
              <w:t xml:space="preserve">5</w:t>
            </w:r>
          </w:p>
        </w:tc>
        <w:tc>
          <w:tcPr/>
          <w:p>
            <w:pPr>
              <w:pStyle w:val="Compact"/>
              <w:jc w:val="left"/>
            </w:pPr>
            <w:r>
              <w:t xml:space="preserve">Self-hosted consumers anywhere; cloud lineage transports.</w:t>
            </w:r>
          </w:p>
        </w:tc>
      </w:tr>
      <w:tr>
        <w:tc>
          <w:tcPr/>
          <w:p>
            <w:pPr>
              <w:pStyle w:val="Compact"/>
              <w:jc w:val="left"/>
            </w:pPr>
            <w:r>
              <w:t xml:space="preserve">Ecosystem</w:t>
            </w:r>
          </w:p>
        </w:tc>
        <w:tc>
          <w:tcPr/>
          <w:p>
            <w:pPr>
              <w:pStyle w:val="Compact"/>
              <w:jc w:val="right"/>
            </w:pPr>
            <w:r>
              <w:t xml:space="preserve">5</w:t>
            </w:r>
          </w:p>
        </w:tc>
        <w:tc>
          <w:tcPr/>
          <w:p>
            <w:pPr>
              <w:pStyle w:val="Compact"/>
              <w:jc w:val="left"/>
            </w:pPr>
            <w:r>
              <w:t xml:space="preserve">De-facto open lineage standard across Airflow, Spark, dbt, Flink, Collibra and GCP.</w:t>
            </w:r>
          </w:p>
        </w:tc>
      </w:tr>
      <w:tr>
        <w:tc>
          <w:tcPr/>
          <w:p>
            <w:pPr>
              <w:pStyle w:val="Compact"/>
              <w:jc w:val="left"/>
            </w:pPr>
            <w:r>
              <w:t xml:space="preserve">Reliability and maturity</w:t>
            </w:r>
          </w:p>
        </w:tc>
        <w:tc>
          <w:tcPr/>
          <w:p>
            <w:pPr>
              <w:pStyle w:val="Compact"/>
              <w:jc w:val="right"/>
            </w:pPr>
            <w:r>
              <w:t xml:space="preserve">4</w:t>
            </w:r>
          </w:p>
        </w:tc>
        <w:tc>
          <w:tcPr/>
          <w:p>
            <w:pPr>
              <w:pStyle w:val="Compact"/>
              <w:jc w:val="left"/>
            </w:pPr>
            <w:r>
              <w:t xml:space="preserve">Graduate project with roughly monthly releases since 2021; Marquez slower.</w:t>
            </w:r>
          </w:p>
        </w:tc>
      </w:tr>
      <w:tr>
        <w:tc>
          <w:tcPr/>
          <w:p>
            <w:pPr>
              <w:pStyle w:val="Compact"/>
              <w:jc w:val="left"/>
            </w:pPr>
            <w:r>
              <w:t xml:space="preserve">Cost / TCO</w:t>
            </w:r>
          </w:p>
        </w:tc>
        <w:tc>
          <w:tcPr/>
          <w:p>
            <w:pPr>
              <w:pStyle w:val="Compact"/>
              <w:jc w:val="right"/>
            </w:pPr>
            <w:r>
              <w:t xml:space="preserve">4</w:t>
            </w:r>
          </w:p>
        </w:tc>
        <w:tc>
          <w:tcPr/>
          <w:p>
            <w:pPr>
              <w:pStyle w:val="Compact"/>
              <w:jc w:val="left"/>
            </w:pPr>
            <w:r>
              <w:t xml:space="preserve">Free; a backend (Marquez or catalogue) must be operated.</w:t>
            </w:r>
          </w:p>
        </w:tc>
      </w:tr>
      <w:tr>
        <w:tc>
          <w:tcPr/>
          <w:p>
            <w:pPr>
              <w:pStyle w:val="Compact"/>
              <w:jc w:val="left"/>
            </w:pPr>
            <w:r>
              <w:t xml:space="preserve">Lock-in / portability</w:t>
            </w:r>
          </w:p>
        </w:tc>
        <w:tc>
          <w:tcPr/>
          <w:p>
            <w:pPr>
              <w:pStyle w:val="Compact"/>
              <w:jc w:val="right"/>
            </w:pPr>
            <w:r>
              <w:t xml:space="preserve">5</w:t>
            </w:r>
          </w:p>
        </w:tc>
        <w:tc>
          <w:tcPr/>
          <w:p>
            <w:pPr>
              <w:pStyle w:val="Compact"/>
              <w:jc w:val="left"/>
            </w:pPr>
            <w:r>
              <w:t xml:space="preserve">Open specification, Apache-2.0, neutral governance.</w:t>
            </w:r>
          </w:p>
        </w:tc>
      </w:tr>
      <w:tr>
        <w:tc>
          <w:tcPr/>
          <w:p>
            <w:pPr>
              <w:pStyle w:val="Compact"/>
              <w:jc w:val="left"/>
            </w:pPr>
            <w:r>
              <w:rPr>
                <w:bCs/>
                <w:b/>
              </w:rPr>
              <w:t xml:space="preserve">Total (generic / FS)</w:t>
            </w:r>
          </w:p>
        </w:tc>
        <w:tc>
          <w:tcPr/>
          <w:p>
            <w:pPr>
              <w:pStyle w:val="Compact"/>
              <w:jc w:val="right"/>
            </w:pPr>
            <w:r>
              <w:rPr>
                <w:bCs/>
                <w:b/>
              </w:rPr>
              <w:t xml:space="preserve">3.80 / 3.85</w:t>
            </w:r>
          </w:p>
        </w:tc>
        <w:tc>
          <w:tcPr/>
          <w:p>
            <w:pPr>
              <w:pStyle w:val="Compact"/>
            </w:pPr>
          </w:p>
        </w:tc>
      </w:tr>
    </w:tbl>
    <w:p>
      <w:pPr>
        <w:pStyle w:val="BodyText"/>
      </w:pPr>
      <w:r>
        <w:rPr>
          <w:bCs/>
          <w:b/>
        </w:rPr>
        <w:t xml:space="preserve">Capabilities.</w:t>
      </w:r>
      <w:r>
        <w:t xml:space="preserve"> </w:t>
      </w:r>
      <w:r>
        <w:t xml:space="preserve">Open specification for runtime data-lineage metadata (run, job and dataset entities extended by facets, and an event protocol), with Python, Java and SQL clients and the Marquez reference implementation; 1.53.0 adds explicit dataset-, field- and job-level lineage facets</w:t>
      </w:r>
      <w:r>
        <w:t xml:space="preserve"> </w:t>
      </w:r>
      <w:r>
        <w:rPr>
          <w:rStyle w:val="ClaimLabel"/>
        </w:rPr>
        <w:t xml:space="preserve">VF</w:t>
      </w:r>
      <w:r>
        <w:rPr>
          <w:rStyle w:val="FootnoteReference"/>
        </w:rPr>
        <w:footnoteReference w:id="2409"/>
      </w:r>
      <w:r>
        <w:t xml:space="preserve">.</w:t>
      </w:r>
    </w:p>
    <w:p>
      <w:pPr>
        <w:pStyle w:val="BodyText"/>
      </w:pPr>
      <w:r>
        <w:rPr>
          <w:bCs/>
          <w:b/>
        </w:rPr>
        <w:t xml:space="preserve">Strengths</w:t>
      </w:r>
    </w:p>
    <w:p>
      <w:pPr>
        <w:numPr>
          <w:ilvl w:val="0"/>
          <w:numId w:val="1533"/>
        </w:numPr>
        <w:pStyle w:val="Compact"/>
      </w:pPr>
      <w:r>
        <w:t xml:space="preserve">Neutral, foundation-governed (LF AI &amp; Data Graduate) and Apache-2.0</w:t>
      </w:r>
      <w:r>
        <w:t xml:space="preserve"> </w:t>
      </w:r>
      <w:r>
        <w:rPr>
          <w:rStyle w:val="ClaimLabel"/>
        </w:rPr>
        <w:t xml:space="preserve">VF</w:t>
      </w:r>
      <w:r>
        <w:rPr>
          <w:rStyle w:val="FootnoteReference"/>
        </w:rPr>
        <w:footnoteReference w:id="2413"/>
      </w:r>
    </w:p>
    <w:p>
      <w:pPr>
        <w:numPr>
          <w:ilvl w:val="0"/>
          <w:numId w:val="1533"/>
        </w:numPr>
        <w:pStyle w:val="Compact"/>
      </w:pPr>
      <w:r>
        <w:t xml:space="preserve">Airflow provider, Spark, dbt and Flink integrations; GCP Lineage transport; Collibra integration</w:t>
      </w:r>
      <w:r>
        <w:t xml:space="preserve"> </w:t>
      </w:r>
      <w:r>
        <w:rPr>
          <w:rStyle w:val="ClaimLabel"/>
        </w:rPr>
        <w:t xml:space="preserve">VF</w:t>
      </w:r>
      <w:r>
        <w:rPr>
          <w:rStyle w:val="FootnoteReference"/>
        </w:rPr>
        <w:footnoteReference w:id="2414"/>
      </w:r>
    </w:p>
    <w:p>
      <w:pPr>
        <w:numPr>
          <w:ilvl w:val="0"/>
          <w:numId w:val="1533"/>
        </w:numPr>
        <w:pStyle w:val="Compact"/>
      </w:pPr>
      <w:r>
        <w:t xml:space="preserve">Tag facets can carry classification labels</w:t>
      </w:r>
      <w:r>
        <w:t xml:space="preserve"> </w:t>
      </w:r>
      <w:r>
        <w:rPr>
          <w:rStyle w:val="ClaimLabel"/>
        </w:rPr>
        <w:t xml:space="preserve">VF</w:t>
      </w:r>
      <w:r>
        <w:rPr>
          <w:rStyle w:val="FootnoteReference"/>
        </w:rPr>
        <w:footnoteReference w:id="2417"/>
      </w:r>
    </w:p>
    <w:p>
      <w:pPr>
        <w:pStyle w:val="FirstParagraph"/>
      </w:pPr>
      <w:r>
        <w:rPr>
          <w:bCs/>
          <w:b/>
        </w:rPr>
        <w:t xml:space="preserve">Limitations and risks</w:t>
      </w:r>
    </w:p>
    <w:p>
      <w:pPr>
        <w:numPr>
          <w:ilvl w:val="0"/>
          <w:numId w:val="1534"/>
        </w:numPr>
        <w:pStyle w:val="Compact"/>
      </w:pPr>
      <w:r>
        <w:t xml:space="preserve">No GenAI, LLM, embedding or vector facets</w:t>
      </w:r>
      <w:r>
        <w:t xml:space="preserve"> </w:t>
      </w:r>
      <w:r>
        <w:rPr>
          <w:rStyle w:val="ClaimLabel"/>
        </w:rPr>
        <w:t xml:space="preserve">VF</w:t>
      </w:r>
      <w:r>
        <w:rPr>
          <w:rStyle w:val="FootnoteReference"/>
        </w:rPr>
        <w:footnoteReference w:id="2418"/>
      </w:r>
    </w:p>
    <w:p>
      <w:pPr>
        <w:numPr>
          <w:ilvl w:val="0"/>
          <w:numId w:val="1534"/>
        </w:numPr>
        <w:pStyle w:val="Compact"/>
      </w:pPr>
      <w:r>
        <w:t xml:space="preserve">Marquez releases slowed (0.51.1, March 2025)</w:t>
      </w:r>
      <w:r>
        <w:t xml:space="preserve"> </w:t>
      </w:r>
      <w:r>
        <w:rPr>
          <w:rStyle w:val="ClaimLabel"/>
        </w:rPr>
        <w:t xml:space="preserve">VF</w:t>
      </w:r>
      <w:r>
        <w:rPr>
          <w:rStyle w:val="FootnoteReference"/>
        </w:rPr>
        <w:footnoteReference w:id="2419"/>
      </w:r>
    </w:p>
    <w:p>
      <w:pPr>
        <w:numPr>
          <w:ilvl w:val="0"/>
          <w:numId w:val="1534"/>
        </w:numPr>
        <w:pStyle w:val="Compact"/>
      </w:pPr>
      <w:r>
        <w:t xml:space="preserve">Does not capture run-time LLM calls (OTel’s job)</w:t>
      </w:r>
      <w:r>
        <w:t xml:space="preserve"> </w:t>
      </w:r>
      <w:r>
        <w:rPr>
          <w:rStyle w:val="ClaimLabel"/>
        </w:rPr>
        <w:t xml:space="preserve">AJ</w:t>
      </w:r>
    </w:p>
    <w:p>
      <w:pPr>
        <w:pStyle w:val="FirstParagraph"/>
      </w:pPr>
      <w:r>
        <w:rPr>
          <w:bCs/>
          <w:b/>
        </w:rPr>
        <w:t xml:space="preserve">Choose when</w:t>
      </w:r>
    </w:p>
    <w:p>
      <w:pPr>
        <w:numPr>
          <w:ilvl w:val="0"/>
          <w:numId w:val="1535"/>
        </w:numPr>
        <w:pStyle w:val="Compact"/>
      </w:pPr>
      <w:r>
        <w:t xml:space="preserve">Always, for L8 ingestion and index-build pipelines</w:t>
      </w:r>
      <w:r>
        <w:t xml:space="preserve"> </w:t>
      </w:r>
      <w:r>
        <w:rPr>
          <w:rStyle w:val="ClaimLabel"/>
        </w:rPr>
        <w:t xml:space="preserve">Rec</w:t>
      </w:r>
    </w:p>
    <w:p>
      <w:pPr>
        <w:pStyle w:val="FirstParagraph"/>
      </w:pPr>
      <w:r>
        <w:rPr>
          <w:bCs/>
          <w:b/>
        </w:rPr>
        <w:t xml:space="preserve">Avoid when</w:t>
      </w:r>
    </w:p>
    <w:p>
      <w:pPr>
        <w:numPr>
          <w:ilvl w:val="0"/>
          <w:numId w:val="1536"/>
        </w:numPr>
        <w:pStyle w:val="Compact"/>
      </w:pPr>
      <w:r>
        <w:t xml:space="preserve">You expect it to trace run-time LLM calls</w:t>
      </w:r>
      <w:r>
        <w:t xml:space="preserve"> </w:t>
      </w:r>
      <w:r>
        <w:rPr>
          <w:rStyle w:val="ClaimLabel"/>
        </w:rPr>
        <w:t xml:space="preserve">AJ</w:t>
      </w:r>
    </w:p>
    <w:p>
      <w:pPr>
        <w:pStyle w:val="FirstParagraph"/>
      </w:pPr>
      <w:r>
        <w:rPr>
          <w:bCs/>
          <w:b/>
        </w:rPr>
        <w:t xml:space="preserve">Nearest competitors:</w:t>
      </w:r>
      <w:r>
        <w:t xml:space="preserve"> </w:t>
      </w:r>
      <w:r>
        <w:t xml:space="preserve">C8-collibra-ai-governance, OTel GenAI semantic conventions</w:t>
      </w:r>
    </w:p>
    <w:p>
      <w:pPr>
        <w:pStyle w:val="BodyText"/>
      </w:pPr>
      <w:r>
        <w:rPr>
          <w:bCs/>
          <w:b/>
        </w:rPr>
        <w:t xml:space="preserve">Regulated-FS note.</w:t>
      </w:r>
      <w:r>
        <w:t xml:space="preserve"> </w:t>
      </w:r>
      <w:r>
        <w:t xml:space="preserve">Define and publish a firm GenAI facet set (source document IDs, classification tags, chunking and embedding model versions, index version)</w:t>
      </w:r>
      <w:r>
        <w:t xml:space="preserve"> </w:t>
      </w:r>
      <w:r>
        <w:rPr>
          <w:rStyle w:val="ClaimLabel"/>
        </w:rPr>
        <w:t xml:space="preserve">Rec</w:t>
      </w:r>
      <w:r>
        <w:t xml:space="preserve">.</w:t>
      </w:r>
    </w:p>
    <w:p>
      <w:pPr>
        <w:pStyle w:val="BodyText"/>
      </w:pPr>
      <w:r>
        <w:rPr>
          <w:bCs/>
          <w:b/>
        </w:rPr>
        <w:t xml:space="preserve">Facts (as of 2026-10-08)</w:t>
      </w:r>
    </w:p>
    <w:tbl>
      <w:tblPr>
        <w:tblStyle w:val="Table"/>
        <w:tblW w:type="pct" w:w="5000"/>
        <w:tblLook w:firstRow="1" w:lastRow="0" w:firstColumn="0" w:lastColumn="0" w:noHBand="0" w:noVBand="0" w:val="0020"/>
        <w:jc w:val="start"/>
      </w:tblPr>
      <w:tblGrid>
        <w:gridCol w:w="1485"/>
        <w:gridCol w:w="4290"/>
        <w:gridCol w:w="1320"/>
        <w:gridCol w:w="825"/>
      </w:tblGrid>
      <w:tr>
        <w:trPr>
          <w:tblHeader w:val="true"/>
        </w:trPr>
        <w:tc>
          <w:tcPr/>
          <w:p>
            <w:pPr>
              <w:pStyle w:val="Compact"/>
              <w:jc w:val="left"/>
            </w:pPr>
            <w:r>
              <w:t xml:space="preserve">Field</w:t>
            </w:r>
          </w:p>
        </w:tc>
        <w:tc>
          <w:tcPr/>
          <w:p>
            <w:pPr>
              <w:pStyle w:val="Compact"/>
              <w:jc w:val="left"/>
            </w:pPr>
            <w:r>
              <w:t xml:space="preserve">Value</w:t>
            </w:r>
          </w:p>
        </w:tc>
        <w:tc>
          <w:tcPr/>
          <w:p>
            <w:pPr>
              <w:pStyle w:val="Compact"/>
              <w:jc w:val="left"/>
            </w:pPr>
            <w:r>
              <w:t xml:space="preserve">Label</w:t>
            </w:r>
          </w:p>
        </w:tc>
        <w:tc>
          <w:tcPr/>
          <w:p>
            <w:pPr>
              <w:pStyle w:val="Compact"/>
              <w:jc w:val="left"/>
            </w:pPr>
            <w:r>
              <w:t xml:space="preserve">Sources</w:t>
            </w:r>
          </w:p>
        </w:tc>
      </w:tr>
      <w:tr>
        <w:tc>
          <w:tcPr/>
          <w:p>
            <w:pPr>
              <w:pStyle w:val="Compact"/>
              <w:jc w:val="left"/>
            </w:pPr>
            <w:r>
              <w:t xml:space="preserve">Company</w:t>
            </w:r>
          </w:p>
        </w:tc>
        <w:tc>
          <w:tcPr/>
          <w:p>
            <w:pPr>
              <w:pStyle w:val="Compact"/>
              <w:jc w:val="left"/>
            </w:pPr>
            <w:r>
              <w:t xml:space="preserve">LF AI &amp; Data Foundation Graduate project (OpenLineage); Marquez is a separate LF AI &amp; Data Graduated project</w:t>
            </w:r>
          </w:p>
        </w:tc>
        <w:tc>
          <w:tcPr/>
          <w:p>
            <w:pPr>
              <w:pStyle w:val="Compact"/>
              <w:jc w:val="left"/>
            </w:pPr>
            <w:r>
              <w:t xml:space="preserve">Verified fact</w:t>
            </w:r>
          </w:p>
        </w:tc>
        <w:tc>
          <w:tcPr/>
          <w:p>
            <w:pPr>
              <w:pStyle w:val="Compact"/>
              <w:jc w:val="left"/>
            </w:pPr>
            <w:r>
              <w:t xml:space="preserve">A7-S041, A7-S043</w:t>
            </w:r>
          </w:p>
        </w:tc>
      </w:tr>
      <w:tr>
        <w:tc>
          <w:tcPr/>
          <w:p>
            <w:pPr>
              <w:pStyle w:val="Compact"/>
              <w:jc w:val="left"/>
            </w:pPr>
            <w:r>
              <w:t xml:space="preserve">Category</w:t>
            </w:r>
          </w:p>
        </w:tc>
        <w:tc>
          <w:tcPr/>
          <w:p>
            <w:pPr>
              <w:pStyle w:val="Compact"/>
              <w:jc w:val="left"/>
            </w:pPr>
            <w:r>
              <w:t xml:space="preserve">Open specification for runtime data-lineage metadata, with client libraries and integrations</w:t>
            </w:r>
          </w:p>
        </w:tc>
        <w:tc>
          <w:tcPr/>
          <w:p>
            <w:pPr>
              <w:pStyle w:val="Compact"/>
              <w:jc w:val="left"/>
            </w:pPr>
            <w:r>
              <w:t xml:space="preserve">Verified fact</w:t>
            </w:r>
          </w:p>
        </w:tc>
        <w:tc>
          <w:tcPr/>
          <w:p>
            <w:pPr>
              <w:pStyle w:val="Compact"/>
              <w:jc w:val="left"/>
            </w:pPr>
            <w:r>
              <w:t xml:space="preserve">A7-S041</w:t>
            </w:r>
          </w:p>
        </w:tc>
      </w:tr>
      <w:tr>
        <w:tc>
          <w:tcPr/>
          <w:p>
            <w:pPr>
              <w:pStyle w:val="Compact"/>
              <w:jc w:val="left"/>
            </w:pPr>
            <w:r>
              <w:t xml:space="preserve">Version / lineup</w:t>
            </w:r>
          </w:p>
        </w:tc>
        <w:tc>
          <w:tcPr/>
          <w:p>
            <w:pPr>
              <w:pStyle w:val="Compact"/>
              <w:jc w:val="left"/>
            </w:pPr>
            <w:r>
              <w:t xml:space="preserve">openlineage-python 1.53.0 (1 September 2026); spec version 2-0-2 (Marquez compatibility table); Marquez latest image 0.51.1 (27 March 2025)</w:t>
            </w:r>
          </w:p>
        </w:tc>
        <w:tc>
          <w:tcPr/>
          <w:p>
            <w:pPr>
              <w:pStyle w:val="Compact"/>
              <w:jc w:val="left"/>
            </w:pPr>
            <w:r>
              <w:t xml:space="preserve">Verified fact</w:t>
            </w:r>
          </w:p>
        </w:tc>
        <w:tc>
          <w:tcPr/>
          <w:p>
            <w:pPr>
              <w:pStyle w:val="Compact"/>
              <w:jc w:val="left"/>
            </w:pPr>
            <w:r>
              <w:t xml:space="preserve">A7-S001, A7-S043, A7-S044, V2-S028</w:t>
            </w:r>
          </w:p>
        </w:tc>
      </w:tr>
      <w:tr>
        <w:tc>
          <w:tcPr/>
          <w:p>
            <w:pPr>
              <w:pStyle w:val="Compact"/>
              <w:jc w:val="left"/>
            </w:pPr>
            <w:r>
              <w:t xml:space="preserve">Licence</w:t>
            </w:r>
          </w:p>
        </w:tc>
        <w:tc>
          <w:tcPr/>
          <w:p>
            <w:pPr>
              <w:pStyle w:val="Compact"/>
              <w:jc w:val="left"/>
            </w:pPr>
            <w:r>
              <w:t xml:space="preserve">Open specification and code, Apache-2.0 (OpenLineage and Marquez)</w:t>
            </w:r>
          </w:p>
        </w:tc>
        <w:tc>
          <w:tcPr/>
          <w:p>
            <w:pPr>
              <w:pStyle w:val="Compact"/>
              <w:jc w:val="left"/>
            </w:pPr>
            <w:r>
              <w:t xml:space="preserve">Verified fact</w:t>
            </w:r>
          </w:p>
        </w:tc>
        <w:tc>
          <w:tcPr/>
          <w:p>
            <w:pPr>
              <w:pStyle w:val="Compact"/>
              <w:jc w:val="left"/>
            </w:pPr>
            <w:r>
              <w:t xml:space="preserve">A7-S041, A7-S043, A7-S001</w:t>
            </w:r>
          </w:p>
        </w:tc>
      </w:tr>
      <w:tr>
        <w:tc>
          <w:tcPr/>
          <w:p>
            <w:pPr>
              <w:pStyle w:val="Compact"/>
              <w:jc w:val="left"/>
            </w:pPr>
            <w:r>
              <w:t xml:space="preserve">Strategic direction</w:t>
            </w:r>
          </w:p>
        </w:tc>
        <w:tc>
          <w:tcPr/>
          <w:p>
            <w:pPr>
              <w:pStyle w:val="Compact"/>
              <w:jc w:val="left"/>
            </w:pPr>
            <w:r>
              <w:t xml:space="preserve">1.53.0 adds explicit lineage facets (exact dataset-, field- and job-level relationships), more Spark/Flink/dbt coverage and GCP Lineage transport retries; user-supplied tags facets in Python and Java clients</w:t>
            </w:r>
          </w:p>
        </w:tc>
        <w:tc>
          <w:tcPr/>
          <w:p>
            <w:pPr>
              <w:pStyle w:val="Compact"/>
              <w:jc w:val="left"/>
            </w:pPr>
            <w:r>
              <w:t xml:space="preserve">Verified fact</w:t>
            </w:r>
          </w:p>
        </w:tc>
        <w:tc>
          <w:tcPr/>
          <w:p>
            <w:pPr>
              <w:pStyle w:val="Compact"/>
              <w:jc w:val="left"/>
            </w:pPr>
            <w:r>
              <w:t xml:space="preserve">A7-S042</w:t>
            </w:r>
          </w:p>
        </w:tc>
      </w:tr>
      <w:tr>
        <w:tc>
          <w:tcPr/>
          <w:p>
            <w:pPr>
              <w:pStyle w:val="Compact"/>
              <w:jc w:val="left"/>
            </w:pPr>
            <w:r>
              <w:t xml:space="preserve">What it does</w:t>
            </w:r>
          </w:p>
        </w:tc>
        <w:tc>
          <w:tcPr/>
          <w:p>
            <w:pPr>
              <w:pStyle w:val="Compact"/>
              <w:jc w:val="left"/>
            </w:pPr>
            <w:r>
              <w:t xml:space="preserve">Defines a generic model of run, job and dataset entities with consistent naming, extended by facets, and an event protocol for emitting lineage as jobs run; Marquez collects, stores and visualises these events.</w:t>
            </w:r>
          </w:p>
        </w:tc>
        <w:tc>
          <w:tcPr/>
          <w:p>
            <w:pPr>
              <w:pStyle w:val="Compact"/>
              <w:jc w:val="left"/>
            </w:pPr>
            <w:r>
              <w:t xml:space="preserve">Verified fact</w:t>
            </w:r>
          </w:p>
        </w:tc>
        <w:tc>
          <w:tcPr/>
          <w:p>
            <w:pPr>
              <w:pStyle w:val="Compact"/>
              <w:jc w:val="left"/>
            </w:pPr>
            <w:r>
              <w:t xml:space="preserve">A7-S041, A7-S043</w:t>
            </w:r>
          </w:p>
        </w:tc>
      </w:tr>
      <w:tr>
        <w:tc>
          <w:tcPr/>
          <w:p>
            <w:pPr>
              <w:pStyle w:val="Compact"/>
              <w:jc w:val="left"/>
            </w:pPr>
            <w:r>
              <w:t xml:space="preserve">Stack position</w:t>
            </w:r>
          </w:p>
        </w:tc>
        <w:tc>
          <w:tcPr/>
          <w:p>
            <w:pPr>
              <w:pStyle w:val="Compact"/>
              <w:jc w:val="left"/>
            </w:pPr>
            <w:r>
              <w:t xml:space="preserve">Lineage backbone for C8 and L8 ingestion (H7); GenAI/RAG steps (chunking, embedding, indexing) would need custom facets</w:t>
            </w:r>
          </w:p>
        </w:tc>
        <w:tc>
          <w:tcPr/>
          <w:p>
            <w:pPr>
              <w:pStyle w:val="Compact"/>
              <w:jc w:val="left"/>
            </w:pPr>
            <w:r>
              <w:t xml:space="preserve">Architectural judgement</w:t>
            </w:r>
          </w:p>
        </w:tc>
        <w:tc>
          <w:tcPr/>
          <w:p>
            <w:pPr>
              <w:pStyle w:val="Compact"/>
            </w:pPr>
          </w:p>
        </w:tc>
      </w:tr>
      <w:tr>
        <w:tc>
          <w:tcPr/>
          <w:p>
            <w:pPr>
              <w:pStyle w:val="Compact"/>
              <w:jc w:val="left"/>
            </w:pPr>
            <w:r>
              <w:t xml:space="preserve">Integration</w:t>
            </w:r>
          </w:p>
        </w:tc>
        <w:tc>
          <w:tcPr/>
          <w:p>
            <w:pPr>
              <w:pStyle w:val="Compact"/>
              <w:jc w:val="left"/>
            </w:pPr>
            <w:r>
              <w:t xml:space="preserve">OpenAPI-defined spec; Python, Java and SQL clients; integrations for Spark, Airflow, dbt, Flink; GCP Lineage and GCS transports</w:t>
            </w:r>
          </w:p>
        </w:tc>
        <w:tc>
          <w:tcPr/>
          <w:p>
            <w:pPr>
              <w:pStyle w:val="Compact"/>
              <w:jc w:val="left"/>
            </w:pPr>
            <w:r>
              <w:t xml:space="preserve">Verified fact</w:t>
            </w:r>
          </w:p>
        </w:tc>
        <w:tc>
          <w:tcPr/>
          <w:p>
            <w:pPr>
              <w:pStyle w:val="Compact"/>
              <w:jc w:val="left"/>
            </w:pPr>
            <w:r>
              <w:t xml:space="preserve">A7-S041, A7-S042</w:t>
            </w:r>
          </w:p>
        </w:tc>
      </w:tr>
      <w:tr>
        <w:tc>
          <w:tcPr/>
          <w:p>
            <w:pPr>
              <w:pStyle w:val="Compact"/>
              <w:jc w:val="left"/>
            </w:pPr>
            <w:r>
              <w:t xml:space="preserve">Dependencies</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Certifications</w:t>
            </w:r>
          </w:p>
        </w:tc>
        <w:tc>
          <w:tcPr/>
          <w:p>
            <w:pPr>
              <w:pStyle w:val="Compact"/>
              <w:jc w:val="left"/>
            </w:pPr>
            <w:r>
              <w:t xml:space="preserve">Not applicable (open specification)</w:t>
            </w:r>
          </w:p>
        </w:tc>
        <w:tc>
          <w:tcPr/>
          <w:p>
            <w:pPr>
              <w:pStyle w:val="Compact"/>
              <w:jc w:val="left"/>
            </w:pPr>
            <w:r>
              <w:t xml:space="preserve">Architectural judgement</w:t>
            </w:r>
          </w:p>
        </w:tc>
        <w:tc>
          <w:tcPr/>
          <w:p>
            <w:pPr>
              <w:pStyle w:val="Compact"/>
            </w:pPr>
          </w:p>
        </w:tc>
      </w:tr>
      <w:tr>
        <w:tc>
          <w:tcPr/>
          <w:p>
            <w:pPr>
              <w:pStyle w:val="Compact"/>
              <w:jc w:val="left"/>
            </w:pPr>
            <w:r>
              <w:t xml:space="preserve">GDPR / residency</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Security features</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Access controls</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Enterprise support</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Pricing</w:t>
            </w:r>
          </w:p>
        </w:tc>
        <w:tc>
          <w:tcPr/>
          <w:p>
            <w:pPr>
              <w:pStyle w:val="Compact"/>
              <w:jc w:val="left"/>
            </w:pPr>
            <w:r>
              <w:t xml:space="preserve">Free open source</w:t>
            </w:r>
          </w:p>
        </w:tc>
        <w:tc>
          <w:tcPr/>
          <w:p>
            <w:pPr>
              <w:pStyle w:val="Compact"/>
              <w:jc w:val="left"/>
            </w:pPr>
            <w:r>
              <w:t xml:space="preserve">Verified fact</w:t>
            </w:r>
          </w:p>
        </w:tc>
        <w:tc>
          <w:tcPr/>
          <w:p>
            <w:pPr>
              <w:pStyle w:val="Compact"/>
              <w:jc w:val="left"/>
            </w:pPr>
            <w:r>
              <w:t xml:space="preserve">A7-S041</w:t>
            </w:r>
          </w:p>
        </w:tc>
      </w:tr>
      <w:tr>
        <w:tc>
          <w:tcPr/>
          <w:p>
            <w:pPr>
              <w:pStyle w:val="Compact"/>
              <w:jc w:val="left"/>
            </w:pPr>
            <w:r>
              <w:t xml:space="preserve">Infrastructure cost</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Ecosystem</w:t>
            </w:r>
          </w:p>
        </w:tc>
        <w:tc>
          <w:tcPr/>
          <w:p>
            <w:pPr>
              <w:pStyle w:val="Compact"/>
              <w:jc w:val="left"/>
            </w:pPr>
            <w:r>
              <w:t xml:space="preserve">Apache Airflow ships an OpenLineage provider (apache-airflow-providers-openlineage 2.20.2, 29 September 2026); Collibra documents an OpenLineage integration; Egeria listed as related project</w:t>
            </w:r>
          </w:p>
        </w:tc>
        <w:tc>
          <w:tcPr/>
          <w:p>
            <w:pPr>
              <w:pStyle w:val="Compact"/>
              <w:jc w:val="left"/>
            </w:pPr>
            <w:r>
              <w:t xml:space="preserve">Verified fact</w:t>
            </w:r>
          </w:p>
        </w:tc>
        <w:tc>
          <w:tcPr/>
          <w:p>
            <w:pPr>
              <w:pStyle w:val="Compact"/>
              <w:jc w:val="left"/>
            </w:pPr>
            <w:r>
              <w:t xml:space="preserve">A7-S045, A7-S122, A7-S041</w:t>
            </w:r>
          </w:p>
        </w:tc>
      </w:tr>
      <w:tr>
        <w:tc>
          <w:tcPr/>
          <w:p>
            <w:pPr>
              <w:pStyle w:val="Compact"/>
              <w:jc w:val="left"/>
            </w:pPr>
            <w:r>
              <w:t xml:space="preserve">Adoption signals</w:t>
            </w:r>
          </w:p>
        </w:tc>
        <w:tc>
          <w:tcPr/>
          <w:p>
            <w:pPr>
              <w:pStyle w:val="Compact"/>
              <w:jc w:val="left"/>
            </w:pPr>
            <w:r>
              <w:t xml:space="preserve">Marquez Docker image pulled about 1.12 million times; openlineage-python first released May 2021</w:t>
            </w:r>
          </w:p>
        </w:tc>
        <w:tc>
          <w:tcPr/>
          <w:p>
            <w:pPr>
              <w:pStyle w:val="Compact"/>
              <w:jc w:val="left"/>
            </w:pPr>
            <w:r>
              <w:t xml:space="preserve">Verified fact</w:t>
            </w:r>
          </w:p>
        </w:tc>
        <w:tc>
          <w:tcPr/>
          <w:p>
            <w:pPr>
              <w:pStyle w:val="Compact"/>
              <w:jc w:val="left"/>
            </w:pPr>
            <w:r>
              <w:t xml:space="preserve">A7-S044, A7-S001</w:t>
            </w:r>
          </w:p>
        </w:tc>
      </w:tr>
      <w:tr>
        <w:tc>
          <w:tcPr/>
          <w:p>
            <w:pPr>
              <w:pStyle w:val="Compact"/>
              <w:jc w:val="left"/>
            </w:pPr>
            <w:r>
              <w:t xml:space="preserve">Maturity</w:t>
            </w:r>
          </w:p>
        </w:tc>
        <w:tc>
          <w:tcPr/>
          <w:p>
            <w:pPr>
              <w:pStyle w:val="Compact"/>
              <w:jc w:val="left"/>
            </w:pPr>
            <w:r>
              <w:t xml:space="preserve">OpenLineage releases roughly monthly (1.50-1.53 in 2026); Marquez releases slowed (0.51.1 in March 2025)</w:t>
            </w:r>
          </w:p>
        </w:tc>
        <w:tc>
          <w:tcPr/>
          <w:p>
            <w:pPr>
              <w:pStyle w:val="Compact"/>
              <w:jc w:val="left"/>
            </w:pPr>
            <w:r>
              <w:t xml:space="preserve">Verified fact</w:t>
            </w:r>
          </w:p>
        </w:tc>
        <w:tc>
          <w:tcPr/>
          <w:p>
            <w:pPr>
              <w:pStyle w:val="Compact"/>
              <w:jc w:val="left"/>
            </w:pPr>
            <w:r>
              <w:t xml:space="preserve">A7-S042, A7-S044</w:t>
            </w:r>
          </w:p>
        </w:tc>
      </w:tr>
      <w:tr>
        <w:tc>
          <w:tcPr/>
          <w:p>
            <w:pPr>
              <w:pStyle w:val="Compact"/>
              <w:jc w:val="left"/>
            </w:pPr>
            <w:r>
              <w:t xml:space="preserve">Deployment</w:t>
            </w:r>
          </w:p>
        </w:tc>
        <w:tc>
          <w:tcPr/>
          <w:p>
            <w:pPr>
              <w:pStyle w:val="Compact"/>
              <w:jc w:val="left"/>
            </w:pPr>
            <w:r>
              <w:t xml:space="preserve">saas: Not publicly verified; managed_cloud: Not publicly verified; vpc_byoc: Not publicly verified; private_cloud: Not publicly verified; self_hosted: Yes (Marquez or other OpenLineage consumers); on_prem: Not publicly verified</w:t>
            </w:r>
          </w:p>
        </w:tc>
        <w:tc>
          <w:tcPr/>
          <w:p>
            <w:pPr>
              <w:pStyle w:val="Compact"/>
            </w:pPr>
          </w:p>
        </w:tc>
        <w:tc>
          <w:tcPr/>
          <w:p>
            <w:pPr>
              <w:pStyle w:val="Compact"/>
            </w:pPr>
          </w:p>
        </w:tc>
      </w:tr>
    </w:tbl>
    <w:bookmarkEnd w:id="2421"/>
    <w:bookmarkStart w:id="2436" w:name="X3e6b23feaab4b723a23b544dab9c90e65793534"/>
    <w:p>
      <w:pPr>
        <w:pStyle w:val="Heading2"/>
      </w:pPr>
      <w:r>
        <w:t xml:space="preserve">IBM watsonx.governance (</w:t>
      </w:r>
      <w:r>
        <w:rPr>
          <w:rStyle w:val="VerbatimChar"/>
        </w:rPr>
        <w:t xml:space="preserve">C8-watsonx-governance</w:t>
      </w:r>
      <w:r>
        <w:t xml:space="preserve">)</w:t>
      </w:r>
    </w:p>
    <w:p>
      <w:pPr>
        <w:pStyle w:val="FirstParagraph"/>
      </w:pPr>
      <w:r>
        <w:rPr>
          <w:bCs/>
          <w:b/>
        </w:rPr>
        <w:t xml:space="preserve">Tier:</w:t>
      </w:r>
      <w:r>
        <w:t xml:space="preserve"> </w:t>
      </w:r>
      <w:r>
        <w:t xml:space="preserve">Tactical ·</w:t>
      </w:r>
      <w:r>
        <w:t xml:space="preserve"> </w:t>
      </w:r>
      <w:r>
        <w:rPr>
          <w:bCs/>
          <w:b/>
        </w:rPr>
        <w:t xml:space="preserve">Flags:</w:t>
      </w:r>
      <w:r>
        <w:t xml:space="preserve"> </w:t>
      </w:r>
      <w:r>
        <w:t xml:space="preserve">none ·</w:t>
      </w:r>
      <w:r>
        <w:t xml:space="preserve"> </w:t>
      </w:r>
      <w:r>
        <w:rPr>
          <w:bCs/>
          <w:b/>
        </w:rPr>
        <w:t xml:space="preserve">Original graphic label:</w:t>
      </w:r>
      <w:r>
        <w:t xml:space="preserve"> </w:t>
      </w:r>
      <w:r>
        <w:t xml:space="preserve">not in graphic</w:t>
      </w:r>
    </w:p>
    <w:p>
      <w:pPr>
        <w:pStyle w:val="BodyText"/>
      </w:pPr>
      <w:r>
        <w:rPr>
          <w:iCs/>
          <w:i/>
        </w:rPr>
        <w:t xml:space="preserve">Rationale:</w:t>
      </w:r>
      <w:r>
        <w:t xml:space="preserve"> </w:t>
      </w:r>
      <w:r>
        <w:t xml:space="preserve">Highest technical coverage; Tactical only because certification scope is not publicly verified; conditional Strategic for IBM estates after due diligence</w:t>
      </w:r>
      <w:r>
        <w:t xml:space="preserve"> </w:t>
      </w:r>
      <w:r>
        <w:rPr>
          <w:rStyle w:val="ClaimLabel"/>
        </w:rPr>
        <w:t xml:space="preserve">AJ</w:t>
      </w:r>
      <w:r>
        <w:t xml:space="preserve">.</w:t>
      </w:r>
    </w:p>
    <w:tbl>
      <w:tblPr>
        <w:tblStyle w:val="Table"/>
        <w:tblW w:type="pct" w:w="5000"/>
        <w:tblLook w:firstRow="1" w:lastRow="0" w:firstColumn="0" w:lastColumn="0" w:noHBand="0" w:noVBand="0" w:val="0020"/>
        <w:jc w:val="start"/>
      </w:tblPr>
      <w:tblGrid>
        <w:gridCol w:w="1545"/>
        <w:gridCol w:w="579"/>
        <w:gridCol w:w="5795"/>
      </w:tblGrid>
      <w:tr>
        <w:trPr>
          <w:tblHeader w:val="true"/>
        </w:trPr>
        <w:tc>
          <w:tcPr/>
          <w:p>
            <w:pPr>
              <w:pStyle w:val="Compact"/>
              <w:jc w:val="left"/>
            </w:pPr>
            <w:r>
              <w:t xml:space="preserve">Criterion</w:t>
            </w:r>
          </w:p>
        </w:tc>
        <w:tc>
          <w:tcPr/>
          <w:p>
            <w:pPr>
              <w:pStyle w:val="Compact"/>
              <w:jc w:val="right"/>
            </w:pPr>
            <w:r>
              <w:t xml:space="preserve">Score</w:t>
            </w:r>
          </w:p>
        </w:tc>
        <w:tc>
          <w:tcPr/>
          <w:p>
            <w:pPr>
              <w:pStyle w:val="Compact"/>
              <w:jc w:val="left"/>
            </w:pPr>
            <w:r>
              <w:t xml:space="preserve">Rationale</w:t>
            </w:r>
          </w:p>
        </w:tc>
      </w:tr>
      <w:tr>
        <w:tc>
          <w:tcPr/>
          <w:p>
            <w:pPr>
              <w:pStyle w:val="Compact"/>
              <w:jc w:val="left"/>
            </w:pPr>
            <w:r>
              <w:t xml:space="preserve">Technical</w:t>
            </w:r>
          </w:p>
        </w:tc>
        <w:tc>
          <w:tcPr/>
          <w:p>
            <w:pPr>
              <w:pStyle w:val="Compact"/>
              <w:jc w:val="right"/>
            </w:pPr>
            <w:r>
              <w:t xml:space="preserve">5</w:t>
            </w:r>
          </w:p>
        </w:tc>
        <w:tc>
          <w:tcPr/>
          <w:p>
            <w:pPr>
              <w:pStyle w:val="Compact"/>
              <w:jc w:val="left"/>
            </w:pPr>
            <w:r>
              <w:t xml:space="preserve">Leading coverage: inventory, evaluation of models, prompts and agents, discovery, thresholds, approvals, compliance mapping.</w:t>
            </w:r>
          </w:p>
        </w:tc>
      </w:tr>
      <w:tr>
        <w:tc>
          <w:tcPr/>
          <w:p>
            <w:pPr>
              <w:pStyle w:val="Compact"/>
              <w:jc w:val="left"/>
            </w:pPr>
            <w:r>
              <w:t xml:space="preserve">Enterprise readiness</w:t>
            </w:r>
          </w:p>
        </w:tc>
        <w:tc>
          <w:tcPr/>
          <w:p>
            <w:pPr>
              <w:pStyle w:val="Compact"/>
              <w:jc w:val="right"/>
            </w:pPr>
            <w:r>
              <w:t xml:space="preserve">3</w:t>
            </w:r>
          </w:p>
        </w:tc>
        <w:tc>
          <w:tcPr/>
          <w:p>
            <w:pPr>
              <w:pStyle w:val="Compact"/>
              <w:jc w:val="left"/>
            </w:pPr>
            <w:r>
              <w:t xml:space="preserve">IAM-controlled access, console roles and approval audit trail verified (B-C8-S003); SSO federation and SCIM not verified, so 3. Rule 6 not applied (IBM service on AWS, not an AWS service).</w:t>
            </w:r>
          </w:p>
        </w:tc>
      </w:tr>
      <w:tr>
        <w:tc>
          <w:tcPr/>
          <w:p>
            <w:pPr>
              <w:pStyle w:val="Compact"/>
              <w:jc w:val="left"/>
            </w:pPr>
            <w:r>
              <w:t xml:space="preserve">Security and compliance</w:t>
            </w:r>
          </w:p>
        </w:tc>
        <w:tc>
          <w:tcPr/>
          <w:p>
            <w:pPr>
              <w:pStyle w:val="Compact"/>
              <w:jc w:val="right"/>
            </w:pPr>
            <w:r>
              <w:t xml:space="preserve">2</w:t>
            </w:r>
          </w:p>
        </w:tc>
        <w:tc>
          <w:tcPr/>
          <w:p>
            <w:pPr>
              <w:pStyle w:val="Compact"/>
              <w:jc w:val="left"/>
            </w:pPr>
            <w:r>
              <w:t xml:space="preserve">Capped at 2: product-scoped certifications not publicly verified and FedRAMP status conflicting.</w:t>
            </w:r>
          </w:p>
        </w:tc>
      </w:tr>
      <w:tr>
        <w:tc>
          <w:tcPr/>
          <w:p>
            <w:pPr>
              <w:pStyle w:val="Compact"/>
              <w:jc w:val="left"/>
            </w:pPr>
            <w:r>
              <w:t xml:space="preserve">Deployment flexibility</w:t>
            </w:r>
          </w:p>
        </w:tc>
        <w:tc>
          <w:tcPr/>
          <w:p>
            <w:pPr>
              <w:pStyle w:val="Compact"/>
              <w:jc w:val="right"/>
            </w:pPr>
            <w:r>
              <w:t xml:space="preserve">4</w:t>
            </w:r>
          </w:p>
        </w:tc>
        <w:tc>
          <w:tcPr/>
          <w:p>
            <w:pPr>
              <w:pStyle w:val="Compact"/>
              <w:jc w:val="left"/>
            </w:pPr>
            <w:r>
              <w:t xml:space="preserve">SaaS, self-managed in customer cloud, on-prem and hybrid; air-gap not verified.</w:t>
            </w:r>
          </w:p>
        </w:tc>
      </w:tr>
      <w:tr>
        <w:tc>
          <w:tcPr/>
          <w:p>
            <w:pPr>
              <w:pStyle w:val="Compact"/>
              <w:jc w:val="left"/>
            </w:pPr>
            <w:r>
              <w:t xml:space="preserve">Ecosystem</w:t>
            </w:r>
          </w:p>
        </w:tc>
        <w:tc>
          <w:tcPr/>
          <w:p>
            <w:pPr>
              <w:pStyle w:val="Compact"/>
              <w:jc w:val="right"/>
            </w:pPr>
            <w:r>
              <w:t xml:space="preserve">4</w:t>
            </w:r>
          </w:p>
        </w:tc>
        <w:tc>
          <w:tcPr/>
          <w:p>
            <w:pPr>
              <w:pStyle w:val="Compact"/>
              <w:jc w:val="left"/>
            </w:pPr>
            <w:r>
              <w:t xml:space="preserve">Python SDK, Orchestrate, OpenPages and SageMaker integration.</w:t>
            </w:r>
          </w:p>
        </w:tc>
      </w:tr>
      <w:tr>
        <w:tc>
          <w:tcPr/>
          <w:p>
            <w:pPr>
              <w:pStyle w:val="Compact"/>
              <w:jc w:val="left"/>
            </w:pPr>
            <w:r>
              <w:t xml:space="preserve">Reliability and maturity</w:t>
            </w:r>
          </w:p>
        </w:tc>
        <w:tc>
          <w:tcPr/>
          <w:p>
            <w:pPr>
              <w:pStyle w:val="Compact"/>
              <w:jc w:val="right"/>
            </w:pPr>
            <w:r>
              <w:t xml:space="preserve">4</w:t>
            </w:r>
          </w:p>
        </w:tc>
        <w:tc>
          <w:tcPr/>
          <w:p>
            <w:pPr>
              <w:pStyle w:val="Compact"/>
              <w:jc w:val="left"/>
            </w:pPr>
            <w:r>
              <w:t xml:space="preserve">IBM product with continuous releases (SDK 1.5.2, September 2026).</w:t>
            </w:r>
          </w:p>
        </w:tc>
      </w:tr>
      <w:tr>
        <w:tc>
          <w:tcPr/>
          <w:p>
            <w:pPr>
              <w:pStyle w:val="Compact"/>
              <w:jc w:val="left"/>
            </w:pPr>
            <w:r>
              <w:t xml:space="preserve">Cost / TCO</w:t>
            </w:r>
          </w:p>
        </w:tc>
        <w:tc>
          <w:tcPr/>
          <w:p>
            <w:pPr>
              <w:pStyle w:val="Compact"/>
              <w:jc w:val="right"/>
            </w:pPr>
            <w:r>
              <w:t xml:space="preserve">3</w:t>
            </w:r>
          </w:p>
        </w:tc>
        <w:tc>
          <w:tcPr/>
          <w:p>
            <w:pPr>
              <w:pStyle w:val="Compact"/>
              <w:jc w:val="left"/>
            </w:pPr>
            <w:r>
              <w:t xml:space="preserve">Published indicative pricing including free tier.</w:t>
            </w:r>
          </w:p>
        </w:tc>
      </w:tr>
      <w:tr>
        <w:tc>
          <w:tcPr/>
          <w:p>
            <w:pPr>
              <w:pStyle w:val="Compact"/>
              <w:jc w:val="left"/>
            </w:pPr>
            <w:r>
              <w:t xml:space="preserve">Lock-in / portability</w:t>
            </w:r>
          </w:p>
        </w:tc>
        <w:tc>
          <w:tcPr/>
          <w:p>
            <w:pPr>
              <w:pStyle w:val="Compact"/>
              <w:jc w:val="right"/>
            </w:pPr>
            <w:r>
              <w:t xml:space="preserve">3</w:t>
            </w:r>
          </w:p>
        </w:tc>
        <w:tc>
          <w:tcPr/>
          <w:p>
            <w:pPr>
              <w:pStyle w:val="Compact"/>
              <w:jc w:val="left"/>
            </w:pPr>
            <w:r>
              <w:t xml:space="preserve">Proprietary, IBM-licensed; factsheets exportable.</w:t>
            </w:r>
          </w:p>
        </w:tc>
      </w:tr>
      <w:tr>
        <w:tc>
          <w:tcPr/>
          <w:p>
            <w:pPr>
              <w:pStyle w:val="Compact"/>
              <w:jc w:val="left"/>
            </w:pPr>
            <w:r>
              <w:rPr>
                <w:bCs/>
                <w:b/>
              </w:rPr>
              <w:t xml:space="preserve">Total (generic / FS)</w:t>
            </w:r>
          </w:p>
        </w:tc>
        <w:tc>
          <w:tcPr/>
          <w:p>
            <w:pPr>
              <w:pStyle w:val="Compact"/>
              <w:jc w:val="right"/>
            </w:pPr>
            <w:r>
              <w:rPr>
                <w:bCs/>
                <w:b/>
              </w:rPr>
              <w:t xml:space="preserve">3.60 / 3.40</w:t>
            </w:r>
          </w:p>
        </w:tc>
        <w:tc>
          <w:tcPr/>
          <w:p>
            <w:pPr>
              <w:pStyle w:val="Compact"/>
            </w:pPr>
          </w:p>
        </w:tc>
      </w:tr>
    </w:tbl>
    <w:p>
      <w:pPr>
        <w:pStyle w:val="BodyText"/>
      </w:pPr>
      <w:r>
        <w:rPr>
          <w:iCs/>
          <w:i/>
        </w:rPr>
        <w:t xml:space="preserve">Evidence rules applied:</w:t>
      </w:r>
      <w:r>
        <w:t xml:space="preserve"> </w:t>
      </w:r>
      <w:r>
        <w:t xml:space="preserve">security_compliance capped at 2: product-scoped SOC 2/ISO 27001 not publicly verified; FedRAMP status conflicting (B-C8-S002)</w:t>
      </w:r>
    </w:p>
    <w:p>
      <w:pPr>
        <w:pStyle w:val="BodyText"/>
      </w:pPr>
      <w:r>
        <w:rPr>
          <w:bCs/>
          <w:b/>
        </w:rPr>
        <w:t xml:space="preserve">Capabilities.</w:t>
      </w:r>
      <w:r>
        <w:t xml:space="preserve"> </w:t>
      </w:r>
      <w:r>
        <w:t xml:space="preserve">Inventories AI use cases and models; evaluates models, prompt templates and agents; monitors in production and ties metrics to risks, controls and approvals; Compliance Accelerators; AI Asset Discovery (9 July 2026) for unmanaged agents, tools, MCP servers and models; Enforcement Tracking (11 August 2026) for agent metrics against thresholds; exportable factsheets</w:t>
      </w:r>
      <w:r>
        <w:t xml:space="preserve"> </w:t>
      </w:r>
      <w:r>
        <w:rPr>
          <w:rStyle w:val="ClaimLabel"/>
        </w:rPr>
        <w:t xml:space="preserve">VF</w:t>
      </w:r>
      <w:r>
        <w:rPr>
          <w:rStyle w:val="FootnoteReference"/>
        </w:rPr>
        <w:footnoteReference w:id="2422"/>
      </w:r>
      <w:r>
        <w:t xml:space="preserve">.</w:t>
      </w:r>
    </w:p>
    <w:p>
      <w:pPr>
        <w:pStyle w:val="BodyText"/>
      </w:pPr>
      <w:r>
        <w:rPr>
          <w:bCs/>
          <w:b/>
        </w:rPr>
        <w:t xml:space="preserve">Strengths</w:t>
      </w:r>
    </w:p>
    <w:p>
      <w:pPr>
        <w:numPr>
          <w:ilvl w:val="0"/>
          <w:numId w:val="1537"/>
        </w:numPr>
        <w:pStyle w:val="Compact"/>
      </w:pPr>
      <w:r>
        <w:t xml:space="preserve">Broadest agent-aware governance; consumes evaluation and Guardium security evidence automatically</w:t>
      </w:r>
      <w:r>
        <w:t xml:space="preserve"> </w:t>
      </w:r>
      <w:r>
        <w:rPr>
          <w:rStyle w:val="ClaimLabel"/>
        </w:rPr>
        <w:t xml:space="preserve">VF</w:t>
      </w:r>
      <w:r>
        <w:rPr>
          <w:rStyle w:val="FootnoteReference"/>
        </w:rPr>
        <w:footnoteReference w:id="2427"/>
      </w:r>
      <w:r>
        <w:t xml:space="preserve"> </w:t>
      </w:r>
      <w:r>
        <w:rPr>
          <w:rStyle w:val="ClaimLabel"/>
        </w:rPr>
        <w:t xml:space="preserve">AJ</w:t>
      </w:r>
    </w:p>
    <w:p>
      <w:pPr>
        <w:numPr>
          <w:ilvl w:val="0"/>
          <w:numId w:val="1537"/>
        </w:numPr>
        <w:pStyle w:val="Compact"/>
      </w:pPr>
      <w:r>
        <w:t xml:space="preserve">SaaS (IBM Cloud, AWS), self-managed in AWS/Azure, on-prem and hybrid</w:t>
      </w:r>
      <w:r>
        <w:t xml:space="preserve"> </w:t>
      </w:r>
      <w:r>
        <w:rPr>
          <w:rStyle w:val="ClaimLabel"/>
        </w:rPr>
        <w:t xml:space="preserve">VF</w:t>
      </w:r>
      <w:r>
        <w:rPr>
          <w:rStyle w:val="FootnoteReference"/>
        </w:rPr>
        <w:footnoteReference w:id="2428"/>
      </w:r>
    </w:p>
    <w:p>
      <w:pPr>
        <w:numPr>
          <w:ilvl w:val="0"/>
          <w:numId w:val="1537"/>
        </w:numPr>
        <w:pStyle w:val="Compact"/>
      </w:pPr>
      <w:r>
        <w:t xml:space="preserve">Published, indicative pricing (Lite free; US$0.64 per evaluation)</w:t>
      </w:r>
      <w:r>
        <w:t xml:space="preserve"> </w:t>
      </w:r>
      <w:r>
        <w:rPr>
          <w:rStyle w:val="ClaimLabel"/>
        </w:rPr>
        <w:t xml:space="preserve">VF</w:t>
      </w:r>
      <w:r>
        <w:rPr>
          <w:rStyle w:val="FootnoteReference"/>
        </w:rPr>
        <w:footnoteReference w:id="2429"/>
      </w:r>
    </w:p>
    <w:p>
      <w:pPr>
        <w:numPr>
          <w:ilvl w:val="0"/>
          <w:numId w:val="1537"/>
        </w:numPr>
        <w:pStyle w:val="Compact"/>
      </w:pPr>
      <w:r>
        <w:t xml:space="preserve">IAM and Governance-console roles; approval-workflow audit trail</w:t>
      </w:r>
      <w:r>
        <w:t xml:space="preserve"> </w:t>
      </w:r>
      <w:r>
        <w:rPr>
          <w:rStyle w:val="ClaimLabel"/>
        </w:rPr>
        <w:t xml:space="preserve">VF</w:t>
      </w:r>
      <w:r>
        <w:rPr>
          <w:rStyle w:val="FootnoteReference"/>
        </w:rPr>
        <w:footnoteReference w:id="2430"/>
      </w:r>
    </w:p>
    <w:p>
      <w:pPr>
        <w:pStyle w:val="FirstParagraph"/>
      </w:pPr>
      <w:r>
        <w:rPr>
          <w:bCs/>
          <w:b/>
        </w:rPr>
        <w:t xml:space="preserve">Limitations and risks</w:t>
      </w:r>
    </w:p>
    <w:p>
      <w:pPr>
        <w:numPr>
          <w:ilvl w:val="0"/>
          <w:numId w:val="1538"/>
        </w:numPr>
        <w:pStyle w:val="Compact"/>
      </w:pPr>
      <w:r>
        <w:t xml:space="preserve">No product-scoped SOC 2 or ISO 27001 found; FedRAMP wording conflicts</w:t>
      </w:r>
      <w:r>
        <w:t xml:space="preserve"> </w:t>
      </w:r>
      <w:r>
        <w:rPr>
          <w:rStyle w:val="ClaimLabel"/>
        </w:rPr>
        <w:t xml:space="preserve">VF</w:t>
      </w:r>
      <w:r>
        <w:rPr>
          <w:rStyle w:val="FootnoteReference"/>
        </w:rPr>
        <w:footnoteReference w:id="2431"/>
      </w:r>
    </w:p>
    <w:p>
      <w:pPr>
        <w:numPr>
          <w:ilvl w:val="0"/>
          <w:numId w:val="1538"/>
        </w:numPr>
        <w:pStyle w:val="Compact"/>
      </w:pPr>
      <w:r>
        <w:t xml:space="preserve">SR 11-7 accelerator maps to a superseded instrument; no SS1/23 or SR 26-2 claim</w:t>
      </w:r>
      <w:r>
        <w:t xml:space="preserve"> </w:t>
      </w:r>
      <w:r>
        <w:rPr>
          <w:rStyle w:val="ClaimLabel"/>
        </w:rPr>
        <w:t xml:space="preserve">VF</w:t>
      </w:r>
      <w:r>
        <w:rPr>
          <w:rStyle w:val="FootnoteReference"/>
        </w:rPr>
        <w:footnoteReference w:id="2433"/>
      </w:r>
      <w:r>
        <w:t xml:space="preserve"> </w:t>
      </w:r>
      <w:r>
        <w:rPr>
          <w:rStyle w:val="ClaimLabel"/>
        </w:rPr>
        <w:t xml:space="preserve">AJ</w:t>
      </w:r>
    </w:p>
    <w:p>
      <w:pPr>
        <w:numPr>
          <w:ilvl w:val="0"/>
          <w:numId w:val="1538"/>
        </w:numPr>
        <w:pStyle w:val="Compact"/>
      </w:pPr>
      <w:r>
        <w:t xml:space="preserve">Coupling to IBM’s agent runtime (watsonx Orchestrate)</w:t>
      </w:r>
      <w:r>
        <w:t xml:space="preserve"> </w:t>
      </w:r>
      <w:r>
        <w:rPr>
          <w:rStyle w:val="ClaimLabel"/>
        </w:rPr>
        <w:t xml:space="preserve">VF</w:t>
      </w:r>
      <w:r>
        <w:rPr>
          <w:rStyle w:val="FootnoteReference"/>
        </w:rPr>
        <w:footnoteReference w:id="2434"/>
      </w:r>
    </w:p>
    <w:p>
      <w:pPr>
        <w:numPr>
          <w:ilvl w:val="0"/>
          <w:numId w:val="1538"/>
        </w:numPr>
        <w:pStyle w:val="Compact"/>
      </w:pPr>
      <w:r>
        <w:t xml:space="preserve">Pricing table in source garbled; confirm</w:t>
      </w:r>
      <w:r>
        <w:t xml:space="preserve"> </w:t>
      </w:r>
      <w:r>
        <w:rPr>
          <w:rStyle w:val="ClaimLabel"/>
        </w:rPr>
        <w:t xml:space="preserve">VF</w:t>
      </w:r>
      <w:r>
        <w:rPr>
          <w:rStyle w:val="FootnoteReference"/>
        </w:rPr>
        <w:footnoteReference w:id="2435"/>
      </w:r>
    </w:p>
    <w:p>
      <w:pPr>
        <w:pStyle w:val="FirstParagraph"/>
      </w:pPr>
      <w:r>
        <w:rPr>
          <w:bCs/>
          <w:b/>
        </w:rPr>
        <w:t xml:space="preserve">Choose when</w:t>
      </w:r>
    </w:p>
    <w:p>
      <w:pPr>
        <w:numPr>
          <w:ilvl w:val="0"/>
          <w:numId w:val="1539"/>
        </w:numPr>
        <w:pStyle w:val="Compact"/>
      </w:pPr>
      <w:r>
        <w:t xml:space="preserve">You run watsonx Orchestrate or OpenPages, or want one platform for discovery, evaluation and governance of agents</w:t>
      </w:r>
      <w:r>
        <w:t xml:space="preserve"> </w:t>
      </w:r>
      <w:r>
        <w:rPr>
          <w:rStyle w:val="ClaimLabel"/>
        </w:rPr>
        <w:t xml:space="preserve">AJ</w:t>
      </w:r>
    </w:p>
    <w:p>
      <w:pPr>
        <w:pStyle w:val="FirstParagraph"/>
      </w:pPr>
      <w:r>
        <w:rPr>
          <w:bCs/>
          <w:b/>
        </w:rPr>
        <w:t xml:space="preserve">Avoid when</w:t>
      </w:r>
    </w:p>
    <w:p>
      <w:pPr>
        <w:numPr>
          <w:ilvl w:val="0"/>
          <w:numId w:val="1540"/>
        </w:numPr>
        <w:pStyle w:val="Compact"/>
      </w:pPr>
      <w:r>
        <w:t xml:space="preserve">You want governance independent of your agent runtime vendor</w:t>
      </w:r>
      <w:r>
        <w:t xml:space="preserve"> </w:t>
      </w:r>
      <w:r>
        <w:rPr>
          <w:rStyle w:val="ClaimLabel"/>
        </w:rPr>
        <w:t xml:space="preserve">AJ</w:t>
      </w:r>
    </w:p>
    <w:p>
      <w:pPr>
        <w:pStyle w:val="FirstParagraph"/>
      </w:pPr>
      <w:r>
        <w:rPr>
          <w:bCs/>
          <w:b/>
        </w:rPr>
        <w:t xml:space="preserve">Nearest competitors:</w:t>
      </w:r>
      <w:r>
        <w:t xml:space="preserve"> </w:t>
      </w:r>
      <w:r>
        <w:t xml:space="preserve">C8-validmind, C8-modelop, C8-credo-ai</w:t>
      </w:r>
    </w:p>
    <w:p>
      <w:pPr>
        <w:pStyle w:val="BodyText"/>
      </w:pPr>
      <w:r>
        <w:rPr>
          <w:bCs/>
          <w:b/>
        </w:rPr>
        <w:t xml:space="preserve">Regulated-FS note.</w:t>
      </w:r>
      <w:r>
        <w:t xml:space="preserve"> </w:t>
      </w:r>
      <w:r>
        <w:t xml:space="preserve">Obtain SOC 2 and ISO scope letters naming watsonx.governance; record IBM as one concentration point if Vault (C7) is also used</w:t>
      </w:r>
      <w:r>
        <w:t xml:space="preserve"> </w:t>
      </w:r>
      <w:r>
        <w:rPr>
          <w:rStyle w:val="ClaimLabel"/>
        </w:rPr>
        <w:t xml:space="preserve">Rec</w:t>
      </w:r>
      <w:r>
        <w:t xml:space="preserve">.</w:t>
      </w:r>
    </w:p>
    <w:p>
      <w:pPr>
        <w:pStyle w:val="BodyText"/>
      </w:pPr>
      <w:r>
        <w:rPr>
          <w:bCs/>
          <w:b/>
        </w:rPr>
        <w:t xml:space="preserve">Facts (as of 2026-10-07)</w:t>
      </w:r>
    </w:p>
    <w:tbl>
      <w:tblPr>
        <w:tblStyle w:val="Table"/>
        <w:tblW w:type="pct" w:w="5000"/>
        <w:tblLook w:firstRow="1" w:lastRow="0" w:firstColumn="0" w:lastColumn="0" w:noHBand="0" w:noVBand="0" w:val="0020"/>
        <w:jc w:val="start"/>
      </w:tblPr>
      <w:tblGrid>
        <w:gridCol w:w="1485"/>
        <w:gridCol w:w="4290"/>
        <w:gridCol w:w="1320"/>
        <w:gridCol w:w="825"/>
      </w:tblGrid>
      <w:tr>
        <w:trPr>
          <w:tblHeader w:val="true"/>
        </w:trPr>
        <w:tc>
          <w:tcPr/>
          <w:p>
            <w:pPr>
              <w:pStyle w:val="Compact"/>
              <w:jc w:val="left"/>
            </w:pPr>
            <w:r>
              <w:t xml:space="preserve">Field</w:t>
            </w:r>
          </w:p>
        </w:tc>
        <w:tc>
          <w:tcPr/>
          <w:p>
            <w:pPr>
              <w:pStyle w:val="Compact"/>
              <w:jc w:val="left"/>
            </w:pPr>
            <w:r>
              <w:t xml:space="preserve">Value</w:t>
            </w:r>
          </w:p>
        </w:tc>
        <w:tc>
          <w:tcPr/>
          <w:p>
            <w:pPr>
              <w:pStyle w:val="Compact"/>
              <w:jc w:val="left"/>
            </w:pPr>
            <w:r>
              <w:t xml:space="preserve">Label</w:t>
            </w:r>
          </w:p>
        </w:tc>
        <w:tc>
          <w:tcPr/>
          <w:p>
            <w:pPr>
              <w:pStyle w:val="Compact"/>
              <w:jc w:val="left"/>
            </w:pPr>
            <w:r>
              <w:t xml:space="preserve">Sources</w:t>
            </w:r>
          </w:p>
        </w:tc>
      </w:tr>
      <w:tr>
        <w:tc>
          <w:tcPr/>
          <w:p>
            <w:pPr>
              <w:pStyle w:val="Compact"/>
              <w:jc w:val="left"/>
            </w:pPr>
            <w:r>
              <w:t xml:space="preserve">Company</w:t>
            </w:r>
          </w:p>
        </w:tc>
        <w:tc>
          <w:tcPr/>
          <w:p>
            <w:pPr>
              <w:pStyle w:val="Compact"/>
              <w:jc w:val="left"/>
            </w:pPr>
            <w:r>
              <w:t xml:space="preserve">IBM</w:t>
            </w:r>
          </w:p>
        </w:tc>
        <w:tc>
          <w:tcPr/>
          <w:p>
            <w:pPr>
              <w:pStyle w:val="Compact"/>
              <w:jc w:val="left"/>
            </w:pPr>
            <w:r>
              <w:t xml:space="preserve">Verified fact</w:t>
            </w:r>
          </w:p>
        </w:tc>
        <w:tc>
          <w:tcPr/>
          <w:p>
            <w:pPr>
              <w:pStyle w:val="Compact"/>
              <w:jc w:val="left"/>
            </w:pPr>
            <w:r>
              <w:t xml:space="preserve">A7-S058</w:t>
            </w:r>
          </w:p>
        </w:tc>
      </w:tr>
      <w:tr>
        <w:tc>
          <w:tcPr/>
          <w:p>
            <w:pPr>
              <w:pStyle w:val="Compact"/>
              <w:jc w:val="left"/>
            </w:pPr>
            <w:r>
              <w:t xml:space="preserve">Category</w:t>
            </w:r>
          </w:p>
        </w:tc>
        <w:tc>
          <w:tcPr/>
          <w:p>
            <w:pPr>
              <w:pStyle w:val="Compact"/>
              <w:jc w:val="left"/>
            </w:pPr>
            <w:r>
              <w:t xml:space="preserve">AI governance, evaluation and model risk platform</w:t>
            </w:r>
          </w:p>
        </w:tc>
        <w:tc>
          <w:tcPr/>
          <w:p>
            <w:pPr>
              <w:pStyle w:val="Compact"/>
              <w:jc w:val="left"/>
            </w:pPr>
            <w:r>
              <w:t xml:space="preserve">Verified fact</w:t>
            </w:r>
          </w:p>
        </w:tc>
        <w:tc>
          <w:tcPr/>
          <w:p>
            <w:pPr>
              <w:pStyle w:val="Compact"/>
              <w:jc w:val="left"/>
            </w:pPr>
            <w:r>
              <w:t xml:space="preserve">A7-S058</w:t>
            </w:r>
          </w:p>
        </w:tc>
      </w:tr>
      <w:tr>
        <w:tc>
          <w:tcPr/>
          <w:p>
            <w:pPr>
              <w:pStyle w:val="Compact"/>
              <w:jc w:val="left"/>
            </w:pPr>
            <w:r>
              <w:t xml:space="preserve">Version / lineup</w:t>
            </w:r>
          </w:p>
        </w:tc>
        <w:tc>
          <w:tcPr/>
          <w:p>
            <w:pPr>
              <w:pStyle w:val="Compact"/>
              <w:jc w:val="left"/>
            </w:pPr>
            <w:r>
              <w:t xml:space="preserve">Continuous SaaS updates (IBM Cloud catalog updated 20 July 2026); v2.2.0 introduced policy packs; 2026 features: AI Asset Discovery (9 July 2026), Enforcement Tracking (11 August 2026), Guardium security metrics; SDK ibm-watsonx-gov 1.5.2 (18 September 2026)</w:t>
            </w:r>
          </w:p>
        </w:tc>
        <w:tc>
          <w:tcPr/>
          <w:p>
            <w:pPr>
              <w:pStyle w:val="Compact"/>
              <w:jc w:val="left"/>
            </w:pPr>
            <w:r>
              <w:t xml:space="preserve">Verified fact</w:t>
            </w:r>
          </w:p>
        </w:tc>
        <w:tc>
          <w:tcPr/>
          <w:p>
            <w:pPr>
              <w:pStyle w:val="Compact"/>
              <w:jc w:val="left"/>
            </w:pPr>
            <w:r>
              <w:t xml:space="preserve">A7-S103, A7-S111, A7-S058</w:t>
            </w:r>
          </w:p>
        </w:tc>
      </w:tr>
      <w:tr>
        <w:tc>
          <w:tcPr/>
          <w:p>
            <w:pPr>
              <w:pStyle w:val="Compact"/>
              <w:jc w:val="left"/>
            </w:pPr>
            <w:r>
              <w:t xml:space="preserve">Licence</w:t>
            </w:r>
          </w:p>
        </w:tc>
        <w:tc>
          <w:tcPr/>
          <w:p>
            <w:pPr>
              <w:pStyle w:val="Compact"/>
              <w:jc w:val="left"/>
            </w:pPr>
            <w:r>
              <w:t xml:space="preserve">Proprietary; SDK under IBM International License Agreement for Non-Warranted Programs</w:t>
            </w:r>
          </w:p>
        </w:tc>
        <w:tc>
          <w:tcPr/>
          <w:p>
            <w:pPr>
              <w:pStyle w:val="Compact"/>
              <w:jc w:val="left"/>
            </w:pPr>
            <w:r>
              <w:t xml:space="preserve">Verified fact</w:t>
            </w:r>
          </w:p>
        </w:tc>
        <w:tc>
          <w:tcPr/>
          <w:p>
            <w:pPr>
              <w:pStyle w:val="Compact"/>
              <w:jc w:val="left"/>
            </w:pPr>
            <w:r>
              <w:t xml:space="preserve">A7-S058</w:t>
            </w:r>
          </w:p>
        </w:tc>
      </w:tr>
      <w:tr>
        <w:tc>
          <w:tcPr/>
          <w:p>
            <w:pPr>
              <w:pStyle w:val="Compact"/>
              <w:jc w:val="left"/>
            </w:pPr>
            <w:r>
              <w:t xml:space="preserve">Strategic direction</w:t>
            </w:r>
          </w:p>
        </w:tc>
        <w:tc>
          <w:tcPr/>
          <w:p>
            <w:pPr>
              <w:pStyle w:val="Compact"/>
              <w:jc w:val="left"/>
            </w:pPr>
            <w:r>
              <w:t xml:space="preserve">Agentic governance: automatic retrieval of agent evaluation metrics against governance thresholds, discovery of unmanaged agents, tools, MCP servers and models, regulatory horizon scanning (CUBE) previewed at Think 2026, integration with watsonx Orchestrate</w:t>
            </w:r>
          </w:p>
        </w:tc>
        <w:tc>
          <w:tcPr/>
          <w:p>
            <w:pPr>
              <w:pStyle w:val="Compact"/>
              <w:jc w:val="left"/>
            </w:pPr>
            <w:r>
              <w:t xml:space="preserve">Verified fact</w:t>
            </w:r>
          </w:p>
        </w:tc>
        <w:tc>
          <w:tcPr/>
          <w:p>
            <w:pPr>
              <w:pStyle w:val="Compact"/>
              <w:jc w:val="left"/>
            </w:pPr>
            <w:r>
              <w:t xml:space="preserve">A7-S111</w:t>
            </w:r>
          </w:p>
        </w:tc>
      </w:tr>
      <w:tr>
        <w:tc>
          <w:tcPr/>
          <w:p>
            <w:pPr>
              <w:pStyle w:val="Compact"/>
              <w:jc w:val="left"/>
            </w:pPr>
            <w:r>
              <w:t xml:space="preserve">What it does</w:t>
            </w:r>
          </w:p>
        </w:tc>
        <w:tc>
          <w:tcPr/>
          <w:p>
            <w:pPr>
              <w:pStyle w:val="Compact"/>
              <w:jc w:val="left"/>
            </w:pPr>
            <w:r>
              <w:t xml:space="preserve">Inventories AI use cases and models, evaluates models, prompt templates and agents, monitors them in production and ties metrics to risks, controls and approvals; Compliance Accelerators map obligations to controls.</w:t>
            </w:r>
          </w:p>
        </w:tc>
        <w:tc>
          <w:tcPr/>
          <w:p>
            <w:pPr>
              <w:pStyle w:val="Compact"/>
              <w:jc w:val="left"/>
            </w:pPr>
            <w:r>
              <w:t xml:space="preserve">Verified fact</w:t>
            </w:r>
          </w:p>
        </w:tc>
        <w:tc>
          <w:tcPr/>
          <w:p>
            <w:pPr>
              <w:pStyle w:val="Compact"/>
              <w:jc w:val="left"/>
            </w:pPr>
            <w:r>
              <w:t xml:space="preserve">A7-S103, A7-S111, A7-S058</w:t>
            </w:r>
          </w:p>
        </w:tc>
      </w:tr>
      <w:tr>
        <w:tc>
          <w:tcPr/>
          <w:p>
            <w:pPr>
              <w:pStyle w:val="Compact"/>
              <w:jc w:val="left"/>
            </w:pPr>
            <w:r>
              <w:t xml:space="preserve">Stack position</w:t>
            </w:r>
          </w:p>
        </w:tc>
        <w:tc>
          <w:tcPr/>
          <w:p>
            <w:pPr>
              <w:pStyle w:val="Compact"/>
              <w:jc w:val="left"/>
            </w:pPr>
            <w:r>
              <w:t xml:space="preserve">C8 governance consuming L9 evaluation/monitoring evidence and C7 security findings (Guardium)</w:t>
            </w:r>
          </w:p>
        </w:tc>
        <w:tc>
          <w:tcPr/>
          <w:p>
            <w:pPr>
              <w:pStyle w:val="Compact"/>
              <w:jc w:val="left"/>
            </w:pPr>
            <w:r>
              <w:t xml:space="preserve">Verified fact</w:t>
            </w:r>
          </w:p>
        </w:tc>
        <w:tc>
          <w:tcPr/>
          <w:p>
            <w:pPr>
              <w:pStyle w:val="Compact"/>
              <w:jc w:val="left"/>
            </w:pPr>
            <w:r>
              <w:t xml:space="preserve">A7-S111</w:t>
            </w:r>
          </w:p>
        </w:tc>
      </w:tr>
      <w:tr>
        <w:tc>
          <w:tcPr/>
          <w:p>
            <w:pPr>
              <w:pStyle w:val="Compact"/>
              <w:jc w:val="left"/>
            </w:pPr>
            <w:r>
              <w:t xml:space="preserve">Integration</w:t>
            </w:r>
          </w:p>
        </w:tc>
        <w:tc>
          <w:tcPr/>
          <w:p>
            <w:pPr>
              <w:pStyle w:val="Compact"/>
              <w:jc w:val="left"/>
            </w:pPr>
            <w:r>
              <w:t xml:space="preserve">Python SDK with sample notebooks</w:t>
            </w:r>
          </w:p>
        </w:tc>
        <w:tc>
          <w:tcPr/>
          <w:p>
            <w:pPr>
              <w:pStyle w:val="Compact"/>
              <w:jc w:val="left"/>
            </w:pPr>
            <w:r>
              <w:t xml:space="preserve">Verified fact</w:t>
            </w:r>
          </w:p>
        </w:tc>
        <w:tc>
          <w:tcPr/>
          <w:p>
            <w:pPr>
              <w:pStyle w:val="Compact"/>
              <w:jc w:val="left"/>
            </w:pPr>
            <w:r>
              <w:t xml:space="preserve">A7-S058, A7-S094</w:t>
            </w:r>
          </w:p>
        </w:tc>
      </w:tr>
      <w:tr>
        <w:tc>
          <w:tcPr/>
          <w:p>
            <w:pPr>
              <w:pStyle w:val="Compact"/>
              <w:jc w:val="left"/>
            </w:pPr>
            <w:r>
              <w:t xml:space="preserve">Dependencies</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Certifications</w:t>
            </w:r>
          </w:p>
        </w:tc>
        <w:tc>
          <w:tcPr/>
          <w:p>
            <w:pPr>
              <w:pStyle w:val="Compact"/>
              <w:jc w:val="left"/>
            </w:pPr>
            <w:r>
              <w:t xml:space="preserve">FedRAMP-authorised watsonx.governance on AWS GovCloud (IBM page); SOC 2/ISO not verified</w:t>
            </w:r>
          </w:p>
        </w:tc>
        <w:tc>
          <w:tcPr/>
          <w:p>
            <w:pPr>
              <w:pStyle w:val="Compact"/>
              <w:jc w:val="left"/>
            </w:pPr>
            <w:r>
              <w:t xml:space="preserve">Verified fact</w:t>
            </w:r>
          </w:p>
        </w:tc>
        <w:tc>
          <w:tcPr/>
          <w:p>
            <w:pPr>
              <w:pStyle w:val="Compact"/>
              <w:jc w:val="left"/>
            </w:pPr>
            <w:r>
              <w:t xml:space="preserve">A7-S103</w:t>
            </w:r>
          </w:p>
        </w:tc>
      </w:tr>
      <w:tr>
        <w:tc>
          <w:tcPr/>
          <w:p>
            <w:pPr>
              <w:pStyle w:val="Compact"/>
              <w:jc w:val="left"/>
            </w:pPr>
            <w:r>
              <w:t xml:space="preserve">GDPR / residency</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Security features</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Access controls</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Enterprise support</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Pricing</w:t>
            </w:r>
          </w:p>
        </w:tc>
        <w:tc>
          <w:tcPr/>
          <w:p>
            <w:pPr>
              <w:pStyle w:val="Compact"/>
              <w:jc w:val="left"/>
            </w:pPr>
            <w:r>
              <w:t xml:space="preserve">Lite free tier; Essentials pay-as-you-go (model evaluation US$0.64 per evaluation, about 100 free); GRC per-instance and per-concurrent-user charges; AWS SaaS bundle US$38,160 (1 instance, 12,000 evaluations/year, 5 use cases, 25 concurrent users); self-managed priced per virtual processor core; indicative, varies by country</w:t>
            </w:r>
          </w:p>
        </w:tc>
        <w:tc>
          <w:tcPr/>
          <w:p>
            <w:pPr>
              <w:pStyle w:val="Compact"/>
              <w:jc w:val="left"/>
            </w:pPr>
            <w:r>
              <w:t xml:space="preserve">Verified fact</w:t>
            </w:r>
          </w:p>
        </w:tc>
        <w:tc>
          <w:tcPr/>
          <w:p>
            <w:pPr>
              <w:pStyle w:val="Compact"/>
              <w:jc w:val="left"/>
            </w:pPr>
            <w:r>
              <w:t xml:space="preserve">A7-S103</w:t>
            </w:r>
          </w:p>
        </w:tc>
      </w:tr>
      <w:tr>
        <w:tc>
          <w:tcPr/>
          <w:p>
            <w:pPr>
              <w:pStyle w:val="Compact"/>
              <w:jc w:val="left"/>
            </w:pPr>
            <w:r>
              <w:t xml:space="preserve">Infrastructure cost</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Ecosystem</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Adoption signals</w:t>
            </w:r>
          </w:p>
        </w:tc>
        <w:tc>
          <w:tcPr/>
          <w:p>
            <w:pPr>
              <w:pStyle w:val="Compact"/>
              <w:jc w:val="left"/>
            </w:pPr>
            <w:r>
              <w:t xml:space="preserve">IBM states Leader in 2026 IDC MarketScape for AI-enabled financial GRC (with OpenPages)</w:t>
            </w:r>
          </w:p>
        </w:tc>
        <w:tc>
          <w:tcPr/>
          <w:p>
            <w:pPr>
              <w:pStyle w:val="Compact"/>
              <w:jc w:val="left"/>
            </w:pPr>
            <w:r>
              <w:t xml:space="preserve">Verified fact</w:t>
            </w:r>
          </w:p>
        </w:tc>
        <w:tc>
          <w:tcPr/>
          <w:p>
            <w:pPr>
              <w:pStyle w:val="Compact"/>
              <w:jc w:val="left"/>
            </w:pPr>
            <w:r>
              <w:t xml:space="preserve">A7-S103</w:t>
            </w:r>
          </w:p>
        </w:tc>
      </w:tr>
      <w:tr>
        <w:tc>
          <w:tcPr/>
          <w:p>
            <w:pPr>
              <w:pStyle w:val="Compact"/>
              <w:jc w:val="left"/>
            </w:pPr>
            <w:r>
              <w:t xml:space="preserve">Maturity</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Deployment</w:t>
            </w:r>
          </w:p>
        </w:tc>
        <w:tc>
          <w:tcPr/>
          <w:p>
            <w:pPr>
              <w:pStyle w:val="Compact"/>
              <w:jc w:val="left"/>
            </w:pPr>
            <w:r>
              <w:t xml:space="preserve">saas: Yes (IBM Cloud, AWS); managed_cloud: Not publicly verified; vpc_byoc: Not publicly verified; private_cloud: Not publicly verified; self_hosted: Yes (software in customer-managed AWS/Azure; licences on both marketplaces); on_prem: Yes (on-premises and hybrid)</w:t>
            </w:r>
          </w:p>
        </w:tc>
        <w:tc>
          <w:tcPr/>
          <w:p>
            <w:pPr>
              <w:pStyle w:val="Compact"/>
            </w:pPr>
          </w:p>
        </w:tc>
        <w:tc>
          <w:tcPr/>
          <w:p>
            <w:pPr>
              <w:pStyle w:val="Compact"/>
            </w:pPr>
          </w:p>
        </w:tc>
      </w:tr>
    </w:tbl>
    <w:bookmarkEnd w:id="2436"/>
    <w:bookmarkStart w:id="2451" w:name="X8ef8e9108c4723e990ec65e355e10a94a2b885d"/>
    <w:p>
      <w:pPr>
        <w:pStyle w:val="Heading2"/>
      </w:pPr>
      <w:r>
        <w:t xml:space="preserve">Credo AI AI governance platform (AI Registry, policy packs, Govern AI Assistant) (</w:t>
      </w:r>
      <w:r>
        <w:rPr>
          <w:rStyle w:val="VerbatimChar"/>
        </w:rPr>
        <w:t xml:space="preserve">C8-credo-ai</w:t>
      </w:r>
      <w:r>
        <w:t xml:space="preserve">)</w:t>
      </w:r>
    </w:p>
    <w:p>
      <w:pPr>
        <w:pStyle w:val="FirstParagraph"/>
      </w:pPr>
      <w:r>
        <w:rPr>
          <w:bCs/>
          <w:b/>
        </w:rPr>
        <w:t xml:space="preserve">Tier:</w:t>
      </w:r>
      <w:r>
        <w:t xml:space="preserve"> </w:t>
      </w:r>
      <w:r>
        <w:t xml:space="preserve">Tactical ·</w:t>
      </w:r>
      <w:r>
        <w:t xml:space="preserve"> </w:t>
      </w:r>
      <w:r>
        <w:rPr>
          <w:bCs/>
          <w:b/>
        </w:rPr>
        <w:t xml:space="preserve">Flags:</w:t>
      </w:r>
      <w:r>
        <w:t xml:space="preserve"> </w:t>
      </w:r>
      <w:r>
        <w:t xml:space="preserve">none ·</w:t>
      </w:r>
      <w:r>
        <w:t xml:space="preserve"> </w:t>
      </w:r>
      <w:r>
        <w:rPr>
          <w:bCs/>
          <w:b/>
        </w:rPr>
        <w:t xml:space="preserve">Original graphic label:</w:t>
      </w:r>
      <w:r>
        <w:t xml:space="preserve"> </w:t>
      </w:r>
      <w:r>
        <w:t xml:space="preserve">not in graphic</w:t>
      </w:r>
    </w:p>
    <w:p>
      <w:pPr>
        <w:pStyle w:val="BodyText"/>
      </w:pPr>
      <w:r>
        <w:rPr>
          <w:iCs/>
          <w:i/>
        </w:rPr>
        <w:t xml:space="preserve">Rationale:</w:t>
      </w:r>
      <w:r>
        <w:t xml:space="preserve"> </w:t>
      </w:r>
      <w:r>
        <w:t xml:space="preserve">Strong deployment and identity controls for policy-led governance; certification evidence unconfirmed and validation depth limited</w:t>
      </w:r>
      <w:r>
        <w:t xml:space="preserve"> </w:t>
      </w:r>
      <w:r>
        <w:rPr>
          <w:rStyle w:val="ClaimLabel"/>
        </w:rPr>
        <w:t xml:space="preserve">AJ</w:t>
      </w:r>
      <w:r>
        <w:t xml:space="preserve">.</w:t>
      </w:r>
    </w:p>
    <w:tbl>
      <w:tblPr>
        <w:tblStyle w:val="Table"/>
        <w:tblW w:type="pct" w:w="5000"/>
        <w:tblLook w:firstRow="1" w:lastRow="0" w:firstColumn="0" w:lastColumn="0" w:noHBand="0" w:noVBand="0" w:val="0020"/>
        <w:jc w:val="start"/>
      </w:tblPr>
      <w:tblGrid>
        <w:gridCol w:w="1545"/>
        <w:gridCol w:w="579"/>
        <w:gridCol w:w="5795"/>
      </w:tblGrid>
      <w:tr>
        <w:trPr>
          <w:tblHeader w:val="true"/>
        </w:trPr>
        <w:tc>
          <w:tcPr/>
          <w:p>
            <w:pPr>
              <w:pStyle w:val="Compact"/>
              <w:jc w:val="left"/>
            </w:pPr>
            <w:r>
              <w:t xml:space="preserve">Criterion</w:t>
            </w:r>
          </w:p>
        </w:tc>
        <w:tc>
          <w:tcPr/>
          <w:p>
            <w:pPr>
              <w:pStyle w:val="Compact"/>
              <w:jc w:val="right"/>
            </w:pPr>
            <w:r>
              <w:t xml:space="preserve">Score</w:t>
            </w:r>
          </w:p>
        </w:tc>
        <w:tc>
          <w:tcPr/>
          <w:p>
            <w:pPr>
              <w:pStyle w:val="Compact"/>
              <w:jc w:val="left"/>
            </w:pPr>
            <w:r>
              <w:t xml:space="preserve">Rationale</w:t>
            </w:r>
          </w:p>
        </w:tc>
      </w:tr>
      <w:tr>
        <w:tc>
          <w:tcPr/>
          <w:p>
            <w:pPr>
              <w:pStyle w:val="Compact"/>
              <w:jc w:val="left"/>
            </w:pPr>
            <w:r>
              <w:t xml:space="preserve">Technical</w:t>
            </w:r>
          </w:p>
        </w:tc>
        <w:tc>
          <w:tcPr/>
          <w:p>
            <w:pPr>
              <w:pStyle w:val="Compact"/>
              <w:jc w:val="right"/>
            </w:pPr>
            <w:r>
              <w:t xml:space="preserve">3</w:t>
            </w:r>
          </w:p>
        </w:tc>
        <w:tc>
          <w:tcPr/>
          <w:p>
            <w:pPr>
              <w:pStyle w:val="Compact"/>
              <w:jc w:val="left"/>
            </w:pPr>
            <w:r>
              <w:t xml:space="preserve">Inventory, policy and evidence strong; validation and monitoring workflows not evidenced.</w:t>
            </w:r>
          </w:p>
        </w:tc>
      </w:tr>
      <w:tr>
        <w:tc>
          <w:tcPr/>
          <w:p>
            <w:pPr>
              <w:pStyle w:val="Compact"/>
              <w:jc w:val="left"/>
            </w:pPr>
            <w:r>
              <w:t xml:space="preserve">Enterprise readiness</w:t>
            </w:r>
          </w:p>
        </w:tc>
        <w:tc>
          <w:tcPr/>
          <w:p>
            <w:pPr>
              <w:pStyle w:val="Compact"/>
              <w:jc w:val="right"/>
            </w:pPr>
            <w:r>
              <w:t xml:space="preserve">4</w:t>
            </w:r>
          </w:p>
        </w:tc>
        <w:tc>
          <w:tcPr/>
          <w:p>
            <w:pPr>
              <w:pStyle w:val="Compact"/>
              <w:jc w:val="left"/>
            </w:pPr>
            <w:r>
              <w:t xml:space="preserve">SSO, SCIM, audit-log APIs and role scopes verified.</w:t>
            </w:r>
          </w:p>
        </w:tc>
      </w:tr>
      <w:tr>
        <w:tc>
          <w:tcPr/>
          <w:p>
            <w:pPr>
              <w:pStyle w:val="Compact"/>
              <w:jc w:val="left"/>
            </w:pPr>
            <w:r>
              <w:t xml:space="preserve">Security and compliance</w:t>
            </w:r>
          </w:p>
        </w:tc>
        <w:tc>
          <w:tcPr/>
          <w:p>
            <w:pPr>
              <w:pStyle w:val="Compact"/>
              <w:jc w:val="right"/>
            </w:pPr>
            <w:r>
              <w:t xml:space="preserve">2</w:t>
            </w:r>
          </w:p>
        </w:tc>
        <w:tc>
          <w:tcPr/>
          <w:p>
            <w:pPr>
              <w:pStyle w:val="Compact"/>
              <w:jc w:val="left"/>
            </w:pPr>
            <w:r>
              <w:t xml:space="preserve">Capped at 2: SOC 2 Type II report not re-confirmed (V2 section 4 item 9).</w:t>
            </w:r>
          </w:p>
        </w:tc>
      </w:tr>
      <w:tr>
        <w:tc>
          <w:tcPr/>
          <w:p>
            <w:pPr>
              <w:pStyle w:val="Compact"/>
              <w:jc w:val="left"/>
            </w:pPr>
            <w:r>
              <w:t xml:space="preserve">Deployment flexibility</w:t>
            </w:r>
          </w:p>
        </w:tc>
        <w:tc>
          <w:tcPr/>
          <w:p>
            <w:pPr>
              <w:pStyle w:val="Compact"/>
              <w:jc w:val="right"/>
            </w:pPr>
            <w:r>
              <w:t xml:space="preserve">5</w:t>
            </w:r>
          </w:p>
        </w:tc>
        <w:tc>
          <w:tcPr/>
          <w:p>
            <w:pPr>
              <w:pStyle w:val="Compact"/>
              <w:jc w:val="left"/>
            </w:pPr>
            <w:r>
              <w:t xml:space="preserve">EU SaaS, self-hosted and air-gapped.</w:t>
            </w:r>
          </w:p>
        </w:tc>
      </w:tr>
      <w:tr>
        <w:tc>
          <w:tcPr/>
          <w:p>
            <w:pPr>
              <w:pStyle w:val="Compact"/>
              <w:jc w:val="left"/>
            </w:pPr>
            <w:r>
              <w:t xml:space="preserve">Ecosystem</w:t>
            </w:r>
          </w:p>
        </w:tc>
        <w:tc>
          <w:tcPr/>
          <w:p>
            <w:pPr>
              <w:pStyle w:val="Compact"/>
              <w:jc w:val="right"/>
            </w:pPr>
            <w:r>
              <w:t xml:space="preserve">4</w:t>
            </w:r>
          </w:p>
        </w:tc>
        <w:tc>
          <w:tcPr/>
          <w:p>
            <w:pPr>
              <w:pStyle w:val="Compact"/>
              <w:jc w:val="left"/>
            </w:pPr>
            <w:r>
              <w:t xml:space="preserve">30+ partner integrations including Azure, watsonx, Databricks, Collibra.</w:t>
            </w:r>
          </w:p>
        </w:tc>
      </w:tr>
      <w:tr>
        <w:tc>
          <w:tcPr/>
          <w:p>
            <w:pPr>
              <w:pStyle w:val="Compact"/>
              <w:jc w:val="left"/>
            </w:pPr>
            <w:r>
              <w:t xml:space="preserve">Reliability and maturity</w:t>
            </w:r>
          </w:p>
        </w:tc>
        <w:tc>
          <w:tcPr/>
          <w:p>
            <w:pPr>
              <w:pStyle w:val="Compact"/>
              <w:jc w:val="right"/>
            </w:pPr>
            <w:r>
              <w:t xml:space="preserve">3</w:t>
            </w:r>
          </w:p>
        </w:tc>
        <w:tc>
          <w:tcPr/>
          <w:p>
            <w:pPr>
              <w:pStyle w:val="Compact"/>
              <w:jc w:val="left"/>
            </w:pPr>
            <w:r>
              <w:t xml:space="preserve">Independent; last disclosed round July 2024; Lens deprecated.</w:t>
            </w:r>
          </w:p>
        </w:tc>
      </w:tr>
      <w:tr>
        <w:tc>
          <w:tcPr/>
          <w:p>
            <w:pPr>
              <w:pStyle w:val="Compact"/>
              <w:jc w:val="left"/>
            </w:pPr>
            <w:r>
              <w:t xml:space="preserve">Cost / TCO</w:t>
            </w:r>
          </w:p>
        </w:tc>
        <w:tc>
          <w:tcPr/>
          <w:p>
            <w:pPr>
              <w:pStyle w:val="Compact"/>
              <w:jc w:val="right"/>
            </w:pPr>
            <w:r>
              <w:t xml:space="preserve">2</w:t>
            </w:r>
          </w:p>
        </w:tc>
        <w:tc>
          <w:tcPr/>
          <w:p>
            <w:pPr>
              <w:pStyle w:val="Compact"/>
              <w:jc w:val="left"/>
            </w:pPr>
            <w:r>
              <w:t xml:space="preserve">Pricing not published.</w:t>
            </w:r>
          </w:p>
        </w:tc>
      </w:tr>
      <w:tr>
        <w:tc>
          <w:tcPr/>
          <w:p>
            <w:pPr>
              <w:pStyle w:val="Compact"/>
              <w:jc w:val="left"/>
            </w:pPr>
            <w:r>
              <w:t xml:space="preserve">Lock-in / portability</w:t>
            </w:r>
          </w:p>
        </w:tc>
        <w:tc>
          <w:tcPr/>
          <w:p>
            <w:pPr>
              <w:pStyle w:val="Compact"/>
              <w:jc w:val="right"/>
            </w:pPr>
            <w:r>
              <w:t xml:space="preserve">3</w:t>
            </w:r>
          </w:p>
        </w:tc>
        <w:tc>
          <w:tcPr/>
          <w:p>
            <w:pPr>
              <w:pStyle w:val="Compact"/>
              <w:jc w:val="left"/>
            </w:pPr>
            <w:r>
              <w:t xml:space="preserve">Proprietary but independent; audit-log APIs give data access.</w:t>
            </w:r>
          </w:p>
        </w:tc>
      </w:tr>
      <w:tr>
        <w:tc>
          <w:tcPr/>
          <w:p>
            <w:pPr>
              <w:pStyle w:val="Compact"/>
              <w:jc w:val="left"/>
            </w:pPr>
            <w:r>
              <w:rPr>
                <w:bCs/>
                <w:b/>
              </w:rPr>
              <w:t xml:space="preserve">Total (generic / FS)</w:t>
            </w:r>
          </w:p>
        </w:tc>
        <w:tc>
          <w:tcPr/>
          <w:p>
            <w:pPr>
              <w:pStyle w:val="Compact"/>
              <w:jc w:val="right"/>
            </w:pPr>
            <w:r>
              <w:rPr>
                <w:bCs/>
                <w:b/>
              </w:rPr>
              <w:t xml:space="preserve">3.30 / 3.25</w:t>
            </w:r>
          </w:p>
        </w:tc>
        <w:tc>
          <w:tcPr/>
          <w:p>
            <w:pPr>
              <w:pStyle w:val="Compact"/>
            </w:pPr>
          </w:p>
        </w:tc>
      </w:tr>
    </w:tbl>
    <w:p>
      <w:pPr>
        <w:pStyle w:val="BodyText"/>
      </w:pPr>
      <w:r>
        <w:rPr>
          <w:iCs/>
          <w:i/>
        </w:rPr>
        <w:t xml:space="preserve">Evidence rules applied:</w:t>
      </w:r>
      <w:r>
        <w:t xml:space="preserve"> </w:t>
      </w:r>
      <w:r>
        <w:t xml:space="preserve">security_compliance capped at 2: SOC 2 Type II report not re-confirmed (V2 verification log section 4)</w:t>
      </w:r>
    </w:p>
    <w:p>
      <w:pPr>
        <w:pStyle w:val="BodyText"/>
      </w:pPr>
      <w:r>
        <w:rPr>
          <w:bCs/>
          <w:b/>
        </w:rPr>
        <w:t xml:space="preserve">Capabilities.</w:t>
      </w:r>
      <w:r>
        <w:t xml:space="preserve"> </w:t>
      </w:r>
      <w:r>
        <w:t xml:space="preserve">AI governance platform: AI Registry with auto-discovery, policy packs (EU AI Act, NIST AI RMF, ISO 42001, SOC 2) from a knowledge graph of 160+ policies and 110+ controls, audit-ready evidence and audit trails; moving to agent registry and runtime governance; AIUC-1 integrated</w:t>
      </w:r>
      <w:r>
        <w:t xml:space="preserve"> </w:t>
      </w:r>
      <w:r>
        <w:rPr>
          <w:rStyle w:val="ClaimLabel"/>
        </w:rPr>
        <w:t xml:space="preserve">VF</w:t>
      </w:r>
      <w:r>
        <w:rPr>
          <w:rStyle w:val="FootnoteReference"/>
        </w:rPr>
        <w:footnoteReference w:id="2437"/>
      </w:r>
      <w:r>
        <w:t xml:space="preserve">.</w:t>
      </w:r>
    </w:p>
    <w:p>
      <w:pPr>
        <w:pStyle w:val="BodyText"/>
      </w:pPr>
      <w:r>
        <w:rPr>
          <w:bCs/>
          <w:b/>
        </w:rPr>
        <w:t xml:space="preserve">Strengths</w:t>
      </w:r>
    </w:p>
    <w:p>
      <w:pPr>
        <w:numPr>
          <w:ilvl w:val="0"/>
          <w:numId w:val="1541"/>
        </w:numPr>
        <w:pStyle w:val="Compact"/>
      </w:pPr>
      <w:r>
        <w:t xml:space="preserve">Widest deployment choice: SaaS on AWS (US) or Azure (EU), self-hosted Kubernetes, air-gapped</w:t>
      </w:r>
      <w:r>
        <w:t xml:space="preserve"> </w:t>
      </w:r>
      <w:r>
        <w:rPr>
          <w:rStyle w:val="ClaimLabel"/>
        </w:rPr>
        <w:t xml:space="preserve">VF</w:t>
      </w:r>
      <w:r>
        <w:rPr>
          <w:rStyle w:val="FootnoteReference"/>
        </w:rPr>
        <w:footnoteReference w:id="2439"/>
      </w:r>
    </w:p>
    <w:p>
      <w:pPr>
        <w:numPr>
          <w:ilvl w:val="0"/>
          <w:numId w:val="1541"/>
        </w:numPr>
        <w:pStyle w:val="Compact"/>
      </w:pPr>
      <w:r>
        <w:t xml:space="preserve">SSO via OIDC (SAML via dex), SCIM, audit logs and audit-log APIs, role scopes</w:t>
      </w:r>
      <w:r>
        <w:t xml:space="preserve"> </w:t>
      </w:r>
      <w:r>
        <w:rPr>
          <w:rStyle w:val="ClaimLabel"/>
        </w:rPr>
        <w:t xml:space="preserve">VF</w:t>
      </w:r>
      <w:r>
        <w:rPr>
          <w:rStyle w:val="FootnoteReference"/>
        </w:rPr>
        <w:footnoteReference w:id="2442"/>
      </w:r>
    </w:p>
    <w:p>
      <w:pPr>
        <w:numPr>
          <w:ilvl w:val="0"/>
          <w:numId w:val="1541"/>
        </w:numPr>
        <w:pStyle w:val="Compact"/>
      </w:pPr>
      <w:r>
        <w:t xml:space="preserve">Integrations with Azure, watsonx, Databricks, Collibra and 30+ partners</w:t>
      </w:r>
      <w:r>
        <w:t xml:space="preserve"> </w:t>
      </w:r>
      <w:r>
        <w:rPr>
          <w:rStyle w:val="ClaimLabel"/>
        </w:rPr>
        <w:t xml:space="preserve">VF</w:t>
      </w:r>
      <w:r>
        <w:rPr>
          <w:rStyle w:val="FootnoteReference"/>
        </w:rPr>
        <w:footnoteReference w:id="2443"/>
      </w:r>
    </w:p>
    <w:p>
      <w:pPr>
        <w:pStyle w:val="FirstParagraph"/>
      </w:pPr>
      <w:r>
        <w:rPr>
          <w:bCs/>
          <w:b/>
        </w:rPr>
        <w:t xml:space="preserve">Limitations and risks</w:t>
      </w:r>
    </w:p>
    <w:p>
      <w:pPr>
        <w:numPr>
          <w:ilvl w:val="0"/>
          <w:numId w:val="1542"/>
        </w:numPr>
        <w:pStyle w:val="Compact"/>
      </w:pPr>
      <w:r>
        <w:t xml:space="preserve">SOC 2 Type II report listed but not re-confirmed by the verifier</w:t>
      </w:r>
      <w:r>
        <w:t xml:space="preserve"> </w:t>
      </w:r>
      <w:r>
        <w:rPr>
          <w:rStyle w:val="ClaimLabel"/>
        </w:rPr>
        <w:t xml:space="preserve">VF</w:t>
      </w:r>
      <w:r>
        <w:rPr>
          <w:rStyle w:val="FootnoteReference"/>
        </w:rPr>
        <w:footnoteReference w:id="2445"/>
      </w:r>
      <w:r>
        <w:t xml:space="preserve">; no ISO 27001/42001 found</w:t>
      </w:r>
    </w:p>
    <w:p>
      <w:pPr>
        <w:numPr>
          <w:ilvl w:val="0"/>
          <w:numId w:val="1542"/>
        </w:numPr>
        <w:pStyle w:val="Compact"/>
      </w:pPr>
      <w:r>
        <w:t xml:space="preserve">No SR 26-2 or SS1/23 mapping found; light on model validation</w:t>
      </w:r>
      <w:r>
        <w:t xml:space="preserve"> </w:t>
      </w:r>
      <w:r>
        <w:rPr>
          <w:rStyle w:val="ClaimLabel"/>
        </w:rPr>
        <w:t xml:space="preserve">VF</w:t>
      </w:r>
      <w:r>
        <w:rPr>
          <w:rStyle w:val="FootnoteReference"/>
        </w:rPr>
        <w:footnoteReference w:id="2447"/>
      </w:r>
      <w:r>
        <w:t xml:space="preserve"> </w:t>
      </w:r>
      <w:r>
        <w:rPr>
          <w:rStyle w:val="ClaimLabel"/>
        </w:rPr>
        <w:t xml:space="preserve">AJ</w:t>
      </w:r>
    </w:p>
    <w:p>
      <w:pPr>
        <w:numPr>
          <w:ilvl w:val="0"/>
          <w:numId w:val="1542"/>
        </w:numPr>
        <w:pStyle w:val="Compact"/>
      </w:pPr>
      <w:r>
        <w:t xml:space="preserve">Open-source Lens deprecated (last release May 2023)</w:t>
      </w:r>
      <w:r>
        <w:t xml:space="preserve"> </w:t>
      </w:r>
      <w:r>
        <w:rPr>
          <w:rStyle w:val="ClaimLabel"/>
        </w:rPr>
        <w:t xml:space="preserve">VF</w:t>
      </w:r>
      <w:r>
        <w:rPr>
          <w:rStyle w:val="FootnoteReference"/>
        </w:rPr>
        <w:footnoteReference w:id="2448"/>
      </w:r>
    </w:p>
    <w:p>
      <w:pPr>
        <w:numPr>
          <w:ilvl w:val="0"/>
          <w:numId w:val="1542"/>
        </w:numPr>
        <w:pStyle w:val="Compact"/>
      </w:pPr>
      <w:r>
        <w:t xml:space="preserve">Pricing not published</w:t>
      </w:r>
      <w:r>
        <w:t xml:space="preserve"> </w:t>
      </w:r>
      <w:r>
        <w:rPr>
          <w:rStyle w:val="ClaimLabel"/>
        </w:rPr>
        <w:t xml:space="preserve">NPV</w:t>
      </w:r>
    </w:p>
    <w:p>
      <w:pPr>
        <w:pStyle w:val="FirstParagraph"/>
      </w:pPr>
      <w:r>
        <w:rPr>
          <w:bCs/>
          <w:b/>
        </w:rPr>
        <w:t xml:space="preserve">Choose when</w:t>
      </w:r>
    </w:p>
    <w:p>
      <w:pPr>
        <w:numPr>
          <w:ilvl w:val="0"/>
          <w:numId w:val="1543"/>
        </w:numPr>
        <w:pStyle w:val="Compact"/>
      </w:pPr>
      <w:r>
        <w:t xml:space="preserve">The programme is policy- and compliance-led across many business units</w:t>
      </w:r>
      <w:r>
        <w:t xml:space="preserve"> </w:t>
      </w:r>
      <w:r>
        <w:rPr>
          <w:rStyle w:val="ClaimLabel"/>
        </w:rPr>
        <w:t xml:space="preserve">AJ</w:t>
      </w:r>
    </w:p>
    <w:p>
      <w:pPr>
        <w:pStyle w:val="FirstParagraph"/>
      </w:pPr>
      <w:r>
        <w:rPr>
          <w:bCs/>
          <w:b/>
        </w:rPr>
        <w:t xml:space="preserve">Avoid when</w:t>
      </w:r>
    </w:p>
    <w:p>
      <w:pPr>
        <w:numPr>
          <w:ilvl w:val="0"/>
          <w:numId w:val="1544"/>
        </w:numPr>
        <w:pStyle w:val="Compact"/>
      </w:pPr>
      <w:r>
        <w:t xml:space="preserve">The main need is quantitative model validation</w:t>
      </w:r>
      <w:r>
        <w:t xml:space="preserve"> </w:t>
      </w:r>
      <w:r>
        <w:rPr>
          <w:rStyle w:val="ClaimLabel"/>
        </w:rPr>
        <w:t xml:space="preserve">AJ</w:t>
      </w:r>
    </w:p>
    <w:p>
      <w:pPr>
        <w:pStyle w:val="FirstParagraph"/>
      </w:pPr>
      <w:r>
        <w:rPr>
          <w:bCs/>
          <w:b/>
        </w:rPr>
        <w:t xml:space="preserve">Nearest competitors:</w:t>
      </w:r>
      <w:r>
        <w:t xml:space="preserve"> </w:t>
      </w:r>
      <w:r>
        <w:t xml:space="preserve">C8-collibra-ai-governance, C8-watsonx-governance, C8-modelop</w:t>
      </w:r>
    </w:p>
    <w:p>
      <w:pPr>
        <w:pStyle w:val="BodyText"/>
      </w:pPr>
      <w:r>
        <w:rPr>
          <w:bCs/>
          <w:b/>
        </w:rPr>
        <w:t xml:space="preserve">Regulated-FS note.</w:t>
      </w:r>
      <w:r>
        <w:t xml:space="preserve"> </w:t>
      </w:r>
      <w:r>
        <w:t xml:space="preserve">Self-host or use the Azure EU instance; obtain the current SOC 2 report directly</w:t>
      </w:r>
      <w:r>
        <w:t xml:space="preserve"> </w:t>
      </w:r>
      <w:r>
        <w:rPr>
          <w:rStyle w:val="ClaimLabel"/>
        </w:rPr>
        <w:t xml:space="preserve">Rec</w:t>
      </w:r>
      <w:r>
        <w:t xml:space="preserve">.</w:t>
      </w:r>
    </w:p>
    <w:p>
      <w:pPr>
        <w:pStyle w:val="BodyText"/>
      </w:pPr>
      <w:r>
        <w:rPr>
          <w:bCs/>
          <w:b/>
        </w:rPr>
        <w:t xml:space="preserve">Facts (as of 2026-10-07)</w:t>
      </w:r>
    </w:p>
    <w:tbl>
      <w:tblPr>
        <w:tblStyle w:val="Table"/>
        <w:tblW w:type="pct" w:w="5000"/>
        <w:tblLook w:firstRow="1" w:lastRow="0" w:firstColumn="0" w:lastColumn="0" w:noHBand="0" w:noVBand="0" w:val="0020"/>
        <w:jc w:val="start"/>
      </w:tblPr>
      <w:tblGrid>
        <w:gridCol w:w="1485"/>
        <w:gridCol w:w="4290"/>
        <w:gridCol w:w="1320"/>
        <w:gridCol w:w="825"/>
      </w:tblGrid>
      <w:tr>
        <w:trPr>
          <w:tblHeader w:val="true"/>
        </w:trPr>
        <w:tc>
          <w:tcPr/>
          <w:p>
            <w:pPr>
              <w:pStyle w:val="Compact"/>
              <w:jc w:val="left"/>
            </w:pPr>
            <w:r>
              <w:t xml:space="preserve">Field</w:t>
            </w:r>
          </w:p>
        </w:tc>
        <w:tc>
          <w:tcPr/>
          <w:p>
            <w:pPr>
              <w:pStyle w:val="Compact"/>
              <w:jc w:val="left"/>
            </w:pPr>
            <w:r>
              <w:t xml:space="preserve">Value</w:t>
            </w:r>
          </w:p>
        </w:tc>
        <w:tc>
          <w:tcPr/>
          <w:p>
            <w:pPr>
              <w:pStyle w:val="Compact"/>
              <w:jc w:val="left"/>
            </w:pPr>
            <w:r>
              <w:t xml:space="preserve">Label</w:t>
            </w:r>
          </w:p>
        </w:tc>
        <w:tc>
          <w:tcPr/>
          <w:p>
            <w:pPr>
              <w:pStyle w:val="Compact"/>
              <w:jc w:val="left"/>
            </w:pPr>
            <w:r>
              <w:t xml:space="preserve">Sources</w:t>
            </w:r>
          </w:p>
        </w:tc>
      </w:tr>
      <w:tr>
        <w:tc>
          <w:tcPr/>
          <w:p>
            <w:pPr>
              <w:pStyle w:val="Compact"/>
              <w:jc w:val="left"/>
            </w:pPr>
            <w:r>
              <w:t xml:space="preserve">Company</w:t>
            </w:r>
          </w:p>
        </w:tc>
        <w:tc>
          <w:tcPr/>
          <w:p>
            <w:pPr>
              <w:pStyle w:val="Compact"/>
              <w:jc w:val="left"/>
            </w:pPr>
            <w:r>
              <w:t xml:space="preserve">Credo AI</w:t>
            </w:r>
          </w:p>
        </w:tc>
        <w:tc>
          <w:tcPr/>
          <w:p>
            <w:pPr>
              <w:pStyle w:val="Compact"/>
              <w:jc w:val="left"/>
            </w:pPr>
            <w:r>
              <w:t xml:space="preserve">Verified fact</w:t>
            </w:r>
          </w:p>
        </w:tc>
        <w:tc>
          <w:tcPr/>
          <w:p>
            <w:pPr>
              <w:pStyle w:val="Compact"/>
              <w:jc w:val="left"/>
            </w:pPr>
            <w:r>
              <w:t xml:space="preserve">A7-S092, A7-S093</w:t>
            </w:r>
          </w:p>
        </w:tc>
      </w:tr>
      <w:tr>
        <w:tc>
          <w:tcPr/>
          <w:p>
            <w:pPr>
              <w:pStyle w:val="Compact"/>
              <w:jc w:val="left"/>
            </w:pPr>
            <w:r>
              <w:t xml:space="preserve">Category</w:t>
            </w:r>
          </w:p>
        </w:tc>
        <w:tc>
          <w:tcPr/>
          <w:p>
            <w:pPr>
              <w:pStyle w:val="Compact"/>
              <w:jc w:val="left"/>
            </w:pPr>
            <w:r>
              <w:t xml:space="preserve">AI governance platform (registry, policy packs, evidence, third-party AI risk)</w:t>
            </w:r>
          </w:p>
        </w:tc>
        <w:tc>
          <w:tcPr/>
          <w:p>
            <w:pPr>
              <w:pStyle w:val="Compact"/>
              <w:jc w:val="left"/>
            </w:pPr>
            <w:r>
              <w:t xml:space="preserve">Verified fact</w:t>
            </w:r>
          </w:p>
        </w:tc>
        <w:tc>
          <w:tcPr/>
          <w:p>
            <w:pPr>
              <w:pStyle w:val="Compact"/>
              <w:jc w:val="left"/>
            </w:pPr>
            <w:r>
              <w:t xml:space="preserve">A7-S102, A7-S110</w:t>
            </w:r>
          </w:p>
        </w:tc>
      </w:tr>
      <w:tr>
        <w:tc>
          <w:tcPr/>
          <w:p>
            <w:pPr>
              <w:pStyle w:val="Compact"/>
              <w:jc w:val="left"/>
            </w:pPr>
            <w:r>
              <w:t xml:space="preserve">Version / lineup</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Licence</w:t>
            </w:r>
          </w:p>
        </w:tc>
        <w:tc>
          <w:tcPr/>
          <w:p>
            <w:pPr>
              <w:pStyle w:val="Compact"/>
              <w:jc w:val="left"/>
            </w:pPr>
            <w:r>
              <w:t xml:space="preserve">Proprietary (SaaS and self-hosted); open-source Lens deprecated</w:t>
            </w:r>
          </w:p>
        </w:tc>
        <w:tc>
          <w:tcPr/>
          <w:p>
            <w:pPr>
              <w:pStyle w:val="Compact"/>
              <w:jc w:val="left"/>
            </w:pPr>
            <w:r>
              <w:t xml:space="preserve">Verified fact</w:t>
            </w:r>
          </w:p>
        </w:tc>
        <w:tc>
          <w:tcPr/>
          <w:p>
            <w:pPr>
              <w:pStyle w:val="Compact"/>
              <w:jc w:val="left"/>
            </w:pPr>
            <w:r>
              <w:t xml:space="preserve">A7-S107, A7-S123, A7-S092</w:t>
            </w:r>
          </w:p>
        </w:tc>
      </w:tr>
      <w:tr>
        <w:tc>
          <w:tcPr/>
          <w:p>
            <w:pPr>
              <w:pStyle w:val="Compact"/>
              <w:jc w:val="left"/>
            </w:pPr>
            <w:r>
              <w:t xml:space="preserve">Status events</w:t>
            </w:r>
          </w:p>
        </w:tc>
        <w:tc>
          <w:tcPr/>
          <w:p>
            <w:pPr>
              <w:pStyle w:val="Compact"/>
              <w:jc w:val="left"/>
            </w:pPr>
            <w:r>
              <w:t xml:space="preserve">Open-source</w:t>
            </w:r>
            <w:r>
              <w:t xml:space="preserve"> </w:t>
            </w:r>
            <w:r>
              <w:t xml:space="preserve">‘</w:t>
            </w:r>
            <w:r>
              <w:t xml:space="preserve">Lens</w:t>
            </w:r>
            <w:r>
              <w:t xml:space="preserve">’</w:t>
            </w:r>
            <w:r>
              <w:t xml:space="preserve"> </w:t>
            </w:r>
            <w:r>
              <w:t xml:space="preserve">responsible-AI assessment framework marked deprecated /</w:t>
            </w:r>
            <w:r>
              <w:t xml:space="preserve"> </w:t>
            </w:r>
            <w:r>
              <w:t xml:space="preserve">‘</w:t>
            </w:r>
            <w:r>
              <w:t xml:space="preserve">no longer maintained</w:t>
            </w:r>
            <w:r>
              <w:t xml:space="preserve">’</w:t>
            </w:r>
            <w:r>
              <w:t xml:space="preserve">; last PyPI release 1.1.8 on 3 May 2023</w:t>
            </w:r>
          </w:p>
        </w:tc>
        <w:tc>
          <w:tcPr/>
          <w:p>
            <w:pPr>
              <w:pStyle w:val="Compact"/>
              <w:jc w:val="left"/>
            </w:pPr>
            <w:r>
              <w:t xml:space="preserve">Verified fact</w:t>
            </w:r>
          </w:p>
        </w:tc>
        <w:tc>
          <w:tcPr/>
          <w:p>
            <w:pPr>
              <w:pStyle w:val="Compact"/>
              <w:jc w:val="left"/>
            </w:pPr>
            <w:r>
              <w:t xml:space="preserve">A7-S092, A7-S093</w:t>
            </w:r>
          </w:p>
        </w:tc>
      </w:tr>
      <w:tr>
        <w:tc>
          <w:tcPr/>
          <w:p>
            <w:pPr>
              <w:pStyle w:val="Compact"/>
              <w:jc w:val="left"/>
            </w:pPr>
            <w:r>
              <w:t xml:space="preserve">Strategic direction</w:t>
            </w:r>
          </w:p>
        </w:tc>
        <w:tc>
          <w:tcPr/>
          <w:p>
            <w:pPr>
              <w:pStyle w:val="Compact"/>
              <w:jc w:val="left"/>
            </w:pPr>
            <w:r>
              <w:t xml:space="preserve">Moving to agent governance: Agent Registry, runtime governance and Govern AI Assistant (GA in 2026); AIUC-1 agent standard integrated (Credo does not issue certification); policy packs for OMB M-25, Colorado ADMT, NAIC AI</w:t>
            </w:r>
          </w:p>
        </w:tc>
        <w:tc>
          <w:tcPr/>
          <w:p>
            <w:pPr>
              <w:pStyle w:val="Compact"/>
              <w:jc w:val="left"/>
            </w:pPr>
            <w:r>
              <w:t xml:space="preserve">Verified fact</w:t>
            </w:r>
          </w:p>
        </w:tc>
        <w:tc>
          <w:tcPr/>
          <w:p>
            <w:pPr>
              <w:pStyle w:val="Compact"/>
              <w:jc w:val="left"/>
            </w:pPr>
            <w:r>
              <w:t xml:space="preserve">A7-S102</w:t>
            </w:r>
          </w:p>
        </w:tc>
      </w:tr>
      <w:tr>
        <w:tc>
          <w:tcPr/>
          <w:p>
            <w:pPr>
              <w:pStyle w:val="Compact"/>
              <w:jc w:val="left"/>
            </w:pPr>
            <w:r>
              <w:t xml:space="preserve">What it does</w:t>
            </w:r>
          </w:p>
        </w:tc>
        <w:tc>
          <w:tcPr/>
          <w:p>
            <w:pPr>
              <w:pStyle w:val="Compact"/>
              <w:jc w:val="left"/>
            </w:pPr>
            <w:r>
              <w:t xml:space="preserve">Auto-discovers and catalogues AI systems in an AI Registry, applies pre-built policy packs (EU AI Act, NIST AI RMF, ISO 42001, SOC 2) from a knowledge graph of 160+ policies and 110+ controls, and generates audit-ready evidence and audit trails.</w:t>
            </w:r>
          </w:p>
        </w:tc>
        <w:tc>
          <w:tcPr/>
          <w:p>
            <w:pPr>
              <w:pStyle w:val="Compact"/>
              <w:jc w:val="left"/>
            </w:pPr>
            <w:r>
              <w:t xml:space="preserve">Verified fact</w:t>
            </w:r>
          </w:p>
        </w:tc>
        <w:tc>
          <w:tcPr/>
          <w:p>
            <w:pPr>
              <w:pStyle w:val="Compact"/>
              <w:jc w:val="left"/>
            </w:pPr>
            <w:r>
              <w:t xml:space="preserve">A7-S102</w:t>
            </w:r>
          </w:p>
        </w:tc>
      </w:tr>
      <w:tr>
        <w:tc>
          <w:tcPr/>
          <w:p>
            <w:pPr>
              <w:pStyle w:val="Compact"/>
              <w:jc w:val="left"/>
            </w:pPr>
            <w:r>
              <w:t xml:space="preserve">Stack position</w:t>
            </w:r>
          </w:p>
        </w:tc>
        <w:tc>
          <w:tcPr/>
          <w:p>
            <w:pPr>
              <w:pStyle w:val="Compact"/>
              <w:jc w:val="left"/>
            </w:pPr>
            <w:r>
              <w:t xml:space="preserve">C8 enterprise AI governance (policy/compliance evidence) rather than model-level validation; vendor contrasts this with SR 11-7 model risk management</w:t>
            </w:r>
          </w:p>
        </w:tc>
        <w:tc>
          <w:tcPr/>
          <w:p>
            <w:pPr>
              <w:pStyle w:val="Compact"/>
              <w:jc w:val="left"/>
            </w:pPr>
            <w:r>
              <w:t xml:space="preserve">Verified fact</w:t>
            </w:r>
          </w:p>
        </w:tc>
        <w:tc>
          <w:tcPr/>
          <w:p>
            <w:pPr>
              <w:pStyle w:val="Compact"/>
              <w:jc w:val="left"/>
            </w:pPr>
            <w:r>
              <w:t xml:space="preserve">A7-S110</w:t>
            </w:r>
          </w:p>
        </w:tc>
      </w:tr>
      <w:tr>
        <w:tc>
          <w:tcPr/>
          <w:p>
            <w:pPr>
              <w:pStyle w:val="Compact"/>
              <w:jc w:val="left"/>
            </w:pPr>
            <w:r>
              <w:t xml:space="preserve">Integration</w:t>
            </w:r>
          </w:p>
        </w:tc>
        <w:tc>
          <w:tcPr/>
          <w:p>
            <w:pPr>
              <w:pStyle w:val="Compact"/>
              <w:jc w:val="left"/>
            </w:pPr>
            <w:r>
              <w:t xml:space="preserve">Integrations with Microsoft Azure, IBM watsonx, Databricks, Collibra and 30+ partners; audit-log APIs; SCIM provisioning</w:t>
            </w:r>
          </w:p>
        </w:tc>
        <w:tc>
          <w:tcPr/>
          <w:p>
            <w:pPr>
              <w:pStyle w:val="Compact"/>
              <w:jc w:val="left"/>
            </w:pPr>
            <w:r>
              <w:t xml:space="preserve">Verified fact</w:t>
            </w:r>
          </w:p>
        </w:tc>
        <w:tc>
          <w:tcPr/>
          <w:p>
            <w:pPr>
              <w:pStyle w:val="Compact"/>
              <w:jc w:val="left"/>
            </w:pPr>
            <w:r>
              <w:t xml:space="preserve">A7-S102, A7-S110, A7-S123</w:t>
            </w:r>
          </w:p>
        </w:tc>
      </w:tr>
      <w:tr>
        <w:tc>
          <w:tcPr/>
          <w:p>
            <w:pPr>
              <w:pStyle w:val="Compact"/>
              <w:jc w:val="left"/>
            </w:pPr>
            <w:r>
              <w:t xml:space="preserve">Dependencies</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Certifications</w:t>
            </w:r>
          </w:p>
        </w:tc>
        <w:tc>
          <w:tcPr/>
          <w:p>
            <w:pPr>
              <w:pStyle w:val="Compact"/>
              <w:jc w:val="left"/>
            </w:pPr>
            <w:r>
              <w:t xml:space="preserve">SOC 2 Type II (report dated 31 December 2025; Q3 2026 bridge letter) covering security, availability, confidentiality; no ISO 27001/42001 certificate found</w:t>
            </w:r>
          </w:p>
        </w:tc>
        <w:tc>
          <w:tcPr/>
          <w:p>
            <w:pPr>
              <w:pStyle w:val="Compact"/>
              <w:jc w:val="left"/>
            </w:pPr>
            <w:r>
              <w:t xml:space="preserve">Verified fact</w:t>
            </w:r>
          </w:p>
        </w:tc>
        <w:tc>
          <w:tcPr/>
          <w:p>
            <w:pPr>
              <w:pStyle w:val="Compact"/>
              <w:jc w:val="left"/>
            </w:pPr>
            <w:r>
              <w:t xml:space="preserve">A7-S107</w:t>
            </w:r>
          </w:p>
        </w:tc>
      </w:tr>
      <w:tr>
        <w:tc>
          <w:tcPr/>
          <w:p>
            <w:pPr>
              <w:pStyle w:val="Compact"/>
              <w:jc w:val="left"/>
            </w:pPr>
            <w:r>
              <w:t xml:space="preserve">GDPR / residency</w:t>
            </w:r>
          </w:p>
        </w:tc>
        <w:tc>
          <w:tcPr/>
          <w:p>
            <w:pPr>
              <w:pStyle w:val="Compact"/>
              <w:jc w:val="left"/>
            </w:pPr>
            <w:r>
              <w:t xml:space="preserve">EU hosting on Microsoft Azure in Europe; US hosting on AWS</w:t>
            </w:r>
          </w:p>
        </w:tc>
        <w:tc>
          <w:tcPr/>
          <w:p>
            <w:pPr>
              <w:pStyle w:val="Compact"/>
              <w:jc w:val="left"/>
            </w:pPr>
            <w:r>
              <w:t xml:space="preserve">Verified fact</w:t>
            </w:r>
          </w:p>
        </w:tc>
        <w:tc>
          <w:tcPr/>
          <w:p>
            <w:pPr>
              <w:pStyle w:val="Compact"/>
              <w:jc w:val="left"/>
            </w:pPr>
            <w:r>
              <w:t xml:space="preserve">A7-S107</w:t>
            </w:r>
          </w:p>
        </w:tc>
      </w:tr>
      <w:tr>
        <w:tc>
          <w:tcPr/>
          <w:p>
            <w:pPr>
              <w:pStyle w:val="Compact"/>
              <w:jc w:val="left"/>
            </w:pPr>
            <w:r>
              <w:t xml:space="preserve">Security features</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Access controls</w:t>
            </w:r>
          </w:p>
        </w:tc>
        <w:tc>
          <w:tcPr/>
          <w:p>
            <w:pPr>
              <w:pStyle w:val="Compact"/>
              <w:jc w:val="left"/>
            </w:pPr>
            <w:r>
              <w:t xml:space="preserve">SSO via OIDC (SAML via dex) for self-hosted; SCIM; audit logs and audit-log APIs; role scopes in tokens</w:t>
            </w:r>
          </w:p>
        </w:tc>
        <w:tc>
          <w:tcPr/>
          <w:p>
            <w:pPr>
              <w:pStyle w:val="Compact"/>
              <w:jc w:val="left"/>
            </w:pPr>
            <w:r>
              <w:t xml:space="preserve">Verified fact</w:t>
            </w:r>
          </w:p>
        </w:tc>
        <w:tc>
          <w:tcPr/>
          <w:p>
            <w:pPr>
              <w:pStyle w:val="Compact"/>
              <w:jc w:val="left"/>
            </w:pPr>
            <w:r>
              <w:t xml:space="preserve">A7-S123</w:t>
            </w:r>
          </w:p>
        </w:tc>
      </w:tr>
      <w:tr>
        <w:tc>
          <w:tcPr/>
          <w:p>
            <w:pPr>
              <w:pStyle w:val="Compact"/>
              <w:jc w:val="left"/>
            </w:pPr>
            <w:r>
              <w:t xml:space="preserve">Enterprise support</w:t>
            </w:r>
          </w:p>
        </w:tc>
        <w:tc>
          <w:tcPr/>
          <w:p>
            <w:pPr>
              <w:pStyle w:val="Compact"/>
              <w:jc w:val="left"/>
            </w:pPr>
            <w:r>
              <w:t xml:space="preserve">Advisory services; vendor claims governance workflows stood up in 4 weeks</w:t>
            </w:r>
          </w:p>
        </w:tc>
        <w:tc>
          <w:tcPr/>
          <w:p>
            <w:pPr>
              <w:pStyle w:val="Compact"/>
              <w:jc w:val="left"/>
            </w:pPr>
            <w:r>
              <w:t xml:space="preserve">Verified fact</w:t>
            </w:r>
          </w:p>
        </w:tc>
        <w:tc>
          <w:tcPr/>
          <w:p>
            <w:pPr>
              <w:pStyle w:val="Compact"/>
              <w:jc w:val="left"/>
            </w:pPr>
            <w:r>
              <w:t xml:space="preserve">A7-S102</w:t>
            </w:r>
          </w:p>
        </w:tc>
      </w:tr>
      <w:tr>
        <w:tc>
          <w:tcPr/>
          <w:p>
            <w:pPr>
              <w:pStyle w:val="Compact"/>
              <w:jc w:val="left"/>
            </w:pPr>
            <w:r>
              <w:t xml:space="preserve">Pricing</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Infrastructure cost</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Ecosystem</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Adoption signals</w:t>
            </w:r>
          </w:p>
        </w:tc>
        <w:tc>
          <w:tcPr/>
          <w:p>
            <w:pPr>
              <w:pStyle w:val="Compact"/>
              <w:jc w:val="left"/>
            </w:pPr>
            <w:r>
              <w:t xml:space="preserve">Vendor-stated: Visionary in Gartner’s inaugural Magic Quadrant for AI Governance Platforms; Leader per Forrester and IDC; Fast Company Most Innovative 2026</w:t>
            </w:r>
          </w:p>
        </w:tc>
        <w:tc>
          <w:tcPr/>
          <w:p>
            <w:pPr>
              <w:pStyle w:val="Compact"/>
              <w:jc w:val="left"/>
            </w:pPr>
            <w:r>
              <w:t xml:space="preserve">Verified fact</w:t>
            </w:r>
          </w:p>
        </w:tc>
        <w:tc>
          <w:tcPr/>
          <w:p>
            <w:pPr>
              <w:pStyle w:val="Compact"/>
              <w:jc w:val="left"/>
            </w:pPr>
            <w:r>
              <w:t xml:space="preserve">A7-S102</w:t>
            </w:r>
          </w:p>
        </w:tc>
      </w:tr>
      <w:tr>
        <w:tc>
          <w:tcPr/>
          <w:p>
            <w:pPr>
              <w:pStyle w:val="Compact"/>
              <w:jc w:val="left"/>
            </w:pPr>
            <w:r>
              <w:t xml:space="preserve">Maturity</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Deployment</w:t>
            </w:r>
          </w:p>
        </w:tc>
        <w:tc>
          <w:tcPr/>
          <w:p>
            <w:pPr>
              <w:pStyle w:val="Compact"/>
              <w:jc w:val="left"/>
            </w:pPr>
            <w:r>
              <w:t xml:space="preserve">saas: Yes (AWS US; Azure EU); managed_cloud: Not publicly verified; vpc_byoc: Not publicly verified; private_cloud: Not publicly verified; self_hosted: Yes (Kubernetes, EKS validated, Replicated); on_prem: Yes (air-gapped install supported)</w:t>
            </w:r>
          </w:p>
        </w:tc>
        <w:tc>
          <w:tcPr/>
          <w:p>
            <w:pPr>
              <w:pStyle w:val="Compact"/>
            </w:pPr>
          </w:p>
        </w:tc>
        <w:tc>
          <w:tcPr/>
          <w:p>
            <w:pPr>
              <w:pStyle w:val="Compact"/>
            </w:pPr>
          </w:p>
        </w:tc>
      </w:tr>
    </w:tbl>
    <w:bookmarkEnd w:id="2451"/>
    <w:bookmarkStart w:id="2464" w:name="Xdedd7225b205aa31d015d0aa3f91563ec0cc69b"/>
    <w:p>
      <w:pPr>
        <w:pStyle w:val="Heading2"/>
      </w:pPr>
      <w:r>
        <w:t xml:space="preserve">Collibra AI Governance / AI Command Center (Collibra</w:t>
      </w:r>
      <w:r>
        <w:t xml:space="preserve"> </w:t>
      </w:r>
      <w:r>
        <w:t xml:space="preserve">‘</w:t>
      </w:r>
      <w:r>
        <w:t xml:space="preserve">Enterprise AI Control Plane</w:t>
      </w:r>
      <w:r>
        <w:t xml:space="preserve">’</w:t>
      </w:r>
      <w:r>
        <w:t xml:space="preserve">) (</w:t>
      </w:r>
      <w:r>
        <w:rPr>
          <w:rStyle w:val="VerbatimChar"/>
        </w:rPr>
        <w:t xml:space="preserve">C8-collibra-ai-governance</w:t>
      </w:r>
      <w:r>
        <w:t xml:space="preserve">)</w:t>
      </w:r>
    </w:p>
    <w:p>
      <w:pPr>
        <w:pStyle w:val="FirstParagraph"/>
      </w:pPr>
      <w:r>
        <w:rPr>
          <w:bCs/>
          <w:b/>
        </w:rPr>
        <w:t xml:space="preserve">Tier:</w:t>
      </w:r>
      <w:r>
        <w:t xml:space="preserve"> </w:t>
      </w:r>
      <w:r>
        <w:t xml:space="preserve">Tactical ·</w:t>
      </w:r>
      <w:r>
        <w:t xml:space="preserve"> </w:t>
      </w:r>
      <w:r>
        <w:rPr>
          <w:bCs/>
          <w:b/>
        </w:rPr>
        <w:t xml:space="preserve">Flags:</w:t>
      </w:r>
      <w:r>
        <w:t xml:space="preserve"> </w:t>
      </w:r>
      <w:r>
        <w:t xml:space="preserve">none ·</w:t>
      </w:r>
      <w:r>
        <w:t xml:space="preserve"> </w:t>
      </w:r>
      <w:r>
        <w:rPr>
          <w:bCs/>
          <w:b/>
        </w:rPr>
        <w:t xml:space="preserve">Original graphic label:</w:t>
      </w:r>
      <w:r>
        <w:t xml:space="preserve"> </w:t>
      </w:r>
      <w:r>
        <w:t xml:space="preserve">not in graphic</w:t>
      </w:r>
    </w:p>
    <w:p>
      <w:pPr>
        <w:pStyle w:val="BodyText"/>
      </w:pPr>
      <w:r>
        <w:rPr>
          <w:iCs/>
          <w:i/>
        </w:rPr>
        <w:t xml:space="preserve">Rationale:</w:t>
      </w:r>
      <w:r>
        <w:t xml:space="preserve"> </w:t>
      </w:r>
      <w:r>
        <w:t xml:space="preserve">Strong certifications and the lineage bridge, but SaaS-only deployment and no validation workflow</w:t>
      </w:r>
      <w:r>
        <w:t xml:space="preserve"> </w:t>
      </w:r>
      <w:r>
        <w:rPr>
          <w:rStyle w:val="ClaimLabel"/>
        </w:rPr>
        <w:t xml:space="preserve">AJ</w:t>
      </w:r>
      <w:r>
        <w:t xml:space="preserve">.</w:t>
      </w:r>
    </w:p>
    <w:tbl>
      <w:tblPr>
        <w:tblStyle w:val="Table"/>
        <w:tblW w:type="pct" w:w="5000"/>
        <w:tblLook w:firstRow="1" w:lastRow="0" w:firstColumn="0" w:lastColumn="0" w:noHBand="0" w:noVBand="0" w:val="0020"/>
        <w:jc w:val="start"/>
      </w:tblPr>
      <w:tblGrid>
        <w:gridCol w:w="1545"/>
        <w:gridCol w:w="579"/>
        <w:gridCol w:w="5795"/>
      </w:tblGrid>
      <w:tr>
        <w:trPr>
          <w:tblHeader w:val="true"/>
        </w:trPr>
        <w:tc>
          <w:tcPr/>
          <w:p>
            <w:pPr>
              <w:pStyle w:val="Compact"/>
              <w:jc w:val="left"/>
            </w:pPr>
            <w:r>
              <w:t xml:space="preserve">Criterion</w:t>
            </w:r>
          </w:p>
        </w:tc>
        <w:tc>
          <w:tcPr/>
          <w:p>
            <w:pPr>
              <w:pStyle w:val="Compact"/>
              <w:jc w:val="right"/>
            </w:pPr>
            <w:r>
              <w:t xml:space="preserve">Score</w:t>
            </w:r>
          </w:p>
        </w:tc>
        <w:tc>
          <w:tcPr/>
          <w:p>
            <w:pPr>
              <w:pStyle w:val="Compact"/>
              <w:jc w:val="left"/>
            </w:pPr>
            <w:r>
              <w:t xml:space="preserve">Rationale</w:t>
            </w:r>
          </w:p>
        </w:tc>
      </w:tr>
      <w:tr>
        <w:tc>
          <w:tcPr/>
          <w:p>
            <w:pPr>
              <w:pStyle w:val="Compact"/>
              <w:jc w:val="left"/>
            </w:pPr>
            <w:r>
              <w:t xml:space="preserve">Technical</w:t>
            </w:r>
          </w:p>
        </w:tc>
        <w:tc>
          <w:tcPr/>
          <w:p>
            <w:pPr>
              <w:pStyle w:val="Compact"/>
              <w:jc w:val="right"/>
            </w:pPr>
            <w:r>
              <w:t xml:space="preserve">4</w:t>
            </w:r>
          </w:p>
        </w:tc>
        <w:tc>
          <w:tcPr/>
          <w:p>
            <w:pPr>
              <w:pStyle w:val="Compact"/>
              <w:jc w:val="left"/>
            </w:pPr>
            <w:r>
              <w:t xml:space="preserve">Inventory, assessments, controls mapping and lineage link; no validation or monitoring workflow.</w:t>
            </w:r>
          </w:p>
        </w:tc>
      </w:tr>
      <w:tr>
        <w:tc>
          <w:tcPr/>
          <w:p>
            <w:pPr>
              <w:pStyle w:val="Compact"/>
              <w:jc w:val="left"/>
            </w:pPr>
            <w:r>
              <w:t xml:space="preserve">Enterprise readiness</w:t>
            </w:r>
          </w:p>
        </w:tc>
        <w:tc>
          <w:tcPr/>
          <w:p>
            <w:pPr>
              <w:pStyle w:val="Compact"/>
              <w:jc w:val="right"/>
            </w:pPr>
            <w:r>
              <w:t xml:space="preserve">3</w:t>
            </w:r>
          </w:p>
        </w:tc>
        <w:tc>
          <w:tcPr/>
          <w:p>
            <w:pPr>
              <w:pStyle w:val="Compact"/>
              <w:jc w:val="left"/>
            </w:pPr>
            <w:r>
              <w:t xml:space="preserve">SAML SSO and roles verified (B-C8-S004); audit logs not documented, so 3 (rule 7).</w:t>
            </w:r>
          </w:p>
        </w:tc>
      </w:tr>
      <w:tr>
        <w:tc>
          <w:tcPr/>
          <w:p>
            <w:pPr>
              <w:pStyle w:val="Compact"/>
              <w:jc w:val="left"/>
            </w:pPr>
            <w:r>
              <w:t xml:space="preserve">Security and compliance</w:t>
            </w:r>
          </w:p>
        </w:tc>
        <w:tc>
          <w:tcPr/>
          <w:p>
            <w:pPr>
              <w:pStyle w:val="Compact"/>
              <w:jc w:val="right"/>
            </w:pPr>
            <w:r>
              <w:t xml:space="preserve">4</w:t>
            </w:r>
          </w:p>
        </w:tc>
        <w:tc>
          <w:tcPr/>
          <w:p>
            <w:pPr>
              <w:pStyle w:val="Compact"/>
              <w:jc w:val="left"/>
            </w:pPr>
            <w:r>
              <w:t xml:space="preserve">Company-level certifications meeting the 5 anchor, product scope not stated: 4 (rule 8).</w:t>
            </w:r>
          </w:p>
        </w:tc>
      </w:tr>
      <w:tr>
        <w:tc>
          <w:tcPr/>
          <w:p>
            <w:pPr>
              <w:pStyle w:val="Compact"/>
              <w:jc w:val="left"/>
            </w:pPr>
            <w:r>
              <w:t xml:space="preserve">Deployment flexibility</w:t>
            </w:r>
          </w:p>
        </w:tc>
        <w:tc>
          <w:tcPr/>
          <w:p>
            <w:pPr>
              <w:pStyle w:val="Compact"/>
              <w:jc w:val="right"/>
            </w:pPr>
            <w:r>
              <w:t xml:space="preserve">2</w:t>
            </w:r>
          </w:p>
        </w:tc>
        <w:tc>
          <w:tcPr/>
          <w:p>
            <w:pPr>
              <w:pStyle w:val="Compact"/>
              <w:jc w:val="left"/>
            </w:pPr>
            <w:r>
              <w:t xml:space="preserve">SaaS on AWS and GCP only; no self-host or VPC evidence.</w:t>
            </w:r>
          </w:p>
        </w:tc>
      </w:tr>
      <w:tr>
        <w:tc>
          <w:tcPr/>
          <w:p>
            <w:pPr>
              <w:pStyle w:val="Compact"/>
              <w:jc w:val="left"/>
            </w:pPr>
            <w:r>
              <w:t xml:space="preserve">Ecosystem</w:t>
            </w:r>
          </w:p>
        </w:tc>
        <w:tc>
          <w:tcPr/>
          <w:p>
            <w:pPr>
              <w:pStyle w:val="Compact"/>
              <w:jc w:val="right"/>
            </w:pPr>
            <w:r>
              <w:t xml:space="preserve">4</w:t>
            </w:r>
          </w:p>
        </w:tc>
        <w:tc>
          <w:tcPr/>
          <w:p>
            <w:pPr>
              <w:pStyle w:val="Compact"/>
              <w:jc w:val="left"/>
            </w:pPr>
            <w:r>
              <w:t xml:space="preserve">SageMaker, Azure AI Foundry and Databricks connectors; CLI; OpenLineage.</w:t>
            </w:r>
          </w:p>
        </w:tc>
      </w:tr>
      <w:tr>
        <w:tc>
          <w:tcPr/>
          <w:p>
            <w:pPr>
              <w:pStyle w:val="Compact"/>
              <w:jc w:val="left"/>
            </w:pPr>
            <w:r>
              <w:t xml:space="preserve">Reliability and maturity</w:t>
            </w:r>
          </w:p>
        </w:tc>
        <w:tc>
          <w:tcPr/>
          <w:p>
            <w:pPr>
              <w:pStyle w:val="Compact"/>
              <w:jc w:val="right"/>
            </w:pPr>
            <w:r>
              <w:t xml:space="preserve">3</w:t>
            </w:r>
          </w:p>
        </w:tc>
        <w:tc>
          <w:tcPr/>
          <w:p>
            <w:pPr>
              <w:pStyle w:val="Compact"/>
              <w:jc w:val="left"/>
            </w:pPr>
            <w:r>
              <w:t xml:space="preserve">Established vendor; AI module repositioned and acquisition just announced.</w:t>
            </w:r>
          </w:p>
        </w:tc>
      </w:tr>
      <w:tr>
        <w:tc>
          <w:tcPr/>
          <w:p>
            <w:pPr>
              <w:pStyle w:val="Compact"/>
              <w:jc w:val="left"/>
            </w:pPr>
            <w:r>
              <w:t xml:space="preserve">Cost / TCO</w:t>
            </w:r>
          </w:p>
        </w:tc>
        <w:tc>
          <w:tcPr/>
          <w:p>
            <w:pPr>
              <w:pStyle w:val="Compact"/>
              <w:jc w:val="right"/>
            </w:pPr>
            <w:r>
              <w:t xml:space="preserve">2</w:t>
            </w:r>
          </w:p>
        </w:tc>
        <w:tc>
          <w:tcPr/>
          <w:p>
            <w:pPr>
              <w:pStyle w:val="Compact"/>
              <w:jc w:val="left"/>
            </w:pPr>
            <w:r>
              <w:t xml:space="preserve">Pricing not published.</w:t>
            </w:r>
          </w:p>
        </w:tc>
      </w:tr>
      <w:tr>
        <w:tc>
          <w:tcPr/>
          <w:p>
            <w:pPr>
              <w:pStyle w:val="Compact"/>
              <w:jc w:val="left"/>
            </w:pPr>
            <w:r>
              <w:t xml:space="preserve">Lock-in / portability</w:t>
            </w:r>
          </w:p>
        </w:tc>
        <w:tc>
          <w:tcPr/>
          <w:p>
            <w:pPr>
              <w:pStyle w:val="Compact"/>
              <w:jc w:val="right"/>
            </w:pPr>
            <w:r>
              <w:t xml:space="preserve">3</w:t>
            </w:r>
          </w:p>
        </w:tc>
        <w:tc>
          <w:tcPr/>
          <w:p>
            <w:pPr>
              <w:pStyle w:val="Compact"/>
              <w:jc w:val="left"/>
            </w:pPr>
            <w:r>
              <w:t xml:space="preserve">Proprietary SaaS; OpenLineage integration eases lineage portability.</w:t>
            </w:r>
          </w:p>
        </w:tc>
      </w:tr>
      <w:tr>
        <w:tc>
          <w:tcPr/>
          <w:p>
            <w:pPr>
              <w:pStyle w:val="Compact"/>
              <w:jc w:val="left"/>
            </w:pPr>
            <w:r>
              <w:rPr>
                <w:bCs/>
                <w:b/>
              </w:rPr>
              <w:t xml:space="preserve">Total (generic / FS)</w:t>
            </w:r>
          </w:p>
        </w:tc>
        <w:tc>
          <w:tcPr/>
          <w:p>
            <w:pPr>
              <w:pStyle w:val="Compact"/>
              <w:jc w:val="right"/>
            </w:pPr>
            <w:r>
              <w:rPr>
                <w:bCs/>
                <w:b/>
              </w:rPr>
              <w:t xml:space="preserve">3.20 / 3.20</w:t>
            </w:r>
          </w:p>
        </w:tc>
        <w:tc>
          <w:tcPr/>
          <w:p>
            <w:pPr>
              <w:pStyle w:val="Compact"/>
            </w:pPr>
          </w:p>
        </w:tc>
      </w:tr>
    </w:tbl>
    <w:p>
      <w:pPr>
        <w:pStyle w:val="BodyText"/>
      </w:pPr>
      <w:r>
        <w:rPr>
          <w:bCs/>
          <w:b/>
        </w:rPr>
        <w:t xml:space="preserve">Capabilities.</w:t>
      </w:r>
      <w:r>
        <w:t xml:space="preserve"> </w:t>
      </w:r>
      <w:r>
        <w:t xml:space="preserve">AI governance on Collibra’s data intelligence platform: AI use-case register, model and agent asset domains linked to model versions and agents from integrated AI platforms, EU AI Act and NIST AI RMF assessment templates, 46 controls mapped to EU AI Act, NIST and BCBS 239; OpenLineage integration; trail ML acquisition (announced 5 October 2026) for continuous assessment and runtime enforcement</w:t>
      </w:r>
      <w:r>
        <w:t xml:space="preserve"> </w:t>
      </w:r>
      <w:r>
        <w:rPr>
          <w:rStyle w:val="ClaimLabel"/>
        </w:rPr>
        <w:t xml:space="preserve">VF</w:t>
      </w:r>
      <w:r>
        <w:rPr>
          <w:rStyle w:val="FootnoteReference"/>
        </w:rPr>
        <w:footnoteReference w:id="2452"/>
      </w:r>
      <w:r>
        <w:t xml:space="preserve">.</w:t>
      </w:r>
    </w:p>
    <w:p>
      <w:pPr>
        <w:pStyle w:val="BodyText"/>
      </w:pPr>
      <w:r>
        <w:rPr>
          <w:bCs/>
          <w:b/>
        </w:rPr>
        <w:t xml:space="preserve">Strengths</w:t>
      </w:r>
    </w:p>
    <w:p>
      <w:pPr>
        <w:numPr>
          <w:ilvl w:val="0"/>
          <w:numId w:val="1545"/>
        </w:numPr>
        <w:pStyle w:val="Compact"/>
      </w:pPr>
      <w:r>
        <w:t xml:space="preserve">Only product joining the AI inventory to the data catalogue and lineage (OpenLineage)</w:t>
      </w:r>
      <w:r>
        <w:t xml:space="preserve"> </w:t>
      </w:r>
      <w:r>
        <w:rPr>
          <w:rStyle w:val="ClaimLabel"/>
        </w:rPr>
        <w:t xml:space="preserve">VF</w:t>
      </w:r>
      <w:r>
        <w:rPr>
          <w:rStyle w:val="FootnoteReference"/>
        </w:rPr>
        <w:footnoteReference w:id="2455"/>
      </w:r>
      <w:r>
        <w:t xml:space="preserve"> </w:t>
      </w:r>
      <w:r>
        <w:rPr>
          <w:rStyle w:val="ClaimLabel"/>
        </w:rPr>
        <w:t xml:space="preserve">AJ</w:t>
      </w:r>
    </w:p>
    <w:p>
      <w:pPr>
        <w:numPr>
          <w:ilvl w:val="0"/>
          <w:numId w:val="1545"/>
        </w:numPr>
        <w:pStyle w:val="Compact"/>
      </w:pPr>
      <w:r>
        <w:t xml:space="preserve">Company-level SOC 1/2, ISO 27001/27017/27018, ISO 42001, FedRAMP, HIPAA</w:t>
      </w:r>
      <w:r>
        <w:t xml:space="preserve"> </w:t>
      </w:r>
      <w:r>
        <w:rPr>
          <w:rStyle w:val="ClaimLabel"/>
        </w:rPr>
        <w:t xml:space="preserve">VF</w:t>
      </w:r>
      <w:r>
        <w:rPr>
          <w:rStyle w:val="FootnoteReference"/>
        </w:rPr>
        <w:footnoteReference w:id="2456"/>
      </w:r>
    </w:p>
    <w:p>
      <w:pPr>
        <w:numPr>
          <w:ilvl w:val="0"/>
          <w:numId w:val="1545"/>
        </w:numPr>
        <w:pStyle w:val="Compact"/>
      </w:pPr>
      <w:r>
        <w:t xml:space="preserve">SAML 2.0 SSO with IdP group mapping and global roles</w:t>
      </w:r>
      <w:r>
        <w:t xml:space="preserve"> </w:t>
      </w:r>
      <w:r>
        <w:rPr>
          <w:rStyle w:val="ClaimLabel"/>
        </w:rPr>
        <w:t xml:space="preserve">VF</w:t>
      </w:r>
      <w:r>
        <w:rPr>
          <w:rStyle w:val="FootnoteReference"/>
        </w:rPr>
        <w:footnoteReference w:id="2458"/>
      </w:r>
    </w:p>
    <w:p>
      <w:pPr>
        <w:numPr>
          <w:ilvl w:val="0"/>
          <w:numId w:val="1545"/>
        </w:numPr>
        <w:pStyle w:val="Compact"/>
      </w:pPr>
      <w:r>
        <w:t xml:space="preserve">BCBS 239 control mapping useful for bank-owned managers</w:t>
      </w:r>
      <w:r>
        <w:t xml:space="preserve"> </w:t>
      </w:r>
      <w:r>
        <w:rPr>
          <w:rStyle w:val="ClaimLabel"/>
        </w:rPr>
        <w:t xml:space="preserve">VF</w:t>
      </w:r>
      <w:r>
        <w:rPr>
          <w:rStyle w:val="FootnoteReference"/>
        </w:rPr>
        <w:footnoteReference w:id="2460"/>
      </w:r>
    </w:p>
    <w:p>
      <w:pPr>
        <w:pStyle w:val="FirstParagraph"/>
      </w:pPr>
      <w:r>
        <w:rPr>
          <w:bCs/>
          <w:b/>
        </w:rPr>
        <w:t xml:space="preserve">Limitations and risks</w:t>
      </w:r>
    </w:p>
    <w:p>
      <w:pPr>
        <w:numPr>
          <w:ilvl w:val="0"/>
          <w:numId w:val="1546"/>
        </w:numPr>
        <w:pStyle w:val="Compact"/>
      </w:pPr>
      <w:r>
        <w:t xml:space="preserve">SaaS only on current evidence (AWS and GCP); self-hosting and EU region list not verified</w:t>
      </w:r>
      <w:r>
        <w:t xml:space="preserve"> </w:t>
      </w:r>
      <w:r>
        <w:rPr>
          <w:rStyle w:val="ClaimLabel"/>
        </w:rPr>
        <w:t xml:space="preserve">VF</w:t>
      </w:r>
      <w:r>
        <w:rPr>
          <w:rStyle w:val="FootnoteReference"/>
        </w:rPr>
        <w:footnoteReference w:id="2461"/>
      </w:r>
      <w:r>
        <w:t xml:space="preserve"> </w:t>
      </w:r>
      <w:r>
        <w:rPr>
          <w:rStyle w:val="ClaimLabel"/>
        </w:rPr>
        <w:t xml:space="preserve">NPV</w:t>
      </w:r>
    </w:p>
    <w:p>
      <w:pPr>
        <w:numPr>
          <w:ilvl w:val="0"/>
          <w:numId w:val="1546"/>
        </w:numPr>
        <w:pStyle w:val="Compact"/>
      </w:pPr>
      <w:r>
        <w:t xml:space="preserve">No model validation or monitoring workflow</w:t>
      </w:r>
      <w:r>
        <w:t xml:space="preserve"> </w:t>
      </w:r>
      <w:r>
        <w:rPr>
          <w:rStyle w:val="ClaimLabel"/>
        </w:rPr>
        <w:t xml:space="preserve">AJ</w:t>
      </w:r>
    </w:p>
    <w:p>
      <w:pPr>
        <w:numPr>
          <w:ilvl w:val="0"/>
          <w:numId w:val="1546"/>
        </w:numPr>
        <w:pStyle w:val="Compact"/>
      </w:pPr>
      <w:r>
        <w:t xml:space="preserve">trail ML deal three days old; integration roadmap open</w:t>
      </w:r>
      <w:r>
        <w:t xml:space="preserve"> </w:t>
      </w:r>
      <w:r>
        <w:rPr>
          <w:rStyle w:val="ClaimLabel"/>
        </w:rPr>
        <w:t xml:space="preserve">VF</w:t>
      </w:r>
      <w:r>
        <w:rPr>
          <w:rStyle w:val="FootnoteReference"/>
        </w:rPr>
        <w:footnoteReference w:id="2462"/>
      </w:r>
    </w:p>
    <w:p>
      <w:pPr>
        <w:numPr>
          <w:ilvl w:val="0"/>
          <w:numId w:val="1546"/>
        </w:numPr>
        <w:pStyle w:val="Compact"/>
      </w:pPr>
      <w:r>
        <w:t xml:space="preserve">Pricing not published</w:t>
      </w:r>
      <w:r>
        <w:t xml:space="preserve"> </w:t>
      </w:r>
      <w:r>
        <w:rPr>
          <w:rStyle w:val="ClaimLabel"/>
        </w:rPr>
        <w:t xml:space="preserve">NPV</w:t>
      </w:r>
    </w:p>
    <w:p>
      <w:pPr>
        <w:pStyle w:val="FirstParagraph"/>
      </w:pPr>
      <w:r>
        <w:rPr>
          <w:bCs/>
          <w:b/>
        </w:rPr>
        <w:t xml:space="preserve">Choose when</w:t>
      </w:r>
    </w:p>
    <w:p>
      <w:pPr>
        <w:numPr>
          <w:ilvl w:val="0"/>
          <w:numId w:val="1547"/>
        </w:numPr>
        <w:pStyle w:val="Compact"/>
      </w:pPr>
      <w:r>
        <w:t xml:space="preserve">Collibra is already the data catalogue of record</w:t>
      </w:r>
      <w:r>
        <w:t xml:space="preserve"> </w:t>
      </w:r>
      <w:r>
        <w:rPr>
          <w:rStyle w:val="ClaimLabel"/>
        </w:rPr>
        <w:t xml:space="preserve">AJ</w:t>
      </w:r>
    </w:p>
    <w:p>
      <w:pPr>
        <w:pStyle w:val="FirstParagraph"/>
      </w:pPr>
      <w:r>
        <w:rPr>
          <w:bCs/>
          <w:b/>
        </w:rPr>
        <w:t xml:space="preserve">Avoid when</w:t>
      </w:r>
    </w:p>
    <w:p>
      <w:pPr>
        <w:numPr>
          <w:ilvl w:val="0"/>
          <w:numId w:val="1548"/>
        </w:numPr>
        <w:pStyle w:val="Compact"/>
      </w:pPr>
      <w:r>
        <w:t xml:space="preserve">You need self-hosting or a model-validation workflow</w:t>
      </w:r>
      <w:r>
        <w:t xml:space="preserve"> </w:t>
      </w:r>
      <w:r>
        <w:rPr>
          <w:rStyle w:val="ClaimLabel"/>
        </w:rPr>
        <w:t xml:space="preserve">AJ</w:t>
      </w:r>
    </w:p>
    <w:p>
      <w:pPr>
        <w:pStyle w:val="FirstParagraph"/>
      </w:pPr>
      <w:r>
        <w:rPr>
          <w:bCs/>
          <w:b/>
        </w:rPr>
        <w:t xml:space="preserve">Nearest competitors:</w:t>
      </w:r>
      <w:r>
        <w:t xml:space="preserve"> </w:t>
      </w:r>
      <w:r>
        <w:t xml:space="preserve">C8-credo-ai, C8-watsonx-governance, C8-modelop</w:t>
      </w:r>
    </w:p>
    <w:p>
      <w:pPr>
        <w:pStyle w:val="BodyText"/>
      </w:pPr>
      <w:r>
        <w:rPr>
          <w:bCs/>
          <w:b/>
        </w:rPr>
        <w:t xml:space="preserve">Regulated-FS note.</w:t>
      </w:r>
      <w:r>
        <w:t xml:space="preserve"> </w:t>
      </w:r>
      <w:r>
        <w:t xml:space="preserve">Use the BCBS 239 mapping for bank-owned managers; confirm EU hosting and the trail ML integration roadmap</w:t>
      </w:r>
      <w:r>
        <w:t xml:space="preserve"> </w:t>
      </w:r>
      <w:r>
        <w:rPr>
          <w:rStyle w:val="ClaimLabel"/>
        </w:rPr>
        <w:t xml:space="preserve">Rec</w:t>
      </w:r>
      <w:r>
        <w:t xml:space="preserve">.</w:t>
      </w:r>
    </w:p>
    <w:p>
      <w:pPr>
        <w:pStyle w:val="BodyText"/>
      </w:pPr>
      <w:r>
        <w:rPr>
          <w:bCs/>
          <w:b/>
        </w:rPr>
        <w:t xml:space="preserve">Facts (as of 2026-10-08)</w:t>
      </w:r>
    </w:p>
    <w:tbl>
      <w:tblPr>
        <w:tblStyle w:val="Table"/>
        <w:tblW w:type="pct" w:w="5000"/>
        <w:tblLook w:firstRow="1" w:lastRow="0" w:firstColumn="0" w:lastColumn="0" w:noHBand="0" w:noVBand="0" w:val="0020"/>
        <w:jc w:val="start"/>
      </w:tblPr>
      <w:tblGrid>
        <w:gridCol w:w="1485"/>
        <w:gridCol w:w="4290"/>
        <w:gridCol w:w="1320"/>
        <w:gridCol w:w="825"/>
      </w:tblGrid>
      <w:tr>
        <w:trPr>
          <w:tblHeader w:val="true"/>
        </w:trPr>
        <w:tc>
          <w:tcPr/>
          <w:p>
            <w:pPr>
              <w:pStyle w:val="Compact"/>
              <w:jc w:val="left"/>
            </w:pPr>
            <w:r>
              <w:t xml:space="preserve">Field</w:t>
            </w:r>
          </w:p>
        </w:tc>
        <w:tc>
          <w:tcPr/>
          <w:p>
            <w:pPr>
              <w:pStyle w:val="Compact"/>
              <w:jc w:val="left"/>
            </w:pPr>
            <w:r>
              <w:t xml:space="preserve">Value</w:t>
            </w:r>
          </w:p>
        </w:tc>
        <w:tc>
          <w:tcPr/>
          <w:p>
            <w:pPr>
              <w:pStyle w:val="Compact"/>
              <w:jc w:val="left"/>
            </w:pPr>
            <w:r>
              <w:t xml:space="preserve">Label</w:t>
            </w:r>
          </w:p>
        </w:tc>
        <w:tc>
          <w:tcPr/>
          <w:p>
            <w:pPr>
              <w:pStyle w:val="Compact"/>
              <w:jc w:val="left"/>
            </w:pPr>
            <w:r>
              <w:t xml:space="preserve">Sources</w:t>
            </w:r>
          </w:p>
        </w:tc>
      </w:tr>
      <w:tr>
        <w:tc>
          <w:tcPr/>
          <w:p>
            <w:pPr>
              <w:pStyle w:val="Compact"/>
              <w:jc w:val="left"/>
            </w:pPr>
            <w:r>
              <w:t xml:space="preserve">Company</w:t>
            </w:r>
          </w:p>
        </w:tc>
        <w:tc>
          <w:tcPr/>
          <w:p>
            <w:pPr>
              <w:pStyle w:val="Compact"/>
              <w:jc w:val="left"/>
            </w:pPr>
            <w:r>
              <w:t xml:space="preserve">Collibra (acquired trail ML, Munich, announced 5 October 2026)</w:t>
            </w:r>
          </w:p>
        </w:tc>
        <w:tc>
          <w:tcPr/>
          <w:p>
            <w:pPr>
              <w:pStyle w:val="Compact"/>
              <w:jc w:val="left"/>
            </w:pPr>
            <w:r>
              <w:t xml:space="preserve">Verified fact</w:t>
            </w:r>
          </w:p>
        </w:tc>
        <w:tc>
          <w:tcPr/>
          <w:p>
            <w:pPr>
              <w:pStyle w:val="Compact"/>
              <w:jc w:val="left"/>
            </w:pPr>
            <w:r>
              <w:t xml:space="preserve">A7-S105, A7-S101</w:t>
            </w:r>
          </w:p>
        </w:tc>
      </w:tr>
      <w:tr>
        <w:tc>
          <w:tcPr/>
          <w:p>
            <w:pPr>
              <w:pStyle w:val="Compact"/>
              <w:jc w:val="left"/>
            </w:pPr>
            <w:r>
              <w:t xml:space="preserve">Category</w:t>
            </w:r>
          </w:p>
        </w:tc>
        <w:tc>
          <w:tcPr/>
          <w:p>
            <w:pPr>
              <w:pStyle w:val="Compact"/>
              <w:jc w:val="left"/>
            </w:pPr>
            <w:r>
              <w:t xml:space="preserve">AI governance on a data intelligence/governance platform (AI use-case registry, assessments, controls)</w:t>
            </w:r>
          </w:p>
        </w:tc>
        <w:tc>
          <w:tcPr/>
          <w:p>
            <w:pPr>
              <w:pStyle w:val="Compact"/>
              <w:jc w:val="left"/>
            </w:pPr>
            <w:r>
              <w:t xml:space="preserve">Verified fact</w:t>
            </w:r>
          </w:p>
        </w:tc>
        <w:tc>
          <w:tcPr/>
          <w:p>
            <w:pPr>
              <w:pStyle w:val="Compact"/>
              <w:jc w:val="left"/>
            </w:pPr>
            <w:r>
              <w:t xml:space="preserve">A7-S099, A7-S122</w:t>
            </w:r>
          </w:p>
        </w:tc>
      </w:tr>
      <w:tr>
        <w:tc>
          <w:tcPr/>
          <w:p>
            <w:pPr>
              <w:pStyle w:val="Compact"/>
              <w:jc w:val="left"/>
            </w:pPr>
            <w:r>
              <w:t xml:space="preserve">Version / lineup</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Licence</w:t>
            </w:r>
          </w:p>
        </w:tc>
        <w:tc>
          <w:tcPr/>
          <w:p>
            <w:pPr>
              <w:pStyle w:val="Compact"/>
              <w:jc w:val="left"/>
            </w:pPr>
            <w:r>
              <w:t xml:space="preserve">Proprietary SaaS</w:t>
            </w:r>
          </w:p>
        </w:tc>
        <w:tc>
          <w:tcPr/>
          <w:p>
            <w:pPr>
              <w:pStyle w:val="Compact"/>
              <w:jc w:val="left"/>
            </w:pPr>
            <w:r>
              <w:t xml:space="preserve">Verified fact</w:t>
            </w:r>
          </w:p>
        </w:tc>
        <w:tc>
          <w:tcPr/>
          <w:p>
            <w:pPr>
              <w:pStyle w:val="Compact"/>
              <w:jc w:val="left"/>
            </w:pPr>
            <w:r>
              <w:t xml:space="preserve">A7-S122</w:t>
            </w:r>
          </w:p>
        </w:tc>
      </w:tr>
      <w:tr>
        <w:tc>
          <w:tcPr/>
          <w:p>
            <w:pPr>
              <w:pStyle w:val="Compact"/>
              <w:jc w:val="left"/>
            </w:pPr>
            <w:r>
              <w:t xml:space="preserve">Status events</w:t>
            </w:r>
          </w:p>
        </w:tc>
        <w:tc>
          <w:tcPr/>
          <w:p>
            <w:pPr>
              <w:pStyle w:val="Compact"/>
              <w:jc w:val="left"/>
            </w:pPr>
            <w:r>
              <w:t xml:space="preserve">January 2025: ISO 42001 certification (Schellman); AI Pact signatory; 5 October 2026: acquisition of trail ML announced (price undisclosed)</w:t>
            </w:r>
          </w:p>
        </w:tc>
        <w:tc>
          <w:tcPr/>
          <w:p>
            <w:pPr>
              <w:pStyle w:val="Compact"/>
              <w:jc w:val="left"/>
            </w:pPr>
            <w:r>
              <w:t xml:space="preserve">Verified fact</w:t>
            </w:r>
          </w:p>
        </w:tc>
        <w:tc>
          <w:tcPr/>
          <w:p>
            <w:pPr>
              <w:pStyle w:val="Compact"/>
              <w:jc w:val="left"/>
            </w:pPr>
            <w:r>
              <w:t xml:space="preserve">A7-S100, A7-S105, V2-S044, V2-S064</w:t>
            </w:r>
          </w:p>
        </w:tc>
      </w:tr>
      <w:tr>
        <w:tc>
          <w:tcPr/>
          <w:p>
            <w:pPr>
              <w:pStyle w:val="Compact"/>
              <w:jc w:val="left"/>
            </w:pPr>
            <w:r>
              <w:t xml:space="preserve">Strategic direction</w:t>
            </w:r>
          </w:p>
        </w:tc>
        <w:tc>
          <w:tcPr/>
          <w:p>
            <w:pPr>
              <w:pStyle w:val="Compact"/>
              <w:jc w:val="left"/>
            </w:pPr>
            <w:r>
              <w:t xml:space="preserve">Repositioned as</w:t>
            </w:r>
            <w:r>
              <w:t xml:space="preserve"> </w:t>
            </w:r>
            <w:r>
              <w:t xml:space="preserve">‘</w:t>
            </w:r>
            <w:r>
              <w:t xml:space="preserve">The Enterprise AI Control Plane</w:t>
            </w:r>
            <w:r>
              <w:t xml:space="preserve">’</w:t>
            </w:r>
            <w:r>
              <w:t xml:space="preserve">; adding agent-powered continuous assessment and runtime enforcement via trail ML; code-first registry CLI; AIUC-1 templates (May 2026)</w:t>
            </w:r>
          </w:p>
        </w:tc>
        <w:tc>
          <w:tcPr/>
          <w:p>
            <w:pPr>
              <w:pStyle w:val="Compact"/>
              <w:jc w:val="left"/>
            </w:pPr>
            <w:r>
              <w:t xml:space="preserve">Verified fact</w:t>
            </w:r>
          </w:p>
        </w:tc>
        <w:tc>
          <w:tcPr/>
          <w:p>
            <w:pPr>
              <w:pStyle w:val="Compact"/>
              <w:jc w:val="left"/>
            </w:pPr>
            <w:r>
              <w:t xml:space="preserve">A7-S122, A7-S105, A7-S099</w:t>
            </w:r>
          </w:p>
        </w:tc>
      </w:tr>
      <w:tr>
        <w:tc>
          <w:tcPr/>
          <w:p>
            <w:pPr>
              <w:pStyle w:val="Compact"/>
              <w:jc w:val="left"/>
            </w:pPr>
            <w:r>
              <w:t xml:space="preserve">What it does</w:t>
            </w:r>
          </w:p>
        </w:tc>
        <w:tc>
          <w:tcPr/>
          <w:p>
            <w:pPr>
              <w:pStyle w:val="Compact"/>
              <w:jc w:val="left"/>
            </w:pPr>
            <w:r>
              <w:t xml:space="preserve">Provides an AI use-case register and model/agent asset domains, links use cases to model versions and agents from integrated AI platforms, runs EU AI Act and NIST AI RMF assessment templates and 46 controls mapped to EU AI Act, NIST and BCBS 239 articles.</w:t>
            </w:r>
          </w:p>
        </w:tc>
        <w:tc>
          <w:tcPr/>
          <w:p>
            <w:pPr>
              <w:pStyle w:val="Compact"/>
              <w:jc w:val="left"/>
            </w:pPr>
            <w:r>
              <w:t xml:space="preserve">Verified fact</w:t>
            </w:r>
          </w:p>
        </w:tc>
        <w:tc>
          <w:tcPr/>
          <w:p>
            <w:pPr>
              <w:pStyle w:val="Compact"/>
              <w:jc w:val="left"/>
            </w:pPr>
            <w:r>
              <w:t xml:space="preserve">A7-S099</w:t>
            </w:r>
          </w:p>
        </w:tc>
      </w:tr>
      <w:tr>
        <w:tc>
          <w:tcPr/>
          <w:p>
            <w:pPr>
              <w:pStyle w:val="Compact"/>
              <w:jc w:val="left"/>
            </w:pPr>
            <w:r>
              <w:t xml:space="preserve">Stack position</w:t>
            </w:r>
          </w:p>
        </w:tc>
        <w:tc>
          <w:tcPr/>
          <w:p>
            <w:pPr>
              <w:pStyle w:val="Compact"/>
              <w:jc w:val="left"/>
            </w:pPr>
            <w:r>
              <w:t xml:space="preserve">C8 governance anchored in the data catalogue and lineage layer (bridges H7 data lineage and AI inventory)</w:t>
            </w:r>
          </w:p>
        </w:tc>
        <w:tc>
          <w:tcPr/>
          <w:p>
            <w:pPr>
              <w:pStyle w:val="Compact"/>
              <w:jc w:val="left"/>
            </w:pPr>
            <w:r>
              <w:t xml:space="preserve">Verified fact</w:t>
            </w:r>
          </w:p>
        </w:tc>
        <w:tc>
          <w:tcPr/>
          <w:p>
            <w:pPr>
              <w:pStyle w:val="Compact"/>
              <w:jc w:val="left"/>
            </w:pPr>
            <w:r>
              <w:t xml:space="preserve">A7-S099, A7-S122</w:t>
            </w:r>
          </w:p>
        </w:tc>
      </w:tr>
      <w:tr>
        <w:tc>
          <w:tcPr/>
          <w:p>
            <w:pPr>
              <w:pStyle w:val="Compact"/>
              <w:jc w:val="left"/>
            </w:pPr>
            <w:r>
              <w:t xml:space="preserve">Integration</w:t>
            </w:r>
          </w:p>
        </w:tc>
        <w:tc>
          <w:tcPr/>
          <w:p>
            <w:pPr>
              <w:pStyle w:val="Compact"/>
              <w:jc w:val="left"/>
            </w:pPr>
            <w:r>
              <w:t xml:space="preserve">Platform-agnostic connectors to AWS SageMaker, Azure AI Foundry, Databricks; developer CLI manifests; OpenLineage integration</w:t>
            </w:r>
          </w:p>
        </w:tc>
        <w:tc>
          <w:tcPr/>
          <w:p>
            <w:pPr>
              <w:pStyle w:val="Compact"/>
              <w:jc w:val="left"/>
            </w:pPr>
            <w:r>
              <w:t xml:space="preserve">Verified fact</w:t>
            </w:r>
          </w:p>
        </w:tc>
        <w:tc>
          <w:tcPr/>
          <w:p>
            <w:pPr>
              <w:pStyle w:val="Compact"/>
              <w:jc w:val="left"/>
            </w:pPr>
            <w:r>
              <w:t xml:space="preserve">A7-S122, A7-S099</w:t>
            </w:r>
          </w:p>
        </w:tc>
      </w:tr>
      <w:tr>
        <w:tc>
          <w:tcPr/>
          <w:p>
            <w:pPr>
              <w:pStyle w:val="Compact"/>
              <w:jc w:val="left"/>
            </w:pPr>
            <w:r>
              <w:t xml:space="preserve">Dependencies</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Certifications</w:t>
            </w:r>
          </w:p>
        </w:tc>
        <w:tc>
          <w:tcPr/>
          <w:p>
            <w:pPr>
              <w:pStyle w:val="Compact"/>
              <w:jc w:val="left"/>
            </w:pPr>
            <w:r>
              <w:t xml:space="preserve">SOC 1, SOC 2, ISO 27001, 27017, 27018, ISO 42001, FedRAMP, ITAR, HIPAA, TISAX; CSA STAR self-assessment</w:t>
            </w:r>
          </w:p>
        </w:tc>
        <w:tc>
          <w:tcPr/>
          <w:p>
            <w:pPr>
              <w:pStyle w:val="Compact"/>
              <w:jc w:val="left"/>
            </w:pPr>
            <w:r>
              <w:t xml:space="preserve">Verified fact</w:t>
            </w:r>
          </w:p>
        </w:tc>
        <w:tc>
          <w:tcPr/>
          <w:p>
            <w:pPr>
              <w:pStyle w:val="Compact"/>
              <w:jc w:val="left"/>
            </w:pPr>
            <w:r>
              <w:t xml:space="preserve">A7-S106, A7-S100, V2-S064</w:t>
            </w:r>
          </w:p>
        </w:tc>
      </w:tr>
      <w:tr>
        <w:tc>
          <w:tcPr/>
          <w:p>
            <w:pPr>
              <w:pStyle w:val="Compact"/>
              <w:jc w:val="left"/>
            </w:pPr>
            <w:r>
              <w:t xml:space="preserve">GDPR / residency</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Security features</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Access controls</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Enterprise support</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Pricing</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Infrastructure cost</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Ecosystem</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Adoption signals</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Maturity</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Deployment</w:t>
            </w:r>
          </w:p>
        </w:tc>
        <w:tc>
          <w:tcPr/>
          <w:p>
            <w:pPr>
              <w:pStyle w:val="Compact"/>
              <w:jc w:val="left"/>
            </w:pPr>
            <w:r>
              <w:t xml:space="preserve">saas: Yes (managed on AWS and GCP); managed_cloud: Yes (Cloud Sites); vpc_byoc: Not publicly verified; private_cloud: Not publicly verified; self_hosted: Not publicly verified; on_prem: Not publicly verified</w:t>
            </w:r>
          </w:p>
        </w:tc>
        <w:tc>
          <w:tcPr/>
          <w:p>
            <w:pPr>
              <w:pStyle w:val="Compact"/>
            </w:pPr>
          </w:p>
        </w:tc>
        <w:tc>
          <w:tcPr/>
          <w:p>
            <w:pPr>
              <w:pStyle w:val="Compact"/>
            </w:pPr>
          </w:p>
        </w:tc>
      </w:tr>
    </w:tbl>
    <w:bookmarkEnd w:id="2464"/>
    <w:bookmarkStart w:id="2476" w:name="X7b99e783ef89a73d7d9326cf516b030d134992e"/>
    <w:p>
      <w:pPr>
        <w:pStyle w:val="Heading2"/>
      </w:pPr>
      <w:r>
        <w:t xml:space="preserve">ModelOp Center (positioned as</w:t>
      </w:r>
      <w:r>
        <w:t xml:space="preserve"> </w:t>
      </w:r>
      <w:r>
        <w:t xml:space="preserve">‘</w:t>
      </w:r>
      <w:r>
        <w:t xml:space="preserve">Enterprise AI Command Center</w:t>
      </w:r>
      <w:r>
        <w:t xml:space="preserve">’</w:t>
      </w:r>
      <w:r>
        <w:t xml:space="preserve">) (</w:t>
      </w:r>
      <w:r>
        <w:rPr>
          <w:rStyle w:val="VerbatimChar"/>
        </w:rPr>
        <w:t xml:space="preserve">C8-modelop</w:t>
      </w:r>
      <w:r>
        <w:t xml:space="preserve">)</w:t>
      </w:r>
    </w:p>
    <w:p>
      <w:pPr>
        <w:pStyle w:val="FirstParagraph"/>
      </w:pPr>
      <w:r>
        <w:rPr>
          <w:bCs/>
          <w:b/>
        </w:rPr>
        <w:t xml:space="preserve">Tier:</w:t>
      </w:r>
      <w:r>
        <w:t xml:space="preserve"> </w:t>
      </w:r>
      <w:r>
        <w:t xml:space="preserve">Tactical ·</w:t>
      </w:r>
      <w:r>
        <w:t xml:space="preserve"> </w:t>
      </w:r>
      <w:r>
        <w:rPr>
          <w:bCs/>
          <w:b/>
        </w:rPr>
        <w:t xml:space="preserve">Flags:</w:t>
      </w:r>
      <w:r>
        <w:t xml:space="preserve"> </w:t>
      </w:r>
      <w:r>
        <w:t xml:space="preserve">none ·</w:t>
      </w:r>
      <w:r>
        <w:t xml:space="preserve"> </w:t>
      </w:r>
      <w:r>
        <w:rPr>
          <w:bCs/>
          <w:b/>
        </w:rPr>
        <w:t xml:space="preserve">Original graphic label:</w:t>
      </w:r>
      <w:r>
        <w:t xml:space="preserve"> </w:t>
      </w:r>
      <w:r>
        <w:t xml:space="preserve">not in graphic</w:t>
      </w:r>
    </w:p>
    <w:p>
      <w:pPr>
        <w:pStyle w:val="BodyText"/>
      </w:pPr>
      <w:r>
        <w:rPr>
          <w:iCs/>
          <w:i/>
        </w:rPr>
        <w:t xml:space="preserve">Rationale:</w:t>
      </w:r>
      <w:r>
        <w:t xml:space="preserve"> </w:t>
      </w:r>
      <w:r>
        <w:t xml:space="preserve">Credible automation claims but the thinnest public evidence in the set</w:t>
      </w:r>
      <w:r>
        <w:t xml:space="preserve"> </w:t>
      </w:r>
      <w:r>
        <w:rPr>
          <w:rStyle w:val="ClaimLabel"/>
        </w:rPr>
        <w:t xml:space="preserve">AJ</w:t>
      </w:r>
      <w:r>
        <w:t xml:space="preserve">.</w:t>
      </w:r>
    </w:p>
    <w:tbl>
      <w:tblPr>
        <w:tblStyle w:val="Table"/>
        <w:tblW w:type="pct" w:w="5000"/>
        <w:tblLook w:firstRow="1" w:lastRow="0" w:firstColumn="0" w:lastColumn="0" w:noHBand="0" w:noVBand="0" w:val="0020"/>
        <w:jc w:val="start"/>
      </w:tblPr>
      <w:tblGrid>
        <w:gridCol w:w="1545"/>
        <w:gridCol w:w="579"/>
        <w:gridCol w:w="5795"/>
      </w:tblGrid>
      <w:tr>
        <w:trPr>
          <w:tblHeader w:val="true"/>
        </w:trPr>
        <w:tc>
          <w:tcPr/>
          <w:p>
            <w:pPr>
              <w:pStyle w:val="Compact"/>
              <w:jc w:val="left"/>
            </w:pPr>
            <w:r>
              <w:t xml:space="preserve">Criterion</w:t>
            </w:r>
          </w:p>
        </w:tc>
        <w:tc>
          <w:tcPr/>
          <w:p>
            <w:pPr>
              <w:pStyle w:val="Compact"/>
              <w:jc w:val="right"/>
            </w:pPr>
            <w:r>
              <w:t xml:space="preserve">Score</w:t>
            </w:r>
          </w:p>
        </w:tc>
        <w:tc>
          <w:tcPr/>
          <w:p>
            <w:pPr>
              <w:pStyle w:val="Compact"/>
              <w:jc w:val="left"/>
            </w:pPr>
            <w:r>
              <w:t xml:space="preserve">Rationale</w:t>
            </w:r>
          </w:p>
        </w:tc>
      </w:tr>
      <w:tr>
        <w:tc>
          <w:tcPr/>
          <w:p>
            <w:pPr>
              <w:pStyle w:val="Compact"/>
              <w:jc w:val="left"/>
            </w:pPr>
            <w:r>
              <w:t xml:space="preserve">Technical</w:t>
            </w:r>
          </w:p>
        </w:tc>
        <w:tc>
          <w:tcPr/>
          <w:p>
            <w:pPr>
              <w:pStyle w:val="Compact"/>
              <w:jc w:val="right"/>
            </w:pPr>
            <w:r>
              <w:t xml:space="preserve">4</w:t>
            </w:r>
          </w:p>
        </w:tc>
        <w:tc>
          <w:tcPr/>
          <w:p>
            <w:pPr>
              <w:pStyle w:val="Compact"/>
              <w:jc w:val="left"/>
            </w:pPr>
            <w:r>
              <w:t xml:space="preserve">Inventory, intake, tiering, approvals, templates, tests and blocking workflows (vendor-described).</w:t>
            </w:r>
          </w:p>
        </w:tc>
      </w:tr>
      <w:tr>
        <w:tc>
          <w:tcPr/>
          <w:p>
            <w:pPr>
              <w:pStyle w:val="Compact"/>
              <w:jc w:val="left"/>
            </w:pPr>
            <w:r>
              <w:t xml:space="preserve">Enterprise readiness</w:t>
            </w:r>
          </w:p>
        </w:tc>
        <w:tc>
          <w:tcPr/>
          <w:p>
            <w:pPr>
              <w:pStyle w:val="Compact"/>
              <w:jc w:val="right"/>
            </w:pPr>
            <w:r>
              <w:t xml:space="preserve">3</w:t>
            </w:r>
          </w:p>
        </w:tc>
        <w:tc>
          <w:tcPr/>
          <w:p>
            <w:pPr>
              <w:pStyle w:val="Compact"/>
              <w:jc w:val="left"/>
            </w:pPr>
            <w:r>
              <w:t xml:space="preserve">SAML/OAuth2 IdP integration and role-based access verified (rule 7, maximum 3); audit logs not documented.</w:t>
            </w:r>
          </w:p>
        </w:tc>
      </w:tr>
      <w:tr>
        <w:tc>
          <w:tcPr/>
          <w:p>
            <w:pPr>
              <w:pStyle w:val="Compact"/>
              <w:jc w:val="left"/>
            </w:pPr>
            <w:r>
              <w:t xml:space="preserve">Security and compliance</w:t>
            </w:r>
          </w:p>
        </w:tc>
        <w:tc>
          <w:tcPr/>
          <w:p>
            <w:pPr>
              <w:pStyle w:val="Compact"/>
              <w:jc w:val="right"/>
            </w:pPr>
            <w:r>
              <w:t xml:space="preserve">2</w:t>
            </w:r>
          </w:p>
        </w:tc>
        <w:tc>
          <w:tcPr/>
          <w:p>
            <w:pPr>
              <w:pStyle w:val="Compact"/>
              <w:jc w:val="left"/>
            </w:pPr>
            <w:r>
              <w:t xml:space="preserve">Capped at 2: no certifications publicly verified.</w:t>
            </w:r>
          </w:p>
        </w:tc>
      </w:tr>
      <w:tr>
        <w:tc>
          <w:tcPr/>
          <w:p>
            <w:pPr>
              <w:pStyle w:val="Compact"/>
              <w:jc w:val="left"/>
            </w:pPr>
            <w:r>
              <w:t xml:space="preserve">Deployment flexibility</w:t>
            </w:r>
          </w:p>
        </w:tc>
        <w:tc>
          <w:tcPr/>
          <w:p>
            <w:pPr>
              <w:pStyle w:val="Compact"/>
              <w:jc w:val="right"/>
            </w:pPr>
            <w:r>
              <w:t xml:space="preserve">4</w:t>
            </w:r>
          </w:p>
        </w:tc>
        <w:tc>
          <w:tcPr/>
          <w:p>
            <w:pPr>
              <w:pStyle w:val="Compact"/>
              <w:jc w:val="left"/>
            </w:pPr>
            <w:r>
              <w:t xml:space="preserve">Self-hosted, on-prem, hybrid and EKS; SaaS not verified.</w:t>
            </w:r>
          </w:p>
        </w:tc>
      </w:tr>
      <w:tr>
        <w:tc>
          <w:tcPr/>
          <w:p>
            <w:pPr>
              <w:pStyle w:val="Compact"/>
              <w:jc w:val="left"/>
            </w:pPr>
            <w:r>
              <w:t xml:space="preserve">Ecosystem</w:t>
            </w:r>
          </w:p>
        </w:tc>
        <w:tc>
          <w:tcPr/>
          <w:p>
            <w:pPr>
              <w:pStyle w:val="Compact"/>
              <w:jc w:val="right"/>
            </w:pPr>
            <w:r>
              <w:t xml:space="preserve">3</w:t>
            </w:r>
          </w:p>
        </w:tc>
        <w:tc>
          <w:tcPr/>
          <w:p>
            <w:pPr>
              <w:pStyle w:val="Compact"/>
              <w:jc w:val="left"/>
            </w:pPr>
            <w:r>
              <w:t xml:space="preserve">Connectors and REST APIs; SageMaker, S3, Redshift.</w:t>
            </w:r>
          </w:p>
        </w:tc>
      </w:tr>
      <w:tr>
        <w:tc>
          <w:tcPr/>
          <w:p>
            <w:pPr>
              <w:pStyle w:val="Compact"/>
              <w:jc w:val="left"/>
            </w:pPr>
            <w:r>
              <w:t xml:space="preserve">Reliability and maturity</w:t>
            </w:r>
          </w:p>
        </w:tc>
        <w:tc>
          <w:tcPr/>
          <w:p>
            <w:pPr>
              <w:pStyle w:val="Compact"/>
              <w:jc w:val="right"/>
            </w:pPr>
            <w:r>
              <w:t xml:space="preserve">2</w:t>
            </w:r>
          </w:p>
        </w:tc>
        <w:tc>
          <w:tcPr/>
          <w:p>
            <w:pPr>
              <w:pStyle w:val="Compact"/>
              <w:jc w:val="left"/>
            </w:pPr>
            <w:r>
              <w:t xml:space="preserve">Maturity and release cadence not publicly verified; small disclosed funding.</w:t>
            </w:r>
          </w:p>
        </w:tc>
      </w:tr>
      <w:tr>
        <w:tc>
          <w:tcPr/>
          <w:p>
            <w:pPr>
              <w:pStyle w:val="Compact"/>
              <w:jc w:val="left"/>
            </w:pPr>
            <w:r>
              <w:t xml:space="preserve">Cost / TCO</w:t>
            </w:r>
          </w:p>
        </w:tc>
        <w:tc>
          <w:tcPr/>
          <w:p>
            <w:pPr>
              <w:pStyle w:val="Compact"/>
              <w:jc w:val="right"/>
            </w:pPr>
            <w:r>
              <w:t xml:space="preserve">2</w:t>
            </w:r>
          </w:p>
        </w:tc>
        <w:tc>
          <w:tcPr/>
          <w:p>
            <w:pPr>
              <w:pStyle w:val="Compact"/>
              <w:jc w:val="left"/>
            </w:pPr>
            <w:r>
              <w:t xml:space="preserve">List pricing not published.</w:t>
            </w:r>
          </w:p>
        </w:tc>
      </w:tr>
      <w:tr>
        <w:tc>
          <w:tcPr/>
          <w:p>
            <w:pPr>
              <w:pStyle w:val="Compact"/>
              <w:jc w:val="left"/>
            </w:pPr>
            <w:r>
              <w:t xml:space="preserve">Lock-in / portability</w:t>
            </w:r>
          </w:p>
        </w:tc>
        <w:tc>
          <w:tcPr/>
          <w:p>
            <w:pPr>
              <w:pStyle w:val="Compact"/>
              <w:jc w:val="right"/>
            </w:pPr>
            <w:r>
              <w:t xml:space="preserve">3</w:t>
            </w:r>
          </w:p>
        </w:tc>
        <w:tc>
          <w:tcPr/>
          <w:p>
            <w:pPr>
              <w:pStyle w:val="Compact"/>
              <w:jc w:val="left"/>
            </w:pPr>
            <w:r>
              <w:t xml:space="preserve">Proprietary but self-hostable; independent.</w:t>
            </w:r>
          </w:p>
        </w:tc>
      </w:tr>
      <w:tr>
        <w:tc>
          <w:tcPr/>
          <w:p>
            <w:pPr>
              <w:pStyle w:val="Compact"/>
              <w:jc w:val="left"/>
            </w:pPr>
            <w:r>
              <w:rPr>
                <w:bCs/>
                <w:b/>
              </w:rPr>
              <w:t xml:space="preserve">Total (generic / FS)</w:t>
            </w:r>
          </w:p>
        </w:tc>
        <w:tc>
          <w:tcPr/>
          <w:p>
            <w:pPr>
              <w:pStyle w:val="Compact"/>
              <w:jc w:val="right"/>
            </w:pPr>
            <w:r>
              <w:rPr>
                <w:bCs/>
                <w:b/>
              </w:rPr>
              <w:t xml:space="preserve">3.00 / 2.95</w:t>
            </w:r>
          </w:p>
        </w:tc>
        <w:tc>
          <w:tcPr/>
          <w:p>
            <w:pPr>
              <w:pStyle w:val="Compact"/>
            </w:pPr>
          </w:p>
        </w:tc>
      </w:tr>
    </w:tbl>
    <w:p>
      <w:pPr>
        <w:pStyle w:val="BodyText"/>
      </w:pPr>
      <w:r>
        <w:rPr>
          <w:iCs/>
          <w:i/>
        </w:rPr>
        <w:t xml:space="preserve">Evidence rules applied:</w:t>
      </w:r>
      <w:r>
        <w:t xml:space="preserve"> </w:t>
      </w:r>
      <w:r>
        <w:t xml:space="preserve">security_compliance capped at 2: certifications not publicly verified (B-C8-S001)</w:t>
      </w:r>
    </w:p>
    <w:p>
      <w:pPr>
        <w:pStyle w:val="BodyText"/>
      </w:pPr>
      <w:r>
        <w:rPr>
          <w:bCs/>
          <w:b/>
        </w:rPr>
        <w:t xml:space="preserve">Capabilities.</w:t>
      </w:r>
      <w:r>
        <w:t xml:space="preserve"> </w:t>
      </w:r>
      <w:r>
        <w:t xml:space="preserve">AI governance and lifecycle automation (</w:t>
      </w:r>
      <w:r>
        <w:t xml:space="preserve">‘</w:t>
      </w:r>
      <w:r>
        <w:t xml:space="preserve">Enterprise AI Command Center</w:t>
      </w:r>
      <w:r>
        <w:t xml:space="preserve">’</w:t>
      </w:r>
      <w:r>
        <w:t xml:space="preserve">): inventory with self-service intake, risk tiering and approvals; 25+ governance process templates and 100+ tests and controls; risk-based workflows that can block non-compliant actions; claimed inline protections for agents</w:t>
      </w:r>
      <w:r>
        <w:t xml:space="preserve"> </w:t>
      </w:r>
      <w:r>
        <w:rPr>
          <w:rStyle w:val="ClaimLabel"/>
        </w:rPr>
        <w:t xml:space="preserve">VF</w:t>
      </w:r>
      <w:r>
        <w:rPr>
          <w:rStyle w:val="FootnoteReference"/>
        </w:rPr>
        <w:footnoteReference w:id="2465"/>
      </w:r>
      <w:r>
        <w:t xml:space="preserve">.</w:t>
      </w:r>
    </w:p>
    <w:p>
      <w:pPr>
        <w:pStyle w:val="BodyText"/>
      </w:pPr>
      <w:r>
        <w:rPr>
          <w:bCs/>
          <w:b/>
        </w:rPr>
        <w:t xml:space="preserve">Strengths</w:t>
      </w:r>
    </w:p>
    <w:p>
      <w:pPr>
        <w:numPr>
          <w:ilvl w:val="0"/>
          <w:numId w:val="1549"/>
        </w:numPr>
        <w:pStyle w:val="Compact"/>
      </w:pPr>
      <w:r>
        <w:t xml:space="preserve">Lifecycle automation that can enforce, not only record</w:t>
      </w:r>
      <w:r>
        <w:t xml:space="preserve"> </w:t>
      </w:r>
      <w:r>
        <w:rPr>
          <w:rStyle w:val="ClaimLabel"/>
        </w:rPr>
        <w:t xml:space="preserve">VF</w:t>
      </w:r>
      <w:r>
        <w:rPr>
          <w:rStyle w:val="FootnoteReference"/>
        </w:rPr>
        <w:footnoteReference w:id="2467"/>
      </w:r>
      <w:r>
        <w:t xml:space="preserve"> </w:t>
      </w:r>
      <w:r>
        <w:rPr>
          <w:rStyle w:val="ClaimLabel"/>
        </w:rPr>
        <w:t xml:space="preserve">AJ</w:t>
      </w:r>
    </w:p>
    <w:p>
      <w:pPr>
        <w:numPr>
          <w:ilvl w:val="0"/>
          <w:numId w:val="1549"/>
        </w:numPr>
        <w:pStyle w:val="Compact"/>
      </w:pPr>
      <w:r>
        <w:t xml:space="preserve">Self-hosted, on-prem, hybrid and EKS via AWS Marketplace</w:t>
      </w:r>
      <w:r>
        <w:t xml:space="preserve"> </w:t>
      </w:r>
      <w:r>
        <w:rPr>
          <w:rStyle w:val="ClaimLabel"/>
        </w:rPr>
        <w:t xml:space="preserve">VF</w:t>
      </w:r>
      <w:r>
        <w:rPr>
          <w:rStyle w:val="FootnoteReference"/>
        </w:rPr>
        <w:footnoteReference w:id="2468"/>
      </w:r>
    </w:p>
    <w:p>
      <w:pPr>
        <w:numPr>
          <w:ilvl w:val="0"/>
          <w:numId w:val="1549"/>
        </w:numPr>
        <w:pStyle w:val="Compact"/>
      </w:pPr>
      <w:r>
        <w:t xml:space="preserve">Identity-provider integration via OAuth2 and SAML with role-based access</w:t>
      </w:r>
      <w:r>
        <w:t xml:space="preserve"> </w:t>
      </w:r>
      <w:r>
        <w:rPr>
          <w:rStyle w:val="ClaimLabel"/>
        </w:rPr>
        <w:t xml:space="preserve">VF</w:t>
      </w:r>
      <w:r>
        <w:rPr>
          <w:rStyle w:val="FootnoteReference"/>
        </w:rPr>
        <w:footnoteReference w:id="2470"/>
      </w:r>
    </w:p>
    <w:p>
      <w:pPr>
        <w:pStyle w:val="FirstParagraph"/>
      </w:pPr>
      <w:r>
        <w:rPr>
          <w:bCs/>
          <w:b/>
        </w:rPr>
        <w:t xml:space="preserve">Limitations and risks</w:t>
      </w:r>
    </w:p>
    <w:p>
      <w:pPr>
        <w:numPr>
          <w:ilvl w:val="0"/>
          <w:numId w:val="1550"/>
        </w:numPr>
        <w:pStyle w:val="Compact"/>
      </w:pPr>
      <w:r>
        <w:t xml:space="preserve">No SOC 2 or ISO 27001 evidence found</w:t>
      </w:r>
      <w:r>
        <w:t xml:space="preserve"> </w:t>
      </w:r>
      <w:r>
        <w:rPr>
          <w:rStyle w:val="ClaimLabel"/>
        </w:rPr>
        <w:t xml:space="preserve">VF</w:t>
      </w:r>
      <w:r>
        <w:rPr>
          <w:rStyle w:val="FootnoteReference"/>
        </w:rPr>
        <w:footnoteReference w:id="2472"/>
      </w:r>
      <w:r>
        <w:t xml:space="preserve"> </w:t>
      </w:r>
      <w:r>
        <w:rPr>
          <w:rStyle w:val="ClaimLabel"/>
        </w:rPr>
        <w:t xml:space="preserve">NPV</w:t>
      </w:r>
    </w:p>
    <w:p>
      <w:pPr>
        <w:numPr>
          <w:ilvl w:val="0"/>
          <w:numId w:val="1550"/>
        </w:numPr>
        <w:pStyle w:val="Compact"/>
      </w:pPr>
      <w:r>
        <w:t xml:space="preserve">Maturity, release cadence and SaaS availability not publicly verified</w:t>
      </w:r>
      <w:r>
        <w:t xml:space="preserve"> </w:t>
      </w:r>
      <w:r>
        <w:rPr>
          <w:rStyle w:val="ClaimLabel"/>
        </w:rPr>
        <w:t xml:space="preserve">NPV</w:t>
      </w:r>
    </w:p>
    <w:p>
      <w:pPr>
        <w:numPr>
          <w:ilvl w:val="0"/>
          <w:numId w:val="1550"/>
        </w:numPr>
        <w:pStyle w:val="Compact"/>
      </w:pPr>
      <w:r>
        <w:t xml:space="preserve">Small disclosed funding (US$10m, date not confirmed)</w:t>
      </w:r>
      <w:r>
        <w:t xml:space="preserve"> </w:t>
      </w:r>
      <w:r>
        <w:rPr>
          <w:rStyle w:val="ClaimLabel"/>
        </w:rPr>
        <w:t xml:space="preserve">VF</w:t>
      </w:r>
      <w:r>
        <w:rPr>
          <w:rStyle w:val="FootnoteReference"/>
        </w:rPr>
        <w:footnoteReference w:id="2473"/>
      </w:r>
    </w:p>
    <w:p>
      <w:pPr>
        <w:numPr>
          <w:ilvl w:val="0"/>
          <w:numId w:val="1550"/>
        </w:numPr>
        <w:pStyle w:val="Compact"/>
      </w:pPr>
      <w:r>
        <w:t xml:space="preserve">SR 11-7 templates map to a superseded instrument</w:t>
      </w:r>
      <w:r>
        <w:t xml:space="preserve"> </w:t>
      </w:r>
      <w:r>
        <w:rPr>
          <w:rStyle w:val="ClaimLabel"/>
        </w:rPr>
        <w:t xml:space="preserve">VF</w:t>
      </w:r>
      <w:r>
        <w:rPr>
          <w:rStyle w:val="FootnoteReference"/>
        </w:rPr>
        <w:footnoteReference w:id="2475"/>
      </w:r>
      <w:r>
        <w:t xml:space="preserve"> </w:t>
      </w:r>
      <w:r>
        <w:rPr>
          <w:rStyle w:val="ClaimLabel"/>
        </w:rPr>
        <w:t xml:space="preserve">AJ</w:t>
      </w:r>
    </w:p>
    <w:p>
      <w:pPr>
        <w:pStyle w:val="FirstParagraph"/>
      </w:pPr>
      <w:r>
        <w:rPr>
          <w:bCs/>
          <w:b/>
        </w:rPr>
        <w:t xml:space="preserve">Choose when</w:t>
      </w:r>
    </w:p>
    <w:p>
      <w:pPr>
        <w:numPr>
          <w:ilvl w:val="0"/>
          <w:numId w:val="1551"/>
        </w:numPr>
        <w:pStyle w:val="Compact"/>
      </w:pPr>
      <w:r>
        <w:t xml:space="preserve">You want self-hosted governance automation with blocking workflows and will do full due diligence</w:t>
      </w:r>
      <w:r>
        <w:t xml:space="preserve"> </w:t>
      </w:r>
      <w:r>
        <w:rPr>
          <w:rStyle w:val="ClaimLabel"/>
        </w:rPr>
        <w:t xml:space="preserve">AJ</w:t>
      </w:r>
    </w:p>
    <w:p>
      <w:pPr>
        <w:pStyle w:val="FirstParagraph"/>
      </w:pPr>
      <w:r>
        <w:rPr>
          <w:bCs/>
          <w:b/>
        </w:rPr>
        <w:t xml:space="preserve">Avoid when</w:t>
      </w:r>
    </w:p>
    <w:p>
      <w:pPr>
        <w:numPr>
          <w:ilvl w:val="0"/>
          <w:numId w:val="1552"/>
        </w:numPr>
        <w:pStyle w:val="Compact"/>
      </w:pPr>
      <w:r>
        <w:t xml:space="preserve">Certification evidence is a shortlisting gate</w:t>
      </w:r>
      <w:r>
        <w:t xml:space="preserve"> </w:t>
      </w:r>
      <w:r>
        <w:rPr>
          <w:rStyle w:val="ClaimLabel"/>
        </w:rPr>
        <w:t xml:space="preserve">AJ</w:t>
      </w:r>
    </w:p>
    <w:p>
      <w:pPr>
        <w:pStyle w:val="FirstParagraph"/>
      </w:pPr>
      <w:r>
        <w:rPr>
          <w:bCs/>
          <w:b/>
        </w:rPr>
        <w:t xml:space="preserve">Nearest competitors:</w:t>
      </w:r>
      <w:r>
        <w:t xml:space="preserve"> </w:t>
      </w:r>
      <w:r>
        <w:t xml:space="preserve">C8-watsonx-governance, C8-validmind, C8-credo-ai</w:t>
      </w:r>
    </w:p>
    <w:p>
      <w:pPr>
        <w:pStyle w:val="BodyText"/>
      </w:pPr>
      <w:r>
        <w:rPr>
          <w:bCs/>
          <w:b/>
        </w:rPr>
        <w:t xml:space="preserve">Regulated-FS note.</w:t>
      </w:r>
      <w:r>
        <w:t xml:space="preserve"> </w:t>
      </w:r>
      <w:r>
        <w:t xml:space="preserve">Require SOC 2 Type II and audit-log documentation before any pilot with production records</w:t>
      </w:r>
      <w:r>
        <w:t xml:space="preserve"> </w:t>
      </w:r>
      <w:r>
        <w:rPr>
          <w:rStyle w:val="ClaimLabel"/>
        </w:rPr>
        <w:t xml:space="preserve">Rec</w:t>
      </w:r>
      <w:r>
        <w:t xml:space="preserve">.</w:t>
      </w:r>
    </w:p>
    <w:p>
      <w:pPr>
        <w:pStyle w:val="BodyText"/>
      </w:pPr>
      <w:r>
        <w:rPr>
          <w:bCs/>
          <w:b/>
        </w:rPr>
        <w:t xml:space="preserve">Facts (as of 2026-10-07)</w:t>
      </w:r>
    </w:p>
    <w:tbl>
      <w:tblPr>
        <w:tblStyle w:val="Table"/>
        <w:tblW w:type="pct" w:w="5000"/>
        <w:tblLook w:firstRow="1" w:lastRow="0" w:firstColumn="0" w:lastColumn="0" w:noHBand="0" w:noVBand="0" w:val="0020"/>
        <w:jc w:val="start"/>
      </w:tblPr>
      <w:tblGrid>
        <w:gridCol w:w="1485"/>
        <w:gridCol w:w="4290"/>
        <w:gridCol w:w="1320"/>
        <w:gridCol w:w="825"/>
      </w:tblGrid>
      <w:tr>
        <w:trPr>
          <w:tblHeader w:val="true"/>
        </w:trPr>
        <w:tc>
          <w:tcPr/>
          <w:p>
            <w:pPr>
              <w:pStyle w:val="Compact"/>
              <w:jc w:val="left"/>
            </w:pPr>
            <w:r>
              <w:t xml:space="preserve">Field</w:t>
            </w:r>
          </w:p>
        </w:tc>
        <w:tc>
          <w:tcPr/>
          <w:p>
            <w:pPr>
              <w:pStyle w:val="Compact"/>
              <w:jc w:val="left"/>
            </w:pPr>
            <w:r>
              <w:t xml:space="preserve">Value</w:t>
            </w:r>
          </w:p>
        </w:tc>
        <w:tc>
          <w:tcPr/>
          <w:p>
            <w:pPr>
              <w:pStyle w:val="Compact"/>
              <w:jc w:val="left"/>
            </w:pPr>
            <w:r>
              <w:t xml:space="preserve">Label</w:t>
            </w:r>
          </w:p>
        </w:tc>
        <w:tc>
          <w:tcPr/>
          <w:p>
            <w:pPr>
              <w:pStyle w:val="Compact"/>
              <w:jc w:val="left"/>
            </w:pPr>
            <w:r>
              <w:t xml:space="preserve">Sources</w:t>
            </w:r>
          </w:p>
        </w:tc>
      </w:tr>
      <w:tr>
        <w:tc>
          <w:tcPr/>
          <w:p>
            <w:pPr>
              <w:pStyle w:val="Compact"/>
              <w:jc w:val="left"/>
            </w:pPr>
            <w:r>
              <w:t xml:space="preserve">Company</w:t>
            </w:r>
          </w:p>
        </w:tc>
        <w:tc>
          <w:tcPr/>
          <w:p>
            <w:pPr>
              <w:pStyle w:val="Compact"/>
              <w:jc w:val="left"/>
            </w:pPr>
            <w:r>
              <w:t xml:space="preserve">ModelOp (privately held, Chicago; raised US$10m led by Baird Capital - date not confirmed)</w:t>
            </w:r>
          </w:p>
        </w:tc>
        <w:tc>
          <w:tcPr/>
          <w:p>
            <w:pPr>
              <w:pStyle w:val="Compact"/>
              <w:jc w:val="left"/>
            </w:pPr>
            <w:r>
              <w:t xml:space="preserve">Verified fact</w:t>
            </w:r>
          </w:p>
        </w:tc>
        <w:tc>
          <w:tcPr/>
          <w:p>
            <w:pPr>
              <w:pStyle w:val="Compact"/>
              <w:jc w:val="left"/>
            </w:pPr>
            <w:r>
              <w:t xml:space="preserve">A7-S104</w:t>
            </w:r>
          </w:p>
        </w:tc>
      </w:tr>
      <w:tr>
        <w:tc>
          <w:tcPr/>
          <w:p>
            <w:pPr>
              <w:pStyle w:val="Compact"/>
              <w:jc w:val="left"/>
            </w:pPr>
            <w:r>
              <w:t xml:space="preserve">Category</w:t>
            </w:r>
          </w:p>
        </w:tc>
        <w:tc>
          <w:tcPr/>
          <w:p>
            <w:pPr>
              <w:pStyle w:val="Compact"/>
              <w:jc w:val="left"/>
            </w:pPr>
            <w:r>
              <w:t xml:space="preserve">AI governance and AI lifecycle automation software</w:t>
            </w:r>
          </w:p>
        </w:tc>
        <w:tc>
          <w:tcPr/>
          <w:p>
            <w:pPr>
              <w:pStyle w:val="Compact"/>
              <w:jc w:val="left"/>
            </w:pPr>
            <w:r>
              <w:t xml:space="preserve">Verified fact</w:t>
            </w:r>
          </w:p>
        </w:tc>
        <w:tc>
          <w:tcPr/>
          <w:p>
            <w:pPr>
              <w:pStyle w:val="Compact"/>
              <w:jc w:val="left"/>
            </w:pPr>
            <w:r>
              <w:t xml:space="preserve">A7-S098</w:t>
            </w:r>
          </w:p>
        </w:tc>
      </w:tr>
      <w:tr>
        <w:tc>
          <w:tcPr/>
          <w:p>
            <w:pPr>
              <w:pStyle w:val="Compact"/>
              <w:jc w:val="left"/>
            </w:pPr>
            <w:r>
              <w:t xml:space="preserve">Version / lineup</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Licence</w:t>
            </w:r>
          </w:p>
        </w:tc>
        <w:tc>
          <w:tcPr/>
          <w:p>
            <w:pPr>
              <w:pStyle w:val="Compact"/>
              <w:jc w:val="left"/>
            </w:pPr>
            <w:r>
              <w:t xml:space="preserve">Proprietary</w:t>
            </w:r>
          </w:p>
        </w:tc>
        <w:tc>
          <w:tcPr/>
          <w:p>
            <w:pPr>
              <w:pStyle w:val="Compact"/>
              <w:jc w:val="left"/>
            </w:pPr>
            <w:r>
              <w:t xml:space="preserve">Verified fact</w:t>
            </w:r>
          </w:p>
        </w:tc>
        <w:tc>
          <w:tcPr/>
          <w:p>
            <w:pPr>
              <w:pStyle w:val="Compact"/>
              <w:jc w:val="left"/>
            </w:pPr>
            <w:r>
              <w:t xml:space="preserve">A7-S109</w:t>
            </w:r>
          </w:p>
        </w:tc>
      </w:tr>
      <w:tr>
        <w:tc>
          <w:tcPr/>
          <w:p>
            <w:pPr>
              <w:pStyle w:val="Compact"/>
              <w:jc w:val="left"/>
            </w:pPr>
            <w:r>
              <w:t xml:space="preserve">Strategic direction</w:t>
            </w:r>
          </w:p>
        </w:tc>
        <w:tc>
          <w:tcPr/>
          <w:p>
            <w:pPr>
              <w:pStyle w:val="Compact"/>
              <w:jc w:val="left"/>
            </w:pPr>
            <w:r>
              <w:t xml:space="preserve">Governs ML, GenAI, agentic, internal and third-party AI from intake to retirement; inline protections for agentic systems (prompt injection, PII leakage, unsafe tool use); vendor claims Visionary in 2026 Gartner Magic Quadrant for AI Governance Platforms</w:t>
            </w:r>
          </w:p>
        </w:tc>
        <w:tc>
          <w:tcPr/>
          <w:p>
            <w:pPr>
              <w:pStyle w:val="Compact"/>
              <w:jc w:val="left"/>
            </w:pPr>
            <w:r>
              <w:t xml:space="preserve">Verified fact</w:t>
            </w:r>
          </w:p>
        </w:tc>
        <w:tc>
          <w:tcPr/>
          <w:p>
            <w:pPr>
              <w:pStyle w:val="Compact"/>
              <w:jc w:val="left"/>
            </w:pPr>
            <w:r>
              <w:t xml:space="preserve">A7-S098, A7-S104</w:t>
            </w:r>
          </w:p>
        </w:tc>
      </w:tr>
      <w:tr>
        <w:tc>
          <w:tcPr/>
          <w:p>
            <w:pPr>
              <w:pStyle w:val="Compact"/>
              <w:jc w:val="left"/>
            </w:pPr>
            <w:r>
              <w:t xml:space="preserve">What it does</w:t>
            </w:r>
          </w:p>
        </w:tc>
        <w:tc>
          <w:tcPr/>
          <w:p>
            <w:pPr>
              <w:pStyle w:val="Compact"/>
              <w:jc w:val="left"/>
            </w:pPr>
            <w:r>
              <w:t xml:space="preserve">Maintains an inventory of AI systems with self-service intake, risk tiering and approvals; applies controls from internal policies and regulations via 25+ governance process templates and 100+ tests/controls; risk-based workflows can block non-compliant actions.</w:t>
            </w:r>
          </w:p>
        </w:tc>
        <w:tc>
          <w:tcPr/>
          <w:p>
            <w:pPr>
              <w:pStyle w:val="Compact"/>
              <w:jc w:val="left"/>
            </w:pPr>
            <w:r>
              <w:t xml:space="preserve">Verified fact</w:t>
            </w:r>
          </w:p>
        </w:tc>
        <w:tc>
          <w:tcPr/>
          <w:p>
            <w:pPr>
              <w:pStyle w:val="Compact"/>
              <w:jc w:val="left"/>
            </w:pPr>
            <w:r>
              <w:t xml:space="preserve">A7-S098</w:t>
            </w:r>
          </w:p>
        </w:tc>
      </w:tr>
      <w:tr>
        <w:tc>
          <w:tcPr/>
          <w:p>
            <w:pPr>
              <w:pStyle w:val="Compact"/>
              <w:jc w:val="left"/>
            </w:pPr>
            <w:r>
              <w:t xml:space="preserve">Stack position</w:t>
            </w:r>
          </w:p>
        </w:tc>
        <w:tc>
          <w:tcPr/>
          <w:p>
            <w:pPr>
              <w:pStyle w:val="Compact"/>
              <w:jc w:val="left"/>
            </w:pPr>
            <w:r>
              <w:t xml:space="preserve">C8 governance control plane with lifecycle automation; vendor positions Collibra as data governance and Credo as compliance-focused</w:t>
            </w:r>
          </w:p>
        </w:tc>
        <w:tc>
          <w:tcPr/>
          <w:p>
            <w:pPr>
              <w:pStyle w:val="Compact"/>
              <w:jc w:val="left"/>
            </w:pPr>
            <w:r>
              <w:t xml:space="preserve">Verified fact</w:t>
            </w:r>
          </w:p>
        </w:tc>
        <w:tc>
          <w:tcPr/>
          <w:p>
            <w:pPr>
              <w:pStyle w:val="Compact"/>
              <w:jc w:val="left"/>
            </w:pPr>
            <w:r>
              <w:t xml:space="preserve">A7-S098, A7-S110</w:t>
            </w:r>
          </w:p>
        </w:tc>
      </w:tr>
      <w:tr>
        <w:tc>
          <w:tcPr/>
          <w:p>
            <w:pPr>
              <w:pStyle w:val="Compact"/>
              <w:jc w:val="left"/>
            </w:pPr>
            <w:r>
              <w:t xml:space="preserve">Integration</w:t>
            </w:r>
          </w:p>
        </w:tc>
        <w:tc>
          <w:tcPr/>
          <w:p>
            <w:pPr>
              <w:pStyle w:val="Compact"/>
              <w:jc w:val="left"/>
            </w:pPr>
            <w:r>
              <w:t xml:space="preserve">Out-of-the-box connectors and REST APIs; AWS SageMaker, S3, Redshift, DocumentDB</w:t>
            </w:r>
          </w:p>
        </w:tc>
        <w:tc>
          <w:tcPr/>
          <w:p>
            <w:pPr>
              <w:pStyle w:val="Compact"/>
              <w:jc w:val="left"/>
            </w:pPr>
            <w:r>
              <w:t xml:space="preserve">Verified fact</w:t>
            </w:r>
          </w:p>
        </w:tc>
        <w:tc>
          <w:tcPr/>
          <w:p>
            <w:pPr>
              <w:pStyle w:val="Compact"/>
              <w:jc w:val="left"/>
            </w:pPr>
            <w:r>
              <w:t xml:space="preserve">A7-S104, A7-S109</w:t>
            </w:r>
          </w:p>
        </w:tc>
      </w:tr>
      <w:tr>
        <w:tc>
          <w:tcPr/>
          <w:p>
            <w:pPr>
              <w:pStyle w:val="Compact"/>
              <w:jc w:val="left"/>
            </w:pPr>
            <w:r>
              <w:t xml:space="preserve">Dependencies</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Certifications</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GDPR / residency</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Security features</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Access controls</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Enterprise support</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Pricing</w:t>
            </w:r>
          </w:p>
        </w:tc>
        <w:tc>
          <w:tcPr/>
          <w:p>
            <w:pPr>
              <w:pStyle w:val="Compact"/>
              <w:jc w:val="left"/>
            </w:pPr>
            <w:r>
              <w:t xml:space="preserve">Available through AWS Marketplace; list pricing not published</w:t>
            </w:r>
          </w:p>
        </w:tc>
        <w:tc>
          <w:tcPr/>
          <w:p>
            <w:pPr>
              <w:pStyle w:val="Compact"/>
              <w:jc w:val="left"/>
            </w:pPr>
            <w:r>
              <w:t xml:space="preserve">Verified fact</w:t>
            </w:r>
          </w:p>
        </w:tc>
        <w:tc>
          <w:tcPr/>
          <w:p>
            <w:pPr>
              <w:pStyle w:val="Compact"/>
              <w:jc w:val="left"/>
            </w:pPr>
            <w:r>
              <w:t xml:space="preserve">A7-S109</w:t>
            </w:r>
          </w:p>
        </w:tc>
      </w:tr>
      <w:tr>
        <w:tc>
          <w:tcPr/>
          <w:p>
            <w:pPr>
              <w:pStyle w:val="Compact"/>
              <w:jc w:val="left"/>
            </w:pPr>
            <w:r>
              <w:t xml:space="preserve">Infrastructure cost</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Ecosystem</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Adoption signals</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Maturity</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Deployment</w:t>
            </w:r>
          </w:p>
        </w:tc>
        <w:tc>
          <w:tcPr/>
          <w:p>
            <w:pPr>
              <w:pStyle w:val="Compact"/>
              <w:jc w:val="left"/>
            </w:pPr>
            <w:r>
              <w:t xml:space="preserve">saas: Not publicly verified; managed_cloud: Not publicly verified; vpc_byoc: Yes (Kubernetes/Amazon EKS via AWS Marketplace); private_cloud: Not publicly verified; self_hosted: Yes; on_prem: Yes (homepage lists Cloud, On-Premise, Hybrid)</w:t>
            </w:r>
          </w:p>
        </w:tc>
        <w:tc>
          <w:tcPr/>
          <w:p>
            <w:pPr>
              <w:pStyle w:val="Compact"/>
            </w:pPr>
          </w:p>
        </w:tc>
        <w:tc>
          <w:tcPr/>
          <w:p>
            <w:pPr>
              <w:pStyle w:val="Compact"/>
            </w:pPr>
          </w:p>
        </w:tc>
      </w:tr>
    </w:tbl>
    <w:bookmarkEnd w:id="2476"/>
    <w:bookmarkStart w:id="2496" w:name="X809d6757c9a2ce775e2cc41bc0f19f86ba82bfd"/>
    <w:p>
      <w:pPr>
        <w:pStyle w:val="Heading2"/>
      </w:pPr>
      <w:r>
        <w:t xml:space="preserve">ValidMind AI risk platform (ValidMind Platform and ValidMind Library) (</w:t>
      </w:r>
      <w:r>
        <w:rPr>
          <w:rStyle w:val="VerbatimChar"/>
        </w:rPr>
        <w:t xml:space="preserve">C8-validmind</w:t>
      </w:r>
      <w:r>
        <w:t xml:space="preserve">)</w:t>
      </w:r>
    </w:p>
    <w:p>
      <w:pPr>
        <w:pStyle w:val="FirstParagraph"/>
      </w:pPr>
      <w:r>
        <w:rPr>
          <w:bCs/>
          <w:b/>
        </w:rPr>
        <w:t xml:space="preserve">Tier:</w:t>
      </w:r>
      <w:r>
        <w:t xml:space="preserve"> </w:t>
      </w:r>
      <w:r>
        <w:t xml:space="preserve">Tactical ·</w:t>
      </w:r>
      <w:r>
        <w:t xml:space="preserve"> </w:t>
      </w:r>
      <w:r>
        <w:rPr>
          <w:bCs/>
          <w:b/>
        </w:rPr>
        <w:t xml:space="preserve">Flags:</w:t>
      </w:r>
      <w:r>
        <w:t xml:space="preserve"> </w:t>
      </w:r>
      <w:r>
        <w:t xml:space="preserve">none ·</w:t>
      </w:r>
      <w:r>
        <w:t xml:space="preserve"> </w:t>
      </w:r>
      <w:r>
        <w:rPr>
          <w:bCs/>
          <w:b/>
        </w:rPr>
        <w:t xml:space="preserve">Original graphic label:</w:t>
      </w:r>
      <w:r>
        <w:t xml:space="preserve"> </w:t>
      </w:r>
      <w:r>
        <w:t xml:space="preserve">not in graphic</w:t>
      </w:r>
    </w:p>
    <w:p>
      <w:pPr>
        <w:pStyle w:val="BodyText"/>
      </w:pPr>
      <w:r>
        <w:rPr>
          <w:iCs/>
          <w:i/>
        </w:rPr>
        <w:t xml:space="preserve">Rationale:</w:t>
      </w:r>
      <w:r>
        <w:t xml:space="preserve"> </w:t>
      </w:r>
      <w:r>
        <w:t xml:space="preserve">Best MRM workflow fit and the only SS1/23 claimant, held back by unverified certification evidence and unpublished pricing</w:t>
      </w:r>
      <w:r>
        <w:t xml:space="preserve"> </w:t>
      </w:r>
      <w:r>
        <w:rPr>
          <w:rStyle w:val="ClaimLabel"/>
        </w:rPr>
        <w:t xml:space="preserve">AJ</w:t>
      </w:r>
      <w:r>
        <w:t xml:space="preserve">.</w:t>
      </w:r>
    </w:p>
    <w:tbl>
      <w:tblPr>
        <w:tblStyle w:val="Table"/>
        <w:tblW w:type="pct" w:w="5000"/>
        <w:tblLook w:firstRow="1" w:lastRow="0" w:firstColumn="0" w:lastColumn="0" w:noHBand="0" w:noVBand="0" w:val="0020"/>
        <w:jc w:val="start"/>
      </w:tblPr>
      <w:tblGrid>
        <w:gridCol w:w="1545"/>
        <w:gridCol w:w="579"/>
        <w:gridCol w:w="5795"/>
      </w:tblGrid>
      <w:tr>
        <w:trPr>
          <w:tblHeader w:val="true"/>
        </w:trPr>
        <w:tc>
          <w:tcPr/>
          <w:p>
            <w:pPr>
              <w:pStyle w:val="Compact"/>
              <w:jc w:val="left"/>
            </w:pPr>
            <w:r>
              <w:t xml:space="preserve">Criterion</w:t>
            </w:r>
          </w:p>
        </w:tc>
        <w:tc>
          <w:tcPr/>
          <w:p>
            <w:pPr>
              <w:pStyle w:val="Compact"/>
              <w:jc w:val="right"/>
            </w:pPr>
            <w:r>
              <w:t xml:space="preserve">Score</w:t>
            </w:r>
          </w:p>
        </w:tc>
        <w:tc>
          <w:tcPr/>
          <w:p>
            <w:pPr>
              <w:pStyle w:val="Compact"/>
              <w:jc w:val="left"/>
            </w:pPr>
            <w:r>
              <w:t xml:space="preserve">Rationale</w:t>
            </w:r>
          </w:p>
        </w:tc>
      </w:tr>
      <w:tr>
        <w:tc>
          <w:tcPr/>
          <w:p>
            <w:pPr>
              <w:pStyle w:val="Compact"/>
              <w:jc w:val="left"/>
            </w:pPr>
            <w:r>
              <w:t xml:space="preserve">Technical</w:t>
            </w:r>
          </w:p>
        </w:tc>
        <w:tc>
          <w:tcPr/>
          <w:p>
            <w:pPr>
              <w:pStyle w:val="Compact"/>
              <w:jc w:val="right"/>
            </w:pPr>
            <w:r>
              <w:t xml:space="preserve">4</w:t>
            </w:r>
          </w:p>
        </w:tc>
        <w:tc>
          <w:tcPr/>
          <w:p>
            <w:pPr>
              <w:pStyle w:val="Compact"/>
              <w:jc w:val="left"/>
            </w:pPr>
            <w:r>
              <w:t xml:space="preserve">Inventory, documentation, validation, approvals, monitoring thresholds and attestation; lineage and agent discovery not evidenced.</w:t>
            </w:r>
          </w:p>
        </w:tc>
      </w:tr>
      <w:tr>
        <w:tc>
          <w:tcPr/>
          <w:p>
            <w:pPr>
              <w:pStyle w:val="Compact"/>
              <w:jc w:val="left"/>
            </w:pPr>
            <w:r>
              <w:t xml:space="preserve">Enterprise readiness</w:t>
            </w:r>
          </w:p>
        </w:tc>
        <w:tc>
          <w:tcPr/>
          <w:p>
            <w:pPr>
              <w:pStyle w:val="Compact"/>
              <w:jc w:val="right"/>
            </w:pPr>
            <w:r>
              <w:t xml:space="preserve">3</w:t>
            </w:r>
          </w:p>
        </w:tc>
        <w:tc>
          <w:tcPr/>
          <w:p>
            <w:pPr>
              <w:pStyle w:val="Compact"/>
              <w:jc w:val="left"/>
            </w:pPr>
            <w:r>
              <w:t xml:space="preserve">RBAC and audit logs verified; SSO not verified, so maximum 3 (rule 7).</w:t>
            </w:r>
          </w:p>
        </w:tc>
      </w:tr>
      <w:tr>
        <w:tc>
          <w:tcPr/>
          <w:p>
            <w:pPr>
              <w:pStyle w:val="Compact"/>
              <w:jc w:val="left"/>
            </w:pPr>
            <w:r>
              <w:t xml:space="preserve">Security and compliance</w:t>
            </w:r>
          </w:p>
        </w:tc>
        <w:tc>
          <w:tcPr/>
          <w:p>
            <w:pPr>
              <w:pStyle w:val="Compact"/>
              <w:jc w:val="right"/>
            </w:pPr>
            <w:r>
              <w:t xml:space="preserve">2</w:t>
            </w:r>
          </w:p>
        </w:tc>
        <w:tc>
          <w:tcPr/>
          <w:p>
            <w:pPr>
              <w:pStyle w:val="Compact"/>
              <w:jc w:val="left"/>
            </w:pPr>
            <w:r>
              <w:t xml:space="preserve">Capped at 2: SOC 2 type not stated and no report found; vendor statement only.</w:t>
            </w:r>
          </w:p>
        </w:tc>
      </w:tr>
      <w:tr>
        <w:tc>
          <w:tcPr/>
          <w:p>
            <w:pPr>
              <w:pStyle w:val="Compact"/>
              <w:jc w:val="left"/>
            </w:pPr>
            <w:r>
              <w:t xml:space="preserve">Deployment flexibility</w:t>
            </w:r>
          </w:p>
        </w:tc>
        <w:tc>
          <w:tcPr/>
          <w:p>
            <w:pPr>
              <w:pStyle w:val="Compact"/>
              <w:jc w:val="right"/>
            </w:pPr>
            <w:r>
              <w:t xml:space="preserve">3</w:t>
            </w:r>
          </w:p>
        </w:tc>
        <w:tc>
          <w:tcPr/>
          <w:p>
            <w:pPr>
              <w:pStyle w:val="Compact"/>
              <w:jc w:val="left"/>
            </w:pPr>
            <w:r>
              <w:t xml:space="preserve">Multi-tenant SaaS plus single-tenant VPV in the major clouds; self-hosting not verified.</w:t>
            </w:r>
          </w:p>
        </w:tc>
      </w:tr>
      <w:tr>
        <w:tc>
          <w:tcPr/>
          <w:p>
            <w:pPr>
              <w:pStyle w:val="Compact"/>
              <w:jc w:val="left"/>
            </w:pPr>
            <w:r>
              <w:t xml:space="preserve">Ecosystem</w:t>
            </w:r>
          </w:p>
        </w:tc>
        <w:tc>
          <w:tcPr/>
          <w:p>
            <w:pPr>
              <w:pStyle w:val="Compact"/>
              <w:jc w:val="right"/>
            </w:pPr>
            <w:r>
              <w:t xml:space="preserve">3</w:t>
            </w:r>
          </w:p>
        </w:tc>
        <w:tc>
          <w:tcPr/>
          <w:p>
            <w:pPr>
              <w:pStyle w:val="Compact"/>
              <w:jc w:val="left"/>
            </w:pPr>
            <w:r>
              <w:t xml:space="preserve">Python Library with LLM, PyTorch and Hugging Face extras; data-source connectors.</w:t>
            </w:r>
          </w:p>
        </w:tc>
      </w:tr>
      <w:tr>
        <w:tc>
          <w:tcPr/>
          <w:p>
            <w:pPr>
              <w:pStyle w:val="Compact"/>
              <w:jc w:val="left"/>
            </w:pPr>
            <w:r>
              <w:t xml:space="preserve">Reliability and maturity</w:t>
            </w:r>
          </w:p>
        </w:tc>
        <w:tc>
          <w:tcPr/>
          <w:p>
            <w:pPr>
              <w:pStyle w:val="Compact"/>
              <w:jc w:val="right"/>
            </w:pPr>
            <w:r>
              <w:t xml:space="preserve">3</w:t>
            </w:r>
          </w:p>
        </w:tc>
        <w:tc>
          <w:tcPr/>
          <w:p>
            <w:pPr>
              <w:pStyle w:val="Compact"/>
              <w:jc w:val="left"/>
            </w:pPr>
            <w:r>
              <w:t xml:space="preserve">Frequent Library releases since May 2023; funding not verified.</w:t>
            </w:r>
          </w:p>
        </w:tc>
      </w:tr>
      <w:tr>
        <w:tc>
          <w:tcPr/>
          <w:p>
            <w:pPr>
              <w:pStyle w:val="Compact"/>
              <w:jc w:val="left"/>
            </w:pPr>
            <w:r>
              <w:t xml:space="preserve">Cost / TCO</w:t>
            </w:r>
          </w:p>
        </w:tc>
        <w:tc>
          <w:tcPr/>
          <w:p>
            <w:pPr>
              <w:pStyle w:val="Compact"/>
              <w:jc w:val="right"/>
            </w:pPr>
            <w:r>
              <w:t xml:space="preserve">2</w:t>
            </w:r>
          </w:p>
        </w:tc>
        <w:tc>
          <w:tcPr/>
          <w:p>
            <w:pPr>
              <w:pStyle w:val="Compact"/>
              <w:jc w:val="left"/>
            </w:pPr>
            <w:r>
              <w:t xml:space="preserve">Pricing not published.</w:t>
            </w:r>
          </w:p>
        </w:tc>
      </w:tr>
      <w:tr>
        <w:tc>
          <w:tcPr/>
          <w:p>
            <w:pPr>
              <w:pStyle w:val="Compact"/>
              <w:jc w:val="left"/>
            </w:pPr>
            <w:r>
              <w:t xml:space="preserve">Lock-in / portability</w:t>
            </w:r>
          </w:p>
        </w:tc>
        <w:tc>
          <w:tcPr/>
          <w:p>
            <w:pPr>
              <w:pStyle w:val="Compact"/>
              <w:jc w:val="right"/>
            </w:pPr>
            <w:r>
              <w:t xml:space="preserve">3</w:t>
            </w:r>
          </w:p>
        </w:tc>
        <w:tc>
          <w:tcPr/>
          <w:p>
            <w:pPr>
              <w:pStyle w:val="Compact"/>
              <w:jc w:val="left"/>
            </w:pPr>
            <w:r>
              <w:t xml:space="preserve">Proprietary platform holding inventory and documentation; export not verified; AGPL library noted.</w:t>
            </w:r>
          </w:p>
        </w:tc>
      </w:tr>
      <w:tr>
        <w:tc>
          <w:tcPr/>
          <w:p>
            <w:pPr>
              <w:pStyle w:val="Compact"/>
              <w:jc w:val="left"/>
            </w:pPr>
            <w:r>
              <w:rPr>
                <w:bCs/>
                <w:b/>
              </w:rPr>
              <w:t xml:space="preserve">Total (generic / FS)</w:t>
            </w:r>
          </w:p>
        </w:tc>
        <w:tc>
          <w:tcPr/>
          <w:p>
            <w:pPr>
              <w:pStyle w:val="Compact"/>
              <w:jc w:val="right"/>
            </w:pPr>
            <w:r>
              <w:rPr>
                <w:bCs/>
                <w:b/>
              </w:rPr>
              <w:t xml:space="preserve">2.95 / 2.90</w:t>
            </w:r>
          </w:p>
        </w:tc>
        <w:tc>
          <w:tcPr/>
          <w:p>
            <w:pPr>
              <w:pStyle w:val="Compact"/>
            </w:pPr>
          </w:p>
        </w:tc>
      </w:tr>
    </w:tbl>
    <w:p>
      <w:pPr>
        <w:pStyle w:val="BodyText"/>
      </w:pPr>
      <w:r>
        <w:rPr>
          <w:iCs/>
          <w:i/>
        </w:rPr>
        <w:t xml:space="preserve">Evidence rules applied:</w:t>
      </w:r>
      <w:r>
        <w:t xml:space="preserve"> </w:t>
      </w:r>
      <w:r>
        <w:t xml:space="preserve">security_compliance capped at 2: SOC 2 Type II not publicly verified (vendor claim, type not stated)</w:t>
      </w:r>
    </w:p>
    <w:p>
      <w:pPr>
        <w:pStyle w:val="BodyText"/>
      </w:pPr>
      <w:r>
        <w:rPr>
          <w:bCs/>
          <w:b/>
        </w:rPr>
        <w:t xml:space="preserve">Capabilities.</w:t>
      </w:r>
      <w:r>
        <w:t xml:space="preserve"> </w:t>
      </w:r>
      <w:r>
        <w:t xml:space="preserve">Model risk management platform: Python Library logs tests and documentation artefacts; Platform holds a customisable model inventory and runs documentation, validation workflows, approvals and ongoing monitoring with thresholds, alerts and workflow triggers; LLM test extras and LLM features; point-in-time model attestation</w:t>
      </w:r>
      <w:r>
        <w:t xml:space="preserve"> </w:t>
      </w:r>
      <w:r>
        <w:rPr>
          <w:rStyle w:val="ClaimLabel"/>
        </w:rPr>
        <w:t xml:space="preserve">VF</w:t>
      </w:r>
      <w:r>
        <w:rPr>
          <w:rStyle w:val="FootnoteReference"/>
        </w:rPr>
        <w:footnoteReference w:id="2477"/>
      </w:r>
      <w:r>
        <w:t xml:space="preserve">.</w:t>
      </w:r>
    </w:p>
    <w:p>
      <w:pPr>
        <w:pStyle w:val="BodyText"/>
      </w:pPr>
      <w:r>
        <w:rPr>
          <w:bCs/>
          <w:b/>
        </w:rPr>
        <w:t xml:space="preserve">Strengths</w:t>
      </w:r>
    </w:p>
    <w:p>
      <w:pPr>
        <w:numPr>
          <w:ilvl w:val="0"/>
          <w:numId w:val="1553"/>
        </w:numPr>
        <w:pStyle w:val="Compact"/>
      </w:pPr>
      <w:r>
        <w:t xml:space="preserve">Closest fit to bank-style MRM (inventory, documentation, validation, monitoring) with GenAI tests</w:t>
      </w:r>
      <w:r>
        <w:t xml:space="preserve"> </w:t>
      </w:r>
      <w:r>
        <w:rPr>
          <w:rStyle w:val="ClaimLabel"/>
        </w:rPr>
        <w:t xml:space="preserve">AJ</w:t>
      </w:r>
    </w:p>
    <w:p>
      <w:pPr>
        <w:numPr>
          <w:ilvl w:val="0"/>
          <w:numId w:val="1553"/>
        </w:numPr>
        <w:pStyle w:val="Compact"/>
      </w:pPr>
      <w:r>
        <w:t xml:space="preserve">Only vendor in the set claiming PRA SS1/23 mapping; also SR 26-2, EU AI Act Article 9 and OSFI E-23 (vendor claims)</w:t>
      </w:r>
      <w:r>
        <w:t xml:space="preserve"> </w:t>
      </w:r>
      <w:r>
        <w:rPr>
          <w:rStyle w:val="ClaimLabel"/>
        </w:rPr>
        <w:t xml:space="preserve">VF</w:t>
      </w:r>
      <w:r>
        <w:rPr>
          <w:rStyle w:val="FootnoteReference"/>
        </w:rPr>
        <w:footnoteReference w:id="2483"/>
      </w:r>
    </w:p>
    <w:p>
      <w:pPr>
        <w:numPr>
          <w:ilvl w:val="0"/>
          <w:numId w:val="1553"/>
        </w:numPr>
        <w:pStyle w:val="Compact"/>
      </w:pPr>
      <w:r>
        <w:t xml:space="preserve">Single-tenant Virtual Private ValidMind on AWS, GCP or Azure with private connectivity</w:t>
      </w:r>
      <w:r>
        <w:t xml:space="preserve"> </w:t>
      </w:r>
      <w:r>
        <w:rPr>
          <w:rStyle w:val="ClaimLabel"/>
        </w:rPr>
        <w:t xml:space="preserve">VF</w:t>
      </w:r>
      <w:r>
        <w:rPr>
          <w:rStyle w:val="FootnoteReference"/>
        </w:rPr>
        <w:footnoteReference w:id="2488"/>
      </w:r>
    </w:p>
    <w:p>
      <w:pPr>
        <w:numPr>
          <w:ilvl w:val="0"/>
          <w:numId w:val="1553"/>
        </w:numPr>
        <w:pStyle w:val="Compact"/>
      </w:pPr>
      <w:r>
        <w:t xml:space="preserve">RBAC, audit logs, data isolation and encryption documented</w:t>
      </w:r>
      <w:r>
        <w:t xml:space="preserve"> </w:t>
      </w:r>
      <w:r>
        <w:rPr>
          <w:rStyle w:val="ClaimLabel"/>
        </w:rPr>
        <w:t xml:space="preserve">VF</w:t>
      </w:r>
      <w:r>
        <w:rPr>
          <w:rStyle w:val="FootnoteReference"/>
        </w:rPr>
        <w:footnoteReference w:id="2490"/>
      </w:r>
    </w:p>
    <w:p>
      <w:pPr>
        <w:pStyle w:val="FirstParagraph"/>
      </w:pPr>
      <w:r>
        <w:rPr>
          <w:bCs/>
          <w:b/>
        </w:rPr>
        <w:t xml:space="preserve">Limitations and risks</w:t>
      </w:r>
    </w:p>
    <w:p>
      <w:pPr>
        <w:numPr>
          <w:ilvl w:val="0"/>
          <w:numId w:val="1554"/>
        </w:numPr>
        <w:pStyle w:val="Compact"/>
      </w:pPr>
      <w:r>
        <w:t xml:space="preserve">SOC 2 claimed without type; no SOC 2 Type II report or ISO certificate found</w:t>
      </w:r>
      <w:r>
        <w:t xml:space="preserve"> </w:t>
      </w:r>
      <w:r>
        <w:rPr>
          <w:rStyle w:val="ClaimLabel"/>
        </w:rPr>
        <w:t xml:space="preserve">VF</w:t>
      </w:r>
      <w:r>
        <w:rPr>
          <w:rStyle w:val="FootnoteReference"/>
        </w:rPr>
        <w:footnoteReference w:id="2492"/>
      </w:r>
    </w:p>
    <w:p>
      <w:pPr>
        <w:numPr>
          <w:ilvl w:val="0"/>
          <w:numId w:val="1554"/>
        </w:numPr>
        <w:pStyle w:val="Compact"/>
      </w:pPr>
      <w:r>
        <w:t xml:space="preserve">SSO and self-hosting not publicly verified</w:t>
      </w:r>
      <w:r>
        <w:t xml:space="preserve"> </w:t>
      </w:r>
      <w:r>
        <w:rPr>
          <w:rStyle w:val="ClaimLabel"/>
        </w:rPr>
        <w:t xml:space="preserve">NPV</w:t>
      </w:r>
    </w:p>
    <w:p>
      <w:pPr>
        <w:numPr>
          <w:ilvl w:val="0"/>
          <w:numId w:val="1554"/>
        </w:numPr>
        <w:pStyle w:val="Compact"/>
      </w:pPr>
      <w:r>
        <w:t xml:space="preserve">Library is AGPL-3.0 or commercial (licence consideration under rule 4)</w:t>
      </w:r>
      <w:r>
        <w:t xml:space="preserve"> </w:t>
      </w:r>
      <w:r>
        <w:rPr>
          <w:rStyle w:val="ClaimLabel"/>
        </w:rPr>
        <w:t xml:space="preserve">VF</w:t>
      </w:r>
      <w:r>
        <w:rPr>
          <w:rStyle w:val="FootnoteReference"/>
        </w:rPr>
        <w:footnoteReference w:id="2494"/>
      </w:r>
    </w:p>
    <w:p>
      <w:pPr>
        <w:numPr>
          <w:ilvl w:val="0"/>
          <w:numId w:val="1554"/>
        </w:numPr>
        <w:pStyle w:val="Compact"/>
      </w:pPr>
      <w:r>
        <w:t xml:space="preserve">Pricing not published</w:t>
      </w:r>
      <w:r>
        <w:t xml:space="preserve"> </w:t>
      </w:r>
      <w:r>
        <w:rPr>
          <w:rStyle w:val="ClaimLabel"/>
        </w:rPr>
        <w:t xml:space="preserve">VF</w:t>
      </w:r>
      <w:r>
        <w:rPr>
          <w:rStyle w:val="FootnoteReference"/>
        </w:rPr>
        <w:footnoteReference w:id="2495"/>
      </w:r>
    </w:p>
    <w:p>
      <w:pPr>
        <w:pStyle w:val="FirstParagraph"/>
      </w:pPr>
      <w:r>
        <w:rPr>
          <w:bCs/>
          <w:b/>
        </w:rPr>
        <w:t xml:space="preserve">Choose when</w:t>
      </w:r>
    </w:p>
    <w:p>
      <w:pPr>
        <w:numPr>
          <w:ilvl w:val="0"/>
          <w:numId w:val="1555"/>
        </w:numPr>
        <w:pStyle w:val="Compact"/>
      </w:pPr>
      <w:r>
        <w:t xml:space="preserve">A second-line MRM function wants GenAI in the same validation workflow as other models</w:t>
      </w:r>
      <w:r>
        <w:t xml:space="preserve"> </w:t>
      </w:r>
      <w:r>
        <w:rPr>
          <w:rStyle w:val="ClaimLabel"/>
        </w:rPr>
        <w:t xml:space="preserve">AJ</w:t>
      </w:r>
    </w:p>
    <w:p>
      <w:pPr>
        <w:pStyle w:val="FirstParagraph"/>
      </w:pPr>
      <w:r>
        <w:rPr>
          <w:bCs/>
          <w:b/>
        </w:rPr>
        <w:t xml:space="preserve">Avoid when</w:t>
      </w:r>
    </w:p>
    <w:p>
      <w:pPr>
        <w:numPr>
          <w:ilvl w:val="0"/>
          <w:numId w:val="1556"/>
        </w:numPr>
        <w:pStyle w:val="Compact"/>
      </w:pPr>
      <w:r>
        <w:t xml:space="preserve">You need a broad AI policy and third-party AI register more than validation, or cannot obtain a SOC 2 Type II report</w:t>
      </w:r>
      <w:r>
        <w:t xml:space="preserve"> </w:t>
      </w:r>
      <w:r>
        <w:rPr>
          <w:rStyle w:val="ClaimLabel"/>
        </w:rPr>
        <w:t xml:space="preserve">AJ</w:t>
      </w:r>
    </w:p>
    <w:p>
      <w:pPr>
        <w:pStyle w:val="FirstParagraph"/>
      </w:pPr>
      <w:r>
        <w:rPr>
          <w:bCs/>
          <w:b/>
        </w:rPr>
        <w:t xml:space="preserve">Nearest competitors:</w:t>
      </w:r>
      <w:r>
        <w:t xml:space="preserve"> </w:t>
      </w:r>
      <w:r>
        <w:t xml:space="preserve">C8-watsonx-governance, C8-modelop, C8-credo-ai</w:t>
      </w:r>
    </w:p>
    <w:p>
      <w:pPr>
        <w:pStyle w:val="BodyText"/>
      </w:pPr>
      <w:r>
        <w:rPr>
          <w:bCs/>
          <w:b/>
        </w:rPr>
        <w:t xml:space="preserve">Regulated-FS note.</w:t>
      </w:r>
      <w:r>
        <w:t xml:space="preserve"> </w:t>
      </w:r>
      <w:r>
        <w:t xml:space="preserve">Request the SOC 2 Type II report before loading risk records; check AGPL obligations for any modified Library code you distribute</w:t>
      </w:r>
      <w:r>
        <w:t xml:space="preserve"> </w:t>
      </w:r>
      <w:r>
        <w:rPr>
          <w:rStyle w:val="ClaimLabel"/>
        </w:rPr>
        <w:t xml:space="preserve">Rec</w:t>
      </w:r>
      <w:r>
        <w:t xml:space="preserve">.</w:t>
      </w:r>
    </w:p>
    <w:p>
      <w:pPr>
        <w:pStyle w:val="BodyText"/>
      </w:pPr>
      <w:r>
        <w:rPr>
          <w:bCs/>
          <w:b/>
        </w:rPr>
        <w:t xml:space="preserve">Facts (as of 2026-10-08)</w:t>
      </w:r>
    </w:p>
    <w:tbl>
      <w:tblPr>
        <w:tblStyle w:val="Table"/>
        <w:tblW w:type="pct" w:w="5000"/>
        <w:tblLook w:firstRow="1" w:lastRow="0" w:firstColumn="0" w:lastColumn="0" w:noHBand="0" w:noVBand="0" w:val="0020"/>
        <w:jc w:val="start"/>
      </w:tblPr>
      <w:tblGrid>
        <w:gridCol w:w="1485"/>
        <w:gridCol w:w="4290"/>
        <w:gridCol w:w="1320"/>
        <w:gridCol w:w="825"/>
      </w:tblGrid>
      <w:tr>
        <w:trPr>
          <w:tblHeader w:val="true"/>
        </w:trPr>
        <w:tc>
          <w:tcPr/>
          <w:p>
            <w:pPr>
              <w:pStyle w:val="Compact"/>
              <w:jc w:val="left"/>
            </w:pPr>
            <w:r>
              <w:t xml:space="preserve">Field</w:t>
            </w:r>
          </w:p>
        </w:tc>
        <w:tc>
          <w:tcPr/>
          <w:p>
            <w:pPr>
              <w:pStyle w:val="Compact"/>
              <w:jc w:val="left"/>
            </w:pPr>
            <w:r>
              <w:t xml:space="preserve">Value</w:t>
            </w:r>
          </w:p>
        </w:tc>
        <w:tc>
          <w:tcPr/>
          <w:p>
            <w:pPr>
              <w:pStyle w:val="Compact"/>
              <w:jc w:val="left"/>
            </w:pPr>
            <w:r>
              <w:t xml:space="preserve">Label</w:t>
            </w:r>
          </w:p>
        </w:tc>
        <w:tc>
          <w:tcPr/>
          <w:p>
            <w:pPr>
              <w:pStyle w:val="Compact"/>
              <w:jc w:val="left"/>
            </w:pPr>
            <w:r>
              <w:t xml:space="preserve">Sources</w:t>
            </w:r>
          </w:p>
        </w:tc>
      </w:tr>
      <w:tr>
        <w:tc>
          <w:tcPr/>
          <w:p>
            <w:pPr>
              <w:pStyle w:val="Compact"/>
              <w:jc w:val="left"/>
            </w:pPr>
            <w:r>
              <w:t xml:space="preserve">Company</w:t>
            </w:r>
          </w:p>
        </w:tc>
        <w:tc>
          <w:tcPr/>
          <w:p>
            <w:pPr>
              <w:pStyle w:val="Compact"/>
              <w:jc w:val="left"/>
            </w:pPr>
            <w:r>
              <w:t xml:space="preserve">ValidMind Inc.</w:t>
            </w:r>
          </w:p>
        </w:tc>
        <w:tc>
          <w:tcPr/>
          <w:p>
            <w:pPr>
              <w:pStyle w:val="Compact"/>
              <w:jc w:val="left"/>
            </w:pPr>
            <w:r>
              <w:t xml:space="preserve">Verified fact</w:t>
            </w:r>
          </w:p>
        </w:tc>
        <w:tc>
          <w:tcPr/>
          <w:p>
            <w:pPr>
              <w:pStyle w:val="Compact"/>
              <w:jc w:val="left"/>
            </w:pPr>
            <w:r>
              <w:t xml:space="preserve">A7-S051</w:t>
            </w:r>
          </w:p>
        </w:tc>
      </w:tr>
      <w:tr>
        <w:tc>
          <w:tcPr/>
          <w:p>
            <w:pPr>
              <w:pStyle w:val="Compact"/>
              <w:jc w:val="left"/>
            </w:pPr>
            <w:r>
              <w:t xml:space="preserve">Category</w:t>
            </w:r>
          </w:p>
        </w:tc>
        <w:tc>
          <w:tcPr/>
          <w:p>
            <w:pPr>
              <w:pStyle w:val="Compact"/>
              <w:jc w:val="left"/>
            </w:pPr>
            <w:r>
              <w:t xml:space="preserve">Model risk management and AI governance platform (inventory, documentation, validation, monitoring)</w:t>
            </w:r>
          </w:p>
        </w:tc>
        <w:tc>
          <w:tcPr/>
          <w:p>
            <w:pPr>
              <w:pStyle w:val="Compact"/>
              <w:jc w:val="left"/>
            </w:pPr>
            <w:r>
              <w:t xml:space="preserve">Verified fact</w:t>
            </w:r>
          </w:p>
        </w:tc>
        <w:tc>
          <w:tcPr/>
          <w:p>
            <w:pPr>
              <w:pStyle w:val="Compact"/>
              <w:jc w:val="left"/>
            </w:pPr>
            <w:r>
              <w:t xml:space="preserve">A7-S003, A7-S054</w:t>
            </w:r>
          </w:p>
        </w:tc>
      </w:tr>
      <w:tr>
        <w:tc>
          <w:tcPr/>
          <w:p>
            <w:pPr>
              <w:pStyle w:val="Compact"/>
              <w:jc w:val="left"/>
            </w:pPr>
            <w:r>
              <w:t xml:space="preserve">Version / lineup</w:t>
            </w:r>
          </w:p>
        </w:tc>
        <w:tc>
          <w:tcPr/>
          <w:p>
            <w:pPr>
              <w:pStyle w:val="Compact"/>
              <w:jc w:val="left"/>
            </w:pPr>
            <w:r>
              <w:t xml:space="preserve">ValidMind Library 2.13.14 released 3 September 2026; Platform is cloud-hosted</w:t>
            </w:r>
          </w:p>
        </w:tc>
        <w:tc>
          <w:tcPr/>
          <w:p>
            <w:pPr>
              <w:pStyle w:val="Compact"/>
              <w:jc w:val="left"/>
            </w:pPr>
            <w:r>
              <w:t xml:space="preserve">Verified fact</w:t>
            </w:r>
          </w:p>
        </w:tc>
        <w:tc>
          <w:tcPr/>
          <w:p>
            <w:pPr>
              <w:pStyle w:val="Compact"/>
              <w:jc w:val="left"/>
            </w:pPr>
            <w:r>
              <w:t xml:space="preserve">A7-S003, V2-S028</w:t>
            </w:r>
          </w:p>
        </w:tc>
      </w:tr>
      <w:tr>
        <w:tc>
          <w:tcPr/>
          <w:p>
            <w:pPr>
              <w:pStyle w:val="Compact"/>
              <w:jc w:val="left"/>
            </w:pPr>
            <w:r>
              <w:t xml:space="preserve">Licence</w:t>
            </w:r>
          </w:p>
        </w:tc>
        <w:tc>
          <w:tcPr/>
          <w:p>
            <w:pPr>
              <w:pStyle w:val="Compact"/>
              <w:jc w:val="left"/>
            </w:pPr>
            <w:r>
              <w:t xml:space="preserve">Open core: Library dual-licensed AGPL-3.0 or ValidMind Commercial Licence; Platform proprietary</w:t>
            </w:r>
          </w:p>
        </w:tc>
        <w:tc>
          <w:tcPr/>
          <w:p>
            <w:pPr>
              <w:pStyle w:val="Compact"/>
              <w:jc w:val="left"/>
            </w:pPr>
            <w:r>
              <w:t xml:space="preserve">Verified fact</w:t>
            </w:r>
          </w:p>
        </w:tc>
        <w:tc>
          <w:tcPr/>
          <w:p>
            <w:pPr>
              <w:pStyle w:val="Compact"/>
              <w:jc w:val="left"/>
            </w:pPr>
            <w:r>
              <w:t xml:space="preserve">A7-S003, A7-S051</w:t>
            </w:r>
          </w:p>
        </w:tc>
      </w:tr>
      <w:tr>
        <w:tc>
          <w:tcPr/>
          <w:p>
            <w:pPr>
              <w:pStyle w:val="Compact"/>
              <w:jc w:val="left"/>
            </w:pPr>
            <w:r>
              <w:t xml:space="preserve">Strategic direction</w:t>
            </w:r>
          </w:p>
        </w:tc>
        <w:tc>
          <w:tcPr/>
          <w:p>
            <w:pPr>
              <w:pStyle w:val="Compact"/>
              <w:jc w:val="left"/>
            </w:pPr>
            <w:r>
              <w:t xml:space="preserve">Use-case guides map platform workflows to SR 26-2 (successor to SR 11-7), PRA SS1/23, EU AI Act and OSFI E-23; LLM features for test interpretation and document checking; LLM test extras in the Library</w:t>
            </w:r>
          </w:p>
        </w:tc>
        <w:tc>
          <w:tcPr/>
          <w:p>
            <w:pPr>
              <w:pStyle w:val="Compact"/>
              <w:jc w:val="left"/>
            </w:pPr>
            <w:r>
              <w:t xml:space="preserve">Verified fact</w:t>
            </w:r>
          </w:p>
        </w:tc>
        <w:tc>
          <w:tcPr/>
          <w:p>
            <w:pPr>
              <w:pStyle w:val="Compact"/>
              <w:jc w:val="left"/>
            </w:pPr>
            <w:r>
              <w:t xml:space="preserve">A7-S051, A7-S052, A7-S053, A7-S057, A7-S097, A7-S003</w:t>
            </w:r>
          </w:p>
        </w:tc>
      </w:tr>
      <w:tr>
        <w:tc>
          <w:tcPr/>
          <w:p>
            <w:pPr>
              <w:pStyle w:val="Compact"/>
              <w:jc w:val="left"/>
            </w:pPr>
            <w:r>
              <w:t xml:space="preserve">What it does</w:t>
            </w:r>
          </w:p>
        </w:tc>
        <w:tc>
          <w:tcPr/>
          <w:p>
            <w:pPr>
              <w:pStyle w:val="Compact"/>
              <w:jc w:val="left"/>
            </w:pPr>
            <w:r>
              <w:t xml:space="preserve">The Library runs tests and logs documentation artefacts from Python model-development environments; the Platform holds a customisable model inventory and runs documentation, validation workflows, approvals and ongoing monitoring with thresholds, alerts and workflow triggers on breach.</w:t>
            </w:r>
          </w:p>
        </w:tc>
        <w:tc>
          <w:tcPr/>
          <w:p>
            <w:pPr>
              <w:pStyle w:val="Compact"/>
              <w:jc w:val="left"/>
            </w:pPr>
            <w:r>
              <w:t xml:space="preserve">Verified fact</w:t>
            </w:r>
          </w:p>
        </w:tc>
        <w:tc>
          <w:tcPr/>
          <w:p>
            <w:pPr>
              <w:pStyle w:val="Compact"/>
              <w:jc w:val="left"/>
            </w:pPr>
            <w:r>
              <w:t xml:space="preserve">A7-S003, A7-S054, A7-S056</w:t>
            </w:r>
          </w:p>
        </w:tc>
      </w:tr>
      <w:tr>
        <w:tc>
          <w:tcPr/>
          <w:p>
            <w:pPr>
              <w:pStyle w:val="Compact"/>
              <w:jc w:val="left"/>
            </w:pPr>
            <w:r>
              <w:t xml:space="preserve">Stack position</w:t>
            </w:r>
          </w:p>
        </w:tc>
        <w:tc>
          <w:tcPr/>
          <w:p>
            <w:pPr>
              <w:pStyle w:val="Compact"/>
              <w:jc w:val="left"/>
            </w:pPr>
            <w:r>
              <w:t xml:space="preserve">C8 governance system of record fed by development tests and monitoring results</w:t>
            </w:r>
          </w:p>
        </w:tc>
        <w:tc>
          <w:tcPr/>
          <w:p>
            <w:pPr>
              <w:pStyle w:val="Compact"/>
              <w:jc w:val="left"/>
            </w:pPr>
            <w:r>
              <w:t xml:space="preserve">Verified fact</w:t>
            </w:r>
          </w:p>
        </w:tc>
        <w:tc>
          <w:tcPr/>
          <w:p>
            <w:pPr>
              <w:pStyle w:val="Compact"/>
              <w:jc w:val="left"/>
            </w:pPr>
            <w:r>
              <w:t xml:space="preserve">A7-S003, A7-S056</w:t>
            </w:r>
          </w:p>
        </w:tc>
      </w:tr>
      <w:tr>
        <w:tc>
          <w:tcPr/>
          <w:p>
            <w:pPr>
              <w:pStyle w:val="Compact"/>
              <w:jc w:val="left"/>
            </w:pPr>
            <w:r>
              <w:t xml:space="preserve">Integration</w:t>
            </w:r>
          </w:p>
        </w:tc>
        <w:tc>
          <w:tcPr/>
          <w:p>
            <w:pPr>
              <w:pStyle w:val="Compact"/>
              <w:jc w:val="left"/>
            </w:pPr>
            <w:r>
              <w:t xml:space="preserve">Python Library and ValidMind API to Platform; private connectivity via AWS PrivateLink, Google Cloud Private Service Connect, Azure Private Link</w:t>
            </w:r>
          </w:p>
        </w:tc>
        <w:tc>
          <w:tcPr/>
          <w:p>
            <w:pPr>
              <w:pStyle w:val="Compact"/>
              <w:jc w:val="left"/>
            </w:pPr>
            <w:r>
              <w:t xml:space="preserve">Verified fact</w:t>
            </w:r>
          </w:p>
        </w:tc>
        <w:tc>
          <w:tcPr/>
          <w:p>
            <w:pPr>
              <w:pStyle w:val="Compact"/>
              <w:jc w:val="left"/>
            </w:pPr>
            <w:r>
              <w:t xml:space="preserve">A7-S054</w:t>
            </w:r>
          </w:p>
        </w:tc>
      </w:tr>
      <w:tr>
        <w:tc>
          <w:tcPr/>
          <w:p>
            <w:pPr>
              <w:pStyle w:val="Compact"/>
              <w:jc w:val="left"/>
            </w:pPr>
            <w:r>
              <w:t xml:space="preserve">Dependencies</w:t>
            </w:r>
          </w:p>
        </w:tc>
        <w:tc>
          <w:tcPr/>
          <w:p>
            <w:pPr>
              <w:pStyle w:val="Compact"/>
              <w:jc w:val="left"/>
            </w:pPr>
            <w:r>
              <w:t xml:space="preserve">Python environment for the Library; data sources such as GCS, S3, Snowflake in customer environment</w:t>
            </w:r>
          </w:p>
        </w:tc>
        <w:tc>
          <w:tcPr/>
          <w:p>
            <w:pPr>
              <w:pStyle w:val="Compact"/>
              <w:jc w:val="left"/>
            </w:pPr>
            <w:r>
              <w:t xml:space="preserve">Verified fact</w:t>
            </w:r>
          </w:p>
        </w:tc>
        <w:tc>
          <w:tcPr/>
          <w:p>
            <w:pPr>
              <w:pStyle w:val="Compact"/>
              <w:jc w:val="left"/>
            </w:pPr>
            <w:r>
              <w:t xml:space="preserve">A7-S003, A7-S054</w:t>
            </w:r>
          </w:p>
        </w:tc>
      </w:tr>
      <w:tr>
        <w:tc>
          <w:tcPr/>
          <w:p>
            <w:pPr>
              <w:pStyle w:val="Compact"/>
              <w:jc w:val="left"/>
            </w:pPr>
            <w:r>
              <w:t xml:space="preserve">Certifications</w:t>
            </w:r>
          </w:p>
        </w:tc>
        <w:tc>
          <w:tcPr/>
          <w:p>
            <w:pPr>
              <w:pStyle w:val="Compact"/>
              <w:jc w:val="left"/>
            </w:pPr>
            <w:r>
              <w:t xml:space="preserve">Claims to meet SOC 2, GDPR and CCPA requirements (platform page; SOC 2 type not stated); no ISO 27001/42001 certificate found</w:t>
            </w:r>
          </w:p>
        </w:tc>
        <w:tc>
          <w:tcPr/>
          <w:p>
            <w:pPr>
              <w:pStyle w:val="Compact"/>
              <w:jc w:val="left"/>
            </w:pPr>
            <w:r>
              <w:t xml:space="preserve">Verified fact</w:t>
            </w:r>
          </w:p>
        </w:tc>
        <w:tc>
          <w:tcPr/>
          <w:p>
            <w:pPr>
              <w:pStyle w:val="Compact"/>
              <w:jc w:val="left"/>
            </w:pPr>
            <w:r>
              <w:t xml:space="preserve">A7-S121</w:t>
            </w:r>
          </w:p>
        </w:tc>
      </w:tr>
      <w:tr>
        <w:tc>
          <w:tcPr/>
          <w:p>
            <w:pPr>
              <w:pStyle w:val="Compact"/>
              <w:jc w:val="left"/>
            </w:pPr>
            <w:r>
              <w:t xml:space="preserve">GDPR / residency</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Security features</w:t>
            </w:r>
          </w:p>
        </w:tc>
        <w:tc>
          <w:tcPr/>
          <w:p>
            <w:pPr>
              <w:pStyle w:val="Compact"/>
              <w:jc w:val="left"/>
            </w:pPr>
            <w:r>
              <w:t xml:space="preserve">Data isolation, encryption in transit and at rest, private link; states PII and customer data are not stored in documentation</w:t>
            </w:r>
          </w:p>
        </w:tc>
        <w:tc>
          <w:tcPr/>
          <w:p>
            <w:pPr>
              <w:pStyle w:val="Compact"/>
              <w:jc w:val="left"/>
            </w:pPr>
            <w:r>
              <w:t xml:space="preserve">Verified fact</w:t>
            </w:r>
          </w:p>
        </w:tc>
        <w:tc>
          <w:tcPr/>
          <w:p>
            <w:pPr>
              <w:pStyle w:val="Compact"/>
              <w:jc w:val="left"/>
            </w:pPr>
            <w:r>
              <w:t xml:space="preserve">A7-S055, A7-S054</w:t>
            </w:r>
          </w:p>
        </w:tc>
      </w:tr>
      <w:tr>
        <w:tc>
          <w:tcPr/>
          <w:p>
            <w:pPr>
              <w:pStyle w:val="Compact"/>
              <w:jc w:val="left"/>
            </w:pPr>
            <w:r>
              <w:t xml:space="preserve">Access controls</w:t>
            </w:r>
          </w:p>
        </w:tc>
        <w:tc>
          <w:tcPr/>
          <w:p>
            <w:pPr>
              <w:pStyle w:val="Compact"/>
              <w:jc w:val="left"/>
            </w:pPr>
            <w:r>
              <w:t xml:space="preserve">Role-based access control; audit logs; continuous monitoring and logging</w:t>
            </w:r>
          </w:p>
        </w:tc>
        <w:tc>
          <w:tcPr/>
          <w:p>
            <w:pPr>
              <w:pStyle w:val="Compact"/>
              <w:jc w:val="left"/>
            </w:pPr>
            <w:r>
              <w:t xml:space="preserve">Verified fact</w:t>
            </w:r>
          </w:p>
        </w:tc>
        <w:tc>
          <w:tcPr/>
          <w:p>
            <w:pPr>
              <w:pStyle w:val="Compact"/>
              <w:jc w:val="left"/>
            </w:pPr>
            <w:r>
              <w:t xml:space="preserve">A7-S055</w:t>
            </w:r>
          </w:p>
        </w:tc>
      </w:tr>
      <w:tr>
        <w:tc>
          <w:tcPr/>
          <w:p>
            <w:pPr>
              <w:pStyle w:val="Compact"/>
              <w:jc w:val="left"/>
            </w:pPr>
            <w:r>
              <w:t xml:space="preserve">Enterprise support</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Pricing</w:t>
            </w:r>
          </w:p>
        </w:tc>
        <w:tc>
          <w:tcPr/>
          <w:p>
            <w:pPr>
              <w:pStyle w:val="Compact"/>
              <w:jc w:val="left"/>
            </w:pPr>
            <w:r>
              <w:t xml:space="preserve">Free account registration to start; commercial pricing not published</w:t>
            </w:r>
          </w:p>
        </w:tc>
        <w:tc>
          <w:tcPr/>
          <w:p>
            <w:pPr>
              <w:pStyle w:val="Compact"/>
              <w:jc w:val="left"/>
            </w:pPr>
            <w:r>
              <w:t xml:space="preserve">Verified fact</w:t>
            </w:r>
          </w:p>
        </w:tc>
        <w:tc>
          <w:tcPr/>
          <w:p>
            <w:pPr>
              <w:pStyle w:val="Compact"/>
              <w:jc w:val="left"/>
            </w:pPr>
            <w:r>
              <w:t xml:space="preserve">A7-S003</w:t>
            </w:r>
          </w:p>
        </w:tc>
      </w:tr>
      <w:tr>
        <w:tc>
          <w:tcPr/>
          <w:p>
            <w:pPr>
              <w:pStyle w:val="Compact"/>
              <w:jc w:val="left"/>
            </w:pPr>
            <w:r>
              <w:t xml:space="preserve">Infrastructure cost</w:t>
            </w:r>
          </w:p>
        </w:tc>
        <w:tc>
          <w:tcPr/>
          <w:p>
            <w:pPr>
              <w:pStyle w:val="Compact"/>
              <w:jc w:val="left"/>
            </w:pPr>
            <w:r>
              <w:t xml:space="preserve">Not publicly verified</w:t>
            </w:r>
          </w:p>
        </w:tc>
        <w:tc>
          <w:tcPr/>
          <w:p>
            <w:pPr>
              <w:pStyle w:val="Compact"/>
              <w:jc w:val="left"/>
            </w:pPr>
            <w:r>
              <w:t xml:space="preserve">Not publicly verified</w:t>
            </w:r>
          </w:p>
        </w:tc>
        <w:tc>
          <w:tcPr/>
          <w:p>
            <w:pPr>
              <w:pStyle w:val="Compact"/>
            </w:pPr>
          </w:p>
        </w:tc>
      </w:tr>
      <w:tr>
        <w:tc>
          <w:tcPr/>
          <w:p>
            <w:pPr>
              <w:pStyle w:val="Compact"/>
              <w:jc w:val="left"/>
            </w:pPr>
            <w:r>
              <w:t xml:space="preserve">Ecosystem</w:t>
            </w:r>
          </w:p>
        </w:tc>
        <w:tc>
          <w:tcPr/>
          <w:p>
            <w:pPr>
              <w:pStyle w:val="Compact"/>
              <w:jc w:val="left"/>
            </w:pPr>
            <w:r>
              <w:t xml:space="preserve">Library extras for LLMs, PyTorch and Hugging Face Transformers</w:t>
            </w:r>
          </w:p>
        </w:tc>
        <w:tc>
          <w:tcPr/>
          <w:p>
            <w:pPr>
              <w:pStyle w:val="Compact"/>
              <w:jc w:val="left"/>
            </w:pPr>
            <w:r>
              <w:t xml:space="preserve">Verified fact</w:t>
            </w:r>
          </w:p>
        </w:tc>
        <w:tc>
          <w:tcPr/>
          <w:p>
            <w:pPr>
              <w:pStyle w:val="Compact"/>
              <w:jc w:val="left"/>
            </w:pPr>
            <w:r>
              <w:t xml:space="preserve">A7-S003</w:t>
            </w:r>
          </w:p>
        </w:tc>
      </w:tr>
      <w:tr>
        <w:tc>
          <w:tcPr/>
          <w:p>
            <w:pPr>
              <w:pStyle w:val="Compact"/>
              <w:jc w:val="left"/>
            </w:pPr>
            <w:r>
              <w:t xml:space="preserve">Adoption signals</w:t>
            </w:r>
          </w:p>
        </w:tc>
        <w:tc>
          <w:tcPr/>
          <w:p>
            <w:pPr>
              <w:pStyle w:val="Compact"/>
              <w:jc w:val="left"/>
            </w:pPr>
            <w:r>
              <w:t xml:space="preserve">validmind package first published on PyPI 11 May 2023; vendor states Chartis ranked it No. 1 AI Governance Platform in RiskTech100 2026</w:t>
            </w:r>
          </w:p>
        </w:tc>
        <w:tc>
          <w:tcPr/>
          <w:p>
            <w:pPr>
              <w:pStyle w:val="Compact"/>
              <w:jc w:val="left"/>
            </w:pPr>
            <w:r>
              <w:t xml:space="preserve">Verified fact</w:t>
            </w:r>
          </w:p>
        </w:tc>
        <w:tc>
          <w:tcPr/>
          <w:p>
            <w:pPr>
              <w:pStyle w:val="Compact"/>
              <w:jc w:val="left"/>
            </w:pPr>
            <w:r>
              <w:t xml:space="preserve">A7-S003, A7-S121</w:t>
            </w:r>
          </w:p>
        </w:tc>
      </w:tr>
      <w:tr>
        <w:tc>
          <w:tcPr/>
          <w:p>
            <w:pPr>
              <w:pStyle w:val="Compact"/>
              <w:jc w:val="left"/>
            </w:pPr>
            <w:r>
              <w:t xml:space="preserve">Maturity</w:t>
            </w:r>
          </w:p>
        </w:tc>
        <w:tc>
          <w:tcPr/>
          <w:p>
            <w:pPr>
              <w:pStyle w:val="Compact"/>
              <w:jc w:val="left"/>
            </w:pPr>
            <w:r>
              <w:t xml:space="preserve">Frequent Library releases (2.13.x in September 2026)</w:t>
            </w:r>
          </w:p>
        </w:tc>
        <w:tc>
          <w:tcPr/>
          <w:p>
            <w:pPr>
              <w:pStyle w:val="Compact"/>
              <w:jc w:val="left"/>
            </w:pPr>
            <w:r>
              <w:t xml:space="preserve">Verified fact</w:t>
            </w:r>
          </w:p>
        </w:tc>
        <w:tc>
          <w:tcPr/>
          <w:p>
            <w:pPr>
              <w:pStyle w:val="Compact"/>
              <w:jc w:val="left"/>
            </w:pPr>
            <w:r>
              <w:t xml:space="preserve">A7-S003</w:t>
            </w:r>
          </w:p>
        </w:tc>
      </w:tr>
      <w:tr>
        <w:tc>
          <w:tcPr/>
          <w:p>
            <w:pPr>
              <w:pStyle w:val="Compact"/>
              <w:jc w:val="left"/>
            </w:pPr>
            <w:r>
              <w:t xml:space="preserve">Deployment</w:t>
            </w:r>
          </w:p>
        </w:tc>
        <w:tc>
          <w:tcPr/>
          <w:p>
            <w:pPr>
              <w:pStyle w:val="Compact"/>
              <w:jc w:val="left"/>
            </w:pPr>
            <w:r>
              <w:t xml:space="preserve">saas: Yes (multi-tenant cloud); managed_cloud: Not publicly verified; vpc_byoc: Yes (Virtual Private ValidMind, single-tenant, on AWS, GCP or Azure); private_cloud: Not publicly verified; self_hosted: Not publicly verified; on_prem: Not publicly verified</w:t>
            </w:r>
          </w:p>
        </w:tc>
        <w:tc>
          <w:tcPr/>
          <w:p>
            <w:pPr>
              <w:pStyle w:val="Compact"/>
            </w:pPr>
          </w:p>
        </w:tc>
        <w:tc>
          <w:tcPr/>
          <w:p>
            <w:pPr>
              <w:pStyle w:val="Compact"/>
            </w:pPr>
          </w:p>
        </w:tc>
      </w:tr>
    </w:tbl>
    <w:bookmarkEnd w:id="2496"/>
    <w:bookmarkEnd w:id="249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FootnoteText"/>
      </w:pPr>
      <w:r>
        <w:rPr>
          <w:rStyle w:val="FootnoteReference"/>
        </w:rPr>
        <w:footnoteRef/>
      </w:r>
      <w:r>
        <w:t xml:space="preserve"> </w:t>
      </w:r>
      <w:r>
        <w:t xml:space="preserve">Verified fact — A1-S103: MLflow README (MLflow project (Databricks-originated) (GitHub))</w:t>
      </w:r>
      <w:r>
        <w:t xml:space="preserve"> </w:t>
      </w:r>
      <w:hyperlink r:id="rId21">
        <w:r>
          <w:rPr>
            <w:rStyle w:val="Hyperlink"/>
          </w:rPr>
          <w:t xml:space="preserve">https://raw.githubusercontent.com/mlflow/mlflow/master/README.md</w:t>
        </w:r>
      </w:hyperlink>
      <w:r>
        <w:t xml:space="preserve"> </w:t>
      </w:r>
      <w:r>
        <w:t xml:space="preserve">accessed 2026-10-07</w:t>
      </w:r>
    </w:p>
  </w:footnote>
  <w:footnote w:id="22">
    <w:p>
      <w:pPr>
        <w:pStyle w:val="FootnoteText"/>
      </w:pPr>
      <w:r>
        <w:rPr>
          <w:rStyle w:val="FootnoteReference"/>
        </w:rPr>
        <w:footnoteRef/>
      </w:r>
      <w:r>
        <w:t xml:space="preserve"> </w:t>
      </w:r>
      <w:r>
        <w:t xml:space="preserve">Verified fact — A1-S103: MLflow README (MLflow project (Databricks-originated) (GitHub))</w:t>
      </w:r>
      <w:r>
        <w:t xml:space="preserve"> </w:t>
      </w:r>
      <w:hyperlink r:id="rId21">
        <w:r>
          <w:rPr>
            <w:rStyle w:val="Hyperlink"/>
          </w:rPr>
          <w:t xml:space="preserve">https://raw.githubusercontent.com/mlflow/mlflow/master/README.md</w:t>
        </w:r>
      </w:hyperlink>
      <w:r>
        <w:t xml:space="preserve"> </w:t>
      </w:r>
      <w:r>
        <w:t xml:space="preserve">accessed 2026-10-07</w:t>
      </w:r>
    </w:p>
  </w:footnote>
  <w:footnote w:id="23">
    <w:p>
      <w:pPr>
        <w:pStyle w:val="FootnoteText"/>
      </w:pPr>
      <w:r>
        <w:rPr>
          <w:rStyle w:val="FootnoteReference"/>
        </w:rPr>
        <w:footnoteRef/>
      </w:r>
      <w:r>
        <w:t xml:space="preserve"> </w:t>
      </w:r>
      <w:r>
        <w:t xml:space="preserve">Verified fact — A1-S103: MLflow README (MLflow project (Databricks-originated) (GitHub))</w:t>
      </w:r>
      <w:r>
        <w:t xml:space="preserve"> </w:t>
      </w:r>
      <w:hyperlink r:id="rId21">
        <w:r>
          <w:rPr>
            <w:rStyle w:val="Hyperlink"/>
          </w:rPr>
          <w:t xml:space="preserve">https://raw.githubusercontent.com/mlflow/mlflow/master/README.md</w:t>
        </w:r>
      </w:hyperlink>
      <w:r>
        <w:t xml:space="preserve"> </w:t>
      </w:r>
      <w:r>
        <w:t xml:space="preserve">accessed 2026-10-07</w:t>
      </w:r>
    </w:p>
  </w:footnote>
  <w:footnote w:id="24">
    <w:p>
      <w:pPr>
        <w:pStyle w:val="FootnoteText"/>
      </w:pPr>
      <w:r>
        <w:rPr>
          <w:rStyle w:val="FootnoteReference"/>
        </w:rPr>
        <w:footnoteRef/>
      </w:r>
      <w:r>
        <w:t xml:space="preserve"> </w:t>
      </w:r>
      <w:r>
        <w:t xml:space="preserve">Verified fact — B-L9-S004: The MLflow Project Joins Linux Foundation (The Linux Foundation)</w:t>
      </w:r>
      <w:r>
        <w:t xml:space="preserve"> </w:t>
      </w:r>
      <w:hyperlink r:id="rId25">
        <w:r>
          <w:rPr>
            <w:rStyle w:val="Hyperlink"/>
          </w:rPr>
          <w:t xml:space="preserve">https://www.linuxfoundation.org/press/press-release/the-mlflow-project-joins-linux-foundation</w:t>
        </w:r>
      </w:hyperlink>
      <w:r>
        <w:t xml:space="preserve"> </w:t>
      </w:r>
      <w:r>
        <w:t xml:space="preserve">accessed 2026-10-08 [search-tool extract]</w:t>
      </w:r>
    </w:p>
  </w:footnote>
  <w:footnote w:id="26">
    <w:p>
      <w:pPr>
        <w:pStyle w:val="FootnoteText"/>
      </w:pPr>
      <w:r>
        <w:rPr>
          <w:rStyle w:val="FootnoteReference"/>
        </w:rPr>
        <w:footnoteRef/>
      </w:r>
      <w:r>
        <w:t xml:space="preserve"> </w:t>
      </w:r>
      <w:r>
        <w:t xml:space="preserve">Verified fact — A1-S019: PyPI JSON metadata: mlflow (Python Package Index)</w:t>
      </w:r>
      <w:r>
        <w:t xml:space="preserve"> </w:t>
      </w:r>
      <w:hyperlink r:id="rId27">
        <w:r>
          <w:rPr>
            <w:rStyle w:val="Hyperlink"/>
          </w:rPr>
          <w:t xml:space="preserve">https://pypi.org/pypi/mlflow/json</w:t>
        </w:r>
      </w:hyperlink>
      <w:r>
        <w:t xml:space="preserve"> </w:t>
      </w:r>
      <w:r>
        <w:t xml:space="preserve">accessed 2026-10-07</w:t>
      </w:r>
    </w:p>
  </w:footnote>
  <w:footnote w:id="28">
    <w:p>
      <w:pPr>
        <w:pStyle w:val="FootnoteText"/>
      </w:pPr>
      <w:r>
        <w:rPr>
          <w:rStyle w:val="FootnoteReference"/>
        </w:rPr>
        <w:footnoteRef/>
      </w:r>
      <w:r>
        <w:t xml:space="preserve"> </w:t>
      </w:r>
      <w:r>
        <w:t xml:space="preserve">Verified fact — A1-S019: PyPI JSON metadata: mlflow (Python Package Index)</w:t>
      </w:r>
      <w:r>
        <w:t xml:space="preserve"> </w:t>
      </w:r>
      <w:hyperlink r:id="rId27">
        <w:r>
          <w:rPr>
            <w:rStyle w:val="Hyperlink"/>
          </w:rPr>
          <w:t xml:space="preserve">https://pypi.org/pypi/mlflow/json</w:t>
        </w:r>
      </w:hyperlink>
      <w:r>
        <w:t xml:space="preserve"> </w:t>
      </w:r>
      <w:r>
        <w:t xml:space="preserve">accessed 2026-10-07</w:t>
      </w:r>
    </w:p>
  </w:footnote>
  <w:footnote w:id="29">
    <w:p>
      <w:pPr>
        <w:pStyle w:val="FootnoteText"/>
      </w:pPr>
      <w:r>
        <w:rPr>
          <w:rStyle w:val="FootnoteReference"/>
        </w:rPr>
        <w:footnoteRef/>
      </w:r>
      <w:r>
        <w:t xml:space="preserve"> </w:t>
      </w:r>
      <w:r>
        <w:t xml:space="preserve">Verified fact — A1-S103: MLflow README (MLflow project (Databricks-originated) (GitHub))</w:t>
      </w:r>
      <w:r>
        <w:t xml:space="preserve"> </w:t>
      </w:r>
      <w:hyperlink r:id="rId21">
        <w:r>
          <w:rPr>
            <w:rStyle w:val="Hyperlink"/>
          </w:rPr>
          <w:t xml:space="preserve">https://raw.githubusercontent.com/mlflow/mlflow/master/README.md</w:t>
        </w:r>
      </w:hyperlink>
      <w:r>
        <w:t xml:space="preserve"> </w:t>
      </w:r>
      <w:r>
        <w:t xml:space="preserve">accessed 2026-10-07</w:t>
      </w:r>
    </w:p>
  </w:footnote>
  <w:footnote w:id="31">
    <w:p>
      <w:pPr>
        <w:pStyle w:val="FootnoteText"/>
      </w:pPr>
      <w:r>
        <w:rPr>
          <w:rStyle w:val="FootnoteReference"/>
        </w:rPr>
        <w:footnoteRef/>
      </w:r>
      <w:r>
        <w:t xml:space="preserve"> </w:t>
      </w:r>
      <w:r>
        <w:t xml:space="preserve">Verified fact — A1-S073: Langfuse README (Langfuse / ClickHouse (GitHub))</w:t>
      </w:r>
      <w:r>
        <w:t xml:space="preserve"> </w:t>
      </w:r>
      <w:hyperlink r:id="rId32">
        <w:r>
          <w:rPr>
            <w:rStyle w:val="Hyperlink"/>
          </w:rPr>
          <w:t xml:space="preserve">https://raw.githubusercontent.com/langfuse/langfuse/main/README.md</w:t>
        </w:r>
      </w:hyperlink>
      <w:r>
        <w:t xml:space="preserve"> </w:t>
      </w:r>
      <w:r>
        <w:t xml:space="preserve">accessed 2026-10-07; A1-S032: OpenTelemetry (OTEL) for LLM Observability - Langfuse (Langfuse (ClickHouse))</w:t>
      </w:r>
      <w:r>
        <w:t xml:space="preserve"> </w:t>
      </w:r>
      <w:hyperlink r:id="rId33">
        <w:r>
          <w:rPr>
            <w:rStyle w:val="Hyperlink"/>
          </w:rPr>
          <w:t xml:space="preserve">https://langfuse.com/integrations/native/opentelemetry</w:t>
        </w:r>
      </w:hyperlink>
      <w:r>
        <w:t xml:space="preserve"> </w:t>
      </w:r>
      <w:r>
        <w:t xml:space="preserve">accessed 2026-10-07 [search-tool extract]</w:t>
      </w:r>
    </w:p>
  </w:footnote>
  <w:footnote w:id="34">
    <w:p>
      <w:pPr>
        <w:pStyle w:val="FootnoteText"/>
      </w:pPr>
      <w:r>
        <w:rPr>
          <w:rStyle w:val="FootnoteReference"/>
        </w:rPr>
        <w:footnoteRef/>
      </w:r>
      <w:r>
        <w:t xml:space="preserve"> </w:t>
      </w:r>
      <w:r>
        <w:t xml:space="preserve">Verified fact — A1-S023: Langfuse repository LICENSE (Langfuse / ClickHouse, Inc.)</w:t>
      </w:r>
      <w:r>
        <w:t xml:space="preserve"> </w:t>
      </w:r>
      <w:hyperlink r:id="rId35">
        <w:r>
          <w:rPr>
            <w:rStyle w:val="Hyperlink"/>
          </w:rPr>
          <w:t xml:space="preserve">https://raw.githubusercontent.com/langfuse/langfuse/main/LICENSE</w:t>
        </w:r>
      </w:hyperlink>
      <w:r>
        <w:t xml:space="preserve"> </w:t>
      </w:r>
      <w:r>
        <w:t xml:space="preserve">accessed 2026-10-07; A1-S033: Self-Hosted Pricing - Langfuse (Langfuse (ClickHouse))</w:t>
      </w:r>
      <w:r>
        <w:t xml:space="preserve"> </w:t>
      </w:r>
      <w:hyperlink r:id="rId36">
        <w:r>
          <w:rPr>
            <w:rStyle w:val="Hyperlink"/>
          </w:rPr>
          <w:t xml:space="preserve">https://langfuse.com/pricing-self-host</w:t>
        </w:r>
      </w:hyperlink>
      <w:r>
        <w:t xml:space="preserve"> </w:t>
      </w:r>
      <w:r>
        <w:t xml:space="preserve">accessed 2026-10-07 [search-tool extract]; A1-S073: Langfuse README (Langfuse / ClickHouse (GitHub))</w:t>
      </w:r>
      <w:r>
        <w:t xml:space="preserve"> </w:t>
      </w:r>
      <w:hyperlink r:id="rId32">
        <w:r>
          <w:rPr>
            <w:rStyle w:val="Hyperlink"/>
          </w:rPr>
          <w:t xml:space="preserve">https://raw.githubusercontent.com/langfuse/langfuse/main/README.md</w:t>
        </w:r>
      </w:hyperlink>
      <w:r>
        <w:t xml:space="preserve"> </w:t>
      </w:r>
      <w:r>
        <w:t xml:space="preserve">accessed 2026-10-07</w:t>
      </w:r>
    </w:p>
  </w:footnote>
  <w:footnote w:id="37">
    <w:p>
      <w:pPr>
        <w:pStyle w:val="FootnoteText"/>
      </w:pPr>
      <w:r>
        <w:rPr>
          <w:rStyle w:val="FootnoteReference"/>
        </w:rPr>
        <w:footnoteRef/>
      </w:r>
      <w:r>
        <w:t xml:space="preserve"> </w:t>
      </w:r>
      <w:r>
        <w:t xml:space="preserve">Verified fact — A1-S032: OpenTelemetry (OTEL) for LLM Observability - Langfuse (Langfuse (ClickHouse))</w:t>
      </w:r>
      <w:r>
        <w:t xml:space="preserve"> </w:t>
      </w:r>
      <w:hyperlink r:id="rId33">
        <w:r>
          <w:rPr>
            <w:rStyle w:val="Hyperlink"/>
          </w:rPr>
          <w:t xml:space="preserve">https://langfuse.com/integrations/native/opentelemetry</w:t>
        </w:r>
      </w:hyperlink>
      <w:r>
        <w:t xml:space="preserve"> </w:t>
      </w:r>
      <w:r>
        <w:t xml:space="preserve">accessed 2026-10-07 [search-tool extract]</w:t>
      </w:r>
    </w:p>
  </w:footnote>
  <w:footnote w:id="38">
    <w:p>
      <w:pPr>
        <w:pStyle w:val="FootnoteText"/>
      </w:pPr>
      <w:r>
        <w:rPr>
          <w:rStyle w:val="FootnoteReference"/>
        </w:rPr>
        <w:footnoteRef/>
      </w:r>
      <w:r>
        <w:t xml:space="preserve"> </w:t>
      </w:r>
      <w:r>
        <w:t xml:space="preserve">Verified fact — A1-S029: Security &amp; Compliance - Langfuse (Langfuse (ClickHouse))</w:t>
      </w:r>
      <w:r>
        <w:t xml:space="preserve"> </w:t>
      </w:r>
      <w:hyperlink r:id="rId39">
        <w:r>
          <w:rPr>
            <w:rStyle w:val="Hyperlink"/>
          </w:rPr>
          <w:t xml:space="preserve">https://langfuse.com/security</w:t>
        </w:r>
      </w:hyperlink>
      <w:r>
        <w:t xml:space="preserve"> </w:t>
      </w:r>
      <w:r>
        <w:t xml:space="preserve">accessed 2026-10-07 [search-tool extract]; A1-S030: Data Regions &amp; Availability - Langfuse (Langfuse (ClickHouse))</w:t>
      </w:r>
      <w:r>
        <w:t xml:space="preserve"> </w:t>
      </w:r>
      <w:hyperlink r:id="rId40">
        <w:r>
          <w:rPr>
            <w:rStyle w:val="Hyperlink"/>
          </w:rPr>
          <w:t xml:space="preserve">https://langfuse.com/security/data-regions</w:t>
        </w:r>
      </w:hyperlink>
      <w:r>
        <w:t xml:space="preserve"> </w:t>
      </w:r>
      <w:r>
        <w:t xml:space="preserve">accessed 2026-10-07 [search-tool extract]</w:t>
      </w:r>
    </w:p>
  </w:footnote>
  <w:footnote w:id="41">
    <w:p>
      <w:pPr>
        <w:pStyle w:val="FootnoteText"/>
      </w:pPr>
      <w:r>
        <w:rPr>
          <w:rStyle w:val="FootnoteReference"/>
        </w:rPr>
        <w:footnoteRef/>
      </w:r>
      <w:r>
        <w:t xml:space="preserve"> </w:t>
      </w:r>
      <w:r>
        <w:t xml:space="preserve">Verified fact — A1-S031: Pricing - Langfuse (Langfuse (ClickHouse))</w:t>
      </w:r>
      <w:r>
        <w:t xml:space="preserve"> </w:t>
      </w:r>
      <w:hyperlink r:id="rId42">
        <w:r>
          <w:rPr>
            <w:rStyle w:val="Hyperlink"/>
          </w:rPr>
          <w:t xml:space="preserve">https://langfuse.com/pricing</w:t>
        </w:r>
      </w:hyperlink>
      <w:r>
        <w:t xml:space="preserve"> </w:t>
      </w:r>
      <w:r>
        <w:t xml:space="preserve">accessed 2026-10-07 [search-tool extract]</w:t>
      </w:r>
    </w:p>
  </w:footnote>
  <w:footnote w:id="43">
    <w:p>
      <w:pPr>
        <w:pStyle w:val="FootnoteText"/>
      </w:pPr>
      <w:r>
        <w:rPr>
          <w:rStyle w:val="FootnoteReference"/>
        </w:rPr>
        <w:footnoteRef/>
      </w:r>
      <w:r>
        <w:t xml:space="preserve"> </w:t>
      </w:r>
      <w:r>
        <w:t xml:space="preserve">Verified fact — A1-S021: ClickHouse raises $400M Series D, acquires Langfuse, launches Postgres (ClickHouse, Inc.)</w:t>
      </w:r>
      <w:r>
        <w:t xml:space="preserve"> </w:t>
      </w:r>
      <w:hyperlink r:id="rId44">
        <w:r>
          <w:rPr>
            <w:rStyle w:val="Hyperlink"/>
          </w:rPr>
          <w:t xml:space="preserve">https://clickhouse.com/blog/clickhouse-raises-400-million-series-d-acquires-langfuse-launches-postgres</w:t>
        </w:r>
      </w:hyperlink>
      <w:r>
        <w:t xml:space="preserve"> </w:t>
      </w:r>
      <w:r>
        <w:t xml:space="preserve">accessed 2026-10-07 [search-tool extract]; A1-S033: Self-Hosted Pricing - Langfuse (Langfuse (ClickHouse))</w:t>
      </w:r>
      <w:r>
        <w:t xml:space="preserve"> </w:t>
      </w:r>
      <w:hyperlink r:id="rId36">
        <w:r>
          <w:rPr>
            <w:rStyle w:val="Hyperlink"/>
          </w:rPr>
          <w:t xml:space="preserve">https://langfuse.com/pricing-self-host</w:t>
        </w:r>
      </w:hyperlink>
      <w:r>
        <w:t xml:space="preserve"> </w:t>
      </w:r>
      <w:r>
        <w:t xml:space="preserve">accessed 2026-10-07 [search-tool extract]; V2-S041: ClickHouse welcomes Langfuse (with langfuse.com</w:t>
      </w:r>
      <w:r>
        <w:t xml:space="preserve"> </w:t>
      </w:r>
      <w:r>
        <w:t xml:space="preserve">‘</w:t>
      </w:r>
      <w:r>
        <w:t xml:space="preserve">Langfuse joins ClickHouse</w:t>
      </w:r>
      <w:r>
        <w:t xml:space="preserve">’</w:t>
      </w:r>
      <w:r>
        <w:t xml:space="preserve">, Orrick)</w:t>
      </w:r>
      <w:r>
        <w:t xml:space="preserve"> </w:t>
      </w:r>
      <w:hyperlink r:id="rId45">
        <w:r>
          <w:rPr>
            <w:rStyle w:val="Hyperlink"/>
          </w:rPr>
          <w:t xml:space="preserve">https://clickhouse.com/blog/clickhouse-acquires-langfuse-open-source-llm-observability</w:t>
        </w:r>
      </w:hyperlink>
      <w:r>
        <w:t xml:space="preserve"> </w:t>
      </w:r>
      <w:r>
        <w:t xml:space="preserve">accessed 2026-10-08 [search-tool extract]</w:t>
      </w:r>
    </w:p>
  </w:footnote>
  <w:footnote w:id="46">
    <w:p>
      <w:pPr>
        <w:pStyle w:val="FootnoteText"/>
      </w:pPr>
      <w:r>
        <w:rPr>
          <w:rStyle w:val="FootnoteReference"/>
        </w:rPr>
        <w:footnoteRef/>
      </w:r>
      <w:r>
        <w:t xml:space="preserve"> </w:t>
      </w:r>
      <w:r>
        <w:t xml:space="preserve">Verified fact — A1-S033: Self-Hosted Pricing - Langfuse (Langfuse (ClickHouse))</w:t>
      </w:r>
      <w:r>
        <w:t xml:space="preserve"> </w:t>
      </w:r>
      <w:hyperlink r:id="rId36">
        <w:r>
          <w:rPr>
            <w:rStyle w:val="Hyperlink"/>
          </w:rPr>
          <w:t xml:space="preserve">https://langfuse.com/pricing-self-host</w:t>
        </w:r>
      </w:hyperlink>
      <w:r>
        <w:t xml:space="preserve"> </w:t>
      </w:r>
      <w:r>
        <w:t xml:space="preserve">accessed 2026-10-07 [search-tool extract]</w:t>
      </w:r>
    </w:p>
  </w:footnote>
  <w:footnote w:id="47">
    <w:p>
      <w:pPr>
        <w:pStyle w:val="FootnoteText"/>
      </w:pPr>
      <w:r>
        <w:rPr>
          <w:rStyle w:val="FootnoteReference"/>
        </w:rPr>
        <w:footnoteRef/>
      </w:r>
      <w:r>
        <w:t xml:space="preserve"> </w:t>
      </w:r>
      <w:r>
        <w:t xml:space="preserve">Verified fact — A1-S032: OpenTelemetry (OTEL) for LLM Observability - Langfuse (Langfuse (ClickHouse))</w:t>
      </w:r>
      <w:r>
        <w:t xml:space="preserve"> </w:t>
      </w:r>
      <w:hyperlink r:id="rId33">
        <w:r>
          <w:rPr>
            <w:rStyle w:val="Hyperlink"/>
          </w:rPr>
          <w:t xml:space="preserve">https://langfuse.com/integrations/native/opentelemetry</w:t>
        </w:r>
      </w:hyperlink>
      <w:r>
        <w:t xml:space="preserve"> </w:t>
      </w:r>
      <w:r>
        <w:t xml:space="preserve">accessed 2026-10-07 [search-tool extract]</w:t>
      </w:r>
    </w:p>
  </w:footnote>
  <w:footnote w:id="48">
    <w:p>
      <w:pPr>
        <w:pStyle w:val="FootnoteText"/>
      </w:pPr>
      <w:r>
        <w:rPr>
          <w:rStyle w:val="FootnoteReference"/>
        </w:rPr>
        <w:footnoteRef/>
      </w:r>
      <w:r>
        <w:t xml:space="preserve"> </w:t>
      </w:r>
      <w:r>
        <w:t xml:space="preserve">Verified fact — A1-S033: Self-Hosted Pricing - Langfuse (Langfuse (ClickHouse))</w:t>
      </w:r>
      <w:r>
        <w:t xml:space="preserve"> </w:t>
      </w:r>
      <w:hyperlink r:id="rId36">
        <w:r>
          <w:rPr>
            <w:rStyle w:val="Hyperlink"/>
          </w:rPr>
          <w:t xml:space="preserve">https://langfuse.com/pricing-self-host</w:t>
        </w:r>
      </w:hyperlink>
      <w:r>
        <w:t xml:space="preserve"> </w:t>
      </w:r>
      <w:r>
        <w:t xml:space="preserve">accessed 2026-10-07 [search-tool extract]</w:t>
      </w:r>
    </w:p>
  </w:footnote>
  <w:footnote w:id="49">
    <w:p>
      <w:pPr>
        <w:pStyle w:val="FootnoteText"/>
      </w:pPr>
      <w:r>
        <w:rPr>
          <w:rStyle w:val="FootnoteReference"/>
        </w:rPr>
        <w:footnoteRef/>
      </w:r>
      <w:r>
        <w:t xml:space="preserve"> </w:t>
      </w:r>
      <w:r>
        <w:t xml:space="preserve">Verified fact — A1-S031: Pricing - Langfuse (Langfuse (ClickHouse))</w:t>
      </w:r>
      <w:r>
        <w:t xml:space="preserve"> </w:t>
      </w:r>
      <w:hyperlink r:id="rId42">
        <w:r>
          <w:rPr>
            <w:rStyle w:val="Hyperlink"/>
          </w:rPr>
          <w:t xml:space="preserve">https://langfuse.com/pricing</w:t>
        </w:r>
      </w:hyperlink>
      <w:r>
        <w:t xml:space="preserve"> </w:t>
      </w:r>
      <w:r>
        <w:t xml:space="preserve">accessed 2026-10-07 [search-tool extract]</w:t>
      </w:r>
    </w:p>
  </w:footnote>
  <w:footnote w:id="51">
    <w:p>
      <w:pPr>
        <w:pStyle w:val="FootnoteText"/>
      </w:pPr>
      <w:r>
        <w:rPr>
          <w:rStyle w:val="FootnoteReference"/>
        </w:rPr>
        <w:footnoteRef/>
      </w:r>
      <w:r>
        <w:t xml:space="preserve"> </w:t>
      </w:r>
      <w:r>
        <w:t xml:space="preserve">Verified fact — A1-S034: Set up LangSmith (deployment options) - Docs by LangChain (LangChain, Inc.)</w:t>
      </w:r>
      <w:r>
        <w:t xml:space="preserve"> </w:t>
      </w:r>
      <w:hyperlink r:id="rId52">
        <w:r>
          <w:rPr>
            <w:rStyle w:val="Hyperlink"/>
          </w:rPr>
          <w:t xml:space="preserve">https://docs.langchain.com/langsmith/platform-setup</w:t>
        </w:r>
      </w:hyperlink>
      <w:r>
        <w:t xml:space="preserve"> </w:t>
      </w:r>
      <w:r>
        <w:t xml:space="preserve">accessed 2026-10-07 [search-tool extract]; A1-S037: Introducing End-to-End OpenTelemetry Support in LangSmith (LangChain, Inc.)</w:t>
      </w:r>
      <w:r>
        <w:t xml:space="preserve"> </w:t>
      </w:r>
      <w:hyperlink r:id="rId53">
        <w:r>
          <w:rPr>
            <w:rStyle w:val="Hyperlink"/>
          </w:rPr>
          <w:t xml:space="preserve">https://www.langchain.com/blog/end-to-end-opentelemetry-langsmith</w:t>
        </w:r>
      </w:hyperlink>
      <w:r>
        <w:t xml:space="preserve"> </w:t>
      </w:r>
      <w:r>
        <w:t xml:space="preserve">accessed 2026-10-07 [search-tool extract]; A1-S039: Everything we shipped at Interrupt (LangChain, Inc.)</w:t>
      </w:r>
      <w:r>
        <w:t xml:space="preserve"> </w:t>
      </w:r>
      <w:hyperlink r:id="rId54">
        <w:r>
          <w:rPr>
            <w:rStyle w:val="Hyperlink"/>
          </w:rPr>
          <w:t xml:space="preserve">https://www.langchain.com/blog/interrupt-2026-overview</w:t>
        </w:r>
      </w:hyperlink>
      <w:r>
        <w:t xml:space="preserve"> </w:t>
      </w:r>
      <w:r>
        <w:t xml:space="preserve">accessed 2026-10-07 [search-tool extract]; A1-S108: LangSmith Python SDK README (LangChain, Inc. (GitHub))</w:t>
      </w:r>
      <w:r>
        <w:t xml:space="preserve"> </w:t>
      </w:r>
      <w:hyperlink r:id="rId55">
        <w:r>
          <w:rPr>
            <w:rStyle w:val="Hyperlink"/>
          </w:rPr>
          <w:t xml:space="preserve">https://raw.githubusercontent.com/langchain-ai/langsmith-sdk/main/python/README.md</w:t>
        </w:r>
      </w:hyperlink>
      <w:r>
        <w:t xml:space="preserve"> </w:t>
      </w:r>
      <w:r>
        <w:t xml:space="preserve">accessed 2026-10-07</w:t>
      </w:r>
    </w:p>
  </w:footnote>
  <w:footnote w:id="56">
    <w:p>
      <w:pPr>
        <w:pStyle w:val="FootnoteText"/>
      </w:pPr>
      <w:r>
        <w:rPr>
          <w:rStyle w:val="FootnoteReference"/>
        </w:rPr>
        <w:footnoteRef/>
      </w:r>
      <w:r>
        <w:t xml:space="preserve"> </w:t>
      </w:r>
      <w:r>
        <w:t xml:space="preserve">Verified fact — A1-S037: Introducing End-to-End OpenTelemetry Support in LangSmith (LangChain, Inc.)</w:t>
      </w:r>
      <w:r>
        <w:t xml:space="preserve"> </w:t>
      </w:r>
      <w:hyperlink r:id="rId53">
        <w:r>
          <w:rPr>
            <w:rStyle w:val="Hyperlink"/>
          </w:rPr>
          <w:t xml:space="preserve">https://www.langchain.com/blog/end-to-end-opentelemetry-langsmith</w:t>
        </w:r>
      </w:hyperlink>
      <w:r>
        <w:t xml:space="preserve"> </w:t>
      </w:r>
      <w:r>
        <w:t xml:space="preserve">accessed 2026-10-07 [search-tool extract]; A1-S039: Everything we shipped at Interrupt (LangChain, Inc.)</w:t>
      </w:r>
      <w:r>
        <w:t xml:space="preserve"> </w:t>
      </w:r>
      <w:hyperlink r:id="rId54">
        <w:r>
          <w:rPr>
            <w:rStyle w:val="Hyperlink"/>
          </w:rPr>
          <w:t xml:space="preserve">https://www.langchain.com/blog/interrupt-2026-overview</w:t>
        </w:r>
      </w:hyperlink>
      <w:r>
        <w:t xml:space="preserve"> </w:t>
      </w:r>
      <w:r>
        <w:t xml:space="preserve">accessed 2026-10-07 [search-tool extract]</w:t>
      </w:r>
    </w:p>
  </w:footnote>
  <w:footnote w:id="57">
    <w:p>
      <w:pPr>
        <w:pStyle w:val="FootnoteText"/>
      </w:pPr>
      <w:r>
        <w:rPr>
          <w:rStyle w:val="FootnoteReference"/>
        </w:rPr>
        <w:footnoteRef/>
      </w:r>
      <w:r>
        <w:t xml:space="preserve"> </w:t>
      </w:r>
      <w:r>
        <w:t xml:space="preserve">Verified fact — A1-S036: LangSmith Regions FAQ - Docs by LangChain (LangChain, Inc.)</w:t>
      </w:r>
      <w:r>
        <w:t xml:space="preserve"> </w:t>
      </w:r>
      <w:hyperlink r:id="rId58">
        <w:r>
          <w:rPr>
            <w:rStyle w:val="Hyperlink"/>
          </w:rPr>
          <w:t xml:space="preserve">https://docs.langchain.com/langsmith/regions-faq</w:t>
        </w:r>
      </w:hyperlink>
      <w:r>
        <w:t xml:space="preserve"> </w:t>
      </w:r>
      <w:r>
        <w:t xml:space="preserve">accessed 2026-10-07 [search-tool extract]; A1-S126: LangSmith Engine security - Docs by LangChain (LangChain, Inc.)</w:t>
      </w:r>
      <w:r>
        <w:t xml:space="preserve"> </w:t>
      </w:r>
      <w:hyperlink r:id="rId59">
        <w:r>
          <w:rPr>
            <w:rStyle w:val="Hyperlink"/>
          </w:rPr>
          <w:t xml:space="preserve">https://docs.langchain.com/langsmith/engine-security</w:t>
        </w:r>
      </w:hyperlink>
      <w:r>
        <w:t xml:space="preserve"> </w:t>
      </w:r>
      <w:r>
        <w:t xml:space="preserve">accessed 2026-10-07 [search-tool extract]</w:t>
      </w:r>
    </w:p>
  </w:footnote>
  <w:footnote w:id="60">
    <w:p>
      <w:pPr>
        <w:pStyle w:val="FootnoteText"/>
      </w:pPr>
      <w:r>
        <w:rPr>
          <w:rStyle w:val="FootnoteReference"/>
        </w:rPr>
        <w:footnoteRef/>
      </w:r>
      <w:r>
        <w:t xml:space="preserve"> </w:t>
      </w:r>
      <w:r>
        <w:t xml:space="preserve">Verified fact — A1-S034: Set up LangSmith (deployment options) - Docs by LangChain (LangChain, Inc.)</w:t>
      </w:r>
      <w:r>
        <w:t xml:space="preserve"> </w:t>
      </w:r>
      <w:hyperlink r:id="rId52">
        <w:r>
          <w:rPr>
            <w:rStyle w:val="Hyperlink"/>
          </w:rPr>
          <w:t xml:space="preserve">https://docs.langchain.com/langsmith/platform-setup</w:t>
        </w:r>
      </w:hyperlink>
      <w:r>
        <w:t xml:space="preserve"> </w:t>
      </w:r>
      <w:r>
        <w:t xml:space="preserve">accessed 2026-10-07 [search-tool extract]</w:t>
      </w:r>
    </w:p>
  </w:footnote>
  <w:footnote w:id="61">
    <w:p>
      <w:pPr>
        <w:pStyle w:val="FootnoteText"/>
      </w:pPr>
      <w:r>
        <w:rPr>
          <w:rStyle w:val="FootnoteReference"/>
        </w:rPr>
        <w:footnoteRef/>
      </w:r>
      <w:r>
        <w:t xml:space="preserve"> </w:t>
      </w:r>
      <w:r>
        <w:t xml:space="preserve">Verified fact — A1-S035: LangSmith Plans and Pricing (LangChain, Inc.)</w:t>
      </w:r>
      <w:r>
        <w:t xml:space="preserve"> </w:t>
      </w:r>
      <w:hyperlink r:id="rId62">
        <w:r>
          <w:rPr>
            <w:rStyle w:val="Hyperlink"/>
          </w:rPr>
          <w:t xml:space="preserve">https://www.langchain.com/pricing</w:t>
        </w:r>
      </w:hyperlink>
      <w:r>
        <w:t xml:space="preserve"> </w:t>
      </w:r>
      <w:r>
        <w:t xml:space="preserve">accessed 2026-10-07 [search-tool extract]</w:t>
      </w:r>
    </w:p>
  </w:footnote>
  <w:footnote w:id="63">
    <w:p>
      <w:pPr>
        <w:pStyle w:val="FootnoteText"/>
      </w:pPr>
      <w:r>
        <w:rPr>
          <w:rStyle w:val="FootnoteReference"/>
        </w:rPr>
        <w:footnoteRef/>
      </w:r>
      <w:r>
        <w:t xml:space="preserve"> </w:t>
      </w:r>
      <w:r>
        <w:t xml:space="preserve">Verified fact — A1-S037: Introducing End-to-End OpenTelemetry Support in LangSmith (LangChain, Inc.)</w:t>
      </w:r>
      <w:r>
        <w:t xml:space="preserve"> </w:t>
      </w:r>
      <w:hyperlink r:id="rId53">
        <w:r>
          <w:rPr>
            <w:rStyle w:val="Hyperlink"/>
          </w:rPr>
          <w:t xml:space="preserve">https://www.langchain.com/blog/end-to-end-opentelemetry-langsmith</w:t>
        </w:r>
      </w:hyperlink>
      <w:r>
        <w:t xml:space="preserve"> </w:t>
      </w:r>
      <w:r>
        <w:t xml:space="preserve">accessed 2026-10-07 [search-tool extract]</w:t>
      </w:r>
    </w:p>
  </w:footnote>
  <w:footnote w:id="64">
    <w:p>
      <w:pPr>
        <w:pStyle w:val="FootnoteText"/>
      </w:pPr>
      <w:r>
        <w:rPr>
          <w:rStyle w:val="FootnoteReference"/>
        </w:rPr>
        <w:footnoteRef/>
      </w:r>
      <w:r>
        <w:t xml:space="preserve"> </w:t>
      </w:r>
      <w:r>
        <w:t xml:space="preserve">Verified fact — A1-S039: Everything we shipped at Interrupt (LangChain, Inc.)</w:t>
      </w:r>
      <w:r>
        <w:t xml:space="preserve"> </w:t>
      </w:r>
      <w:hyperlink r:id="rId54">
        <w:r>
          <w:rPr>
            <w:rStyle w:val="Hyperlink"/>
          </w:rPr>
          <w:t xml:space="preserve">https://www.langchain.com/blog/interrupt-2026-overview</w:t>
        </w:r>
      </w:hyperlink>
      <w:r>
        <w:t xml:space="preserve"> </w:t>
      </w:r>
      <w:r>
        <w:t xml:space="preserve">accessed 2026-10-07 [search-tool extract]</w:t>
      </w:r>
    </w:p>
  </w:footnote>
  <w:footnote w:id="65">
    <w:p>
      <w:pPr>
        <w:pStyle w:val="FootnoteText"/>
      </w:pPr>
      <w:r>
        <w:rPr>
          <w:rStyle w:val="FootnoteReference"/>
        </w:rPr>
        <w:footnoteRef/>
      </w:r>
      <w:r>
        <w:t xml:space="preserve"> </w:t>
      </w:r>
      <w:r>
        <w:t xml:space="preserve">Verified fact — A1-S034: Set up LangSmith (deployment options) - Docs by LangChain (LangChain, Inc.)</w:t>
      </w:r>
      <w:r>
        <w:t xml:space="preserve"> </w:t>
      </w:r>
      <w:hyperlink r:id="rId52">
        <w:r>
          <w:rPr>
            <w:rStyle w:val="Hyperlink"/>
          </w:rPr>
          <w:t xml:space="preserve">https://docs.langchain.com/langsmith/platform-setup</w:t>
        </w:r>
      </w:hyperlink>
      <w:r>
        <w:t xml:space="preserve"> </w:t>
      </w:r>
      <w:r>
        <w:t xml:space="preserve">accessed 2026-10-07 [search-tool extract]</w:t>
      </w:r>
    </w:p>
  </w:footnote>
  <w:footnote w:id="66">
    <w:p>
      <w:pPr>
        <w:pStyle w:val="FootnoteText"/>
      </w:pPr>
      <w:r>
        <w:rPr>
          <w:rStyle w:val="FootnoteReference"/>
        </w:rPr>
        <w:footnoteRef/>
      </w:r>
      <w:r>
        <w:t xml:space="preserve"> </w:t>
      </w:r>
      <w:r>
        <w:t xml:space="preserve">Verified fact — A1-S035: LangSmith Plans and Pricing (LangChain, Inc.)</w:t>
      </w:r>
      <w:r>
        <w:t xml:space="preserve"> </w:t>
      </w:r>
      <w:hyperlink r:id="rId62">
        <w:r>
          <w:rPr>
            <w:rStyle w:val="Hyperlink"/>
          </w:rPr>
          <w:t xml:space="preserve">https://www.langchain.com/pricing</w:t>
        </w:r>
      </w:hyperlink>
      <w:r>
        <w:t xml:space="preserve"> </w:t>
      </w:r>
      <w:r>
        <w:t xml:space="preserve">accessed 2026-10-07 [search-tool extract]</w:t>
      </w:r>
    </w:p>
  </w:footnote>
  <w:footnote w:id="67">
    <w:p>
      <w:pPr>
        <w:pStyle w:val="FootnoteText"/>
      </w:pPr>
      <w:r>
        <w:rPr>
          <w:rStyle w:val="FootnoteReference"/>
        </w:rPr>
        <w:footnoteRef/>
      </w:r>
      <w:r>
        <w:t xml:space="preserve"> </w:t>
      </w:r>
      <w:r>
        <w:t xml:space="preserve">Verified fact — A1-S039: Everything we shipped at Interrupt (LangChain, Inc.)</w:t>
      </w:r>
      <w:r>
        <w:t xml:space="preserve"> </w:t>
      </w:r>
      <w:hyperlink r:id="rId54">
        <w:r>
          <w:rPr>
            <w:rStyle w:val="Hyperlink"/>
          </w:rPr>
          <w:t xml:space="preserve">https://www.langchain.com/blog/interrupt-2026-overview</w:t>
        </w:r>
      </w:hyperlink>
      <w:r>
        <w:t xml:space="preserve"> </w:t>
      </w:r>
      <w:r>
        <w:t xml:space="preserve">accessed 2026-10-07 [search-tool extract]</w:t>
      </w:r>
    </w:p>
  </w:footnote>
  <w:footnote w:id="69">
    <w:p>
      <w:pPr>
        <w:pStyle w:val="FootnoteText"/>
      </w:pPr>
      <w:r>
        <w:rPr>
          <w:rStyle w:val="FootnoteReference"/>
        </w:rPr>
        <w:footnoteRef/>
      </w:r>
      <w:r>
        <w:t xml:space="preserve"> </w:t>
      </w:r>
      <w:r>
        <w:t xml:space="preserve">Verified fact — A1-S067: Opik README (Comet ML (GitHub))</w:t>
      </w:r>
      <w:r>
        <w:t xml:space="preserve"> </w:t>
      </w:r>
      <w:hyperlink r:id="rId70">
        <w:r>
          <w:rPr>
            <w:rStyle w:val="Hyperlink"/>
          </w:rPr>
          <w:t xml:space="preserve">https://raw.githubusercontent.com/comet-ml/opik/main/README.md</w:t>
        </w:r>
      </w:hyperlink>
      <w:r>
        <w:t xml:space="preserve"> </w:t>
      </w:r>
      <w:r>
        <w:t xml:space="preserve">accessed 2026-10-07; A1-S070: Opik OpenTelemetry integration docs (Comet ML (Opik docs source))</w:t>
      </w:r>
      <w:r>
        <w:t xml:space="preserve"> </w:t>
      </w:r>
      <w:hyperlink r:id="rId71">
        <w:r>
          <w:rPr>
            <w:rStyle w:val="Hyperlink"/>
          </w:rPr>
          <w:t xml:space="preserve">https://raw.githubusercontent.com/comet-ml/opik/main/apps/opik-documentation/documentation/fern/docs-v2/integrations/opentelemetry.mdx</w:t>
        </w:r>
      </w:hyperlink>
      <w:r>
        <w:t xml:space="preserve"> </w:t>
      </w:r>
      <w:r>
        <w:t xml:space="preserve">accessed 2026-10-07; A1-S072: Opik Online Evaluation rules (Comet ML (Opik docs source))</w:t>
      </w:r>
      <w:r>
        <w:t xml:space="preserve"> </w:t>
      </w:r>
      <w:hyperlink r:id="rId72">
        <w:r>
          <w:rPr>
            <w:rStyle w:val="Hyperlink"/>
          </w:rPr>
          <w:t xml:space="preserve">https://raw.githubusercontent.com/comet-ml/opik/main/apps/opik-documentation/documentation/fern/docs-v2/production/online-evaluation/rules.mdx</w:t>
        </w:r>
      </w:hyperlink>
      <w:r>
        <w:t xml:space="preserve"> </w:t>
      </w:r>
      <w:r>
        <w:t xml:space="preserve">accessed 2026-10-07</w:t>
      </w:r>
    </w:p>
  </w:footnote>
  <w:footnote w:id="73">
    <w:p>
      <w:pPr>
        <w:pStyle w:val="FootnoteText"/>
      </w:pPr>
      <w:r>
        <w:rPr>
          <w:rStyle w:val="FootnoteReference"/>
        </w:rPr>
        <w:footnoteRef/>
      </w:r>
      <w:r>
        <w:t xml:space="preserve"> </w:t>
      </w:r>
      <w:r>
        <w:t xml:space="preserve">Verified fact — A1-S050: Opik LICENSE (Apache-2.0, Comet ML) (Comet ML (GitHub))</w:t>
      </w:r>
      <w:r>
        <w:t xml:space="preserve"> </w:t>
      </w:r>
      <w:hyperlink r:id="rId74">
        <w:r>
          <w:rPr>
            <w:rStyle w:val="Hyperlink"/>
          </w:rPr>
          <w:t xml:space="preserve">https://raw.githubusercontent.com/comet-ml/opik/main/LICENSE</w:t>
        </w:r>
      </w:hyperlink>
      <w:r>
        <w:t xml:space="preserve"> </w:t>
      </w:r>
      <w:r>
        <w:t xml:space="preserve">accessed 2026-10-07; A1-S067: Opik README (Comet ML (GitHub))</w:t>
      </w:r>
      <w:r>
        <w:t xml:space="preserve"> </w:t>
      </w:r>
      <w:hyperlink r:id="rId70">
        <w:r>
          <w:rPr>
            <w:rStyle w:val="Hyperlink"/>
          </w:rPr>
          <w:t xml:space="preserve">https://raw.githubusercontent.com/comet-ml/opik/main/README.md</w:t>
        </w:r>
      </w:hyperlink>
      <w:r>
        <w:t xml:space="preserve"> </w:t>
      </w:r>
      <w:r>
        <w:t xml:space="preserve">accessed 2026-10-07</w:t>
      </w:r>
    </w:p>
  </w:footnote>
  <w:footnote w:id="75">
    <w:p>
      <w:pPr>
        <w:pStyle w:val="FootnoteText"/>
      </w:pPr>
      <w:r>
        <w:rPr>
          <w:rStyle w:val="FootnoteReference"/>
        </w:rPr>
        <w:footnoteRef/>
      </w:r>
      <w:r>
        <w:t xml:space="preserve"> </w:t>
      </w:r>
      <w:r>
        <w:t xml:space="preserve">Verified fact — A1-S072: Opik Online Evaluation rules (Comet ML (Opik docs source))</w:t>
      </w:r>
      <w:r>
        <w:t xml:space="preserve"> </w:t>
      </w:r>
      <w:hyperlink r:id="rId72">
        <w:r>
          <w:rPr>
            <w:rStyle w:val="Hyperlink"/>
          </w:rPr>
          <w:t xml:space="preserve">https://raw.githubusercontent.com/comet-ml/opik/main/apps/opik-documentation/documentation/fern/docs-v2/production/online-evaluation/rules.mdx</w:t>
        </w:r>
      </w:hyperlink>
      <w:r>
        <w:t xml:space="preserve"> </w:t>
      </w:r>
      <w:r>
        <w:t xml:space="preserve">accessed 2026-10-07</w:t>
      </w:r>
    </w:p>
  </w:footnote>
  <w:footnote w:id="76">
    <w:p>
      <w:pPr>
        <w:pStyle w:val="FootnoteText"/>
      </w:pPr>
      <w:r>
        <w:rPr>
          <w:rStyle w:val="FootnoteReference"/>
        </w:rPr>
        <w:footnoteRef/>
      </w:r>
      <w:r>
        <w:t xml:space="preserve"> </w:t>
      </w:r>
      <w:r>
        <w:t xml:space="preserve">Verified fact — A1-S122: Comet Trust Center (Comet ML, Inc.)</w:t>
      </w:r>
      <w:r>
        <w:t xml:space="preserve"> </w:t>
      </w:r>
      <w:hyperlink r:id="rId77">
        <w:r>
          <w:rPr>
            <w:rStyle w:val="Hyperlink"/>
          </w:rPr>
          <w:t xml:space="preserve">https://trust.comet.com/</w:t>
        </w:r>
      </w:hyperlink>
      <w:r>
        <w:t xml:space="preserve"> </w:t>
      </w:r>
      <w:r>
        <w:t xml:space="preserve">accessed 2026-10-07 [search-tool extract]</w:t>
      </w:r>
    </w:p>
  </w:footnote>
  <w:footnote w:id="78">
    <w:p>
      <w:pPr>
        <w:pStyle w:val="FootnoteText"/>
      </w:pPr>
      <w:r>
        <w:rPr>
          <w:rStyle w:val="FootnoteReference"/>
        </w:rPr>
        <w:footnoteRef/>
      </w:r>
      <w:r>
        <w:t xml:space="preserve"> </w:t>
      </w:r>
      <w:r>
        <w:t xml:space="preserve">Verified fact — A1-S123: Comet pricing (Opik plans) (Comet ML, Inc.)</w:t>
      </w:r>
      <w:r>
        <w:t xml:space="preserve"> </w:t>
      </w:r>
      <w:hyperlink r:id="rId79">
        <w:r>
          <w:rPr>
            <w:rStyle w:val="Hyperlink"/>
          </w:rPr>
          <w:t xml:space="preserve">https://www.comet.com/site/pricing/</w:t>
        </w:r>
      </w:hyperlink>
      <w:r>
        <w:t xml:space="preserve"> </w:t>
      </w:r>
      <w:r>
        <w:t xml:space="preserve">accessed 2026-10-07 [search-tool extract]</w:t>
      </w:r>
    </w:p>
  </w:footnote>
  <w:footnote w:id="80">
    <w:p>
      <w:pPr>
        <w:pStyle w:val="FootnoteText"/>
      </w:pPr>
      <w:r>
        <w:rPr>
          <w:rStyle w:val="FootnoteReference"/>
        </w:rPr>
        <w:footnoteRef/>
      </w:r>
      <w:r>
        <w:t xml:space="preserve"> </w:t>
      </w:r>
      <w:r>
        <w:t xml:space="preserve">Verified fact — A1-S069: Self-Hosting Opik: Overview (Comet ML (Opik docs source))</w:t>
      </w:r>
      <w:r>
        <w:t xml:space="preserve"> </w:t>
      </w:r>
      <w:hyperlink r:id="rId81">
        <w:r>
          <w:rPr>
            <w:rStyle w:val="Hyperlink"/>
          </w:rPr>
          <w:t xml:space="preserve">https://raw.githubusercontent.com/comet-ml/opik/main/apps/opik-documentation/documentation/fern/docs-v2/self-host/overview.mdx</w:t>
        </w:r>
      </w:hyperlink>
      <w:r>
        <w:t xml:space="preserve"> </w:t>
      </w:r>
      <w:r>
        <w:t xml:space="preserve">accessed 2026-10-07; A1-S122: Comet Trust Center (Comet ML, Inc.)</w:t>
      </w:r>
      <w:r>
        <w:t xml:space="preserve"> </w:t>
      </w:r>
      <w:hyperlink r:id="rId77">
        <w:r>
          <w:rPr>
            <w:rStyle w:val="Hyperlink"/>
          </w:rPr>
          <w:t xml:space="preserve">https://trust.comet.com/</w:t>
        </w:r>
      </w:hyperlink>
      <w:r>
        <w:t xml:space="preserve"> </w:t>
      </w:r>
      <w:r>
        <w:t xml:space="preserve">accessed 2026-10-07 [search-tool extract]; A1-S123: Comet pricing (Opik plans) (Comet ML, Inc.)</w:t>
      </w:r>
      <w:r>
        <w:t xml:space="preserve"> </w:t>
      </w:r>
      <w:hyperlink r:id="rId79">
        <w:r>
          <w:rPr>
            <w:rStyle w:val="Hyperlink"/>
          </w:rPr>
          <w:t xml:space="preserve">https://www.comet.com/site/pricing/</w:t>
        </w:r>
      </w:hyperlink>
      <w:r>
        <w:t xml:space="preserve"> </w:t>
      </w:r>
      <w:r>
        <w:t xml:space="preserve">accessed 2026-10-07 [search-tool extract]; B-REV-S022: Opik: Roles and Permissions (and SSO pages) (Comet ML, Inc.)</w:t>
      </w:r>
      <w:r>
        <w:t xml:space="preserve"> </w:t>
      </w:r>
      <w:hyperlink r:id="rId82">
        <w:r>
          <w:rPr>
            <w:rStyle w:val="Hyperlink"/>
          </w:rPr>
          <w:t xml:space="preserve">https://www.comet.com/docs/opik/administration/roles_and_permissions</w:t>
        </w:r>
      </w:hyperlink>
      <w:r>
        <w:t xml:space="preserve"> </w:t>
      </w:r>
      <w:r>
        <w:t xml:space="preserve">accessed 2026-10-08 [search-tool extract]</w:t>
      </w:r>
    </w:p>
  </w:footnote>
  <w:footnote w:id="83">
    <w:p>
      <w:pPr>
        <w:pStyle w:val="FootnoteText"/>
      </w:pPr>
      <w:r>
        <w:rPr>
          <w:rStyle w:val="FootnoteReference"/>
        </w:rPr>
        <w:footnoteRef/>
      </w:r>
      <w:r>
        <w:t xml:space="preserve"> </w:t>
      </w:r>
      <w:r>
        <w:t xml:space="preserve">Verified fact — A1-S069: Self-Hosting Opik: Overview (Comet ML (Opik docs source))</w:t>
      </w:r>
      <w:r>
        <w:t xml:space="preserve"> </w:t>
      </w:r>
      <w:hyperlink r:id="rId81">
        <w:r>
          <w:rPr>
            <w:rStyle w:val="Hyperlink"/>
          </w:rPr>
          <w:t xml:space="preserve">https://raw.githubusercontent.com/comet-ml/opik/main/apps/opik-documentation/documentation/fern/docs-v2/self-host/overview.mdx</w:t>
        </w:r>
      </w:hyperlink>
      <w:r>
        <w:t xml:space="preserve"> </w:t>
      </w:r>
      <w:r>
        <w:t xml:space="preserve">accessed 2026-10-07</w:t>
      </w:r>
    </w:p>
  </w:footnote>
  <w:footnote w:id="84">
    <w:p>
      <w:pPr>
        <w:pStyle w:val="FootnoteText"/>
      </w:pPr>
      <w:r>
        <w:rPr>
          <w:rStyle w:val="FootnoteReference"/>
        </w:rPr>
        <w:footnoteRef/>
      </w:r>
      <w:r>
        <w:t xml:space="preserve"> </w:t>
      </w:r>
      <w:r>
        <w:t xml:space="preserve">Verified fact — A1-S070: Opik OpenTelemetry integration docs (Comet ML (Opik docs source))</w:t>
      </w:r>
      <w:r>
        <w:t xml:space="preserve"> </w:t>
      </w:r>
      <w:hyperlink r:id="rId71">
        <w:r>
          <w:rPr>
            <w:rStyle w:val="Hyperlink"/>
          </w:rPr>
          <w:t xml:space="preserve">https://raw.githubusercontent.com/comet-ml/opik/main/apps/opik-documentation/documentation/fern/docs-v2/integrations/opentelemetry.mdx</w:t>
        </w:r>
      </w:hyperlink>
      <w:r>
        <w:t xml:space="preserve"> </w:t>
      </w:r>
      <w:r>
        <w:t xml:space="preserve">accessed 2026-10-07</w:t>
      </w:r>
    </w:p>
  </w:footnote>
  <w:footnote w:id="85">
    <w:p>
      <w:pPr>
        <w:pStyle w:val="FootnoteText"/>
      </w:pPr>
      <w:r>
        <w:rPr>
          <w:rStyle w:val="FootnoteReference"/>
        </w:rPr>
        <w:footnoteRef/>
      </w:r>
      <w:r>
        <w:t xml:space="preserve"> </w:t>
      </w:r>
      <w:r>
        <w:t xml:space="preserve">Verified fact — A1-S006: PyPI JSON metadata: opik (Python Package Index)</w:t>
      </w:r>
      <w:r>
        <w:t xml:space="preserve"> </w:t>
      </w:r>
      <w:hyperlink r:id="rId86">
        <w:r>
          <w:rPr>
            <w:rStyle w:val="Hyperlink"/>
          </w:rPr>
          <w:t xml:space="preserve">https://pypi.org/pypi/opik/json</w:t>
        </w:r>
      </w:hyperlink>
      <w:r>
        <w:t xml:space="preserve"> </w:t>
      </w:r>
      <w:r>
        <w:t xml:space="preserve">accessed 2026-10-07</w:t>
      </w:r>
    </w:p>
  </w:footnote>
  <w:footnote w:id="88">
    <w:p>
      <w:pPr>
        <w:pStyle w:val="FootnoteText"/>
      </w:pPr>
      <w:r>
        <w:rPr>
          <w:rStyle w:val="FootnoteReference"/>
        </w:rPr>
        <w:footnoteRef/>
      </w:r>
      <w:r>
        <w:t xml:space="preserve"> </w:t>
      </w:r>
      <w:r>
        <w:t xml:space="preserve">Verified fact — A1-S046: Arize Phoenix or Arize AX - Phoenix docs (Arize AI)</w:t>
      </w:r>
      <w:r>
        <w:t xml:space="preserve"> </w:t>
      </w:r>
      <w:hyperlink r:id="rId89">
        <w:r>
          <w:rPr>
            <w:rStyle w:val="Hyperlink"/>
          </w:rPr>
          <w:t xml:space="preserve">https://arize.com/docs/phoenix/resources/frequently-asked-questions/what-is-the-difference-between-phoenix-and-arize</w:t>
        </w:r>
      </w:hyperlink>
      <w:r>
        <w:t xml:space="preserve"> </w:t>
      </w:r>
      <w:r>
        <w:t xml:space="preserve">accessed 2026-10-07 [search-tool extract]; A1-S047: Arize AX Pricing: AI agent observability and evaluation (Arize AI)</w:t>
      </w:r>
      <w:r>
        <w:t xml:space="preserve"> </w:t>
      </w:r>
      <w:hyperlink r:id="rId90">
        <w:r>
          <w:rPr>
            <w:rStyle w:val="Hyperlink"/>
          </w:rPr>
          <w:t xml:space="preserve">https://arize.com/pricing/</w:t>
        </w:r>
      </w:hyperlink>
      <w:r>
        <w:t xml:space="preserve"> </w:t>
      </w:r>
      <w:r>
        <w:t xml:space="preserve">accessed 2026-10-07 [search-tool extract]</w:t>
      </w:r>
    </w:p>
  </w:footnote>
  <w:footnote w:id="91">
    <w:p>
      <w:pPr>
        <w:pStyle w:val="FootnoteText"/>
      </w:pPr>
      <w:r>
        <w:rPr>
          <w:rStyle w:val="FootnoteReference"/>
        </w:rPr>
        <w:footnoteRef/>
      </w:r>
      <w:r>
        <w:t xml:space="preserve"> </w:t>
      </w:r>
      <w:r>
        <w:t xml:space="preserve">Verified fact — A1-S046: Arize Phoenix or Arize AX - Phoenix docs (Arize AI)</w:t>
      </w:r>
      <w:r>
        <w:t xml:space="preserve"> </w:t>
      </w:r>
      <w:hyperlink r:id="rId89">
        <w:r>
          <w:rPr>
            <w:rStyle w:val="Hyperlink"/>
          </w:rPr>
          <w:t xml:space="preserve">https://arize.com/docs/phoenix/resources/frequently-asked-questions/what-is-the-difference-between-phoenix-and-arize</w:t>
        </w:r>
      </w:hyperlink>
      <w:r>
        <w:t xml:space="preserve"> </w:t>
      </w:r>
      <w:r>
        <w:t xml:space="preserve">accessed 2026-10-07 [search-tool extract]; A1-S049: OpenInference LICENSE (Apache-2.0) (Arize AI (GitHub))</w:t>
      </w:r>
      <w:r>
        <w:t xml:space="preserve"> </w:t>
      </w:r>
      <w:hyperlink r:id="rId92">
        <w:r>
          <w:rPr>
            <w:rStyle w:val="Hyperlink"/>
          </w:rPr>
          <w:t xml:space="preserve">https://raw.githubusercontent.com/Arize-ai/openinference/main/LICENSE</w:t>
        </w:r>
      </w:hyperlink>
      <w:r>
        <w:t xml:space="preserve"> </w:t>
      </w:r>
      <w:r>
        <w:t xml:space="preserve">accessed 2026-10-07</w:t>
      </w:r>
    </w:p>
  </w:footnote>
  <w:footnote w:id="93">
    <w:p>
      <w:pPr>
        <w:pStyle w:val="FootnoteText"/>
      </w:pPr>
      <w:r>
        <w:rPr>
          <w:rStyle w:val="FootnoteReference"/>
        </w:rPr>
        <w:footnoteRef/>
      </w:r>
      <w:r>
        <w:t xml:space="preserve"> </w:t>
      </w:r>
      <w:r>
        <w:t xml:space="preserve">Verified fact — A1-S046: Arize Phoenix or Arize AX - Phoenix docs (Arize AI)</w:t>
      </w:r>
      <w:r>
        <w:t xml:space="preserve"> </w:t>
      </w:r>
      <w:hyperlink r:id="rId89">
        <w:r>
          <w:rPr>
            <w:rStyle w:val="Hyperlink"/>
          </w:rPr>
          <w:t xml:space="preserve">https://arize.com/docs/phoenix/resources/frequently-asked-questions/what-is-the-difference-between-phoenix-and-arize</w:t>
        </w:r>
      </w:hyperlink>
      <w:r>
        <w:t xml:space="preserve"> </w:t>
      </w:r>
      <w:r>
        <w:t xml:space="preserve">accessed 2026-10-07 [search-tool extract]; A1-S047: Arize AX Pricing: AI agent observability and evaluation (Arize AI)</w:t>
      </w:r>
      <w:r>
        <w:t xml:space="preserve"> </w:t>
      </w:r>
      <w:hyperlink r:id="rId90">
        <w:r>
          <w:rPr>
            <w:rStyle w:val="Hyperlink"/>
          </w:rPr>
          <w:t xml:space="preserve">https://arize.com/pricing/</w:t>
        </w:r>
      </w:hyperlink>
      <w:r>
        <w:t xml:space="preserve"> </w:t>
      </w:r>
      <w:r>
        <w:t xml:space="preserve">accessed 2026-10-07 [search-tool extract]</w:t>
      </w:r>
    </w:p>
  </w:footnote>
  <w:footnote w:id="94">
    <w:p>
      <w:pPr>
        <w:pStyle w:val="FootnoteText"/>
      </w:pPr>
      <w:r>
        <w:rPr>
          <w:rStyle w:val="FootnoteReference"/>
        </w:rPr>
        <w:footnoteRef/>
      </w:r>
      <w:r>
        <w:t xml:space="preserve"> </w:t>
      </w:r>
      <w:r>
        <w:t xml:space="preserve">Verified fact — A1-S046: Arize Phoenix or Arize AX - Phoenix docs (Arize AI)</w:t>
      </w:r>
      <w:r>
        <w:t xml:space="preserve"> </w:t>
      </w:r>
      <w:hyperlink r:id="rId89">
        <w:r>
          <w:rPr>
            <w:rStyle w:val="Hyperlink"/>
          </w:rPr>
          <w:t xml:space="preserve">https://arize.com/docs/phoenix/resources/frequently-asked-questions/what-is-the-difference-between-phoenix-and-arize</w:t>
        </w:r>
      </w:hyperlink>
      <w:r>
        <w:t xml:space="preserve"> </w:t>
      </w:r>
      <w:r>
        <w:t xml:space="preserve">accessed 2026-10-07 [search-tool extract]; A1-S124: Compliance - Arize AX Docs (Arize AI)</w:t>
      </w:r>
      <w:r>
        <w:t xml:space="preserve"> </w:t>
      </w:r>
      <w:hyperlink r:id="rId95">
        <w:r>
          <w:rPr>
            <w:rStyle w:val="Hyperlink"/>
          </w:rPr>
          <w:t xml:space="preserve">https://arize.com/docs/ax/security-and-settings/compliance</w:t>
        </w:r>
      </w:hyperlink>
      <w:r>
        <w:t xml:space="preserve"> </w:t>
      </w:r>
      <w:r>
        <w:t xml:space="preserve">accessed 2026-10-07 [search-tool extract]</w:t>
      </w:r>
    </w:p>
  </w:footnote>
  <w:footnote w:id="96">
    <w:p>
      <w:pPr>
        <w:pStyle w:val="FootnoteText"/>
      </w:pPr>
      <w:r>
        <w:rPr>
          <w:rStyle w:val="FootnoteReference"/>
        </w:rPr>
        <w:footnoteRef/>
      </w:r>
      <w:r>
        <w:t xml:space="preserve"> </w:t>
      </w:r>
      <w:r>
        <w:t xml:space="preserve">Verified fact — A1-S124: Compliance - Arize AX Docs (Arize AI)</w:t>
      </w:r>
      <w:r>
        <w:t xml:space="preserve"> </w:t>
      </w:r>
      <w:hyperlink r:id="rId95">
        <w:r>
          <w:rPr>
            <w:rStyle w:val="Hyperlink"/>
          </w:rPr>
          <w:t xml:space="preserve">https://arize.com/docs/ax/security-and-settings/compliance</w:t>
        </w:r>
      </w:hyperlink>
      <w:r>
        <w:t xml:space="preserve"> </w:t>
      </w:r>
      <w:r>
        <w:t xml:space="preserve">accessed 2026-10-07 [search-tool extract]; A1-S047: Arize AX Pricing: AI agent observability and evaluation (Arize AI)</w:t>
      </w:r>
      <w:r>
        <w:t xml:space="preserve"> </w:t>
      </w:r>
      <w:hyperlink r:id="rId90">
        <w:r>
          <w:rPr>
            <w:rStyle w:val="Hyperlink"/>
          </w:rPr>
          <w:t xml:space="preserve">https://arize.com/pricing/</w:t>
        </w:r>
      </w:hyperlink>
      <w:r>
        <w:t xml:space="preserve"> </w:t>
      </w:r>
      <w:r>
        <w:t xml:space="preserve">accessed 2026-10-07 [search-tool extract]</w:t>
      </w:r>
    </w:p>
  </w:footnote>
  <w:footnote w:id="97">
    <w:p>
      <w:pPr>
        <w:pStyle w:val="FootnoteText"/>
      </w:pPr>
      <w:r>
        <w:rPr>
          <w:rStyle w:val="FootnoteReference"/>
        </w:rPr>
        <w:footnoteRef/>
      </w:r>
      <w:r>
        <w:t xml:space="preserve"> </w:t>
      </w:r>
      <w:r>
        <w:t xml:space="preserve">Verified fact — A1-S045: Dynatrace Completes Acquisition of Arize, Extending AI Observability Across the Full Development Lifecycle (Dynatrace, Inc.)</w:t>
      </w:r>
      <w:r>
        <w:t xml:space="preserve"> </w:t>
      </w:r>
      <w:hyperlink r:id="rId98">
        <w:r>
          <w:rPr>
            <w:rStyle w:val="Hyperlink"/>
          </w:rPr>
          <w:t xml:space="preserve">https://ir.dynatrace.com/news-events/press-releases/detail/439/dynatrace-completes-acquisition-of-arize-extending-ai-observability-across-the-full-development-lifecycle</w:t>
        </w:r>
      </w:hyperlink>
      <w:r>
        <w:t xml:space="preserve"> </w:t>
      </w:r>
      <w:r>
        <w:t xml:space="preserve">accessed 2026-10-07 [search-tool extract]; V1-S005: Dynatrace Completes Acquisition of Arize (IR press release) (Dynatrace, Inc.)</w:t>
      </w:r>
      <w:r>
        <w:t xml:space="preserve"> </w:t>
      </w:r>
      <w:hyperlink r:id="rId98">
        <w:r>
          <w:rPr>
            <w:rStyle w:val="Hyperlink"/>
          </w:rPr>
          <w:t xml:space="preserve">https://ir.dynatrace.com/news-events/press-releases/detail/439/dynatrace-completes-acquisition-of-arize-extending-ai-observability-across-the-full-development-lifecycle</w:t>
        </w:r>
      </w:hyperlink>
      <w:r>
        <w:t xml:space="preserve"> </w:t>
      </w:r>
      <w:r>
        <w:t xml:space="preserve">accessed 2026-10-08 [search-tool extract]</w:t>
      </w:r>
    </w:p>
  </w:footnote>
  <w:footnote w:id="99">
    <w:p>
      <w:pPr>
        <w:pStyle w:val="FootnoteText"/>
      </w:pPr>
      <w:r>
        <w:rPr>
          <w:rStyle w:val="FootnoteReference"/>
        </w:rPr>
        <w:footnoteRef/>
      </w:r>
      <w:r>
        <w:t xml:space="preserve"> </w:t>
      </w:r>
      <w:r>
        <w:t xml:space="preserve">Verified fact — A1-S046: Arize Phoenix or Arize AX - Phoenix docs (Arize AI)</w:t>
      </w:r>
      <w:r>
        <w:t xml:space="preserve"> </w:t>
      </w:r>
      <w:hyperlink r:id="rId89">
        <w:r>
          <w:rPr>
            <w:rStyle w:val="Hyperlink"/>
          </w:rPr>
          <w:t xml:space="preserve">https://arize.com/docs/phoenix/resources/frequently-asked-questions/what-is-the-difference-between-phoenix-and-arize</w:t>
        </w:r>
      </w:hyperlink>
      <w:r>
        <w:t xml:space="preserve"> </w:t>
      </w:r>
      <w:r>
        <w:t xml:space="preserve">accessed 2026-10-07 [search-tool extract]</w:t>
      </w:r>
    </w:p>
  </w:footnote>
  <w:footnote w:id="100">
    <w:p>
      <w:pPr>
        <w:pStyle w:val="FootnoteText"/>
      </w:pPr>
      <w:r>
        <w:rPr>
          <w:rStyle w:val="FootnoteReference"/>
        </w:rPr>
        <w:footnoteRef/>
      </w:r>
      <w:r>
        <w:t xml:space="preserve"> </w:t>
      </w:r>
      <w:r>
        <w:t xml:space="preserve">Verified fact — A1-S124: Compliance - Arize AX Docs (Arize AI)</w:t>
      </w:r>
      <w:r>
        <w:t xml:space="preserve"> </w:t>
      </w:r>
      <w:hyperlink r:id="rId95">
        <w:r>
          <w:rPr>
            <w:rStyle w:val="Hyperlink"/>
          </w:rPr>
          <w:t xml:space="preserve">https://arize.com/docs/ax/security-and-settings/compliance</w:t>
        </w:r>
      </w:hyperlink>
      <w:r>
        <w:t xml:space="preserve"> </w:t>
      </w:r>
      <w:r>
        <w:t xml:space="preserve">accessed 2026-10-07 [search-tool extract]; V1-S084: Compliance - Arize AX Docs; Arize AX pricing; self-hosted page (Arize AI)</w:t>
      </w:r>
      <w:r>
        <w:t xml:space="preserve"> </w:t>
      </w:r>
      <w:hyperlink r:id="rId95">
        <w:r>
          <w:rPr>
            <w:rStyle w:val="Hyperlink"/>
          </w:rPr>
          <w:t xml:space="preserve">https://arize.com/docs/ax/security-and-settings/compliance</w:t>
        </w:r>
      </w:hyperlink>
      <w:r>
        <w:t xml:space="preserve"> </w:t>
      </w:r>
      <w:r>
        <w:t xml:space="preserve">accessed 2026-10-08 [search-tool extract]</w:t>
      </w:r>
    </w:p>
  </w:footnote>
  <w:footnote w:id="101">
    <w:p>
      <w:pPr>
        <w:pStyle w:val="FootnoteText"/>
      </w:pPr>
      <w:r>
        <w:rPr>
          <w:rStyle w:val="FootnoteReference"/>
        </w:rPr>
        <w:footnoteRef/>
      </w:r>
      <w:r>
        <w:t xml:space="preserve"> </w:t>
      </w:r>
      <w:r>
        <w:t xml:space="preserve">Verified fact — A1-S047: Arize AX Pricing: AI agent observability and evaluation (Arize AI)</w:t>
      </w:r>
      <w:r>
        <w:t xml:space="preserve"> </w:t>
      </w:r>
      <w:hyperlink r:id="rId90">
        <w:r>
          <w:rPr>
            <w:rStyle w:val="Hyperlink"/>
          </w:rPr>
          <w:t xml:space="preserve">https://arize.com/pricing/</w:t>
        </w:r>
      </w:hyperlink>
      <w:r>
        <w:t xml:space="preserve"> </w:t>
      </w:r>
      <w:r>
        <w:t xml:space="preserve">accessed 2026-10-07 [search-tool extract]</w:t>
      </w:r>
    </w:p>
  </w:footnote>
  <w:footnote w:id="103">
    <w:p>
      <w:pPr>
        <w:pStyle w:val="FootnoteText"/>
      </w:pPr>
      <w:r>
        <w:rPr>
          <w:rStyle w:val="FootnoteReference"/>
        </w:rPr>
        <w:footnoteRef/>
      </w:r>
      <w:r>
        <w:t xml:space="preserve"> </w:t>
      </w:r>
      <w:r>
        <w:t xml:space="preserve">Verified fact — A1-S068: DeepEval README (Confident AI (GitHub))</w:t>
      </w:r>
      <w:r>
        <w:t xml:space="preserve"> </w:t>
      </w:r>
      <w:hyperlink r:id="rId104">
        <w:r>
          <w:rPr>
            <w:rStyle w:val="Hyperlink"/>
          </w:rPr>
          <w:t xml:space="preserve">https://raw.githubusercontent.com/confident-ai/deepeval/main/README.md</w:t>
        </w:r>
      </w:hyperlink>
      <w:r>
        <w:t xml:space="preserve"> </w:t>
      </w:r>
      <w:r>
        <w:t xml:space="preserve">accessed 2026-10-07</w:t>
      </w:r>
    </w:p>
  </w:footnote>
  <w:footnote w:id="105">
    <w:p>
      <w:pPr>
        <w:pStyle w:val="FootnoteText"/>
      </w:pPr>
      <w:r>
        <w:rPr>
          <w:rStyle w:val="FootnoteReference"/>
        </w:rPr>
        <w:footnoteRef/>
      </w:r>
      <w:r>
        <w:t xml:space="preserve"> </w:t>
      </w:r>
      <w:r>
        <w:t xml:space="preserve">Verified fact — A1-S068: DeepEval README (Confident AI (GitHub))</w:t>
      </w:r>
      <w:r>
        <w:t xml:space="preserve"> </w:t>
      </w:r>
      <w:hyperlink r:id="rId104">
        <w:r>
          <w:rPr>
            <w:rStyle w:val="Hyperlink"/>
          </w:rPr>
          <w:t xml:space="preserve">https://raw.githubusercontent.com/confident-ai/deepeval/main/README.md</w:t>
        </w:r>
      </w:hyperlink>
      <w:r>
        <w:t xml:space="preserve"> </w:t>
      </w:r>
      <w:r>
        <w:t xml:space="preserve">accessed 2026-10-07</w:t>
      </w:r>
    </w:p>
  </w:footnote>
  <w:footnote w:id="106">
    <w:p>
      <w:pPr>
        <w:pStyle w:val="FootnoteText"/>
      </w:pPr>
      <w:r>
        <w:rPr>
          <w:rStyle w:val="FootnoteReference"/>
        </w:rPr>
        <w:footnoteRef/>
      </w:r>
      <w:r>
        <w:t xml:space="preserve"> </w:t>
      </w:r>
      <w:r>
        <w:t xml:space="preserve">Verified fact — A1-S068: DeepEval README (Confident AI (GitHub))</w:t>
      </w:r>
      <w:r>
        <w:t xml:space="preserve"> </w:t>
      </w:r>
      <w:hyperlink r:id="rId104">
        <w:r>
          <w:rPr>
            <w:rStyle w:val="Hyperlink"/>
          </w:rPr>
          <w:t xml:space="preserve">https://raw.githubusercontent.com/confident-ai/deepeval/main/README.md</w:t>
        </w:r>
      </w:hyperlink>
      <w:r>
        <w:t xml:space="preserve"> </w:t>
      </w:r>
      <w:r>
        <w:t xml:space="preserve">accessed 2026-10-07</w:t>
      </w:r>
    </w:p>
  </w:footnote>
  <w:footnote w:id="107">
    <w:p>
      <w:pPr>
        <w:pStyle w:val="FootnoteText"/>
      </w:pPr>
      <w:r>
        <w:rPr>
          <w:rStyle w:val="FootnoteReference"/>
        </w:rPr>
        <w:footnoteRef/>
      </w:r>
      <w:r>
        <w:t xml:space="preserve"> </w:t>
      </w:r>
      <w:r>
        <w:t xml:space="preserve">Verified fact — A1-S068: DeepEval README (Confident AI (GitHub))</w:t>
      </w:r>
      <w:r>
        <w:t xml:space="preserve"> </w:t>
      </w:r>
      <w:hyperlink r:id="rId104">
        <w:r>
          <w:rPr>
            <w:rStyle w:val="Hyperlink"/>
          </w:rPr>
          <w:t xml:space="preserve">https://raw.githubusercontent.com/confident-ai/deepeval/main/README.md</w:t>
        </w:r>
      </w:hyperlink>
      <w:r>
        <w:t xml:space="preserve"> </w:t>
      </w:r>
      <w:r>
        <w:t xml:space="preserve">accessed 2026-10-07</w:t>
      </w:r>
    </w:p>
  </w:footnote>
  <w:footnote w:id="108">
    <w:p>
      <w:pPr>
        <w:pStyle w:val="FootnoteText"/>
      </w:pPr>
      <w:r>
        <w:rPr>
          <w:rStyle w:val="FootnoteReference"/>
        </w:rPr>
        <w:footnoteRef/>
      </w:r>
      <w:r>
        <w:t xml:space="preserve"> </w:t>
      </w:r>
      <w:r>
        <w:t xml:space="preserve">Verified fact — A1-S051: DeepEval LICENSE (Apache-2.0) (Confident AI (GitHub))</w:t>
      </w:r>
      <w:r>
        <w:t xml:space="preserve"> </w:t>
      </w:r>
      <w:hyperlink r:id="rId109">
        <w:r>
          <w:rPr>
            <w:rStyle w:val="Hyperlink"/>
          </w:rPr>
          <w:t xml:space="preserve">https://raw.githubusercontent.com/confident-ai/deepeval/main/LICENSE.md</w:t>
        </w:r>
      </w:hyperlink>
      <w:r>
        <w:t xml:space="preserve"> </w:t>
      </w:r>
      <w:r>
        <w:t xml:space="preserve">accessed 2026-10-07</w:t>
      </w:r>
    </w:p>
  </w:footnote>
  <w:footnote w:id="110">
    <w:p>
      <w:pPr>
        <w:pStyle w:val="FootnoteText"/>
      </w:pPr>
      <w:r>
        <w:rPr>
          <w:rStyle w:val="FootnoteReference"/>
        </w:rPr>
        <w:footnoteRef/>
      </w:r>
      <w:r>
        <w:t xml:space="preserve"> </w:t>
      </w:r>
      <w:r>
        <w:t xml:space="preserve">Verified fact — A1-S068: DeepEval README (Confident AI (GitHub))</w:t>
      </w:r>
      <w:r>
        <w:t xml:space="preserve"> </w:t>
      </w:r>
      <w:hyperlink r:id="rId104">
        <w:r>
          <w:rPr>
            <w:rStyle w:val="Hyperlink"/>
          </w:rPr>
          <w:t xml:space="preserve">https://raw.githubusercontent.com/confident-ai/deepeval/main/README.md</w:t>
        </w:r>
      </w:hyperlink>
      <w:r>
        <w:t xml:space="preserve"> </w:t>
      </w:r>
      <w:r>
        <w:t xml:space="preserve">accessed 2026-10-07</w:t>
      </w:r>
    </w:p>
  </w:footnote>
  <w:footnote w:id="111">
    <w:p>
      <w:pPr>
        <w:pStyle w:val="FootnoteText"/>
      </w:pPr>
      <w:r>
        <w:rPr>
          <w:rStyle w:val="FootnoteReference"/>
        </w:rPr>
        <w:footnoteRef/>
      </w:r>
      <w:r>
        <w:t xml:space="preserve"> </w:t>
      </w:r>
      <w:r>
        <w:t xml:space="preserve">Verified fact — A1-S121: Confident AI: OpenTelemetry integration</w:t>
      </w:r>
      <w:r>
        <w:t xml:space="preserve"> </w:t>
      </w:r>
      <w:hyperlink r:id="rId112">
        <w:r>
          <w:rPr>
            <w:rStyle w:val="Hyperlink"/>
          </w:rPr>
          <w:t xml:space="preserve">https://www.confident-ai.com/docs/integrations/opentelemetry</w:t>
        </w:r>
      </w:hyperlink>
      <w:r>
        <w:t xml:space="preserve"> </w:t>
      </w:r>
      <w:r>
        <w:t xml:space="preserve">accessed 2026-10-07 [search-tool extract]</w:t>
      </w:r>
    </w:p>
  </w:footnote>
  <w:footnote w:id="113">
    <w:p>
      <w:pPr>
        <w:pStyle w:val="FootnoteText"/>
      </w:pPr>
      <w:r>
        <w:rPr>
          <w:rStyle w:val="FootnoteReference"/>
        </w:rPr>
        <w:footnoteRef/>
      </w:r>
      <w:r>
        <w:t xml:space="preserve"> </w:t>
      </w:r>
      <w:r>
        <w:t xml:space="preserve">Verified fact — A1-S119: Confident AI: Data Residency</w:t>
      </w:r>
      <w:r>
        <w:t xml:space="preserve"> </w:t>
      </w:r>
      <w:hyperlink r:id="rId114">
        <w:r>
          <w:rPr>
            <w:rStyle w:val="Hyperlink"/>
          </w:rPr>
          <w:t xml:space="preserve">https://www.confident-ai.com/docs/settings/data-residency</w:t>
        </w:r>
      </w:hyperlink>
      <w:r>
        <w:t xml:space="preserve"> </w:t>
      </w:r>
      <w:r>
        <w:t xml:space="preserve">accessed 2026-10-07 [search-tool extract]</w:t>
      </w:r>
    </w:p>
  </w:footnote>
  <w:footnote w:id="116">
    <w:p>
      <w:pPr>
        <w:pStyle w:val="FootnoteText"/>
      </w:pPr>
      <w:r>
        <w:rPr>
          <w:rStyle w:val="FootnoteReference"/>
        </w:rPr>
        <w:footnoteRef/>
      </w:r>
      <w:r>
        <w:t xml:space="preserve"> </w:t>
      </w:r>
      <w:r>
        <w:t xml:space="preserve">Verified fact — A1-S062: Promptfoo README (Promptfoo (OpenAI) (GitHub))</w:t>
      </w:r>
      <w:r>
        <w:t xml:space="preserve"> </w:t>
      </w:r>
      <w:hyperlink r:id="rId117">
        <w:r>
          <w:rPr>
            <w:rStyle w:val="Hyperlink"/>
          </w:rPr>
          <w:t xml:space="preserve">https://raw.githubusercontent.com/promptfoo/promptfoo/main/README.md</w:t>
        </w:r>
      </w:hyperlink>
      <w:r>
        <w:t xml:space="preserve"> </w:t>
      </w:r>
      <w:r>
        <w:t xml:space="preserve">accessed 2026-10-07; A1-S063: Promptfoo Enterprise docs (SaaS and On-Prem) (Promptfoo (OpenAI) (GitHub docs source))</w:t>
      </w:r>
      <w:r>
        <w:t xml:space="preserve"> </w:t>
      </w:r>
      <w:hyperlink r:id="rId118">
        <w:r>
          <w:rPr>
            <w:rStyle w:val="Hyperlink"/>
          </w:rPr>
          <w:t xml:space="preserve">https://raw.githubusercontent.com/promptfoo/promptfoo/main/site/docs/enterprise/index.md</w:t>
        </w:r>
      </w:hyperlink>
      <w:r>
        <w:t xml:space="preserve"> </w:t>
      </w:r>
      <w:r>
        <w:t xml:space="preserve">accessed 2026-10-07</w:t>
      </w:r>
    </w:p>
  </w:footnote>
  <w:footnote w:id="119">
    <w:p>
      <w:pPr>
        <w:pStyle w:val="FootnoteText"/>
      </w:pPr>
      <w:r>
        <w:rPr>
          <w:rStyle w:val="FootnoteReference"/>
        </w:rPr>
        <w:footnoteRef/>
      </w:r>
      <w:r>
        <w:t xml:space="preserve"> </w:t>
      </w:r>
      <w:r>
        <w:t xml:space="preserve">Verified fact — A1-S062: Promptfoo README (Promptfoo (OpenAI) (GitHub))</w:t>
      </w:r>
      <w:r>
        <w:t xml:space="preserve"> </w:t>
      </w:r>
      <w:hyperlink r:id="rId117">
        <w:r>
          <w:rPr>
            <w:rStyle w:val="Hyperlink"/>
          </w:rPr>
          <w:t xml:space="preserve">https://raw.githubusercontent.com/promptfoo/promptfoo/main/README.md</w:t>
        </w:r>
      </w:hyperlink>
      <w:r>
        <w:t xml:space="preserve"> </w:t>
      </w:r>
      <w:r>
        <w:t xml:space="preserve">accessed 2026-10-07; A1-S065: Promptfoo CI/CD integration docs (Promptfoo (OpenAI) (GitHub docs source))</w:t>
      </w:r>
      <w:r>
        <w:t xml:space="preserve"> </w:t>
      </w:r>
      <w:hyperlink r:id="rId120">
        <w:r>
          <w:rPr>
            <w:rStyle w:val="Hyperlink"/>
          </w:rPr>
          <w:t xml:space="preserve">https://raw.githubusercontent.com/promptfoo/promptfoo/main/site/docs/integrations/ci-cd.md</w:t>
        </w:r>
      </w:hyperlink>
      <w:r>
        <w:t xml:space="preserve"> </w:t>
      </w:r>
      <w:r>
        <w:t xml:space="preserve">accessed 2026-10-07</w:t>
      </w:r>
    </w:p>
  </w:footnote>
  <w:footnote w:id="121">
    <w:p>
      <w:pPr>
        <w:pStyle w:val="FootnoteText"/>
      </w:pPr>
      <w:r>
        <w:rPr>
          <w:rStyle w:val="FootnoteReference"/>
        </w:rPr>
        <w:footnoteRef/>
      </w:r>
      <w:r>
        <w:t xml:space="preserve"> </w:t>
      </w:r>
      <w:r>
        <w:t xml:space="preserve">Verified fact — A1-S062: Promptfoo README (Promptfoo (OpenAI) (GitHub))</w:t>
      </w:r>
      <w:r>
        <w:t xml:space="preserve"> </w:t>
      </w:r>
      <w:hyperlink r:id="rId117">
        <w:r>
          <w:rPr>
            <w:rStyle w:val="Hyperlink"/>
          </w:rPr>
          <w:t xml:space="preserve">https://raw.githubusercontent.com/promptfoo/promptfoo/main/README.md</w:t>
        </w:r>
      </w:hyperlink>
      <w:r>
        <w:t xml:space="preserve"> </w:t>
      </w:r>
      <w:r>
        <w:t xml:space="preserve">accessed 2026-10-07; A1-S063: Promptfoo Enterprise docs (SaaS and On-Prem) (Promptfoo (OpenAI) (GitHub docs source))</w:t>
      </w:r>
      <w:r>
        <w:t xml:space="preserve"> </w:t>
      </w:r>
      <w:hyperlink r:id="rId118">
        <w:r>
          <w:rPr>
            <w:rStyle w:val="Hyperlink"/>
          </w:rPr>
          <w:t xml:space="preserve">https://raw.githubusercontent.com/promptfoo/promptfoo/main/site/docs/enterprise/index.md</w:t>
        </w:r>
      </w:hyperlink>
      <w:r>
        <w:t xml:space="preserve"> </w:t>
      </w:r>
      <w:r>
        <w:t xml:space="preserve">accessed 2026-10-07</w:t>
      </w:r>
    </w:p>
  </w:footnote>
  <w:footnote w:id="122">
    <w:p>
      <w:pPr>
        <w:pStyle w:val="FootnoteText"/>
      </w:pPr>
      <w:r>
        <w:rPr>
          <w:rStyle w:val="FootnoteReference"/>
        </w:rPr>
        <w:footnoteRef/>
      </w:r>
      <w:r>
        <w:t xml:space="preserve"> </w:t>
      </w:r>
      <w:r>
        <w:t xml:space="preserve">Verified fact — A1-S064: Promptfoo tracing (OpenTelemetry/OTLP) docs (Promptfoo (OpenAI) (GitHub docs source))</w:t>
      </w:r>
      <w:r>
        <w:t xml:space="preserve"> </w:t>
      </w:r>
      <w:hyperlink r:id="rId123">
        <w:r>
          <w:rPr>
            <w:rStyle w:val="Hyperlink"/>
          </w:rPr>
          <w:t xml:space="preserve">https://raw.githubusercontent.com/promptfoo/promptfoo/main/site/docs/tracing.md</w:t>
        </w:r>
      </w:hyperlink>
      <w:r>
        <w:t xml:space="preserve"> </w:t>
      </w:r>
      <w:r>
        <w:t xml:space="preserve">accessed 2026-10-07</w:t>
      </w:r>
    </w:p>
  </w:footnote>
  <w:footnote w:id="124">
    <w:p>
      <w:pPr>
        <w:pStyle w:val="FootnoteText"/>
      </w:pPr>
      <w:r>
        <w:rPr>
          <w:rStyle w:val="FootnoteReference"/>
        </w:rPr>
        <w:footnoteRef/>
      </w:r>
      <w:r>
        <w:t xml:space="preserve"> </w:t>
      </w:r>
      <w:r>
        <w:t xml:space="preserve">Verified fact — A1-S062: Promptfoo README (Promptfoo (OpenAI) (GitHub))</w:t>
      </w:r>
      <w:r>
        <w:t xml:space="preserve"> </w:t>
      </w:r>
      <w:hyperlink r:id="rId117">
        <w:r>
          <w:rPr>
            <w:rStyle w:val="Hyperlink"/>
          </w:rPr>
          <w:t xml:space="preserve">https://raw.githubusercontent.com/promptfoo/promptfoo/main/README.md</w:t>
        </w:r>
      </w:hyperlink>
      <w:r>
        <w:t xml:space="preserve"> </w:t>
      </w:r>
      <w:r>
        <w:t xml:space="preserve">accessed 2026-10-07; A1-S063: Promptfoo Enterprise docs (SaaS and On-Prem) (Promptfoo (OpenAI) (GitHub docs source))</w:t>
      </w:r>
      <w:r>
        <w:t xml:space="preserve"> </w:t>
      </w:r>
      <w:hyperlink r:id="rId118">
        <w:r>
          <w:rPr>
            <w:rStyle w:val="Hyperlink"/>
          </w:rPr>
          <w:t xml:space="preserve">https://raw.githubusercontent.com/promptfoo/promptfoo/main/site/docs/enterprise/index.md</w:t>
        </w:r>
      </w:hyperlink>
      <w:r>
        <w:t xml:space="preserve"> </w:t>
      </w:r>
      <w:r>
        <w:t xml:space="preserve">accessed 2026-10-07; A1-S065: Promptfoo CI/CD integration docs (Promptfoo (OpenAI) (GitHub docs source))</w:t>
      </w:r>
      <w:r>
        <w:t xml:space="preserve"> </w:t>
      </w:r>
      <w:hyperlink r:id="rId120">
        <w:r>
          <w:rPr>
            <w:rStyle w:val="Hyperlink"/>
          </w:rPr>
          <w:t xml:space="preserve">https://raw.githubusercontent.com/promptfoo/promptfoo/main/site/docs/integrations/ci-cd.md</w:t>
        </w:r>
      </w:hyperlink>
      <w:r>
        <w:t xml:space="preserve"> </w:t>
      </w:r>
      <w:r>
        <w:t xml:space="preserve">accessed 2026-10-07</w:t>
      </w:r>
    </w:p>
  </w:footnote>
  <w:footnote w:id="125">
    <w:p>
      <w:pPr>
        <w:pStyle w:val="FootnoteText"/>
      </w:pPr>
      <w:r>
        <w:rPr>
          <w:rStyle w:val="FootnoteReference"/>
        </w:rPr>
        <w:footnoteRef/>
      </w:r>
      <w:r>
        <w:t xml:space="preserve"> </w:t>
      </w:r>
      <w:r>
        <w:t xml:space="preserve">Verified fact — A1-S024: OpenAI to acquire Promptfoo</w:t>
      </w:r>
      <w:r>
        <w:t xml:space="preserve"> </w:t>
      </w:r>
      <w:hyperlink r:id="rId126">
        <w:r>
          <w:rPr>
            <w:rStyle w:val="Hyperlink"/>
          </w:rPr>
          <w:t xml:space="preserve">https://openai.com/index/openai-to-acquire-promptfoo/</w:t>
        </w:r>
      </w:hyperlink>
      <w:r>
        <w:t xml:space="preserve"> </w:t>
      </w:r>
      <w:r>
        <w:t xml:space="preserve">accessed 2026-10-07 [search-tool extract]; A1-S062: Promptfoo README (Promptfoo (OpenAI) (GitHub))</w:t>
      </w:r>
      <w:r>
        <w:t xml:space="preserve"> </w:t>
      </w:r>
      <w:hyperlink r:id="rId117">
        <w:r>
          <w:rPr>
            <w:rStyle w:val="Hyperlink"/>
          </w:rPr>
          <w:t xml:space="preserve">https://raw.githubusercontent.com/promptfoo/promptfoo/main/README.md</w:t>
        </w:r>
      </w:hyperlink>
      <w:r>
        <w:t xml:space="preserve"> </w:t>
      </w:r>
      <w:r>
        <w:t xml:space="preserve">accessed 2026-10-07; V1-S006: OpenAI to acquire Promptfoo</w:t>
      </w:r>
      <w:r>
        <w:t xml:space="preserve"> </w:t>
      </w:r>
      <w:hyperlink r:id="rId127">
        <w:r>
          <w:rPr>
            <w:rStyle w:val="Hyperlink"/>
          </w:rPr>
          <w:t xml:space="preserve">https://openai.com/blog/openai-to-acquire-promptfoo</w:t>
        </w:r>
      </w:hyperlink>
      <w:r>
        <w:t xml:space="preserve"> </w:t>
      </w:r>
      <w:r>
        <w:t xml:space="preserve">accessed 2026-10-08 [search-tool extract]; V2-S042: OpenAI to acquire Promptfoo (with TechCrunch via Yahoo Finance, SDxCentral, Security Boulevard)</w:t>
      </w:r>
      <w:r>
        <w:t xml:space="preserve"> </w:t>
      </w:r>
      <w:hyperlink r:id="rId127">
        <w:r>
          <w:rPr>
            <w:rStyle w:val="Hyperlink"/>
          </w:rPr>
          <w:t xml:space="preserve">https://openai.com/blog/openai-to-acquire-promptfoo</w:t>
        </w:r>
      </w:hyperlink>
      <w:r>
        <w:t xml:space="preserve"> </w:t>
      </w:r>
      <w:r>
        <w:t xml:space="preserve">accessed 2026-10-08 [search-tool extract]</w:t>
      </w:r>
    </w:p>
  </w:footnote>
  <w:footnote w:id="128">
    <w:p>
      <w:pPr>
        <w:pStyle w:val="FootnoteText"/>
      </w:pPr>
      <w:r>
        <w:rPr>
          <w:rStyle w:val="FootnoteReference"/>
        </w:rPr>
        <w:footnoteRef/>
      </w:r>
      <w:r>
        <w:t xml:space="preserve"> </w:t>
      </w:r>
      <w:r>
        <w:t xml:space="preserve">Verified fact — A1-S024: OpenAI to acquire Promptfoo</w:t>
      </w:r>
      <w:r>
        <w:t xml:space="preserve"> </w:t>
      </w:r>
      <w:hyperlink r:id="rId126">
        <w:r>
          <w:rPr>
            <w:rStyle w:val="Hyperlink"/>
          </w:rPr>
          <w:t xml:space="preserve">https://openai.com/index/openai-to-acquire-promptfoo/</w:t>
        </w:r>
      </w:hyperlink>
      <w:r>
        <w:t xml:space="preserve"> </w:t>
      </w:r>
      <w:r>
        <w:t xml:space="preserve">accessed 2026-10-07 [search-tool extract]</w:t>
      </w:r>
    </w:p>
  </w:footnote>
  <w:footnote w:id="129">
    <w:p>
      <w:pPr>
        <w:pStyle w:val="FootnoteText"/>
      </w:pPr>
      <w:r>
        <w:rPr>
          <w:rStyle w:val="FootnoteReference"/>
        </w:rPr>
        <w:footnoteRef/>
      </w:r>
      <w:r>
        <w:t xml:space="preserve"> </w:t>
      </w:r>
      <w:r>
        <w:t xml:space="preserve">Verified fact — A1-S020: npm registry metadata: promptfoo</w:t>
      </w:r>
      <w:r>
        <w:t xml:space="preserve"> </w:t>
      </w:r>
      <w:hyperlink r:id="rId130">
        <w:r>
          <w:rPr>
            <w:rStyle w:val="Hyperlink"/>
          </w:rPr>
          <w:t xml:space="preserve">https://registry.npmjs.org/promptfoo</w:t>
        </w:r>
      </w:hyperlink>
      <w:r>
        <w:t xml:space="preserve"> </w:t>
      </w:r>
      <w:r>
        <w:t xml:space="preserve">accessed 2026-10-07</w:t>
      </w:r>
    </w:p>
  </w:footnote>
  <w:footnote w:id="132">
    <w:p>
      <w:pPr>
        <w:pStyle w:val="FootnoteText"/>
      </w:pPr>
      <w:r>
        <w:rPr>
          <w:rStyle w:val="FootnoteReference"/>
        </w:rPr>
        <w:footnoteRef/>
      </w:r>
      <w:r>
        <w:t xml:space="preserve"> </w:t>
      </w:r>
      <w:r>
        <w:t xml:space="preserve">Verified fact — A1-S066: Arize Phoenix README (Arize AI (GitHub))</w:t>
      </w:r>
      <w:r>
        <w:t xml:space="preserve"> </w:t>
      </w:r>
      <w:hyperlink r:id="rId133">
        <w:r>
          <w:rPr>
            <w:rStyle w:val="Hyperlink"/>
          </w:rPr>
          <w:t xml:space="preserve">https://raw.githubusercontent.com/Arize-ai/phoenix/main/README.md</w:t>
        </w:r>
      </w:hyperlink>
      <w:r>
        <w:t xml:space="preserve"> </w:t>
      </w:r>
      <w:r>
        <w:t xml:space="preserve">accessed 2026-10-07; A1-S049: OpenInference LICENSE (Apache-2.0) (Arize AI (GitHub))</w:t>
      </w:r>
      <w:r>
        <w:t xml:space="preserve"> </w:t>
      </w:r>
      <w:hyperlink r:id="rId92">
        <w:r>
          <w:rPr>
            <w:rStyle w:val="Hyperlink"/>
          </w:rPr>
          <w:t xml:space="preserve">https://raw.githubusercontent.com/Arize-ai/openinference/main/LICENSE</w:t>
        </w:r>
      </w:hyperlink>
      <w:r>
        <w:t xml:space="preserve"> </w:t>
      </w:r>
      <w:r>
        <w:t xml:space="preserve">accessed 2026-10-07; A1-S106: Phoenix: Eval CI with pytest (docs source) (Arize AI (GitHub docs source))</w:t>
      </w:r>
      <w:r>
        <w:t xml:space="preserve"> </w:t>
      </w:r>
      <w:hyperlink r:id="rId134">
        <w:r>
          <w:rPr>
            <w:rStyle w:val="Hyperlink"/>
          </w:rPr>
          <w:t xml:space="preserve">https://raw.githubusercontent.com/Arize-ai/phoenix/main/docs/phoenix/datasets-and-experiments/how-to-experiments/eval-ci-with-pytest.mdx</w:t>
        </w:r>
      </w:hyperlink>
      <w:r>
        <w:t xml:space="preserve"> </w:t>
      </w:r>
      <w:r>
        <w:t xml:space="preserve">accessed 2026-10-07</w:t>
      </w:r>
    </w:p>
  </w:footnote>
  <w:footnote w:id="135">
    <w:p>
      <w:pPr>
        <w:pStyle w:val="FootnoteText"/>
      </w:pPr>
      <w:r>
        <w:rPr>
          <w:rStyle w:val="FootnoteReference"/>
        </w:rPr>
        <w:footnoteRef/>
      </w:r>
      <w:r>
        <w:t xml:space="preserve"> </w:t>
      </w:r>
      <w:r>
        <w:t xml:space="preserve">Verified fact — A1-S049: OpenInference LICENSE (Apache-2.0) (Arize AI (GitHub))</w:t>
      </w:r>
      <w:r>
        <w:t xml:space="preserve"> </w:t>
      </w:r>
      <w:hyperlink r:id="rId92">
        <w:r>
          <w:rPr>
            <w:rStyle w:val="Hyperlink"/>
          </w:rPr>
          <w:t xml:space="preserve">https://raw.githubusercontent.com/Arize-ai/openinference/main/LICENSE</w:t>
        </w:r>
      </w:hyperlink>
      <w:r>
        <w:t xml:space="preserve"> </w:t>
      </w:r>
      <w:r>
        <w:t xml:space="preserve">accessed 2026-10-07; A1-S066: Arize Phoenix README (Arize AI (GitHub))</w:t>
      </w:r>
      <w:r>
        <w:t xml:space="preserve"> </w:t>
      </w:r>
      <w:hyperlink r:id="rId133">
        <w:r>
          <w:rPr>
            <w:rStyle w:val="Hyperlink"/>
          </w:rPr>
          <w:t xml:space="preserve">https://raw.githubusercontent.com/Arize-ai/phoenix/main/README.md</w:t>
        </w:r>
      </w:hyperlink>
      <w:r>
        <w:t xml:space="preserve"> </w:t>
      </w:r>
      <w:r>
        <w:t xml:space="preserve">accessed 2026-10-07; A1-S098: Datadog LLM Observability: OpenTelemetry instrumentation (Datadog, Inc.)</w:t>
      </w:r>
      <w:r>
        <w:t xml:space="preserve"> </w:t>
      </w:r>
      <w:hyperlink r:id="rId136">
        <w:r>
          <w:rPr>
            <w:rStyle w:val="Hyperlink"/>
          </w:rPr>
          <w:t xml:space="preserve">https://docs.datadoghq.com/llm_observability/instrumentation/otel_instrumentation/</w:t>
        </w:r>
      </w:hyperlink>
      <w:r>
        <w:t xml:space="preserve"> </w:t>
      </w:r>
      <w:r>
        <w:t xml:space="preserve">accessed 2026-10-07</w:t>
      </w:r>
    </w:p>
  </w:footnote>
  <w:footnote w:id="137">
    <w:p>
      <w:pPr>
        <w:pStyle w:val="FootnoteText"/>
      </w:pPr>
      <w:r>
        <w:rPr>
          <w:rStyle w:val="FootnoteReference"/>
        </w:rPr>
        <w:footnoteRef/>
      </w:r>
      <w:r>
        <w:t xml:space="preserve"> </w:t>
      </w:r>
      <w:r>
        <w:t xml:space="preserve">Verified fact — A1-S046: Arize Phoenix or Arize AX - Phoenix docs (Arize AI)</w:t>
      </w:r>
      <w:r>
        <w:t xml:space="preserve"> </w:t>
      </w:r>
      <w:hyperlink r:id="rId89">
        <w:r>
          <w:rPr>
            <w:rStyle w:val="Hyperlink"/>
          </w:rPr>
          <w:t xml:space="preserve">https://arize.com/docs/phoenix/resources/frequently-asked-questions/what-is-the-difference-between-phoenix-and-arize</w:t>
        </w:r>
      </w:hyperlink>
      <w:r>
        <w:t xml:space="preserve"> </w:t>
      </w:r>
      <w:r>
        <w:t xml:space="preserve">accessed 2026-10-07 [search-tool extract]; A1-S047: Arize AX Pricing: AI agent observability and evaluation (Arize AI)</w:t>
      </w:r>
      <w:r>
        <w:t xml:space="preserve"> </w:t>
      </w:r>
      <w:hyperlink r:id="rId90">
        <w:r>
          <w:rPr>
            <w:rStyle w:val="Hyperlink"/>
          </w:rPr>
          <w:t xml:space="preserve">https://arize.com/pricing/</w:t>
        </w:r>
      </w:hyperlink>
      <w:r>
        <w:t xml:space="preserve"> </w:t>
      </w:r>
      <w:r>
        <w:t xml:space="preserve">accessed 2026-10-07 [search-tool extract]</w:t>
      </w:r>
    </w:p>
  </w:footnote>
  <w:footnote w:id="138">
    <w:p>
      <w:pPr>
        <w:pStyle w:val="FootnoteText"/>
      </w:pPr>
      <w:r>
        <w:rPr>
          <w:rStyle w:val="FootnoteReference"/>
        </w:rPr>
        <w:footnoteRef/>
      </w:r>
      <w:r>
        <w:t xml:space="preserve"> </w:t>
      </w:r>
      <w:r>
        <w:t xml:space="preserve">Verified fact — A1-S066: Arize Phoenix README (Arize AI (GitHub))</w:t>
      </w:r>
      <w:r>
        <w:t xml:space="preserve"> </w:t>
      </w:r>
      <w:hyperlink r:id="rId133">
        <w:r>
          <w:rPr>
            <w:rStyle w:val="Hyperlink"/>
          </w:rPr>
          <w:t xml:space="preserve">https://raw.githubusercontent.com/Arize-ai/phoenix/main/README.md</w:t>
        </w:r>
      </w:hyperlink>
      <w:r>
        <w:t xml:space="preserve"> </w:t>
      </w:r>
      <w:r>
        <w:t xml:space="preserve">accessed 2026-10-07</w:t>
      </w:r>
    </w:p>
  </w:footnote>
  <w:footnote w:id="139">
    <w:p>
      <w:pPr>
        <w:pStyle w:val="FootnoteText"/>
      </w:pPr>
      <w:r>
        <w:rPr>
          <w:rStyle w:val="FootnoteReference"/>
        </w:rPr>
        <w:footnoteRef/>
      </w:r>
      <w:r>
        <w:t xml:space="preserve"> </w:t>
      </w:r>
      <w:r>
        <w:t xml:space="preserve">Verified fact — A1-S046: Arize Phoenix or Arize AX - Phoenix docs (Arize AI)</w:t>
      </w:r>
      <w:r>
        <w:t xml:space="preserve"> </w:t>
      </w:r>
      <w:hyperlink r:id="rId89">
        <w:r>
          <w:rPr>
            <w:rStyle w:val="Hyperlink"/>
          </w:rPr>
          <w:t xml:space="preserve">https://arize.com/docs/phoenix/resources/frequently-asked-questions/what-is-the-difference-between-phoenix-and-arize</w:t>
        </w:r>
      </w:hyperlink>
      <w:r>
        <w:t xml:space="preserve"> </w:t>
      </w:r>
      <w:r>
        <w:t xml:space="preserve">accessed 2026-10-07 [search-tool extract]; A1-S066: Arize Phoenix README (Arize AI (GitHub))</w:t>
      </w:r>
      <w:r>
        <w:t xml:space="preserve"> </w:t>
      </w:r>
      <w:hyperlink r:id="rId133">
        <w:r>
          <w:rPr>
            <w:rStyle w:val="Hyperlink"/>
          </w:rPr>
          <w:t xml:space="preserve">https://raw.githubusercontent.com/Arize-ai/phoenix/main/README.md</w:t>
        </w:r>
      </w:hyperlink>
      <w:r>
        <w:t xml:space="preserve"> </w:t>
      </w:r>
      <w:r>
        <w:t xml:space="preserve">accessed 2026-10-07</w:t>
      </w:r>
    </w:p>
  </w:footnote>
  <w:footnote w:id="140">
    <w:p>
      <w:pPr>
        <w:pStyle w:val="FootnoteText"/>
      </w:pPr>
      <w:r>
        <w:rPr>
          <w:rStyle w:val="FootnoteReference"/>
        </w:rPr>
        <w:footnoteRef/>
      </w:r>
      <w:r>
        <w:t xml:space="preserve"> </w:t>
      </w:r>
      <w:r>
        <w:t xml:space="preserve">Verified fact — A1-S048: Arize Phoenix LICENSE (Elastic License 2.0) (Arize AI (GitHub))</w:t>
      </w:r>
      <w:r>
        <w:t xml:space="preserve"> </w:t>
      </w:r>
      <w:hyperlink r:id="rId141">
        <w:r>
          <w:rPr>
            <w:rStyle w:val="Hyperlink"/>
          </w:rPr>
          <w:t xml:space="preserve">https://raw.githubusercontent.com/Arize-ai/phoenix/main/LICENSE</w:t>
        </w:r>
      </w:hyperlink>
      <w:r>
        <w:t xml:space="preserve"> </w:t>
      </w:r>
      <w:r>
        <w:t xml:space="preserve">accessed 2026-10-07; A1-S107: Phoenix self-hosting: License (docs source) (Arize AI (GitHub docs source))</w:t>
      </w:r>
      <w:r>
        <w:t xml:space="preserve"> </w:t>
      </w:r>
      <w:hyperlink r:id="rId142">
        <w:r>
          <w:rPr>
            <w:rStyle w:val="Hyperlink"/>
          </w:rPr>
          <w:t xml:space="preserve">https://raw.githubusercontent.com/Arize-ai/phoenix/main/docs/phoenix/self-hosting/license.mdx</w:t>
        </w:r>
      </w:hyperlink>
      <w:r>
        <w:t xml:space="preserve"> </w:t>
      </w:r>
      <w:r>
        <w:t xml:space="preserve">accessed 2026-10-07</w:t>
      </w:r>
    </w:p>
  </w:footnote>
  <w:footnote w:id="143">
    <w:p>
      <w:pPr>
        <w:pStyle w:val="FootnoteText"/>
      </w:pPr>
      <w:r>
        <w:rPr>
          <w:rStyle w:val="FootnoteReference"/>
        </w:rPr>
        <w:footnoteRef/>
      </w:r>
      <w:r>
        <w:t xml:space="preserve"> </w:t>
      </w:r>
      <w:r>
        <w:t xml:space="preserve">Verified fact — A1-S105: Phoenix self-hosting: Authentication (docs source) (Arize AI (GitHub docs source))</w:t>
      </w:r>
      <w:r>
        <w:t xml:space="preserve"> </w:t>
      </w:r>
      <w:hyperlink r:id="rId144">
        <w:r>
          <w:rPr>
            <w:rStyle w:val="Hyperlink"/>
          </w:rPr>
          <w:t xml:space="preserve">https://raw.githubusercontent.com/Arize-ai/phoenix/main/docs/phoenix/self-hosting/features/authentication.mdx</w:t>
        </w:r>
      </w:hyperlink>
      <w:r>
        <w:t xml:space="preserve"> </w:t>
      </w:r>
      <w:r>
        <w:t xml:space="preserve">accessed 2026-10-07</w:t>
      </w:r>
    </w:p>
  </w:footnote>
  <w:footnote w:id="145">
    <w:p>
      <w:pPr>
        <w:pStyle w:val="FootnoteText"/>
      </w:pPr>
      <w:r>
        <w:rPr>
          <w:rStyle w:val="FootnoteReference"/>
        </w:rPr>
        <w:footnoteRef/>
      </w:r>
      <w:r>
        <w:t xml:space="preserve"> </w:t>
      </w:r>
      <w:r>
        <w:t xml:space="preserve">Verified fact — A1-S046: Arize Phoenix or Arize AX - Phoenix docs (Arize AI)</w:t>
      </w:r>
      <w:r>
        <w:t xml:space="preserve"> </w:t>
      </w:r>
      <w:hyperlink r:id="rId89">
        <w:r>
          <w:rPr>
            <w:rStyle w:val="Hyperlink"/>
          </w:rPr>
          <w:t xml:space="preserve">https://arize.com/docs/phoenix/resources/frequently-asked-questions/what-is-the-difference-between-phoenix-and-arize</w:t>
        </w:r>
      </w:hyperlink>
      <w:r>
        <w:t xml:space="preserve"> </w:t>
      </w:r>
      <w:r>
        <w:t xml:space="preserve">accessed 2026-10-07 [search-tool extract]</w:t>
      </w:r>
    </w:p>
  </w:footnote>
  <w:footnote w:id="146">
    <w:p>
      <w:pPr>
        <w:pStyle w:val="FootnoteText"/>
      </w:pPr>
      <w:r>
        <w:rPr>
          <w:rStyle w:val="FootnoteReference"/>
        </w:rPr>
        <w:footnoteRef/>
      </w:r>
      <w:r>
        <w:t xml:space="preserve"> </w:t>
      </w:r>
      <w:r>
        <w:t xml:space="preserve">Verified fact — A1-S046: Arize Phoenix or Arize AX - Phoenix docs (Arize AI)</w:t>
      </w:r>
      <w:r>
        <w:t xml:space="preserve"> </w:t>
      </w:r>
      <w:hyperlink r:id="rId89">
        <w:r>
          <w:rPr>
            <w:rStyle w:val="Hyperlink"/>
          </w:rPr>
          <w:t xml:space="preserve">https://arize.com/docs/phoenix/resources/frequently-asked-questions/what-is-the-difference-between-phoenix-and-arize</w:t>
        </w:r>
      </w:hyperlink>
      <w:r>
        <w:t xml:space="preserve"> </w:t>
      </w:r>
      <w:r>
        <w:t xml:space="preserve">accessed 2026-10-07 [search-tool extract]</w:t>
      </w:r>
    </w:p>
  </w:footnote>
  <w:footnote w:id="147">
    <w:p>
      <w:pPr>
        <w:pStyle w:val="FootnoteText"/>
      </w:pPr>
      <w:r>
        <w:rPr>
          <w:rStyle w:val="FootnoteReference"/>
        </w:rPr>
        <w:footnoteRef/>
      </w:r>
      <w:r>
        <w:t xml:space="preserve"> </w:t>
      </w:r>
      <w:r>
        <w:t xml:space="preserve">Verified fact — A1-S045: Dynatrace Completes Acquisition of Arize, Extending AI Observability Across the Full Development Lifecycle (Dynatrace, Inc.)</w:t>
      </w:r>
      <w:r>
        <w:t xml:space="preserve"> </w:t>
      </w:r>
      <w:hyperlink r:id="rId98">
        <w:r>
          <w:rPr>
            <w:rStyle w:val="Hyperlink"/>
          </w:rPr>
          <w:t xml:space="preserve">https://ir.dynatrace.com/news-events/press-releases/detail/439/dynatrace-completes-acquisition-of-arize-extending-ai-observability-across-the-full-development-lifecycle</w:t>
        </w:r>
      </w:hyperlink>
      <w:r>
        <w:t xml:space="preserve"> </w:t>
      </w:r>
      <w:r>
        <w:t xml:space="preserve">accessed 2026-10-07 [search-tool extract]; V1-S005: Dynatrace Completes Acquisition of Arize (IR press release) (Dynatrace, Inc.)</w:t>
      </w:r>
      <w:r>
        <w:t xml:space="preserve"> </w:t>
      </w:r>
      <w:hyperlink r:id="rId98">
        <w:r>
          <w:rPr>
            <w:rStyle w:val="Hyperlink"/>
          </w:rPr>
          <w:t xml:space="preserve">https://ir.dynatrace.com/news-events/press-releases/detail/439/dynatrace-completes-acquisition-of-arize-extending-ai-observability-across-the-full-development-lifecycle</w:t>
        </w:r>
      </w:hyperlink>
      <w:r>
        <w:t xml:space="preserve"> </w:t>
      </w:r>
      <w:r>
        <w:t xml:space="preserve">accessed 2026-10-08 [search-tool extract]</w:t>
      </w:r>
    </w:p>
  </w:footnote>
  <w:footnote w:id="149">
    <w:p>
      <w:pPr>
        <w:pStyle w:val="FootnoteText"/>
      </w:pPr>
      <w:r>
        <w:rPr>
          <w:rStyle w:val="FootnoteReference"/>
        </w:rPr>
        <w:footnoteRef/>
      </w:r>
      <w:r>
        <w:t xml:space="preserve"> </w:t>
      </w:r>
      <w:r>
        <w:t xml:space="preserve">Verified fact — A1-S104: Weave by Weights &amp; Biases README (Weights &amp; Biases (GitHub))</w:t>
      </w:r>
      <w:r>
        <w:t xml:space="preserve"> </w:t>
      </w:r>
      <w:hyperlink r:id="rId150">
        <w:r>
          <w:rPr>
            <w:rStyle w:val="Hyperlink"/>
          </w:rPr>
          <w:t xml:space="preserve">https://raw.githubusercontent.com/wandb/weave/master/README.md</w:t>
        </w:r>
      </w:hyperlink>
      <w:r>
        <w:t xml:space="preserve"> </w:t>
      </w:r>
      <w:r>
        <w:t xml:space="preserve">accessed 2026-10-07; A1-S139: Send OpenTelemetry Traces to Weave (Weights &amp; Biases (CoreWeave))</w:t>
      </w:r>
      <w:r>
        <w:t xml:space="preserve"> </w:t>
      </w:r>
      <w:hyperlink r:id="rId151">
        <w:r>
          <w:rPr>
            <w:rStyle w:val="Hyperlink"/>
          </w:rPr>
          <w:t xml:space="preserve">https://docs.wandb.ai/weave/guides/tracking/otel</w:t>
        </w:r>
      </w:hyperlink>
      <w:r>
        <w:t xml:space="preserve"> </w:t>
      </w:r>
      <w:r>
        <w:t xml:space="preserve">accessed 2026-10-07 [search-tool extract]</w:t>
      </w:r>
    </w:p>
  </w:footnote>
  <w:footnote w:id="152">
    <w:p>
      <w:pPr>
        <w:pStyle w:val="FootnoteText"/>
      </w:pPr>
      <w:r>
        <w:rPr>
          <w:rStyle w:val="FootnoteReference"/>
        </w:rPr>
        <w:footnoteRef/>
      </w:r>
      <w:r>
        <w:t xml:space="preserve"> </w:t>
      </w:r>
      <w:r>
        <w:t xml:space="preserve">Verified fact — A1-S137: Weave: Deployment options and security features - Weights &amp; Biases Documentation (Weights &amp; Biases (CoreWeave))</w:t>
      </w:r>
      <w:r>
        <w:t xml:space="preserve"> </w:t>
      </w:r>
      <w:hyperlink r:id="rId153">
        <w:r>
          <w:rPr>
            <w:rStyle w:val="Hyperlink"/>
          </w:rPr>
          <w:t xml:space="preserve">https://docs.wandb.ai/weave/guides/platform</w:t>
        </w:r>
      </w:hyperlink>
      <w:r>
        <w:t xml:space="preserve"> </w:t>
      </w:r>
      <w:r>
        <w:t xml:space="preserve">accessed 2026-10-07 [search-tool extract]</w:t>
      </w:r>
    </w:p>
  </w:footnote>
  <w:footnote w:id="154">
    <w:p>
      <w:pPr>
        <w:pStyle w:val="FootnoteText"/>
      </w:pPr>
      <w:r>
        <w:rPr>
          <w:rStyle w:val="FootnoteReference"/>
        </w:rPr>
        <w:footnoteRef/>
      </w:r>
      <w:r>
        <w:t xml:space="preserve"> </w:t>
      </w:r>
      <w:r>
        <w:t xml:space="preserve">Verified fact — A1-S137: Weave: Deployment options and security features - Weights &amp; Biases Documentation (Weights &amp; Biases (CoreWeave))</w:t>
      </w:r>
      <w:r>
        <w:t xml:space="preserve"> </w:t>
      </w:r>
      <w:hyperlink r:id="rId153">
        <w:r>
          <w:rPr>
            <w:rStyle w:val="Hyperlink"/>
          </w:rPr>
          <w:t xml:space="preserve">https://docs.wandb.ai/weave/guides/platform</w:t>
        </w:r>
      </w:hyperlink>
      <w:r>
        <w:t xml:space="preserve"> </w:t>
      </w:r>
      <w:r>
        <w:t xml:space="preserve">accessed 2026-10-07 [search-tool extract]; A1-S138: CoreWeave Forge Pricing (Weights &amp; Biases) (Weights &amp; Biases (CoreWeave))</w:t>
      </w:r>
      <w:r>
        <w:t xml:space="preserve"> </w:t>
      </w:r>
      <w:hyperlink r:id="rId155">
        <w:r>
          <w:rPr>
            <w:rStyle w:val="Hyperlink"/>
          </w:rPr>
          <w:t xml:space="preserve">https://wandb.ai/site/pricing</w:t>
        </w:r>
      </w:hyperlink>
      <w:r>
        <w:t xml:space="preserve"> </w:t>
      </w:r>
      <w:r>
        <w:t xml:space="preserve">accessed 2026-10-07 [search-tool extract]</w:t>
      </w:r>
    </w:p>
  </w:footnote>
  <w:footnote w:id="156">
    <w:p>
      <w:pPr>
        <w:pStyle w:val="FootnoteText"/>
      </w:pPr>
      <w:r>
        <w:rPr>
          <w:rStyle w:val="FootnoteReference"/>
        </w:rPr>
        <w:footnoteRef/>
      </w:r>
      <w:r>
        <w:t xml:space="preserve"> </w:t>
      </w:r>
      <w:r>
        <w:t xml:space="preserve">Verified fact — A1-S138: CoreWeave Forge Pricing (Weights &amp; Biases) (Weights &amp; Biases (CoreWeave))</w:t>
      </w:r>
      <w:r>
        <w:t xml:space="preserve"> </w:t>
      </w:r>
      <w:hyperlink r:id="rId155">
        <w:r>
          <w:rPr>
            <w:rStyle w:val="Hyperlink"/>
          </w:rPr>
          <w:t xml:space="preserve">https://wandb.ai/site/pricing</w:t>
        </w:r>
      </w:hyperlink>
      <w:r>
        <w:t xml:space="preserve"> </w:t>
      </w:r>
      <w:r>
        <w:t xml:space="preserve">accessed 2026-10-07 [search-tool extract]</w:t>
      </w:r>
    </w:p>
  </w:footnote>
  <w:footnote w:id="157">
    <w:p>
      <w:pPr>
        <w:pStyle w:val="FootnoteText"/>
      </w:pPr>
      <w:r>
        <w:rPr>
          <w:rStyle w:val="FootnoteReference"/>
        </w:rPr>
        <w:footnoteRef/>
      </w:r>
      <w:r>
        <w:t xml:space="preserve"> </w:t>
      </w:r>
      <w:r>
        <w:t xml:space="preserve">Verified fact — A1-S137: Weave: Deployment options and security features - Weights &amp; Biases Documentation (Weights &amp; Biases (CoreWeave))</w:t>
      </w:r>
      <w:r>
        <w:t xml:space="preserve"> </w:t>
      </w:r>
      <w:hyperlink r:id="rId153">
        <w:r>
          <w:rPr>
            <w:rStyle w:val="Hyperlink"/>
          </w:rPr>
          <w:t xml:space="preserve">https://docs.wandb.ai/weave/guides/platform</w:t>
        </w:r>
      </w:hyperlink>
      <w:r>
        <w:t xml:space="preserve"> </w:t>
      </w:r>
      <w:r>
        <w:t xml:space="preserve">accessed 2026-10-07 [search-tool extract]</w:t>
      </w:r>
    </w:p>
  </w:footnote>
  <w:footnote w:id="158">
    <w:p>
      <w:pPr>
        <w:pStyle w:val="FootnoteText"/>
      </w:pPr>
      <w:r>
        <w:rPr>
          <w:rStyle w:val="FootnoteReference"/>
        </w:rPr>
        <w:footnoteRef/>
      </w:r>
      <w:r>
        <w:t xml:space="preserve"> </w:t>
      </w:r>
      <w:r>
        <w:t xml:space="preserve">Verified fact — A1-S131: CoreWeave Completes Acquisition of Weights &amp; Biases (CoreWeave, Inc.)</w:t>
      </w:r>
      <w:r>
        <w:t xml:space="preserve"> </w:t>
      </w:r>
      <w:hyperlink r:id="rId159">
        <w:r>
          <w:rPr>
            <w:rStyle w:val="Hyperlink"/>
          </w:rPr>
          <w:t xml:space="preserve">https://investors.coreweave.com/news/news-details/2025/CoreWeave-Completes-Acquisition-of-Weights--Biases/default.aspx</w:t>
        </w:r>
      </w:hyperlink>
      <w:r>
        <w:t xml:space="preserve"> </w:t>
      </w:r>
      <w:r>
        <w:t xml:space="preserve">accessed 2026-10-07 [search-tool extract]; A1-S138: CoreWeave Forge Pricing (Weights &amp; Biases) (Weights &amp; Biases (CoreWeave))</w:t>
      </w:r>
      <w:r>
        <w:t xml:space="preserve"> </w:t>
      </w:r>
      <w:hyperlink r:id="rId155">
        <w:r>
          <w:rPr>
            <w:rStyle w:val="Hyperlink"/>
          </w:rPr>
          <w:t xml:space="preserve">https://wandb.ai/site/pricing</w:t>
        </w:r>
      </w:hyperlink>
      <w:r>
        <w:t xml:space="preserve"> </w:t>
      </w:r>
      <w:r>
        <w:t xml:space="preserve">accessed 2026-10-07 [search-tool extract]</w:t>
      </w:r>
    </w:p>
  </w:footnote>
  <w:footnote w:id="160">
    <w:p>
      <w:pPr>
        <w:pStyle w:val="FootnoteText"/>
      </w:pPr>
      <w:r>
        <w:rPr>
          <w:rStyle w:val="FootnoteReference"/>
        </w:rPr>
        <w:footnoteRef/>
      </w:r>
      <w:r>
        <w:t xml:space="preserve"> </w:t>
      </w:r>
      <w:r>
        <w:t xml:space="preserve">Verified fact — A1-S137: Weave: Deployment options and security features - Weights &amp; Biases Documentation (Weights &amp; Biases (CoreWeave))</w:t>
      </w:r>
      <w:r>
        <w:t xml:space="preserve"> </w:t>
      </w:r>
      <w:hyperlink r:id="rId153">
        <w:r>
          <w:rPr>
            <w:rStyle w:val="Hyperlink"/>
          </w:rPr>
          <w:t xml:space="preserve">https://docs.wandb.ai/weave/guides/platform</w:t>
        </w:r>
      </w:hyperlink>
      <w:r>
        <w:t xml:space="preserve"> </w:t>
      </w:r>
      <w:r>
        <w:t xml:space="preserve">accessed 2026-10-07 [search-tool extract]</w:t>
      </w:r>
    </w:p>
  </w:footnote>
  <w:footnote w:id="161">
    <w:p>
      <w:pPr>
        <w:pStyle w:val="FootnoteText"/>
      </w:pPr>
      <w:r>
        <w:rPr>
          <w:rStyle w:val="FootnoteReference"/>
        </w:rPr>
        <w:footnoteRef/>
      </w:r>
      <w:r>
        <w:t xml:space="preserve"> </w:t>
      </w:r>
      <w:r>
        <w:t xml:space="preserve">Verified fact — A1-S018: PyPI JSON metadata: weave (Python Package Index)</w:t>
      </w:r>
      <w:r>
        <w:t xml:space="preserve"> </w:t>
      </w:r>
      <w:hyperlink r:id="rId162">
        <w:r>
          <w:rPr>
            <w:rStyle w:val="Hyperlink"/>
          </w:rPr>
          <w:t xml:space="preserve">https://pypi.org/pypi/weave/json</w:t>
        </w:r>
      </w:hyperlink>
      <w:r>
        <w:t xml:space="preserve"> </w:t>
      </w:r>
      <w:r>
        <w:t xml:space="preserve">accessed 2026-10-07</w:t>
      </w:r>
    </w:p>
  </w:footnote>
  <w:footnote w:id="163">
    <w:p>
      <w:pPr>
        <w:pStyle w:val="FootnoteText"/>
      </w:pPr>
      <w:r>
        <w:rPr>
          <w:rStyle w:val="FootnoteReference"/>
        </w:rPr>
        <w:footnoteRef/>
      </w:r>
      <w:r>
        <w:t xml:space="preserve"> </w:t>
      </w:r>
      <w:r>
        <w:t xml:space="preserve">Verified fact — A1-S138: CoreWeave Forge Pricing (Weights &amp; Biases) (Weights &amp; Biases (CoreWeave))</w:t>
      </w:r>
      <w:r>
        <w:t xml:space="preserve"> </w:t>
      </w:r>
      <w:hyperlink r:id="rId155">
        <w:r>
          <w:rPr>
            <w:rStyle w:val="Hyperlink"/>
          </w:rPr>
          <w:t xml:space="preserve">https://wandb.ai/site/pricing</w:t>
        </w:r>
      </w:hyperlink>
      <w:r>
        <w:t xml:space="preserve"> </w:t>
      </w:r>
      <w:r>
        <w:t xml:space="preserve">accessed 2026-10-07 [search-tool extract]</w:t>
      </w:r>
    </w:p>
  </w:footnote>
  <w:footnote w:id="165">
    <w:p>
      <w:pPr>
        <w:pStyle w:val="FootnoteText"/>
      </w:pPr>
      <w:r>
        <w:rPr>
          <w:rStyle w:val="FootnoteReference"/>
        </w:rPr>
        <w:footnoteRef/>
      </w:r>
      <w:r>
        <w:t xml:space="preserve"> </w:t>
      </w:r>
      <w:r>
        <w:t xml:space="preserve">Verified fact — A1-S043: Trace keynote recap: See it, improve it, optimize it (Braintrust Data, Inc.)</w:t>
      </w:r>
      <w:r>
        <w:t xml:space="preserve"> </w:t>
      </w:r>
      <w:hyperlink r:id="rId166">
        <w:r>
          <w:rPr>
            <w:rStyle w:val="Hyperlink"/>
          </w:rPr>
          <w:t xml:space="preserve">https://www.braintrust.dev/blog/trace-keynote</w:t>
        </w:r>
      </w:hyperlink>
      <w:r>
        <w:t xml:space="preserve"> </w:t>
      </w:r>
      <w:r>
        <w:t xml:space="preserve">accessed 2026-10-07 [search-tool extract]; A1-S040: Braintrust pricing (Braintrust Data, Inc.)</w:t>
      </w:r>
      <w:r>
        <w:t xml:space="preserve"> </w:t>
      </w:r>
      <w:hyperlink r:id="rId167">
        <w:r>
          <w:rPr>
            <w:rStyle w:val="Hyperlink"/>
          </w:rPr>
          <w:t xml:space="preserve">https://www.braintrust.dev/pricing</w:t>
        </w:r>
      </w:hyperlink>
      <w:r>
        <w:t xml:space="preserve"> </w:t>
      </w:r>
      <w:r>
        <w:t xml:space="preserve">accessed 2026-10-07 [search-tool extract]; A1-S109: Braintrust Eval Action README (Braintrust Data, Inc. (GitHub))</w:t>
      </w:r>
      <w:r>
        <w:t xml:space="preserve"> </w:t>
      </w:r>
      <w:hyperlink r:id="rId168">
        <w:r>
          <w:rPr>
            <w:rStyle w:val="Hyperlink"/>
          </w:rPr>
          <w:t xml:space="preserve">https://raw.githubusercontent.com/braintrustdata/eval-action/main/README.md</w:t>
        </w:r>
      </w:hyperlink>
      <w:r>
        <w:t xml:space="preserve"> </w:t>
      </w:r>
      <w:r>
        <w:t xml:space="preserve">accessed 2026-10-07</w:t>
      </w:r>
    </w:p>
  </w:footnote>
  <w:footnote w:id="169">
    <w:p>
      <w:pPr>
        <w:pStyle w:val="FootnoteText"/>
      </w:pPr>
      <w:r>
        <w:rPr>
          <w:rStyle w:val="FootnoteReference"/>
        </w:rPr>
        <w:footnoteRef/>
      </w:r>
      <w:r>
        <w:t xml:space="preserve"> </w:t>
      </w:r>
      <w:r>
        <w:t xml:space="preserve">Verified fact — A1-S109: Braintrust Eval Action README (Braintrust Data, Inc. (GitHub))</w:t>
      </w:r>
      <w:r>
        <w:t xml:space="preserve"> </w:t>
      </w:r>
      <w:hyperlink r:id="rId168">
        <w:r>
          <w:rPr>
            <w:rStyle w:val="Hyperlink"/>
          </w:rPr>
          <w:t xml:space="preserve">https://raw.githubusercontent.com/braintrustdata/eval-action/main/README.md</w:t>
        </w:r>
      </w:hyperlink>
      <w:r>
        <w:t xml:space="preserve"> </w:t>
      </w:r>
      <w:r>
        <w:t xml:space="preserve">accessed 2026-10-07</w:t>
      </w:r>
    </w:p>
  </w:footnote>
  <w:footnote w:id="170">
    <w:p>
      <w:pPr>
        <w:pStyle w:val="FootnoteText"/>
      </w:pPr>
      <w:r>
        <w:rPr>
          <w:rStyle w:val="FootnoteReference"/>
        </w:rPr>
        <w:footnoteRef/>
      </w:r>
      <w:r>
        <w:t xml:space="preserve"> </w:t>
      </w:r>
      <w:r>
        <w:t xml:space="preserve">Verified fact — A1-S041: Security is a choice: how Braintrust lets you decide where your AI data lives (Braintrust Data, Inc.)</w:t>
      </w:r>
      <w:r>
        <w:t xml:space="preserve"> </w:t>
      </w:r>
      <w:hyperlink r:id="rId171">
        <w:r>
          <w:rPr>
            <w:rStyle w:val="Hyperlink"/>
          </w:rPr>
          <w:t xml:space="preserve">https://www.braintrust.dev/blog/security-data-control</w:t>
        </w:r>
      </w:hyperlink>
      <w:r>
        <w:t xml:space="preserve"> </w:t>
      </w:r>
      <w:r>
        <w:t xml:space="preserve">accessed 2026-10-07 [search-tool extract]</w:t>
      </w:r>
    </w:p>
  </w:footnote>
  <w:footnote w:id="172">
    <w:p>
      <w:pPr>
        <w:pStyle w:val="FootnoteText"/>
      </w:pPr>
      <w:r>
        <w:rPr>
          <w:rStyle w:val="FootnoteReference"/>
        </w:rPr>
        <w:footnoteRef/>
      </w:r>
      <w:r>
        <w:t xml:space="preserve"> </w:t>
      </w:r>
      <w:r>
        <w:t xml:space="preserve">Verified fact — A1-S042: OpenTelemetry (OTel) - Braintrust docs (Braintrust Data, Inc.)</w:t>
      </w:r>
      <w:r>
        <w:t xml:space="preserve"> </w:t>
      </w:r>
      <w:hyperlink r:id="rId173">
        <w:r>
          <w:rPr>
            <w:rStyle w:val="Hyperlink"/>
          </w:rPr>
          <w:t xml:space="preserve">https://www.braintrust.dev/docs/integrations/opentelemetry</w:t>
        </w:r>
      </w:hyperlink>
      <w:r>
        <w:t xml:space="preserve"> </w:t>
      </w:r>
      <w:r>
        <w:t xml:space="preserve">accessed 2026-10-07 [search-tool extract]</w:t>
      </w:r>
    </w:p>
  </w:footnote>
  <w:footnote w:id="174">
    <w:p>
      <w:pPr>
        <w:pStyle w:val="FootnoteText"/>
      </w:pPr>
      <w:r>
        <w:rPr>
          <w:rStyle w:val="FootnoteReference"/>
        </w:rPr>
        <w:footnoteRef/>
      </w:r>
      <w:r>
        <w:t xml:space="preserve"> </w:t>
      </w:r>
      <w:r>
        <w:t xml:space="preserve">Verified fact — A1-S042: OpenTelemetry (OTel) - Braintrust docs (Braintrust Data, Inc.)</w:t>
      </w:r>
      <w:r>
        <w:t xml:space="preserve"> </w:t>
      </w:r>
      <w:hyperlink r:id="rId173">
        <w:r>
          <w:rPr>
            <w:rStyle w:val="Hyperlink"/>
          </w:rPr>
          <w:t xml:space="preserve">https://www.braintrust.dev/docs/integrations/opentelemetry</w:t>
        </w:r>
      </w:hyperlink>
      <w:r>
        <w:t xml:space="preserve"> </w:t>
      </w:r>
      <w:r>
        <w:t xml:space="preserve">accessed 2026-10-07 [search-tool extract]</w:t>
      </w:r>
    </w:p>
  </w:footnote>
  <w:footnote w:id="175">
    <w:p>
      <w:pPr>
        <w:pStyle w:val="FootnoteText"/>
      </w:pPr>
      <w:r>
        <w:rPr>
          <w:rStyle w:val="FootnoteReference"/>
        </w:rPr>
        <w:footnoteRef/>
      </w:r>
      <w:r>
        <w:t xml:space="preserve"> </w:t>
      </w:r>
      <w:r>
        <w:t xml:space="preserve">Verified fact — A1-S041: Security is a choice: how Braintrust lets you decide where your AI data lives (Braintrust Data, Inc.)</w:t>
      </w:r>
      <w:r>
        <w:t xml:space="preserve"> </w:t>
      </w:r>
      <w:hyperlink r:id="rId171">
        <w:r>
          <w:rPr>
            <w:rStyle w:val="Hyperlink"/>
          </w:rPr>
          <w:t xml:space="preserve">https://www.braintrust.dev/blog/security-data-control</w:t>
        </w:r>
      </w:hyperlink>
      <w:r>
        <w:t xml:space="preserve"> </w:t>
      </w:r>
      <w:r>
        <w:t xml:space="preserve">accessed 2026-10-07 [search-tool extract]; A1-S125: Security - Braintrust docs</w:t>
      </w:r>
      <w:r>
        <w:t xml:space="preserve"> </w:t>
      </w:r>
      <w:hyperlink r:id="rId176">
        <w:r>
          <w:rPr>
            <w:rStyle w:val="Hyperlink"/>
          </w:rPr>
          <w:t xml:space="preserve">https://www.braintrust.dev/docs/security</w:t>
        </w:r>
      </w:hyperlink>
      <w:r>
        <w:t xml:space="preserve"> </w:t>
      </w:r>
      <w:r>
        <w:t xml:space="preserve">accessed 2026-10-07 [search-tool extract]</w:t>
      </w:r>
    </w:p>
  </w:footnote>
  <w:footnote w:id="177">
    <w:p>
      <w:pPr>
        <w:pStyle w:val="FootnoteText"/>
      </w:pPr>
      <w:r>
        <w:rPr>
          <w:rStyle w:val="FootnoteReference"/>
        </w:rPr>
        <w:footnoteRef/>
      </w:r>
      <w:r>
        <w:t xml:space="preserve"> </w:t>
      </w:r>
      <w:r>
        <w:t xml:space="preserve">Verified fact — A1-S042: OpenTelemetry (OTel) - Braintrust docs (Braintrust Data, Inc.)</w:t>
      </w:r>
      <w:r>
        <w:t xml:space="preserve"> </w:t>
      </w:r>
      <w:hyperlink r:id="rId173">
        <w:r>
          <w:rPr>
            <w:rStyle w:val="Hyperlink"/>
          </w:rPr>
          <w:t xml:space="preserve">https://www.braintrust.dev/docs/integrations/opentelemetry</w:t>
        </w:r>
      </w:hyperlink>
      <w:r>
        <w:t xml:space="preserve"> </w:t>
      </w:r>
      <w:r>
        <w:t xml:space="preserve">accessed 2026-10-07 [search-tool extract]</w:t>
      </w:r>
    </w:p>
  </w:footnote>
  <w:footnote w:id="178">
    <w:p>
      <w:pPr>
        <w:pStyle w:val="FootnoteText"/>
      </w:pPr>
      <w:r>
        <w:rPr>
          <w:rStyle w:val="FootnoteReference"/>
        </w:rPr>
        <w:footnoteRef/>
      </w:r>
      <w:r>
        <w:t xml:space="preserve"> </w:t>
      </w:r>
      <w:r>
        <w:t xml:space="preserve">Verified fact — A1-S042: OpenTelemetry (OTel) - Braintrust docs (Braintrust Data, Inc.)</w:t>
      </w:r>
      <w:r>
        <w:t xml:space="preserve"> </w:t>
      </w:r>
      <w:hyperlink r:id="rId173">
        <w:r>
          <w:rPr>
            <w:rStyle w:val="Hyperlink"/>
          </w:rPr>
          <w:t xml:space="preserve">https://www.braintrust.dev/docs/integrations/opentelemetry</w:t>
        </w:r>
      </w:hyperlink>
      <w:r>
        <w:t xml:space="preserve"> </w:t>
      </w:r>
      <w:r>
        <w:t xml:space="preserve">accessed 2026-10-07 [search-tool extract]</w:t>
      </w:r>
    </w:p>
  </w:footnote>
  <w:footnote w:id="179">
    <w:p>
      <w:pPr>
        <w:pStyle w:val="FootnoteText"/>
      </w:pPr>
      <w:r>
        <w:rPr>
          <w:rStyle w:val="FootnoteReference"/>
        </w:rPr>
        <w:footnoteRef/>
      </w:r>
      <w:r>
        <w:t xml:space="preserve"> </w:t>
      </w:r>
      <w:r>
        <w:t xml:space="preserve">Verified fact — A1-S041: Security is a choice: how Braintrust lets you decide where your AI data lives (Braintrust Data, Inc.)</w:t>
      </w:r>
      <w:r>
        <w:t xml:space="preserve"> </w:t>
      </w:r>
      <w:hyperlink r:id="rId171">
        <w:r>
          <w:rPr>
            <w:rStyle w:val="Hyperlink"/>
          </w:rPr>
          <w:t xml:space="preserve">https://www.braintrust.dev/blog/security-data-control</w:t>
        </w:r>
      </w:hyperlink>
      <w:r>
        <w:t xml:space="preserve"> </w:t>
      </w:r>
      <w:r>
        <w:t xml:space="preserve">accessed 2026-10-07 [search-tool extract]</w:t>
      </w:r>
    </w:p>
  </w:footnote>
  <w:footnote w:id="180">
    <w:p>
      <w:pPr>
        <w:pStyle w:val="FootnoteText"/>
      </w:pPr>
      <w:r>
        <w:rPr>
          <w:rStyle w:val="FootnoteReference"/>
        </w:rPr>
        <w:footnoteRef/>
      </w:r>
      <w:r>
        <w:t xml:space="preserve"> </w:t>
      </w:r>
      <w:r>
        <w:t xml:space="preserve">Reported — A1-S027: AI observability Braintrust raises $80 million at $800 million (Axios Pro)</w:t>
      </w:r>
      <w:r>
        <w:t xml:space="preserve"> </w:t>
      </w:r>
      <w:hyperlink r:id="rId181">
        <w:r>
          <w:rPr>
            <w:rStyle w:val="Hyperlink"/>
          </w:rPr>
          <w:t xml:space="preserve">https://www.axios.com/pro/enterprise-software-deals/2026/02/17/ai-observability-braintrust-80-million-800-million</w:t>
        </w:r>
      </w:hyperlink>
      <w:r>
        <w:t xml:space="preserve"> </w:t>
      </w:r>
      <w:r>
        <w:t xml:space="preserve">accessed 2026-10-07</w:t>
      </w:r>
    </w:p>
  </w:footnote>
  <w:footnote w:id="183">
    <w:p>
      <w:pPr>
        <w:pStyle w:val="FootnoteText"/>
      </w:pPr>
      <w:r>
        <w:rPr>
          <w:rStyle w:val="FootnoteReference"/>
        </w:rPr>
        <w:footnoteRef/>
      </w:r>
      <w:r>
        <w:t xml:space="preserve"> </w:t>
      </w:r>
      <w:r>
        <w:t xml:space="preserve">Verified fact — A1-S097: Datadog LLM Observability docs (Datadog, Inc.)</w:t>
      </w:r>
      <w:r>
        <w:t xml:space="preserve"> </w:t>
      </w:r>
      <w:hyperlink r:id="rId184">
        <w:r>
          <w:rPr>
            <w:rStyle w:val="Hyperlink"/>
          </w:rPr>
          <w:t xml:space="preserve">https://docs.datadoghq.com/llm_observability/</w:t>
        </w:r>
      </w:hyperlink>
      <w:r>
        <w:t xml:space="preserve"> </w:t>
      </w:r>
      <w:r>
        <w:t xml:space="preserve">accessed 2026-10-07; A1-S099: Datadog LLM Observability: Evaluations (Datadog, Inc.)</w:t>
      </w:r>
      <w:r>
        <w:t xml:space="preserve"> </w:t>
      </w:r>
      <w:hyperlink r:id="rId185">
        <w:r>
          <w:rPr>
            <w:rStyle w:val="Hyperlink"/>
          </w:rPr>
          <w:t xml:space="preserve">https://docs.datadoghq.com/llm_observability/evaluations/</w:t>
        </w:r>
      </w:hyperlink>
      <w:r>
        <w:t xml:space="preserve"> </w:t>
      </w:r>
      <w:r>
        <w:t xml:space="preserve">accessed 2026-10-07</w:t>
      </w:r>
    </w:p>
  </w:footnote>
  <w:footnote w:id="186">
    <w:p>
      <w:pPr>
        <w:pStyle w:val="FootnoteText"/>
      </w:pPr>
      <w:r>
        <w:rPr>
          <w:rStyle w:val="FootnoteReference"/>
        </w:rPr>
        <w:footnoteRef/>
      </w:r>
      <w:r>
        <w:t xml:space="preserve"> </w:t>
      </w:r>
      <w:r>
        <w:t xml:space="preserve">Verified fact — A1-S097: Datadog LLM Observability docs (Datadog, Inc.)</w:t>
      </w:r>
      <w:r>
        <w:t xml:space="preserve"> </w:t>
      </w:r>
      <w:hyperlink r:id="rId184">
        <w:r>
          <w:rPr>
            <w:rStyle w:val="Hyperlink"/>
          </w:rPr>
          <w:t xml:space="preserve">https://docs.datadoghq.com/llm_observability/</w:t>
        </w:r>
      </w:hyperlink>
      <w:r>
        <w:t xml:space="preserve"> </w:t>
      </w:r>
      <w:r>
        <w:t xml:space="preserve">accessed 2026-10-07</w:t>
      </w:r>
    </w:p>
  </w:footnote>
  <w:footnote w:id="187">
    <w:p>
      <w:pPr>
        <w:pStyle w:val="FootnoteText"/>
      </w:pPr>
      <w:r>
        <w:rPr>
          <w:rStyle w:val="FootnoteReference"/>
        </w:rPr>
        <w:footnoteRef/>
      </w:r>
      <w:r>
        <w:t xml:space="preserve"> </w:t>
      </w:r>
      <w:r>
        <w:t xml:space="preserve">Verified fact — A1-S098: Datadog LLM Observability: OpenTelemetry instrumentation (Datadog, Inc.)</w:t>
      </w:r>
      <w:r>
        <w:t xml:space="preserve"> </w:t>
      </w:r>
      <w:hyperlink r:id="rId136">
        <w:r>
          <w:rPr>
            <w:rStyle w:val="Hyperlink"/>
          </w:rPr>
          <w:t xml:space="preserve">https://docs.datadoghq.com/llm_observability/instrumentation/otel_instrumentation/</w:t>
        </w:r>
      </w:hyperlink>
      <w:r>
        <w:t xml:space="preserve"> </w:t>
      </w:r>
      <w:r>
        <w:t xml:space="preserve">accessed 2026-10-07</w:t>
      </w:r>
    </w:p>
  </w:footnote>
  <w:footnote w:id="188">
    <w:p>
      <w:pPr>
        <w:pStyle w:val="FootnoteText"/>
      </w:pPr>
      <w:r>
        <w:rPr>
          <w:rStyle w:val="FootnoteReference"/>
        </w:rPr>
        <w:footnoteRef/>
      </w:r>
      <w:r>
        <w:t xml:space="preserve"> </w:t>
      </w:r>
      <w:r>
        <w:t xml:space="preserve">Verified fact — A1-S097: Datadog LLM Observability docs (Datadog, Inc.)</w:t>
      </w:r>
      <w:r>
        <w:t xml:space="preserve"> </w:t>
      </w:r>
      <w:hyperlink r:id="rId184">
        <w:r>
          <w:rPr>
            <w:rStyle w:val="Hyperlink"/>
          </w:rPr>
          <w:t xml:space="preserve">https://docs.datadoghq.com/llm_observability/</w:t>
        </w:r>
      </w:hyperlink>
      <w:r>
        <w:t xml:space="preserve"> </w:t>
      </w:r>
      <w:r>
        <w:t xml:space="preserve">accessed 2026-10-07</w:t>
      </w:r>
    </w:p>
  </w:footnote>
  <w:footnote w:id="189">
    <w:p>
      <w:pPr>
        <w:pStyle w:val="FootnoteText"/>
      </w:pPr>
      <w:r>
        <w:rPr>
          <w:rStyle w:val="FootnoteReference"/>
        </w:rPr>
        <w:footnoteRef/>
      </w:r>
      <w:r>
        <w:t xml:space="preserve"> </w:t>
      </w:r>
      <w:r>
        <w:t xml:space="preserve">Verified fact — B-L9-S001: Datadog Trust Center (Datadog, Inc.)</w:t>
      </w:r>
      <w:r>
        <w:t xml:space="preserve"> </w:t>
      </w:r>
      <w:hyperlink r:id="rId190">
        <w:r>
          <w:rPr>
            <w:rStyle w:val="Hyperlink"/>
          </w:rPr>
          <w:t xml:space="preserve">https://trust.datadoghq.com/</w:t>
        </w:r>
      </w:hyperlink>
      <w:r>
        <w:t xml:space="preserve"> </w:t>
      </w:r>
      <w:r>
        <w:t xml:space="preserve">accessed 2026-10-08; B-L9-S002: Getting Started with Datadog Sites (Datadog, Inc.)</w:t>
      </w:r>
      <w:r>
        <w:t xml:space="preserve"> </w:t>
      </w:r>
      <w:hyperlink r:id="rId191">
        <w:r>
          <w:rPr>
            <w:rStyle w:val="Hyperlink"/>
          </w:rPr>
          <w:t xml:space="preserve">https://docs.datadoghq.com/getting_started/site/</w:t>
        </w:r>
      </w:hyperlink>
      <w:r>
        <w:t xml:space="preserve"> </w:t>
      </w:r>
      <w:r>
        <w:t xml:space="preserve">accessed 2026-10-08; B-L9-S003: Access Control (Datadog RBAC) (Datadog, Inc.)</w:t>
      </w:r>
      <w:r>
        <w:t xml:space="preserve"> </w:t>
      </w:r>
      <w:hyperlink r:id="rId192">
        <w:r>
          <w:rPr>
            <w:rStyle w:val="Hyperlink"/>
          </w:rPr>
          <w:t xml:space="preserve">https://docs.datadoghq.com/account_management/rbac/</w:t>
        </w:r>
      </w:hyperlink>
      <w:r>
        <w:t xml:space="preserve"> </w:t>
      </w:r>
      <w:r>
        <w:t xml:space="preserve">accessed 2026-10-08; B-L9-S005: Configuring Single Sign-On With SAML (Datadog, Inc.)</w:t>
      </w:r>
      <w:r>
        <w:t xml:space="preserve"> </w:t>
      </w:r>
      <w:hyperlink r:id="rId193">
        <w:r>
          <w:rPr>
            <w:rStyle w:val="Hyperlink"/>
          </w:rPr>
          <w:t xml:space="preserve">https://docs.datadoghq.com/account_management/saml/configuration/</w:t>
        </w:r>
      </w:hyperlink>
      <w:r>
        <w:t xml:space="preserve"> </w:t>
      </w:r>
      <w:r>
        <w:t xml:space="preserve">accessed 2026-10-08</w:t>
      </w:r>
    </w:p>
  </w:footnote>
  <w:footnote w:id="194">
    <w:p>
      <w:pPr>
        <w:pStyle w:val="FootnoteText"/>
      </w:pPr>
      <w:r>
        <w:rPr>
          <w:rStyle w:val="FootnoteReference"/>
        </w:rPr>
        <w:footnoteRef/>
      </w:r>
      <w:r>
        <w:t xml:space="preserve"> </w:t>
      </w:r>
      <w:r>
        <w:t xml:space="preserve">Verified fact — A1-S097: Datadog LLM Observability docs (Datadog, Inc.)</w:t>
      </w:r>
      <w:r>
        <w:t xml:space="preserve"> </w:t>
      </w:r>
      <w:hyperlink r:id="rId184">
        <w:r>
          <w:rPr>
            <w:rStyle w:val="Hyperlink"/>
          </w:rPr>
          <w:t xml:space="preserve">https://docs.datadoghq.com/llm_observability/</w:t>
        </w:r>
      </w:hyperlink>
      <w:r>
        <w:t xml:space="preserve"> </w:t>
      </w:r>
      <w:r>
        <w:t xml:space="preserve">accessed 2026-10-07</w:t>
      </w:r>
    </w:p>
  </w:footnote>
  <w:footnote w:id="195">
    <w:p>
      <w:pPr>
        <w:pStyle w:val="FootnoteText"/>
      </w:pPr>
      <w:r>
        <w:rPr>
          <w:rStyle w:val="FootnoteReference"/>
        </w:rPr>
        <w:footnoteRef/>
      </w:r>
      <w:r>
        <w:t xml:space="preserve"> </w:t>
      </w:r>
      <w:r>
        <w:t xml:space="preserve">Verified fact — A1-S097: Datadog LLM Observability docs (Datadog, Inc.)</w:t>
      </w:r>
      <w:r>
        <w:t xml:space="preserve"> </w:t>
      </w:r>
      <w:hyperlink r:id="rId184">
        <w:r>
          <w:rPr>
            <w:rStyle w:val="Hyperlink"/>
          </w:rPr>
          <w:t xml:space="preserve">https://docs.datadoghq.com/llm_observability/</w:t>
        </w:r>
      </w:hyperlink>
      <w:r>
        <w:t xml:space="preserve"> </w:t>
      </w:r>
      <w:r>
        <w:t xml:space="preserve">accessed 2026-10-07</w:t>
      </w:r>
    </w:p>
  </w:footnote>
  <w:footnote w:id="198">
    <w:p>
      <w:pPr>
        <w:pStyle w:val="FootnoteText"/>
      </w:pPr>
      <w:r>
        <w:rPr>
          <w:rStyle w:val="FootnoteReference"/>
        </w:rPr>
        <w:footnoteRef/>
      </w:r>
      <w:r>
        <w:t xml:space="preserve"> </w:t>
      </w:r>
      <w:r>
        <w:t xml:space="preserve">Verified fact — B-REV-S001: Security and Disclosure Information Policy for the Docling Project (Docling Project (LF AI &amp; Data))</w:t>
      </w:r>
      <w:r>
        <w:t xml:space="preserve"> </w:t>
      </w:r>
      <w:hyperlink r:id="rId199">
        <w:r>
          <w:rPr>
            <w:rStyle w:val="Hyperlink"/>
          </w:rPr>
          <w:t xml:space="preserve">https://raw.githubusercontent.com/docling-project/docling/main/.github/SECURITY.md</w:t>
        </w:r>
      </w:hyperlink>
      <w:r>
        <w:t xml:space="preserve"> </w:t>
      </w:r>
      <w:r>
        <w:t xml:space="preserve">accessed 2026-10-08</w:t>
      </w:r>
    </w:p>
  </w:footnote>
  <w:footnote w:id="200">
    <w:p>
      <w:pPr>
        <w:pStyle w:val="FootnoteText"/>
      </w:pPr>
      <w:r>
        <w:rPr>
          <w:rStyle w:val="FootnoteReference"/>
        </w:rPr>
        <w:footnoteRef/>
      </w:r>
      <w:r>
        <w:t xml:space="preserve"> </w:t>
      </w:r>
      <w:r>
        <w:t xml:space="preserve">Verified fact — A1-S057: Docling README (Docling Project (GitHub))</w:t>
      </w:r>
      <w:r>
        <w:t xml:space="preserve"> </w:t>
      </w:r>
      <w:hyperlink r:id="rId201">
        <w:r>
          <w:rPr>
            <w:rStyle w:val="Hyperlink"/>
          </w:rPr>
          <w:t xml:space="preserve">https://raw.githubusercontent.com/docling-project/docling/main/README.md</w:t>
        </w:r>
      </w:hyperlink>
      <w:r>
        <w:t xml:space="preserve"> </w:t>
      </w:r>
      <w:r>
        <w:t xml:space="preserve">accessed 2026-10-07; A1-S111: Docling supported formats (docs source) (Docling Project (GitHub docs source))</w:t>
      </w:r>
      <w:r>
        <w:t xml:space="preserve"> </w:t>
      </w:r>
      <w:hyperlink r:id="rId202">
        <w:r>
          <w:rPr>
            <w:rStyle w:val="Hyperlink"/>
          </w:rPr>
          <w:t xml:space="preserve">https://raw.githubusercontent.com/docling-project/docling/main/docs/usage/supported_formats.md</w:t>
        </w:r>
      </w:hyperlink>
      <w:r>
        <w:t xml:space="preserve"> </w:t>
      </w:r>
      <w:r>
        <w:t xml:space="preserve">accessed 2026-10-07; A1-S082: Docling Serve README (Docling Project (GitHub))</w:t>
      </w:r>
      <w:r>
        <w:t xml:space="preserve"> </w:t>
      </w:r>
      <w:hyperlink r:id="rId203">
        <w:r>
          <w:rPr>
            <w:rStyle w:val="Hyperlink"/>
          </w:rPr>
          <w:t xml:space="preserve">https://raw.githubusercontent.com/docling-project/docling-serve/main/README.md</w:t>
        </w:r>
      </w:hyperlink>
      <w:r>
        <w:t xml:space="preserve"> </w:t>
      </w:r>
      <w:r>
        <w:t xml:space="preserve">accessed 2026-10-07</w:t>
      </w:r>
    </w:p>
  </w:footnote>
  <w:footnote w:id="204">
    <w:p>
      <w:pPr>
        <w:pStyle w:val="FootnoteText"/>
      </w:pPr>
      <w:r>
        <w:rPr>
          <w:rStyle w:val="FootnoteReference"/>
        </w:rPr>
        <w:footnoteRef/>
      </w:r>
      <w:r>
        <w:t xml:space="preserve"> </w:t>
      </w:r>
      <w:r>
        <w:t xml:space="preserve">Verified fact — A1-S057: Docling README (Docling Project (GitHub))</w:t>
      </w:r>
      <w:r>
        <w:t xml:space="preserve"> </w:t>
      </w:r>
      <w:hyperlink r:id="rId201">
        <w:r>
          <w:rPr>
            <w:rStyle w:val="Hyperlink"/>
          </w:rPr>
          <w:t xml:space="preserve">https://raw.githubusercontent.com/docling-project/docling/main/README.md</w:t>
        </w:r>
      </w:hyperlink>
      <w:r>
        <w:t xml:space="preserve"> </w:t>
      </w:r>
      <w:r>
        <w:t xml:space="preserve">accessed 2026-10-07; V1-S091: Docling - LF AI &amp; Data project page; LF press release 29 April 2025 (IBM contributes Docling, Data Prep Kit, BeeAI) (LF AI &amp; Data Foundation)</w:t>
      </w:r>
      <w:r>
        <w:t xml:space="preserve"> </w:t>
      </w:r>
      <w:hyperlink r:id="rId205">
        <w:r>
          <w:rPr>
            <w:rStyle w:val="Hyperlink"/>
          </w:rPr>
          <w:t xml:space="preserve">https://lfaidata.foundation/projects/docling/</w:t>
        </w:r>
      </w:hyperlink>
      <w:r>
        <w:t xml:space="preserve"> </w:t>
      </w:r>
      <w:r>
        <w:t xml:space="preserve">accessed 2026-10-08 [search-tool extract]</w:t>
      </w:r>
    </w:p>
  </w:footnote>
  <w:footnote w:id="206">
    <w:p>
      <w:pPr>
        <w:pStyle w:val="FootnoteText"/>
      </w:pPr>
      <w:r>
        <w:rPr>
          <w:rStyle w:val="FootnoteReference"/>
        </w:rPr>
        <w:footnoteRef/>
      </w:r>
      <w:r>
        <w:t xml:space="preserve"> </w:t>
      </w:r>
      <w:r>
        <w:t xml:space="preserve">Verified fact — A1-S111: Docling supported formats (docs source) (Docling Project (GitHub docs source))</w:t>
      </w:r>
      <w:r>
        <w:t xml:space="preserve"> </w:t>
      </w:r>
      <w:hyperlink r:id="rId202">
        <w:r>
          <w:rPr>
            <w:rStyle w:val="Hyperlink"/>
          </w:rPr>
          <w:t xml:space="preserve">https://raw.githubusercontent.com/docling-project/docling/main/docs/usage/supported_formats.md</w:t>
        </w:r>
      </w:hyperlink>
      <w:r>
        <w:t xml:space="preserve"> </w:t>
      </w:r>
      <w:r>
        <w:t xml:space="preserve">accessed 2026-10-07</w:t>
      </w:r>
    </w:p>
  </w:footnote>
  <w:footnote w:id="207">
    <w:p>
      <w:pPr>
        <w:pStyle w:val="FootnoteText"/>
      </w:pPr>
      <w:r>
        <w:rPr>
          <w:rStyle w:val="FootnoteReference"/>
        </w:rPr>
        <w:footnoteRef/>
      </w:r>
      <w:r>
        <w:t xml:space="preserve"> </w:t>
      </w:r>
      <w:r>
        <w:t xml:space="preserve">Verified fact — A1-S057: Docling README (Docling Project (GitHub))</w:t>
      </w:r>
      <w:r>
        <w:t xml:space="preserve"> </w:t>
      </w:r>
      <w:hyperlink r:id="rId201">
        <w:r>
          <w:rPr>
            <w:rStyle w:val="Hyperlink"/>
          </w:rPr>
          <w:t xml:space="preserve">https://raw.githubusercontent.com/docling-project/docling/main/README.md</w:t>
        </w:r>
      </w:hyperlink>
      <w:r>
        <w:t xml:space="preserve"> </w:t>
      </w:r>
      <w:r>
        <w:t xml:space="preserve">accessed 2026-10-07</w:t>
      </w:r>
    </w:p>
  </w:footnote>
  <w:footnote w:id="208">
    <w:p>
      <w:pPr>
        <w:pStyle w:val="FootnoteText"/>
      </w:pPr>
      <w:r>
        <w:rPr>
          <w:rStyle w:val="FootnoteReference"/>
        </w:rPr>
        <w:footnoteRef/>
      </w:r>
      <w:r>
        <w:t xml:space="preserve"> </w:t>
      </w:r>
      <w:r>
        <w:t xml:space="preserve">Verified fact — A1-S008: PyPI JSON metadata: docling (Python Package Index)</w:t>
      </w:r>
      <w:r>
        <w:t xml:space="preserve"> </w:t>
      </w:r>
      <w:hyperlink r:id="rId209">
        <w:r>
          <w:rPr>
            <w:rStyle w:val="Hyperlink"/>
          </w:rPr>
          <w:t xml:space="preserve">https://pypi.org/pypi/docling/json</w:t>
        </w:r>
      </w:hyperlink>
      <w:r>
        <w:t xml:space="preserve"> </w:t>
      </w:r>
      <w:r>
        <w:t xml:space="preserve">accessed 2026-10-07</w:t>
      </w:r>
    </w:p>
  </w:footnote>
  <w:footnote w:id="210">
    <w:p>
      <w:pPr>
        <w:pStyle w:val="FootnoteText"/>
      </w:pPr>
      <w:r>
        <w:rPr>
          <w:rStyle w:val="FootnoteReference"/>
        </w:rPr>
        <w:footnoteRef/>
      </w:r>
      <w:r>
        <w:t xml:space="preserve"> </w:t>
      </w:r>
      <w:r>
        <w:t xml:space="preserve">Verified fact — A1-S057: Docling README (Docling Project (GitHub))</w:t>
      </w:r>
      <w:r>
        <w:t xml:space="preserve"> </w:t>
      </w:r>
      <w:hyperlink r:id="rId201">
        <w:r>
          <w:rPr>
            <w:rStyle w:val="Hyperlink"/>
          </w:rPr>
          <w:t xml:space="preserve">https://raw.githubusercontent.com/docling-project/docling/main/README.md</w:t>
        </w:r>
      </w:hyperlink>
      <w:r>
        <w:t xml:space="preserve"> </w:t>
      </w:r>
      <w:r>
        <w:t xml:space="preserve">accessed 2026-10-07</w:t>
      </w:r>
    </w:p>
  </w:footnote>
  <w:footnote w:id="211">
    <w:p>
      <w:pPr>
        <w:pStyle w:val="FootnoteText"/>
      </w:pPr>
      <w:r>
        <w:rPr>
          <w:rStyle w:val="FootnoteReference"/>
        </w:rPr>
        <w:footnoteRef/>
      </w:r>
      <w:r>
        <w:t xml:space="preserve"> </w:t>
      </w:r>
      <w:r>
        <w:t xml:space="preserve">Verified fact — B-REV-S001: Security and Disclosure Information Policy for the Docling Project (Docling Project (LF AI &amp; Data))</w:t>
      </w:r>
      <w:r>
        <w:t xml:space="preserve"> </w:t>
      </w:r>
      <w:hyperlink r:id="rId199">
        <w:r>
          <w:rPr>
            <w:rStyle w:val="Hyperlink"/>
          </w:rPr>
          <w:t xml:space="preserve">https://raw.githubusercontent.com/docling-project/docling/main/.github/SECURITY.md</w:t>
        </w:r>
      </w:hyperlink>
      <w:r>
        <w:t xml:space="preserve"> </w:t>
      </w:r>
      <w:r>
        <w:t xml:space="preserve">accessed 2026-10-08</w:t>
      </w:r>
    </w:p>
  </w:footnote>
  <w:footnote w:id="213">
    <w:p>
      <w:pPr>
        <w:pStyle w:val="FootnoteText"/>
      </w:pPr>
      <w:r>
        <w:rPr>
          <w:rStyle w:val="FootnoteReference"/>
        </w:rPr>
        <w:footnoteRef/>
      </w:r>
      <w:r>
        <w:t xml:space="preserve"> </w:t>
      </w:r>
      <w:r>
        <w:t xml:space="preserve">Verified fact — B-REV-S016: Unstructured: IdP overview, Configure an identity provider, Security and compliance overview (Unstructured Technologies)</w:t>
      </w:r>
      <w:r>
        <w:t xml:space="preserve"> </w:t>
      </w:r>
      <w:hyperlink r:id="rId214">
        <w:r>
          <w:rPr>
            <w:rStyle w:val="Hyperlink"/>
          </w:rPr>
          <w:t xml:space="preserve">https://docs.unstructured.io/business/idp/overview</w:t>
        </w:r>
      </w:hyperlink>
      <w:r>
        <w:t xml:space="preserve"> </w:t>
      </w:r>
      <w:r>
        <w:t xml:space="preserve">accessed 2026-10-08 [search-tool extract]</w:t>
      </w:r>
    </w:p>
  </w:footnote>
  <w:footnote w:id="215">
    <w:p>
      <w:pPr>
        <w:pStyle w:val="FootnoteText"/>
      </w:pPr>
      <w:r>
        <w:rPr>
          <w:rStyle w:val="FootnoteReference"/>
        </w:rPr>
        <w:footnoteRef/>
      </w:r>
      <w:r>
        <w:t xml:space="preserve"> </w:t>
      </w:r>
      <w:r>
        <w:t xml:space="preserve">Verified fact — A1-S075: Unstructured open-source library README (Unstructured Technologies (GitHub))</w:t>
      </w:r>
      <w:r>
        <w:t xml:space="preserve"> </w:t>
      </w:r>
      <w:hyperlink r:id="rId216">
        <w:r>
          <w:rPr>
            <w:rStyle w:val="Hyperlink"/>
          </w:rPr>
          <w:t xml:space="preserve">https://raw.githubusercontent.com/Unstructured-IO/unstructured/main/README.md</w:t>
        </w:r>
      </w:hyperlink>
      <w:r>
        <w:t xml:space="preserve"> </w:t>
      </w:r>
      <w:r>
        <w:t xml:space="preserve">accessed 2026-10-07; A1-S094: unstructured-ingest CHANGELOG (Unstructured Technologies (GitHub))</w:t>
      </w:r>
      <w:r>
        <w:t xml:space="preserve"> </w:t>
      </w:r>
      <w:hyperlink r:id="rId217">
        <w:r>
          <w:rPr>
            <w:rStyle w:val="Hyperlink"/>
          </w:rPr>
          <w:t xml:space="preserve">https://raw.githubusercontent.com/Unstructured-IO/unstructured-ingest/main/CHANGELOG.md</w:t>
        </w:r>
      </w:hyperlink>
      <w:r>
        <w:t xml:space="preserve"> </w:t>
      </w:r>
      <w:r>
        <w:t xml:space="preserve">accessed 2026-10-07; A1-S117: Unstructured Pricing Plans for Data Processing</w:t>
      </w:r>
      <w:r>
        <w:t xml:space="preserve"> </w:t>
      </w:r>
      <w:hyperlink r:id="rId218">
        <w:r>
          <w:rPr>
            <w:rStyle w:val="Hyperlink"/>
          </w:rPr>
          <w:t xml:space="preserve">https://unstructured.io/pricing</w:t>
        </w:r>
      </w:hyperlink>
      <w:r>
        <w:t xml:space="preserve"> </w:t>
      </w:r>
      <w:r>
        <w:t xml:space="preserve">accessed 2026-10-07 [search-tool extract]; V1-S019: Unstructured Transform: Parse your first document (API v2)</w:t>
      </w:r>
      <w:r>
        <w:t xml:space="preserve"> </w:t>
      </w:r>
      <w:hyperlink r:id="rId219">
        <w:r>
          <w:rPr>
            <w:rStyle w:val="Hyperlink"/>
          </w:rPr>
          <w:t xml:space="preserve">https://docs.unstructured.io/transform/first-request</w:t>
        </w:r>
      </w:hyperlink>
      <w:r>
        <w:t xml:space="preserve"> </w:t>
      </w:r>
      <w:r>
        <w:t xml:space="preserve">accessed 2026-10-08 [search-tool extract]</w:t>
      </w:r>
    </w:p>
  </w:footnote>
  <w:footnote w:id="220">
    <w:p>
      <w:pPr>
        <w:pStyle w:val="FootnoteText"/>
      </w:pPr>
      <w:r>
        <w:rPr>
          <w:rStyle w:val="FootnoteReference"/>
        </w:rPr>
        <w:footnoteRef/>
      </w:r>
      <w:r>
        <w:t xml:space="preserve"> </w:t>
      </w:r>
      <w:r>
        <w:t xml:space="preserve">Verified fact — A1-S094: unstructured-ingest CHANGELOG (Unstructured Technologies (GitHub))</w:t>
      </w:r>
      <w:r>
        <w:t xml:space="preserve"> </w:t>
      </w:r>
      <w:hyperlink r:id="rId217">
        <w:r>
          <w:rPr>
            <w:rStyle w:val="Hyperlink"/>
          </w:rPr>
          <w:t xml:space="preserve">https://raw.githubusercontent.com/Unstructured-IO/unstructured-ingest/main/CHANGELOG.md</w:t>
        </w:r>
      </w:hyperlink>
      <w:r>
        <w:t xml:space="preserve"> </w:t>
      </w:r>
      <w:r>
        <w:t xml:space="preserve">accessed 2026-10-07</w:t>
      </w:r>
    </w:p>
  </w:footnote>
  <w:footnote w:id="221">
    <w:p>
      <w:pPr>
        <w:pStyle w:val="FootnoteText"/>
      </w:pPr>
      <w:r>
        <w:rPr>
          <w:rStyle w:val="FootnoteReference"/>
        </w:rPr>
        <w:footnoteRef/>
      </w:r>
      <w:r>
        <w:t xml:space="preserve"> </w:t>
      </w:r>
      <w:r>
        <w:t xml:space="preserve">Verified fact — A1-S094: unstructured-ingest CHANGELOG (Unstructured Technologies (GitHub))</w:t>
      </w:r>
      <w:r>
        <w:t xml:space="preserve"> </w:t>
      </w:r>
      <w:hyperlink r:id="rId217">
        <w:r>
          <w:rPr>
            <w:rStyle w:val="Hyperlink"/>
          </w:rPr>
          <w:t xml:space="preserve">https://raw.githubusercontent.com/Unstructured-IO/unstructured-ingest/main/CHANGELOG.md</w:t>
        </w:r>
      </w:hyperlink>
      <w:r>
        <w:t xml:space="preserve"> </w:t>
      </w:r>
      <w:r>
        <w:t xml:space="preserve">accessed 2026-10-07</w:t>
      </w:r>
    </w:p>
  </w:footnote>
  <w:footnote w:id="222">
    <w:p>
      <w:pPr>
        <w:pStyle w:val="FootnoteText"/>
      </w:pPr>
      <w:r>
        <w:rPr>
          <w:rStyle w:val="FootnoteReference"/>
        </w:rPr>
        <w:footnoteRef/>
      </w:r>
      <w:r>
        <w:t xml:space="preserve"> </w:t>
      </w:r>
      <w:r>
        <w:t xml:space="preserve">Verified fact — A1-S117: Unstructured Pricing Plans for Data Processing</w:t>
      </w:r>
      <w:r>
        <w:t xml:space="preserve"> </w:t>
      </w:r>
      <w:hyperlink r:id="rId218">
        <w:r>
          <w:rPr>
            <w:rStyle w:val="Hyperlink"/>
          </w:rPr>
          <w:t xml:space="preserve">https://unstructured.io/pricing</w:t>
        </w:r>
      </w:hyperlink>
      <w:r>
        <w:t xml:space="preserve"> </w:t>
      </w:r>
      <w:r>
        <w:t xml:space="preserve">accessed 2026-10-07 [search-tool extract]; V1-S090: Unstructured API overview (compliance list); pricing; CMMC 2.0 Level 2 blog</w:t>
      </w:r>
      <w:r>
        <w:t xml:space="preserve"> </w:t>
      </w:r>
      <w:hyperlink r:id="rId223">
        <w:r>
          <w:rPr>
            <w:rStyle w:val="Hyperlink"/>
          </w:rPr>
          <w:t xml:space="preserve">https://docs.unstructured.io/api-reference/overview</w:t>
        </w:r>
      </w:hyperlink>
      <w:r>
        <w:t xml:space="preserve"> </w:t>
      </w:r>
      <w:r>
        <w:t xml:space="preserve">accessed 2026-10-08 [search-tool extract]</w:t>
      </w:r>
    </w:p>
  </w:footnote>
  <w:footnote w:id="224">
    <w:p>
      <w:pPr>
        <w:pStyle w:val="FootnoteText"/>
      </w:pPr>
      <w:r>
        <w:rPr>
          <w:rStyle w:val="FootnoteReference"/>
        </w:rPr>
        <w:footnoteRef/>
      </w:r>
      <w:r>
        <w:t xml:space="preserve"> </w:t>
      </w:r>
      <w:r>
        <w:t xml:space="preserve">Verified fact — A1-S075: Unstructured open-source library README (Unstructured Technologies (GitHub))</w:t>
      </w:r>
      <w:r>
        <w:t xml:space="preserve"> </w:t>
      </w:r>
      <w:hyperlink r:id="rId216">
        <w:r>
          <w:rPr>
            <w:rStyle w:val="Hyperlink"/>
          </w:rPr>
          <w:t xml:space="preserve">https://raw.githubusercontent.com/Unstructured-IO/unstructured/main/README.md</w:t>
        </w:r>
      </w:hyperlink>
      <w:r>
        <w:t xml:space="preserve"> </w:t>
      </w:r>
      <w:r>
        <w:t xml:space="preserve">accessed 2026-10-07</w:t>
      </w:r>
    </w:p>
  </w:footnote>
  <w:footnote w:id="225">
    <w:p>
      <w:pPr>
        <w:pStyle w:val="FootnoteText"/>
      </w:pPr>
      <w:r>
        <w:rPr>
          <w:rStyle w:val="FootnoteReference"/>
        </w:rPr>
        <w:footnoteRef/>
      </w:r>
      <w:r>
        <w:t xml:space="preserve"> </w:t>
      </w:r>
      <w:r>
        <w:t xml:space="preserve">Verified fact — B-REV-S016: Unstructured: IdP overview, Configure an identity provider, Security and compliance overview (Unstructured Technologies)</w:t>
      </w:r>
      <w:r>
        <w:t xml:space="preserve"> </w:t>
      </w:r>
      <w:hyperlink r:id="rId214">
        <w:r>
          <w:rPr>
            <w:rStyle w:val="Hyperlink"/>
          </w:rPr>
          <w:t xml:space="preserve">https://docs.unstructured.io/business/idp/overview</w:t>
        </w:r>
      </w:hyperlink>
      <w:r>
        <w:t xml:space="preserve"> </w:t>
      </w:r>
      <w:r>
        <w:t xml:space="preserve">accessed 2026-10-08 [search-tool extract]</w:t>
      </w:r>
    </w:p>
  </w:footnote>
  <w:footnote w:id="226">
    <w:p>
      <w:pPr>
        <w:pStyle w:val="FootnoteText"/>
      </w:pPr>
      <w:r>
        <w:rPr>
          <w:rStyle w:val="FootnoteReference"/>
        </w:rPr>
        <w:footnoteRef/>
      </w:r>
      <w:r>
        <w:t xml:space="preserve"> </w:t>
      </w:r>
      <w:r>
        <w:t xml:space="preserve">Verified fact — A1-S075: Unstructured open-source library README (Unstructured Technologies (GitHub))</w:t>
      </w:r>
      <w:r>
        <w:t xml:space="preserve"> </w:t>
      </w:r>
      <w:hyperlink r:id="rId216">
        <w:r>
          <w:rPr>
            <w:rStyle w:val="Hyperlink"/>
          </w:rPr>
          <w:t xml:space="preserve">https://raw.githubusercontent.com/Unstructured-IO/unstructured/main/README.md</w:t>
        </w:r>
      </w:hyperlink>
      <w:r>
        <w:t xml:space="preserve"> </w:t>
      </w:r>
      <w:r>
        <w:t xml:space="preserve">accessed 2026-10-07</w:t>
      </w:r>
    </w:p>
  </w:footnote>
  <w:footnote w:id="227">
    <w:p>
      <w:pPr>
        <w:pStyle w:val="FootnoteText"/>
      </w:pPr>
      <w:r>
        <w:rPr>
          <w:rStyle w:val="FootnoteReference"/>
        </w:rPr>
        <w:footnoteRef/>
      </w:r>
      <w:r>
        <w:t xml:space="preserve"> </w:t>
      </w:r>
      <w:r>
        <w:t xml:space="preserve">Verified fact — A1-S011: PyPI JSON metadata: unstructured (Python Package Index)</w:t>
      </w:r>
      <w:r>
        <w:t xml:space="preserve"> </w:t>
      </w:r>
      <w:hyperlink r:id="rId228">
        <w:r>
          <w:rPr>
            <w:rStyle w:val="Hyperlink"/>
          </w:rPr>
          <w:t xml:space="preserve">https://pypi.org/pypi/unstructured/json</w:t>
        </w:r>
      </w:hyperlink>
      <w:r>
        <w:t xml:space="preserve"> </w:t>
      </w:r>
      <w:r>
        <w:t xml:space="preserve">accessed 2026-10-07</w:t>
      </w:r>
    </w:p>
  </w:footnote>
  <w:footnote w:id="229">
    <w:p>
      <w:pPr>
        <w:pStyle w:val="FootnoteText"/>
      </w:pPr>
      <w:r>
        <w:rPr>
          <w:rStyle w:val="FootnoteReference"/>
        </w:rPr>
        <w:footnoteRef/>
      </w:r>
      <w:r>
        <w:t xml:space="preserve"> </w:t>
      </w:r>
      <w:r>
        <w:t xml:space="preserve">Verified fact — A1-S117: Unstructured Pricing Plans for Data Processing</w:t>
      </w:r>
      <w:r>
        <w:t xml:space="preserve"> </w:t>
      </w:r>
      <w:hyperlink r:id="rId218">
        <w:r>
          <w:rPr>
            <w:rStyle w:val="Hyperlink"/>
          </w:rPr>
          <w:t xml:space="preserve">https://unstructured.io/pricing</w:t>
        </w:r>
      </w:hyperlink>
      <w:r>
        <w:t xml:space="preserve"> </w:t>
      </w:r>
      <w:r>
        <w:t xml:space="preserve">accessed 2026-10-07 [search-tool extract]; A1-S118: Unstructured Transform billing</w:t>
      </w:r>
      <w:r>
        <w:t xml:space="preserve"> </w:t>
      </w:r>
      <w:hyperlink r:id="rId230">
        <w:r>
          <w:rPr>
            <w:rStyle w:val="Hyperlink"/>
          </w:rPr>
          <w:t xml:space="preserve">https://docs.unstructured.io/transform/billing</w:t>
        </w:r>
      </w:hyperlink>
      <w:r>
        <w:t xml:space="preserve"> </w:t>
      </w:r>
      <w:r>
        <w:t xml:space="preserve">accessed 2026-10-07 [search-tool extract]</w:t>
      </w:r>
    </w:p>
  </w:footnote>
  <w:footnote w:id="231">
    <w:p>
      <w:pPr>
        <w:pStyle w:val="FootnoteText"/>
      </w:pPr>
      <w:r>
        <w:rPr>
          <w:rStyle w:val="FootnoteReference"/>
        </w:rPr>
        <w:footnoteRef/>
      </w:r>
      <w:r>
        <w:t xml:space="preserve"> </w:t>
      </w:r>
      <w:r>
        <w:t xml:space="preserve">Verified fact — A1-S075: Unstructured open-source library README (Unstructured Technologies (GitHub))</w:t>
      </w:r>
      <w:r>
        <w:t xml:space="preserve"> </w:t>
      </w:r>
      <w:hyperlink r:id="rId216">
        <w:r>
          <w:rPr>
            <w:rStyle w:val="Hyperlink"/>
          </w:rPr>
          <w:t xml:space="preserve">https://raw.githubusercontent.com/Unstructured-IO/unstructured/main/README.md</w:t>
        </w:r>
      </w:hyperlink>
      <w:r>
        <w:t xml:space="preserve"> </w:t>
      </w:r>
      <w:r>
        <w:t xml:space="preserve">accessed 2026-10-07</w:t>
      </w:r>
    </w:p>
  </w:footnote>
  <w:footnote w:id="233">
    <w:p>
      <w:pPr>
        <w:pStyle w:val="FootnoteText"/>
      </w:pPr>
      <w:r>
        <w:rPr>
          <w:rStyle w:val="FootnoteReference"/>
        </w:rPr>
        <w:footnoteRef/>
      </w:r>
      <w:r>
        <w:t xml:space="preserve"> </w:t>
      </w:r>
      <w:r>
        <w:t xml:space="preserve">Verified fact — B-REV-S010: Document AI security and compliance (Google Cloud)</w:t>
      </w:r>
      <w:r>
        <w:t xml:space="preserve"> </w:t>
      </w:r>
      <w:hyperlink r:id="rId234">
        <w:r>
          <w:rPr>
            <w:rStyle w:val="Hyperlink"/>
          </w:rPr>
          <w:t xml:space="preserve">https://cloud.google.com/document-ai/docs/security-cmek-logging</w:t>
        </w:r>
      </w:hyperlink>
      <w:r>
        <w:t xml:space="preserve"> </w:t>
      </w:r>
      <w:r>
        <w:t xml:space="preserve">accessed 2026-10-08 [search-tool extract]; B-REV-S012: Set up user access to the console (federated) (Google Cloud)</w:t>
      </w:r>
      <w:r>
        <w:t xml:space="preserve"> </w:t>
      </w:r>
      <w:hyperlink r:id="rId235">
        <w:r>
          <w:rPr>
            <w:rStyle w:val="Hyperlink"/>
          </w:rPr>
          <w:t xml:space="preserve">https://docs.cloud.google.com/iam/docs/workforce-console-sso</w:t>
        </w:r>
      </w:hyperlink>
      <w:r>
        <w:t xml:space="preserve"> </w:t>
      </w:r>
      <w:r>
        <w:t xml:space="preserve">accessed 2026-10-08 [search-tool extract]</w:t>
      </w:r>
    </w:p>
  </w:footnote>
  <w:footnote w:id="236">
    <w:p>
      <w:pPr>
        <w:pStyle w:val="FootnoteText"/>
      </w:pPr>
      <w:r>
        <w:rPr>
          <w:rStyle w:val="FootnoteReference"/>
        </w:rPr>
        <w:footnoteRef/>
      </w:r>
      <w:r>
        <w:t xml:space="preserve"> </w:t>
      </w:r>
      <w:r>
        <w:t xml:space="preserve">Verified fact — A1-S101: Document AI pricing (Google Cloud)</w:t>
      </w:r>
      <w:r>
        <w:t xml:space="preserve"> </w:t>
      </w:r>
      <w:hyperlink r:id="rId237">
        <w:r>
          <w:rPr>
            <w:rStyle w:val="Hyperlink"/>
          </w:rPr>
          <w:t xml:space="preserve">https://cloud.google.com/document-ai/pricing</w:t>
        </w:r>
      </w:hyperlink>
      <w:r>
        <w:t xml:space="preserve"> </w:t>
      </w:r>
      <w:r>
        <w:t xml:space="preserve">accessed 2026-10-07</w:t>
      </w:r>
    </w:p>
  </w:footnote>
  <w:footnote w:id="238">
    <w:p>
      <w:pPr>
        <w:pStyle w:val="FootnoteText"/>
      </w:pPr>
      <w:r>
        <w:rPr>
          <w:rStyle w:val="FootnoteReference"/>
        </w:rPr>
        <w:footnoteRef/>
      </w:r>
      <w:r>
        <w:t xml:space="preserve"> </w:t>
      </w:r>
      <w:r>
        <w:t xml:space="preserve">Verified fact — A1-S102: Google Cloud services in scope for compliance</w:t>
      </w:r>
      <w:r>
        <w:t xml:space="preserve"> </w:t>
      </w:r>
      <w:hyperlink r:id="rId239">
        <w:r>
          <w:rPr>
            <w:rStyle w:val="Hyperlink"/>
          </w:rPr>
          <w:t xml:space="preserve">https://cloud.google.com/security/compliance/services-in-scope</w:t>
        </w:r>
      </w:hyperlink>
      <w:r>
        <w:t xml:space="preserve"> </w:t>
      </w:r>
      <w:r>
        <w:t xml:space="preserve">accessed 2026-10-07</w:t>
      </w:r>
    </w:p>
  </w:footnote>
  <w:footnote w:id="240">
    <w:p>
      <w:pPr>
        <w:pStyle w:val="FootnoteText"/>
      </w:pPr>
      <w:r>
        <w:rPr>
          <w:rStyle w:val="FootnoteReference"/>
        </w:rPr>
        <w:footnoteRef/>
      </w:r>
      <w:r>
        <w:t xml:space="preserve"> </w:t>
      </w:r>
      <w:r>
        <w:t xml:space="preserve">Verified fact — A1-S101: Document AI pricing (Google Cloud)</w:t>
      </w:r>
      <w:r>
        <w:t xml:space="preserve"> </w:t>
      </w:r>
      <w:hyperlink r:id="rId237">
        <w:r>
          <w:rPr>
            <w:rStyle w:val="Hyperlink"/>
          </w:rPr>
          <w:t xml:space="preserve">https://cloud.google.com/document-ai/pricing</w:t>
        </w:r>
      </w:hyperlink>
      <w:r>
        <w:t xml:space="preserve"> </w:t>
      </w:r>
      <w:r>
        <w:t xml:space="preserve">accessed 2026-10-07</w:t>
      </w:r>
    </w:p>
  </w:footnote>
  <w:footnote w:id="241">
    <w:p>
      <w:pPr>
        <w:pStyle w:val="FootnoteText"/>
      </w:pPr>
      <w:r>
        <w:rPr>
          <w:rStyle w:val="FootnoteReference"/>
        </w:rPr>
        <w:footnoteRef/>
      </w:r>
      <w:r>
        <w:t xml:space="preserve"> </w:t>
      </w:r>
      <w:r>
        <w:t xml:space="preserve">Verified fact — A8-S020: The ESAs designate critical ICT third-party providers under DORA (with List_of_designated_CTPPs.pdf, 18 Nov 2025) (EBA / ESMA / EIOPA (Joint ESAs))</w:t>
      </w:r>
      <w:r>
        <w:t xml:space="preserve"> </w:t>
      </w:r>
      <w:hyperlink r:id="rId242">
        <w:r>
          <w:rPr>
            <w:rStyle w:val="Hyperlink"/>
          </w:rPr>
          <w:t xml:space="preserve">https://www.eba.europa.eu/publications-and-media/press-releases/european-supervisory-authorities-designate-critical-ict-third-party-providers-under-digital</w:t>
        </w:r>
      </w:hyperlink>
      <w:r>
        <w:t xml:space="preserve"> </w:t>
      </w:r>
      <w:r>
        <w:t xml:space="preserve">accessed 2026-10-07 [search-tool extract]; A8-S023: The Critical Third Parties (Designation) Regulations 2026 (SI 2026/777); BoE/FCA/HMT announcements (HM Treasury / legislation.gov.uk / Bank of England)</w:t>
      </w:r>
      <w:r>
        <w:t xml:space="preserve"> </w:t>
      </w:r>
      <w:hyperlink r:id="rId243">
        <w:r>
          <w:rPr>
            <w:rStyle w:val="Hyperlink"/>
          </w:rPr>
          <w:t xml:space="preserve">https://www.legislation.gov.uk/uksi/2026/777/made</w:t>
        </w:r>
      </w:hyperlink>
      <w:r>
        <w:t xml:space="preserve"> </w:t>
      </w:r>
      <w:r>
        <w:t xml:space="preserve">accessed 2026-10-07 [search-tool extract]</w:t>
      </w:r>
    </w:p>
  </w:footnote>
  <w:footnote w:id="244">
    <w:p>
      <w:pPr>
        <w:pStyle w:val="FootnoteText"/>
      </w:pPr>
      <w:r>
        <w:rPr>
          <w:rStyle w:val="FootnoteReference"/>
        </w:rPr>
        <w:footnoteRef/>
      </w:r>
      <w:r>
        <w:t xml:space="preserve"> </w:t>
      </w:r>
      <w:r>
        <w:t xml:space="preserve">Verified fact — A1-S101: Document AI pricing (Google Cloud)</w:t>
      </w:r>
      <w:r>
        <w:t xml:space="preserve"> </w:t>
      </w:r>
      <w:hyperlink r:id="rId237">
        <w:r>
          <w:rPr>
            <w:rStyle w:val="Hyperlink"/>
          </w:rPr>
          <w:t xml:space="preserve">https://cloud.google.com/document-ai/pricing</w:t>
        </w:r>
      </w:hyperlink>
      <w:r>
        <w:t xml:space="preserve"> </w:t>
      </w:r>
      <w:r>
        <w:t xml:space="preserve">accessed 2026-10-07</w:t>
      </w:r>
    </w:p>
  </w:footnote>
  <w:footnote w:id="245">
    <w:p>
      <w:pPr>
        <w:pStyle w:val="FootnoteText"/>
      </w:pPr>
      <w:r>
        <w:rPr>
          <w:rStyle w:val="FootnoteReference"/>
        </w:rPr>
        <w:footnoteRef/>
      </w:r>
      <w:r>
        <w:t xml:space="preserve"> </w:t>
      </w:r>
      <w:r>
        <w:t xml:space="preserve">Verified fact — B-REV-S010: Document AI security and compliance (Google Cloud)</w:t>
      </w:r>
      <w:r>
        <w:t xml:space="preserve"> </w:t>
      </w:r>
      <w:hyperlink r:id="rId234">
        <w:r>
          <w:rPr>
            <w:rStyle w:val="Hyperlink"/>
          </w:rPr>
          <w:t xml:space="preserve">https://cloud.google.com/document-ai/docs/security-cmek-logging</w:t>
        </w:r>
      </w:hyperlink>
      <w:r>
        <w:t xml:space="preserve"> </w:t>
      </w:r>
      <w:r>
        <w:t xml:space="preserve">accessed 2026-10-08 [search-tool extract]; B-REV-S011: Document AI customer-managed encryption keys (CMEK) (Google Cloud)</w:t>
      </w:r>
      <w:r>
        <w:t xml:space="preserve"> </w:t>
      </w:r>
      <w:hyperlink r:id="rId246">
        <w:r>
          <w:rPr>
            <w:rStyle w:val="Hyperlink"/>
          </w:rPr>
          <w:t xml:space="preserve">https://docs.cloud.google.com/document-ai/docs/cmek</w:t>
        </w:r>
      </w:hyperlink>
      <w:r>
        <w:t xml:space="preserve"> </w:t>
      </w:r>
      <w:r>
        <w:t xml:space="preserve">accessed 2026-10-08 [search-tool extract]</w:t>
      </w:r>
    </w:p>
  </w:footnote>
  <w:footnote w:id="247">
    <w:p>
      <w:pPr>
        <w:pStyle w:val="FootnoteText"/>
      </w:pPr>
      <w:r>
        <w:rPr>
          <w:rStyle w:val="FootnoteReference"/>
        </w:rPr>
        <w:footnoteRef/>
      </w:r>
      <w:r>
        <w:t xml:space="preserve"> </w:t>
      </w:r>
      <w:r>
        <w:t xml:space="preserve">Verified fact — A1-S101: Document AI pricing (Google Cloud)</w:t>
      </w:r>
      <w:r>
        <w:t xml:space="preserve"> </w:t>
      </w:r>
      <w:hyperlink r:id="rId237">
        <w:r>
          <w:rPr>
            <w:rStyle w:val="Hyperlink"/>
          </w:rPr>
          <w:t xml:space="preserve">https://cloud.google.com/document-ai/pricing</w:t>
        </w:r>
      </w:hyperlink>
      <w:r>
        <w:t xml:space="preserve"> </w:t>
      </w:r>
      <w:r>
        <w:t xml:space="preserve">accessed 2026-10-07</w:t>
      </w:r>
    </w:p>
  </w:footnote>
  <w:footnote w:id="249">
    <w:p>
      <w:pPr>
        <w:pStyle w:val="FootnoteText"/>
      </w:pPr>
      <w:r>
        <w:rPr>
          <w:rStyle w:val="FootnoteReference"/>
        </w:rPr>
        <w:footnoteRef/>
      </w:r>
      <w:r>
        <w:t xml:space="preserve"> </w:t>
      </w:r>
      <w:r>
        <w:t xml:space="preserve">Verified fact — B-REV-S014: Mistral docs: SAML SSO, SSO and Admin overview (Mistral AI)</w:t>
      </w:r>
      <w:r>
        <w:t xml:space="preserve"> </w:t>
      </w:r>
      <w:hyperlink r:id="rId250">
        <w:r>
          <w:rPr>
            <w:rStyle w:val="Hyperlink"/>
          </w:rPr>
          <w:t xml:space="preserve">https://docs.mistral.ai/admin/set-up-organization/sign-in-method/saml-sso</w:t>
        </w:r>
      </w:hyperlink>
      <w:r>
        <w:t xml:space="preserve"> </w:t>
      </w:r>
      <w:r>
        <w:t xml:space="preserve">accessed 2026-10-08 [search-tool extract]; B-REV-S015: Mistral docs: Audit logs (Mistral AI)</w:t>
      </w:r>
      <w:r>
        <w:t xml:space="preserve"> </w:t>
      </w:r>
      <w:hyperlink r:id="rId251">
        <w:r>
          <w:rPr>
            <w:rStyle w:val="Hyperlink"/>
          </w:rPr>
          <w:t xml:space="preserve">https://docs.mistral.ai/admin/security-access/audit-logs</w:t>
        </w:r>
      </w:hyperlink>
      <w:r>
        <w:t xml:space="preserve"> </w:t>
      </w:r>
      <w:r>
        <w:t xml:space="preserve">accessed 2026-10-08 [search-tool extract]</w:t>
      </w:r>
    </w:p>
  </w:footnote>
  <w:footnote w:id="252">
    <w:p>
      <w:pPr>
        <w:pStyle w:val="FootnoteText"/>
      </w:pPr>
      <w:r>
        <w:rPr>
          <w:rStyle w:val="FootnoteReference"/>
        </w:rPr>
        <w:footnoteRef/>
      </w:r>
      <w:r>
        <w:t xml:space="preserve"> </w:t>
      </w:r>
      <w:r>
        <w:t xml:space="preserve">Verified fact — A1-S083: Mistral Python SDK: OCR operation docs (Mistral AI (GitHub))</w:t>
      </w:r>
      <w:r>
        <w:t xml:space="preserve"> </w:t>
      </w:r>
      <w:hyperlink r:id="rId253">
        <w:r>
          <w:rPr>
            <w:rStyle w:val="Hyperlink"/>
          </w:rPr>
          <w:t xml:space="preserve">https://raw.githubusercontent.com/mistralai/client-python/main/docs/sdks/ocr/README.md</w:t>
        </w:r>
      </w:hyperlink>
      <w:r>
        <w:t xml:space="preserve"> </w:t>
      </w:r>
      <w:r>
        <w:t xml:space="preserve">accessed 2026-10-07; A1-S130: OCR 4.1 - Mistral AI docs</w:t>
      </w:r>
      <w:r>
        <w:t xml:space="preserve"> </w:t>
      </w:r>
      <w:hyperlink r:id="rId254">
        <w:r>
          <w:rPr>
            <w:rStyle w:val="Hyperlink"/>
          </w:rPr>
          <w:t xml:space="preserve">https://docs.mistral.ai/models/ocr-4-1</w:t>
        </w:r>
      </w:hyperlink>
      <w:r>
        <w:t xml:space="preserve"> </w:t>
      </w:r>
      <w:r>
        <w:t xml:space="preserve">accessed 2026-10-07 [search-tool extract]</w:t>
      </w:r>
    </w:p>
  </w:footnote>
  <w:footnote w:id="255">
    <w:p>
      <w:pPr>
        <w:pStyle w:val="FootnoteText"/>
      </w:pPr>
      <w:r>
        <w:rPr>
          <w:rStyle w:val="FootnoteReference"/>
        </w:rPr>
        <w:footnoteRef/>
      </w:r>
      <w:r>
        <w:t xml:space="preserve"> </w:t>
      </w:r>
      <w:r>
        <w:t xml:space="preserve">Verified fact — A1-S135: Mistral OCR 4 : SOTA OCR for Document Intelligence (Mistral AI)</w:t>
      </w:r>
      <w:r>
        <w:t xml:space="preserve"> </w:t>
      </w:r>
      <w:hyperlink r:id="rId256">
        <w:r>
          <w:rPr>
            <w:rStyle w:val="Hyperlink"/>
          </w:rPr>
          <w:t xml:space="preserve">https://mistral.ai/news/ocr-4/</w:t>
        </w:r>
      </w:hyperlink>
      <w:r>
        <w:t xml:space="preserve"> </w:t>
      </w:r>
      <w:r>
        <w:t xml:space="preserve">accessed 2026-10-07 [search-tool extract]</w:t>
      </w:r>
    </w:p>
  </w:footnote>
  <w:footnote w:id="257">
    <w:p>
      <w:pPr>
        <w:pStyle w:val="FootnoteText"/>
      </w:pPr>
      <w:r>
        <w:rPr>
          <w:rStyle w:val="FootnoteReference"/>
        </w:rPr>
        <w:footnoteRef/>
      </w:r>
      <w:r>
        <w:t xml:space="preserve"> </w:t>
      </w:r>
      <w:r>
        <w:t xml:space="preserve">Verified fact — A1-S135: Mistral OCR 4 : SOTA OCR for Document Intelligence (Mistral AI)</w:t>
      </w:r>
      <w:r>
        <w:t xml:space="preserve"> </w:t>
      </w:r>
      <w:hyperlink r:id="rId256">
        <w:r>
          <w:rPr>
            <w:rStyle w:val="Hyperlink"/>
          </w:rPr>
          <w:t xml:space="preserve">https://mistral.ai/news/ocr-4/</w:t>
        </w:r>
      </w:hyperlink>
      <w:r>
        <w:t xml:space="preserve"> </w:t>
      </w:r>
      <w:r>
        <w:t xml:space="preserve">accessed 2026-10-07 [search-tool extract]</w:t>
      </w:r>
    </w:p>
  </w:footnote>
  <w:footnote w:id="258">
    <w:p>
      <w:pPr>
        <w:pStyle w:val="FootnoteText"/>
      </w:pPr>
      <w:r>
        <w:rPr>
          <w:rStyle w:val="FootnoteReference"/>
        </w:rPr>
        <w:footnoteRef/>
      </w:r>
      <w:r>
        <w:t xml:space="preserve"> </w:t>
      </w:r>
      <w:r>
        <w:t xml:space="preserve">Verified fact — A1-S130: OCR 4.1 - Mistral AI docs</w:t>
      </w:r>
      <w:r>
        <w:t xml:space="preserve"> </w:t>
      </w:r>
      <w:hyperlink r:id="rId254">
        <w:r>
          <w:rPr>
            <w:rStyle w:val="Hyperlink"/>
          </w:rPr>
          <w:t xml:space="preserve">https://docs.mistral.ai/models/ocr-4-1</w:t>
        </w:r>
      </w:hyperlink>
      <w:r>
        <w:t xml:space="preserve"> </w:t>
      </w:r>
      <w:r>
        <w:t xml:space="preserve">accessed 2026-10-07 [search-tool extract]; V1-S010: OCR 4.1 model card / changelog / pricing (Mistral AI)</w:t>
      </w:r>
      <w:r>
        <w:t xml:space="preserve"> </w:t>
      </w:r>
      <w:hyperlink r:id="rId254">
        <w:r>
          <w:rPr>
            <w:rStyle w:val="Hyperlink"/>
          </w:rPr>
          <w:t xml:space="preserve">https://docs.mistral.ai/models/ocr-4-1</w:t>
        </w:r>
      </w:hyperlink>
      <w:r>
        <w:t xml:space="preserve"> </w:t>
      </w:r>
      <w:r>
        <w:t xml:space="preserve">accessed 2026-10-08 [search-tool extract]</w:t>
      </w:r>
    </w:p>
  </w:footnote>
  <w:footnote w:id="259">
    <w:p>
      <w:pPr>
        <w:pStyle w:val="FootnoteText"/>
      </w:pPr>
      <w:r>
        <w:rPr>
          <w:rStyle w:val="FootnoteReference"/>
        </w:rPr>
        <w:footnoteRef/>
      </w:r>
      <w:r>
        <w:t xml:space="preserve"> </w:t>
      </w:r>
      <w:r>
        <w:t xml:space="preserve">Verified fact — A1-S130: OCR 4.1 - Mistral AI docs</w:t>
      </w:r>
      <w:r>
        <w:t xml:space="preserve"> </w:t>
      </w:r>
      <w:hyperlink r:id="rId254">
        <w:r>
          <w:rPr>
            <w:rStyle w:val="Hyperlink"/>
          </w:rPr>
          <w:t xml:space="preserve">https://docs.mistral.ai/models/ocr-4-1</w:t>
        </w:r>
      </w:hyperlink>
      <w:r>
        <w:t xml:space="preserve"> </w:t>
      </w:r>
      <w:r>
        <w:t xml:space="preserve">accessed 2026-10-07 [search-tool extract]</w:t>
      </w:r>
    </w:p>
  </w:footnote>
  <w:footnote w:id="260">
    <w:p>
      <w:pPr>
        <w:pStyle w:val="FootnoteText"/>
      </w:pPr>
      <w:r>
        <w:rPr>
          <w:rStyle w:val="FootnoteReference"/>
        </w:rPr>
        <w:footnoteRef/>
      </w:r>
      <w:r>
        <w:t xml:space="preserve"> </w:t>
      </w:r>
      <w:r>
        <w:t xml:space="preserve">Verified fact — A1-S130: OCR 4.1 - Mistral AI docs</w:t>
      </w:r>
      <w:r>
        <w:t xml:space="preserve"> </w:t>
      </w:r>
      <w:hyperlink r:id="rId254">
        <w:r>
          <w:rPr>
            <w:rStyle w:val="Hyperlink"/>
          </w:rPr>
          <w:t xml:space="preserve">https://docs.mistral.ai/models/ocr-4-1</w:t>
        </w:r>
      </w:hyperlink>
      <w:r>
        <w:t xml:space="preserve"> </w:t>
      </w:r>
      <w:r>
        <w:t xml:space="preserve">accessed 2026-10-07 [search-tool extract]; V1-S014: Mistral docs Changelog; OCR 4.0 model page; OCR 4 governance page (Mistral AI)</w:t>
      </w:r>
      <w:r>
        <w:t xml:space="preserve"> </w:t>
      </w:r>
      <w:hyperlink r:id="rId261">
        <w:r>
          <w:rPr>
            <w:rStyle w:val="Hyperlink"/>
          </w:rPr>
          <w:t xml:space="preserve">https://docs.mistral.ai/resources/changelogs</w:t>
        </w:r>
      </w:hyperlink>
      <w:r>
        <w:t xml:space="preserve"> </w:t>
      </w:r>
      <w:r>
        <w:t xml:space="preserve">accessed 2026-10-08 [search-tool extract]</w:t>
      </w:r>
    </w:p>
  </w:footnote>
  <w:footnote w:id="262">
    <w:p>
      <w:pPr>
        <w:pStyle w:val="FootnoteText"/>
      </w:pPr>
      <w:r>
        <w:rPr>
          <w:rStyle w:val="FootnoteReference"/>
        </w:rPr>
        <w:footnoteRef/>
      </w:r>
      <w:r>
        <w:t xml:space="preserve"> </w:t>
      </w:r>
      <w:r>
        <w:t xml:space="preserve">Verified fact — A1-S136: Do you have SOC 2 or ISO 27001 certification? - Mistral AI Help Center</w:t>
      </w:r>
      <w:r>
        <w:t xml:space="preserve"> </w:t>
      </w:r>
      <w:hyperlink r:id="rId263">
        <w:r>
          <w:rPr>
            <w:rStyle w:val="Hyperlink"/>
          </w:rPr>
          <w:t xml:space="preserve">https://help.mistral.ai/en/articles/347638-do-you-have-soc-2-or-iso-27001-certification</w:t>
        </w:r>
      </w:hyperlink>
      <w:r>
        <w:t xml:space="preserve"> </w:t>
      </w:r>
      <w:r>
        <w:t xml:space="preserve">accessed 2026-10-07 [search-tool extract]</w:t>
      </w:r>
    </w:p>
  </w:footnote>
  <w:footnote w:id="264">
    <w:p>
      <w:pPr>
        <w:pStyle w:val="FootnoteText"/>
      </w:pPr>
      <w:r>
        <w:rPr>
          <w:rStyle w:val="FootnoteReference"/>
        </w:rPr>
        <w:footnoteRef/>
      </w:r>
      <w:r>
        <w:t xml:space="preserve"> </w:t>
      </w:r>
      <w:r>
        <w:t xml:space="preserve">Verified fact — B-REV-S015: Mistral docs: Audit logs (Mistral AI)</w:t>
      </w:r>
      <w:r>
        <w:t xml:space="preserve"> </w:t>
      </w:r>
      <w:hyperlink r:id="rId251">
        <w:r>
          <w:rPr>
            <w:rStyle w:val="Hyperlink"/>
          </w:rPr>
          <w:t xml:space="preserve">https://docs.mistral.ai/admin/security-access/audit-logs</w:t>
        </w:r>
      </w:hyperlink>
      <w:r>
        <w:t xml:space="preserve"> </w:t>
      </w:r>
      <w:r>
        <w:t xml:space="preserve">accessed 2026-10-08 [search-tool extract]</w:t>
      </w:r>
    </w:p>
  </w:footnote>
  <w:footnote w:id="266">
    <w:p>
      <w:pPr>
        <w:pStyle w:val="FootnoteText"/>
      </w:pPr>
      <w:r>
        <w:rPr>
          <w:rStyle w:val="FootnoteReference"/>
        </w:rPr>
        <w:footnoteRef/>
      </w:r>
      <w:r>
        <w:t xml:space="preserve"> </w:t>
      </w:r>
      <w:r>
        <w:t xml:space="preserve">Verified fact — B-REV-S023: LlamaParse: Access &amp; Identity (and Organizations, User Roles) (LlamaIndex, Inc.)</w:t>
      </w:r>
      <w:r>
        <w:t xml:space="preserve"> </w:t>
      </w:r>
      <w:hyperlink r:id="rId267">
        <w:r>
          <w:rPr>
            <w:rStyle w:val="Hyperlink"/>
          </w:rPr>
          <w:t xml:space="preserve">https://developers.llamaindex.ai/llamaparse/general/enterprise-readiness/access-identity/</w:t>
        </w:r>
      </w:hyperlink>
      <w:r>
        <w:t xml:space="preserve"> </w:t>
      </w:r>
      <w:r>
        <w:t xml:space="preserve">accessed 2026-10-08 [search-tool extract]</w:t>
      </w:r>
    </w:p>
  </w:footnote>
  <w:footnote w:id="268">
    <w:p>
      <w:pPr>
        <w:pStyle w:val="FootnoteText"/>
      </w:pPr>
      <w:r>
        <w:rPr>
          <w:rStyle w:val="FootnoteReference"/>
        </w:rPr>
        <w:footnoteRef/>
      </w:r>
      <w:r>
        <w:t xml:space="preserve"> </w:t>
      </w:r>
      <w:r>
        <w:t xml:space="preserve">Verified fact — A1-S080: LlamaIndex README (company focus shift to LlamaParse) (LlamaIndex, Inc. (GitHub))</w:t>
      </w:r>
      <w:r>
        <w:t xml:space="preserve"> </w:t>
      </w:r>
      <w:hyperlink r:id="rId269">
        <w:r>
          <w:rPr>
            <w:rStyle w:val="Hyperlink"/>
          </w:rPr>
          <w:t xml:space="preserve">https://raw.githubusercontent.com/run-llama/llama_index/main/README.md</w:t>
        </w:r>
      </w:hyperlink>
      <w:r>
        <w:t xml:space="preserve"> </w:t>
      </w:r>
      <w:r>
        <w:t xml:space="preserve">accessed 2026-10-07; A1-S081: Llama Cloud Python SDK README (LlamaIndex, Inc. (GitHub))</w:t>
      </w:r>
      <w:r>
        <w:t xml:space="preserve"> </w:t>
      </w:r>
      <w:hyperlink r:id="rId270">
        <w:r>
          <w:rPr>
            <w:rStyle w:val="Hyperlink"/>
          </w:rPr>
          <w:t xml:space="preserve">https://raw.githubusercontent.com/run-llama/llama-cloud-py/main/README.md</w:t>
        </w:r>
      </w:hyperlink>
      <w:r>
        <w:t xml:space="preserve"> </w:t>
      </w:r>
      <w:r>
        <w:t xml:space="preserve">accessed 2026-10-07; V1-S008: LlamaParse (formerly LlamaCloud) (LlamaIndex)</w:t>
      </w:r>
      <w:r>
        <w:t xml:space="preserve"> </w:t>
      </w:r>
      <w:hyperlink r:id="rId271">
        <w:r>
          <w:rPr>
            <w:rStyle w:val="Hyperlink"/>
          </w:rPr>
          <w:t xml:space="preserve">https://developers.llamaindex.ai/python/framework/llama_cloud/</w:t>
        </w:r>
      </w:hyperlink>
      <w:r>
        <w:t xml:space="preserve"> </w:t>
      </w:r>
      <w:r>
        <w:t xml:space="preserve">accessed 2026-10-08 [search-tool extract]</w:t>
      </w:r>
    </w:p>
  </w:footnote>
  <w:footnote w:id="272">
    <w:p>
      <w:pPr>
        <w:pStyle w:val="FootnoteText"/>
      </w:pPr>
      <w:r>
        <w:rPr>
          <w:rStyle w:val="FootnoteReference"/>
        </w:rPr>
        <w:footnoteRef/>
      </w:r>
      <w:r>
        <w:t xml:space="preserve"> </w:t>
      </w:r>
      <w:r>
        <w:t xml:space="preserve">Verified fact — A1-S115: Compliance - LlamaParse documentation (Enterprise Readiness) (LlamaIndex, Inc.)</w:t>
      </w:r>
      <w:r>
        <w:t xml:space="preserve"> </w:t>
      </w:r>
      <w:hyperlink r:id="rId273">
        <w:r>
          <w:rPr>
            <w:rStyle w:val="Hyperlink"/>
          </w:rPr>
          <w:t xml:space="preserve">https://developers.llamaindex.ai/llamaparse/general/enterprise-readiness/compliance/</w:t>
        </w:r>
      </w:hyperlink>
      <w:r>
        <w:t xml:space="preserve"> </w:t>
      </w:r>
      <w:r>
        <w:t xml:space="preserve">accessed 2026-10-07 [search-tool extract]</w:t>
      </w:r>
    </w:p>
  </w:footnote>
  <w:footnote w:id="274">
    <w:p>
      <w:pPr>
        <w:pStyle w:val="FootnoteText"/>
      </w:pPr>
      <w:r>
        <w:rPr>
          <w:rStyle w:val="FootnoteReference"/>
        </w:rPr>
        <w:footnoteRef/>
      </w:r>
      <w:r>
        <w:t xml:space="preserve"> </w:t>
      </w:r>
      <w:r>
        <w:t xml:space="preserve">Verified fact — A1-S115: Compliance - LlamaParse documentation (Enterprise Readiness) (LlamaIndex, Inc.)</w:t>
      </w:r>
      <w:r>
        <w:t xml:space="preserve"> </w:t>
      </w:r>
      <w:hyperlink r:id="rId273">
        <w:r>
          <w:rPr>
            <w:rStyle w:val="Hyperlink"/>
          </w:rPr>
          <w:t xml:space="preserve">https://developers.llamaindex.ai/llamaparse/general/enterprise-readiness/compliance/</w:t>
        </w:r>
      </w:hyperlink>
      <w:r>
        <w:t xml:space="preserve"> </w:t>
      </w:r>
      <w:r>
        <w:t xml:space="preserve">accessed 2026-10-07 [search-tool extract]</w:t>
      </w:r>
    </w:p>
  </w:footnote>
  <w:footnote w:id="275">
    <w:p>
      <w:pPr>
        <w:pStyle w:val="FootnoteText"/>
      </w:pPr>
      <w:r>
        <w:rPr>
          <w:rStyle w:val="FootnoteReference"/>
        </w:rPr>
        <w:footnoteRef/>
      </w:r>
      <w:r>
        <w:t xml:space="preserve"> </w:t>
      </w:r>
      <w:r>
        <w:t xml:space="preserve">Verified fact — A1-S115: Compliance - LlamaParse documentation (Enterprise Readiness) (LlamaIndex, Inc.)</w:t>
      </w:r>
      <w:r>
        <w:t xml:space="preserve"> </w:t>
      </w:r>
      <w:hyperlink r:id="rId273">
        <w:r>
          <w:rPr>
            <w:rStyle w:val="Hyperlink"/>
          </w:rPr>
          <w:t xml:space="preserve">https://developers.llamaindex.ai/llamaparse/general/enterprise-readiness/compliance/</w:t>
        </w:r>
      </w:hyperlink>
      <w:r>
        <w:t xml:space="preserve"> </w:t>
      </w:r>
      <w:r>
        <w:t xml:space="preserve">accessed 2026-10-07 [search-tool extract]</w:t>
      </w:r>
    </w:p>
  </w:footnote>
  <w:footnote w:id="276">
    <w:p>
      <w:pPr>
        <w:pStyle w:val="FootnoteText"/>
      </w:pPr>
      <w:r>
        <w:rPr>
          <w:rStyle w:val="FootnoteReference"/>
        </w:rPr>
        <w:footnoteRef/>
      </w:r>
      <w:r>
        <w:t xml:space="preserve"> </w:t>
      </w:r>
      <w:r>
        <w:t xml:space="preserve">Verified fact — A1-S116: Pricing - LlamaParse documentation (LlamaIndex, Inc.)</w:t>
      </w:r>
      <w:r>
        <w:t xml:space="preserve"> </w:t>
      </w:r>
      <w:hyperlink r:id="rId277">
        <w:r>
          <w:rPr>
            <w:rStyle w:val="Hyperlink"/>
          </w:rPr>
          <w:t xml:space="preserve">https://developers.llamaindex.ai/llamaparse/general/pricing/</w:t>
        </w:r>
      </w:hyperlink>
      <w:r>
        <w:t xml:space="preserve"> </w:t>
      </w:r>
      <w:r>
        <w:t xml:space="preserve">accessed 2026-10-07 [search-tool extract]</w:t>
      </w:r>
    </w:p>
  </w:footnote>
  <w:footnote w:id="278">
    <w:p>
      <w:pPr>
        <w:pStyle w:val="FootnoteText"/>
      </w:pPr>
      <w:r>
        <w:rPr>
          <w:rStyle w:val="FootnoteReference"/>
        </w:rPr>
        <w:footnoteRef/>
      </w:r>
      <w:r>
        <w:t xml:space="preserve"> </w:t>
      </w:r>
      <w:r>
        <w:t xml:space="preserve">Verified fact — A1-S080: LlamaIndex README (company focus shift to LlamaParse) (LlamaIndex, Inc. (GitHub))</w:t>
      </w:r>
      <w:r>
        <w:t xml:space="preserve"> </w:t>
      </w:r>
      <w:hyperlink r:id="rId269">
        <w:r>
          <w:rPr>
            <w:rStyle w:val="Hyperlink"/>
          </w:rPr>
          <w:t xml:space="preserve">https://raw.githubusercontent.com/run-llama/llama_index/main/README.md</w:t>
        </w:r>
      </w:hyperlink>
      <w:r>
        <w:t xml:space="preserve"> </w:t>
      </w:r>
      <w:r>
        <w:t xml:space="preserve">accessed 2026-10-07</w:t>
      </w:r>
    </w:p>
  </w:footnote>
  <w:footnote w:id="279">
    <w:p>
      <w:pPr>
        <w:pStyle w:val="FootnoteText"/>
      </w:pPr>
      <w:r>
        <w:rPr>
          <w:rStyle w:val="FootnoteReference"/>
        </w:rPr>
        <w:footnoteRef/>
      </w:r>
      <w:r>
        <w:t xml:space="preserve"> </w:t>
      </w:r>
      <w:r>
        <w:t xml:space="preserve">Verified fact — A1-S013: PyPI JSON metadata: llama-cloud-services (Python Package Index)</w:t>
      </w:r>
      <w:r>
        <w:t xml:space="preserve"> </w:t>
      </w:r>
      <w:hyperlink r:id="rId280">
        <w:r>
          <w:rPr>
            <w:rStyle w:val="Hyperlink"/>
          </w:rPr>
          <w:t xml:space="preserve">https://pypi.org/pypi/llama-cloud-services/json</w:t>
        </w:r>
      </w:hyperlink>
      <w:r>
        <w:t xml:space="preserve"> </w:t>
      </w:r>
      <w:r>
        <w:t xml:space="preserve">accessed 2026-10-07; A1-S014: PyPI JSON metadata: llama-cloud (Python Package Index)</w:t>
      </w:r>
      <w:r>
        <w:t xml:space="preserve"> </w:t>
      </w:r>
      <w:hyperlink r:id="rId281">
        <w:r>
          <w:rPr>
            <w:rStyle w:val="Hyperlink"/>
          </w:rPr>
          <w:t xml:space="preserve">https://pypi.org/pypi/llama-cloud/json</w:t>
        </w:r>
      </w:hyperlink>
      <w:r>
        <w:t xml:space="preserve"> </w:t>
      </w:r>
      <w:r>
        <w:t xml:space="preserve">accessed 2026-10-07</w:t>
      </w:r>
    </w:p>
  </w:footnote>
  <w:footnote w:id="282">
    <w:p>
      <w:pPr>
        <w:pStyle w:val="FootnoteText"/>
      </w:pPr>
      <w:r>
        <w:rPr>
          <w:rStyle w:val="FootnoteReference"/>
        </w:rPr>
        <w:footnoteRef/>
      </w:r>
      <w:r>
        <w:t xml:space="preserve"> </w:t>
      </w:r>
      <w:r>
        <w:t xml:space="preserve">Verified fact — B-REV-S023: LlamaParse: Access &amp; Identity (and Organizations, User Roles) (LlamaIndex, Inc.)</w:t>
      </w:r>
      <w:r>
        <w:t xml:space="preserve"> </w:t>
      </w:r>
      <w:hyperlink r:id="rId267">
        <w:r>
          <w:rPr>
            <w:rStyle w:val="Hyperlink"/>
          </w:rPr>
          <w:t xml:space="preserve">https://developers.llamaindex.ai/llamaparse/general/enterprise-readiness/access-identity/</w:t>
        </w:r>
      </w:hyperlink>
      <w:r>
        <w:t xml:space="preserve"> </w:t>
      </w:r>
      <w:r>
        <w:t xml:space="preserve">accessed 2026-10-08 [search-tool extract]</w:t>
      </w:r>
    </w:p>
  </w:footnote>
  <w:footnote w:id="284">
    <w:p>
      <w:pPr>
        <w:pStyle w:val="FootnoteText"/>
      </w:pPr>
      <w:r>
        <w:rPr>
          <w:rStyle w:val="FootnoteReference"/>
        </w:rPr>
        <w:footnoteRef/>
      </w:r>
      <w:r>
        <w:t xml:space="preserve"> </w:t>
      </w:r>
      <w:r>
        <w:t xml:space="preserve">Verified fact — B-REV-S024: Firecrawl: Enterprise (and SIEM Audit Logging)</w:t>
      </w:r>
      <w:r>
        <w:t xml:space="preserve"> </w:t>
      </w:r>
      <w:hyperlink r:id="rId285">
        <w:r>
          <w:rPr>
            <w:rStyle w:val="Hyperlink"/>
          </w:rPr>
          <w:t xml:space="preserve">https://docs.firecrawl.dev/enterprise</w:t>
        </w:r>
      </w:hyperlink>
      <w:r>
        <w:t xml:space="preserve"> </w:t>
      </w:r>
      <w:r>
        <w:t xml:space="preserve">accessed 2026-10-08 [search-tool extract]</w:t>
      </w:r>
    </w:p>
  </w:footnote>
  <w:footnote w:id="286">
    <w:p>
      <w:pPr>
        <w:pStyle w:val="FootnoteText"/>
      </w:pPr>
      <w:r>
        <w:rPr>
          <w:rStyle w:val="FootnoteReference"/>
        </w:rPr>
        <w:footnoteRef/>
      </w:r>
      <w:r>
        <w:t xml:space="preserve"> </w:t>
      </w:r>
      <w:r>
        <w:t xml:space="preserve">Verified fact — A1-S053: Firecrawl README (Firecrawl (GitHub))</w:t>
      </w:r>
      <w:r>
        <w:t xml:space="preserve"> </w:t>
      </w:r>
      <w:hyperlink r:id="rId287">
        <w:r>
          <w:rPr>
            <w:rStyle w:val="Hyperlink"/>
          </w:rPr>
          <w:t xml:space="preserve">https://raw.githubusercontent.com/firecrawl/firecrawl/main/README.md</w:t>
        </w:r>
      </w:hyperlink>
      <w:r>
        <w:t xml:space="preserve"> </w:t>
      </w:r>
      <w:r>
        <w:t xml:space="preserve">accessed 2026-10-07; A1-S077: Firecrawl Billing (docs source) (Firecrawl (GitHub docs source))</w:t>
      </w:r>
      <w:r>
        <w:t xml:space="preserve"> </w:t>
      </w:r>
      <w:hyperlink r:id="rId288">
        <w:r>
          <w:rPr>
            <w:rStyle w:val="Hyperlink"/>
          </w:rPr>
          <w:t xml:space="preserve">https://raw.githubusercontent.com/firecrawl/firecrawl-docs/main/billing.mdx</w:t>
        </w:r>
      </w:hyperlink>
      <w:r>
        <w:t xml:space="preserve"> </w:t>
      </w:r>
      <w:r>
        <w:t xml:space="preserve">accessed 2026-10-07; A1-S079: Open source or Firecrawl Cloud (docs source) (Firecrawl (GitHub docs source))</w:t>
      </w:r>
      <w:r>
        <w:t xml:space="preserve"> </w:t>
      </w:r>
      <w:hyperlink r:id="rId289">
        <w:r>
          <w:rPr>
            <w:rStyle w:val="Hyperlink"/>
          </w:rPr>
          <w:t xml:space="preserve">https://raw.githubusercontent.com/firecrawl/firecrawl-docs/main/contributing/open-source-or-cloud.mdx</w:t>
        </w:r>
      </w:hyperlink>
      <w:r>
        <w:t xml:space="preserve"> </w:t>
      </w:r>
      <w:r>
        <w:t xml:space="preserve">accessed 2026-10-07; A1-S129: Introducing Alexandria and our $75M Series B (Firecrawl)</w:t>
      </w:r>
      <w:r>
        <w:t xml:space="preserve"> </w:t>
      </w:r>
      <w:hyperlink r:id="rId290">
        <w:r>
          <w:rPr>
            <w:rStyle w:val="Hyperlink"/>
          </w:rPr>
          <w:t xml:space="preserve">https://www.firecrawl.dev/blog/introducing-alexandria-series-b</w:t>
        </w:r>
      </w:hyperlink>
      <w:r>
        <w:t xml:space="preserve"> </w:t>
      </w:r>
      <w:r>
        <w:t xml:space="preserve">accessed 2026-10-07 [search-tool extract]</w:t>
      </w:r>
    </w:p>
  </w:footnote>
  <w:footnote w:id="291">
    <w:p>
      <w:pPr>
        <w:pStyle w:val="FootnoteText"/>
      </w:pPr>
      <w:r>
        <w:rPr>
          <w:rStyle w:val="FootnoteReference"/>
        </w:rPr>
        <w:footnoteRef/>
      </w:r>
      <w:r>
        <w:t xml:space="preserve"> </w:t>
      </w:r>
      <w:r>
        <w:t xml:space="preserve">Verified fact — A1-S076: Firecrawl Enterprise (docs source) (Firecrawl (GitHub docs source))</w:t>
      </w:r>
      <w:r>
        <w:t xml:space="preserve"> </w:t>
      </w:r>
      <w:hyperlink r:id="rId292">
        <w:r>
          <w:rPr>
            <w:rStyle w:val="Hyperlink"/>
          </w:rPr>
          <w:t xml:space="preserve">https://raw.githubusercontent.com/firecrawl/firecrawl-docs/main/enterprise.mdx</w:t>
        </w:r>
      </w:hyperlink>
      <w:r>
        <w:t xml:space="preserve"> </w:t>
      </w:r>
      <w:r>
        <w:t xml:space="preserve">accessed 2026-10-07; A1-S077: Firecrawl Billing (docs source) (Firecrawl (GitHub docs source))</w:t>
      </w:r>
      <w:r>
        <w:t xml:space="preserve"> </w:t>
      </w:r>
      <w:hyperlink r:id="rId288">
        <w:r>
          <w:rPr>
            <w:rStyle w:val="Hyperlink"/>
          </w:rPr>
          <w:t xml:space="preserve">https://raw.githubusercontent.com/firecrawl/firecrawl-docs/main/billing.mdx</w:t>
        </w:r>
      </w:hyperlink>
      <w:r>
        <w:t xml:space="preserve"> </w:t>
      </w:r>
      <w:r>
        <w:t xml:space="preserve">accessed 2026-10-07</w:t>
      </w:r>
    </w:p>
  </w:footnote>
  <w:footnote w:id="293">
    <w:p>
      <w:pPr>
        <w:pStyle w:val="FootnoteText"/>
      </w:pPr>
      <w:r>
        <w:rPr>
          <w:rStyle w:val="FootnoteReference"/>
        </w:rPr>
        <w:footnoteRef/>
      </w:r>
      <w:r>
        <w:t xml:space="preserve"> </w:t>
      </w:r>
      <w:r>
        <w:t xml:space="preserve">Verified fact — A1-S076: Firecrawl Enterprise (docs source) (Firecrawl (GitHub docs source))</w:t>
      </w:r>
      <w:r>
        <w:t xml:space="preserve"> </w:t>
      </w:r>
      <w:hyperlink r:id="rId292">
        <w:r>
          <w:rPr>
            <w:rStyle w:val="Hyperlink"/>
          </w:rPr>
          <w:t xml:space="preserve">https://raw.githubusercontent.com/firecrawl/firecrawl-docs/main/enterprise.mdx</w:t>
        </w:r>
      </w:hyperlink>
      <w:r>
        <w:t xml:space="preserve"> </w:t>
      </w:r>
      <w:r>
        <w:t xml:space="preserve">accessed 2026-10-07</w:t>
      </w:r>
    </w:p>
  </w:footnote>
  <w:footnote w:id="294">
    <w:p>
      <w:pPr>
        <w:pStyle w:val="FootnoteText"/>
      </w:pPr>
      <w:r>
        <w:rPr>
          <w:rStyle w:val="FootnoteReference"/>
        </w:rPr>
        <w:footnoteRef/>
      </w:r>
      <w:r>
        <w:t xml:space="preserve"> </w:t>
      </w:r>
      <w:r>
        <w:t xml:space="preserve">Verified fact — A1-S078: Firecrawl self-hosting guide (docs source) (Firecrawl (GitHub docs source))</w:t>
      </w:r>
      <w:r>
        <w:t xml:space="preserve"> </w:t>
      </w:r>
      <w:hyperlink r:id="rId295">
        <w:r>
          <w:rPr>
            <w:rStyle w:val="Hyperlink"/>
          </w:rPr>
          <w:t xml:space="preserve">https://raw.githubusercontent.com/firecrawl/firecrawl-docs/main/contributing/self-host.mdx</w:t>
        </w:r>
      </w:hyperlink>
      <w:r>
        <w:t xml:space="preserve"> </w:t>
      </w:r>
      <w:r>
        <w:t xml:space="preserve">accessed 2026-10-07</w:t>
      </w:r>
    </w:p>
  </w:footnote>
  <w:footnote w:id="296">
    <w:p>
      <w:pPr>
        <w:pStyle w:val="FootnoteText"/>
      </w:pPr>
      <w:r>
        <w:rPr>
          <w:rStyle w:val="FootnoteReference"/>
        </w:rPr>
        <w:footnoteRef/>
      </w:r>
      <w:r>
        <w:t xml:space="preserve"> </w:t>
      </w:r>
      <w:r>
        <w:t xml:space="preserve">Verified fact — A1-S127: Firecrawl Pricing</w:t>
      </w:r>
      <w:r>
        <w:t xml:space="preserve"> </w:t>
      </w:r>
      <w:hyperlink r:id="rId297">
        <w:r>
          <w:rPr>
            <w:rStyle w:val="Hyperlink"/>
          </w:rPr>
          <w:t xml:space="preserve">https://www.firecrawl.dev/pricing.md</w:t>
        </w:r>
      </w:hyperlink>
      <w:r>
        <w:t xml:space="preserve"> </w:t>
      </w:r>
      <w:r>
        <w:t xml:space="preserve">accessed 2026-10-07 [search-tool extract]</w:t>
      </w:r>
    </w:p>
  </w:footnote>
  <w:footnote w:id="298">
    <w:p>
      <w:pPr>
        <w:pStyle w:val="FootnoteText"/>
      </w:pPr>
      <w:r>
        <w:rPr>
          <w:rStyle w:val="FootnoteReference"/>
        </w:rPr>
        <w:footnoteRef/>
      </w:r>
      <w:r>
        <w:t xml:space="preserve"> </w:t>
      </w:r>
      <w:r>
        <w:t xml:space="preserve">Verified fact — A1-S053: Firecrawl README (Firecrawl (GitHub))</w:t>
      </w:r>
      <w:r>
        <w:t xml:space="preserve"> </w:t>
      </w:r>
      <w:hyperlink r:id="rId287">
        <w:r>
          <w:rPr>
            <w:rStyle w:val="Hyperlink"/>
          </w:rPr>
          <w:t xml:space="preserve">https://raw.githubusercontent.com/firecrawl/firecrawl/main/README.md</w:t>
        </w:r>
      </w:hyperlink>
      <w:r>
        <w:t xml:space="preserve"> </w:t>
      </w:r>
      <w:r>
        <w:t xml:space="preserve">accessed 2026-10-07; A1-S079: Open source or Firecrawl Cloud (docs source) (Firecrawl (GitHub docs source))</w:t>
      </w:r>
      <w:r>
        <w:t xml:space="preserve"> </w:t>
      </w:r>
      <w:hyperlink r:id="rId289">
        <w:r>
          <w:rPr>
            <w:rStyle w:val="Hyperlink"/>
          </w:rPr>
          <w:t xml:space="preserve">https://raw.githubusercontent.com/firecrawl/firecrawl-docs/main/contributing/open-source-or-cloud.mdx</w:t>
        </w:r>
      </w:hyperlink>
      <w:r>
        <w:t xml:space="preserve"> </w:t>
      </w:r>
      <w:r>
        <w:t xml:space="preserve">accessed 2026-10-07; V1-S002: Firecrawl LICENSE (AGPL-3.0) (Firecrawl (GitHub))</w:t>
      </w:r>
      <w:r>
        <w:t xml:space="preserve"> </w:t>
      </w:r>
      <w:hyperlink r:id="rId299">
        <w:r>
          <w:rPr>
            <w:rStyle w:val="Hyperlink"/>
          </w:rPr>
          <w:t xml:space="preserve">https://raw.githubusercontent.com/firecrawl/firecrawl/main/LICENSE</w:t>
        </w:r>
      </w:hyperlink>
      <w:r>
        <w:t xml:space="preserve"> </w:t>
      </w:r>
      <w:r>
        <w:t xml:space="preserve">accessed 2026-10-08</w:t>
      </w:r>
    </w:p>
  </w:footnote>
  <w:footnote w:id="300">
    <w:p>
      <w:pPr>
        <w:pStyle w:val="FootnoteText"/>
      </w:pPr>
      <w:r>
        <w:rPr>
          <w:rStyle w:val="FootnoteReference"/>
        </w:rPr>
        <w:footnoteRef/>
      </w:r>
      <w:r>
        <w:t xml:space="preserve"> </w:t>
      </w:r>
      <w:r>
        <w:t xml:space="preserve">Verified fact — A1-S134: Firecrawl Privacy Policy</w:t>
      </w:r>
      <w:r>
        <w:t xml:space="preserve"> </w:t>
      </w:r>
      <w:hyperlink r:id="rId301">
        <w:r>
          <w:rPr>
            <w:rStyle w:val="Hyperlink"/>
          </w:rPr>
          <w:t xml:space="preserve">https://www.firecrawl.dev/privacy-policy</w:t>
        </w:r>
      </w:hyperlink>
      <w:r>
        <w:t xml:space="preserve"> </w:t>
      </w:r>
      <w:r>
        <w:t xml:space="preserve">accessed 2026-10-07 [search-tool extract]</w:t>
      </w:r>
    </w:p>
  </w:footnote>
  <w:footnote w:id="302">
    <w:p>
      <w:pPr>
        <w:pStyle w:val="FootnoteText"/>
      </w:pPr>
      <w:r>
        <w:rPr>
          <w:rStyle w:val="FootnoteReference"/>
        </w:rPr>
        <w:footnoteRef/>
      </w:r>
      <w:r>
        <w:t xml:space="preserve"> </w:t>
      </w:r>
      <w:r>
        <w:t xml:space="preserve">Verified fact — A1-S076: Firecrawl Enterprise (docs source) (Firecrawl (GitHub docs source))</w:t>
      </w:r>
      <w:r>
        <w:t xml:space="preserve"> </w:t>
      </w:r>
      <w:hyperlink r:id="rId292">
        <w:r>
          <w:rPr>
            <w:rStyle w:val="Hyperlink"/>
          </w:rPr>
          <w:t xml:space="preserve">https://raw.githubusercontent.com/firecrawl/firecrawl-docs/main/enterprise.mdx</w:t>
        </w:r>
      </w:hyperlink>
      <w:r>
        <w:t xml:space="preserve"> </w:t>
      </w:r>
      <w:r>
        <w:t xml:space="preserve">accessed 2026-10-07</w:t>
      </w:r>
    </w:p>
  </w:footnote>
  <w:footnote w:id="304">
    <w:p>
      <w:pPr>
        <w:pStyle w:val="FootnoteText"/>
      </w:pPr>
      <w:r>
        <w:rPr>
          <w:rStyle w:val="FootnoteReference"/>
        </w:rPr>
        <w:footnoteRef/>
      </w:r>
      <w:r>
        <w:t xml:space="preserve"> </w:t>
      </w:r>
      <w:r>
        <w:t xml:space="preserve">Verified fact — A1-S074: Crawl4AI README (UncleCode / Crawl4AI (GitHub))</w:t>
      </w:r>
      <w:r>
        <w:t xml:space="preserve"> </w:t>
      </w:r>
      <w:hyperlink r:id="rId305">
        <w:r>
          <w:rPr>
            <w:rStyle w:val="Hyperlink"/>
          </w:rPr>
          <w:t xml:space="preserve">https://raw.githubusercontent.com/unclecode/crawl4ai/main/README.md</w:t>
        </w:r>
      </w:hyperlink>
      <w:r>
        <w:t xml:space="preserve"> </w:t>
      </w:r>
      <w:r>
        <w:t xml:space="preserve">accessed 2026-10-07</w:t>
      </w:r>
    </w:p>
  </w:footnote>
  <w:footnote w:id="306">
    <w:p>
      <w:pPr>
        <w:pStyle w:val="FootnoteText"/>
      </w:pPr>
      <w:r>
        <w:rPr>
          <w:rStyle w:val="FootnoteReference"/>
        </w:rPr>
        <w:footnoteRef/>
      </w:r>
      <w:r>
        <w:t xml:space="preserve"> </w:t>
      </w:r>
      <w:r>
        <w:t xml:space="preserve">Verified fact — A1-S074: Crawl4AI README (UncleCode / Crawl4AI (GitHub))</w:t>
      </w:r>
      <w:r>
        <w:t xml:space="preserve"> </w:t>
      </w:r>
      <w:hyperlink r:id="rId305">
        <w:r>
          <w:rPr>
            <w:rStyle w:val="Hyperlink"/>
          </w:rPr>
          <w:t xml:space="preserve">https://raw.githubusercontent.com/unclecode/crawl4ai/main/README.md</w:t>
        </w:r>
      </w:hyperlink>
      <w:r>
        <w:t xml:space="preserve"> </w:t>
      </w:r>
      <w:r>
        <w:t xml:space="preserve">accessed 2026-10-07</w:t>
      </w:r>
    </w:p>
  </w:footnote>
  <w:footnote w:id="307">
    <w:p>
      <w:pPr>
        <w:pStyle w:val="FootnoteText"/>
      </w:pPr>
      <w:r>
        <w:rPr>
          <w:rStyle w:val="FootnoteReference"/>
        </w:rPr>
        <w:footnoteRef/>
      </w:r>
      <w:r>
        <w:t xml:space="preserve"> </w:t>
      </w:r>
      <w:r>
        <w:t xml:space="preserve">Verified fact — A1-S074: Crawl4AI README (UncleCode / Crawl4AI (GitHub))</w:t>
      </w:r>
      <w:r>
        <w:t xml:space="preserve"> </w:t>
      </w:r>
      <w:hyperlink r:id="rId305">
        <w:r>
          <w:rPr>
            <w:rStyle w:val="Hyperlink"/>
          </w:rPr>
          <w:t xml:space="preserve">https://raw.githubusercontent.com/unclecode/crawl4ai/main/README.md</w:t>
        </w:r>
      </w:hyperlink>
      <w:r>
        <w:t xml:space="preserve"> </w:t>
      </w:r>
      <w:r>
        <w:t xml:space="preserve">accessed 2026-10-07</w:t>
      </w:r>
    </w:p>
  </w:footnote>
  <w:footnote w:id="308">
    <w:p>
      <w:pPr>
        <w:pStyle w:val="FootnoteText"/>
      </w:pPr>
      <w:r>
        <w:rPr>
          <w:rStyle w:val="FootnoteReference"/>
        </w:rPr>
        <w:footnoteRef/>
      </w:r>
      <w:r>
        <w:t xml:space="preserve"> </w:t>
      </w:r>
      <w:r>
        <w:t xml:space="preserve">Verified fact — A1-S074: Crawl4AI README (UncleCode / Crawl4AI (GitHub))</w:t>
      </w:r>
      <w:r>
        <w:t xml:space="preserve"> </w:t>
      </w:r>
      <w:hyperlink r:id="rId305">
        <w:r>
          <w:rPr>
            <w:rStyle w:val="Hyperlink"/>
          </w:rPr>
          <w:t xml:space="preserve">https://raw.githubusercontent.com/unclecode/crawl4ai/main/README.md</w:t>
        </w:r>
      </w:hyperlink>
      <w:r>
        <w:t xml:space="preserve"> </w:t>
      </w:r>
      <w:r>
        <w:t xml:space="preserve">accessed 2026-10-07</w:t>
      </w:r>
    </w:p>
  </w:footnote>
  <w:footnote w:id="309">
    <w:p>
      <w:pPr>
        <w:pStyle w:val="FootnoteText"/>
      </w:pPr>
      <w:r>
        <w:rPr>
          <w:rStyle w:val="FootnoteReference"/>
        </w:rPr>
        <w:footnoteRef/>
      </w:r>
      <w:r>
        <w:t xml:space="preserve"> </w:t>
      </w:r>
      <w:r>
        <w:t xml:space="preserve">Verified fact — A1-S056: Crawl4AI LICENSE (Apache-2.0 with attribution requirement) (UncleCode / Crawl4AI (GitHub))</w:t>
      </w:r>
      <w:r>
        <w:t xml:space="preserve"> </w:t>
      </w:r>
      <w:hyperlink r:id="rId310">
        <w:r>
          <w:rPr>
            <w:rStyle w:val="Hyperlink"/>
          </w:rPr>
          <w:t xml:space="preserve">https://raw.githubusercontent.com/unclecode/crawl4ai/main/LICENSE</w:t>
        </w:r>
      </w:hyperlink>
      <w:r>
        <w:t xml:space="preserve"> </w:t>
      </w:r>
      <w:r>
        <w:t xml:space="preserve">accessed 2026-10-07; V1-S001: Crawl4AI LICENSE (Apache-2.0 plus Attribution Requirement) (UncleCode / Crawl4AI (GitHub))</w:t>
      </w:r>
      <w:r>
        <w:t xml:space="preserve"> </w:t>
      </w:r>
      <w:hyperlink r:id="rId310">
        <w:r>
          <w:rPr>
            <w:rStyle w:val="Hyperlink"/>
          </w:rPr>
          <w:t xml:space="preserve">https://raw.githubusercontent.com/unclecode/crawl4ai/main/LICENSE</w:t>
        </w:r>
      </w:hyperlink>
      <w:r>
        <w:t xml:space="preserve"> </w:t>
      </w:r>
      <w:r>
        <w:t xml:space="preserve">accessed 2026-10-08</w:t>
      </w:r>
    </w:p>
  </w:footnote>
  <w:footnote w:id="311">
    <w:p>
      <w:pPr>
        <w:pStyle w:val="FootnoteText"/>
      </w:pPr>
      <w:r>
        <w:rPr>
          <w:rStyle w:val="FootnoteReference"/>
        </w:rPr>
        <w:footnoteRef/>
      </w:r>
      <w:r>
        <w:t xml:space="preserve"> </w:t>
      </w:r>
      <w:r>
        <w:t xml:space="preserve">Verified fact — A1-S009: PyPI JSON metadata: crawl4ai (Python Package Index)</w:t>
      </w:r>
      <w:r>
        <w:t xml:space="preserve"> </w:t>
      </w:r>
      <w:hyperlink r:id="rId312">
        <w:r>
          <w:rPr>
            <w:rStyle w:val="Hyperlink"/>
          </w:rPr>
          <w:t xml:space="preserve">https://pypi.org/pypi/crawl4ai/json</w:t>
        </w:r>
      </w:hyperlink>
      <w:r>
        <w:t xml:space="preserve"> </w:t>
      </w:r>
      <w:r>
        <w:t xml:space="preserve">accessed 2026-10-07; A1-S074: Crawl4AI README (UncleCode / Crawl4AI (GitHub))</w:t>
      </w:r>
      <w:r>
        <w:t xml:space="preserve"> </w:t>
      </w:r>
      <w:hyperlink r:id="rId305">
        <w:r>
          <w:rPr>
            <w:rStyle w:val="Hyperlink"/>
          </w:rPr>
          <w:t xml:space="preserve">https://raw.githubusercontent.com/unclecode/crawl4ai/main/README.md</w:t>
        </w:r>
      </w:hyperlink>
      <w:r>
        <w:t xml:space="preserve"> </w:t>
      </w:r>
      <w:r>
        <w:t xml:space="preserve">accessed 2026-10-07</w:t>
      </w:r>
    </w:p>
  </w:footnote>
  <w:footnote w:id="313">
    <w:p>
      <w:pPr>
        <w:pStyle w:val="FootnoteText"/>
      </w:pPr>
      <w:r>
        <w:rPr>
          <w:rStyle w:val="FootnoteReference"/>
        </w:rPr>
        <w:footnoteRef/>
      </w:r>
      <w:r>
        <w:t xml:space="preserve"> </w:t>
      </w:r>
      <w:r>
        <w:t xml:space="preserve">Reported — A1-S132: Crawl4AI - Company Profile (Tracxn)</w:t>
      </w:r>
      <w:r>
        <w:t xml:space="preserve"> </w:t>
      </w:r>
      <w:hyperlink r:id="rId314">
        <w:r>
          <w:rPr>
            <w:rStyle w:val="Hyperlink"/>
          </w:rPr>
          <w:t xml:space="preserve">https://tracxn.com/d/companies/crawl4ai/__EgBR0RIx6L34MHENV_ItNiaxrP5zsR1oR97-bT7LWmg</w:t>
        </w:r>
      </w:hyperlink>
      <w:r>
        <w:t xml:space="preserve"> </w:t>
      </w:r>
      <w:r>
        <w:t xml:space="preserve">accessed 2026-10-07 [search-tool extract]</w:t>
      </w:r>
    </w:p>
  </w:footnote>
  <w:footnote w:id="316">
    <w:p>
      <w:pPr>
        <w:pStyle w:val="FootnoteText"/>
      </w:pPr>
      <w:r>
        <w:rPr>
          <w:rStyle w:val="FootnoteReference"/>
        </w:rPr>
        <w:footnoteRef/>
      </w:r>
      <w:r>
        <w:t xml:space="preserve"> </w:t>
      </w:r>
      <w:r>
        <w:t xml:space="preserve">Verified fact — B-REV-S017: Reducto: Enterprise Readiness</w:t>
      </w:r>
      <w:r>
        <w:t xml:space="preserve"> </w:t>
      </w:r>
      <w:hyperlink r:id="rId317">
        <w:r>
          <w:rPr>
            <w:rStyle w:val="Hyperlink"/>
          </w:rPr>
          <w:t xml:space="preserve">https://docs.reducto.ai/enterprise/enterprise-readiness</w:t>
        </w:r>
      </w:hyperlink>
      <w:r>
        <w:t xml:space="preserve"> </w:t>
      </w:r>
      <w:r>
        <w:t xml:space="preserve">accessed 2026-10-08 [search-tool extract]</w:t>
      </w:r>
    </w:p>
  </w:footnote>
  <w:footnote w:id="318">
    <w:p>
      <w:pPr>
        <w:pStyle w:val="FootnoteText"/>
      </w:pPr>
      <w:r>
        <w:rPr>
          <w:rStyle w:val="FootnoteReference"/>
        </w:rPr>
        <w:footnoteRef/>
      </w:r>
      <w:r>
        <w:t xml:space="preserve"> </w:t>
      </w:r>
      <w:r>
        <w:t xml:space="preserve">Verified fact — A1-S093: Reducto Python SDK API reference (api.md) (Reducto (GitHub))</w:t>
      </w:r>
      <w:r>
        <w:t xml:space="preserve"> </w:t>
      </w:r>
      <w:hyperlink r:id="rId319">
        <w:r>
          <w:rPr>
            <w:rStyle w:val="Hyperlink"/>
          </w:rPr>
          <w:t xml:space="preserve">https://raw.githubusercontent.com/reductoai/reducto-python-sdk/main/api.md</w:t>
        </w:r>
      </w:hyperlink>
      <w:r>
        <w:t xml:space="preserve"> </w:t>
      </w:r>
      <w:r>
        <w:t xml:space="preserve">accessed 2026-10-07; A1-S092: Reducto Python SDK client (environment base URLs) (Reducto (GitHub))</w:t>
      </w:r>
      <w:r>
        <w:t xml:space="preserve"> </w:t>
      </w:r>
      <w:hyperlink r:id="rId320">
        <w:r>
          <w:rPr>
            <w:rStyle w:val="Hyperlink"/>
          </w:rPr>
          <w:t xml:space="preserve">https://raw.githubusercontent.com/reductoai/reducto-python-sdk/main/src/reducto/_client.py</w:t>
        </w:r>
      </w:hyperlink>
      <w:r>
        <w:t xml:space="preserve"> </w:t>
      </w:r>
      <w:r>
        <w:t xml:space="preserve">accessed 2026-10-07</w:t>
      </w:r>
    </w:p>
  </w:footnote>
  <w:footnote w:id="321">
    <w:p>
      <w:pPr>
        <w:pStyle w:val="FootnoteText"/>
      </w:pPr>
      <w:r>
        <w:rPr>
          <w:rStyle w:val="FootnoteReference"/>
        </w:rPr>
        <w:footnoteRef/>
      </w:r>
      <w:r>
        <w:t xml:space="preserve"> </w:t>
      </w:r>
      <w:r>
        <w:t xml:space="preserve">Verified fact — A1-S112: Reducto Trust Center: Zero Data Retention, on-prem, air-gapped</w:t>
      </w:r>
      <w:r>
        <w:t xml:space="preserve"> </w:t>
      </w:r>
      <w:hyperlink r:id="rId322">
        <w:r>
          <w:rPr>
            <w:rStyle w:val="Hyperlink"/>
          </w:rPr>
          <w:t xml:space="preserve">https://llms.reducto.ai/trust-center-on-prem-zero-retention-hipaa-soc2-baa</w:t>
        </w:r>
      </w:hyperlink>
      <w:r>
        <w:t xml:space="preserve"> </w:t>
      </w:r>
      <w:r>
        <w:t xml:space="preserve">accessed 2026-10-07 [search-tool extract]</w:t>
      </w:r>
    </w:p>
  </w:footnote>
  <w:footnote w:id="323">
    <w:p>
      <w:pPr>
        <w:pStyle w:val="FootnoteText"/>
      </w:pPr>
      <w:r>
        <w:rPr>
          <w:rStyle w:val="FootnoteReference"/>
        </w:rPr>
        <w:footnoteRef/>
      </w:r>
      <w:r>
        <w:t xml:space="preserve"> </w:t>
      </w:r>
      <w:r>
        <w:t xml:space="preserve">Verified fact — A1-S112: Reducto Trust Center: Zero Data Retention, on-prem, air-gapped</w:t>
      </w:r>
      <w:r>
        <w:t xml:space="preserve"> </w:t>
      </w:r>
      <w:hyperlink r:id="rId322">
        <w:r>
          <w:rPr>
            <w:rStyle w:val="Hyperlink"/>
          </w:rPr>
          <w:t xml:space="preserve">https://llms.reducto.ai/trust-center-on-prem-zero-retention-hipaa-soc2-baa</w:t>
        </w:r>
      </w:hyperlink>
      <w:r>
        <w:t xml:space="preserve"> </w:t>
      </w:r>
      <w:r>
        <w:t xml:space="preserve">accessed 2026-10-07 [search-tool extract]</w:t>
      </w:r>
    </w:p>
  </w:footnote>
  <w:footnote w:id="324">
    <w:p>
      <w:pPr>
        <w:pStyle w:val="FootnoteText"/>
      </w:pPr>
      <w:r>
        <w:rPr>
          <w:rStyle w:val="FootnoteReference"/>
        </w:rPr>
        <w:footnoteRef/>
      </w:r>
      <w:r>
        <w:t xml:space="preserve"> </w:t>
      </w:r>
      <w:r>
        <w:t xml:space="preserve">Verified fact — A1-S113: Reducto Pricing</w:t>
      </w:r>
      <w:r>
        <w:t xml:space="preserve"> </w:t>
      </w:r>
      <w:hyperlink r:id="rId325">
        <w:r>
          <w:rPr>
            <w:rStyle w:val="Hyperlink"/>
          </w:rPr>
          <w:t xml:space="preserve">https://reducto.ai/pricing</w:t>
        </w:r>
      </w:hyperlink>
      <w:r>
        <w:t xml:space="preserve"> </w:t>
      </w:r>
      <w:r>
        <w:t xml:space="preserve">accessed 2026-10-07 [search-tool extract]</w:t>
      </w:r>
    </w:p>
  </w:footnote>
  <w:footnote w:id="326">
    <w:p>
      <w:pPr>
        <w:pStyle w:val="FootnoteText"/>
      </w:pPr>
      <w:r>
        <w:rPr>
          <w:rStyle w:val="FootnoteReference"/>
        </w:rPr>
        <w:footnoteRef/>
      </w:r>
      <w:r>
        <w:t xml:space="preserve"> </w:t>
      </w:r>
      <w:r>
        <w:t xml:space="preserve">Verified fact — A1-S114: Reducto Announces $108M in Funding to Define the Future of AI Document Intelligence</w:t>
      </w:r>
      <w:r>
        <w:t xml:space="preserve"> </w:t>
      </w:r>
      <w:hyperlink r:id="rId327">
        <w:r>
          <w:rPr>
            <w:rStyle w:val="Hyperlink"/>
          </w:rPr>
          <w:t xml:space="preserve">https://reducto.ai/blog/reducto-series-b-funding</w:t>
        </w:r>
      </w:hyperlink>
      <w:r>
        <w:t xml:space="preserve"> </w:t>
      </w:r>
      <w:r>
        <w:t xml:space="preserve">accessed 2026-10-07 [search-tool extract]; V1-S018: Reducto Secures $75 Million Series B (Cooley LLP)</w:t>
      </w:r>
      <w:r>
        <w:t xml:space="preserve"> </w:t>
      </w:r>
      <w:hyperlink r:id="rId328">
        <w:r>
          <w:rPr>
            <w:rStyle w:val="Hyperlink"/>
          </w:rPr>
          <w:t xml:space="preserve">https://www.cooley.com/news/coverage/2025/2025-10-14-reducto-secures-$75-million-series-b</w:t>
        </w:r>
      </w:hyperlink>
      <w:r>
        <w:t xml:space="preserve"> </w:t>
      </w:r>
      <w:r>
        <w:t xml:space="preserve">accessed 2026-10-08 [search-tool extract]</w:t>
      </w:r>
    </w:p>
  </w:footnote>
  <w:footnote w:id="329">
    <w:p>
      <w:pPr>
        <w:pStyle w:val="FootnoteText"/>
      </w:pPr>
      <w:r>
        <w:rPr>
          <w:rStyle w:val="FootnoteReference"/>
        </w:rPr>
        <w:footnoteRef/>
      </w:r>
      <w:r>
        <w:t xml:space="preserve"> </w:t>
      </w:r>
      <w:r>
        <w:t xml:space="preserve">Verified fact — A1-S112: Reducto Trust Center: Zero Data Retention, on-prem, air-gapped</w:t>
      </w:r>
      <w:r>
        <w:t xml:space="preserve"> </w:t>
      </w:r>
      <w:hyperlink r:id="rId322">
        <w:r>
          <w:rPr>
            <w:rStyle w:val="Hyperlink"/>
          </w:rPr>
          <w:t xml:space="preserve">https://llms.reducto.ai/trust-center-on-prem-zero-retention-hipaa-soc2-baa</w:t>
        </w:r>
      </w:hyperlink>
      <w:r>
        <w:t xml:space="preserve"> </w:t>
      </w:r>
      <w:r>
        <w:t xml:space="preserve">accessed 2026-10-07 [search-tool extract]</w:t>
      </w:r>
    </w:p>
  </w:footnote>
  <w:footnote w:id="330">
    <w:p>
      <w:pPr>
        <w:pStyle w:val="FootnoteText"/>
      </w:pPr>
      <w:r>
        <w:rPr>
          <w:rStyle w:val="FootnoteReference"/>
        </w:rPr>
        <w:footnoteRef/>
      </w:r>
      <w:r>
        <w:t xml:space="preserve"> </w:t>
      </w:r>
      <w:r>
        <w:t xml:space="preserve">Verified fact — B-REV-S017: Reducto: Enterprise Readiness</w:t>
      </w:r>
      <w:r>
        <w:t xml:space="preserve"> </w:t>
      </w:r>
      <w:hyperlink r:id="rId317">
        <w:r>
          <w:rPr>
            <w:rStyle w:val="Hyperlink"/>
          </w:rPr>
          <w:t xml:space="preserve">https://docs.reducto.ai/enterprise/enterprise-readiness</w:t>
        </w:r>
      </w:hyperlink>
      <w:r>
        <w:t xml:space="preserve"> </w:t>
      </w:r>
      <w:r>
        <w:t xml:space="preserve">accessed 2026-10-08 [search-tool extract]</w:t>
      </w:r>
    </w:p>
  </w:footnote>
  <w:footnote w:id="331">
    <w:p>
      <w:pPr>
        <w:pStyle w:val="FootnoteText"/>
      </w:pPr>
      <w:r>
        <w:rPr>
          <w:rStyle w:val="FootnoteReference"/>
        </w:rPr>
        <w:footnoteRef/>
      </w:r>
      <w:r>
        <w:t xml:space="preserve"> </w:t>
      </w:r>
      <w:r>
        <w:t xml:space="preserve">Verified fact — A1-S092: Reducto Python SDK client (environment base URLs) (Reducto (GitHub))</w:t>
      </w:r>
      <w:r>
        <w:t xml:space="preserve"> </w:t>
      </w:r>
      <w:hyperlink r:id="rId320">
        <w:r>
          <w:rPr>
            <w:rStyle w:val="Hyperlink"/>
          </w:rPr>
          <w:t xml:space="preserve">https://raw.githubusercontent.com/reductoai/reducto-python-sdk/main/src/reducto/_client.py</w:t>
        </w:r>
      </w:hyperlink>
      <w:r>
        <w:t xml:space="preserve"> </w:t>
      </w:r>
      <w:r>
        <w:t xml:space="preserve">accessed 2026-10-07; A1-S093: Reducto Python SDK API reference (api.md) (Reducto (GitHub))</w:t>
      </w:r>
      <w:r>
        <w:t xml:space="preserve"> </w:t>
      </w:r>
      <w:hyperlink r:id="rId319">
        <w:r>
          <w:rPr>
            <w:rStyle w:val="Hyperlink"/>
          </w:rPr>
          <w:t xml:space="preserve">https://raw.githubusercontent.com/reductoai/reducto-python-sdk/main/api.md</w:t>
        </w:r>
      </w:hyperlink>
      <w:r>
        <w:t xml:space="preserve"> </w:t>
      </w:r>
      <w:r>
        <w:t xml:space="preserve">accessed 2026-10-07</w:t>
      </w:r>
    </w:p>
  </w:footnote>
  <w:footnote w:id="332">
    <w:p>
      <w:pPr>
        <w:pStyle w:val="FootnoteText"/>
      </w:pPr>
      <w:r>
        <w:rPr>
          <w:rStyle w:val="FootnoteReference"/>
        </w:rPr>
        <w:footnoteRef/>
      </w:r>
      <w:r>
        <w:t xml:space="preserve"> </w:t>
      </w:r>
      <w:r>
        <w:t xml:space="preserve">Verified fact — A1-S093: Reducto Python SDK API reference (api.md) (Reducto (GitHub))</w:t>
      </w:r>
      <w:r>
        <w:t xml:space="preserve"> </w:t>
      </w:r>
      <w:hyperlink r:id="rId319">
        <w:r>
          <w:rPr>
            <w:rStyle w:val="Hyperlink"/>
          </w:rPr>
          <w:t xml:space="preserve">https://raw.githubusercontent.com/reductoai/reducto-python-sdk/main/api.md</w:t>
        </w:r>
      </w:hyperlink>
      <w:r>
        <w:t xml:space="preserve"> </w:t>
      </w:r>
      <w:r>
        <w:t xml:space="preserve">accessed 2026-10-07</w:t>
      </w:r>
    </w:p>
  </w:footnote>
  <w:footnote w:id="334">
    <w:p>
      <w:pPr>
        <w:pStyle w:val="FootnoteText"/>
      </w:pPr>
      <w:r>
        <w:rPr>
          <w:rStyle w:val="FootnoteReference"/>
        </w:rPr>
        <w:footnoteRef/>
      </w:r>
      <w:r>
        <w:t xml:space="preserve"> </w:t>
      </w:r>
      <w:r>
        <w:t xml:space="preserve">Verified fact — A1-S055: MinerU README (MinerU 4.0) (OpenDataLab MinerU Team (GitHub))</w:t>
      </w:r>
      <w:r>
        <w:t xml:space="preserve"> </w:t>
      </w:r>
      <w:hyperlink r:id="rId335">
        <w:r>
          <w:rPr>
            <w:rStyle w:val="Hyperlink"/>
          </w:rPr>
          <w:t xml:space="preserve">https://raw.githubusercontent.com/opendatalab/MinerU/master/README.md</w:t>
        </w:r>
      </w:hyperlink>
      <w:r>
        <w:t xml:space="preserve"> </w:t>
      </w:r>
      <w:r>
        <w:t xml:space="preserve">accessed 2026-10-07; A1-S010: PyPI JSON metadata: mineru (Python Package Index)</w:t>
      </w:r>
      <w:r>
        <w:t xml:space="preserve"> </w:t>
      </w:r>
      <w:hyperlink r:id="rId336">
        <w:r>
          <w:rPr>
            <w:rStyle w:val="Hyperlink"/>
          </w:rPr>
          <w:t xml:space="preserve">https://pypi.org/pypi/mineru/json</w:t>
        </w:r>
      </w:hyperlink>
      <w:r>
        <w:t xml:space="preserve"> </w:t>
      </w:r>
      <w:r>
        <w:t xml:space="preserve">accessed 2026-10-07</w:t>
      </w:r>
    </w:p>
  </w:footnote>
  <w:footnote w:id="337">
    <w:p>
      <w:pPr>
        <w:pStyle w:val="FootnoteText"/>
      </w:pPr>
      <w:r>
        <w:rPr>
          <w:rStyle w:val="FootnoteReference"/>
        </w:rPr>
        <w:footnoteRef/>
      </w:r>
      <w:r>
        <w:t xml:space="preserve"> </w:t>
      </w:r>
      <w:r>
        <w:t xml:space="preserve">Verified fact — A1-S055: MinerU README (MinerU 4.0) (OpenDataLab MinerU Team (GitHub))</w:t>
      </w:r>
      <w:r>
        <w:t xml:space="preserve"> </w:t>
      </w:r>
      <w:hyperlink r:id="rId335">
        <w:r>
          <w:rPr>
            <w:rStyle w:val="Hyperlink"/>
          </w:rPr>
          <w:t xml:space="preserve">https://raw.githubusercontent.com/opendatalab/MinerU/master/README.md</w:t>
        </w:r>
      </w:hyperlink>
      <w:r>
        <w:t xml:space="preserve"> </w:t>
      </w:r>
      <w:r>
        <w:t xml:space="preserve">accessed 2026-10-07</w:t>
      </w:r>
    </w:p>
  </w:footnote>
  <w:footnote w:id="338">
    <w:p>
      <w:pPr>
        <w:pStyle w:val="FootnoteText"/>
      </w:pPr>
      <w:r>
        <w:rPr>
          <w:rStyle w:val="FootnoteReference"/>
        </w:rPr>
        <w:footnoteRef/>
      </w:r>
      <w:r>
        <w:t xml:space="preserve"> </w:t>
      </w:r>
      <w:r>
        <w:t xml:space="preserve">Verified fact — A1-S055: MinerU README (MinerU 4.0) (OpenDataLab MinerU Team (GitHub))</w:t>
      </w:r>
      <w:r>
        <w:t xml:space="preserve"> </w:t>
      </w:r>
      <w:hyperlink r:id="rId335">
        <w:r>
          <w:rPr>
            <w:rStyle w:val="Hyperlink"/>
          </w:rPr>
          <w:t xml:space="preserve">https://raw.githubusercontent.com/opendatalab/MinerU/master/README.md</w:t>
        </w:r>
      </w:hyperlink>
      <w:r>
        <w:t xml:space="preserve"> </w:t>
      </w:r>
      <w:r>
        <w:t xml:space="preserve">accessed 2026-10-07</w:t>
      </w:r>
    </w:p>
  </w:footnote>
  <w:footnote w:id="339">
    <w:p>
      <w:pPr>
        <w:pStyle w:val="FootnoteText"/>
      </w:pPr>
      <w:r>
        <w:rPr>
          <w:rStyle w:val="FootnoteReference"/>
        </w:rPr>
        <w:footnoteRef/>
      </w:r>
      <w:r>
        <w:t xml:space="preserve"> </w:t>
      </w:r>
      <w:r>
        <w:t xml:space="preserve">Verified fact — A1-S055: MinerU README (MinerU 4.0) (OpenDataLab MinerU Team (GitHub))</w:t>
      </w:r>
      <w:r>
        <w:t xml:space="preserve"> </w:t>
      </w:r>
      <w:hyperlink r:id="rId335">
        <w:r>
          <w:rPr>
            <w:rStyle w:val="Hyperlink"/>
          </w:rPr>
          <w:t xml:space="preserve">https://raw.githubusercontent.com/opendatalab/MinerU/master/README.md</w:t>
        </w:r>
      </w:hyperlink>
      <w:r>
        <w:t xml:space="preserve"> </w:t>
      </w:r>
      <w:r>
        <w:t xml:space="preserve">accessed 2026-10-07</w:t>
      </w:r>
    </w:p>
  </w:footnote>
  <w:footnote w:id="340">
    <w:p>
      <w:pPr>
        <w:pStyle w:val="FootnoteText"/>
      </w:pPr>
      <w:r>
        <w:rPr>
          <w:rStyle w:val="FootnoteReference"/>
        </w:rPr>
        <w:footnoteRef/>
      </w:r>
      <w:r>
        <w:t xml:space="preserve"> </w:t>
      </w:r>
      <w:r>
        <w:t xml:space="preserve">Verified fact — A1-S054: MinerU Open Source License (OpenDataLab MinerU Team (GitHub))</w:t>
      </w:r>
      <w:r>
        <w:t xml:space="preserve"> </w:t>
      </w:r>
      <w:hyperlink r:id="rId341">
        <w:r>
          <w:rPr>
            <w:rStyle w:val="Hyperlink"/>
          </w:rPr>
          <w:t xml:space="preserve">https://raw.githubusercontent.com/opendatalab/MinerU/master/LICENSE.md</w:t>
        </w:r>
      </w:hyperlink>
      <w:r>
        <w:t xml:space="preserve"> </w:t>
      </w:r>
      <w:r>
        <w:t xml:space="preserve">accessed 2026-10-07; V1-S003: MinerU Open Source License (OpenDataLab (GitHub))</w:t>
      </w:r>
      <w:r>
        <w:t xml:space="preserve"> </w:t>
      </w:r>
      <w:hyperlink r:id="rId341">
        <w:r>
          <w:rPr>
            <w:rStyle w:val="Hyperlink"/>
          </w:rPr>
          <w:t xml:space="preserve">https://raw.githubusercontent.com/opendatalab/MinerU/master/LICENSE.md</w:t>
        </w:r>
      </w:hyperlink>
      <w:r>
        <w:t xml:space="preserve"> </w:t>
      </w:r>
      <w:r>
        <w:t xml:space="preserve">accessed 2026-10-08</w:t>
      </w:r>
    </w:p>
  </w:footnote>
  <w:footnote w:id="342">
    <w:p>
      <w:pPr>
        <w:pStyle w:val="FootnoteText"/>
      </w:pPr>
      <w:r>
        <w:rPr>
          <w:rStyle w:val="FootnoteReference"/>
        </w:rPr>
        <w:footnoteRef/>
      </w:r>
      <w:r>
        <w:t xml:space="preserve"> </w:t>
      </w:r>
      <w:r>
        <w:t xml:space="preserve">Verified fact — A1-S054: MinerU Open Source License (OpenDataLab MinerU Team (GitHub))</w:t>
      </w:r>
      <w:r>
        <w:t xml:space="preserve"> </w:t>
      </w:r>
      <w:hyperlink r:id="rId341">
        <w:r>
          <w:rPr>
            <w:rStyle w:val="Hyperlink"/>
          </w:rPr>
          <w:t xml:space="preserve">https://raw.githubusercontent.com/opendatalab/MinerU/master/LICENSE.md</w:t>
        </w:r>
      </w:hyperlink>
      <w:r>
        <w:t xml:space="preserve"> </w:t>
      </w:r>
      <w:r>
        <w:t xml:space="preserve">accessed 2026-10-07</w:t>
      </w:r>
    </w:p>
  </w:footnote>
  <w:footnote w:id="343">
    <w:p>
      <w:pPr>
        <w:pStyle w:val="FootnoteText"/>
      </w:pPr>
      <w:r>
        <w:rPr>
          <w:rStyle w:val="FootnoteReference"/>
        </w:rPr>
        <w:footnoteRef/>
      </w:r>
      <w:r>
        <w:t xml:space="preserve"> </w:t>
      </w:r>
      <w:r>
        <w:t xml:space="preserve">Verified fact — A1-S055: MinerU README (MinerU 4.0) (OpenDataLab MinerU Team (GitHub))</w:t>
      </w:r>
      <w:r>
        <w:t xml:space="preserve"> </w:t>
      </w:r>
      <w:hyperlink r:id="rId335">
        <w:r>
          <w:rPr>
            <w:rStyle w:val="Hyperlink"/>
          </w:rPr>
          <w:t xml:space="preserve">https://raw.githubusercontent.com/opendatalab/MinerU/master/README.md</w:t>
        </w:r>
      </w:hyperlink>
      <w:r>
        <w:t xml:space="preserve"> </w:t>
      </w:r>
      <w:r>
        <w:t xml:space="preserve">accessed 2026-10-07</w:t>
      </w:r>
    </w:p>
  </w:footnote>
  <w:footnote w:id="344">
    <w:p>
      <w:pPr>
        <w:pStyle w:val="FootnoteText"/>
      </w:pPr>
      <w:r>
        <w:rPr>
          <w:rStyle w:val="FootnoteReference"/>
        </w:rPr>
        <w:footnoteRef/>
      </w:r>
      <w:r>
        <w:t xml:space="preserve"> </w:t>
      </w:r>
      <w:r>
        <w:t xml:space="preserve">Verified fact — A1-S055: MinerU README (MinerU 4.0) (OpenDataLab MinerU Team (GitHub))</w:t>
      </w:r>
      <w:r>
        <w:t xml:space="preserve"> </w:t>
      </w:r>
      <w:hyperlink r:id="rId335">
        <w:r>
          <w:rPr>
            <w:rStyle w:val="Hyperlink"/>
          </w:rPr>
          <w:t xml:space="preserve">https://raw.githubusercontent.com/opendatalab/MinerU/master/README.md</w:t>
        </w:r>
      </w:hyperlink>
      <w:r>
        <w:t xml:space="preserve"> </w:t>
      </w:r>
      <w:r>
        <w:t xml:space="preserve">accessed 2026-10-07</w:t>
      </w:r>
    </w:p>
  </w:footnote>
  <w:footnote w:id="346">
    <w:p>
      <w:pPr>
        <w:pStyle w:val="FootnoteText"/>
      </w:pPr>
      <w:r>
        <w:rPr>
          <w:rStyle w:val="FootnoteReference"/>
        </w:rPr>
        <w:footnoteRef/>
      </w:r>
      <w:r>
        <w:t xml:space="preserve"> </w:t>
      </w:r>
      <w:r>
        <w:t xml:space="preserve">Verified fact — B-REV-S025: Apify: Organization account (and permissions, shared responsibility) (Apify Technologies s.r.o.)</w:t>
      </w:r>
      <w:r>
        <w:t xml:space="preserve"> </w:t>
      </w:r>
      <w:hyperlink r:id="rId347">
        <w:r>
          <w:rPr>
            <w:rStyle w:val="Hyperlink"/>
          </w:rPr>
          <w:t xml:space="preserve">https://docs.apify.com/platform/collaboration/organization-account</w:t>
        </w:r>
      </w:hyperlink>
      <w:r>
        <w:t xml:space="preserve"> </w:t>
      </w:r>
      <w:r>
        <w:t xml:space="preserve">accessed 2026-10-08 [search-tool extract]</w:t>
      </w:r>
    </w:p>
  </w:footnote>
  <w:footnote w:id="348">
    <w:p>
      <w:pPr>
        <w:pStyle w:val="FootnoteText"/>
      </w:pPr>
      <w:r>
        <w:rPr>
          <w:rStyle w:val="FootnoteReference"/>
        </w:rPr>
        <w:footnoteRef/>
      </w:r>
      <w:r>
        <w:t xml:space="preserve"> </w:t>
      </w:r>
      <w:r>
        <w:t xml:space="preserve">Verified fact — A1-S087: Apify platform architecture (docs source) (Apify Technologies s.r.o. (GitHub docs source))</w:t>
      </w:r>
      <w:r>
        <w:t xml:space="preserve"> </w:t>
      </w:r>
      <w:hyperlink r:id="rId349">
        <w:r>
          <w:rPr>
            <w:rStyle w:val="Hyperlink"/>
          </w:rPr>
          <w:t xml:space="preserve">https://raw.githubusercontent.com/apify/apify-docs/master/sources/platform/security/architecture.md</w:t>
        </w:r>
      </w:hyperlink>
      <w:r>
        <w:t xml:space="preserve"> </w:t>
      </w:r>
      <w:r>
        <w:t xml:space="preserve">accessed 2026-10-07; A1-S089: Apify MCP server (docs source) (Apify Technologies s.r.o. (GitHub docs source))</w:t>
      </w:r>
      <w:r>
        <w:t xml:space="preserve"> </w:t>
      </w:r>
      <w:hyperlink r:id="rId350">
        <w:r>
          <w:rPr>
            <w:rStyle w:val="Hyperlink"/>
          </w:rPr>
          <w:t xml:space="preserve">https://raw.githubusercontent.com/apify/apify-docs/master/sources/platform/integrations/ai/mcp.md</w:t>
        </w:r>
      </w:hyperlink>
      <w:r>
        <w:t xml:space="preserve"> </w:t>
      </w:r>
      <w:r>
        <w:t xml:space="preserve">accessed 2026-10-07</w:t>
      </w:r>
    </w:p>
  </w:footnote>
  <w:footnote w:id="351">
    <w:p>
      <w:pPr>
        <w:pStyle w:val="FootnoteText"/>
      </w:pPr>
      <w:r>
        <w:rPr>
          <w:rStyle w:val="FootnoteReference"/>
        </w:rPr>
        <w:footnoteRef/>
      </w:r>
      <w:r>
        <w:t xml:space="preserve"> </w:t>
      </w:r>
      <w:r>
        <w:t xml:space="preserve">Verified fact — A1-S089: Apify MCP server (docs source) (Apify Technologies s.r.o. (GitHub docs source))</w:t>
      </w:r>
      <w:r>
        <w:t xml:space="preserve"> </w:t>
      </w:r>
      <w:hyperlink r:id="rId350">
        <w:r>
          <w:rPr>
            <w:rStyle w:val="Hyperlink"/>
          </w:rPr>
          <w:t xml:space="preserve">https://raw.githubusercontent.com/apify/apify-docs/master/sources/platform/integrations/ai/mcp.md</w:t>
        </w:r>
      </w:hyperlink>
      <w:r>
        <w:t xml:space="preserve"> </w:t>
      </w:r>
      <w:r>
        <w:t xml:space="preserve">accessed 2026-10-07</w:t>
      </w:r>
    </w:p>
  </w:footnote>
  <w:footnote w:id="352">
    <w:p>
      <w:pPr>
        <w:pStyle w:val="FootnoteText"/>
      </w:pPr>
      <w:r>
        <w:rPr>
          <w:rStyle w:val="FootnoteReference"/>
        </w:rPr>
        <w:footnoteRef/>
      </w:r>
      <w:r>
        <w:t xml:space="preserve"> </w:t>
      </w:r>
      <w:r>
        <w:t xml:space="preserve">Verified fact — A1-S085: Apify Security (docs source) (Apify Technologies s.r.o. (GitHub docs source))</w:t>
      </w:r>
      <w:r>
        <w:t xml:space="preserve"> </w:t>
      </w:r>
      <w:hyperlink r:id="rId353">
        <w:r>
          <w:rPr>
            <w:rStyle w:val="Hyperlink"/>
          </w:rPr>
          <w:t xml:space="preserve">https://raw.githubusercontent.com/apify/apify-docs/master/sources/platform/security/index.md</w:t>
        </w:r>
      </w:hyperlink>
      <w:r>
        <w:t xml:space="preserve"> </w:t>
      </w:r>
      <w:r>
        <w:t xml:space="preserve">accessed 2026-10-07; V1-S089: Apify Security; Shared responsibility model;</w:t>
      </w:r>
      <w:r>
        <w:t xml:space="preserve"> </w:t>
      </w:r>
      <w:r>
        <w:t xml:space="preserve">‘</w:t>
      </w:r>
      <w:r>
        <w:t xml:space="preserve">Yes, Apify is SOC 2 Type II compliant!</w:t>
      </w:r>
      <w:r>
        <w:t xml:space="preserve">’</w:t>
      </w:r>
      <w:r>
        <w:t xml:space="preserve"> </w:t>
      </w:r>
      <w:r>
        <w:t xml:space="preserve">blog</w:t>
      </w:r>
      <w:r>
        <w:t xml:space="preserve"> </w:t>
      </w:r>
      <w:hyperlink r:id="rId354">
        <w:r>
          <w:rPr>
            <w:rStyle w:val="Hyperlink"/>
          </w:rPr>
          <w:t xml:space="preserve">https://docs.apify.com/security</w:t>
        </w:r>
      </w:hyperlink>
      <w:r>
        <w:t xml:space="preserve"> </w:t>
      </w:r>
      <w:r>
        <w:t xml:space="preserve">accessed 2026-10-08 [search-tool extract]</w:t>
      </w:r>
    </w:p>
  </w:footnote>
  <w:footnote w:id="355">
    <w:p>
      <w:pPr>
        <w:pStyle w:val="FootnoteText"/>
      </w:pPr>
      <w:r>
        <w:rPr>
          <w:rStyle w:val="FootnoteReference"/>
        </w:rPr>
        <w:footnoteRef/>
      </w:r>
      <w:r>
        <w:t xml:space="preserve"> </w:t>
      </w:r>
      <w:r>
        <w:t xml:space="preserve">Verified fact — A1-S133: Apify pricing - flexible plan + pay as you go (Apify Technologies s.r.o.)</w:t>
      </w:r>
      <w:r>
        <w:t xml:space="preserve"> </w:t>
      </w:r>
      <w:hyperlink r:id="rId356">
        <w:r>
          <w:rPr>
            <w:rStyle w:val="Hyperlink"/>
          </w:rPr>
          <w:t xml:space="preserve">https://apify.com/pricing</w:t>
        </w:r>
      </w:hyperlink>
      <w:r>
        <w:t xml:space="preserve"> </w:t>
      </w:r>
      <w:r>
        <w:t xml:space="preserve">accessed 2026-10-07 [search-tool extract]</w:t>
      </w:r>
    </w:p>
  </w:footnote>
  <w:footnote w:id="357">
    <w:p>
      <w:pPr>
        <w:pStyle w:val="FootnoteText"/>
      </w:pPr>
      <w:r>
        <w:rPr>
          <w:rStyle w:val="FootnoteReference"/>
        </w:rPr>
        <w:footnoteRef/>
      </w:r>
      <w:r>
        <w:t xml:space="preserve"> </w:t>
      </w:r>
      <w:r>
        <w:t xml:space="preserve">Verified fact — A1-S086: Apify shared responsibility model (docs source) (Apify Technologies s.r.o. (GitHub docs source))</w:t>
      </w:r>
      <w:r>
        <w:t xml:space="preserve"> </w:t>
      </w:r>
      <w:hyperlink r:id="rId358">
        <w:r>
          <w:rPr>
            <w:rStyle w:val="Hyperlink"/>
          </w:rPr>
          <w:t xml:space="preserve">https://raw.githubusercontent.com/apify/apify-docs/master/sources/platform/security/shared-responsibility.md</w:t>
        </w:r>
      </w:hyperlink>
      <w:r>
        <w:t xml:space="preserve"> </w:t>
      </w:r>
      <w:r>
        <w:t xml:space="preserve">accessed 2026-10-07; V1-S089: Apify Security; Shared responsibility model;</w:t>
      </w:r>
      <w:r>
        <w:t xml:space="preserve"> </w:t>
      </w:r>
      <w:r>
        <w:t xml:space="preserve">‘</w:t>
      </w:r>
      <w:r>
        <w:t xml:space="preserve">Yes, Apify is SOC 2 Type II compliant!</w:t>
      </w:r>
      <w:r>
        <w:t xml:space="preserve">’</w:t>
      </w:r>
      <w:r>
        <w:t xml:space="preserve"> </w:t>
      </w:r>
      <w:r>
        <w:t xml:space="preserve">blog</w:t>
      </w:r>
      <w:r>
        <w:t xml:space="preserve"> </w:t>
      </w:r>
      <w:hyperlink r:id="rId354">
        <w:r>
          <w:rPr>
            <w:rStyle w:val="Hyperlink"/>
          </w:rPr>
          <w:t xml:space="preserve">https://docs.apify.com/security</w:t>
        </w:r>
      </w:hyperlink>
      <w:r>
        <w:t xml:space="preserve"> </w:t>
      </w:r>
      <w:r>
        <w:t xml:space="preserve">accessed 2026-10-08 [search-tool extract]</w:t>
      </w:r>
    </w:p>
  </w:footnote>
  <w:footnote w:id="359">
    <w:p>
      <w:pPr>
        <w:pStyle w:val="FootnoteText"/>
      </w:pPr>
      <w:r>
        <w:rPr>
          <w:rStyle w:val="FootnoteReference"/>
        </w:rPr>
        <w:footnoteRef/>
      </w:r>
      <w:r>
        <w:t xml:space="preserve"> </w:t>
      </w:r>
      <w:r>
        <w:t xml:space="preserve">Verified fact — A1-S086: Apify shared responsibility model (docs source) (Apify Technologies s.r.o. (GitHub docs source))</w:t>
      </w:r>
      <w:r>
        <w:t xml:space="preserve"> </w:t>
      </w:r>
      <w:hyperlink r:id="rId358">
        <w:r>
          <w:rPr>
            <w:rStyle w:val="Hyperlink"/>
          </w:rPr>
          <w:t xml:space="preserve">https://raw.githubusercontent.com/apify/apify-docs/master/sources/platform/security/shared-responsibility.md</w:t>
        </w:r>
      </w:hyperlink>
      <w:r>
        <w:t xml:space="preserve"> </w:t>
      </w:r>
      <w:r>
        <w:t xml:space="preserve">accessed 2026-10-07</w:t>
      </w:r>
    </w:p>
  </w:footnote>
  <w:footnote w:id="360">
    <w:p>
      <w:pPr>
        <w:pStyle w:val="FootnoteText"/>
      </w:pPr>
      <w:r>
        <w:rPr>
          <w:rStyle w:val="FootnoteReference"/>
        </w:rPr>
        <w:footnoteRef/>
      </w:r>
      <w:r>
        <w:t xml:space="preserve"> </w:t>
      </w:r>
      <w:r>
        <w:t xml:space="preserve">Verified fact — A1-S087: Apify platform architecture (docs source) (Apify Technologies s.r.o. (GitHub docs source))</w:t>
      </w:r>
      <w:r>
        <w:t xml:space="preserve"> </w:t>
      </w:r>
      <w:hyperlink r:id="rId349">
        <w:r>
          <w:rPr>
            <w:rStyle w:val="Hyperlink"/>
          </w:rPr>
          <w:t xml:space="preserve">https://raw.githubusercontent.com/apify/apify-docs/master/sources/platform/security/architecture.md</w:t>
        </w:r>
      </w:hyperlink>
      <w:r>
        <w:t xml:space="preserve"> </w:t>
      </w:r>
      <w:r>
        <w:t xml:space="preserve">accessed 2026-10-07</w:t>
      </w:r>
    </w:p>
  </w:footnote>
  <w:footnote w:id="363">
    <w:p>
      <w:pPr>
        <w:pStyle w:val="FootnoteText"/>
      </w:pPr>
      <w:r>
        <w:rPr>
          <w:rStyle w:val="FootnoteReference"/>
        </w:rPr>
        <w:footnoteRef/>
      </w:r>
      <w:r>
        <w:t xml:space="preserve"> </w:t>
      </w:r>
      <w:r>
        <w:t xml:space="preserve">Verified fact — A2-S012: Announcing Cohere’s Embed 5 Models</w:t>
      </w:r>
      <w:r>
        <w:t xml:space="preserve"> </w:t>
      </w:r>
      <w:hyperlink r:id="rId364">
        <w:r>
          <w:rPr>
            <w:rStyle w:val="Hyperlink"/>
          </w:rPr>
          <w:t xml:space="preserve">https://docs.cohere.com/changelog/embed-v5</w:t>
        </w:r>
      </w:hyperlink>
      <w:r>
        <w:t xml:space="preserve"> </w:t>
      </w:r>
      <w:r>
        <w:t xml:space="preserve">accessed 2026-10-07 [search-tool extract]; A2-S009: Rerank 4: Cohere’s Most Powerful Reranker Yet</w:t>
      </w:r>
      <w:r>
        <w:t xml:space="preserve"> </w:t>
      </w:r>
      <w:hyperlink r:id="rId365">
        <w:r>
          <w:rPr>
            <w:rStyle w:val="Hyperlink"/>
          </w:rPr>
          <w:t xml:space="preserve">https://cohere.com/blog/rerank-4</w:t>
        </w:r>
      </w:hyperlink>
      <w:r>
        <w:t xml:space="preserve"> </w:t>
      </w:r>
      <w:r>
        <w:t xml:space="preserve">accessed 2026-10-07 [search-tool extract]; A2-S010: Cohere’s Rerank v4.0 Model is Here!</w:t>
      </w:r>
      <w:r>
        <w:t xml:space="preserve"> </w:t>
      </w:r>
      <w:hyperlink r:id="rId366">
        <w:r>
          <w:rPr>
            <w:rStyle w:val="Hyperlink"/>
          </w:rPr>
          <w:t xml:space="preserve">https://docs.cohere.com/changelog/rerank-v4.0</w:t>
        </w:r>
      </w:hyperlink>
      <w:r>
        <w:t xml:space="preserve"> </w:t>
      </w:r>
      <w:r>
        <w:t xml:space="preserve">accessed 2026-10-07 [search-tool extract]</w:t>
      </w:r>
    </w:p>
  </w:footnote>
  <w:footnote w:id="367">
    <w:p>
      <w:pPr>
        <w:pStyle w:val="FootnoteText"/>
      </w:pPr>
      <w:r>
        <w:rPr>
          <w:rStyle w:val="FootnoteReference"/>
        </w:rPr>
        <w:footnoteRef/>
      </w:r>
      <w:r>
        <w:t xml:space="preserve"> </w:t>
      </w:r>
      <w:r>
        <w:t xml:space="preserve">Verified fact — A2-S012: Announcing Cohere’s Embed 5 Models</w:t>
      </w:r>
      <w:r>
        <w:t xml:space="preserve"> </w:t>
      </w:r>
      <w:hyperlink r:id="rId364">
        <w:r>
          <w:rPr>
            <w:rStyle w:val="Hyperlink"/>
          </w:rPr>
          <w:t xml:space="preserve">https://docs.cohere.com/changelog/embed-v5</w:t>
        </w:r>
      </w:hyperlink>
      <w:r>
        <w:t xml:space="preserve"> </w:t>
      </w:r>
      <w:r>
        <w:t xml:space="preserve">accessed 2026-10-07 [search-tool extract]; A2-S010: Cohere’s Rerank v4.0 Model is Here!</w:t>
      </w:r>
      <w:r>
        <w:t xml:space="preserve"> </w:t>
      </w:r>
      <w:hyperlink r:id="rId366">
        <w:r>
          <w:rPr>
            <w:rStyle w:val="Hyperlink"/>
          </w:rPr>
          <w:t xml:space="preserve">https://docs.cohere.com/changelog/rerank-v4.0</w:t>
        </w:r>
      </w:hyperlink>
      <w:r>
        <w:t xml:space="preserve"> </w:t>
      </w:r>
      <w:r>
        <w:t xml:space="preserve">accessed 2026-10-07 [search-tool extract]</w:t>
      </w:r>
    </w:p>
  </w:footnote>
  <w:footnote w:id="368">
    <w:p>
      <w:pPr>
        <w:pStyle w:val="FootnoteText"/>
      </w:pPr>
      <w:r>
        <w:rPr>
          <w:rStyle w:val="FootnoteReference"/>
        </w:rPr>
        <w:footnoteRef/>
      </w:r>
      <w:r>
        <w:t xml:space="preserve"> </w:t>
      </w:r>
      <w:r>
        <w:t xml:space="preserve">Verified fact — A2-S012: Announcing Cohere’s Embed 5 Models</w:t>
      </w:r>
      <w:r>
        <w:t xml:space="preserve"> </w:t>
      </w:r>
      <w:hyperlink r:id="rId364">
        <w:r>
          <w:rPr>
            <w:rStyle w:val="Hyperlink"/>
          </w:rPr>
          <w:t xml:space="preserve">https://docs.cohere.com/changelog/embed-v5</w:t>
        </w:r>
      </w:hyperlink>
      <w:r>
        <w:t xml:space="preserve"> </w:t>
      </w:r>
      <w:r>
        <w:t xml:space="preserve">accessed 2026-10-07 [search-tool extract]; A2-S015: Deployment Options - SaaS, Cloud API, Virtual Private Cloud, On-prem (Cohere)</w:t>
      </w:r>
      <w:r>
        <w:t xml:space="preserve"> </w:t>
      </w:r>
      <w:hyperlink r:id="rId369">
        <w:r>
          <w:rPr>
            <w:rStyle w:val="Hyperlink"/>
          </w:rPr>
          <w:t xml:space="preserve">https://cohere.com/deployment-options</w:t>
        </w:r>
      </w:hyperlink>
      <w:r>
        <w:t xml:space="preserve"> </w:t>
      </w:r>
      <w:r>
        <w:t xml:space="preserve">accessed 2026-10-07 [search-tool extract]</w:t>
      </w:r>
    </w:p>
  </w:footnote>
  <w:footnote w:id="370">
    <w:p>
      <w:pPr>
        <w:pStyle w:val="FootnoteText"/>
      </w:pPr>
      <w:r>
        <w:rPr>
          <w:rStyle w:val="FootnoteReference"/>
        </w:rPr>
        <w:footnoteRef/>
      </w:r>
      <w:r>
        <w:t xml:space="preserve"> </w:t>
      </w:r>
      <w:r>
        <w:t xml:space="preserve">Verified fact — A2-S014: Cohere Trust Center</w:t>
      </w:r>
      <w:r>
        <w:t xml:space="preserve"> </w:t>
      </w:r>
      <w:hyperlink r:id="rId371">
        <w:r>
          <w:rPr>
            <w:rStyle w:val="Hyperlink"/>
          </w:rPr>
          <w:t xml:space="preserve">https://trustcenter.cohere.com/</w:t>
        </w:r>
      </w:hyperlink>
      <w:r>
        <w:t xml:space="preserve"> </w:t>
      </w:r>
      <w:r>
        <w:t xml:space="preserve">accessed 2026-10-07 [search-tool extract]</w:t>
      </w:r>
    </w:p>
  </w:footnote>
  <w:footnote w:id="372">
    <w:p>
      <w:pPr>
        <w:pStyle w:val="FootnoteText"/>
      </w:pPr>
      <w:r>
        <w:rPr>
          <w:rStyle w:val="FootnoteReference"/>
        </w:rPr>
        <w:footnoteRef/>
      </w:r>
      <w:r>
        <w:t xml:space="preserve"> </w:t>
      </w:r>
      <w:r>
        <w:t xml:space="preserve">Verified fact — A2-S145: Enterprise Data Commitments (Cohere)</w:t>
      </w:r>
      <w:r>
        <w:t xml:space="preserve"> </w:t>
      </w:r>
      <w:hyperlink r:id="rId373">
        <w:r>
          <w:rPr>
            <w:rStyle w:val="Hyperlink"/>
          </w:rPr>
          <w:t xml:space="preserve">https://cohere.com/enterprise-data-commitments</w:t>
        </w:r>
      </w:hyperlink>
      <w:r>
        <w:t xml:space="preserve"> </w:t>
      </w:r>
      <w:r>
        <w:t xml:space="preserve">accessed 2026-10-07 [search-tool extract]</w:t>
      </w:r>
    </w:p>
  </w:footnote>
  <w:footnote w:id="374">
    <w:p>
      <w:pPr>
        <w:pStyle w:val="FootnoteText"/>
      </w:pPr>
      <w:r>
        <w:rPr>
          <w:rStyle w:val="FootnoteReference"/>
        </w:rPr>
        <w:footnoteRef/>
      </w:r>
      <w:r>
        <w:t xml:space="preserve"> </w:t>
      </w:r>
      <w:r>
        <w:t xml:space="preserve">Verified fact — A2-S013: Embed 5: Frontier Embedding Models for Enterprise (Cohere)</w:t>
      </w:r>
      <w:r>
        <w:t xml:space="preserve"> </w:t>
      </w:r>
      <w:hyperlink r:id="rId375">
        <w:r>
          <w:rPr>
            <w:rStyle w:val="Hyperlink"/>
          </w:rPr>
          <w:t xml:space="preserve">https://cohere.com/blog/embed-5</w:t>
        </w:r>
      </w:hyperlink>
      <w:r>
        <w:t xml:space="preserve"> </w:t>
      </w:r>
      <w:r>
        <w:t xml:space="preserve">accessed 2026-10-07 [search-tool extract]</w:t>
      </w:r>
    </w:p>
  </w:footnote>
  <w:footnote w:id="376">
    <w:p>
      <w:pPr>
        <w:pStyle w:val="FootnoteText"/>
      </w:pPr>
      <w:r>
        <w:rPr>
          <w:rStyle w:val="FootnoteReference"/>
        </w:rPr>
        <w:footnoteRef/>
      </w:r>
      <w:r>
        <w:t xml:space="preserve"> </w:t>
      </w:r>
      <w:r>
        <w:t xml:space="preserve">Verified fact — B-REV-S013: Teams and Roles on the Cohere Platform</w:t>
      </w:r>
      <w:r>
        <w:t xml:space="preserve"> </w:t>
      </w:r>
      <w:hyperlink r:id="rId377">
        <w:r>
          <w:rPr>
            <w:rStyle w:val="Hyperlink"/>
          </w:rPr>
          <w:t xml:space="preserve">https://docs.cohere.com/reference/teams-and-roles</w:t>
        </w:r>
      </w:hyperlink>
      <w:r>
        <w:t xml:space="preserve"> </w:t>
      </w:r>
      <w:r>
        <w:t xml:space="preserve">accessed 2026-10-08 [search-tool extract]</w:t>
      </w:r>
    </w:p>
  </w:footnote>
  <w:footnote w:id="378">
    <w:p>
      <w:pPr>
        <w:pStyle w:val="FootnoteText"/>
      </w:pPr>
      <w:r>
        <w:rPr>
          <w:rStyle w:val="FootnoteReference"/>
        </w:rPr>
        <w:footnoteRef/>
      </w:r>
      <w:r>
        <w:t xml:space="preserve"> </w:t>
      </w:r>
      <w:r>
        <w:t xml:space="preserve">Verified fact — A2-S013: Embed 5: Frontier Embedding Models for Enterprise (Cohere)</w:t>
      </w:r>
      <w:r>
        <w:t xml:space="preserve"> </w:t>
      </w:r>
      <w:hyperlink r:id="rId375">
        <w:r>
          <w:rPr>
            <w:rStyle w:val="Hyperlink"/>
          </w:rPr>
          <w:t xml:space="preserve">https://cohere.com/blog/embed-5</w:t>
        </w:r>
      </w:hyperlink>
      <w:r>
        <w:t xml:space="preserve"> </w:t>
      </w:r>
      <w:r>
        <w:t xml:space="preserve">accessed 2026-10-07 [search-tool extract]</w:t>
      </w:r>
    </w:p>
  </w:footnote>
  <w:footnote w:id="379">
    <w:p>
      <w:pPr>
        <w:pStyle w:val="FootnoteText"/>
      </w:pPr>
      <w:r>
        <w:rPr>
          <w:rStyle w:val="FootnoteReference"/>
        </w:rPr>
        <w:footnoteRef/>
      </w:r>
      <w:r>
        <w:t xml:space="preserve"> </w:t>
      </w:r>
      <w:r>
        <w:t xml:space="preserve">Verified fact — A2-S018: Cohere &amp; Aleph Alpha: Transatlantic Sovereign AI</w:t>
      </w:r>
      <w:r>
        <w:t xml:space="preserve"> </w:t>
      </w:r>
      <w:hyperlink r:id="rId380">
        <w:r>
          <w:rPr>
            <w:rStyle w:val="Hyperlink"/>
          </w:rPr>
          <w:t xml:space="preserve">https://cohere.com/blog/cohere-and-aleph-alpha-sign-agreement</w:t>
        </w:r>
      </w:hyperlink>
      <w:r>
        <w:t xml:space="preserve"> </w:t>
      </w:r>
      <w:r>
        <w:t xml:space="preserve">accessed 2026-10-07 [search-tool extract]; V1-S028: Cohere &amp; Aleph Alpha: Transatlantic Sovereign AI (definitive agreement)</w:t>
      </w:r>
      <w:r>
        <w:t xml:space="preserve"> </w:t>
      </w:r>
      <w:hyperlink r:id="rId380">
        <w:r>
          <w:rPr>
            <w:rStyle w:val="Hyperlink"/>
          </w:rPr>
          <w:t xml:space="preserve">https://cohere.com/blog/cohere-and-aleph-alpha-sign-agreement</w:t>
        </w:r>
      </w:hyperlink>
      <w:r>
        <w:t xml:space="preserve"> </w:t>
      </w:r>
      <w:r>
        <w:t xml:space="preserve">accessed 2026-10-08 [search-tool extract]</w:t>
      </w:r>
    </w:p>
  </w:footnote>
  <w:footnote w:id="381">
    <w:p>
      <w:pPr>
        <w:pStyle w:val="FootnoteText"/>
      </w:pPr>
      <w:r>
        <w:rPr>
          <w:rStyle w:val="FootnoteReference"/>
        </w:rPr>
        <w:footnoteRef/>
      </w:r>
      <w:r>
        <w:t xml:space="preserve"> </w:t>
      </w:r>
      <w:r>
        <w:t xml:space="preserve">Reported — A2-S013: Embed 5: Frontier Embedding Models for Enterprise (Cohere)</w:t>
      </w:r>
      <w:r>
        <w:t xml:space="preserve"> </w:t>
      </w:r>
      <w:hyperlink r:id="rId375">
        <w:r>
          <w:rPr>
            <w:rStyle w:val="Hyperlink"/>
          </w:rPr>
          <w:t xml:space="preserve">https://cohere.com/blog/embed-5</w:t>
        </w:r>
      </w:hyperlink>
      <w:r>
        <w:t xml:space="preserve"> </w:t>
      </w:r>
      <w:r>
        <w:t xml:space="preserve">accessed 2026-10-07 [search-tool extract]</w:t>
      </w:r>
    </w:p>
  </w:footnote>
  <w:footnote w:id="382">
    <w:p>
      <w:pPr>
        <w:pStyle w:val="FootnoteText"/>
      </w:pPr>
      <w:r>
        <w:rPr>
          <w:rStyle w:val="FootnoteReference"/>
        </w:rPr>
        <w:footnoteRef/>
      </w:r>
      <w:r>
        <w:t xml:space="preserve"> </w:t>
      </w:r>
      <w:r>
        <w:t xml:space="preserve">Verified fact — A2-S015: Deployment Options - SaaS, Cloud API, Virtual Private Cloud, On-prem (Cohere)</w:t>
      </w:r>
      <w:r>
        <w:t xml:space="preserve"> </w:t>
      </w:r>
      <w:hyperlink r:id="rId369">
        <w:r>
          <w:rPr>
            <w:rStyle w:val="Hyperlink"/>
          </w:rPr>
          <w:t xml:space="preserve">https://cohere.com/deployment-options</w:t>
        </w:r>
      </w:hyperlink>
      <w:r>
        <w:t xml:space="preserve"> </w:t>
      </w:r>
      <w:r>
        <w:t xml:space="preserve">accessed 2026-10-07 [search-tool extract]; A2-S145: Enterprise Data Commitments (Cohere)</w:t>
      </w:r>
      <w:r>
        <w:t xml:space="preserve"> </w:t>
      </w:r>
      <w:hyperlink r:id="rId373">
        <w:r>
          <w:rPr>
            <w:rStyle w:val="Hyperlink"/>
          </w:rPr>
          <w:t xml:space="preserve">https://cohere.com/enterprise-data-commitments</w:t>
        </w:r>
      </w:hyperlink>
      <w:r>
        <w:t xml:space="preserve"> </w:t>
      </w:r>
      <w:r>
        <w:t xml:space="preserve">accessed 2026-10-07 [search-tool extract]</w:t>
      </w:r>
    </w:p>
  </w:footnote>
  <w:footnote w:id="384">
    <w:p>
      <w:pPr>
        <w:pStyle w:val="FootnoteText"/>
      </w:pPr>
      <w:r>
        <w:rPr>
          <w:rStyle w:val="FootnoteReference"/>
        </w:rPr>
        <w:footnoteRef/>
      </w:r>
      <w:r>
        <w:t xml:space="preserve"> </w:t>
      </w:r>
      <w:r>
        <w:t xml:space="preserve">Verified fact — A2-S029: sentence-transformers - PyPI (PyPI / Hugging Face (maintainer))</w:t>
      </w:r>
      <w:r>
        <w:t xml:space="preserve"> </w:t>
      </w:r>
      <w:hyperlink r:id="rId385">
        <w:r>
          <w:rPr>
            <w:rStyle w:val="Hyperlink"/>
          </w:rPr>
          <w:t xml:space="preserve">https://pypi.org/project/sentence-transformers/</w:t>
        </w:r>
      </w:hyperlink>
      <w:r>
        <w:t xml:space="preserve"> </w:t>
      </w:r>
      <w:r>
        <w:t xml:space="preserve">accessed 2026-10-07; A2-S032: sentence-transformers PyPI JSON API</w:t>
      </w:r>
      <w:r>
        <w:t xml:space="preserve"> </w:t>
      </w:r>
      <w:hyperlink r:id="rId386">
        <w:r>
          <w:rPr>
            <w:rStyle w:val="Hyperlink"/>
          </w:rPr>
          <w:t xml:space="preserve">https://pypi.org/pypi/sentence-transformers/json</w:t>
        </w:r>
      </w:hyperlink>
      <w:r>
        <w:t xml:space="preserve"> </w:t>
      </w:r>
      <w:r>
        <w:t xml:space="preserve">accessed 2026-10-07; A2-S028: Sentence Transformers is joining Hugging Face!</w:t>
      </w:r>
      <w:r>
        <w:t xml:space="preserve"> </w:t>
      </w:r>
      <w:hyperlink r:id="rId387">
        <w:r>
          <w:rPr>
            <w:rStyle w:val="Hyperlink"/>
          </w:rPr>
          <w:t xml:space="preserve">https://huggingface.co/blog/sentence-transformers-joins-hf</w:t>
        </w:r>
      </w:hyperlink>
      <w:r>
        <w:t xml:space="preserve"> </w:t>
      </w:r>
      <w:r>
        <w:t xml:space="preserve">accessed 2026-10-07 [search-tool extract]</w:t>
      </w:r>
    </w:p>
  </w:footnote>
  <w:footnote w:id="388">
    <w:p>
      <w:pPr>
        <w:pStyle w:val="FootnoteText"/>
      </w:pPr>
      <w:r>
        <w:rPr>
          <w:rStyle w:val="FootnoteReference"/>
        </w:rPr>
        <w:footnoteRef/>
      </w:r>
      <w:r>
        <w:t xml:space="preserve"> </w:t>
      </w:r>
      <w:r>
        <w:t xml:space="preserve">Verified fact — A2-S028: Sentence Transformers is joining Hugging Face!</w:t>
      </w:r>
      <w:r>
        <w:t xml:space="preserve"> </w:t>
      </w:r>
      <w:hyperlink r:id="rId387">
        <w:r>
          <w:rPr>
            <w:rStyle w:val="Hyperlink"/>
          </w:rPr>
          <w:t xml:space="preserve">https://huggingface.co/blog/sentence-transformers-joins-hf</w:t>
        </w:r>
      </w:hyperlink>
      <w:r>
        <w:t xml:space="preserve"> </w:t>
      </w:r>
      <w:r>
        <w:t xml:space="preserve">accessed 2026-10-07 [search-tool extract]; V1-S092: Sentence Transformers is joining Hugging Face!</w:t>
      </w:r>
      <w:r>
        <w:t xml:space="preserve"> </w:t>
      </w:r>
      <w:hyperlink r:id="rId387">
        <w:r>
          <w:rPr>
            <w:rStyle w:val="Hyperlink"/>
          </w:rPr>
          <w:t xml:space="preserve">https://huggingface.co/blog/sentence-transformers-joins-hf</w:t>
        </w:r>
      </w:hyperlink>
      <w:r>
        <w:t xml:space="preserve"> </w:t>
      </w:r>
      <w:r>
        <w:t xml:space="preserve">accessed 2026-10-08 [search-tool extract]</w:t>
      </w:r>
    </w:p>
  </w:footnote>
  <w:footnote w:id="389">
    <w:p>
      <w:pPr>
        <w:pStyle w:val="FootnoteText"/>
      </w:pPr>
      <w:r>
        <w:rPr>
          <w:rStyle w:val="FootnoteReference"/>
        </w:rPr>
        <w:footnoteRef/>
      </w:r>
      <w:r>
        <w:t xml:space="preserve"> </w:t>
      </w:r>
      <w:r>
        <w:t xml:space="preserve">Verified fact — A2-S029: sentence-transformers - PyPI (PyPI / Hugging Face (maintainer))</w:t>
      </w:r>
      <w:r>
        <w:t xml:space="preserve"> </w:t>
      </w:r>
      <w:hyperlink r:id="rId385">
        <w:r>
          <w:rPr>
            <w:rStyle w:val="Hyperlink"/>
          </w:rPr>
          <w:t xml:space="preserve">https://pypi.org/project/sentence-transformers/</w:t>
        </w:r>
      </w:hyperlink>
      <w:r>
        <w:t xml:space="preserve"> </w:t>
      </w:r>
      <w:r>
        <w:t xml:space="preserve">accessed 2026-10-07</w:t>
      </w:r>
    </w:p>
  </w:footnote>
  <w:footnote w:id="390">
    <w:p>
      <w:pPr>
        <w:pStyle w:val="FootnoteText"/>
      </w:pPr>
      <w:r>
        <w:rPr>
          <w:rStyle w:val="FootnoteReference"/>
        </w:rPr>
        <w:footnoteRef/>
      </w:r>
      <w:r>
        <w:t xml:space="preserve"> </w:t>
      </w:r>
      <w:r>
        <w:t xml:space="preserve">Verified fact — A2-S029: sentence-transformers - PyPI (PyPI / Hugging Face (maintainer))</w:t>
      </w:r>
      <w:r>
        <w:t xml:space="preserve"> </w:t>
      </w:r>
      <w:hyperlink r:id="rId385">
        <w:r>
          <w:rPr>
            <w:rStyle w:val="Hyperlink"/>
          </w:rPr>
          <w:t xml:space="preserve">https://pypi.org/project/sentence-transformers/</w:t>
        </w:r>
      </w:hyperlink>
      <w:r>
        <w:t xml:space="preserve"> </w:t>
      </w:r>
      <w:r>
        <w:t xml:space="preserve">accessed 2026-10-07</w:t>
      </w:r>
    </w:p>
  </w:footnote>
  <w:footnote w:id="391">
    <w:p>
      <w:pPr>
        <w:pStyle w:val="FootnoteText"/>
      </w:pPr>
      <w:r>
        <w:rPr>
          <w:rStyle w:val="FootnoteReference"/>
        </w:rPr>
        <w:footnoteRef/>
      </w:r>
      <w:r>
        <w:t xml:space="preserve"> </w:t>
      </w:r>
      <w:r>
        <w:t xml:space="preserve">Verified fact — B-REV-S002: sentence-transformers Security Policy (Hugging Face)</w:t>
      </w:r>
      <w:r>
        <w:t xml:space="preserve"> </w:t>
      </w:r>
      <w:hyperlink r:id="rId392">
        <w:r>
          <w:rPr>
            <w:rStyle w:val="Hyperlink"/>
          </w:rPr>
          <w:t xml:space="preserve">https://raw.githubusercontent.com/huggingface/sentence-transformers/main/SECURITY.md</w:t>
        </w:r>
      </w:hyperlink>
      <w:r>
        <w:t xml:space="preserve"> </w:t>
      </w:r>
      <w:r>
        <w:t xml:space="preserve">accessed 2026-10-08</w:t>
      </w:r>
    </w:p>
  </w:footnote>
  <w:footnote w:id="393">
    <w:p>
      <w:pPr>
        <w:pStyle w:val="FootnoteText"/>
      </w:pPr>
      <w:r>
        <w:rPr>
          <w:rStyle w:val="FootnoteReference"/>
        </w:rPr>
        <w:footnoteRef/>
      </w:r>
      <w:r>
        <w:t xml:space="preserve"> </w:t>
      </w:r>
      <w:r>
        <w:t xml:space="preserve">Verified fact — A2-S024: Legal Information - Jina AI (Jina AI (Elastic))</w:t>
      </w:r>
      <w:r>
        <w:t xml:space="preserve"> </w:t>
      </w:r>
      <w:hyperlink r:id="rId394">
        <w:r>
          <w:rPr>
            <w:rStyle w:val="Hyperlink"/>
          </w:rPr>
          <w:t xml:space="preserve">https://jina.ai/legal/</w:t>
        </w:r>
      </w:hyperlink>
      <w:r>
        <w:t xml:space="preserve"> </w:t>
      </w:r>
      <w:r>
        <w:t xml:space="preserve">accessed 2026-10-07 [search-tool extract]</w:t>
      </w:r>
    </w:p>
  </w:footnote>
  <w:footnote w:id="396">
    <w:p>
      <w:pPr>
        <w:pStyle w:val="FootnoteText"/>
      </w:pPr>
      <w:r>
        <w:rPr>
          <w:rStyle w:val="FootnoteReference"/>
        </w:rPr>
        <w:footnoteRef/>
      </w:r>
      <w:r>
        <w:t xml:space="preserve"> </w:t>
      </w:r>
      <w:r>
        <w:t xml:space="preserve">Verified fact — B-REV-S007: Agent Platform access control with IAM (Google Cloud)</w:t>
      </w:r>
      <w:r>
        <w:t xml:space="preserve"> </w:t>
      </w:r>
      <w:hyperlink r:id="rId397">
        <w:r>
          <w:rPr>
            <w:rStyle w:val="Hyperlink"/>
          </w:rPr>
          <w:t xml:space="preserve">https://docs.cloud.google.com/vertex-ai/docs/general/access-control</w:t>
        </w:r>
      </w:hyperlink>
      <w:r>
        <w:t xml:space="preserve"> </w:t>
      </w:r>
      <w:r>
        <w:t xml:space="preserve">accessed 2026-10-08 [search-tool extract]; B-REV-S008: Agent Platform audit logging information (Google Cloud)</w:t>
      </w:r>
      <w:r>
        <w:t xml:space="preserve"> </w:t>
      </w:r>
      <w:hyperlink r:id="rId398">
        <w:r>
          <w:rPr>
            <w:rStyle w:val="Hyperlink"/>
          </w:rPr>
          <w:t xml:space="preserve">https://docs.cloud.google.com/vertex-ai/docs/general/audit-logging</w:t>
        </w:r>
      </w:hyperlink>
      <w:r>
        <w:t xml:space="preserve"> </w:t>
      </w:r>
      <w:r>
        <w:t xml:space="preserve">accessed 2026-10-08 [search-tool extract]; B-REV-S012: Set up user access to the console (federated) (Google Cloud)</w:t>
      </w:r>
      <w:r>
        <w:t xml:space="preserve"> </w:t>
      </w:r>
      <w:hyperlink r:id="rId235">
        <w:r>
          <w:rPr>
            <w:rStyle w:val="Hyperlink"/>
          </w:rPr>
          <w:t xml:space="preserve">https://docs.cloud.google.com/iam/docs/workforce-console-sso</w:t>
        </w:r>
      </w:hyperlink>
      <w:r>
        <w:t xml:space="preserve"> </w:t>
      </w:r>
      <w:r>
        <w:t xml:space="preserve">accessed 2026-10-08 [search-tool extract]</w:t>
      </w:r>
    </w:p>
  </w:footnote>
  <w:footnote w:id="399">
    <w:p>
      <w:pPr>
        <w:pStyle w:val="FootnoteText"/>
      </w:pPr>
      <w:r>
        <w:rPr>
          <w:rStyle w:val="FootnoteReference"/>
        </w:rPr>
        <w:footnoteRef/>
      </w:r>
      <w:r>
        <w:t xml:space="preserve"> </w:t>
      </w:r>
      <w:r>
        <w:t xml:space="preserve">Verified fact — A2-S004: Gemini Embedding 2 is now generally available (Google)</w:t>
      </w:r>
      <w:r>
        <w:t xml:space="preserve"> </w:t>
      </w:r>
      <w:hyperlink r:id="rId400">
        <w:r>
          <w:rPr>
            <w:rStyle w:val="Hyperlink"/>
          </w:rPr>
          <w:t xml:space="preserve">https://blog.google/innovation-and-ai/models-and-research/gemini-models/gemini-embedding-2-generally-available/</w:t>
        </w:r>
      </w:hyperlink>
      <w:r>
        <w:t xml:space="preserve"> </w:t>
      </w:r>
      <w:r>
        <w:t xml:space="preserve">accessed 2026-10-07 [search-tool extract]; A2-S005: Embeddings (Gemini API docs) / Gemini Embedding 2 preview model (Google)</w:t>
      </w:r>
      <w:r>
        <w:t xml:space="preserve"> </w:t>
      </w:r>
      <w:hyperlink r:id="rId401">
        <w:r>
          <w:rPr>
            <w:rStyle w:val="Hyperlink"/>
          </w:rPr>
          <w:t xml:space="preserve">https://ai.google.dev/gemini-api/docs/embeddings</w:t>
        </w:r>
      </w:hyperlink>
      <w:r>
        <w:t xml:space="preserve"> </w:t>
      </w:r>
      <w:r>
        <w:t xml:space="preserve">accessed 2026-10-07 [search-tool extract]</w:t>
      </w:r>
    </w:p>
  </w:footnote>
  <w:footnote w:id="402">
    <w:p>
      <w:pPr>
        <w:pStyle w:val="FootnoteText"/>
      </w:pPr>
      <w:r>
        <w:rPr>
          <w:rStyle w:val="FootnoteReference"/>
        </w:rPr>
        <w:footnoteRef/>
      </w:r>
      <w:r>
        <w:t xml:space="preserve"> </w:t>
      </w:r>
      <w:r>
        <w:t xml:space="preserve">Verified fact — A2-S039: Data residency (Vertex AI generative AI) (Google Cloud)</w:t>
      </w:r>
      <w:r>
        <w:t xml:space="preserve"> </w:t>
      </w:r>
      <w:hyperlink r:id="rId403">
        <w:r>
          <w:rPr>
            <w:rStyle w:val="Hyperlink"/>
          </w:rPr>
          <w:t xml:space="preserve">https://docs.cloud.google.com/vertex-ai/generative-ai/docs/learn/data-residency</w:t>
        </w:r>
      </w:hyperlink>
      <w:r>
        <w:t xml:space="preserve"> </w:t>
      </w:r>
      <w:r>
        <w:t xml:space="preserve">accessed 2026-10-07 [search-tool extract]</w:t>
      </w:r>
    </w:p>
  </w:footnote>
  <w:footnote w:id="404">
    <w:p>
      <w:pPr>
        <w:pStyle w:val="FootnoteText"/>
      </w:pPr>
      <w:r>
        <w:rPr>
          <w:rStyle w:val="FootnoteReference"/>
        </w:rPr>
        <w:footnoteRef/>
      </w:r>
      <w:r>
        <w:t xml:space="preserve"> </w:t>
      </w:r>
      <w:r>
        <w:t xml:space="preserve">Verified fact — A2-S004: Gemini Embedding 2 is now generally available (Google)</w:t>
      </w:r>
      <w:r>
        <w:t xml:space="preserve"> </w:t>
      </w:r>
      <w:hyperlink r:id="rId400">
        <w:r>
          <w:rPr>
            <w:rStyle w:val="Hyperlink"/>
          </w:rPr>
          <w:t xml:space="preserve">https://blog.google/innovation-and-ai/models-and-research/gemini-models/gemini-embedding-2-generally-available/</w:t>
        </w:r>
      </w:hyperlink>
      <w:r>
        <w:t xml:space="preserve"> </w:t>
      </w:r>
      <w:r>
        <w:t xml:space="preserve">accessed 2026-10-07 [search-tool extract]; A2-S005: Embeddings (Gemini API docs) / Gemini Embedding 2 preview model (Google)</w:t>
      </w:r>
      <w:r>
        <w:t xml:space="preserve"> </w:t>
      </w:r>
      <w:hyperlink r:id="rId401">
        <w:r>
          <w:rPr>
            <w:rStyle w:val="Hyperlink"/>
          </w:rPr>
          <w:t xml:space="preserve">https://ai.google.dev/gemini-api/docs/embeddings</w:t>
        </w:r>
      </w:hyperlink>
      <w:r>
        <w:t xml:space="preserve"> </w:t>
      </w:r>
      <w:r>
        <w:t xml:space="preserve">accessed 2026-10-07 [search-tool extract]</w:t>
      </w:r>
    </w:p>
  </w:footnote>
  <w:footnote w:id="405">
    <w:p>
      <w:pPr>
        <w:pStyle w:val="FootnoteText"/>
      </w:pPr>
      <w:r>
        <w:rPr>
          <w:rStyle w:val="FootnoteReference"/>
        </w:rPr>
        <w:footnoteRef/>
      </w:r>
      <w:r>
        <w:t xml:space="preserve"> </w:t>
      </w:r>
      <w:r>
        <w:t xml:space="preserve">Verified fact — A2-S043: Cloud compliance and regulations resources (Vertex AI) (Google Cloud)</w:t>
      </w:r>
      <w:r>
        <w:t xml:space="preserve"> </w:t>
      </w:r>
      <w:hyperlink r:id="rId406">
        <w:r>
          <w:rPr>
            <w:rStyle w:val="Hyperlink"/>
          </w:rPr>
          <w:t xml:space="preserve">https://cloud.google.com/vertex-ai/docs/general/vertexai-compliance</w:t>
        </w:r>
      </w:hyperlink>
      <w:r>
        <w:t xml:space="preserve"> </w:t>
      </w:r>
      <w:r>
        <w:t xml:space="preserve">accessed 2026-10-07 [search-tool extract]</w:t>
      </w:r>
    </w:p>
  </w:footnote>
  <w:footnote w:id="407">
    <w:p>
      <w:pPr>
        <w:pStyle w:val="FootnoteText"/>
      </w:pPr>
      <w:r>
        <w:rPr>
          <w:rStyle w:val="FootnoteReference"/>
        </w:rPr>
        <w:footnoteRef/>
      </w:r>
      <w:r>
        <w:t xml:space="preserve"> </w:t>
      </w:r>
      <w:r>
        <w:t xml:space="preserve">Verified fact — A2-S039: Data residency (Vertex AI generative AI) (Google Cloud)</w:t>
      </w:r>
      <w:r>
        <w:t xml:space="preserve"> </w:t>
      </w:r>
      <w:hyperlink r:id="rId403">
        <w:r>
          <w:rPr>
            <w:rStyle w:val="Hyperlink"/>
          </w:rPr>
          <w:t xml:space="preserve">https://docs.cloud.google.com/vertex-ai/generative-ai/docs/learn/data-residency</w:t>
        </w:r>
      </w:hyperlink>
      <w:r>
        <w:t xml:space="preserve"> </w:t>
      </w:r>
      <w:r>
        <w:t xml:space="preserve">accessed 2026-10-07 [search-tool extract]</w:t>
      </w:r>
    </w:p>
  </w:footnote>
  <w:footnote w:id="408">
    <w:p>
      <w:pPr>
        <w:pStyle w:val="FootnoteText"/>
      </w:pPr>
      <w:r>
        <w:rPr>
          <w:rStyle w:val="FootnoteReference"/>
        </w:rPr>
        <w:footnoteRef/>
      </w:r>
      <w:r>
        <w:t xml:space="preserve"> </w:t>
      </w:r>
      <w:r>
        <w:t xml:space="preserve">Verified fact — A2-S005: Embeddings (Gemini API docs) / Gemini Embedding 2 preview model (Google)</w:t>
      </w:r>
      <w:r>
        <w:t xml:space="preserve"> </w:t>
      </w:r>
      <w:hyperlink r:id="rId401">
        <w:r>
          <w:rPr>
            <w:rStyle w:val="Hyperlink"/>
          </w:rPr>
          <w:t xml:space="preserve">https://ai.google.dev/gemini-api/docs/embeddings</w:t>
        </w:r>
      </w:hyperlink>
      <w:r>
        <w:t xml:space="preserve"> </w:t>
      </w:r>
      <w:r>
        <w:t xml:space="preserve">accessed 2026-10-07 [search-tool extract]; A2-S038: Gemini Developer API pricing (Google)</w:t>
      </w:r>
      <w:r>
        <w:t xml:space="preserve"> </w:t>
      </w:r>
      <w:hyperlink r:id="rId409">
        <w:r>
          <w:rPr>
            <w:rStyle w:val="Hyperlink"/>
          </w:rPr>
          <w:t xml:space="preserve">https://ai.google.dev/gemini-api/docs/pricing</w:t>
        </w:r>
      </w:hyperlink>
      <w:r>
        <w:t xml:space="preserve"> </w:t>
      </w:r>
      <w:r>
        <w:t xml:space="preserve">accessed 2026-10-07 [search-tool extract]</w:t>
      </w:r>
    </w:p>
  </w:footnote>
  <w:footnote w:id="410">
    <w:p>
      <w:pPr>
        <w:pStyle w:val="FootnoteText"/>
      </w:pPr>
      <w:r>
        <w:rPr>
          <w:rStyle w:val="FootnoteReference"/>
        </w:rPr>
        <w:footnoteRef/>
      </w:r>
      <w:r>
        <w:t xml:space="preserve"> </w:t>
      </w:r>
      <w:r>
        <w:t xml:space="preserve">Verified fact — A2-S039: Data residency (Vertex AI generative AI) (Google Cloud)</w:t>
      </w:r>
      <w:r>
        <w:t xml:space="preserve"> </w:t>
      </w:r>
      <w:hyperlink r:id="rId403">
        <w:r>
          <w:rPr>
            <w:rStyle w:val="Hyperlink"/>
          </w:rPr>
          <w:t xml:space="preserve">https://docs.cloud.google.com/vertex-ai/generative-ai/docs/learn/data-residency</w:t>
        </w:r>
      </w:hyperlink>
      <w:r>
        <w:t xml:space="preserve"> </w:t>
      </w:r>
      <w:r>
        <w:t xml:space="preserve">accessed 2026-10-07 [search-tool extract]</w:t>
      </w:r>
    </w:p>
  </w:footnote>
  <w:footnote w:id="411">
    <w:p>
      <w:pPr>
        <w:pStyle w:val="FootnoteText"/>
      </w:pPr>
      <w:r>
        <w:rPr>
          <w:rStyle w:val="FootnoteReference"/>
        </w:rPr>
        <w:footnoteRef/>
      </w:r>
      <w:r>
        <w:t xml:space="preserve"> </w:t>
      </w:r>
      <w:r>
        <w:t xml:space="preserve">Verified fact — A2-S043: Cloud compliance and regulations resources (Vertex AI) (Google Cloud)</w:t>
      </w:r>
      <w:r>
        <w:t xml:space="preserve"> </w:t>
      </w:r>
      <w:hyperlink r:id="rId406">
        <w:r>
          <w:rPr>
            <w:rStyle w:val="Hyperlink"/>
          </w:rPr>
          <w:t xml:space="preserve">https://cloud.google.com/vertex-ai/docs/general/vertexai-compliance</w:t>
        </w:r>
      </w:hyperlink>
      <w:r>
        <w:t xml:space="preserve"> </w:t>
      </w:r>
      <w:r>
        <w:t xml:space="preserve">accessed 2026-10-07 [search-tool extract]; A2-S039: Data residency (Vertex AI generative AI) (Google Cloud)</w:t>
      </w:r>
      <w:r>
        <w:t xml:space="preserve"> </w:t>
      </w:r>
      <w:hyperlink r:id="rId403">
        <w:r>
          <w:rPr>
            <w:rStyle w:val="Hyperlink"/>
          </w:rPr>
          <w:t xml:space="preserve">https://docs.cloud.google.com/vertex-ai/generative-ai/docs/learn/data-residency</w:t>
        </w:r>
      </w:hyperlink>
      <w:r>
        <w:t xml:space="preserve"> </w:t>
      </w:r>
      <w:r>
        <w:t xml:space="preserve">accessed 2026-10-07 [search-tool extract]</w:t>
      </w:r>
    </w:p>
  </w:footnote>
  <w:footnote w:id="412">
    <w:p>
      <w:pPr>
        <w:pStyle w:val="FootnoteText"/>
      </w:pPr>
      <w:r>
        <w:rPr>
          <w:rStyle w:val="FootnoteReference"/>
        </w:rPr>
        <w:footnoteRef/>
      </w:r>
      <w:r>
        <w:t xml:space="preserve"> </w:t>
      </w:r>
      <w:r>
        <w:t xml:space="preserve">Verified fact — A2-S005: Embeddings (Gemini API docs) / Gemini Embedding 2 preview model (Google)</w:t>
      </w:r>
      <w:r>
        <w:t xml:space="preserve"> </w:t>
      </w:r>
      <w:hyperlink r:id="rId401">
        <w:r>
          <w:rPr>
            <w:rStyle w:val="Hyperlink"/>
          </w:rPr>
          <w:t xml:space="preserve">https://ai.google.dev/gemini-api/docs/embeddings</w:t>
        </w:r>
      </w:hyperlink>
      <w:r>
        <w:t xml:space="preserve"> </w:t>
      </w:r>
      <w:r>
        <w:t xml:space="preserve">accessed 2026-10-07 [search-tool extract]</w:t>
      </w:r>
    </w:p>
  </w:footnote>
  <w:footnote w:id="413">
    <w:p>
      <w:pPr>
        <w:pStyle w:val="FootnoteText"/>
      </w:pPr>
      <w:r>
        <w:rPr>
          <w:rStyle w:val="FootnoteReference"/>
        </w:rPr>
        <w:footnoteRef/>
      </w:r>
      <w:r>
        <w:t xml:space="preserve"> </w:t>
      </w:r>
      <w:r>
        <w:t xml:space="preserve">Verified fact — B-REV-S026: Improve search and RAG quality with ranking API (Google Cloud)</w:t>
      </w:r>
      <w:r>
        <w:t xml:space="preserve"> </w:t>
      </w:r>
      <w:hyperlink r:id="rId414">
        <w:r>
          <w:rPr>
            <w:rStyle w:val="Hyperlink"/>
          </w:rPr>
          <w:t xml:space="preserve">https://docs.cloud.google.com/generative-ai-app-builder/docs/ranking</w:t>
        </w:r>
      </w:hyperlink>
      <w:r>
        <w:t xml:space="preserve"> </w:t>
      </w:r>
      <w:r>
        <w:t xml:space="preserve">accessed 2026-10-08 [search-tool extract]</w:t>
      </w:r>
    </w:p>
  </w:footnote>
  <w:footnote w:id="415">
    <w:p>
      <w:pPr>
        <w:pStyle w:val="FootnoteText"/>
      </w:pPr>
      <w:r>
        <w:rPr>
          <w:rStyle w:val="FootnoteReference"/>
        </w:rPr>
        <w:footnoteRef/>
      </w:r>
      <w:r>
        <w:t xml:space="preserve"> </w:t>
      </w:r>
      <w:r>
        <w:t xml:space="preserve">Verified fact — A2-S038: Gemini Developer API pricing (Google)</w:t>
      </w:r>
      <w:r>
        <w:t xml:space="preserve"> </w:t>
      </w:r>
      <w:hyperlink r:id="rId409">
        <w:r>
          <w:rPr>
            <w:rStyle w:val="Hyperlink"/>
          </w:rPr>
          <w:t xml:space="preserve">https://ai.google.dev/gemini-api/docs/pricing</w:t>
        </w:r>
      </w:hyperlink>
      <w:r>
        <w:t xml:space="preserve"> </w:t>
      </w:r>
      <w:r>
        <w:t xml:space="preserve">accessed 2026-10-07 [search-tool extract]</w:t>
      </w:r>
    </w:p>
  </w:footnote>
  <w:footnote w:id="416">
    <w:p>
      <w:pPr>
        <w:pStyle w:val="FootnoteText"/>
      </w:pPr>
      <w:r>
        <w:rPr>
          <w:rStyle w:val="FootnoteReference"/>
        </w:rPr>
        <w:footnoteRef/>
      </w:r>
      <w:r>
        <w:t xml:space="preserve"> </w:t>
      </w:r>
      <w:r>
        <w:t xml:space="preserve">Verified fact — A8-S020: The ESAs designate critical ICT third-party providers under DORA (with List_of_designated_CTPPs.pdf, 18 Nov 2025) (EBA / ESMA / EIOPA (Joint ESAs))</w:t>
      </w:r>
      <w:r>
        <w:t xml:space="preserve"> </w:t>
      </w:r>
      <w:hyperlink r:id="rId242">
        <w:r>
          <w:rPr>
            <w:rStyle w:val="Hyperlink"/>
          </w:rPr>
          <w:t xml:space="preserve">https://www.eba.europa.eu/publications-and-media/press-releases/european-supervisory-authorities-designate-critical-ict-third-party-providers-under-digital</w:t>
        </w:r>
      </w:hyperlink>
      <w:r>
        <w:t xml:space="preserve"> </w:t>
      </w:r>
      <w:r>
        <w:t xml:space="preserve">accessed 2026-10-07 [search-tool extract]; A8-S023: The Critical Third Parties (Designation) Regulations 2026 (SI 2026/777); BoE/FCA/HMT announcements (HM Treasury / legislation.gov.uk / Bank of England)</w:t>
      </w:r>
      <w:r>
        <w:t xml:space="preserve"> </w:t>
      </w:r>
      <w:hyperlink r:id="rId243">
        <w:r>
          <w:rPr>
            <w:rStyle w:val="Hyperlink"/>
          </w:rPr>
          <w:t xml:space="preserve">https://www.legislation.gov.uk/uksi/2026/777/made</w:t>
        </w:r>
      </w:hyperlink>
      <w:r>
        <w:t xml:space="preserve"> </w:t>
      </w:r>
      <w:r>
        <w:t xml:space="preserve">accessed 2026-10-07 [search-tool extract]</w:t>
      </w:r>
    </w:p>
  </w:footnote>
  <w:footnote w:id="417">
    <w:p>
      <w:pPr>
        <w:pStyle w:val="FootnoteText"/>
      </w:pPr>
      <w:r>
        <w:rPr>
          <w:rStyle w:val="FootnoteReference"/>
        </w:rPr>
        <w:footnoteRef/>
      </w:r>
      <w:r>
        <w:t xml:space="preserve"> </w:t>
      </w:r>
      <w:r>
        <w:t xml:space="preserve">Verified fact — A2-S039: Data residency (Vertex AI generative AI) (Google Cloud)</w:t>
      </w:r>
      <w:r>
        <w:t xml:space="preserve"> </w:t>
      </w:r>
      <w:hyperlink r:id="rId403">
        <w:r>
          <w:rPr>
            <w:rStyle w:val="Hyperlink"/>
          </w:rPr>
          <w:t xml:space="preserve">https://docs.cloud.google.com/vertex-ai/generative-ai/docs/learn/data-residency</w:t>
        </w:r>
      </w:hyperlink>
      <w:r>
        <w:t xml:space="preserve"> </w:t>
      </w:r>
      <w:r>
        <w:t xml:space="preserve">accessed 2026-10-07 [search-tool extract]</w:t>
      </w:r>
    </w:p>
  </w:footnote>
  <w:footnote w:id="419">
    <w:p>
      <w:pPr>
        <w:pStyle w:val="FootnoteText"/>
      </w:pPr>
      <w:r>
        <w:rPr>
          <w:rStyle w:val="FootnoteReference"/>
        </w:rPr>
        <w:footnoteRef/>
      </w:r>
      <w:r>
        <w:t xml:space="preserve"> </w:t>
      </w:r>
      <w:r>
        <w:t xml:space="preserve">Verified fact — B-REV-S004: Single sign-on (SSO) setup for OpenAI products</w:t>
      </w:r>
      <w:r>
        <w:t xml:space="preserve"> </w:t>
      </w:r>
      <w:hyperlink r:id="rId420">
        <w:r>
          <w:rPr>
            <w:rStyle w:val="Hyperlink"/>
          </w:rPr>
          <w:t xml:space="preserve">https://help.openai.com/en/articles/9534785-configuring-sso</w:t>
        </w:r>
      </w:hyperlink>
      <w:r>
        <w:t xml:space="preserve"> </w:t>
      </w:r>
      <w:r>
        <w:t xml:space="preserve">accessed 2026-10-08 [search-tool extract]; B-REV-S005: Manage permissions in the OpenAI platform</w:t>
      </w:r>
      <w:r>
        <w:t xml:space="preserve"> </w:t>
      </w:r>
      <w:hyperlink r:id="rId421">
        <w:r>
          <w:rPr>
            <w:rStyle w:val="Hyperlink"/>
          </w:rPr>
          <w:t xml:space="preserve">https://platform.openai.com/docs/guides/rbac</w:t>
        </w:r>
      </w:hyperlink>
      <w:r>
        <w:t xml:space="preserve"> </w:t>
      </w:r>
      <w:r>
        <w:t xml:space="preserve">accessed 2026-10-08 [search-tool extract]; B-REV-S006: Admin and Audit Logs API for the API Platform (OpenAI)</w:t>
      </w:r>
      <w:r>
        <w:t xml:space="preserve"> </w:t>
      </w:r>
      <w:hyperlink r:id="rId422">
        <w:r>
          <w:rPr>
            <w:rStyle w:val="Hyperlink"/>
          </w:rPr>
          <w:t xml:space="preserve">https://help.openai.com/en/articles/9687866-admin-and-audit-logs-api-for-the-api-platform</w:t>
        </w:r>
      </w:hyperlink>
      <w:r>
        <w:t xml:space="preserve"> </w:t>
      </w:r>
      <w:r>
        <w:t xml:space="preserve">accessed 2026-10-08 [search-tool extract]</w:t>
      </w:r>
    </w:p>
  </w:footnote>
  <w:footnote w:id="423">
    <w:p>
      <w:pPr>
        <w:pStyle w:val="FootnoteText"/>
      </w:pPr>
      <w:r>
        <w:rPr>
          <w:rStyle w:val="FootnoteReference"/>
        </w:rPr>
        <w:footnoteRef/>
      </w:r>
      <w:r>
        <w:t xml:space="preserve"> </w:t>
      </w:r>
      <w:r>
        <w:t xml:space="preserve">Verified fact — A2-S001: text-embedding-3-large Model (OpenAI)</w:t>
      </w:r>
      <w:r>
        <w:t xml:space="preserve"> </w:t>
      </w:r>
      <w:hyperlink r:id="rId424">
        <w:r>
          <w:rPr>
            <w:rStyle w:val="Hyperlink"/>
          </w:rPr>
          <w:t xml:space="preserve">https://developers.openai.com/api/docs/models/text-embedding-3-large</w:t>
        </w:r>
      </w:hyperlink>
      <w:r>
        <w:t xml:space="preserve"> </w:t>
      </w:r>
      <w:r>
        <w:t xml:space="preserve">accessed 2026-10-07 [search-tool extract]; A2-S002: New embedding models and API updates (OpenAI)</w:t>
      </w:r>
      <w:r>
        <w:t xml:space="preserve"> </w:t>
      </w:r>
      <w:hyperlink r:id="rId425">
        <w:r>
          <w:rPr>
            <w:rStyle w:val="Hyperlink"/>
          </w:rPr>
          <w:t xml:space="preserve">https://openai.com/index/new-embedding-models-and-api-updates/</w:t>
        </w:r>
      </w:hyperlink>
      <w:r>
        <w:t xml:space="preserve"> </w:t>
      </w:r>
      <w:r>
        <w:t xml:space="preserve">accessed 2026-10-07 [search-tool extract]</w:t>
      </w:r>
    </w:p>
  </w:footnote>
  <w:footnote w:id="426">
    <w:p>
      <w:pPr>
        <w:pStyle w:val="FootnoteText"/>
      </w:pPr>
      <w:r>
        <w:rPr>
          <w:rStyle w:val="FootnoteReference"/>
        </w:rPr>
        <w:footnoteRef/>
      </w:r>
      <w:r>
        <w:t xml:space="preserve"> </w:t>
      </w:r>
      <w:r>
        <w:t xml:space="preserve">Verified fact — A2-S001: text-embedding-3-large Model (OpenAI)</w:t>
      </w:r>
      <w:r>
        <w:t xml:space="preserve"> </w:t>
      </w:r>
      <w:hyperlink r:id="rId424">
        <w:r>
          <w:rPr>
            <w:rStyle w:val="Hyperlink"/>
          </w:rPr>
          <w:t xml:space="preserve">https://developers.openai.com/api/docs/models/text-embedding-3-large</w:t>
        </w:r>
      </w:hyperlink>
      <w:r>
        <w:t xml:space="preserve"> </w:t>
      </w:r>
      <w:r>
        <w:t xml:space="preserve">accessed 2026-10-07 [search-tool extract]</w:t>
      </w:r>
    </w:p>
  </w:footnote>
  <w:footnote w:id="427">
    <w:p>
      <w:pPr>
        <w:pStyle w:val="FootnoteText"/>
      </w:pPr>
      <w:r>
        <w:rPr>
          <w:rStyle w:val="FootnoteReference"/>
        </w:rPr>
        <w:footnoteRef/>
      </w:r>
      <w:r>
        <w:t xml:space="preserve"> </w:t>
      </w:r>
      <w:r>
        <w:t xml:space="preserve">Verified fact — A2-S002: New embedding models and API updates (OpenAI)</w:t>
      </w:r>
      <w:r>
        <w:t xml:space="preserve"> </w:t>
      </w:r>
      <w:hyperlink r:id="rId425">
        <w:r>
          <w:rPr>
            <w:rStyle w:val="Hyperlink"/>
          </w:rPr>
          <w:t xml:space="preserve">https://openai.com/index/new-embedding-models-and-api-updates/</w:t>
        </w:r>
      </w:hyperlink>
      <w:r>
        <w:t xml:space="preserve"> </w:t>
      </w:r>
      <w:r>
        <w:t xml:space="preserve">accessed 2026-10-07 [search-tool extract]</w:t>
      </w:r>
    </w:p>
  </w:footnote>
  <w:footnote w:id="428">
    <w:p>
      <w:pPr>
        <w:pStyle w:val="FootnoteText"/>
      </w:pPr>
      <w:r>
        <w:rPr>
          <w:rStyle w:val="FootnoteReference"/>
        </w:rPr>
        <w:footnoteRef/>
      </w:r>
      <w:r>
        <w:t xml:space="preserve"> </w:t>
      </w:r>
      <w:r>
        <w:t xml:space="preserve">Verified fact — A2-S036: Security and privacy at OpenAI</w:t>
      </w:r>
      <w:r>
        <w:t xml:space="preserve"> </w:t>
      </w:r>
      <w:hyperlink r:id="rId429">
        <w:r>
          <w:rPr>
            <w:rStyle w:val="Hyperlink"/>
          </w:rPr>
          <w:t xml:space="preserve">https://openai.com/security-and-privacy/</w:t>
        </w:r>
      </w:hyperlink>
      <w:r>
        <w:t xml:space="preserve"> </w:t>
      </w:r>
      <w:r>
        <w:t xml:space="preserve">accessed 2026-10-07 [search-tool extract]; A2-S144: Data controls in the OpenAI platform</w:t>
      </w:r>
      <w:r>
        <w:t xml:space="preserve"> </w:t>
      </w:r>
      <w:hyperlink r:id="rId430">
        <w:r>
          <w:rPr>
            <w:rStyle w:val="Hyperlink"/>
          </w:rPr>
          <w:t xml:space="preserve">https://developers.openai.com/api/docs/guides/your-data</w:t>
        </w:r>
      </w:hyperlink>
      <w:r>
        <w:t xml:space="preserve"> </w:t>
      </w:r>
      <w:r>
        <w:t xml:space="preserve">accessed 2026-10-07 [search-tool extract]</w:t>
      </w:r>
    </w:p>
  </w:footnote>
  <w:footnote w:id="431">
    <w:p>
      <w:pPr>
        <w:pStyle w:val="FootnoteText"/>
      </w:pPr>
      <w:r>
        <w:rPr>
          <w:rStyle w:val="FootnoteReference"/>
        </w:rPr>
        <w:footnoteRef/>
      </w:r>
      <w:r>
        <w:t xml:space="preserve"> </w:t>
      </w:r>
      <w:r>
        <w:t xml:space="preserve">Verified fact — A2-S001: text-embedding-3-large Model (OpenAI)</w:t>
      </w:r>
      <w:r>
        <w:t xml:space="preserve"> </w:t>
      </w:r>
      <w:hyperlink r:id="rId424">
        <w:r>
          <w:rPr>
            <w:rStyle w:val="Hyperlink"/>
          </w:rPr>
          <w:t xml:space="preserve">https://developers.openai.com/api/docs/models/text-embedding-3-large</w:t>
        </w:r>
      </w:hyperlink>
      <w:r>
        <w:t xml:space="preserve"> </w:t>
      </w:r>
      <w:r>
        <w:t xml:space="preserve">accessed 2026-10-07 [search-tool extract]; A2-S035: text-embedding-3-small Model (OpenAI)</w:t>
      </w:r>
      <w:r>
        <w:t xml:space="preserve"> </w:t>
      </w:r>
      <w:hyperlink r:id="rId432">
        <w:r>
          <w:rPr>
            <w:rStyle w:val="Hyperlink"/>
          </w:rPr>
          <w:t xml:space="preserve">https://developers.openai.com/api/docs/models/text-embedding-3-small</w:t>
        </w:r>
      </w:hyperlink>
      <w:r>
        <w:t xml:space="preserve"> </w:t>
      </w:r>
      <w:r>
        <w:t xml:space="preserve">accessed 2026-10-07 [search-tool extract]</w:t>
      </w:r>
    </w:p>
  </w:footnote>
  <w:footnote w:id="433">
    <w:p>
      <w:pPr>
        <w:pStyle w:val="FootnoteText"/>
      </w:pPr>
      <w:r>
        <w:rPr>
          <w:rStyle w:val="FootnoteReference"/>
        </w:rPr>
        <w:footnoteRef/>
      </w:r>
      <w:r>
        <w:t xml:space="preserve"> </w:t>
      </w:r>
      <w:r>
        <w:t xml:space="preserve">Verified fact — B-REV-S004: Single sign-on (SSO) setup for OpenAI products</w:t>
      </w:r>
      <w:r>
        <w:t xml:space="preserve"> </w:t>
      </w:r>
      <w:hyperlink r:id="rId420">
        <w:r>
          <w:rPr>
            <w:rStyle w:val="Hyperlink"/>
          </w:rPr>
          <w:t xml:space="preserve">https://help.openai.com/en/articles/9534785-configuring-sso</w:t>
        </w:r>
      </w:hyperlink>
      <w:r>
        <w:t xml:space="preserve"> </w:t>
      </w:r>
      <w:r>
        <w:t xml:space="preserve">accessed 2026-10-08 [search-tool extract]; B-REV-S005: Manage permissions in the OpenAI platform</w:t>
      </w:r>
      <w:r>
        <w:t xml:space="preserve"> </w:t>
      </w:r>
      <w:hyperlink r:id="rId421">
        <w:r>
          <w:rPr>
            <w:rStyle w:val="Hyperlink"/>
          </w:rPr>
          <w:t xml:space="preserve">https://platform.openai.com/docs/guides/rbac</w:t>
        </w:r>
      </w:hyperlink>
      <w:r>
        <w:t xml:space="preserve"> </w:t>
      </w:r>
      <w:r>
        <w:t xml:space="preserve">accessed 2026-10-08 [search-tool extract]; B-REV-S006: Admin and Audit Logs API for the API Platform (OpenAI)</w:t>
      </w:r>
      <w:r>
        <w:t xml:space="preserve"> </w:t>
      </w:r>
      <w:hyperlink r:id="rId422">
        <w:r>
          <w:rPr>
            <w:rStyle w:val="Hyperlink"/>
          </w:rPr>
          <w:t xml:space="preserve">https://help.openai.com/en/articles/9687866-admin-and-audit-logs-api-for-the-api-platform</w:t>
        </w:r>
      </w:hyperlink>
      <w:r>
        <w:t xml:space="preserve"> </w:t>
      </w:r>
      <w:r>
        <w:t xml:space="preserve">accessed 2026-10-08 [search-tool extract]</w:t>
      </w:r>
    </w:p>
  </w:footnote>
  <w:footnote w:id="434">
    <w:p>
      <w:pPr>
        <w:pStyle w:val="FootnoteText"/>
      </w:pPr>
      <w:r>
        <w:rPr>
          <w:rStyle w:val="FootnoteReference"/>
        </w:rPr>
        <w:footnoteRef/>
      </w:r>
      <w:r>
        <w:t xml:space="preserve"> </w:t>
      </w:r>
      <w:r>
        <w:t xml:space="preserve">Verified fact — A2-S001: text-embedding-3-large Model (OpenAI)</w:t>
      </w:r>
      <w:r>
        <w:t xml:space="preserve"> </w:t>
      </w:r>
      <w:hyperlink r:id="rId424">
        <w:r>
          <w:rPr>
            <w:rStyle w:val="Hyperlink"/>
          </w:rPr>
          <w:t xml:space="preserve">https://developers.openai.com/api/docs/models/text-embedding-3-large</w:t>
        </w:r>
      </w:hyperlink>
      <w:r>
        <w:t xml:space="preserve"> </w:t>
      </w:r>
      <w:r>
        <w:t xml:space="preserve">accessed 2026-10-07 [search-tool extract]</w:t>
      </w:r>
    </w:p>
  </w:footnote>
  <w:footnote w:id="435">
    <w:p>
      <w:pPr>
        <w:pStyle w:val="FootnoteText"/>
      </w:pPr>
      <w:r>
        <w:rPr>
          <w:rStyle w:val="FootnoteReference"/>
        </w:rPr>
        <w:footnoteRef/>
      </w:r>
      <w:r>
        <w:t xml:space="preserve"> </w:t>
      </w:r>
      <w:r>
        <w:t xml:space="preserve">Verified fact — A2-S144: Data controls in the OpenAI platform</w:t>
      </w:r>
      <w:r>
        <w:t xml:space="preserve"> </w:t>
      </w:r>
      <w:hyperlink r:id="rId430">
        <w:r>
          <w:rPr>
            <w:rStyle w:val="Hyperlink"/>
          </w:rPr>
          <w:t xml:space="preserve">https://developers.openai.com/api/docs/guides/your-data</w:t>
        </w:r>
      </w:hyperlink>
      <w:r>
        <w:t xml:space="preserve"> </w:t>
      </w:r>
      <w:r>
        <w:t xml:space="preserve">accessed 2026-10-07 [search-tool extract]</w:t>
      </w:r>
    </w:p>
  </w:footnote>
  <w:footnote w:id="436">
    <w:p>
      <w:pPr>
        <w:pStyle w:val="FootnoteText"/>
      </w:pPr>
      <w:r>
        <w:rPr>
          <w:rStyle w:val="FootnoteReference"/>
        </w:rPr>
        <w:footnoteRef/>
      </w:r>
      <w:r>
        <w:t xml:space="preserve"> </w:t>
      </w:r>
      <w:r>
        <w:t xml:space="preserve">Verified fact — B-REV-S006: Admin and Audit Logs API for the API Platform (OpenAI)</w:t>
      </w:r>
      <w:r>
        <w:t xml:space="preserve"> </w:t>
      </w:r>
      <w:hyperlink r:id="rId422">
        <w:r>
          <w:rPr>
            <w:rStyle w:val="Hyperlink"/>
          </w:rPr>
          <w:t xml:space="preserve">https://help.openai.com/en/articles/9687866-admin-and-audit-logs-api-for-the-api-platform</w:t>
        </w:r>
      </w:hyperlink>
      <w:r>
        <w:t xml:space="preserve"> </w:t>
      </w:r>
      <w:r>
        <w:t xml:space="preserve">accessed 2026-10-08 [search-tool extract]</w:t>
      </w:r>
    </w:p>
  </w:footnote>
  <w:footnote w:id="437">
    <w:p>
      <w:pPr>
        <w:pStyle w:val="FootnoteText"/>
      </w:pPr>
      <w:r>
        <w:rPr>
          <w:rStyle w:val="FootnoteReference"/>
        </w:rPr>
        <w:footnoteRef/>
      </w:r>
      <w:r>
        <w:t xml:space="preserve"> </w:t>
      </w:r>
      <w:r>
        <w:t xml:space="preserve">Verified fact — A2-S144: Data controls in the OpenAI platform</w:t>
      </w:r>
      <w:r>
        <w:t xml:space="preserve"> </w:t>
      </w:r>
      <w:hyperlink r:id="rId430">
        <w:r>
          <w:rPr>
            <w:rStyle w:val="Hyperlink"/>
          </w:rPr>
          <w:t xml:space="preserve">https://developers.openai.com/api/docs/guides/your-data</w:t>
        </w:r>
      </w:hyperlink>
      <w:r>
        <w:t xml:space="preserve"> </w:t>
      </w:r>
      <w:r>
        <w:t xml:space="preserve">accessed 2026-10-07 [search-tool extract]</w:t>
      </w:r>
    </w:p>
  </w:footnote>
  <w:footnote w:id="438">
    <w:p>
      <w:pPr>
        <w:pStyle w:val="FootnoteText"/>
      </w:pPr>
      <w:r>
        <w:rPr>
          <w:rStyle w:val="FootnoteReference"/>
        </w:rPr>
        <w:footnoteRef/>
      </w:r>
      <w:r>
        <w:t xml:space="preserve"> </w:t>
      </w:r>
      <w:r>
        <w:t xml:space="preserve">Verified fact — A2-S144: Data controls in the OpenAI platform</w:t>
      </w:r>
      <w:r>
        <w:t xml:space="preserve"> </w:t>
      </w:r>
      <w:hyperlink r:id="rId430">
        <w:r>
          <w:rPr>
            <w:rStyle w:val="Hyperlink"/>
          </w:rPr>
          <w:t xml:space="preserve">https://developers.openai.com/api/docs/guides/your-data</w:t>
        </w:r>
      </w:hyperlink>
      <w:r>
        <w:t xml:space="preserve"> </w:t>
      </w:r>
      <w:r>
        <w:t xml:space="preserve">accessed 2026-10-07 [search-tool extract]</w:t>
      </w:r>
    </w:p>
  </w:footnote>
  <w:footnote w:id="439">
    <w:p>
      <w:pPr>
        <w:pStyle w:val="FootnoteText"/>
      </w:pPr>
      <w:r>
        <w:rPr>
          <w:rStyle w:val="FootnoteReference"/>
        </w:rPr>
        <w:footnoteRef/>
      </w:r>
      <w:r>
        <w:t xml:space="preserve"> </w:t>
      </w:r>
      <w:r>
        <w:t xml:space="preserve">Verified fact — A8-S021: Digital Operational Resilience Act (DORA) pages and RoI reporting FAQ (ESMA / EBA / EIOPA)</w:t>
      </w:r>
      <w:r>
        <w:t xml:space="preserve"> </w:t>
      </w:r>
      <w:hyperlink r:id="rId440">
        <w:r>
          <w:rPr>
            <w:rStyle w:val="Hyperlink"/>
          </w:rPr>
          <w:t xml:space="preserve">https://www.esma.europa.eu/esmas-activities/digital-finance-and-innovation/digital-operational-resilience-act-dora</w:t>
        </w:r>
      </w:hyperlink>
      <w:r>
        <w:t xml:space="preserve"> </w:t>
      </w:r>
      <w:r>
        <w:t xml:space="preserve">accessed 2026-10-07 [search-tool extract]</w:t>
      </w:r>
    </w:p>
  </w:footnote>
  <w:footnote w:id="442">
    <w:p>
      <w:pPr>
        <w:pStyle w:val="FootnoteText"/>
      </w:pPr>
      <w:r>
        <w:rPr>
          <w:rStyle w:val="FootnoteReference"/>
        </w:rPr>
        <w:footnoteRef/>
      </w:r>
      <w:r>
        <w:t xml:space="preserve"> </w:t>
      </w:r>
      <w:r>
        <w:t xml:space="preserve">Verified fact — B-REV-S019: Elastic Cloud Feature Matrix (and EIS, Jina models docs) (Elastic N.V.)</w:t>
      </w:r>
      <w:r>
        <w:t xml:space="preserve"> </w:t>
      </w:r>
      <w:hyperlink r:id="rId443">
        <w:r>
          <w:rPr>
            <w:rStyle w:val="Hyperlink"/>
          </w:rPr>
          <w:t xml:space="preserve">https://www.elastic.co/subscriptions/cloud</w:t>
        </w:r>
      </w:hyperlink>
      <w:r>
        <w:t xml:space="preserve"> </w:t>
      </w:r>
      <w:r>
        <w:t xml:space="preserve">accessed 2026-10-08 [search-tool extract]</w:t>
      </w:r>
    </w:p>
  </w:footnote>
  <w:footnote w:id="444">
    <w:p>
      <w:pPr>
        <w:pStyle w:val="FootnoteText"/>
      </w:pPr>
      <w:r>
        <w:rPr>
          <w:rStyle w:val="FootnoteReference"/>
        </w:rPr>
        <w:footnoteRef/>
      </w:r>
      <w:r>
        <w:t xml:space="preserve"> </w:t>
      </w:r>
      <w:r>
        <w:t xml:space="preserve">Verified fact — A2-S023: Elastic Completes Acquisition of Jina AI, a Leader in Frontier Models for Multimodal and Multilingual Search</w:t>
      </w:r>
      <w:r>
        <w:t xml:space="preserve"> </w:t>
      </w:r>
      <w:hyperlink r:id="rId445">
        <w:r>
          <w:rPr>
            <w:rStyle w:val="Hyperlink"/>
          </w:rPr>
          <w:t xml:space="preserve">https://ir.elastic.co/News--Events/news/news-details/2025/Elastic-Completes-Acquisition-of-Jina-AI-a-Leader-in-Frontier-Models-for-Multimodal-and-Multilingual-Search/default.aspx</w:t>
        </w:r>
      </w:hyperlink>
      <w:r>
        <w:t xml:space="preserve"> </w:t>
      </w:r>
      <w:r>
        <w:t xml:space="preserve">accessed 2026-10-07 [search-tool extract]; V1-S025: Elastic Completes Acquisition of Jina AI (Elastic N.V.)</w:t>
      </w:r>
      <w:r>
        <w:t xml:space="preserve"> </w:t>
      </w:r>
      <w:hyperlink r:id="rId445">
        <w:r>
          <w:rPr>
            <w:rStyle w:val="Hyperlink"/>
          </w:rPr>
          <w:t xml:space="preserve">https://ir.elastic.co/News--Events/news/news-details/2025/Elastic-Completes-Acquisition-of-Jina-AI-a-Leader-in-Frontier-Models-for-Multimodal-and-Multilingual-Search/default.aspx</w:t>
        </w:r>
      </w:hyperlink>
      <w:r>
        <w:t xml:space="preserve"> </w:t>
      </w:r>
      <w:r>
        <w:t xml:space="preserve">accessed 2026-10-08 [search-tool extract]</w:t>
      </w:r>
    </w:p>
  </w:footnote>
  <w:footnote w:id="446">
    <w:p>
      <w:pPr>
        <w:pStyle w:val="FootnoteText"/>
      </w:pPr>
      <w:r>
        <w:rPr>
          <w:rStyle w:val="FootnoteReference"/>
        </w:rPr>
        <w:footnoteRef/>
      </w:r>
      <w:r>
        <w:t xml:space="preserve"> </w:t>
      </w:r>
      <w:r>
        <w:t xml:space="preserve">Verified fact — A2-S025: jina-embeddings-v5-omni: Embeddings for Text, Image, Audio and Video (Jina AI (Elastic))</w:t>
      </w:r>
      <w:r>
        <w:t xml:space="preserve"> </w:t>
      </w:r>
      <w:hyperlink r:id="rId447">
        <w:r>
          <w:rPr>
            <w:rStyle w:val="Hyperlink"/>
          </w:rPr>
          <w:t xml:space="preserve">https://jina.ai/news/jina-embeddings-v5-omni-multimodal-embeddings-for-text-image-audio-and-video/</w:t>
        </w:r>
      </w:hyperlink>
      <w:r>
        <w:t xml:space="preserve"> </w:t>
      </w:r>
      <w:r>
        <w:t xml:space="preserve">accessed 2026-10-07 [search-tool extract]; A2-S026: jina-reranker-v3.5: Faster Listwise Reranking with Hybrid Attention and Self-Distillation (Jina AI (Elastic))</w:t>
      </w:r>
      <w:r>
        <w:t xml:space="preserve"> </w:t>
      </w:r>
      <w:hyperlink r:id="rId448">
        <w:r>
          <w:rPr>
            <w:rStyle w:val="Hyperlink"/>
          </w:rPr>
          <w:t xml:space="preserve">https://jina.ai/en-US/news/jina-reranker-v3-5-faster-listwise-reranking-hybrid-attention-self-distillation/</w:t>
        </w:r>
      </w:hyperlink>
      <w:r>
        <w:t xml:space="preserve"> </w:t>
      </w:r>
      <w:r>
        <w:t xml:space="preserve">accessed 2026-10-07 [search-tool extract]; V1-S026: jina-embeddings-v5 model pages (text-small, text-nano, omni-small, omni-nano); Jina llms.txt (Jina AI (Elastic))</w:t>
      </w:r>
      <w:r>
        <w:t xml:space="preserve"> </w:t>
      </w:r>
      <w:hyperlink r:id="rId449">
        <w:r>
          <w:rPr>
            <w:rStyle w:val="Hyperlink"/>
          </w:rPr>
          <w:t xml:space="preserve">https://jina.ai/models/jina-embeddings-v5-text-small/</w:t>
        </w:r>
      </w:hyperlink>
      <w:r>
        <w:t xml:space="preserve"> </w:t>
      </w:r>
      <w:r>
        <w:t xml:space="preserve">accessed 2026-10-08 [search-tool extract]</w:t>
      </w:r>
    </w:p>
  </w:footnote>
  <w:footnote w:id="450">
    <w:p>
      <w:pPr>
        <w:pStyle w:val="FootnoteText"/>
      </w:pPr>
      <w:r>
        <w:rPr>
          <w:rStyle w:val="FootnoteReference"/>
        </w:rPr>
        <w:footnoteRef/>
      </w:r>
      <w:r>
        <w:t xml:space="preserve"> </w:t>
      </w:r>
      <w:r>
        <w:t xml:space="preserve">Verified fact — A2-S133: Elastic 9.5: Columnar, VectorDB index mode &amp; auto-calibration, and AI-driven alert triage</w:t>
      </w:r>
      <w:r>
        <w:t xml:space="preserve"> </w:t>
      </w:r>
      <w:hyperlink r:id="rId451">
        <w:r>
          <w:rPr>
            <w:rStyle w:val="Hyperlink"/>
          </w:rPr>
          <w:t xml:space="preserve">https://www.elastic.co/blog/whats-new-elastic-9-5-0</w:t>
        </w:r>
      </w:hyperlink>
      <w:r>
        <w:t xml:space="preserve"> </w:t>
      </w:r>
      <w:r>
        <w:t xml:space="preserve">accessed 2026-10-07 [search-tool extract]</w:t>
      </w:r>
    </w:p>
  </w:footnote>
  <w:footnote w:id="452">
    <w:p>
      <w:pPr>
        <w:pStyle w:val="FootnoteText"/>
      </w:pPr>
      <w:r>
        <w:rPr>
          <w:rStyle w:val="FootnoteReference"/>
        </w:rPr>
        <w:footnoteRef/>
      </w:r>
      <w:r>
        <w:t xml:space="preserve"> </w:t>
      </w:r>
      <w:r>
        <w:t xml:space="preserve">Verified fact — A2-S042: Jina models (Elastic docs)</w:t>
      </w:r>
      <w:r>
        <w:t xml:space="preserve"> </w:t>
      </w:r>
      <w:hyperlink r:id="rId453">
        <w:r>
          <w:rPr>
            <w:rStyle w:val="Hyperlink"/>
          </w:rPr>
          <w:t xml:space="preserve">https://www.elastic.co/docs/explore-analyze/machine-learning/nlp/ml-nlp-jina</w:t>
        </w:r>
      </w:hyperlink>
      <w:r>
        <w:t xml:space="preserve"> </w:t>
      </w:r>
      <w:r>
        <w:t xml:space="preserve">accessed 2026-10-07 [search-tool extract]; A2-S045: Elastic Trust Center</w:t>
      </w:r>
      <w:r>
        <w:t xml:space="preserve"> </w:t>
      </w:r>
      <w:hyperlink r:id="rId454">
        <w:r>
          <w:rPr>
            <w:rStyle w:val="Hyperlink"/>
          </w:rPr>
          <w:t xml:space="preserve">https://www.elastic.co/trust</w:t>
        </w:r>
      </w:hyperlink>
      <w:r>
        <w:t xml:space="preserve"> </w:t>
      </w:r>
      <w:r>
        <w:t xml:space="preserve">accessed 2026-10-07 [search-tool extract]</w:t>
      </w:r>
    </w:p>
  </w:footnote>
  <w:footnote w:id="455">
    <w:p>
      <w:pPr>
        <w:pStyle w:val="FootnoteText"/>
      </w:pPr>
      <w:r>
        <w:rPr>
          <w:rStyle w:val="FootnoteReference"/>
        </w:rPr>
        <w:footnoteRef/>
      </w:r>
      <w:r>
        <w:t xml:space="preserve"> </w:t>
      </w:r>
      <w:r>
        <w:t xml:space="preserve">Verified fact — A2-S025: jina-embeddings-v5-omni: Embeddings for Text, Image, Audio and Video (Jina AI (Elastic))</w:t>
      </w:r>
      <w:r>
        <w:t xml:space="preserve"> </w:t>
      </w:r>
      <w:hyperlink r:id="rId447">
        <w:r>
          <w:rPr>
            <w:rStyle w:val="Hyperlink"/>
          </w:rPr>
          <w:t xml:space="preserve">https://jina.ai/news/jina-embeddings-v5-omni-multimodal-embeddings-for-text-image-audio-and-video/</w:t>
        </w:r>
      </w:hyperlink>
      <w:r>
        <w:t xml:space="preserve"> </w:t>
      </w:r>
      <w:r>
        <w:t xml:space="preserve">accessed 2026-10-07 [search-tool extract]</w:t>
      </w:r>
    </w:p>
  </w:footnote>
  <w:footnote w:id="456">
    <w:p>
      <w:pPr>
        <w:pStyle w:val="FootnoteText"/>
      </w:pPr>
      <w:r>
        <w:rPr>
          <w:rStyle w:val="FootnoteReference"/>
        </w:rPr>
        <w:footnoteRef/>
      </w:r>
      <w:r>
        <w:t xml:space="preserve"> </w:t>
      </w:r>
      <w:r>
        <w:t xml:space="preserve">Verified fact — A2-S024: Legal Information - Jina AI (Jina AI (Elastic))</w:t>
      </w:r>
      <w:r>
        <w:t xml:space="preserve"> </w:t>
      </w:r>
      <w:hyperlink r:id="rId394">
        <w:r>
          <w:rPr>
            <w:rStyle w:val="Hyperlink"/>
          </w:rPr>
          <w:t xml:space="preserve">https://jina.ai/legal/</w:t>
        </w:r>
      </w:hyperlink>
      <w:r>
        <w:t xml:space="preserve"> </w:t>
      </w:r>
      <w:r>
        <w:t xml:space="preserve">accessed 2026-10-07 [search-tool extract]; A2-S042: Jina models (Elastic docs)</w:t>
      </w:r>
      <w:r>
        <w:t xml:space="preserve"> </w:t>
      </w:r>
      <w:hyperlink r:id="rId453">
        <w:r>
          <w:rPr>
            <w:rStyle w:val="Hyperlink"/>
          </w:rPr>
          <w:t xml:space="preserve">https://www.elastic.co/docs/explore-analyze/machine-learning/nlp/ml-nlp-jina</w:t>
        </w:r>
      </w:hyperlink>
      <w:r>
        <w:t xml:space="preserve"> </w:t>
      </w:r>
      <w:r>
        <w:t xml:space="preserve">accessed 2026-10-07 [search-tool extract]</w:t>
      </w:r>
    </w:p>
  </w:footnote>
  <w:footnote w:id="457">
    <w:p>
      <w:pPr>
        <w:pStyle w:val="FootnoteText"/>
      </w:pPr>
      <w:r>
        <w:rPr>
          <w:rStyle w:val="FootnoteReference"/>
        </w:rPr>
        <w:footnoteRef/>
      </w:r>
      <w:r>
        <w:t xml:space="preserve"> </w:t>
      </w:r>
      <w:r>
        <w:t xml:space="preserve">Verified fact — A2-S023: Elastic Completes Acquisition of Jina AI, a Leader in Frontier Models for Multimodal and Multilingual Search</w:t>
      </w:r>
      <w:r>
        <w:t xml:space="preserve"> </w:t>
      </w:r>
      <w:hyperlink r:id="rId445">
        <w:r>
          <w:rPr>
            <w:rStyle w:val="Hyperlink"/>
          </w:rPr>
          <w:t xml:space="preserve">https://ir.elastic.co/News--Events/news/news-details/2025/Elastic-Completes-Acquisition-of-Jina-AI-a-Leader-in-Frontier-Models-for-Multimodal-and-Multilingual-Search/default.aspx</w:t>
        </w:r>
      </w:hyperlink>
      <w:r>
        <w:t xml:space="preserve"> </w:t>
      </w:r>
      <w:r>
        <w:t xml:space="preserve">accessed 2026-10-07 [search-tool extract]; A2-S024: Legal Information - Jina AI (Jina AI (Elastic))</w:t>
      </w:r>
      <w:r>
        <w:t xml:space="preserve"> </w:t>
      </w:r>
      <w:hyperlink r:id="rId394">
        <w:r>
          <w:rPr>
            <w:rStyle w:val="Hyperlink"/>
          </w:rPr>
          <w:t xml:space="preserve">https://jina.ai/legal/</w:t>
        </w:r>
      </w:hyperlink>
      <w:r>
        <w:t xml:space="preserve"> </w:t>
      </w:r>
      <w:r>
        <w:t xml:space="preserve">accessed 2026-10-07 [search-tool extract]</w:t>
      </w:r>
    </w:p>
  </w:footnote>
  <w:footnote w:id="458">
    <w:p>
      <w:pPr>
        <w:pStyle w:val="FootnoteText"/>
      </w:pPr>
      <w:r>
        <w:rPr>
          <w:rStyle w:val="FootnoteReference"/>
        </w:rPr>
        <w:footnoteRef/>
      </w:r>
      <w:r>
        <w:t xml:space="preserve"> </w:t>
      </w:r>
      <w:r>
        <w:t xml:space="preserve">Verified fact — A2-S045: Elastic Trust Center</w:t>
      </w:r>
      <w:r>
        <w:t xml:space="preserve"> </w:t>
      </w:r>
      <w:hyperlink r:id="rId454">
        <w:r>
          <w:rPr>
            <w:rStyle w:val="Hyperlink"/>
          </w:rPr>
          <w:t xml:space="preserve">https://www.elastic.co/trust</w:t>
        </w:r>
      </w:hyperlink>
      <w:r>
        <w:t xml:space="preserve"> </w:t>
      </w:r>
      <w:r>
        <w:t xml:space="preserve">accessed 2026-10-07 [search-tool extract]</w:t>
      </w:r>
    </w:p>
  </w:footnote>
  <w:footnote w:id="459">
    <w:p>
      <w:pPr>
        <w:pStyle w:val="FootnoteText"/>
      </w:pPr>
      <w:r>
        <w:rPr>
          <w:rStyle w:val="FootnoteReference"/>
        </w:rPr>
        <w:footnoteRef/>
      </w:r>
      <w:r>
        <w:t xml:space="preserve"> </w:t>
      </w:r>
      <w:r>
        <w:t xml:space="preserve">Verified fact — A2-S042: Jina models (Elastic docs)</w:t>
      </w:r>
      <w:r>
        <w:t xml:space="preserve"> </w:t>
      </w:r>
      <w:hyperlink r:id="rId453">
        <w:r>
          <w:rPr>
            <w:rStyle w:val="Hyperlink"/>
          </w:rPr>
          <w:t xml:space="preserve">https://www.elastic.co/docs/explore-analyze/machine-learning/nlp/ml-nlp-jina</w:t>
        </w:r>
      </w:hyperlink>
      <w:r>
        <w:t xml:space="preserve"> </w:t>
      </w:r>
      <w:r>
        <w:t xml:space="preserve">accessed 2026-10-07 [search-tool extract]</w:t>
      </w:r>
    </w:p>
  </w:footnote>
  <w:footnote w:id="460">
    <w:p>
      <w:pPr>
        <w:pStyle w:val="FootnoteText"/>
      </w:pPr>
      <w:r>
        <w:rPr>
          <w:rStyle w:val="FootnoteReference"/>
        </w:rPr>
        <w:footnoteRef/>
      </w:r>
      <w:r>
        <w:t xml:space="preserve"> </w:t>
      </w:r>
      <w:r>
        <w:t xml:space="preserve">Reported — A2-S026: jina-reranker-v3.5: Faster Listwise Reranking with Hybrid Attention and Self-Distillation (Jina AI (Elastic))</w:t>
      </w:r>
      <w:r>
        <w:t xml:space="preserve"> </w:t>
      </w:r>
      <w:hyperlink r:id="rId448">
        <w:r>
          <w:rPr>
            <w:rStyle w:val="Hyperlink"/>
          </w:rPr>
          <w:t xml:space="preserve">https://jina.ai/en-US/news/jina-reranker-v3-5-faster-listwise-reranking-hybrid-attention-self-distillation/</w:t>
        </w:r>
      </w:hyperlink>
      <w:r>
        <w:t xml:space="preserve"> </w:t>
      </w:r>
      <w:r>
        <w:t xml:space="preserve">accessed 2026-10-07 [search-tool extract]</w:t>
      </w:r>
    </w:p>
  </w:footnote>
  <w:footnote w:id="461">
    <w:p>
      <w:pPr>
        <w:pStyle w:val="FootnoteText"/>
      </w:pPr>
      <w:r>
        <w:rPr>
          <w:rStyle w:val="FootnoteReference"/>
        </w:rPr>
        <w:footnoteRef/>
      </w:r>
      <w:r>
        <w:t xml:space="preserve"> </w:t>
      </w:r>
      <w:r>
        <w:t xml:space="preserve">Verified fact — A2-S024: Legal Information - Jina AI (Jina AI (Elastic))</w:t>
      </w:r>
      <w:r>
        <w:t xml:space="preserve"> </w:t>
      </w:r>
      <w:hyperlink r:id="rId394">
        <w:r>
          <w:rPr>
            <w:rStyle w:val="Hyperlink"/>
          </w:rPr>
          <w:t xml:space="preserve">https://jina.ai/legal/</w:t>
        </w:r>
      </w:hyperlink>
      <w:r>
        <w:t xml:space="preserve"> </w:t>
      </w:r>
      <w:r>
        <w:t xml:space="preserve">accessed 2026-10-07 [search-tool extract]</w:t>
      </w:r>
    </w:p>
  </w:footnote>
  <w:footnote w:id="463">
    <w:p>
      <w:pPr>
        <w:pStyle w:val="FootnoteText"/>
      </w:pPr>
      <w:r>
        <w:rPr>
          <w:rStyle w:val="FootnoteReference"/>
        </w:rPr>
        <w:footnoteRef/>
      </w:r>
      <w:r>
        <w:t xml:space="preserve"> </w:t>
      </w:r>
      <w:r>
        <w:t xml:space="preserve">Verified fact — A2-S020: Qwen3 Embedding: Advancing Text Embedding and Reranking Through Foundation Models (Alibaba Qwen)</w:t>
      </w:r>
      <w:r>
        <w:t xml:space="preserve"> </w:t>
      </w:r>
      <w:hyperlink r:id="rId464">
        <w:r>
          <w:rPr>
            <w:rStyle w:val="Hyperlink"/>
          </w:rPr>
          <w:t xml:space="preserve">https://qwen.ai/blog?id=qwen3-embedding</w:t>
        </w:r>
      </w:hyperlink>
      <w:r>
        <w:t xml:space="preserve"> </w:t>
      </w:r>
      <w:r>
        <w:t xml:space="preserve">accessed 2026-10-07 [search-tool extract]; A2-S021: Qwen3-VL-Embedding and Qwen3-VL-Reranker: A Unified Framework for State-of-the-Art Multimodal Retrieval and Ranking (Alibaba Qwen (arXiv))</w:t>
      </w:r>
      <w:r>
        <w:t xml:space="preserve"> </w:t>
      </w:r>
      <w:hyperlink r:id="rId465">
        <w:r>
          <w:rPr>
            <w:rStyle w:val="Hyperlink"/>
          </w:rPr>
          <w:t xml:space="preserve">https://arxiv.org/abs/2601.04720</w:t>
        </w:r>
      </w:hyperlink>
      <w:r>
        <w:t xml:space="preserve"> </w:t>
      </w:r>
      <w:r>
        <w:t xml:space="preserve">accessed 2026-10-07 [search-tool extract]; V1-S093: Qwen3-VL-Embedding and Qwen3-VL-Reranker (paper page, arXiv 2601.04720); Qwen blog (Qwen team (Alibaba) / Hugging Face)</w:t>
      </w:r>
      <w:r>
        <w:t xml:space="preserve"> </w:t>
      </w:r>
      <w:hyperlink r:id="rId466">
        <w:r>
          <w:rPr>
            <w:rStyle w:val="Hyperlink"/>
          </w:rPr>
          <w:t xml:space="preserve">https://huggingface.co/papers/2601.04720</w:t>
        </w:r>
      </w:hyperlink>
      <w:r>
        <w:t xml:space="preserve"> </w:t>
      </w:r>
      <w:r>
        <w:t xml:space="preserve">accessed 2026-10-08 [search-tool extract]</w:t>
      </w:r>
    </w:p>
  </w:footnote>
  <w:footnote w:id="467">
    <w:p>
      <w:pPr>
        <w:pStyle w:val="FootnoteText"/>
      </w:pPr>
      <w:r>
        <w:rPr>
          <w:rStyle w:val="FootnoteReference"/>
        </w:rPr>
        <w:footnoteRef/>
      </w:r>
      <w:r>
        <w:t xml:space="preserve"> </w:t>
      </w:r>
      <w:r>
        <w:t xml:space="preserve">Verified fact — A2-S022: Embedding - Alibaba Cloud Model Studio</w:t>
      </w:r>
      <w:r>
        <w:t xml:space="preserve"> </w:t>
      </w:r>
      <w:hyperlink r:id="rId468">
        <w:r>
          <w:rPr>
            <w:rStyle w:val="Hyperlink"/>
          </w:rPr>
          <w:t xml:space="preserve">https://www.alibabacloud.com/help/en/model-studio/embedding</w:t>
        </w:r>
      </w:hyperlink>
      <w:r>
        <w:t xml:space="preserve"> </w:t>
      </w:r>
      <w:r>
        <w:t xml:space="preserve">accessed 2026-10-07 [search-tool extract]</w:t>
      </w:r>
    </w:p>
  </w:footnote>
  <w:footnote w:id="469">
    <w:p>
      <w:pPr>
        <w:pStyle w:val="FootnoteText"/>
      </w:pPr>
      <w:r>
        <w:rPr>
          <w:rStyle w:val="FootnoteReference"/>
        </w:rPr>
        <w:footnoteRef/>
      </w:r>
      <w:r>
        <w:t xml:space="preserve"> </w:t>
      </w:r>
      <w:r>
        <w:t xml:space="preserve">Verified fact — A2-S020: Qwen3 Embedding: Advancing Text Embedding and Reranking Through Foundation Models (Alibaba Qwen)</w:t>
      </w:r>
      <w:r>
        <w:t xml:space="preserve"> </w:t>
      </w:r>
      <w:hyperlink r:id="rId464">
        <w:r>
          <w:rPr>
            <w:rStyle w:val="Hyperlink"/>
          </w:rPr>
          <w:t xml:space="preserve">https://qwen.ai/blog?id=qwen3-embedding</w:t>
        </w:r>
      </w:hyperlink>
      <w:r>
        <w:t xml:space="preserve"> </w:t>
      </w:r>
      <w:r>
        <w:t xml:space="preserve">accessed 2026-10-07 [search-tool extract]</w:t>
      </w:r>
    </w:p>
  </w:footnote>
  <w:footnote w:id="470">
    <w:p>
      <w:pPr>
        <w:pStyle w:val="FootnoteText"/>
      </w:pPr>
      <w:r>
        <w:rPr>
          <w:rStyle w:val="FootnoteReference"/>
        </w:rPr>
        <w:footnoteRef/>
      </w:r>
      <w:r>
        <w:t xml:space="preserve"> </w:t>
      </w:r>
      <w:r>
        <w:t xml:space="preserve">Verified fact — A2-S021: Qwen3-VL-Embedding and Qwen3-VL-Reranker: A Unified Framework for State-of-the-Art Multimodal Retrieval and Ranking (Alibaba Qwen (arXiv))</w:t>
      </w:r>
      <w:r>
        <w:t xml:space="preserve"> </w:t>
      </w:r>
      <w:hyperlink r:id="rId465">
        <w:r>
          <w:rPr>
            <w:rStyle w:val="Hyperlink"/>
          </w:rPr>
          <w:t xml:space="preserve">https://arxiv.org/abs/2601.04720</w:t>
        </w:r>
      </w:hyperlink>
      <w:r>
        <w:t xml:space="preserve"> </w:t>
      </w:r>
      <w:r>
        <w:t xml:space="preserve">accessed 2026-10-07 [search-tool extract]</w:t>
      </w:r>
    </w:p>
  </w:footnote>
  <w:footnote w:id="471">
    <w:p>
      <w:pPr>
        <w:pStyle w:val="FootnoteText"/>
      </w:pPr>
      <w:r>
        <w:rPr>
          <w:rStyle w:val="FootnoteReference"/>
        </w:rPr>
        <w:footnoteRef/>
      </w:r>
      <w:r>
        <w:t xml:space="preserve"> </w:t>
      </w:r>
      <w:r>
        <w:t xml:space="preserve">Verified fact — A2-S022: Embedding - Alibaba Cloud Model Studio</w:t>
      </w:r>
      <w:r>
        <w:t xml:space="preserve"> </w:t>
      </w:r>
      <w:hyperlink r:id="rId468">
        <w:r>
          <w:rPr>
            <w:rStyle w:val="Hyperlink"/>
          </w:rPr>
          <w:t xml:space="preserve">https://www.alibabacloud.com/help/en/model-studio/embedding</w:t>
        </w:r>
      </w:hyperlink>
      <w:r>
        <w:t xml:space="preserve"> </w:t>
      </w:r>
      <w:r>
        <w:t xml:space="preserve">accessed 2026-10-07 [search-tool extract]</w:t>
      </w:r>
    </w:p>
  </w:footnote>
  <w:footnote w:id="472">
    <w:p>
      <w:pPr>
        <w:pStyle w:val="FootnoteText"/>
      </w:pPr>
      <w:r>
        <w:rPr>
          <w:rStyle w:val="FootnoteReference"/>
        </w:rPr>
        <w:footnoteRef/>
      </w:r>
      <w:r>
        <w:t xml:space="preserve"> </w:t>
      </w:r>
      <w:r>
        <w:t xml:space="preserve">Reported — A2-S020: Qwen3 Embedding: Advancing Text Embedding and Reranking Through Foundation Models (Alibaba Qwen)</w:t>
      </w:r>
      <w:r>
        <w:t xml:space="preserve"> </w:t>
      </w:r>
      <w:hyperlink r:id="rId464">
        <w:r>
          <w:rPr>
            <w:rStyle w:val="Hyperlink"/>
          </w:rPr>
          <w:t xml:space="preserve">https://qwen.ai/blog?id=qwen3-embedding</w:t>
        </w:r>
      </w:hyperlink>
      <w:r>
        <w:t xml:space="preserve"> </w:t>
      </w:r>
      <w:r>
        <w:t xml:space="preserve">accessed 2026-10-07 [search-tool extract]</w:t>
      </w:r>
    </w:p>
  </w:footnote>
  <w:footnote w:id="473">
    <w:p>
      <w:pPr>
        <w:pStyle w:val="FootnoteText"/>
      </w:pPr>
      <w:r>
        <w:rPr>
          <w:rStyle w:val="FootnoteReference"/>
        </w:rPr>
        <w:footnoteRef/>
      </w:r>
      <w:r>
        <w:t xml:space="preserve"> </w:t>
      </w:r>
      <w:r>
        <w:t xml:space="preserve">Verified fact — A2-S022: Embedding - Alibaba Cloud Model Studio</w:t>
      </w:r>
      <w:r>
        <w:t xml:space="preserve"> </w:t>
      </w:r>
      <w:hyperlink r:id="rId468">
        <w:r>
          <w:rPr>
            <w:rStyle w:val="Hyperlink"/>
          </w:rPr>
          <w:t xml:space="preserve">https://www.alibabacloud.com/help/en/model-studio/embedding</w:t>
        </w:r>
      </w:hyperlink>
      <w:r>
        <w:t xml:space="preserve"> </w:t>
      </w:r>
      <w:r>
        <w:t xml:space="preserve">accessed 2026-10-07 [search-tool extract]</w:t>
      </w:r>
    </w:p>
  </w:footnote>
  <w:footnote w:id="474">
    <w:p>
      <w:pPr>
        <w:pStyle w:val="FootnoteText"/>
      </w:pPr>
      <w:r>
        <w:rPr>
          <w:rStyle w:val="FootnoteReference"/>
        </w:rPr>
        <w:footnoteRef/>
      </w:r>
      <w:r>
        <w:t xml:space="preserve"> </w:t>
      </w:r>
      <w:r>
        <w:t xml:space="preserve">Verified fact — A2-S022: Embedding - Alibaba Cloud Model Studio</w:t>
      </w:r>
      <w:r>
        <w:t xml:space="preserve"> </w:t>
      </w:r>
      <w:hyperlink r:id="rId468">
        <w:r>
          <w:rPr>
            <w:rStyle w:val="Hyperlink"/>
          </w:rPr>
          <w:t xml:space="preserve">https://www.alibabacloud.com/help/en/model-studio/embedding</w:t>
        </w:r>
      </w:hyperlink>
      <w:r>
        <w:t xml:space="preserve"> </w:t>
      </w:r>
      <w:r>
        <w:t xml:space="preserve">accessed 2026-10-07 [search-tool extract]</w:t>
      </w:r>
    </w:p>
  </w:footnote>
  <w:footnote w:id="476">
    <w:p>
      <w:pPr>
        <w:pStyle w:val="FootnoteText"/>
      </w:pPr>
      <w:r>
        <w:rPr>
          <w:rStyle w:val="FootnoteReference"/>
        </w:rPr>
        <w:footnoteRef/>
      </w:r>
      <w:r>
        <w:t xml:space="preserve"> </w:t>
      </w:r>
      <w:r>
        <w:t xml:space="preserve">Verified fact — B-REV-S028: Manage Voyage AI Model API Keys (and Organization and Project Access) (MongoDB, Inc.)</w:t>
      </w:r>
      <w:r>
        <w:t xml:space="preserve"> </w:t>
      </w:r>
      <w:hyperlink r:id="rId477">
        <w:r>
          <w:rPr>
            <w:rStyle w:val="Hyperlink"/>
          </w:rPr>
          <w:t xml:space="preserve">https://www.mongodb.com/docs/voyageai/management/api-keys/</w:t>
        </w:r>
      </w:hyperlink>
      <w:r>
        <w:t xml:space="preserve"> </w:t>
      </w:r>
      <w:r>
        <w:t xml:space="preserve">accessed 2026-10-08 [search-tool extract]</w:t>
      </w:r>
    </w:p>
  </w:footnote>
  <w:footnote w:id="478">
    <w:p>
      <w:pPr>
        <w:pStyle w:val="FootnoteText"/>
      </w:pPr>
      <w:r>
        <w:rPr>
          <w:rStyle w:val="FootnoteReference"/>
        </w:rPr>
        <w:footnoteRef/>
      </w:r>
      <w:r>
        <w:t xml:space="preserve"> </w:t>
      </w:r>
      <w:r>
        <w:t xml:space="preserve">Verified fact — A2-S006: The Voyage 4 model family: shared embedding space with MoE architecture (Voyage AI (MongoDB))</w:t>
      </w:r>
      <w:r>
        <w:t xml:space="preserve"> </w:t>
      </w:r>
      <w:hyperlink r:id="rId479">
        <w:r>
          <w:rPr>
            <w:rStyle w:val="Hyperlink"/>
          </w:rPr>
          <w:t xml:space="preserve">https://blog.voyageai.com/2026/01/15/voyage-4/</w:t>
        </w:r>
      </w:hyperlink>
      <w:r>
        <w:t xml:space="preserve"> </w:t>
      </w:r>
      <w:r>
        <w:t xml:space="preserve">accessed 2026-10-07 [search-tool extract]; A2-S007: Voyage AI Embedding and Reranking Models Overview - Voyage AI by MongoDB</w:t>
      </w:r>
      <w:r>
        <w:t xml:space="preserve"> </w:t>
      </w:r>
      <w:hyperlink r:id="rId480">
        <w:r>
          <w:rPr>
            <w:rStyle w:val="Hyperlink"/>
          </w:rPr>
          <w:t xml:space="preserve">https://www.mongodb.com/docs/voyageai/models/</w:t>
        </w:r>
      </w:hyperlink>
      <w:r>
        <w:t xml:space="preserve"> </w:t>
      </w:r>
      <w:r>
        <w:t xml:space="preserve">accessed 2026-10-07 [search-tool extract]; A2-S034: rerank-3 and rerank-3-lite: the next generation of Voyage rerankers (Voyage AI (MongoDB))</w:t>
      </w:r>
      <w:r>
        <w:t xml:space="preserve"> </w:t>
      </w:r>
      <w:hyperlink r:id="rId481">
        <w:r>
          <w:rPr>
            <w:rStyle w:val="Hyperlink"/>
          </w:rPr>
          <w:t xml:space="preserve">https://blog.voyageai.com/2026/09/30/rerank-3/</w:t>
        </w:r>
      </w:hyperlink>
      <w:r>
        <w:t xml:space="preserve"> </w:t>
      </w:r>
      <w:r>
        <w:t xml:space="preserve">accessed 2026-10-07 [search-tool extract]</w:t>
      </w:r>
    </w:p>
  </w:footnote>
  <w:footnote w:id="482">
    <w:p>
      <w:pPr>
        <w:pStyle w:val="FootnoteText"/>
      </w:pPr>
      <w:r>
        <w:rPr>
          <w:rStyle w:val="FootnoteReference"/>
        </w:rPr>
        <w:footnoteRef/>
      </w:r>
      <w:r>
        <w:t xml:space="preserve"> </w:t>
      </w:r>
      <w:r>
        <w:t xml:space="preserve">Verified fact — V1-S024: rerank-3 and rerank-3-lite: the next generation of Voyage rerankers; MongoDB Voyage model lifecycle page (Voyage AI by MongoDB)</w:t>
      </w:r>
      <w:r>
        <w:t xml:space="preserve"> </w:t>
      </w:r>
      <w:hyperlink r:id="rId481">
        <w:r>
          <w:rPr>
            <w:rStyle w:val="Hyperlink"/>
          </w:rPr>
          <w:t xml:space="preserve">https://blog.voyageai.com/2026/09/30/rerank-3/</w:t>
        </w:r>
      </w:hyperlink>
      <w:r>
        <w:t xml:space="preserve"> </w:t>
      </w:r>
      <w:r>
        <w:t xml:space="preserve">accessed 2026-10-08 [search-tool extract]</w:t>
      </w:r>
    </w:p>
  </w:footnote>
  <w:footnote w:id="483">
    <w:p>
      <w:pPr>
        <w:pStyle w:val="FootnoteText"/>
      </w:pPr>
      <w:r>
        <w:rPr>
          <w:rStyle w:val="FootnoteReference"/>
        </w:rPr>
        <w:footnoteRef/>
      </w:r>
      <w:r>
        <w:t xml:space="preserve"> </w:t>
      </w:r>
      <w:r>
        <w:t xml:space="preserve">Verified fact — A2-S006: The Voyage 4 model family: shared embedding space with MoE architecture (Voyage AI (MongoDB))</w:t>
      </w:r>
      <w:r>
        <w:t xml:space="preserve"> </w:t>
      </w:r>
      <w:hyperlink r:id="rId479">
        <w:r>
          <w:rPr>
            <w:rStyle w:val="Hyperlink"/>
          </w:rPr>
          <w:t xml:space="preserve">https://blog.voyageai.com/2026/01/15/voyage-4/</w:t>
        </w:r>
      </w:hyperlink>
      <w:r>
        <w:t xml:space="preserve"> </w:t>
      </w:r>
      <w:r>
        <w:t xml:space="preserve">accessed 2026-10-07 [search-tool extract]; A2-S007: Voyage AI Embedding and Reranking Models Overview - Voyage AI by MongoDB</w:t>
      </w:r>
      <w:r>
        <w:t xml:space="preserve"> </w:t>
      </w:r>
      <w:hyperlink r:id="rId480">
        <w:r>
          <w:rPr>
            <w:rStyle w:val="Hyperlink"/>
          </w:rPr>
          <w:t xml:space="preserve">https://www.mongodb.com/docs/voyageai/models/</w:t>
        </w:r>
      </w:hyperlink>
      <w:r>
        <w:t xml:space="preserve"> </w:t>
      </w:r>
      <w:r>
        <w:t xml:space="preserve">accessed 2026-10-07 [search-tool extract]; A2-S034: rerank-3 and rerank-3-lite: the next generation of Voyage rerankers (Voyage AI (MongoDB))</w:t>
      </w:r>
      <w:r>
        <w:t xml:space="preserve"> </w:t>
      </w:r>
      <w:hyperlink r:id="rId481">
        <w:r>
          <w:rPr>
            <w:rStyle w:val="Hyperlink"/>
          </w:rPr>
          <w:t xml:space="preserve">https://blog.voyageai.com/2026/09/30/rerank-3/</w:t>
        </w:r>
      </w:hyperlink>
      <w:r>
        <w:t xml:space="preserve"> </w:t>
      </w:r>
      <w:r>
        <w:t xml:space="preserve">accessed 2026-10-07 [search-tool extract]</w:t>
      </w:r>
    </w:p>
  </w:footnote>
  <w:footnote w:id="484">
    <w:p>
      <w:pPr>
        <w:pStyle w:val="FootnoteText"/>
      </w:pPr>
      <w:r>
        <w:rPr>
          <w:rStyle w:val="FootnoteReference"/>
        </w:rPr>
        <w:footnoteRef/>
      </w:r>
      <w:r>
        <w:t xml:space="preserve"> </w:t>
      </w:r>
      <w:r>
        <w:t xml:space="preserve">Verified fact — A2-S006: The Voyage 4 model family: shared embedding space with MoE architecture (Voyage AI (MongoDB))</w:t>
      </w:r>
      <w:r>
        <w:t xml:space="preserve"> </w:t>
      </w:r>
      <w:hyperlink r:id="rId479">
        <w:r>
          <w:rPr>
            <w:rStyle w:val="Hyperlink"/>
          </w:rPr>
          <w:t xml:space="preserve">https://blog.voyageai.com/2026/01/15/voyage-4/</w:t>
        </w:r>
      </w:hyperlink>
      <w:r>
        <w:t xml:space="preserve"> </w:t>
      </w:r>
      <w:r>
        <w:t xml:space="preserve">accessed 2026-10-07 [search-tool extract]</w:t>
      </w:r>
    </w:p>
  </w:footnote>
  <w:footnote w:id="485">
    <w:p>
      <w:pPr>
        <w:pStyle w:val="FootnoteText"/>
      </w:pPr>
      <w:r>
        <w:rPr>
          <w:rStyle w:val="FootnoteReference"/>
        </w:rPr>
        <w:footnoteRef/>
      </w:r>
      <w:r>
        <w:t xml:space="preserve"> </w:t>
      </w:r>
      <w:r>
        <w:t xml:space="preserve">Verified fact — A2-S007: Voyage AI Embedding and Reranking Models Overview - Voyage AI by MongoDB</w:t>
      </w:r>
      <w:r>
        <w:t xml:space="preserve"> </w:t>
      </w:r>
      <w:hyperlink r:id="rId480">
        <w:r>
          <w:rPr>
            <w:rStyle w:val="Hyperlink"/>
          </w:rPr>
          <w:t xml:space="preserve">https://www.mongodb.com/docs/voyageai/models/</w:t>
        </w:r>
      </w:hyperlink>
      <w:r>
        <w:t xml:space="preserve"> </w:t>
      </w:r>
      <w:r>
        <w:t xml:space="preserve">accessed 2026-10-07 [search-tool extract]; A2-S034: rerank-3 and rerank-3-lite: the next generation of Voyage rerankers (Voyage AI (MongoDB))</w:t>
      </w:r>
      <w:r>
        <w:t xml:space="preserve"> </w:t>
      </w:r>
      <w:hyperlink r:id="rId481">
        <w:r>
          <w:rPr>
            <w:rStyle w:val="Hyperlink"/>
          </w:rPr>
          <w:t xml:space="preserve">https://blog.voyageai.com/2026/09/30/rerank-3/</w:t>
        </w:r>
      </w:hyperlink>
      <w:r>
        <w:t xml:space="preserve"> </w:t>
      </w:r>
      <w:r>
        <w:t xml:space="preserve">accessed 2026-10-07 [search-tool extract]</w:t>
      </w:r>
    </w:p>
  </w:footnote>
  <w:footnote w:id="486">
    <w:p>
      <w:pPr>
        <w:pStyle w:val="FootnoteText"/>
      </w:pPr>
      <w:r>
        <w:rPr>
          <w:rStyle w:val="FootnoteReference"/>
        </w:rPr>
        <w:footnoteRef/>
      </w:r>
      <w:r>
        <w:t xml:space="preserve"> </w:t>
      </w:r>
      <w:r>
        <w:t xml:space="preserve">Verified fact — A2-S044: MongoDB Voyage AI Models in AWS (Marketplace model package) (Voyage AI (MongoDB))</w:t>
      </w:r>
      <w:r>
        <w:t xml:space="preserve"> </w:t>
      </w:r>
      <w:hyperlink r:id="rId487">
        <w:r>
          <w:rPr>
            <w:rStyle w:val="Hyperlink"/>
          </w:rPr>
          <w:t xml:space="preserve">https://docs.voyageai.com/docs/aws-marketplace-model-package</w:t>
        </w:r>
      </w:hyperlink>
      <w:r>
        <w:t xml:space="preserve"> </w:t>
      </w:r>
      <w:r>
        <w:t xml:space="preserve">accessed 2026-10-07 [search-tool extract]</w:t>
      </w:r>
    </w:p>
  </w:footnote>
  <w:footnote w:id="488">
    <w:p>
      <w:pPr>
        <w:pStyle w:val="FootnoteText"/>
      </w:pPr>
      <w:r>
        <w:rPr>
          <w:rStyle w:val="FootnoteReference"/>
        </w:rPr>
        <w:footnoteRef/>
      </w:r>
      <w:r>
        <w:t xml:space="preserve"> </w:t>
      </w:r>
      <w:r>
        <w:t xml:space="preserve">Verified fact — A2-S033: MongoDB Announces Acquisition of Voyage AI to Enable Organizations to Build Trustworthy AI Applications</w:t>
      </w:r>
      <w:r>
        <w:t xml:space="preserve"> </w:t>
      </w:r>
      <w:hyperlink r:id="rId489">
        <w:r>
          <w:rPr>
            <w:rStyle w:val="Hyperlink"/>
          </w:rPr>
          <w:t xml:space="preserve">https://investors.mongodb.com/news-releases/news-release-details/mongodb-announces-acquisition-voyage-ai-enable-organizations</w:t>
        </w:r>
      </w:hyperlink>
      <w:r>
        <w:t xml:space="preserve"> </w:t>
      </w:r>
      <w:r>
        <w:t xml:space="preserve">accessed 2026-10-07 [search-tool extract]; V1-S023: MongoDB, Inc. Form 10-K FY2026 (Voyage AI acquisition note) and IR release 24 Feb 2025 (MongoDB, Inc. (SEC EDGAR))</w:t>
      </w:r>
      <w:r>
        <w:t xml:space="preserve"> </w:t>
      </w:r>
      <w:hyperlink r:id="rId490">
        <w:r>
          <w:rPr>
            <w:rStyle w:val="Hyperlink"/>
          </w:rPr>
          <w:t xml:space="preserve">https://www.sec.gov/Archives/edgar/data/1441816/000162828026016799/mdb-20260131.htm</w:t>
        </w:r>
      </w:hyperlink>
      <w:r>
        <w:t xml:space="preserve"> </w:t>
      </w:r>
      <w:r>
        <w:t xml:space="preserve">accessed 2026-10-08 [search-tool extract]</w:t>
      </w:r>
    </w:p>
  </w:footnote>
  <w:footnote w:id="491">
    <w:p>
      <w:pPr>
        <w:pStyle w:val="FootnoteText"/>
      </w:pPr>
      <w:r>
        <w:rPr>
          <w:rStyle w:val="FootnoteReference"/>
        </w:rPr>
        <w:footnoteRef/>
      </w:r>
      <w:r>
        <w:t xml:space="preserve"> </w:t>
      </w:r>
      <w:r>
        <w:t xml:space="preserve">Reported — A2-S044: MongoDB Voyage AI Models in AWS (Marketplace model package) (Voyage AI (MongoDB))</w:t>
      </w:r>
      <w:r>
        <w:t xml:space="preserve"> </w:t>
      </w:r>
      <w:hyperlink r:id="rId487">
        <w:r>
          <w:rPr>
            <w:rStyle w:val="Hyperlink"/>
          </w:rPr>
          <w:t xml:space="preserve">https://docs.voyageai.com/docs/aws-marketplace-model-package</w:t>
        </w:r>
      </w:hyperlink>
      <w:r>
        <w:t xml:space="preserve"> </w:t>
      </w:r>
      <w:r>
        <w:t xml:space="preserve">accessed 2026-10-07 [search-tool extract]</w:t>
      </w:r>
    </w:p>
  </w:footnote>
  <w:footnote w:id="492">
    <w:p>
      <w:pPr>
        <w:pStyle w:val="FootnoteText"/>
      </w:pPr>
      <w:r>
        <w:rPr>
          <w:rStyle w:val="FootnoteReference"/>
        </w:rPr>
        <w:footnoteRef/>
      </w:r>
      <w:r>
        <w:t xml:space="preserve"> </w:t>
      </w:r>
      <w:r>
        <w:t xml:space="preserve">Verified fact — A2-S138: MongoDB Atlas Trust Center</w:t>
      </w:r>
      <w:r>
        <w:t xml:space="preserve"> </w:t>
      </w:r>
      <w:hyperlink r:id="rId493">
        <w:r>
          <w:rPr>
            <w:rStyle w:val="Hyperlink"/>
          </w:rPr>
          <w:t xml:space="preserve">https://www.mongodb.com/products/platform/trust</w:t>
        </w:r>
      </w:hyperlink>
      <w:r>
        <w:t xml:space="preserve"> </w:t>
      </w:r>
      <w:r>
        <w:t xml:space="preserve">accessed 2026-10-07 [search-tool extract]</w:t>
      </w:r>
    </w:p>
  </w:footnote>
  <w:footnote w:id="494">
    <w:p>
      <w:pPr>
        <w:pStyle w:val="FootnoteText"/>
      </w:pPr>
      <w:r>
        <w:rPr>
          <w:rStyle w:val="FootnoteReference"/>
        </w:rPr>
        <w:footnoteRef/>
      </w:r>
      <w:r>
        <w:t xml:space="preserve"> </w:t>
      </w:r>
      <w:r>
        <w:t xml:space="preserve">Verified fact — V1-S024: rerank-3 and rerank-3-lite: the next generation of Voyage rerankers; MongoDB Voyage model lifecycle page (Voyage AI by MongoDB)</w:t>
      </w:r>
      <w:r>
        <w:t xml:space="preserve"> </w:t>
      </w:r>
      <w:hyperlink r:id="rId481">
        <w:r>
          <w:rPr>
            <w:rStyle w:val="Hyperlink"/>
          </w:rPr>
          <w:t xml:space="preserve">https://blog.voyageai.com/2026/09/30/rerank-3/</w:t>
        </w:r>
      </w:hyperlink>
      <w:r>
        <w:t xml:space="preserve"> </w:t>
      </w:r>
      <w:r>
        <w:t xml:space="preserve">accessed 2026-10-08 [search-tool extract]; A2-S077: Introducing the Embedding and Reranking API on MongoDB Atlas</w:t>
      </w:r>
      <w:r>
        <w:t xml:space="preserve"> </w:t>
      </w:r>
      <w:hyperlink r:id="rId495">
        <w:r>
          <w:rPr>
            <w:rStyle w:val="Hyperlink"/>
          </w:rPr>
          <w:t xml:space="preserve">https://www.mongodb.com/company/blog/product-release-announcements/introducing-the-embedding-and-reranking-api-on-mongodb-atlas</w:t>
        </w:r>
      </w:hyperlink>
      <w:r>
        <w:t xml:space="preserve"> </w:t>
      </w:r>
      <w:r>
        <w:t xml:space="preserve">accessed 2026-10-07 [search-tool extract]; A2-S078: Unlocking AI Search: Introducing Automated Embedding in MongoDB Vector Search</w:t>
      </w:r>
      <w:r>
        <w:t xml:space="preserve"> </w:t>
      </w:r>
      <w:hyperlink r:id="rId496">
        <w:r>
          <w:rPr>
            <w:rStyle w:val="Hyperlink"/>
          </w:rPr>
          <w:t xml:space="preserve">https://www.mongodb.com/company/blog/product-release-announcements/unlocking-ai-search-introducing-automated-embedding-in-mongodb-vector-search</w:t>
        </w:r>
      </w:hyperlink>
      <w:r>
        <w:t xml:space="preserve"> </w:t>
      </w:r>
      <w:r>
        <w:t xml:space="preserve">accessed 2026-10-07 [search-tool extract]</w:t>
      </w:r>
    </w:p>
  </w:footnote>
  <w:footnote w:id="497">
    <w:p>
      <w:pPr>
        <w:pStyle w:val="FootnoteText"/>
      </w:pPr>
      <w:r>
        <w:rPr>
          <w:rStyle w:val="FootnoteReference"/>
        </w:rPr>
        <w:footnoteRef/>
      </w:r>
      <w:r>
        <w:t xml:space="preserve"> </w:t>
      </w:r>
      <w:r>
        <w:t xml:space="preserve">Verified fact — A2-S071: Embeddings - Claude Platform Docs (Anthropic)</w:t>
      </w:r>
      <w:r>
        <w:t xml:space="preserve"> </w:t>
      </w:r>
      <w:hyperlink r:id="rId498">
        <w:r>
          <w:rPr>
            <w:rStyle w:val="Hyperlink"/>
          </w:rPr>
          <w:t xml:space="preserve">https://docs.claude.com/en/docs/build-with-claude/embeddings</w:t>
        </w:r>
      </w:hyperlink>
      <w:r>
        <w:t xml:space="preserve"> </w:t>
      </w:r>
      <w:r>
        <w:t xml:space="preserve">accessed 2026-10-07</w:t>
      </w:r>
    </w:p>
  </w:footnote>
  <w:footnote w:id="499">
    <w:p>
      <w:pPr>
        <w:pStyle w:val="FootnoteText"/>
      </w:pPr>
      <w:r>
        <w:rPr>
          <w:rStyle w:val="FootnoteReference"/>
        </w:rPr>
        <w:footnoteRef/>
      </w:r>
      <w:r>
        <w:t xml:space="preserve"> </w:t>
      </w:r>
      <w:r>
        <w:t xml:space="preserve">Reported — A2-S141: Context Engineering Has a Retrieval Issue: Introducing rerank-3 and Native Reranking (MongoDB)</w:t>
      </w:r>
      <w:r>
        <w:t xml:space="preserve"> </w:t>
      </w:r>
      <w:hyperlink r:id="rId500">
        <w:r>
          <w:rPr>
            <w:rStyle w:val="Hyperlink"/>
          </w:rPr>
          <w:t xml:space="preserve">https://www.mongodb.com/company/blog/product-release-announcements/introducing-rerank-3-and-native-rerank</w:t>
        </w:r>
      </w:hyperlink>
      <w:r>
        <w:t xml:space="preserve"> </w:t>
      </w:r>
      <w:r>
        <w:t xml:space="preserve">accessed 2026-10-07 [search-tool extract]</w:t>
      </w:r>
    </w:p>
  </w:footnote>
  <w:footnote w:id="501">
    <w:p>
      <w:pPr>
        <w:pStyle w:val="FootnoteText"/>
      </w:pPr>
      <w:r>
        <w:rPr>
          <w:rStyle w:val="FootnoteReference"/>
        </w:rPr>
        <w:footnoteRef/>
      </w:r>
      <w:r>
        <w:t xml:space="preserve"> </w:t>
      </w:r>
      <w:r>
        <w:t xml:space="preserve">Verified fact — B-REV-S028: Manage Voyage AI Model API Keys (and Organization and Project Access) (MongoDB, Inc.)</w:t>
      </w:r>
      <w:r>
        <w:t xml:space="preserve"> </w:t>
      </w:r>
      <w:hyperlink r:id="rId477">
        <w:r>
          <w:rPr>
            <w:rStyle w:val="Hyperlink"/>
          </w:rPr>
          <w:t xml:space="preserve">https://www.mongodb.com/docs/voyageai/management/api-keys/</w:t>
        </w:r>
      </w:hyperlink>
      <w:r>
        <w:t xml:space="preserve"> </w:t>
      </w:r>
      <w:r>
        <w:t xml:space="preserve">accessed 2026-10-08 [search-tool extract]</w:t>
      </w:r>
    </w:p>
  </w:footnote>
  <w:footnote w:id="502">
    <w:p>
      <w:pPr>
        <w:pStyle w:val="FootnoteText"/>
      </w:pPr>
      <w:r>
        <w:rPr>
          <w:rStyle w:val="FootnoteReference"/>
        </w:rPr>
        <w:footnoteRef/>
      </w:r>
      <w:r>
        <w:t xml:space="preserve"> </w:t>
      </w:r>
      <w:r>
        <w:t xml:space="preserve">Verified fact — A2-S142: Europe Data Residency for Atlas Embedding and Reranking (MongoDB)</w:t>
      </w:r>
      <w:r>
        <w:t xml:space="preserve"> </w:t>
      </w:r>
      <w:hyperlink r:id="rId503">
        <w:r>
          <w:rPr>
            <w:rStyle w:val="Hyperlink"/>
          </w:rPr>
          <w:t xml:space="preserve">https://www.mongodb.com/company/blog/product-release-announcements/europe-data-residency-for-atlas-embedding-reranking</w:t>
        </w:r>
      </w:hyperlink>
      <w:r>
        <w:t xml:space="preserve"> </w:t>
      </w:r>
      <w:r>
        <w:t xml:space="preserve">accessed 2026-10-07 [search-tool extract]</w:t>
      </w:r>
    </w:p>
  </w:footnote>
  <w:footnote w:id="504">
    <w:p>
      <w:pPr>
        <w:pStyle w:val="FootnoteText"/>
      </w:pPr>
      <w:r>
        <w:rPr>
          <w:rStyle w:val="FootnoteReference"/>
        </w:rPr>
        <w:footnoteRef/>
      </w:r>
      <w:r>
        <w:t xml:space="preserve"> </w:t>
      </w:r>
      <w:r>
        <w:t xml:space="preserve">Verified fact — A2-S142: Europe Data Residency for Atlas Embedding and Reranking (MongoDB)</w:t>
      </w:r>
      <w:r>
        <w:t xml:space="preserve"> </w:t>
      </w:r>
      <w:hyperlink r:id="rId503">
        <w:r>
          <w:rPr>
            <w:rStyle w:val="Hyperlink"/>
          </w:rPr>
          <w:t xml:space="preserve">https://www.mongodb.com/company/blog/product-release-announcements/europe-data-residency-for-atlas-embedding-reranking</w:t>
        </w:r>
      </w:hyperlink>
      <w:r>
        <w:t xml:space="preserve"> </w:t>
      </w:r>
      <w:r>
        <w:t xml:space="preserve">accessed 2026-10-07 [search-tool extract]</w:t>
      </w:r>
    </w:p>
  </w:footnote>
  <w:footnote w:id="506">
    <w:p>
      <w:pPr>
        <w:pStyle w:val="FootnoteText"/>
      </w:pPr>
      <w:r>
        <w:rPr>
          <w:rStyle w:val="FootnoteReference"/>
        </w:rPr>
        <w:footnoteRef/>
      </w:r>
      <w:r>
        <w:t xml:space="preserve"> </w:t>
      </w:r>
      <w:r>
        <w:t xml:space="preserve">Verified fact — A2-S030: Release Notes for NVIDIA NeMo Retriever Reranking NIM</w:t>
      </w:r>
      <w:r>
        <w:t xml:space="preserve"> </w:t>
      </w:r>
      <w:hyperlink r:id="rId507">
        <w:r>
          <w:rPr>
            <w:rStyle w:val="Hyperlink"/>
          </w:rPr>
          <w:t xml:space="preserve">https://docs.nvidia.com/nim/nemo-retriever/text-reranking/latest/release-notes.html</w:t>
        </w:r>
      </w:hyperlink>
      <w:r>
        <w:t xml:space="preserve"> </w:t>
      </w:r>
      <w:r>
        <w:t xml:space="preserve">accessed 2026-10-07 [search-tool extract]; A2-S031: Get Started With NVIDIA NeMo Retriever Embedding NIM (2.3)</w:t>
      </w:r>
      <w:r>
        <w:t xml:space="preserve"> </w:t>
      </w:r>
      <w:hyperlink r:id="rId508">
        <w:r>
          <w:rPr>
            <w:rStyle w:val="Hyperlink"/>
          </w:rPr>
          <w:t xml:space="preserve">https://docs.nvidia.com/nim/nemo-retriever/embedding/2.3/getting-started.html</w:t>
        </w:r>
      </w:hyperlink>
      <w:r>
        <w:t xml:space="preserve"> </w:t>
      </w:r>
      <w:r>
        <w:t xml:space="preserve">accessed 2026-10-07 [search-tool extract]; V1-S094: NeMo Retriever Embedding NIM release notes / overview / support matrix (NVIDIA)</w:t>
      </w:r>
      <w:r>
        <w:t xml:space="preserve"> </w:t>
      </w:r>
      <w:hyperlink r:id="rId509">
        <w:r>
          <w:rPr>
            <w:rStyle w:val="Hyperlink"/>
          </w:rPr>
          <w:t xml:space="preserve">https://docs.nvidia.com/nim/nemo-retriever/embedding/2.2/release-notes.html</w:t>
        </w:r>
      </w:hyperlink>
      <w:r>
        <w:t xml:space="preserve"> </w:t>
      </w:r>
      <w:r>
        <w:t xml:space="preserve">accessed 2026-10-08 [search-tool extract]</w:t>
      </w:r>
    </w:p>
  </w:footnote>
  <w:footnote w:id="510">
    <w:p>
      <w:pPr>
        <w:pStyle w:val="FootnoteText"/>
      </w:pPr>
      <w:r>
        <w:rPr>
          <w:rStyle w:val="FootnoteReference"/>
        </w:rPr>
        <w:footnoteRef/>
      </w:r>
      <w:r>
        <w:t xml:space="preserve"> </w:t>
      </w:r>
      <w:r>
        <w:t xml:space="preserve">Verified fact — A2-S031: Get Started With NVIDIA NeMo Retriever Embedding NIM (2.3)</w:t>
      </w:r>
      <w:r>
        <w:t xml:space="preserve"> </w:t>
      </w:r>
      <w:hyperlink r:id="rId508">
        <w:r>
          <w:rPr>
            <w:rStyle w:val="Hyperlink"/>
          </w:rPr>
          <w:t xml:space="preserve">https://docs.nvidia.com/nim/nemo-retriever/embedding/2.3/getting-started.html</w:t>
        </w:r>
      </w:hyperlink>
      <w:r>
        <w:t xml:space="preserve"> </w:t>
      </w:r>
      <w:r>
        <w:t xml:space="preserve">accessed 2026-10-07 [search-tool extract]; A2-S040: General NIM FAQ (NVIDIA)</w:t>
      </w:r>
      <w:r>
        <w:t xml:space="preserve"> </w:t>
      </w:r>
      <w:hyperlink r:id="rId511">
        <w:r>
          <w:rPr>
            <w:rStyle w:val="Hyperlink"/>
          </w:rPr>
          <w:t xml:space="preserve">https://docs.api.nvidia.com/nim/docs/product</w:t>
        </w:r>
      </w:hyperlink>
      <w:r>
        <w:t xml:space="preserve"> </w:t>
      </w:r>
      <w:r>
        <w:t xml:space="preserve">accessed 2026-10-07 [search-tool extract]</w:t>
      </w:r>
    </w:p>
  </w:footnote>
  <w:footnote w:id="512">
    <w:p>
      <w:pPr>
        <w:pStyle w:val="FootnoteText"/>
      </w:pPr>
      <w:r>
        <w:rPr>
          <w:rStyle w:val="FootnoteReference"/>
        </w:rPr>
        <w:footnoteRef/>
      </w:r>
      <w:r>
        <w:t xml:space="preserve"> </w:t>
      </w:r>
      <w:r>
        <w:t xml:space="preserve">Verified fact — A2-S040: General NIM FAQ (NVIDIA)</w:t>
      </w:r>
      <w:r>
        <w:t xml:space="preserve"> </w:t>
      </w:r>
      <w:hyperlink r:id="rId511">
        <w:r>
          <w:rPr>
            <w:rStyle w:val="Hyperlink"/>
          </w:rPr>
          <w:t xml:space="preserve">https://docs.api.nvidia.com/nim/docs/product</w:t>
        </w:r>
      </w:hyperlink>
      <w:r>
        <w:t xml:space="preserve"> </w:t>
      </w:r>
      <w:r>
        <w:t xml:space="preserve">accessed 2026-10-07 [search-tool extract]</w:t>
      </w:r>
    </w:p>
  </w:footnote>
  <w:footnote w:id="513">
    <w:p>
      <w:pPr>
        <w:pStyle w:val="FootnoteText"/>
      </w:pPr>
      <w:r>
        <w:rPr>
          <w:rStyle w:val="FootnoteReference"/>
        </w:rPr>
        <w:footnoteRef/>
      </w:r>
      <w:r>
        <w:t xml:space="preserve"> </w:t>
      </w:r>
      <w:r>
        <w:t xml:space="preserve">Verified fact — A2-S041: Governing Terms for NVIDIA NeMo Retriever Embedding NIM</w:t>
      </w:r>
      <w:r>
        <w:t xml:space="preserve"> </w:t>
      </w:r>
      <w:hyperlink r:id="rId514">
        <w:r>
          <w:rPr>
            <w:rStyle w:val="Hyperlink"/>
          </w:rPr>
          <w:t xml:space="preserve">https://docs.nvidia.com/nim/nemo-retriever/embedding/2.3/eula.html</w:t>
        </w:r>
      </w:hyperlink>
      <w:r>
        <w:t xml:space="preserve"> </w:t>
      </w:r>
      <w:r>
        <w:t xml:space="preserve">accessed 2026-10-07 [search-tool extract]</w:t>
      </w:r>
    </w:p>
  </w:footnote>
  <w:footnote w:id="515">
    <w:p>
      <w:pPr>
        <w:pStyle w:val="FootnoteText"/>
      </w:pPr>
      <w:r>
        <w:rPr>
          <w:rStyle w:val="FootnoteReference"/>
        </w:rPr>
        <w:footnoteRef/>
      </w:r>
      <w:r>
        <w:t xml:space="preserve"> </w:t>
      </w:r>
      <w:r>
        <w:t xml:space="preserve">Verified fact — V1-S094: NeMo Retriever Embedding NIM release notes / overview / support matrix (NVIDIA)</w:t>
      </w:r>
      <w:r>
        <w:t xml:space="preserve"> </w:t>
      </w:r>
      <w:hyperlink r:id="rId509">
        <w:r>
          <w:rPr>
            <w:rStyle w:val="Hyperlink"/>
          </w:rPr>
          <w:t xml:space="preserve">https://docs.nvidia.com/nim/nemo-retriever/embedding/2.2/release-notes.html</w:t>
        </w:r>
      </w:hyperlink>
      <w:r>
        <w:t xml:space="preserve"> </w:t>
      </w:r>
      <w:r>
        <w:t xml:space="preserve">accessed 2026-10-08 [search-tool extract]; A2-S031: Get Started With NVIDIA NeMo Retriever Embedding NIM (2.3)</w:t>
      </w:r>
      <w:r>
        <w:t xml:space="preserve"> </w:t>
      </w:r>
      <w:hyperlink r:id="rId508">
        <w:r>
          <w:rPr>
            <w:rStyle w:val="Hyperlink"/>
          </w:rPr>
          <w:t xml:space="preserve">https://docs.nvidia.com/nim/nemo-retriever/embedding/2.3/getting-started.html</w:t>
        </w:r>
      </w:hyperlink>
      <w:r>
        <w:t xml:space="preserve"> </w:t>
      </w:r>
      <w:r>
        <w:t xml:space="preserve">accessed 2026-10-07 [search-tool extract]</w:t>
      </w:r>
    </w:p>
  </w:footnote>
  <w:footnote w:id="516">
    <w:p>
      <w:pPr>
        <w:pStyle w:val="FootnoteText"/>
      </w:pPr>
      <w:r>
        <w:rPr>
          <w:rStyle w:val="FootnoteReference"/>
        </w:rPr>
        <w:footnoteRef/>
      </w:r>
      <w:r>
        <w:t xml:space="preserve"> </w:t>
      </w:r>
      <w:r>
        <w:t xml:space="preserve">Verified fact — A2-S031: Get Started With NVIDIA NeMo Retriever Embedding NIM (2.3)</w:t>
      </w:r>
      <w:r>
        <w:t xml:space="preserve"> </w:t>
      </w:r>
      <w:hyperlink r:id="rId508">
        <w:r>
          <w:rPr>
            <w:rStyle w:val="Hyperlink"/>
          </w:rPr>
          <w:t xml:space="preserve">https://docs.nvidia.com/nim/nemo-retriever/embedding/2.3/getting-started.html</w:t>
        </w:r>
      </w:hyperlink>
      <w:r>
        <w:t xml:space="preserve"> </w:t>
      </w:r>
      <w:r>
        <w:t xml:space="preserve">accessed 2026-10-07 [search-tool extract]</w:t>
      </w:r>
    </w:p>
  </w:footnote>
  <w:footnote w:id="518">
    <w:p>
      <w:pPr>
        <w:pStyle w:val="FootnoteText"/>
      </w:pPr>
      <w:r>
        <w:rPr>
          <w:rStyle w:val="FootnoteReference"/>
        </w:rPr>
        <w:footnoteRef/>
      </w:r>
      <w:r>
        <w:t xml:space="preserve"> </w:t>
      </w:r>
      <w:r>
        <w:t xml:space="preserve">Verified fact — A2-S079: Privacy Policy - Ethical Agentic AI (Ethical Agentic AI Inc.)</w:t>
      </w:r>
      <w:r>
        <w:t xml:space="preserve"> </w:t>
      </w:r>
      <w:hyperlink r:id="rId519">
        <w:r>
          <w:rPr>
            <w:rStyle w:val="Hyperlink"/>
          </w:rPr>
          <w:t xml:space="preserve">https://www.ethicalagentic.ai/privacy-policy</w:t>
        </w:r>
      </w:hyperlink>
      <w:r>
        <w:t xml:space="preserve"> </w:t>
      </w:r>
      <w:r>
        <w:t xml:space="preserve">accessed 2026-10-07 [search-tool extract]; V1-S036: Null-result searches for</w:t>
      </w:r>
      <w:r>
        <w:t xml:space="preserve"> </w:t>
      </w:r>
      <w:r>
        <w:t xml:space="preserve">‘</w:t>
      </w:r>
      <w:r>
        <w:t xml:space="preserve">EthicalAgents</w:t>
      </w:r>
      <w:r>
        <w:t xml:space="preserve">’</w:t>
      </w:r>
      <w:r>
        <w:t xml:space="preserve"> </w:t>
      </w:r>
      <w:r>
        <w:t xml:space="preserve">embeddings and</w:t>
      </w:r>
      <w:r>
        <w:t xml:space="preserve"> </w:t>
      </w:r>
      <w:r>
        <w:t xml:space="preserve">‘</w:t>
      </w:r>
      <w:r>
        <w:t xml:space="preserve">Ragoos</w:t>
      </w:r>
      <w:r>
        <w:t xml:space="preserve">’</w:t>
      </w:r>
      <w:r>
        <w:t xml:space="preserve"> </w:t>
      </w:r>
      <w:r>
        <w:t xml:space="preserve">reranker (V1 re-check) (Web search tool (V1)) &lt;search-tool-null-result (no URL)&gt; accessed 2026-10-08 [search-tool extract]</w:t>
      </w:r>
    </w:p>
  </w:footnote>
  <w:footnote w:id="521">
    <w:p>
      <w:pPr>
        <w:pStyle w:val="FootnoteText"/>
      </w:pPr>
      <w:r>
        <w:rPr>
          <w:rStyle w:val="FootnoteReference"/>
        </w:rPr>
        <w:footnoteRef/>
      </w:r>
      <w:r>
        <w:t xml:space="preserve"> </w:t>
      </w:r>
      <w:r>
        <w:t xml:space="preserve">Verified fact — A2-S080: Ragie</w:t>
      </w:r>
      <w:r>
        <w:t xml:space="preserve"> </w:t>
      </w:r>
      <w:hyperlink r:id="rId522">
        <w:r>
          <w:rPr>
            <w:rStyle w:val="Hyperlink"/>
          </w:rPr>
          <w:t xml:space="preserve">https://www.ragie.ai/</w:t>
        </w:r>
      </w:hyperlink>
      <w:r>
        <w:t xml:space="preserve"> </w:t>
      </w:r>
      <w:r>
        <w:t xml:space="preserve">accessed 2026-10-07 [search-tool extract]; V1-S036: Null-result searches for</w:t>
      </w:r>
      <w:r>
        <w:t xml:space="preserve"> </w:t>
      </w:r>
      <w:r>
        <w:t xml:space="preserve">‘</w:t>
      </w:r>
      <w:r>
        <w:t xml:space="preserve">EthicalAgents</w:t>
      </w:r>
      <w:r>
        <w:t xml:space="preserve">’</w:t>
      </w:r>
      <w:r>
        <w:t xml:space="preserve"> </w:t>
      </w:r>
      <w:r>
        <w:t xml:space="preserve">embeddings and</w:t>
      </w:r>
      <w:r>
        <w:t xml:space="preserve"> </w:t>
      </w:r>
      <w:r>
        <w:t xml:space="preserve">‘</w:t>
      </w:r>
      <w:r>
        <w:t xml:space="preserve">Ragoos</w:t>
      </w:r>
      <w:r>
        <w:t xml:space="preserve">’</w:t>
      </w:r>
      <w:r>
        <w:t xml:space="preserve"> </w:t>
      </w:r>
      <w:r>
        <w:t xml:space="preserve">reranker (V1 re-check) (Web search tool (V1)) &lt;search-tool-null-result (no URL)&gt; accessed 2026-10-08 [search-tool extract]</w:t>
      </w:r>
    </w:p>
  </w:footnote>
  <w:footnote w:id="525">
    <w:p>
      <w:pPr>
        <w:pStyle w:val="FootnoteText"/>
      </w:pPr>
      <w:r>
        <w:rPr>
          <w:rStyle w:val="FootnoteReference"/>
        </w:rPr>
        <w:footnoteRef/>
      </w:r>
      <w:r>
        <w:t xml:space="preserve"> </w:t>
      </w:r>
      <w:r>
        <w:t xml:space="preserve">Verified fact — A2-S133: Elastic 9.5: Columnar, VectorDB index mode &amp; auto-calibration, and AI-driven alert triage</w:t>
      </w:r>
      <w:r>
        <w:t xml:space="preserve"> </w:t>
      </w:r>
      <w:hyperlink r:id="rId451">
        <w:r>
          <w:rPr>
            <w:rStyle w:val="Hyperlink"/>
          </w:rPr>
          <w:t xml:space="preserve">https://www.elastic.co/blog/whats-new-elastic-9-5-0</w:t>
        </w:r>
      </w:hyperlink>
      <w:r>
        <w:t xml:space="preserve"> </w:t>
      </w:r>
      <w:r>
        <w:t xml:space="preserve">accessed 2026-10-07 [search-tool extract]; A2-S134: Use a customer-managed encryption key - Elastic Cloud</w:t>
      </w:r>
      <w:r>
        <w:t xml:space="preserve"> </w:t>
      </w:r>
      <w:hyperlink r:id="rId526">
        <w:r>
          <w:rPr>
            <w:rStyle w:val="Hyperlink"/>
          </w:rPr>
          <w:t xml:space="preserve">https://www.elastic.co/docs/deploy-manage/security/encrypt-deployment-with-customer-managed-encryption-key</w:t>
        </w:r>
      </w:hyperlink>
      <w:r>
        <w:t xml:space="preserve"> </w:t>
      </w:r>
      <w:r>
        <w:t xml:space="preserve">accessed 2026-10-07 [search-tool extract]; V1-S085: Elastic 9.5: Columnar, VectorDB index mode &amp; auto-calibration; Elastic community newsletter August 2026</w:t>
      </w:r>
      <w:r>
        <w:t xml:space="preserve"> </w:t>
      </w:r>
      <w:hyperlink r:id="rId451">
        <w:r>
          <w:rPr>
            <w:rStyle w:val="Hyperlink"/>
          </w:rPr>
          <w:t xml:space="preserve">https://www.elastic.co/blog/whats-new-elastic-9-5-0</w:t>
        </w:r>
      </w:hyperlink>
      <w:r>
        <w:t xml:space="preserve"> </w:t>
      </w:r>
      <w:r>
        <w:t xml:space="preserve">accessed 2026-10-08 [search-tool extract]</w:t>
      </w:r>
    </w:p>
  </w:footnote>
  <w:footnote w:id="527">
    <w:p>
      <w:pPr>
        <w:pStyle w:val="FootnoteText"/>
      </w:pPr>
      <w:r>
        <w:rPr>
          <w:rStyle w:val="FootnoteReference"/>
        </w:rPr>
        <w:footnoteRef/>
      </w:r>
      <w:r>
        <w:t xml:space="preserve"> </w:t>
      </w:r>
      <w:r>
        <w:t xml:space="preserve">Verified fact — A2-S133: Elastic 9.5: Columnar, VectorDB index mode &amp; auto-calibration, and AI-driven alert triage</w:t>
      </w:r>
      <w:r>
        <w:t xml:space="preserve"> </w:t>
      </w:r>
      <w:hyperlink r:id="rId451">
        <w:r>
          <w:rPr>
            <w:rStyle w:val="Hyperlink"/>
          </w:rPr>
          <w:t xml:space="preserve">https://www.elastic.co/blog/whats-new-elastic-9-5-0</w:t>
        </w:r>
      </w:hyperlink>
      <w:r>
        <w:t xml:space="preserve"> </w:t>
      </w:r>
      <w:r>
        <w:t xml:space="preserve">accessed 2026-10-07 [search-tool extract]</w:t>
      </w:r>
    </w:p>
  </w:footnote>
  <w:footnote w:id="528">
    <w:p>
      <w:pPr>
        <w:pStyle w:val="FootnoteText"/>
      </w:pPr>
      <w:r>
        <w:rPr>
          <w:rStyle w:val="FootnoteReference"/>
        </w:rPr>
        <w:footnoteRef/>
      </w:r>
      <w:r>
        <w:t xml:space="preserve"> </w:t>
      </w:r>
      <w:r>
        <w:t xml:space="preserve">Verified fact — A2-S134: Use a customer-managed encryption key - Elastic Cloud</w:t>
      </w:r>
      <w:r>
        <w:t xml:space="preserve"> </w:t>
      </w:r>
      <w:hyperlink r:id="rId526">
        <w:r>
          <w:rPr>
            <w:rStyle w:val="Hyperlink"/>
          </w:rPr>
          <w:t xml:space="preserve">https://www.elastic.co/docs/deploy-manage/security/encrypt-deployment-with-customer-managed-encryption-key</w:t>
        </w:r>
      </w:hyperlink>
      <w:r>
        <w:t xml:space="preserve"> </w:t>
      </w:r>
      <w:r>
        <w:t xml:space="preserve">accessed 2026-10-07 [search-tool extract]</w:t>
      </w:r>
    </w:p>
  </w:footnote>
  <w:footnote w:id="529">
    <w:p>
      <w:pPr>
        <w:pStyle w:val="FootnoteText"/>
      </w:pPr>
      <w:r>
        <w:rPr>
          <w:rStyle w:val="FootnoteReference"/>
        </w:rPr>
        <w:footnoteRef/>
      </w:r>
      <w:r>
        <w:t xml:space="preserve"> </w:t>
      </w:r>
      <w:r>
        <w:t xml:space="preserve">Verified fact — A2-S045: Elastic Trust Center</w:t>
      </w:r>
      <w:r>
        <w:t xml:space="preserve"> </w:t>
      </w:r>
      <w:hyperlink r:id="rId454">
        <w:r>
          <w:rPr>
            <w:rStyle w:val="Hyperlink"/>
          </w:rPr>
          <w:t xml:space="preserve">https://www.elastic.co/trust</w:t>
        </w:r>
      </w:hyperlink>
      <w:r>
        <w:t xml:space="preserve"> </w:t>
      </w:r>
      <w:r>
        <w:t xml:space="preserve">accessed 2026-10-07 [search-tool extract]; A2-S134: Use a customer-managed encryption key - Elastic Cloud</w:t>
      </w:r>
      <w:r>
        <w:t xml:space="preserve"> </w:t>
      </w:r>
      <w:hyperlink r:id="rId526">
        <w:r>
          <w:rPr>
            <w:rStyle w:val="Hyperlink"/>
          </w:rPr>
          <w:t xml:space="preserve">https://www.elastic.co/docs/deploy-manage/security/encrypt-deployment-with-customer-managed-encryption-key</w:t>
        </w:r>
      </w:hyperlink>
      <w:r>
        <w:t xml:space="preserve"> </w:t>
      </w:r>
      <w:r>
        <w:t xml:space="preserve">accessed 2026-10-07 [search-tool extract]</w:t>
      </w:r>
    </w:p>
  </w:footnote>
  <w:footnote w:id="530">
    <w:p>
      <w:pPr>
        <w:pStyle w:val="FootnoteText"/>
      </w:pPr>
      <w:r>
        <w:rPr>
          <w:rStyle w:val="FootnoteReference"/>
        </w:rPr>
        <w:footnoteRef/>
      </w:r>
      <w:r>
        <w:t xml:space="preserve"> </w:t>
      </w:r>
      <w:r>
        <w:t xml:space="preserve">Verified fact — A2-S132: Elasticsearch Is Open Source. Again!</w:t>
      </w:r>
      <w:r>
        <w:t xml:space="preserve"> </w:t>
      </w:r>
      <w:hyperlink r:id="rId531">
        <w:r>
          <w:rPr>
            <w:rStyle w:val="Hyperlink"/>
          </w:rPr>
          <w:t xml:space="preserve">https://www.elastic.co/blog/elasticsearch-is-open-source-again</w:t>
        </w:r>
      </w:hyperlink>
      <w:r>
        <w:t xml:space="preserve"> </w:t>
      </w:r>
      <w:r>
        <w:t xml:space="preserve">accessed 2026-10-07 [search-tool extract]; A2-S136: Release Schedule and Maintenance Policy - OpenSearch (OpenSearch project (Linux Foundation))</w:t>
      </w:r>
      <w:r>
        <w:t xml:space="preserve"> </w:t>
      </w:r>
      <w:hyperlink r:id="rId532">
        <w:r>
          <w:rPr>
            <w:rStyle w:val="Hyperlink"/>
          </w:rPr>
          <w:t xml:space="preserve">https://opensearch.org/releases/</w:t>
        </w:r>
      </w:hyperlink>
      <w:r>
        <w:t xml:space="preserve"> </w:t>
      </w:r>
      <w:r>
        <w:t xml:space="preserve">accessed 2026-10-07 [search-tool extract]</w:t>
      </w:r>
    </w:p>
  </w:footnote>
  <w:footnote w:id="533">
    <w:p>
      <w:pPr>
        <w:pStyle w:val="FootnoteText"/>
      </w:pPr>
      <w:r>
        <w:rPr>
          <w:rStyle w:val="FootnoteReference"/>
        </w:rPr>
        <w:footnoteRef/>
      </w:r>
      <w:r>
        <w:t xml:space="preserve"> </w:t>
      </w:r>
      <w:r>
        <w:t xml:space="preserve">Verified fact — A2-S134: Use a customer-managed encryption key - Elastic Cloud</w:t>
      </w:r>
      <w:r>
        <w:t xml:space="preserve"> </w:t>
      </w:r>
      <w:hyperlink r:id="rId526">
        <w:r>
          <w:rPr>
            <w:rStyle w:val="Hyperlink"/>
          </w:rPr>
          <w:t xml:space="preserve">https://www.elastic.co/docs/deploy-manage/security/encrypt-deployment-with-customer-managed-encryption-key</w:t>
        </w:r>
      </w:hyperlink>
      <w:r>
        <w:t xml:space="preserve"> </w:t>
      </w:r>
      <w:r>
        <w:t xml:space="preserve">accessed 2026-10-07 [search-tool extract]</w:t>
      </w:r>
    </w:p>
  </w:footnote>
  <w:footnote w:id="534">
    <w:p>
      <w:pPr>
        <w:pStyle w:val="FootnoteText"/>
      </w:pPr>
      <w:r>
        <w:rPr>
          <w:rStyle w:val="FootnoteReference"/>
        </w:rPr>
        <w:footnoteRef/>
      </w:r>
      <w:r>
        <w:t xml:space="preserve"> </w:t>
      </w:r>
      <w:r>
        <w:t xml:space="preserve">Verified fact — A2-S023: Elastic Completes Acquisition of Jina AI, a Leader in Frontier Models for Multimodal and Multilingual Search</w:t>
      </w:r>
      <w:r>
        <w:t xml:space="preserve"> </w:t>
      </w:r>
      <w:hyperlink r:id="rId445">
        <w:r>
          <w:rPr>
            <w:rStyle w:val="Hyperlink"/>
          </w:rPr>
          <w:t xml:space="preserve">https://ir.elastic.co/News--Events/news/news-details/2025/Elastic-Completes-Acquisition-of-Jina-AI-a-Leader-in-Frontier-Models-for-Multimodal-and-Multilingual-Search/default.aspx</w:t>
        </w:r>
      </w:hyperlink>
      <w:r>
        <w:t xml:space="preserve"> </w:t>
      </w:r>
      <w:r>
        <w:t xml:space="preserve">accessed 2026-10-07 [search-tool extract]</w:t>
      </w:r>
    </w:p>
  </w:footnote>
  <w:footnote w:id="535">
    <w:p>
      <w:pPr>
        <w:pStyle w:val="FootnoteText"/>
      </w:pPr>
      <w:r>
        <w:rPr>
          <w:rStyle w:val="FootnoteReference"/>
        </w:rPr>
        <w:footnoteRef/>
      </w:r>
      <w:r>
        <w:t xml:space="preserve"> </w:t>
      </w:r>
      <w:r>
        <w:t xml:space="preserve">Verified fact — V1-S085: Elastic 9.5: Columnar, VectorDB index mode &amp; auto-calibration; Elastic community newsletter August 2026</w:t>
      </w:r>
      <w:r>
        <w:t xml:space="preserve"> </w:t>
      </w:r>
      <w:hyperlink r:id="rId451">
        <w:r>
          <w:rPr>
            <w:rStyle w:val="Hyperlink"/>
          </w:rPr>
          <w:t xml:space="preserve">https://www.elastic.co/blog/whats-new-elastic-9-5-0</w:t>
        </w:r>
      </w:hyperlink>
      <w:r>
        <w:t xml:space="preserve"> </w:t>
      </w:r>
      <w:r>
        <w:t xml:space="preserve">accessed 2026-10-08 [search-tool extract]</w:t>
      </w:r>
    </w:p>
  </w:footnote>
  <w:footnote w:id="537">
    <w:p>
      <w:pPr>
        <w:pStyle w:val="FootnoteText"/>
      </w:pPr>
      <w:r>
        <w:rPr>
          <w:rStyle w:val="FootnoteReference"/>
        </w:rPr>
        <w:footnoteRef/>
      </w:r>
      <w:r>
        <w:t xml:space="preserve"> </w:t>
      </w:r>
      <w:r>
        <w:t xml:space="preserve">Verified fact — A2-S118: Zilliz Announces Milvus 3.0, Making the World’s Most Adopted Open-Source Vector Database Lake-Native</w:t>
      </w:r>
      <w:r>
        <w:t xml:space="preserve"> </w:t>
      </w:r>
      <w:hyperlink r:id="rId538">
        <w:r>
          <w:rPr>
            <w:rStyle w:val="Hyperlink"/>
          </w:rPr>
          <w:t xml:space="preserve">https://zilliz.com/news/milvus-3-0-lake-native-vector-database</w:t>
        </w:r>
      </w:hyperlink>
      <w:r>
        <w:t xml:space="preserve"> </w:t>
      </w:r>
      <w:r>
        <w:t xml:space="preserve">accessed 2026-10-07 [search-tool extract]; A2-S117: Release Notes - Milvus (Milvus project)</w:t>
      </w:r>
      <w:r>
        <w:t xml:space="preserve"> </w:t>
      </w:r>
      <w:hyperlink r:id="rId539">
        <w:r>
          <w:rPr>
            <w:rStyle w:val="Hyperlink"/>
          </w:rPr>
          <w:t xml:space="preserve">https://milvus.io/docs/release_notes.md</w:t>
        </w:r>
      </w:hyperlink>
      <w:r>
        <w:t xml:space="preserve"> </w:t>
      </w:r>
      <w:r>
        <w:t xml:space="preserve">accessed 2026-10-07 [search-tool extract]; A2-S054: milvus-lite - PyPI (PyPI / Milvus contributors)</w:t>
      </w:r>
      <w:r>
        <w:t xml:space="preserve"> </w:t>
      </w:r>
      <w:hyperlink r:id="rId540">
        <w:r>
          <w:rPr>
            <w:rStyle w:val="Hyperlink"/>
          </w:rPr>
          <w:t xml:space="preserve">https://pypi.org/project/milvus-lite/</w:t>
        </w:r>
      </w:hyperlink>
      <w:r>
        <w:t xml:space="preserve"> </w:t>
      </w:r>
      <w:r>
        <w:t xml:space="preserve">accessed 2026-10-07; A2-S119: Zilliz Trust Center</w:t>
      </w:r>
      <w:r>
        <w:t xml:space="preserve"> </w:t>
      </w:r>
      <w:hyperlink r:id="rId541">
        <w:r>
          <w:rPr>
            <w:rStyle w:val="Hyperlink"/>
          </w:rPr>
          <w:t xml:space="preserve">https://zilliz.com/trust-center</w:t>
        </w:r>
      </w:hyperlink>
      <w:r>
        <w:t xml:space="preserve"> </w:t>
      </w:r>
      <w:r>
        <w:t xml:space="preserve">accessed 2026-10-07 [search-tool extract]</w:t>
      </w:r>
    </w:p>
  </w:footnote>
  <w:footnote w:id="542">
    <w:p>
      <w:pPr>
        <w:pStyle w:val="FootnoteText"/>
      </w:pPr>
      <w:r>
        <w:rPr>
          <w:rStyle w:val="FootnoteReference"/>
        </w:rPr>
        <w:footnoteRef/>
      </w:r>
      <w:r>
        <w:t xml:space="preserve"> </w:t>
      </w:r>
      <w:r>
        <w:t xml:space="preserve">Verified fact — A2-S118: Zilliz Announces Milvus 3.0, Making the World’s Most Adopted Open-Source Vector Database Lake-Native</w:t>
      </w:r>
      <w:r>
        <w:t xml:space="preserve"> </w:t>
      </w:r>
      <w:hyperlink r:id="rId538">
        <w:r>
          <w:rPr>
            <w:rStyle w:val="Hyperlink"/>
          </w:rPr>
          <w:t xml:space="preserve">https://zilliz.com/news/milvus-3-0-lake-native-vector-database</w:t>
        </w:r>
      </w:hyperlink>
      <w:r>
        <w:t xml:space="preserve"> </w:t>
      </w:r>
      <w:r>
        <w:t xml:space="preserve">accessed 2026-10-07 [search-tool extract]</w:t>
      </w:r>
    </w:p>
  </w:footnote>
  <w:footnote w:id="543">
    <w:p>
      <w:pPr>
        <w:pStyle w:val="FootnoteText"/>
      </w:pPr>
      <w:r>
        <w:rPr>
          <w:rStyle w:val="FootnoteReference"/>
        </w:rPr>
        <w:footnoteRef/>
      </w:r>
      <w:r>
        <w:t xml:space="preserve"> </w:t>
      </w:r>
      <w:r>
        <w:t xml:space="preserve">Verified fact — A2-S119: Zilliz Trust Center</w:t>
      </w:r>
      <w:r>
        <w:t xml:space="preserve"> </w:t>
      </w:r>
      <w:hyperlink r:id="rId541">
        <w:r>
          <w:rPr>
            <w:rStyle w:val="Hyperlink"/>
          </w:rPr>
          <w:t xml:space="preserve">https://zilliz.com/trust-center</w:t>
        </w:r>
      </w:hyperlink>
      <w:r>
        <w:t xml:space="preserve"> </w:t>
      </w:r>
      <w:r>
        <w:t xml:space="preserve">accessed 2026-10-07 [search-tool extract]; A2-S120: Zilliz Cloud Pricing</w:t>
      </w:r>
      <w:r>
        <w:t xml:space="preserve"> </w:t>
      </w:r>
      <w:hyperlink r:id="rId544">
        <w:r>
          <w:rPr>
            <w:rStyle w:val="Hyperlink"/>
          </w:rPr>
          <w:t xml:space="preserve">https://zilliz.com/pricing</w:t>
        </w:r>
      </w:hyperlink>
      <w:r>
        <w:t xml:space="preserve"> </w:t>
      </w:r>
      <w:r>
        <w:t xml:space="preserve">accessed 2026-10-07 [search-tool extract]</w:t>
      </w:r>
    </w:p>
  </w:footnote>
  <w:footnote w:id="545">
    <w:p>
      <w:pPr>
        <w:pStyle w:val="FootnoteText"/>
      </w:pPr>
      <w:r>
        <w:rPr>
          <w:rStyle w:val="FootnoteReference"/>
        </w:rPr>
        <w:footnoteRef/>
      </w:r>
      <w:r>
        <w:t xml:space="preserve"> </w:t>
      </w:r>
      <w:r>
        <w:t xml:space="preserve">Verified fact — A2-S120: Zilliz Cloud Pricing</w:t>
      </w:r>
      <w:r>
        <w:t xml:space="preserve"> </w:t>
      </w:r>
      <w:hyperlink r:id="rId544">
        <w:r>
          <w:rPr>
            <w:rStyle w:val="Hyperlink"/>
          </w:rPr>
          <w:t xml:space="preserve">https://zilliz.com/pricing</w:t>
        </w:r>
      </w:hyperlink>
      <w:r>
        <w:t xml:space="preserve"> </w:t>
      </w:r>
      <w:r>
        <w:t xml:space="preserve">accessed 2026-10-07 [search-tool extract]</w:t>
      </w:r>
    </w:p>
  </w:footnote>
  <w:footnote w:id="546">
    <w:p>
      <w:pPr>
        <w:pStyle w:val="FootnoteText"/>
      </w:pPr>
      <w:r>
        <w:rPr>
          <w:rStyle w:val="FootnoteReference"/>
        </w:rPr>
        <w:footnoteRef/>
      </w:r>
      <w:r>
        <w:t xml:space="preserve"> </w:t>
      </w:r>
      <w:r>
        <w:t xml:space="preserve">Verified fact — A2-S054: milvus-lite - PyPI (PyPI / Milvus contributors)</w:t>
      </w:r>
      <w:r>
        <w:t xml:space="preserve"> </w:t>
      </w:r>
      <w:hyperlink r:id="rId540">
        <w:r>
          <w:rPr>
            <w:rStyle w:val="Hyperlink"/>
          </w:rPr>
          <w:t xml:space="preserve">https://pypi.org/project/milvus-lite/</w:t>
        </w:r>
      </w:hyperlink>
      <w:r>
        <w:t xml:space="preserve"> </w:t>
      </w:r>
      <w:r>
        <w:t xml:space="preserve">accessed 2026-10-07</w:t>
      </w:r>
    </w:p>
  </w:footnote>
  <w:footnote w:id="547">
    <w:p>
      <w:pPr>
        <w:pStyle w:val="FootnoteText"/>
      </w:pPr>
      <w:r>
        <w:rPr>
          <w:rStyle w:val="FootnoteReference"/>
        </w:rPr>
        <w:footnoteRef/>
      </w:r>
      <w:r>
        <w:t xml:space="preserve"> </w:t>
      </w:r>
      <w:r>
        <w:t xml:space="preserve">Verified fact — B-REVA-S001: Access Control Explained (and Manage Platform Users) (Zilliz)</w:t>
      </w:r>
      <w:r>
        <w:t xml:space="preserve"> </w:t>
      </w:r>
      <w:hyperlink r:id="rId548">
        <w:r>
          <w:rPr>
            <w:rStyle w:val="Hyperlink"/>
          </w:rPr>
          <w:t xml:space="preserve">https://docs.zilliz.com/docs/access-control</w:t>
        </w:r>
      </w:hyperlink>
      <w:r>
        <w:t xml:space="preserve"> </w:t>
      </w:r>
      <w:r>
        <w:t xml:space="preserve">accessed 2026-10-08 [search-tool extract]</w:t>
      </w:r>
    </w:p>
  </w:footnote>
  <w:footnote w:id="549">
    <w:p>
      <w:pPr>
        <w:pStyle w:val="FootnoteText"/>
      </w:pPr>
      <w:r>
        <w:rPr>
          <w:rStyle w:val="FootnoteReference"/>
        </w:rPr>
        <w:footnoteRef/>
      </w:r>
      <w:r>
        <w:t xml:space="preserve"> </w:t>
      </w:r>
      <w:r>
        <w:t xml:space="preserve">Verified fact — A2-S117: Release Notes - Milvus (Milvus project)</w:t>
      </w:r>
      <w:r>
        <w:t xml:space="preserve"> </w:t>
      </w:r>
      <w:hyperlink r:id="rId539">
        <w:r>
          <w:rPr>
            <w:rStyle w:val="Hyperlink"/>
          </w:rPr>
          <w:t xml:space="preserve">https://milvus.io/docs/release_notes.md</w:t>
        </w:r>
      </w:hyperlink>
      <w:r>
        <w:t xml:space="preserve"> </w:t>
      </w:r>
      <w:r>
        <w:t xml:space="preserve">accessed 2026-10-07 [search-tool extract]</w:t>
      </w:r>
    </w:p>
  </w:footnote>
  <w:footnote w:id="550">
    <w:p>
      <w:pPr>
        <w:pStyle w:val="FootnoteText"/>
      </w:pPr>
      <w:r>
        <w:rPr>
          <w:rStyle w:val="FootnoteReference"/>
        </w:rPr>
        <w:footnoteRef/>
      </w:r>
      <w:r>
        <w:t xml:space="preserve"> </w:t>
      </w:r>
      <w:r>
        <w:t xml:space="preserve">Verified fact — A2-S054: milvus-lite - PyPI (PyPI / Milvus contributors)</w:t>
      </w:r>
      <w:r>
        <w:t xml:space="preserve"> </w:t>
      </w:r>
      <w:hyperlink r:id="rId540">
        <w:r>
          <w:rPr>
            <w:rStyle w:val="Hyperlink"/>
          </w:rPr>
          <w:t xml:space="preserve">https://pypi.org/project/milvus-lite/</w:t>
        </w:r>
      </w:hyperlink>
      <w:r>
        <w:t xml:space="preserve"> </w:t>
      </w:r>
      <w:r>
        <w:t xml:space="preserve">accessed 2026-10-07</w:t>
      </w:r>
    </w:p>
  </w:footnote>
  <w:footnote w:id="551">
    <w:p>
      <w:pPr>
        <w:pStyle w:val="FootnoteText"/>
      </w:pPr>
      <w:r>
        <w:rPr>
          <w:rStyle w:val="FootnoteReference"/>
        </w:rPr>
        <w:footnoteRef/>
      </w:r>
      <w:r>
        <w:t xml:space="preserve"> </w:t>
      </w:r>
      <w:r>
        <w:t xml:space="preserve">Verified fact — A2-S122: Vector Database Company Zilliz Raises $60 Million Series B Extension</w:t>
      </w:r>
      <w:r>
        <w:t xml:space="preserve"> </w:t>
      </w:r>
      <w:hyperlink r:id="rId552">
        <w:r>
          <w:rPr>
            <w:rStyle w:val="Hyperlink"/>
          </w:rPr>
          <w:t xml:space="preserve">https://zilliz.com/news/vector-database-company-zilliz-series-b-extension</w:t>
        </w:r>
      </w:hyperlink>
      <w:r>
        <w:t xml:space="preserve"> </w:t>
      </w:r>
      <w:r>
        <w:t xml:space="preserve">accessed 2026-10-07 [search-tool extract]</w:t>
      </w:r>
    </w:p>
  </w:footnote>
  <w:footnote w:id="554">
    <w:p>
      <w:pPr>
        <w:pStyle w:val="FootnoteText"/>
      </w:pPr>
      <w:r>
        <w:rPr>
          <w:rStyle w:val="FootnoteReference"/>
        </w:rPr>
        <w:footnoteRef/>
      </w:r>
      <w:r>
        <w:t xml:space="preserve"> </w:t>
      </w:r>
      <w:r>
        <w:t xml:space="preserve">Verified fact — A2-S063: pgvector CHANGELOG.md (pgvector project)</w:t>
      </w:r>
      <w:r>
        <w:t xml:space="preserve"> </w:t>
      </w:r>
      <w:hyperlink r:id="rId555">
        <w:r>
          <w:rPr>
            <w:rStyle w:val="Hyperlink"/>
          </w:rPr>
          <w:t xml:space="preserve">https://github.com/pgvector/pgvector/blob/master/CHANGELOG.md</w:t>
        </w:r>
      </w:hyperlink>
      <w:r>
        <w:t xml:space="preserve"> </w:t>
      </w:r>
      <w:r>
        <w:t xml:space="preserve">accessed 2026-10-07 [search-tool extract]; A2-S061: pgvector 0.8.7 Released (PostgreSQL Global Development Group (news post by pgvector p)</w:t>
      </w:r>
      <w:r>
        <w:t xml:space="preserve"> </w:t>
      </w:r>
      <w:hyperlink r:id="rId556">
        <w:r>
          <w:rPr>
            <w:rStyle w:val="Hyperlink"/>
          </w:rPr>
          <w:t xml:space="preserve">https://www.postgresql.org/about/news/pgvector-087-released-3392/</w:t>
        </w:r>
      </w:hyperlink>
      <w:r>
        <w:t xml:space="preserve"> </w:t>
      </w:r>
      <w:r>
        <w:t xml:space="preserve">accessed 2026-10-07 [search-tool extract]; V1-S020: pgvector CHANGELOG.md (pgvector (GitHub))</w:t>
      </w:r>
      <w:r>
        <w:t xml:space="preserve"> </w:t>
      </w:r>
      <w:hyperlink r:id="rId557">
        <w:r>
          <w:rPr>
            <w:rStyle w:val="Hyperlink"/>
          </w:rPr>
          <w:t xml:space="preserve">https://raw.githubusercontent.com/pgvector/pgvector/master/CHANGELOG.md</w:t>
        </w:r>
      </w:hyperlink>
      <w:r>
        <w:t xml:space="preserve"> </w:t>
      </w:r>
      <w:r>
        <w:t xml:space="preserve">accessed 2026-10-08; V1-S022: pgvector 0.8.7 Released (PostgreSQL Global Development Group)</w:t>
      </w:r>
      <w:r>
        <w:t xml:space="preserve"> </w:t>
      </w:r>
      <w:hyperlink r:id="rId556">
        <w:r>
          <w:rPr>
            <w:rStyle w:val="Hyperlink"/>
          </w:rPr>
          <w:t xml:space="preserve">https://www.postgresql.org/about/news/pgvector-087-released-3392/</w:t>
        </w:r>
      </w:hyperlink>
      <w:r>
        <w:t xml:space="preserve"> </w:t>
      </w:r>
      <w:r>
        <w:t xml:space="preserve">accessed 2026-10-08 [search-tool extract]</w:t>
      </w:r>
    </w:p>
  </w:footnote>
  <w:footnote w:id="558">
    <w:p>
      <w:pPr>
        <w:pStyle w:val="FootnoteText"/>
      </w:pPr>
      <w:r>
        <w:rPr>
          <w:rStyle w:val="FootnoteReference"/>
        </w:rPr>
        <w:footnoteRef/>
      </w:r>
      <w:r>
        <w:t xml:space="preserve"> </w:t>
      </w:r>
      <w:r>
        <w:t xml:space="preserve">Verified fact — V1-S021: pgvector LICENSE (pgvector (GitHub))</w:t>
      </w:r>
      <w:r>
        <w:t xml:space="preserve"> </w:t>
      </w:r>
      <w:hyperlink r:id="rId559">
        <w:r>
          <w:rPr>
            <w:rStyle w:val="Hyperlink"/>
          </w:rPr>
          <w:t xml:space="preserve">https://raw.githubusercontent.com/pgvector/pgvector/master/LICENSE</w:t>
        </w:r>
      </w:hyperlink>
      <w:r>
        <w:t xml:space="preserve"> </w:t>
      </w:r>
      <w:r>
        <w:t xml:space="preserve">accessed 2026-10-08</w:t>
      </w:r>
    </w:p>
  </w:footnote>
  <w:footnote w:id="560">
    <w:p>
      <w:pPr>
        <w:pStyle w:val="FootnoteText"/>
      </w:pPr>
      <w:r>
        <w:rPr>
          <w:rStyle w:val="FootnoteReference"/>
        </w:rPr>
        <w:footnoteRef/>
      </w:r>
      <w:r>
        <w:t xml:space="preserve"> </w:t>
      </w:r>
      <w:r>
        <w:t xml:space="preserve">Verified fact — B-L6-S004: Extension versions for Amazon RDS for PostgreSQL; RDS PostgreSQL release notes; Aurora pgvector announcements (Amazon Web Services)</w:t>
      </w:r>
      <w:r>
        <w:t xml:space="preserve"> </w:t>
      </w:r>
      <w:hyperlink r:id="rId561">
        <w:r>
          <w:rPr>
            <w:rStyle w:val="Hyperlink"/>
          </w:rPr>
          <w:t xml:space="preserve">https://docs.aws.amazon.com/AmazonRDS/latest/PostgreSQLReleaseNotes/postgresql-extensions.html</w:t>
        </w:r>
      </w:hyperlink>
      <w:r>
        <w:t xml:space="preserve"> </w:t>
      </w:r>
      <w:r>
        <w:t xml:space="preserve">accessed 2026-10-08 [search-tool extract]; B-L6-S005: Vector search in Azure Database for PostgreSQL flexible server; Cloud SQL vector embeddings; AlloyDB vector search overview (Microsoft; Google Cloud)</w:t>
      </w:r>
      <w:r>
        <w:t xml:space="preserve"> </w:t>
      </w:r>
      <w:hyperlink r:id="rId562">
        <w:r>
          <w:rPr>
            <w:rStyle w:val="Hyperlink"/>
          </w:rPr>
          <w:t xml:space="preserve">https://learn.microsoft.com/en-us/azure/postgresql/extensions/how-to-use-pgvector</w:t>
        </w:r>
      </w:hyperlink>
      <w:r>
        <w:t xml:space="preserve"> </w:t>
      </w:r>
      <w:r>
        <w:t xml:space="preserve">accessed 2026-10-08 [search-tool extract]</w:t>
      </w:r>
    </w:p>
  </w:footnote>
  <w:footnote w:id="563">
    <w:p>
      <w:pPr>
        <w:pStyle w:val="FootnoteText"/>
      </w:pPr>
      <w:r>
        <w:rPr>
          <w:rStyle w:val="FootnoteReference"/>
        </w:rPr>
        <w:footnoteRef/>
      </w:r>
      <w:r>
        <w:t xml:space="preserve"> </w:t>
      </w:r>
      <w:r>
        <w:t xml:space="preserve">Verified fact — V1-S020: pgvector CHANGELOG.md (pgvector (GitHub))</w:t>
      </w:r>
      <w:r>
        <w:t xml:space="preserve"> </w:t>
      </w:r>
      <w:hyperlink r:id="rId557">
        <w:r>
          <w:rPr>
            <w:rStyle w:val="Hyperlink"/>
          </w:rPr>
          <w:t xml:space="preserve">https://raw.githubusercontent.com/pgvector/pgvector/master/CHANGELOG.md</w:t>
        </w:r>
      </w:hyperlink>
      <w:r>
        <w:t xml:space="preserve"> </w:t>
      </w:r>
      <w:r>
        <w:t xml:space="preserve">accessed 2026-10-08; V1-S022: pgvector 0.8.7 Released (PostgreSQL Global Development Group)</w:t>
      </w:r>
      <w:r>
        <w:t xml:space="preserve"> </w:t>
      </w:r>
      <w:hyperlink r:id="rId556">
        <w:r>
          <w:rPr>
            <w:rStyle w:val="Hyperlink"/>
          </w:rPr>
          <w:t xml:space="preserve">https://www.postgresql.org/about/news/pgvector-087-released-3392/</w:t>
        </w:r>
      </w:hyperlink>
      <w:r>
        <w:t xml:space="preserve"> </w:t>
      </w:r>
      <w:r>
        <w:t xml:space="preserve">accessed 2026-10-08 [search-tool extract]</w:t>
      </w:r>
    </w:p>
  </w:footnote>
  <w:footnote w:id="564">
    <w:p>
      <w:pPr>
        <w:pStyle w:val="FootnoteText"/>
      </w:pPr>
      <w:r>
        <w:rPr>
          <w:rStyle w:val="FootnoteReference"/>
        </w:rPr>
        <w:footnoteRef/>
      </w:r>
      <w:r>
        <w:t xml:space="preserve"> </w:t>
      </w:r>
      <w:r>
        <w:t xml:space="preserve">Verified fact — V1-S022: pgvector 0.8.7 Released (PostgreSQL Global Development Group)</w:t>
      </w:r>
      <w:r>
        <w:t xml:space="preserve"> </w:t>
      </w:r>
      <w:hyperlink r:id="rId556">
        <w:r>
          <w:rPr>
            <w:rStyle w:val="Hyperlink"/>
          </w:rPr>
          <w:t xml:space="preserve">https://www.postgresql.org/about/news/pgvector-087-released-3392/</w:t>
        </w:r>
      </w:hyperlink>
      <w:r>
        <w:t xml:space="preserve"> </w:t>
      </w:r>
      <w:r>
        <w:t xml:space="preserve">accessed 2026-10-08 [search-tool extract]; A2-S062: pgvector 0.8.2 Released (PostgreSQL Global Development Group (news post by pgvector p)</w:t>
      </w:r>
      <w:r>
        <w:t xml:space="preserve"> </w:t>
      </w:r>
      <w:hyperlink r:id="rId565">
        <w:r>
          <w:rPr>
            <w:rStyle w:val="Hyperlink"/>
          </w:rPr>
          <w:t xml:space="preserve">https://www.postgresql.org/about/news/pgvector-082-released-3245/</w:t>
        </w:r>
      </w:hyperlink>
      <w:r>
        <w:t xml:space="preserve"> </w:t>
      </w:r>
      <w:r>
        <w:t xml:space="preserve">accessed 2026-10-07 [search-tool extract]</w:t>
      </w:r>
    </w:p>
  </w:footnote>
  <w:footnote w:id="566">
    <w:p>
      <w:pPr>
        <w:pStyle w:val="FootnoteText"/>
      </w:pPr>
      <w:r>
        <w:rPr>
          <w:rStyle w:val="FootnoteReference"/>
        </w:rPr>
        <w:footnoteRef/>
      </w:r>
      <w:r>
        <w:t xml:space="preserve"> </w:t>
      </w:r>
      <w:r>
        <w:t xml:space="preserve">Verified fact — B-L6-S004: Extension versions for Amazon RDS for PostgreSQL; RDS PostgreSQL release notes; Aurora pgvector announcements (Amazon Web Services)</w:t>
      </w:r>
      <w:r>
        <w:t xml:space="preserve"> </w:t>
      </w:r>
      <w:hyperlink r:id="rId561">
        <w:r>
          <w:rPr>
            <w:rStyle w:val="Hyperlink"/>
          </w:rPr>
          <w:t xml:space="preserve">https://docs.aws.amazon.com/AmazonRDS/latest/PostgreSQLReleaseNotes/postgresql-extensions.html</w:t>
        </w:r>
      </w:hyperlink>
      <w:r>
        <w:t xml:space="preserve"> </w:t>
      </w:r>
      <w:r>
        <w:t xml:space="preserve">accessed 2026-10-08 [search-tool extract]; B-L6-S005: Vector search in Azure Database for PostgreSQL flexible server; Cloud SQL vector embeddings; AlloyDB vector search overview (Microsoft; Google Cloud)</w:t>
      </w:r>
      <w:r>
        <w:t xml:space="preserve"> </w:t>
      </w:r>
      <w:hyperlink r:id="rId562">
        <w:r>
          <w:rPr>
            <w:rStyle w:val="Hyperlink"/>
          </w:rPr>
          <w:t xml:space="preserve">https://learn.microsoft.com/en-us/azure/postgresql/extensions/how-to-use-pgvector</w:t>
        </w:r>
      </w:hyperlink>
      <w:r>
        <w:t xml:space="preserve"> </w:t>
      </w:r>
      <w:r>
        <w:t xml:space="preserve">accessed 2026-10-08 [search-tool extract]</w:t>
      </w:r>
    </w:p>
  </w:footnote>
  <w:footnote w:id="567">
    <w:p>
      <w:pPr>
        <w:pStyle w:val="FootnoteText"/>
      </w:pPr>
      <w:r>
        <w:rPr>
          <w:rStyle w:val="FootnoteReference"/>
        </w:rPr>
        <w:footnoteRef/>
      </w:r>
      <w:r>
        <w:t xml:space="preserve"> </w:t>
      </w:r>
      <w:r>
        <w:t xml:space="preserve">Verified fact — A2-S063: pgvector CHANGELOG.md (pgvector project)</w:t>
      </w:r>
      <w:r>
        <w:t xml:space="preserve"> </w:t>
      </w:r>
      <w:hyperlink r:id="rId555">
        <w:r>
          <w:rPr>
            <w:rStyle w:val="Hyperlink"/>
          </w:rPr>
          <w:t xml:space="preserve">https://github.com/pgvector/pgvector/blob/master/CHANGELOG.md</w:t>
        </w:r>
      </w:hyperlink>
      <w:r>
        <w:t xml:space="preserve"> </w:t>
      </w:r>
      <w:r>
        <w:t xml:space="preserve">accessed 2026-10-07 [search-tool extract]</w:t>
      </w:r>
    </w:p>
  </w:footnote>
  <w:footnote w:id="569">
    <w:p>
      <w:pPr>
        <w:pStyle w:val="FootnoteText"/>
      </w:pPr>
      <w:r>
        <w:rPr>
          <w:rStyle w:val="FootnoteReference"/>
        </w:rPr>
        <w:footnoteRef/>
      </w:r>
      <w:r>
        <w:t xml:space="preserve"> </w:t>
      </w:r>
      <w:r>
        <w:t xml:space="preserve">Verified fact — A2-S108: qdrant/LICENSE (Qdrant)</w:t>
      </w:r>
      <w:r>
        <w:t xml:space="preserve"> </w:t>
      </w:r>
      <w:hyperlink r:id="rId570">
        <w:r>
          <w:rPr>
            <w:rStyle w:val="Hyperlink"/>
          </w:rPr>
          <w:t xml:space="preserve">https://github.com/qdrant/qdrant/blob/master/LICENSE</w:t>
        </w:r>
      </w:hyperlink>
      <w:r>
        <w:t xml:space="preserve"> </w:t>
      </w:r>
      <w:r>
        <w:t xml:space="preserve">accessed 2026-10-07 [search-tool extract]; A2-S103: Qdrant 1.17 - Relevance Feedback &amp; Search Latency Improvements</w:t>
      </w:r>
      <w:r>
        <w:t xml:space="preserve"> </w:t>
      </w:r>
      <w:hyperlink r:id="rId571">
        <w:r>
          <w:rPr>
            <w:rStyle w:val="Hyperlink"/>
          </w:rPr>
          <w:t xml:space="preserve">https://qdrant.tech/blog/qdrant-1.17.x/</w:t>
        </w:r>
      </w:hyperlink>
      <w:r>
        <w:t xml:space="preserve"> </w:t>
      </w:r>
      <w:r>
        <w:t xml:space="preserve">accessed 2026-10-07 [search-tool extract]; A2-S102: Releases - qdrant/qdrant (Qdrant)</w:t>
      </w:r>
      <w:r>
        <w:t xml:space="preserve"> </w:t>
      </w:r>
      <w:hyperlink r:id="rId572">
        <w:r>
          <w:rPr>
            <w:rStyle w:val="Hyperlink"/>
          </w:rPr>
          <w:t xml:space="preserve">https://github.com/qdrant/qdrant/releases</w:t>
        </w:r>
      </w:hyperlink>
      <w:r>
        <w:t xml:space="preserve"> </w:t>
      </w:r>
      <w:r>
        <w:t xml:space="preserve">accessed 2026-10-07 [search-tool extract]</w:t>
      </w:r>
    </w:p>
  </w:footnote>
  <w:footnote w:id="573">
    <w:p>
      <w:pPr>
        <w:pStyle w:val="FootnoteText"/>
      </w:pPr>
      <w:r>
        <w:rPr>
          <w:rStyle w:val="FootnoteReference"/>
        </w:rPr>
        <w:footnoteRef/>
      </w:r>
      <w:r>
        <w:t xml:space="preserve"> </w:t>
      </w:r>
      <w:r>
        <w:t xml:space="preserve">Verified fact — A2-S103: Qdrant 1.17 - Relevance Feedback &amp; Search Latency Improvements</w:t>
      </w:r>
      <w:r>
        <w:t xml:space="preserve"> </w:t>
      </w:r>
      <w:hyperlink r:id="rId571">
        <w:r>
          <w:rPr>
            <w:rStyle w:val="Hyperlink"/>
          </w:rPr>
          <w:t xml:space="preserve">https://qdrant.tech/blog/qdrant-1.17.x/</w:t>
        </w:r>
      </w:hyperlink>
      <w:r>
        <w:t xml:space="preserve"> </w:t>
      </w:r>
      <w:r>
        <w:t xml:space="preserve">accessed 2026-10-07 [search-tool extract]</w:t>
      </w:r>
    </w:p>
  </w:footnote>
  <w:footnote w:id="574">
    <w:p>
      <w:pPr>
        <w:pStyle w:val="FootnoteText"/>
      </w:pPr>
      <w:r>
        <w:rPr>
          <w:rStyle w:val="FootnoteReference"/>
        </w:rPr>
        <w:footnoteRef/>
      </w:r>
      <w:r>
        <w:t xml:space="preserve"> </w:t>
      </w:r>
      <w:r>
        <w:t xml:space="preserve">Verified fact — A2-S106: Qdrant Hybrid Cloud: Flexible Deployment, Data Privacy, and Cost Efficiency</w:t>
      </w:r>
      <w:r>
        <w:t xml:space="preserve"> </w:t>
      </w:r>
      <w:hyperlink r:id="rId575">
        <w:r>
          <w:rPr>
            <w:rStyle w:val="Hyperlink"/>
          </w:rPr>
          <w:t xml:space="preserve">https://qdrant.tech/hybrid-cloud/</w:t>
        </w:r>
      </w:hyperlink>
      <w:r>
        <w:t xml:space="preserve"> </w:t>
      </w:r>
      <w:r>
        <w:t xml:space="preserve">accessed 2026-10-07 [search-tool extract]</w:t>
      </w:r>
    </w:p>
  </w:footnote>
  <w:footnote w:id="576">
    <w:p>
      <w:pPr>
        <w:pStyle w:val="FootnoteText"/>
      </w:pPr>
      <w:r>
        <w:rPr>
          <w:rStyle w:val="FootnoteReference"/>
        </w:rPr>
        <w:footnoteRef/>
      </w:r>
      <w:r>
        <w:t xml:space="preserve"> </w:t>
      </w:r>
      <w:r>
        <w:t xml:space="preserve">Verified fact — B-L6-S007: Qdrant Cloud RBAC role management; enterprise SSO announcement; database security (JWT RBAC)</w:t>
      </w:r>
      <w:r>
        <w:t xml:space="preserve"> </w:t>
      </w:r>
      <w:hyperlink r:id="rId577">
        <w:r>
          <w:rPr>
            <w:rStyle w:val="Hyperlink"/>
          </w:rPr>
          <w:t xml:space="preserve">https://qdrant.tech/documentation/cloud-rbac/role-management/</w:t>
        </w:r>
      </w:hyperlink>
      <w:r>
        <w:t xml:space="preserve"> </w:t>
      </w:r>
      <w:r>
        <w:t xml:space="preserve">accessed 2026-10-08 [search-tool extract]</w:t>
      </w:r>
    </w:p>
  </w:footnote>
  <w:footnote w:id="578">
    <w:p>
      <w:pPr>
        <w:pStyle w:val="FootnoteText"/>
      </w:pPr>
      <w:r>
        <w:rPr>
          <w:rStyle w:val="FootnoteReference"/>
        </w:rPr>
        <w:footnoteRef/>
      </w:r>
      <w:r>
        <w:t xml:space="preserve"> </w:t>
      </w:r>
      <w:r>
        <w:t xml:space="preserve">Verified fact — A2-S108: qdrant/LICENSE (Qdrant)</w:t>
      </w:r>
      <w:r>
        <w:t xml:space="preserve"> </w:t>
      </w:r>
      <w:hyperlink r:id="rId570">
        <w:r>
          <w:rPr>
            <w:rStyle w:val="Hyperlink"/>
          </w:rPr>
          <w:t xml:space="preserve">https://github.com/qdrant/qdrant/blob/master/LICENSE</w:t>
        </w:r>
      </w:hyperlink>
      <w:r>
        <w:t xml:space="preserve"> </w:t>
      </w:r>
      <w:r>
        <w:t xml:space="preserve">accessed 2026-10-07 [search-tool extract]; A2-S107: We Raised $50M to Build Composable Vector Search as Core Infrastructure (Qdrant)</w:t>
      </w:r>
      <w:r>
        <w:t xml:space="preserve"> </w:t>
      </w:r>
      <w:hyperlink r:id="rId579">
        <w:r>
          <w:rPr>
            <w:rStyle w:val="Hyperlink"/>
          </w:rPr>
          <w:t xml:space="preserve">https://qdrant.tech/blog/series-b-announcement/</w:t>
        </w:r>
      </w:hyperlink>
      <w:r>
        <w:t xml:space="preserve"> </w:t>
      </w:r>
      <w:r>
        <w:t xml:space="preserve">accessed 2026-10-07 [search-tool extract]</w:t>
      </w:r>
    </w:p>
  </w:footnote>
  <w:footnote w:id="580">
    <w:p>
      <w:pPr>
        <w:pStyle w:val="FootnoteText"/>
      </w:pPr>
      <w:r>
        <w:rPr>
          <w:rStyle w:val="FootnoteReference"/>
        </w:rPr>
        <w:footnoteRef/>
      </w:r>
      <w:r>
        <w:t xml:space="preserve"> </w:t>
      </w:r>
      <w:r>
        <w:t xml:space="preserve">Verified fact — B-REVA-S002: Qdrant Cloud API (and Qdrant pricing page)</w:t>
      </w:r>
      <w:r>
        <w:t xml:space="preserve"> </w:t>
      </w:r>
      <w:hyperlink r:id="rId581">
        <w:r>
          <w:rPr>
            <w:rStyle w:val="Hyperlink"/>
          </w:rPr>
          <w:t xml:space="preserve">https://qdrant.tech/documentation/cloud-api/</w:t>
        </w:r>
      </w:hyperlink>
      <w:r>
        <w:t xml:space="preserve"> </w:t>
      </w:r>
      <w:r>
        <w:t xml:space="preserve">accessed 2026-10-08 [search-tool extract]</w:t>
      </w:r>
    </w:p>
  </w:footnote>
  <w:footnote w:id="582">
    <w:p>
      <w:pPr>
        <w:pStyle w:val="FootnoteText"/>
      </w:pPr>
      <w:r>
        <w:rPr>
          <w:rStyle w:val="FootnoteReference"/>
        </w:rPr>
        <w:footnoteRef/>
      </w:r>
      <w:r>
        <w:t xml:space="preserve"> </w:t>
      </w:r>
      <w:r>
        <w:t xml:space="preserve">Verified fact — V1-S069: Qdrant Achieves SOC 2 Type II and HIPAA Certifications; Qdrant Security; Cloud Security docs</w:t>
      </w:r>
      <w:r>
        <w:t xml:space="preserve"> </w:t>
      </w:r>
      <w:hyperlink r:id="rId583">
        <w:r>
          <w:rPr>
            <w:rStyle w:val="Hyperlink"/>
          </w:rPr>
          <w:t xml:space="preserve">https://qdrant.tech/blog/soc-2-type-ii-hipaa/</w:t>
        </w:r>
      </w:hyperlink>
      <w:r>
        <w:t xml:space="preserve"> </w:t>
      </w:r>
      <w:r>
        <w:t xml:space="preserve">accessed 2026-10-08 [search-tool extract]</w:t>
      </w:r>
    </w:p>
  </w:footnote>
  <w:footnote w:id="584">
    <w:p>
      <w:pPr>
        <w:pStyle w:val="FootnoteText"/>
      </w:pPr>
      <w:r>
        <w:rPr>
          <w:rStyle w:val="FootnoteReference"/>
        </w:rPr>
        <w:footnoteRef/>
      </w:r>
      <w:r>
        <w:t xml:space="preserve"> </w:t>
      </w:r>
      <w:r>
        <w:t xml:space="preserve">Verified fact — A2-S102: Releases - qdrant/qdrant (Qdrant)</w:t>
      </w:r>
      <w:r>
        <w:t xml:space="preserve"> </w:t>
      </w:r>
      <w:hyperlink r:id="rId572">
        <w:r>
          <w:rPr>
            <w:rStyle w:val="Hyperlink"/>
          </w:rPr>
          <w:t xml:space="preserve">https://github.com/qdrant/qdrant/releases</w:t>
        </w:r>
      </w:hyperlink>
      <w:r>
        <w:t xml:space="preserve"> </w:t>
      </w:r>
      <w:r>
        <w:t xml:space="preserve">accessed 2026-10-07 [search-tool extract]</w:t>
      </w:r>
    </w:p>
  </w:footnote>
  <w:footnote w:id="585">
    <w:p>
      <w:pPr>
        <w:pStyle w:val="FootnoteText"/>
      </w:pPr>
      <w:r>
        <w:rPr>
          <w:rStyle w:val="FootnoteReference"/>
        </w:rPr>
        <w:footnoteRef/>
      </w:r>
      <w:r>
        <w:t xml:space="preserve"> </w:t>
      </w:r>
      <w:r>
        <w:t xml:space="preserve">Verified fact — B-L6-S007: Qdrant Cloud RBAC role management; enterprise SSO announcement; database security (JWT RBAC)</w:t>
      </w:r>
      <w:r>
        <w:t xml:space="preserve"> </w:t>
      </w:r>
      <w:hyperlink r:id="rId577">
        <w:r>
          <w:rPr>
            <w:rStyle w:val="Hyperlink"/>
          </w:rPr>
          <w:t xml:space="preserve">https://qdrant.tech/documentation/cloud-rbac/role-management/</w:t>
        </w:r>
      </w:hyperlink>
      <w:r>
        <w:t xml:space="preserve"> </w:t>
      </w:r>
      <w:r>
        <w:t xml:space="preserve">accessed 2026-10-08 [search-tool extract]</w:t>
      </w:r>
    </w:p>
  </w:footnote>
  <w:footnote w:id="586">
    <w:p>
      <w:pPr>
        <w:pStyle w:val="FootnoteText"/>
      </w:pPr>
      <w:r>
        <w:rPr>
          <w:rStyle w:val="FootnoteReference"/>
        </w:rPr>
        <w:footnoteRef/>
      </w:r>
      <w:r>
        <w:t xml:space="preserve"> </w:t>
      </w:r>
      <w:r>
        <w:t xml:space="preserve">Verified fact — A2-S106: Qdrant Hybrid Cloud: Flexible Deployment, Data Privacy, and Cost Efficiency</w:t>
      </w:r>
      <w:r>
        <w:t xml:space="preserve"> </w:t>
      </w:r>
      <w:hyperlink r:id="rId575">
        <w:r>
          <w:rPr>
            <w:rStyle w:val="Hyperlink"/>
          </w:rPr>
          <w:t xml:space="preserve">https://qdrant.tech/hybrid-cloud/</w:t>
        </w:r>
      </w:hyperlink>
      <w:r>
        <w:t xml:space="preserve"> </w:t>
      </w:r>
      <w:r>
        <w:t xml:space="preserve">accessed 2026-10-07 [search-tool extract]</w:t>
      </w:r>
    </w:p>
  </w:footnote>
  <w:footnote w:id="587">
    <w:p>
      <w:pPr>
        <w:pStyle w:val="FootnoteText"/>
      </w:pPr>
      <w:r>
        <w:rPr>
          <w:rStyle w:val="FootnoteReference"/>
        </w:rPr>
        <w:footnoteRef/>
      </w:r>
      <w:r>
        <w:t xml:space="preserve"> </w:t>
      </w:r>
      <w:r>
        <w:t xml:space="preserve">Verified fact — B-REVA-S002: Qdrant Cloud API (and Qdrant pricing page)</w:t>
      </w:r>
      <w:r>
        <w:t xml:space="preserve"> </w:t>
      </w:r>
      <w:hyperlink r:id="rId581">
        <w:r>
          <w:rPr>
            <w:rStyle w:val="Hyperlink"/>
          </w:rPr>
          <w:t xml:space="preserve">https://qdrant.tech/documentation/cloud-api/</w:t>
        </w:r>
      </w:hyperlink>
      <w:r>
        <w:t xml:space="preserve"> </w:t>
      </w:r>
      <w:r>
        <w:t xml:space="preserve">accessed 2026-10-08 [search-tool extract]</w:t>
      </w:r>
    </w:p>
  </w:footnote>
  <w:footnote w:id="589">
    <w:p>
      <w:pPr>
        <w:pStyle w:val="FootnoteText"/>
      </w:pPr>
      <w:r>
        <w:rPr>
          <w:rStyle w:val="FootnoteReference"/>
        </w:rPr>
        <w:footnoteRef/>
      </w:r>
      <w:r>
        <w:t xml:space="preserve"> </w:t>
      </w:r>
      <w:r>
        <w:t xml:space="preserve">Verified fact — A2-S051: pinecone (Python SDK) - PyPI (PyPI / Pinecone Systems, Inc.)</w:t>
      </w:r>
      <w:r>
        <w:t xml:space="preserve"> </w:t>
      </w:r>
      <w:hyperlink r:id="rId590">
        <w:r>
          <w:rPr>
            <w:rStyle w:val="Hyperlink"/>
          </w:rPr>
          <w:t xml:space="preserve">https://pypi.org/project/pinecone/</w:t>
        </w:r>
      </w:hyperlink>
      <w:r>
        <w:t xml:space="preserve"> </w:t>
      </w:r>
      <w:r>
        <w:t xml:space="preserve">accessed 2026-10-07; A2-S101: Introducing cascading retrieval: Unifying dense and sparse with reranking (Pinecone)</w:t>
      </w:r>
      <w:r>
        <w:t xml:space="preserve"> </w:t>
      </w:r>
      <w:hyperlink r:id="rId591">
        <w:r>
          <w:rPr>
            <w:rStyle w:val="Hyperlink"/>
          </w:rPr>
          <w:t xml:space="preserve">https://www.pinecone.io/blog/cascading-retrieval/</w:t>
        </w:r>
      </w:hyperlink>
      <w:r>
        <w:t xml:space="preserve"> </w:t>
      </w:r>
      <w:r>
        <w:t xml:space="preserve">accessed 2026-10-07 [search-tool extract]; A2-S072: ZoomInfo and Pinecone Bring Real-Time, AI-Powered Contact Recommendations to Go-to-Market Teams</w:t>
      </w:r>
      <w:r>
        <w:t xml:space="preserve"> </w:t>
      </w:r>
      <w:hyperlink r:id="rId592">
        <w:r>
          <w:rPr>
            <w:rStyle w:val="Hyperlink"/>
          </w:rPr>
          <w:t xml:space="preserve">https://www.pinecone.io/newsroom/zoominfo-pinecone-drn/</w:t>
        </w:r>
      </w:hyperlink>
      <w:r>
        <w:t xml:space="preserve"> </w:t>
      </w:r>
      <w:r>
        <w:t xml:space="preserve">accessed 2026-10-07 [search-tool extract]; A2-S073: General Availability of Pinecone Nexus Proves Knowledge Drives Real Outcomes for Agentic AI</w:t>
      </w:r>
      <w:r>
        <w:t xml:space="preserve"> </w:t>
      </w:r>
      <w:hyperlink r:id="rId593">
        <w:r>
          <w:rPr>
            <w:rStyle w:val="Hyperlink"/>
          </w:rPr>
          <w:t xml:space="preserve">https://www.pinecone.io/newsroom/general-availability-of-pinecone-nexus-proves-knowledge-drives-real-outcomes-for-agentic-ai/</w:t>
        </w:r>
      </w:hyperlink>
      <w:r>
        <w:t xml:space="preserve"> </w:t>
      </w:r>
      <w:r>
        <w:t xml:space="preserve">accessed 2026-10-07 [search-tool extract]</w:t>
      </w:r>
    </w:p>
  </w:footnote>
  <w:footnote w:id="594">
    <w:p>
      <w:pPr>
        <w:pStyle w:val="FootnoteText"/>
      </w:pPr>
      <w:r>
        <w:rPr>
          <w:rStyle w:val="FootnoteReference"/>
        </w:rPr>
        <w:footnoteRef/>
      </w:r>
      <w:r>
        <w:t xml:space="preserve"> </w:t>
      </w:r>
      <w:r>
        <w:t xml:space="preserve">Verified fact — A2-S095: Pinecone Trust and Security Center</w:t>
      </w:r>
      <w:r>
        <w:t xml:space="preserve"> </w:t>
      </w:r>
      <w:hyperlink r:id="rId595">
        <w:r>
          <w:rPr>
            <w:rStyle w:val="Hyperlink"/>
          </w:rPr>
          <w:t xml:space="preserve">https://security.pinecone.io/</w:t>
        </w:r>
      </w:hyperlink>
      <w:r>
        <w:t xml:space="preserve"> </w:t>
      </w:r>
      <w:r>
        <w:t xml:space="preserve">accessed 2026-10-07 [search-tool extract]; A2-S096: Trust and Security (Pinecone)</w:t>
      </w:r>
      <w:r>
        <w:t xml:space="preserve"> </w:t>
      </w:r>
      <w:hyperlink r:id="rId596">
        <w:r>
          <w:rPr>
            <w:rStyle w:val="Hyperlink"/>
          </w:rPr>
          <w:t xml:space="preserve">https://www.pinecone.io/security/</w:t>
        </w:r>
      </w:hyperlink>
      <w:r>
        <w:t xml:space="preserve"> </w:t>
      </w:r>
      <w:r>
        <w:t xml:space="preserve">accessed 2026-10-07 [search-tool extract]; V1-S078: Pinecone Trust and Security Center; Trust and Security page</w:t>
      </w:r>
      <w:r>
        <w:t xml:space="preserve"> </w:t>
      </w:r>
      <w:hyperlink r:id="rId595">
        <w:r>
          <w:rPr>
            <w:rStyle w:val="Hyperlink"/>
          </w:rPr>
          <w:t xml:space="preserve">https://security.pinecone.io/</w:t>
        </w:r>
      </w:hyperlink>
      <w:r>
        <w:t xml:space="preserve"> </w:t>
      </w:r>
      <w:r>
        <w:t xml:space="preserve">accessed 2026-10-08 [search-tool extract]</w:t>
      </w:r>
    </w:p>
  </w:footnote>
  <w:footnote w:id="597">
    <w:p>
      <w:pPr>
        <w:pStyle w:val="FootnoteText"/>
      </w:pPr>
      <w:r>
        <w:rPr>
          <w:rStyle w:val="FootnoteReference"/>
        </w:rPr>
        <w:footnoteRef/>
      </w:r>
      <w:r>
        <w:t xml:space="preserve"> </w:t>
      </w:r>
      <w:r>
        <w:t xml:space="preserve">Verified fact — A2-S097: Security overview - Pinecone Docs</w:t>
      </w:r>
      <w:r>
        <w:t xml:space="preserve"> </w:t>
      </w:r>
      <w:hyperlink r:id="rId598">
        <w:r>
          <w:rPr>
            <w:rStyle w:val="Hyperlink"/>
          </w:rPr>
          <w:t xml:space="preserve">https://docs.pinecone.io/guides/production/security-overview</w:t>
        </w:r>
      </w:hyperlink>
      <w:r>
        <w:t xml:space="preserve"> </w:t>
      </w:r>
      <w:r>
        <w:t xml:space="preserve">accessed 2026-10-07 [search-tool extract]; A2-S098: Pinecone BYOC: Trusted AI Knowledge in the Customer Cloud</w:t>
      </w:r>
      <w:r>
        <w:t xml:space="preserve"> </w:t>
      </w:r>
      <w:hyperlink r:id="rId599">
        <w:r>
          <w:rPr>
            <w:rStyle w:val="Hyperlink"/>
          </w:rPr>
          <w:t xml:space="preserve">https://www.pinecone.io/blog/byoc-generally-available/</w:t>
        </w:r>
      </w:hyperlink>
      <w:r>
        <w:t xml:space="preserve"> </w:t>
      </w:r>
      <w:r>
        <w:t xml:space="preserve">accessed 2026-10-07 [search-tool extract]</w:t>
      </w:r>
    </w:p>
  </w:footnote>
  <w:footnote w:id="600">
    <w:p>
      <w:pPr>
        <w:pStyle w:val="FootnoteText"/>
      </w:pPr>
      <w:r>
        <w:rPr>
          <w:rStyle w:val="FootnoteReference"/>
        </w:rPr>
        <w:footnoteRef/>
      </w:r>
      <w:r>
        <w:t xml:space="preserve"> </w:t>
      </w:r>
      <w:r>
        <w:t xml:space="preserve">Verified fact — A2-S069: Bring Your Own Cloud (BYOC) - Pinecone Docs</w:t>
      </w:r>
      <w:r>
        <w:t xml:space="preserve"> </w:t>
      </w:r>
      <w:hyperlink r:id="rId601">
        <w:r>
          <w:rPr>
            <w:rStyle w:val="Hyperlink"/>
          </w:rPr>
          <w:t xml:space="preserve">https://docs.pinecone.io/guides/production/bring-your-own-cloud</w:t>
        </w:r>
      </w:hyperlink>
      <w:r>
        <w:t xml:space="preserve"> </w:t>
      </w:r>
      <w:r>
        <w:t xml:space="preserve">accessed 2026-10-07 [search-tool extract]; V1-S034: Pinecone BYOC: Trusted AI Knowledge in the Customer Cloud (GA); BYOC docs; 2026 release notes</w:t>
      </w:r>
      <w:r>
        <w:t xml:space="preserve"> </w:t>
      </w:r>
      <w:hyperlink r:id="rId599">
        <w:r>
          <w:rPr>
            <w:rStyle w:val="Hyperlink"/>
          </w:rPr>
          <w:t xml:space="preserve">https://www.pinecone.io/blog/byoc-generally-available/</w:t>
        </w:r>
      </w:hyperlink>
      <w:r>
        <w:t xml:space="preserve"> </w:t>
      </w:r>
      <w:r>
        <w:t xml:space="preserve">accessed 2026-10-08 [search-tool extract]</w:t>
      </w:r>
    </w:p>
  </w:footnote>
  <w:footnote w:id="602">
    <w:p>
      <w:pPr>
        <w:pStyle w:val="FootnoteText"/>
      </w:pPr>
      <w:r>
        <w:rPr>
          <w:rStyle w:val="FootnoteReference"/>
        </w:rPr>
        <w:footnoteRef/>
      </w:r>
      <w:r>
        <w:t xml:space="preserve"> </w:t>
      </w:r>
      <w:r>
        <w:t xml:space="preserve">Verified fact — B-L6-S003: Pinecone 2026 release notes; available cloud regions; Singapore region announcement</w:t>
      </w:r>
      <w:r>
        <w:t xml:space="preserve"> </w:t>
      </w:r>
      <w:hyperlink r:id="rId603">
        <w:r>
          <w:rPr>
            <w:rStyle w:val="Hyperlink"/>
          </w:rPr>
          <w:t xml:space="preserve">https://docs.pinecone.io/release-notes/2026</w:t>
        </w:r>
      </w:hyperlink>
      <w:r>
        <w:t xml:space="preserve"> </w:t>
      </w:r>
      <w:r>
        <w:t xml:space="preserve">accessed 2026-10-08 [search-tool extract]</w:t>
      </w:r>
    </w:p>
  </w:footnote>
  <w:footnote w:id="604">
    <w:p>
      <w:pPr>
        <w:pStyle w:val="FootnoteText"/>
      </w:pPr>
      <w:r>
        <w:rPr>
          <w:rStyle w:val="FootnoteReference"/>
        </w:rPr>
        <w:footnoteRef/>
      </w:r>
      <w:r>
        <w:t xml:space="preserve"> </w:t>
      </w:r>
      <w:r>
        <w:t xml:space="preserve">Verified fact — A2-S051: pinecone (Python SDK) - PyPI (PyPI / Pinecone Systems, Inc.)</w:t>
      </w:r>
      <w:r>
        <w:t xml:space="preserve"> </w:t>
      </w:r>
      <w:hyperlink r:id="rId590">
        <w:r>
          <w:rPr>
            <w:rStyle w:val="Hyperlink"/>
          </w:rPr>
          <w:t xml:space="preserve">https://pypi.org/project/pinecone/</w:t>
        </w:r>
      </w:hyperlink>
      <w:r>
        <w:t xml:space="preserve"> </w:t>
      </w:r>
      <w:r>
        <w:t xml:space="preserve">accessed 2026-10-07; A2-S073: General Availability of Pinecone Nexus Proves Knowledge Drives Real Outcomes for Agentic AI</w:t>
      </w:r>
      <w:r>
        <w:t xml:space="preserve"> </w:t>
      </w:r>
      <w:hyperlink r:id="rId593">
        <w:r>
          <w:rPr>
            <w:rStyle w:val="Hyperlink"/>
          </w:rPr>
          <w:t xml:space="preserve">https://www.pinecone.io/newsroom/general-availability-of-pinecone-nexus-proves-knowledge-drives-real-outcomes-for-agentic-ai/</w:t>
        </w:r>
      </w:hyperlink>
      <w:r>
        <w:t xml:space="preserve"> </w:t>
      </w:r>
      <w:r>
        <w:t xml:space="preserve">accessed 2026-10-07 [search-tool extract]</w:t>
      </w:r>
    </w:p>
  </w:footnote>
  <w:footnote w:id="605">
    <w:p>
      <w:pPr>
        <w:pStyle w:val="FootnoteText"/>
      </w:pPr>
      <w:r>
        <w:rPr>
          <w:rStyle w:val="FootnoteReference"/>
        </w:rPr>
        <w:footnoteRef/>
      </w:r>
      <w:r>
        <w:t xml:space="preserve"> </w:t>
      </w:r>
      <w:r>
        <w:t xml:space="preserve">Verified fact — V1-S034: Pinecone BYOC: Trusted AI Knowledge in the Customer Cloud (GA); BYOC docs; 2026 release notes</w:t>
      </w:r>
      <w:r>
        <w:t xml:space="preserve"> </w:t>
      </w:r>
      <w:hyperlink r:id="rId599">
        <w:r>
          <w:rPr>
            <w:rStyle w:val="Hyperlink"/>
          </w:rPr>
          <w:t xml:space="preserve">https://www.pinecone.io/blog/byoc-generally-available/</w:t>
        </w:r>
      </w:hyperlink>
      <w:r>
        <w:t xml:space="preserve"> </w:t>
      </w:r>
      <w:r>
        <w:t xml:space="preserve">accessed 2026-10-08 [search-tool extract]</w:t>
      </w:r>
    </w:p>
  </w:footnote>
  <w:footnote w:id="606">
    <w:p>
      <w:pPr>
        <w:pStyle w:val="FootnoteText"/>
      </w:pPr>
      <w:r>
        <w:rPr>
          <w:rStyle w:val="FootnoteReference"/>
        </w:rPr>
        <w:footnoteRef/>
      </w:r>
      <w:r>
        <w:t xml:space="preserve"> </w:t>
      </w:r>
      <w:r>
        <w:t xml:space="preserve">Verified fact — A2-S051: pinecone (Python SDK) - PyPI (PyPI / Pinecone Systems, Inc.)</w:t>
      </w:r>
      <w:r>
        <w:t xml:space="preserve"> </w:t>
      </w:r>
      <w:hyperlink r:id="rId590">
        <w:r>
          <w:rPr>
            <w:rStyle w:val="Hyperlink"/>
          </w:rPr>
          <w:t xml:space="preserve">https://pypi.org/project/pinecone/</w:t>
        </w:r>
      </w:hyperlink>
      <w:r>
        <w:t xml:space="preserve"> </w:t>
      </w:r>
      <w:r>
        <w:t xml:space="preserve">accessed 2026-10-07</w:t>
      </w:r>
    </w:p>
  </w:footnote>
  <w:footnote w:id="607">
    <w:p>
      <w:pPr>
        <w:pStyle w:val="FootnoteText"/>
      </w:pPr>
      <w:r>
        <w:rPr>
          <w:rStyle w:val="FootnoteReference"/>
        </w:rPr>
        <w:footnoteRef/>
      </w:r>
      <w:r>
        <w:t xml:space="preserve"> </w:t>
      </w:r>
      <w:r>
        <w:t xml:space="preserve">Verified fact — A2-S075: Pinecone Raises $100M in Series B Funding to Provide Long-Term Memory for AI</w:t>
      </w:r>
      <w:r>
        <w:t xml:space="preserve"> </w:t>
      </w:r>
      <w:hyperlink r:id="rId608">
        <w:r>
          <w:rPr>
            <w:rStyle w:val="Hyperlink"/>
          </w:rPr>
          <w:t xml:space="preserve">https://www.pinecone.io/newsroom/pinecone-raises-usd100m-in-series-b-funding-to-provide-long-term-memory-for-ai/</w:t>
        </w:r>
      </w:hyperlink>
      <w:r>
        <w:t xml:space="preserve"> </w:t>
      </w:r>
      <w:r>
        <w:t xml:space="preserve">accessed 2026-10-07 [search-tool extract]; A2-S068: Pinecone Founder Edo Liberty to Spearhead Pinecone’s Growing AI Ambitions; Appoints Ash Ashutosh as CEO</w:t>
      </w:r>
      <w:r>
        <w:t xml:space="preserve"> </w:t>
      </w:r>
      <w:hyperlink r:id="rId609">
        <w:r>
          <w:rPr>
            <w:rStyle w:val="Hyperlink"/>
          </w:rPr>
          <w:t xml:space="preserve">https://www.pinecone.io/newsroom/next-chapter/</w:t>
        </w:r>
      </w:hyperlink>
      <w:r>
        <w:t xml:space="preserve"> </w:t>
      </w:r>
      <w:r>
        <w:t xml:space="preserve">accessed 2026-10-07 [search-tool extract]</w:t>
      </w:r>
    </w:p>
  </w:footnote>
  <w:footnote w:id="610">
    <w:p>
      <w:pPr>
        <w:pStyle w:val="FootnoteText"/>
      </w:pPr>
      <w:r>
        <w:rPr>
          <w:rStyle w:val="FootnoteReference"/>
        </w:rPr>
        <w:footnoteRef/>
      </w:r>
      <w:r>
        <w:t xml:space="preserve"> </w:t>
      </w:r>
      <w:r>
        <w:t xml:space="preserve">Verified fact — A2-S069: Bring Your Own Cloud (BYOC) - Pinecone Docs</w:t>
      </w:r>
      <w:r>
        <w:t xml:space="preserve"> </w:t>
      </w:r>
      <w:hyperlink r:id="rId601">
        <w:r>
          <w:rPr>
            <w:rStyle w:val="Hyperlink"/>
          </w:rPr>
          <w:t xml:space="preserve">https://docs.pinecone.io/guides/production/bring-your-own-cloud</w:t>
        </w:r>
      </w:hyperlink>
      <w:r>
        <w:t xml:space="preserve"> </w:t>
      </w:r>
      <w:r>
        <w:t xml:space="preserve">accessed 2026-10-07 [search-tool extract]</w:t>
      </w:r>
    </w:p>
  </w:footnote>
  <w:footnote w:id="612">
    <w:p>
      <w:pPr>
        <w:pStyle w:val="FootnoteText"/>
      </w:pPr>
      <w:r>
        <w:rPr>
          <w:rStyle w:val="FootnoteReference"/>
        </w:rPr>
        <w:footnoteRef/>
      </w:r>
      <w:r>
        <w:t xml:space="preserve"> </w:t>
      </w:r>
      <w:r>
        <w:t xml:space="preserve">Verified fact — A2-S110: Weaviate 1.39 Release</w:t>
      </w:r>
      <w:r>
        <w:t xml:space="preserve"> </w:t>
      </w:r>
      <w:hyperlink r:id="rId613">
        <w:r>
          <w:rPr>
            <w:rStyle w:val="Hyperlink"/>
          </w:rPr>
          <w:t xml:space="preserve">https://weaviate.io/blog/weaviate-1-39-release</w:t>
        </w:r>
      </w:hyperlink>
      <w:r>
        <w:t xml:space="preserve"> </w:t>
      </w:r>
      <w:r>
        <w:t xml:space="preserve">accessed 2026-10-07 [search-tool extract]; A2-S109: Releases - weaviate/weaviate (Weaviate)</w:t>
      </w:r>
      <w:r>
        <w:t xml:space="preserve"> </w:t>
      </w:r>
      <w:hyperlink r:id="rId614">
        <w:r>
          <w:rPr>
            <w:rStyle w:val="Hyperlink"/>
          </w:rPr>
          <w:t xml:space="preserve">https://github.com/weaviate/weaviate/releases</w:t>
        </w:r>
      </w:hyperlink>
      <w:r>
        <w:t xml:space="preserve"> </w:t>
      </w:r>
      <w:r>
        <w:t xml:space="preserve">accessed 2026-10-07 [search-tool extract]; A2-S115: weaviate/weaviate (README and licence files; PR #13360) (Weaviate)</w:t>
      </w:r>
      <w:r>
        <w:t xml:space="preserve"> </w:t>
      </w:r>
      <w:hyperlink r:id="rId615">
        <w:r>
          <w:rPr>
            <w:rStyle w:val="Hyperlink"/>
          </w:rPr>
          <w:t xml:space="preserve">https://github.com/weaviate/weaviate</w:t>
        </w:r>
      </w:hyperlink>
      <w:r>
        <w:t xml:space="preserve"> </w:t>
      </w:r>
      <w:r>
        <w:t xml:space="preserve">accessed 2026-10-07 [search-tool extract]</w:t>
      </w:r>
    </w:p>
  </w:footnote>
  <w:footnote w:id="616">
    <w:p>
      <w:pPr>
        <w:pStyle w:val="FootnoteText"/>
      </w:pPr>
      <w:r>
        <w:rPr>
          <w:rStyle w:val="FootnoteReference"/>
        </w:rPr>
        <w:footnoteRef/>
      </w:r>
      <w:r>
        <w:t xml:space="preserve"> </w:t>
      </w:r>
      <w:r>
        <w:t xml:space="preserve">Verified fact — A2-S111: Vector Database Pricing - Weaviate</w:t>
      </w:r>
      <w:r>
        <w:t xml:space="preserve"> </w:t>
      </w:r>
      <w:hyperlink r:id="rId617">
        <w:r>
          <w:rPr>
            <w:rStyle w:val="Hyperlink"/>
          </w:rPr>
          <w:t xml:space="preserve">https://weaviate.io/pricing</w:t>
        </w:r>
      </w:hyperlink>
      <w:r>
        <w:t xml:space="preserve"> </w:t>
      </w:r>
      <w:r>
        <w:t xml:space="preserve">accessed 2026-10-07 [search-tool extract]; A2-S112: Weaviate is now ISO 27001 compliant</w:t>
      </w:r>
      <w:r>
        <w:t xml:space="preserve"> </w:t>
      </w:r>
      <w:hyperlink r:id="rId618">
        <w:r>
          <w:rPr>
            <w:rStyle w:val="Hyperlink"/>
          </w:rPr>
          <w:t xml:space="preserve">https://weaviate.io/blog/weaviate-iso-compliant</w:t>
        </w:r>
      </w:hyperlink>
      <w:r>
        <w:t xml:space="preserve"> </w:t>
      </w:r>
      <w:r>
        <w:t xml:space="preserve">accessed 2026-10-07 [search-tool extract]; A2-S113: Secure AI for Healthcare: HIPAA-compliant vector search with Weaviate</w:t>
      </w:r>
      <w:r>
        <w:t xml:space="preserve"> </w:t>
      </w:r>
      <w:hyperlink r:id="rId619">
        <w:r>
          <w:rPr>
            <w:rStyle w:val="Hyperlink"/>
          </w:rPr>
          <w:t xml:space="preserve">https://weaviate.io/blog/weaviate-hipaa-compliant</w:t>
        </w:r>
      </w:hyperlink>
      <w:r>
        <w:t xml:space="preserve"> </w:t>
      </w:r>
      <w:r>
        <w:t xml:space="preserve">accessed 2026-10-07 [search-tool extract]</w:t>
      </w:r>
    </w:p>
  </w:footnote>
  <w:footnote w:id="620">
    <w:p>
      <w:pPr>
        <w:pStyle w:val="FootnoteText"/>
      </w:pPr>
      <w:r>
        <w:rPr>
          <w:rStyle w:val="FootnoteReference"/>
        </w:rPr>
        <w:footnoteRef/>
      </w:r>
      <w:r>
        <w:t xml:space="preserve"> </w:t>
      </w:r>
      <w:r>
        <w:t xml:space="preserve">Verified fact — B-L6-S009: Weaviate RBAC configuration; Authentication (OIDC); Logging (audit)</w:t>
      </w:r>
      <w:r>
        <w:t xml:space="preserve"> </w:t>
      </w:r>
      <w:hyperlink r:id="rId621">
        <w:r>
          <w:rPr>
            <w:rStyle w:val="Hyperlink"/>
          </w:rPr>
          <w:t xml:space="preserve">https://docs.weaviate.io/deploy/configuration/configuring-rbac</w:t>
        </w:r>
      </w:hyperlink>
      <w:r>
        <w:t xml:space="preserve"> </w:t>
      </w:r>
      <w:r>
        <w:t xml:space="preserve">accessed 2026-10-08 [search-tool extract]</w:t>
      </w:r>
    </w:p>
  </w:footnote>
  <w:footnote w:id="622">
    <w:p>
      <w:pPr>
        <w:pStyle w:val="FootnoteText"/>
      </w:pPr>
      <w:r>
        <w:rPr>
          <w:rStyle w:val="FootnoteReference"/>
        </w:rPr>
        <w:footnoteRef/>
      </w:r>
      <w:r>
        <w:t xml:space="preserve"> </w:t>
      </w:r>
      <w:r>
        <w:t xml:space="preserve">Verified fact — A2-S111: Vector Database Pricing - Weaviate</w:t>
      </w:r>
      <w:r>
        <w:t xml:space="preserve"> </w:t>
      </w:r>
      <w:hyperlink r:id="rId617">
        <w:r>
          <w:rPr>
            <w:rStyle w:val="Hyperlink"/>
          </w:rPr>
          <w:t xml:space="preserve">https://weaviate.io/pricing</w:t>
        </w:r>
      </w:hyperlink>
      <w:r>
        <w:t xml:space="preserve"> </w:t>
      </w:r>
      <w:r>
        <w:t xml:space="preserve">accessed 2026-10-07 [search-tool extract]; A2-S114: Weaviate BYOC</w:t>
      </w:r>
      <w:r>
        <w:t xml:space="preserve"> </w:t>
      </w:r>
      <w:hyperlink r:id="rId623">
        <w:r>
          <w:rPr>
            <w:rStyle w:val="Hyperlink"/>
          </w:rPr>
          <w:t xml:space="preserve">https://weaviate.io/products/byoc</w:t>
        </w:r>
      </w:hyperlink>
      <w:r>
        <w:t xml:space="preserve"> </w:t>
      </w:r>
      <w:r>
        <w:t xml:space="preserve">accessed 2026-10-07 [search-tool extract]; A2-S115: weaviate/weaviate (README and licence files; PR #13360) (Weaviate)</w:t>
      </w:r>
      <w:r>
        <w:t xml:space="preserve"> </w:t>
      </w:r>
      <w:hyperlink r:id="rId615">
        <w:r>
          <w:rPr>
            <w:rStyle w:val="Hyperlink"/>
          </w:rPr>
          <w:t xml:space="preserve">https://github.com/weaviate/weaviate</w:t>
        </w:r>
      </w:hyperlink>
      <w:r>
        <w:t xml:space="preserve"> </w:t>
      </w:r>
      <w:r>
        <w:t xml:space="preserve">accessed 2026-10-07 [search-tool extract]</w:t>
      </w:r>
    </w:p>
  </w:footnote>
  <w:footnote w:id="624">
    <w:p>
      <w:pPr>
        <w:pStyle w:val="FootnoteText"/>
      </w:pPr>
      <w:r>
        <w:rPr>
          <w:rStyle w:val="FootnoteReference"/>
        </w:rPr>
        <w:footnoteRef/>
      </w:r>
      <w:r>
        <w:t xml:space="preserve"> </w:t>
      </w:r>
      <w:r>
        <w:t xml:space="preserve">Verified fact — A2-S115: weaviate/weaviate (README and licence files; PR #13360) (Weaviate)</w:t>
      </w:r>
      <w:r>
        <w:t xml:space="preserve"> </w:t>
      </w:r>
      <w:hyperlink r:id="rId615">
        <w:r>
          <w:rPr>
            <w:rStyle w:val="Hyperlink"/>
          </w:rPr>
          <w:t xml:space="preserve">https://github.com/weaviate/weaviate</w:t>
        </w:r>
      </w:hyperlink>
      <w:r>
        <w:t xml:space="preserve"> </w:t>
      </w:r>
      <w:r>
        <w:t xml:space="preserve">accessed 2026-10-07 [search-tool extract]; V1-S070: weaviate/weaviate README (Community vs Enterprise Edition), releases, PR #13360, PR #12942 (Weaviate (GitHub))</w:t>
      </w:r>
      <w:r>
        <w:t xml:space="preserve"> </w:t>
      </w:r>
      <w:hyperlink r:id="rId615">
        <w:r>
          <w:rPr>
            <w:rStyle w:val="Hyperlink"/>
          </w:rPr>
          <w:t xml:space="preserve">https://github.com/weaviate/weaviate</w:t>
        </w:r>
      </w:hyperlink>
      <w:r>
        <w:t xml:space="preserve"> </w:t>
      </w:r>
      <w:r>
        <w:t xml:space="preserve">accessed 2026-10-08 [search-tool extract]</w:t>
      </w:r>
    </w:p>
  </w:footnote>
  <w:footnote w:id="625">
    <w:p>
      <w:pPr>
        <w:pStyle w:val="FootnoteText"/>
      </w:pPr>
      <w:r>
        <w:rPr>
          <w:rStyle w:val="FootnoteReference"/>
        </w:rPr>
        <w:footnoteRef/>
      </w:r>
      <w:r>
        <w:t xml:space="preserve"> </w:t>
      </w:r>
      <w:r>
        <w:t xml:space="preserve">Verified fact — A2-S109: Releases - weaviate/weaviate (Weaviate)</w:t>
      </w:r>
      <w:r>
        <w:t xml:space="preserve"> </w:t>
      </w:r>
      <w:hyperlink r:id="rId614">
        <w:r>
          <w:rPr>
            <w:rStyle w:val="Hyperlink"/>
          </w:rPr>
          <w:t xml:space="preserve">https://github.com/weaviate/weaviate/releases</w:t>
        </w:r>
      </w:hyperlink>
      <w:r>
        <w:t xml:space="preserve"> </w:t>
      </w:r>
      <w:r>
        <w:t xml:space="preserve">accessed 2026-10-07 [search-tool extract]</w:t>
      </w:r>
    </w:p>
  </w:footnote>
  <w:footnote w:id="626">
    <w:p>
      <w:pPr>
        <w:pStyle w:val="FootnoteText"/>
      </w:pPr>
      <w:r>
        <w:rPr>
          <w:rStyle w:val="FootnoteReference"/>
        </w:rPr>
        <w:footnoteRef/>
      </w:r>
      <w:r>
        <w:t xml:space="preserve"> </w:t>
      </w:r>
      <w:r>
        <w:t xml:space="preserve">Verified fact — B-L6-S009: Weaviate RBAC configuration; Authentication (OIDC); Logging (audit)</w:t>
      </w:r>
      <w:r>
        <w:t xml:space="preserve"> </w:t>
      </w:r>
      <w:hyperlink r:id="rId621">
        <w:r>
          <w:rPr>
            <w:rStyle w:val="Hyperlink"/>
          </w:rPr>
          <w:t xml:space="preserve">https://docs.weaviate.io/deploy/configuration/configuring-rbac</w:t>
        </w:r>
      </w:hyperlink>
      <w:r>
        <w:t xml:space="preserve"> </w:t>
      </w:r>
      <w:r>
        <w:t xml:space="preserve">accessed 2026-10-08 [search-tool extract]; A2-S114: Weaviate BYOC</w:t>
      </w:r>
      <w:r>
        <w:t xml:space="preserve"> </w:t>
      </w:r>
      <w:hyperlink r:id="rId623">
        <w:r>
          <w:rPr>
            <w:rStyle w:val="Hyperlink"/>
          </w:rPr>
          <w:t xml:space="preserve">https://weaviate.io/products/byoc</w:t>
        </w:r>
      </w:hyperlink>
      <w:r>
        <w:t xml:space="preserve"> </w:t>
      </w:r>
      <w:r>
        <w:t xml:space="preserve">accessed 2026-10-07 [search-tool extract]</w:t>
      </w:r>
    </w:p>
  </w:footnote>
  <w:footnote w:id="627">
    <w:p>
      <w:pPr>
        <w:pStyle w:val="FootnoteText"/>
      </w:pPr>
      <w:r>
        <w:rPr>
          <w:rStyle w:val="FootnoteReference"/>
        </w:rPr>
        <w:footnoteRef/>
      </w:r>
      <w:r>
        <w:t xml:space="preserve"> </w:t>
      </w:r>
      <w:r>
        <w:t xml:space="preserve">Verified fact — A2-S111: Vector Database Pricing - Weaviate</w:t>
      </w:r>
      <w:r>
        <w:t xml:space="preserve"> </w:t>
      </w:r>
      <w:hyperlink r:id="rId617">
        <w:r>
          <w:rPr>
            <w:rStyle w:val="Hyperlink"/>
          </w:rPr>
          <w:t xml:space="preserve">https://weaviate.io/pricing</w:t>
        </w:r>
      </w:hyperlink>
      <w:r>
        <w:t xml:space="preserve"> </w:t>
      </w:r>
      <w:r>
        <w:t xml:space="preserve">accessed 2026-10-07 [search-tool extract]</w:t>
      </w:r>
    </w:p>
  </w:footnote>
  <w:footnote w:id="628">
    <w:p>
      <w:pPr>
        <w:pStyle w:val="FootnoteText"/>
      </w:pPr>
      <w:r>
        <w:rPr>
          <w:rStyle w:val="FootnoteReference"/>
        </w:rPr>
        <w:footnoteRef/>
      </w:r>
      <w:r>
        <w:t xml:space="preserve"> </w:t>
      </w:r>
      <w:r>
        <w:t xml:space="preserve">Reported — A2-S116: Weaviate reels in $50M for its AI-optimized vector database (SiliconANGLE)</w:t>
      </w:r>
      <w:r>
        <w:t xml:space="preserve"> </w:t>
      </w:r>
      <w:hyperlink r:id="rId629">
        <w:r>
          <w:rPr>
            <w:rStyle w:val="Hyperlink"/>
          </w:rPr>
          <w:t xml:space="preserve">https://siliconangle.com/2023/04/21/weaviate-reels-50m-ai-optimized-vector-database/</w:t>
        </w:r>
      </w:hyperlink>
      <w:r>
        <w:t xml:space="preserve"> </w:t>
      </w:r>
      <w:r>
        <w:t xml:space="preserve">accessed 2026-10-07 [search-tool extract]</w:t>
      </w:r>
    </w:p>
  </w:footnote>
  <w:footnote w:id="631">
    <w:p>
      <w:pPr>
        <w:pStyle w:val="FootnoteText"/>
      </w:pPr>
      <w:r>
        <w:rPr>
          <w:rStyle w:val="FootnoteReference"/>
        </w:rPr>
        <w:footnoteRef/>
      </w:r>
      <w:r>
        <w:t xml:space="preserve"> </w:t>
      </w:r>
      <w:r>
        <w:t xml:space="preserve">Verified fact — A2-S137: MongoDB Search and Vector Search Now Run Anywhere</w:t>
      </w:r>
      <w:r>
        <w:t xml:space="preserve"> </w:t>
      </w:r>
      <w:hyperlink r:id="rId632">
        <w:r>
          <w:rPr>
            <w:rStyle w:val="Hyperlink"/>
          </w:rPr>
          <w:t xml:space="preserve">https://www.mongodb.com/company/blog/product-release-announcements/mongodb-search-vector-search-now-run-anywhere</w:t>
        </w:r>
      </w:hyperlink>
      <w:r>
        <w:t xml:space="preserve"> </w:t>
      </w:r>
      <w:r>
        <w:t xml:space="preserve">accessed 2026-10-07 [search-tool extract]; A2-S141: Context Engineering Has a Retrieval Issue: Introducing rerank-3 and Native Reranking (MongoDB)</w:t>
      </w:r>
      <w:r>
        <w:t xml:space="preserve"> </w:t>
      </w:r>
      <w:hyperlink r:id="rId500">
        <w:r>
          <w:rPr>
            <w:rStyle w:val="Hyperlink"/>
          </w:rPr>
          <w:t xml:space="preserve">https://www.mongodb.com/company/blog/product-release-announcements/introducing-rerank-3-and-native-rerank</w:t>
        </w:r>
      </w:hyperlink>
      <w:r>
        <w:t xml:space="preserve"> </w:t>
      </w:r>
      <w:r>
        <w:t xml:space="preserve">accessed 2026-10-07 [search-tool extract]; A2-S078: Unlocking AI Search: Introducing Automated Embedding in MongoDB Vector Search</w:t>
      </w:r>
      <w:r>
        <w:t xml:space="preserve"> </w:t>
      </w:r>
      <w:hyperlink r:id="rId496">
        <w:r>
          <w:rPr>
            <w:rStyle w:val="Hyperlink"/>
          </w:rPr>
          <w:t xml:space="preserve">https://www.mongodb.com/company/blog/product-release-announcements/unlocking-ai-search-introducing-automated-embedding-in-mongodb-vector-search</w:t>
        </w:r>
      </w:hyperlink>
      <w:r>
        <w:t xml:space="preserve"> </w:t>
      </w:r>
      <w:r>
        <w:t xml:space="preserve">accessed 2026-10-07 [search-tool extract]; V1-S035: MongoDB Delivers Accurate AI Retrieval Wherever Enterprise Data Lives; Community Edition product page (MongoDB, Inc.)</w:t>
      </w:r>
      <w:r>
        <w:t xml:space="preserve"> </w:t>
      </w:r>
      <w:hyperlink r:id="rId633">
        <w:r>
          <w:rPr>
            <w:rStyle w:val="Hyperlink"/>
          </w:rPr>
          <w:t xml:space="preserve">https://investors.mongodb.com/news-releases/news-release-details/mongodb-delivers-accurate-ai-retrieval-wherever-enterprise-data</w:t>
        </w:r>
      </w:hyperlink>
      <w:r>
        <w:t xml:space="preserve"> </w:t>
      </w:r>
      <w:r>
        <w:t xml:space="preserve">accessed 2026-10-08 [search-tool extract]</w:t>
      </w:r>
    </w:p>
  </w:footnote>
  <w:footnote w:id="634">
    <w:p>
      <w:pPr>
        <w:pStyle w:val="FootnoteText"/>
      </w:pPr>
      <w:r>
        <w:rPr>
          <w:rStyle w:val="FootnoteReference"/>
        </w:rPr>
        <w:footnoteRef/>
      </w:r>
      <w:r>
        <w:t xml:space="preserve"> </w:t>
      </w:r>
      <w:r>
        <w:t xml:space="preserve">Verified fact — A2-S138: MongoDB Atlas Trust Center</w:t>
      </w:r>
      <w:r>
        <w:t xml:space="preserve"> </w:t>
      </w:r>
      <w:hyperlink r:id="rId493">
        <w:r>
          <w:rPr>
            <w:rStyle w:val="Hyperlink"/>
          </w:rPr>
          <w:t xml:space="preserve">https://www.mongodb.com/products/platform/trust</w:t>
        </w:r>
      </w:hyperlink>
      <w:r>
        <w:t xml:space="preserve"> </w:t>
      </w:r>
      <w:r>
        <w:t xml:space="preserve">accessed 2026-10-07 [search-tool extract]</w:t>
      </w:r>
    </w:p>
  </w:footnote>
  <w:footnote w:id="635">
    <w:p>
      <w:pPr>
        <w:pStyle w:val="FootnoteText"/>
      </w:pPr>
      <w:r>
        <w:rPr>
          <w:rStyle w:val="FootnoteReference"/>
        </w:rPr>
        <w:footnoteRef/>
      </w:r>
      <w:r>
        <w:t xml:space="preserve"> </w:t>
      </w:r>
      <w:r>
        <w:t xml:space="preserve">Verified fact — B-L6-S001: Manage Identity Providers (Atlas federated authentication); Guidance for Atlas Authorization; Set Up Database Auditing (MongoDB)</w:t>
      </w:r>
      <w:r>
        <w:t xml:space="preserve"> </w:t>
      </w:r>
      <w:hyperlink r:id="rId636">
        <w:r>
          <w:rPr>
            <w:rStyle w:val="Hyperlink"/>
          </w:rPr>
          <w:t xml:space="preserve">https://www.mongodb.com/docs/atlas/security/manage-federated-auth/</w:t>
        </w:r>
      </w:hyperlink>
      <w:r>
        <w:t xml:space="preserve"> </w:t>
      </w:r>
      <w:r>
        <w:t xml:space="preserve">accessed 2026-10-08 [search-tool extract]</w:t>
      </w:r>
    </w:p>
  </w:footnote>
  <w:footnote w:id="637">
    <w:p>
      <w:pPr>
        <w:pStyle w:val="FootnoteText"/>
      </w:pPr>
      <w:r>
        <w:rPr>
          <w:rStyle w:val="FootnoteReference"/>
        </w:rPr>
        <w:footnoteRef/>
      </w:r>
      <w:r>
        <w:t xml:space="preserve"> </w:t>
      </w:r>
      <w:r>
        <w:t xml:space="preserve">Verified fact — A2-S137: MongoDB Search and Vector Search Now Run Anywhere</w:t>
      </w:r>
      <w:r>
        <w:t xml:space="preserve"> </w:t>
      </w:r>
      <w:hyperlink r:id="rId632">
        <w:r>
          <w:rPr>
            <w:rStyle w:val="Hyperlink"/>
          </w:rPr>
          <w:t xml:space="preserve">https://www.mongodb.com/company/blog/product-release-announcements/mongodb-search-vector-search-now-run-anywhere</w:t>
        </w:r>
      </w:hyperlink>
      <w:r>
        <w:t xml:space="preserve"> </w:t>
      </w:r>
      <w:r>
        <w:t xml:space="preserve">accessed 2026-10-07 [search-tool extract]</w:t>
      </w:r>
    </w:p>
  </w:footnote>
  <w:footnote w:id="638">
    <w:p>
      <w:pPr>
        <w:pStyle w:val="FootnoteText"/>
      </w:pPr>
      <w:r>
        <w:rPr>
          <w:rStyle w:val="FootnoteReference"/>
        </w:rPr>
        <w:footnoteRef/>
      </w:r>
      <w:r>
        <w:t xml:space="preserve"> </w:t>
      </w:r>
      <w:r>
        <w:t xml:space="preserve">Verified fact — A2-S137: MongoDB Search and Vector Search Now Run Anywhere</w:t>
      </w:r>
      <w:r>
        <w:t xml:space="preserve"> </w:t>
      </w:r>
      <w:hyperlink r:id="rId632">
        <w:r>
          <w:rPr>
            <w:rStyle w:val="Hyperlink"/>
          </w:rPr>
          <w:t xml:space="preserve">https://www.mongodb.com/company/blog/product-release-announcements/mongodb-search-vector-search-now-run-anywhere</w:t>
        </w:r>
      </w:hyperlink>
      <w:r>
        <w:t xml:space="preserve"> </w:t>
      </w:r>
      <w:r>
        <w:t xml:space="preserve">accessed 2026-10-07 [search-tool extract]; A2-S141: Context Engineering Has a Retrieval Issue: Introducing rerank-3 and Native Reranking (MongoDB)</w:t>
      </w:r>
      <w:r>
        <w:t xml:space="preserve"> </w:t>
      </w:r>
      <w:hyperlink r:id="rId500">
        <w:r>
          <w:rPr>
            <w:rStyle w:val="Hyperlink"/>
          </w:rPr>
          <w:t xml:space="preserve">https://www.mongodb.com/company/blog/product-release-announcements/introducing-rerank-3-and-native-rerank</w:t>
        </w:r>
      </w:hyperlink>
      <w:r>
        <w:t xml:space="preserve"> </w:t>
      </w:r>
      <w:r>
        <w:t xml:space="preserve">accessed 2026-10-07 [search-tool extract]</w:t>
      </w:r>
    </w:p>
  </w:footnote>
  <w:footnote w:id="639">
    <w:p>
      <w:pPr>
        <w:pStyle w:val="FootnoteText"/>
      </w:pPr>
      <w:r>
        <w:rPr>
          <w:rStyle w:val="FootnoteReference"/>
        </w:rPr>
        <w:footnoteRef/>
      </w:r>
      <w:r>
        <w:t xml:space="preserve"> </w:t>
      </w:r>
      <w:r>
        <w:t xml:space="preserve">Verified fact — A2-S139: Encryption at Rest using Customer Key Management - Atlas (MongoDB)</w:t>
      </w:r>
      <w:r>
        <w:t xml:space="preserve"> </w:t>
      </w:r>
      <w:hyperlink r:id="rId640">
        <w:r>
          <w:rPr>
            <w:rStyle w:val="Hyperlink"/>
          </w:rPr>
          <w:t xml:space="preserve">https://www.mongodb.com/docs/atlas/security-kms-encryption/</w:t>
        </w:r>
      </w:hyperlink>
      <w:r>
        <w:t xml:space="preserve"> </w:t>
      </w:r>
      <w:r>
        <w:t xml:space="preserve">accessed 2026-10-07 [search-tool extract]</w:t>
      </w:r>
    </w:p>
  </w:footnote>
  <w:footnote w:id="641">
    <w:p>
      <w:pPr>
        <w:pStyle w:val="FootnoteText"/>
      </w:pPr>
      <w:r>
        <w:rPr>
          <w:rStyle w:val="FootnoteReference"/>
        </w:rPr>
        <w:footnoteRef/>
      </w:r>
      <w:r>
        <w:t xml:space="preserve"> </w:t>
      </w:r>
      <w:r>
        <w:t xml:space="preserve">Verified fact — A2-S141: Context Engineering Has a Retrieval Issue: Introducing rerank-3 and Native Reranking (MongoDB)</w:t>
      </w:r>
      <w:r>
        <w:t xml:space="preserve"> </w:t>
      </w:r>
      <w:hyperlink r:id="rId500">
        <w:r>
          <w:rPr>
            <w:rStyle w:val="Hyperlink"/>
          </w:rPr>
          <w:t xml:space="preserve">https://www.mongodb.com/company/blog/product-release-announcements/introducing-rerank-3-and-native-rerank</w:t>
        </w:r>
      </w:hyperlink>
      <w:r>
        <w:t xml:space="preserve"> </w:t>
      </w:r>
      <w:r>
        <w:t xml:space="preserve">accessed 2026-10-07 [search-tool extract]; A2-S142: Europe Data Residency for Atlas Embedding and Reranking (MongoDB)</w:t>
      </w:r>
      <w:r>
        <w:t xml:space="preserve"> </w:t>
      </w:r>
      <w:hyperlink r:id="rId503">
        <w:r>
          <w:rPr>
            <w:rStyle w:val="Hyperlink"/>
          </w:rPr>
          <w:t xml:space="preserve">https://www.mongodb.com/company/blog/product-release-announcements/europe-data-residency-for-atlas-embedding-reranking</w:t>
        </w:r>
      </w:hyperlink>
      <w:r>
        <w:t xml:space="preserve"> </w:t>
      </w:r>
      <w:r>
        <w:t xml:space="preserve">accessed 2026-10-07 [search-tool extract]</w:t>
      </w:r>
    </w:p>
  </w:footnote>
  <w:footnote w:id="642">
    <w:p>
      <w:pPr>
        <w:pStyle w:val="FootnoteText"/>
      </w:pPr>
      <w:r>
        <w:rPr>
          <w:rStyle w:val="FootnoteReference"/>
        </w:rPr>
        <w:footnoteRef/>
      </w:r>
      <w:r>
        <w:t xml:space="preserve"> </w:t>
      </w:r>
      <w:r>
        <w:t xml:space="preserve">Verified fact — B-REV-S027: SOC Compliance - MongoDB Atlas (MongoDB, Inc.)</w:t>
      </w:r>
      <w:r>
        <w:t xml:space="preserve"> </w:t>
      </w:r>
      <w:hyperlink r:id="rId643">
        <w:r>
          <w:rPr>
            <w:rStyle w:val="Hyperlink"/>
          </w:rPr>
          <w:t xml:space="preserve">https://www.mongodb.com/products/platform/trust/soc</w:t>
        </w:r>
      </w:hyperlink>
      <w:r>
        <w:t xml:space="preserve"> </w:t>
      </w:r>
      <w:r>
        <w:t xml:space="preserve">accessed 2026-10-08 [search-tool extract]; B-L6-S001: Manage Identity Providers (Atlas federated authentication); Guidance for Atlas Authorization; Set Up Database Auditing (MongoDB)</w:t>
      </w:r>
      <w:r>
        <w:t xml:space="preserve"> </w:t>
      </w:r>
      <w:hyperlink r:id="rId636">
        <w:r>
          <w:rPr>
            <w:rStyle w:val="Hyperlink"/>
          </w:rPr>
          <w:t xml:space="preserve">https://www.mongodb.com/docs/atlas/security/manage-federated-auth/</w:t>
        </w:r>
      </w:hyperlink>
      <w:r>
        <w:t xml:space="preserve"> </w:t>
      </w:r>
      <w:r>
        <w:t xml:space="preserve">accessed 2026-10-08 [search-tool extract]</w:t>
      </w:r>
    </w:p>
  </w:footnote>
  <w:footnote w:id="645">
    <w:p>
      <w:pPr>
        <w:pStyle w:val="FootnoteText"/>
      </w:pPr>
      <w:r>
        <w:rPr>
          <w:rStyle w:val="FootnoteReference"/>
        </w:rPr>
        <w:footnoteRef/>
      </w:r>
      <w:r>
        <w:t xml:space="preserve"> </w:t>
      </w:r>
      <w:r>
        <w:t xml:space="preserve">Verified fact — A2-S092: Amazon S3 Vectors (feature page) (Amazon Web Services)</w:t>
      </w:r>
      <w:r>
        <w:t xml:space="preserve"> </w:t>
      </w:r>
      <w:hyperlink r:id="rId646">
        <w:r>
          <w:rPr>
            <w:rStyle w:val="Hyperlink"/>
          </w:rPr>
          <w:t xml:space="preserve">https://aws.amazon.com/s3/features/vectors/</w:t>
        </w:r>
      </w:hyperlink>
      <w:r>
        <w:t xml:space="preserve"> </w:t>
      </w:r>
      <w:r>
        <w:t xml:space="preserve">accessed 2026-10-07 [search-tool extract]</w:t>
      </w:r>
    </w:p>
  </w:footnote>
  <w:footnote w:id="647">
    <w:p>
      <w:pPr>
        <w:pStyle w:val="FootnoteText"/>
      </w:pPr>
      <w:r>
        <w:rPr>
          <w:rStyle w:val="FootnoteReference"/>
        </w:rPr>
        <w:footnoteRef/>
      </w:r>
      <w:r>
        <w:t xml:space="preserve"> </w:t>
      </w:r>
      <w:r>
        <w:t xml:space="preserve">Verified fact — A2-S083: Limitations and restrictions - Amazon S3 Vectors (Amazon Web Services)</w:t>
      </w:r>
      <w:r>
        <w:t xml:space="preserve"> </w:t>
      </w:r>
      <w:hyperlink r:id="rId648">
        <w:r>
          <w:rPr>
            <w:rStyle w:val="Hyperlink"/>
          </w:rPr>
          <w:t xml:space="preserve">https://docs.aws.amazon.com/AmazonS3/latest/userguide/s3-vectors-limitations.html</w:t>
        </w:r>
      </w:hyperlink>
      <w:r>
        <w:t xml:space="preserve"> </w:t>
      </w:r>
      <w:r>
        <w:t xml:space="preserve">accessed 2026-10-07 [search-tool extract]; A2-S086: Amazon S3 Vectors now supports up to 10,000 similarity search results per query (Amazon Web Services)</w:t>
      </w:r>
      <w:r>
        <w:t xml:space="preserve"> </w:t>
      </w:r>
      <w:hyperlink r:id="rId649">
        <w:r>
          <w:rPr>
            <w:rStyle w:val="Hyperlink"/>
          </w:rPr>
          <w:t xml:space="preserve">https://aws.amazon.com/about-aws/whats-new/2026/06/s3-vectors-supports-10000-search-results-per-query/</w:t>
        </w:r>
      </w:hyperlink>
      <w:r>
        <w:t xml:space="preserve"> </w:t>
      </w:r>
      <w:r>
        <w:t xml:space="preserve">accessed 2026-10-07 [search-tool extract]; A2-S089: Prerequisites for using a vector store you created for a knowledge base - Amazon Bedrock (Amazon Web Services)</w:t>
      </w:r>
      <w:r>
        <w:t xml:space="preserve"> </w:t>
      </w:r>
      <w:hyperlink r:id="rId650">
        <w:r>
          <w:rPr>
            <w:rStyle w:val="Hyperlink"/>
          </w:rPr>
          <w:t xml:space="preserve">https://docs.aws.amazon.com/bedrock/latest/userguide/knowledge-base-setup.html</w:t>
        </w:r>
      </w:hyperlink>
      <w:r>
        <w:t xml:space="preserve"> </w:t>
      </w:r>
      <w:r>
        <w:t xml:space="preserve">accessed 2026-10-07 [search-tool extract]; A2-S093: Selecting a vector store for Amazon Bedrock Knowledge Bases (Amazon Web Services (AWS Machine Learning Blog))</w:t>
      </w:r>
      <w:r>
        <w:t xml:space="preserve"> </w:t>
      </w:r>
      <w:hyperlink r:id="rId651">
        <w:r>
          <w:rPr>
            <w:rStyle w:val="Hyperlink"/>
          </w:rPr>
          <w:t xml:space="preserve">https://aws.amazon.com/blogs/machine-learning/selecting-a-vector-store-for-amazon-bedrock-knowledge-bases/</w:t>
        </w:r>
      </w:hyperlink>
      <w:r>
        <w:t xml:space="preserve"> </w:t>
      </w:r>
      <w:r>
        <w:t xml:space="preserve">accessed 2026-10-07 [search-tool extract]; V1-S030: Amazon S3 Vectors is now generally available with 40 times the scale of preview; S3 Vectors limitations; March 2026 region expansion (Amazon Web Services)</w:t>
      </w:r>
      <w:r>
        <w:t xml:space="preserve"> </w:t>
      </w:r>
      <w:hyperlink r:id="rId652">
        <w:r>
          <w:rPr>
            <w:rStyle w:val="Hyperlink"/>
          </w:rPr>
          <w:t xml:space="preserve">https://aws.amazon.com/about-aws/whats-new/2025/12/amazon-s3-vectors-generally-available/</w:t>
        </w:r>
      </w:hyperlink>
      <w:r>
        <w:t xml:space="preserve"> </w:t>
      </w:r>
      <w:r>
        <w:t xml:space="preserve">accessed 2026-10-08 [search-tool extract]</w:t>
      </w:r>
    </w:p>
  </w:footnote>
  <w:footnote w:id="653">
    <w:p>
      <w:pPr>
        <w:pStyle w:val="FootnoteText"/>
      </w:pPr>
      <w:r>
        <w:rPr>
          <w:rStyle w:val="FootnoteReference"/>
        </w:rPr>
        <w:footnoteRef/>
      </w:r>
      <w:r>
        <w:t xml:space="preserve"> </w:t>
      </w:r>
      <w:r>
        <w:t xml:space="preserve">Verified fact — A2-S087: Amazon S3 Pricing (S3 Vectors section) (Amazon Web Services)</w:t>
      </w:r>
      <w:r>
        <w:t xml:space="preserve"> </w:t>
      </w:r>
      <w:hyperlink r:id="rId654">
        <w:r>
          <w:rPr>
            <w:rStyle w:val="Hyperlink"/>
          </w:rPr>
          <w:t xml:space="preserve">https://aws.amazon.com/s3/pricing/</w:t>
        </w:r>
      </w:hyperlink>
      <w:r>
        <w:t xml:space="preserve"> </w:t>
      </w:r>
      <w:r>
        <w:t xml:space="preserve">accessed 2026-10-07 [search-tool extract]</w:t>
      </w:r>
    </w:p>
  </w:footnote>
  <w:footnote w:id="655">
    <w:p>
      <w:pPr>
        <w:pStyle w:val="FootnoteText"/>
      </w:pPr>
      <w:r>
        <w:rPr>
          <w:rStyle w:val="FootnoteReference"/>
        </w:rPr>
        <w:footnoteRef/>
      </w:r>
      <w:r>
        <w:t xml:space="preserve"> </w:t>
      </w:r>
      <w:r>
        <w:t xml:space="preserve">Verified fact — A2-S090: Data protection and encryption in S3 Vectors (Amazon Web Services)</w:t>
      </w:r>
      <w:r>
        <w:t xml:space="preserve"> </w:t>
      </w:r>
      <w:hyperlink r:id="rId656">
        <w:r>
          <w:rPr>
            <w:rStyle w:val="Hyperlink"/>
          </w:rPr>
          <w:t xml:space="preserve">https://docs.aws.amazon.com/AmazonS3/latest/userguide/s3-vectors-data-encryption.html</w:t>
        </w:r>
      </w:hyperlink>
      <w:r>
        <w:t xml:space="preserve"> </w:t>
      </w:r>
      <w:r>
        <w:t xml:space="preserve">accessed 2026-10-07 [search-tool extract]; A2-S091: VPC endpoints for S3 Vectors (Amazon Web Services)</w:t>
      </w:r>
      <w:r>
        <w:t xml:space="preserve"> </w:t>
      </w:r>
      <w:hyperlink r:id="rId657">
        <w:r>
          <w:rPr>
            <w:rStyle w:val="Hyperlink"/>
          </w:rPr>
          <w:t xml:space="preserve">https://docs.aws.amazon.com/AmazonS3/latest/userguide/s3-vectors-privatelink.html</w:t>
        </w:r>
      </w:hyperlink>
      <w:r>
        <w:t xml:space="preserve"> </w:t>
      </w:r>
      <w:r>
        <w:t xml:space="preserve">accessed 2026-10-07 [search-tool extract]</w:t>
      </w:r>
    </w:p>
  </w:footnote>
  <w:footnote w:id="658">
    <w:p>
      <w:pPr>
        <w:pStyle w:val="FootnoteText"/>
      </w:pPr>
      <w:r>
        <w:rPr>
          <w:rStyle w:val="FootnoteReference"/>
        </w:rPr>
        <w:footnoteRef/>
      </w:r>
      <w:r>
        <w:t xml:space="preserve"> </w:t>
      </w:r>
      <w:r>
        <w:t xml:space="preserve">Verified fact — B-L6-S006: Logging with AWS CloudTrail for S3 Vectors; Compliance validation for Amazon S3 (Amazon Web Services)</w:t>
      </w:r>
      <w:r>
        <w:t xml:space="preserve"> </w:t>
      </w:r>
      <w:hyperlink r:id="rId659">
        <w:r>
          <w:rPr>
            <w:rStyle w:val="Hyperlink"/>
          </w:rPr>
          <w:t xml:space="preserve">https://docs.aws.amazon.com/AmazonS3/latest/userguide/s3-vectors-logging.html</w:t>
        </w:r>
      </w:hyperlink>
      <w:r>
        <w:t xml:space="preserve"> </w:t>
      </w:r>
      <w:r>
        <w:t xml:space="preserve">accessed 2026-10-08 [search-tool extract]</w:t>
      </w:r>
    </w:p>
  </w:footnote>
  <w:footnote w:id="660">
    <w:p>
      <w:pPr>
        <w:pStyle w:val="FootnoteText"/>
      </w:pPr>
      <w:r>
        <w:rPr>
          <w:rStyle w:val="FootnoteReference"/>
        </w:rPr>
        <w:footnoteRef/>
      </w:r>
      <w:r>
        <w:t xml:space="preserve"> </w:t>
      </w:r>
      <w:r>
        <w:t xml:space="preserve">Verified fact — A2-S084: AWS Regions, endpoints, and quotas for S3 Vectors (Amazon Web Services)</w:t>
      </w:r>
      <w:r>
        <w:t xml:space="preserve"> </w:t>
      </w:r>
      <w:hyperlink r:id="rId661">
        <w:r>
          <w:rPr>
            <w:rStyle w:val="Hyperlink"/>
          </w:rPr>
          <w:t xml:space="preserve">https://docs.aws.amazon.com/AmazonS3/latest/userguide/s3-vectors-regions-quotas.html</w:t>
        </w:r>
      </w:hyperlink>
      <w:r>
        <w:t xml:space="preserve"> </w:t>
      </w:r>
      <w:r>
        <w:t xml:space="preserve">accessed 2026-10-07 [search-tool extract]</w:t>
      </w:r>
    </w:p>
  </w:footnote>
  <w:footnote w:id="662">
    <w:p>
      <w:pPr>
        <w:pStyle w:val="FootnoteText"/>
      </w:pPr>
      <w:r>
        <w:rPr>
          <w:rStyle w:val="FootnoteReference"/>
        </w:rPr>
        <w:footnoteRef/>
      </w:r>
      <w:r>
        <w:t xml:space="preserve"> </w:t>
      </w:r>
      <w:r>
        <w:t xml:space="preserve">Verified fact — A2-S092: Amazon S3 Vectors (feature page) (Amazon Web Services)</w:t>
      </w:r>
      <w:r>
        <w:t xml:space="preserve"> </w:t>
      </w:r>
      <w:hyperlink r:id="rId646">
        <w:r>
          <w:rPr>
            <w:rStyle w:val="Hyperlink"/>
          </w:rPr>
          <w:t xml:space="preserve">https://aws.amazon.com/s3/features/vectors/</w:t>
        </w:r>
      </w:hyperlink>
      <w:r>
        <w:t xml:space="preserve"> </w:t>
      </w:r>
      <w:r>
        <w:t xml:space="preserve">accessed 2026-10-07 [search-tool extract]</w:t>
      </w:r>
    </w:p>
  </w:footnote>
  <w:footnote w:id="663">
    <w:p>
      <w:pPr>
        <w:pStyle w:val="FootnoteText"/>
      </w:pPr>
      <w:r>
        <w:rPr>
          <w:rStyle w:val="FootnoteReference"/>
        </w:rPr>
        <w:footnoteRef/>
      </w:r>
      <w:r>
        <w:t xml:space="preserve"> </w:t>
      </w:r>
      <w:r>
        <w:t xml:space="preserve">Verified fact — A2-S083: Limitations and restrictions - Amazon S3 Vectors (Amazon Web Services)</w:t>
      </w:r>
      <w:r>
        <w:t xml:space="preserve"> </w:t>
      </w:r>
      <w:hyperlink r:id="rId648">
        <w:r>
          <w:rPr>
            <w:rStyle w:val="Hyperlink"/>
          </w:rPr>
          <w:t xml:space="preserve">https://docs.aws.amazon.com/AmazonS3/latest/userguide/s3-vectors-limitations.html</w:t>
        </w:r>
      </w:hyperlink>
      <w:r>
        <w:t xml:space="preserve"> </w:t>
      </w:r>
      <w:r>
        <w:t xml:space="preserve">accessed 2026-10-07 [search-tool extract]; A2-S093: Selecting a vector store for Amazon Bedrock Knowledge Bases (Amazon Web Services (AWS Machine Learning Blog))</w:t>
      </w:r>
      <w:r>
        <w:t xml:space="preserve"> </w:t>
      </w:r>
      <w:hyperlink r:id="rId651">
        <w:r>
          <w:rPr>
            <w:rStyle w:val="Hyperlink"/>
          </w:rPr>
          <w:t xml:space="preserve">https://aws.amazon.com/blogs/machine-learning/selecting-a-vector-store-for-amazon-bedrock-knowledge-bases/</w:t>
        </w:r>
      </w:hyperlink>
      <w:r>
        <w:t xml:space="preserve"> </w:t>
      </w:r>
      <w:r>
        <w:t xml:space="preserve">accessed 2026-10-07 [search-tool extract]</w:t>
      </w:r>
    </w:p>
  </w:footnote>
  <w:footnote w:id="664">
    <w:p>
      <w:pPr>
        <w:pStyle w:val="FootnoteText"/>
      </w:pPr>
      <w:r>
        <w:rPr>
          <w:rStyle w:val="FootnoteReference"/>
        </w:rPr>
        <w:footnoteRef/>
      </w:r>
      <w:r>
        <w:t xml:space="preserve"> </w:t>
      </w:r>
      <w:r>
        <w:t xml:space="preserve">Verified fact — A2-S090: Data protection and encryption in S3 Vectors (Amazon Web Services)</w:t>
      </w:r>
      <w:r>
        <w:t xml:space="preserve"> </w:t>
      </w:r>
      <w:hyperlink r:id="rId656">
        <w:r>
          <w:rPr>
            <w:rStyle w:val="Hyperlink"/>
          </w:rPr>
          <w:t xml:space="preserve">https://docs.aws.amazon.com/AmazonS3/latest/userguide/s3-vectors-data-encryption.html</w:t>
        </w:r>
      </w:hyperlink>
      <w:r>
        <w:t xml:space="preserve"> </w:t>
      </w:r>
      <w:r>
        <w:t xml:space="preserve">accessed 2026-10-07 [search-tool extract]; B-L6-S006: Logging with AWS CloudTrail for S3 Vectors; Compliance validation for Amazon S3 (Amazon Web Services)</w:t>
      </w:r>
      <w:r>
        <w:t xml:space="preserve"> </w:t>
      </w:r>
      <w:hyperlink r:id="rId659">
        <w:r>
          <w:rPr>
            <w:rStyle w:val="Hyperlink"/>
          </w:rPr>
          <w:t xml:space="preserve">https://docs.aws.amazon.com/AmazonS3/latest/userguide/s3-vectors-logging.html</w:t>
        </w:r>
      </w:hyperlink>
      <w:r>
        <w:t xml:space="preserve"> </w:t>
      </w:r>
      <w:r>
        <w:t xml:space="preserve">accessed 2026-10-08 [search-tool extract]</w:t>
      </w:r>
    </w:p>
  </w:footnote>
  <w:footnote w:id="665">
    <w:p>
      <w:pPr>
        <w:pStyle w:val="FootnoteText"/>
      </w:pPr>
      <w:r>
        <w:rPr>
          <w:rStyle w:val="FootnoteReference"/>
        </w:rPr>
        <w:footnoteRef/>
      </w:r>
      <w:r>
        <w:t xml:space="preserve"> </w:t>
      </w:r>
      <w:r>
        <w:t xml:space="preserve">Verified fact — A2-S086: Amazon S3 Vectors now supports up to 10,000 similarity search results per query (Amazon Web Services)</w:t>
      </w:r>
      <w:r>
        <w:t xml:space="preserve"> </w:t>
      </w:r>
      <w:hyperlink r:id="rId649">
        <w:r>
          <w:rPr>
            <w:rStyle w:val="Hyperlink"/>
          </w:rPr>
          <w:t xml:space="preserve">https://aws.amazon.com/about-aws/whats-new/2026/06/s3-vectors-supports-10000-search-results-per-query/</w:t>
        </w:r>
      </w:hyperlink>
      <w:r>
        <w:t xml:space="preserve"> </w:t>
      </w:r>
      <w:r>
        <w:t xml:space="preserve">accessed 2026-10-07 [search-tool extract]; A2-S088: Amazon S3 Vectors reduces query charges by up to 80% for large vector indexes (Amazon Web Services)</w:t>
      </w:r>
      <w:r>
        <w:t xml:space="preserve"> </w:t>
      </w:r>
      <w:hyperlink r:id="rId666">
        <w:r>
          <w:rPr>
            <w:rStyle w:val="Hyperlink"/>
          </w:rPr>
          <w:t xml:space="preserve">https://aws.amazon.com/about-aws/whats-new/2026/06/s3-vectors-reduces-query-charges-80-percent-large-indexes/</w:t>
        </w:r>
      </w:hyperlink>
      <w:r>
        <w:t xml:space="preserve"> </w:t>
      </w:r>
      <w:r>
        <w:t xml:space="preserve">accessed 2026-10-07 [search-tool extract]</w:t>
      </w:r>
    </w:p>
  </w:footnote>
  <w:footnote w:id="668">
    <w:p>
      <w:pPr>
        <w:pStyle w:val="FootnoteText"/>
      </w:pPr>
      <w:r>
        <w:rPr>
          <w:rStyle w:val="FootnoteReference"/>
        </w:rPr>
        <w:footnoteRef/>
      </w:r>
      <w:r>
        <w:t xml:space="preserve"> </w:t>
      </w:r>
      <w:r>
        <w:t xml:space="preserve">Verified fact — A2-S056: turbopuffer (Python SDK) - PyPI (PyPI / turbopuffer)</w:t>
      </w:r>
      <w:r>
        <w:t xml:space="preserve"> </w:t>
      </w:r>
      <w:hyperlink r:id="rId669">
        <w:r>
          <w:rPr>
            <w:rStyle w:val="Hyperlink"/>
          </w:rPr>
          <w:t xml:space="preserve">https://pypi.org/project/turbopuffer/</w:t>
        </w:r>
      </w:hyperlink>
      <w:r>
        <w:t xml:space="preserve"> </w:t>
      </w:r>
      <w:r>
        <w:t xml:space="preserve">accessed 2026-10-07; A2-S124: Architecture - turbopuffer</w:t>
      </w:r>
      <w:r>
        <w:t xml:space="preserve"> </w:t>
      </w:r>
      <w:hyperlink r:id="rId670">
        <w:r>
          <w:rPr>
            <w:rStyle w:val="Hyperlink"/>
          </w:rPr>
          <w:t xml:space="preserve">https://turbopuffer.com/docs/architecture</w:t>
        </w:r>
      </w:hyperlink>
      <w:r>
        <w:t xml:space="preserve"> </w:t>
      </w:r>
      <w:r>
        <w:t xml:space="preserve">accessed 2026-10-07 [search-tool extract]; A2-S125: turbopuffer BYOC</w:t>
      </w:r>
      <w:r>
        <w:t xml:space="preserve"> </w:t>
      </w:r>
      <w:hyperlink r:id="rId671">
        <w:r>
          <w:rPr>
            <w:rStyle w:val="Hyperlink"/>
          </w:rPr>
          <w:t xml:space="preserve">https://turbopuffer.com/docs/byoc</w:t>
        </w:r>
      </w:hyperlink>
      <w:r>
        <w:t xml:space="preserve"> </w:t>
      </w:r>
      <w:r>
        <w:t xml:space="preserve">accessed 2026-10-07 [search-tool extract]</w:t>
      </w:r>
    </w:p>
  </w:footnote>
  <w:footnote w:id="672">
    <w:p>
      <w:pPr>
        <w:pStyle w:val="FootnoteText"/>
      </w:pPr>
      <w:r>
        <w:rPr>
          <w:rStyle w:val="FootnoteReference"/>
        </w:rPr>
        <w:footnoteRef/>
      </w:r>
      <w:r>
        <w:t xml:space="preserve"> </w:t>
      </w:r>
      <w:r>
        <w:t xml:space="preserve">Reported — A2-S126: Ex-Shopify engineers raise fresh financing to scale Turbopuffer’s AI search (BetaKit)</w:t>
      </w:r>
      <w:r>
        <w:t xml:space="preserve"> </w:t>
      </w:r>
      <w:hyperlink r:id="rId673">
        <w:r>
          <w:rPr>
            <w:rStyle w:val="Hyperlink"/>
          </w:rPr>
          <w:t xml:space="preserve">https://betakit.com/ex-shopify-engineers-raise-fresh-financing-to-scale-turbopuffers-ai-search/</w:t>
        </w:r>
      </w:hyperlink>
      <w:r>
        <w:t xml:space="preserve"> </w:t>
      </w:r>
      <w:r>
        <w:t xml:space="preserve">accessed 2026-10-07 [search-tool extract]</w:t>
      </w:r>
    </w:p>
  </w:footnote>
  <w:footnote w:id="674">
    <w:p>
      <w:pPr>
        <w:pStyle w:val="FootnoteText"/>
      </w:pPr>
      <w:r>
        <w:rPr>
          <w:rStyle w:val="FootnoteReference"/>
        </w:rPr>
        <w:footnoteRef/>
      </w:r>
      <w:r>
        <w:t xml:space="preserve"> </w:t>
      </w:r>
      <w:r>
        <w:t xml:space="preserve">Verified fact — A2-S124: Architecture - turbopuffer</w:t>
      </w:r>
      <w:r>
        <w:t xml:space="preserve"> </w:t>
      </w:r>
      <w:hyperlink r:id="rId670">
        <w:r>
          <w:rPr>
            <w:rStyle w:val="Hyperlink"/>
          </w:rPr>
          <w:t xml:space="preserve">https://turbopuffer.com/docs/architecture</w:t>
        </w:r>
      </w:hyperlink>
      <w:r>
        <w:t xml:space="preserve"> </w:t>
      </w:r>
      <w:r>
        <w:t xml:space="preserve">accessed 2026-10-07 [search-tool extract]</w:t>
      </w:r>
    </w:p>
  </w:footnote>
  <w:footnote w:id="675">
    <w:p>
      <w:pPr>
        <w:pStyle w:val="FootnoteText"/>
      </w:pPr>
      <w:r>
        <w:rPr>
          <w:rStyle w:val="FootnoteReference"/>
        </w:rPr>
        <w:footnoteRef/>
      </w:r>
      <w:r>
        <w:t xml:space="preserve"> </w:t>
      </w:r>
      <w:r>
        <w:t xml:space="preserve">Verified fact — A2-S123: turbopuffer pricing</w:t>
      </w:r>
      <w:r>
        <w:t xml:space="preserve"> </w:t>
      </w:r>
      <w:hyperlink r:id="rId676">
        <w:r>
          <w:rPr>
            <w:rStyle w:val="Hyperlink"/>
          </w:rPr>
          <w:t xml:space="preserve">https://turbopuffer.com/pricing</w:t>
        </w:r>
      </w:hyperlink>
      <w:r>
        <w:t xml:space="preserve"> </w:t>
      </w:r>
      <w:r>
        <w:t xml:space="preserve">accessed 2026-10-07 [search-tool extract]; V1-S077: turbopuffer Security &amp; Compliance; pricing; CMEK; BYOC; roadmap</w:t>
      </w:r>
      <w:r>
        <w:t xml:space="preserve"> </w:t>
      </w:r>
      <w:hyperlink r:id="rId677">
        <w:r>
          <w:rPr>
            <w:rStyle w:val="Hyperlink"/>
          </w:rPr>
          <w:t xml:space="preserve">https://turbopuffer.com/docs/security</w:t>
        </w:r>
      </w:hyperlink>
      <w:r>
        <w:t xml:space="preserve"> </w:t>
      </w:r>
      <w:r>
        <w:t xml:space="preserve">accessed 2026-10-08 [search-tool extract]</w:t>
      </w:r>
    </w:p>
  </w:footnote>
  <w:footnote w:id="678">
    <w:p>
      <w:pPr>
        <w:pStyle w:val="FootnoteText"/>
      </w:pPr>
      <w:r>
        <w:rPr>
          <w:rStyle w:val="FootnoteReference"/>
        </w:rPr>
        <w:footnoteRef/>
      </w:r>
      <w:r>
        <w:t xml:space="preserve"> </w:t>
      </w:r>
      <w:r>
        <w:t xml:space="preserve">Verified fact — A2-S125: turbopuffer BYOC</w:t>
      </w:r>
      <w:r>
        <w:t xml:space="preserve"> </w:t>
      </w:r>
      <w:hyperlink r:id="rId671">
        <w:r>
          <w:rPr>
            <w:rStyle w:val="Hyperlink"/>
          </w:rPr>
          <w:t xml:space="preserve">https://turbopuffer.com/docs/byoc</w:t>
        </w:r>
      </w:hyperlink>
      <w:r>
        <w:t xml:space="preserve"> </w:t>
      </w:r>
      <w:r>
        <w:t xml:space="preserve">accessed 2026-10-07 [search-tool extract]</w:t>
      </w:r>
    </w:p>
  </w:footnote>
  <w:footnote w:id="679">
    <w:p>
      <w:pPr>
        <w:pStyle w:val="FootnoteText"/>
      </w:pPr>
      <w:r>
        <w:rPr>
          <w:rStyle w:val="FootnoteReference"/>
        </w:rPr>
        <w:footnoteRef/>
      </w:r>
      <w:r>
        <w:t xml:space="preserve"> </w:t>
      </w:r>
      <w:r>
        <w:t xml:space="preserve">Verified fact — B-L6-S002: turbopuffer Regions; Security; Permissions; Roadmap &amp; Changelog; Private Networking</w:t>
      </w:r>
      <w:r>
        <w:t xml:space="preserve"> </w:t>
      </w:r>
      <w:hyperlink r:id="rId680">
        <w:r>
          <w:rPr>
            <w:rStyle w:val="Hyperlink"/>
          </w:rPr>
          <w:t xml:space="preserve">https://turbopuffer.com/docs/regions</w:t>
        </w:r>
      </w:hyperlink>
      <w:r>
        <w:t xml:space="preserve"> </w:t>
      </w:r>
      <w:r>
        <w:t xml:space="preserve">accessed 2026-10-08 [search-tool extract]</w:t>
      </w:r>
    </w:p>
  </w:footnote>
  <w:footnote w:id="681">
    <w:p>
      <w:pPr>
        <w:pStyle w:val="FootnoteText"/>
      </w:pPr>
      <w:r>
        <w:rPr>
          <w:rStyle w:val="FootnoteReference"/>
        </w:rPr>
        <w:footnoteRef/>
      </w:r>
      <w:r>
        <w:t xml:space="preserve"> </w:t>
      </w:r>
      <w:r>
        <w:t xml:space="preserve">Verified fact — B-L6-S002: turbopuffer Regions; Security; Permissions; Roadmap &amp; Changelog; Private Networking</w:t>
      </w:r>
      <w:r>
        <w:t xml:space="preserve"> </w:t>
      </w:r>
      <w:hyperlink r:id="rId680">
        <w:r>
          <w:rPr>
            <w:rStyle w:val="Hyperlink"/>
          </w:rPr>
          <w:t xml:space="preserve">https://turbopuffer.com/docs/regions</w:t>
        </w:r>
      </w:hyperlink>
      <w:r>
        <w:t xml:space="preserve"> </w:t>
      </w:r>
      <w:r>
        <w:t xml:space="preserve">accessed 2026-10-08 [search-tool extract]</w:t>
      </w:r>
    </w:p>
  </w:footnote>
  <w:footnote w:id="682">
    <w:p>
      <w:pPr>
        <w:pStyle w:val="FootnoteText"/>
      </w:pPr>
      <w:r>
        <w:rPr>
          <w:rStyle w:val="FootnoteReference"/>
        </w:rPr>
        <w:footnoteRef/>
      </w:r>
      <w:r>
        <w:t xml:space="preserve"> </w:t>
      </w:r>
      <w:r>
        <w:t xml:space="preserve">Verified fact — B-L6-S002: turbopuffer Regions; Security; Permissions; Roadmap &amp; Changelog; Private Networking</w:t>
      </w:r>
      <w:r>
        <w:t xml:space="preserve"> </w:t>
      </w:r>
      <w:hyperlink r:id="rId680">
        <w:r>
          <w:rPr>
            <w:rStyle w:val="Hyperlink"/>
          </w:rPr>
          <w:t xml:space="preserve">https://turbopuffer.com/docs/regions</w:t>
        </w:r>
      </w:hyperlink>
      <w:r>
        <w:t xml:space="preserve"> </w:t>
      </w:r>
      <w:r>
        <w:t xml:space="preserve">accessed 2026-10-08 [search-tool extract]</w:t>
      </w:r>
    </w:p>
  </w:footnote>
  <w:footnote w:id="683">
    <w:p>
      <w:pPr>
        <w:pStyle w:val="FootnoteText"/>
      </w:pPr>
      <w:r>
        <w:rPr>
          <w:rStyle w:val="FootnoteReference"/>
        </w:rPr>
        <w:footnoteRef/>
      </w:r>
      <w:r>
        <w:t xml:space="preserve"> </w:t>
      </w:r>
      <w:r>
        <w:t xml:space="preserve">Reported — A2-S124: Architecture - turbopuffer</w:t>
      </w:r>
      <w:r>
        <w:t xml:space="preserve"> </w:t>
      </w:r>
      <w:hyperlink r:id="rId670">
        <w:r>
          <w:rPr>
            <w:rStyle w:val="Hyperlink"/>
          </w:rPr>
          <w:t xml:space="preserve">https://turbopuffer.com/docs/architecture</w:t>
        </w:r>
      </w:hyperlink>
      <w:r>
        <w:t xml:space="preserve"> </w:t>
      </w:r>
      <w:r>
        <w:t xml:space="preserve">accessed 2026-10-07 [search-tool extract]</w:t>
      </w:r>
    </w:p>
  </w:footnote>
  <w:footnote w:id="684">
    <w:p>
      <w:pPr>
        <w:pStyle w:val="FootnoteText"/>
      </w:pPr>
      <w:r>
        <w:rPr>
          <w:rStyle w:val="FootnoteReference"/>
        </w:rPr>
        <w:footnoteRef/>
      </w:r>
      <w:r>
        <w:t xml:space="preserve"> </w:t>
      </w:r>
      <w:r>
        <w:t xml:space="preserve">Reported — A2-S126: Ex-Shopify engineers raise fresh financing to scale Turbopuffer’s AI search (BetaKit)</w:t>
      </w:r>
      <w:r>
        <w:t xml:space="preserve"> </w:t>
      </w:r>
      <w:hyperlink r:id="rId673">
        <w:r>
          <w:rPr>
            <w:rStyle w:val="Hyperlink"/>
          </w:rPr>
          <w:t xml:space="preserve">https://betakit.com/ex-shopify-engineers-raise-fresh-financing-to-scale-turbopuffers-ai-search/</w:t>
        </w:r>
      </w:hyperlink>
      <w:r>
        <w:t xml:space="preserve"> </w:t>
      </w:r>
      <w:r>
        <w:t xml:space="preserve">accessed 2026-10-07 [search-tool extract]; A2-S127: Turbopuffer revenue, funding &amp; growth rate (Sacra)</w:t>
      </w:r>
      <w:r>
        <w:t xml:space="preserve"> </w:t>
      </w:r>
      <w:hyperlink r:id="rId685">
        <w:r>
          <w:rPr>
            <w:rStyle w:val="Hyperlink"/>
          </w:rPr>
          <w:t xml:space="preserve">https://sacra.com/c/turbopuffer/</w:t>
        </w:r>
      </w:hyperlink>
      <w:r>
        <w:t xml:space="preserve"> </w:t>
      </w:r>
      <w:r>
        <w:t xml:space="preserve">accessed 2026-10-07 [search-tool extract]</w:t>
      </w:r>
    </w:p>
  </w:footnote>
  <w:footnote w:id="687">
    <w:p>
      <w:pPr>
        <w:pStyle w:val="FootnoteText"/>
      </w:pPr>
      <w:r>
        <w:rPr>
          <w:rStyle w:val="FootnoteReference"/>
        </w:rPr>
        <w:footnoteRef/>
      </w:r>
      <w:r>
        <w:t xml:space="preserve"> </w:t>
      </w:r>
      <w:r>
        <w:t xml:space="preserve">Verified fact — A2-S060: chromadb - PyPI (PyPI / Chroma)</w:t>
      </w:r>
      <w:r>
        <w:t xml:space="preserve"> </w:t>
      </w:r>
      <w:hyperlink r:id="rId688">
        <w:r>
          <w:rPr>
            <w:rStyle w:val="Hyperlink"/>
          </w:rPr>
          <w:t xml:space="preserve">https://pypi.org/project/chromadb/</w:t>
        </w:r>
      </w:hyperlink>
      <w:r>
        <w:t xml:space="preserve"> </w:t>
      </w:r>
      <w:r>
        <w:t xml:space="preserve">accessed 2026-10-07; A2-S128: Pricing - Chroma</w:t>
      </w:r>
      <w:r>
        <w:t xml:space="preserve"> </w:t>
      </w:r>
      <w:hyperlink r:id="rId689">
        <w:r>
          <w:rPr>
            <w:rStyle w:val="Hyperlink"/>
          </w:rPr>
          <w:t xml:space="preserve">https://www.trychroma.com/pricing</w:t>
        </w:r>
      </w:hyperlink>
      <w:r>
        <w:t xml:space="preserve"> </w:t>
      </w:r>
      <w:r>
        <w:t xml:space="preserve">accessed 2026-10-07 [search-tool extract]</w:t>
      </w:r>
    </w:p>
  </w:footnote>
  <w:footnote w:id="690">
    <w:p>
      <w:pPr>
        <w:pStyle w:val="FootnoteText"/>
      </w:pPr>
      <w:r>
        <w:rPr>
          <w:rStyle w:val="FootnoteReference"/>
        </w:rPr>
        <w:footnoteRef/>
      </w:r>
      <w:r>
        <w:t xml:space="preserve"> </w:t>
      </w:r>
      <w:r>
        <w:t xml:space="preserve">Verified fact — A2-S060: chromadb - PyPI (PyPI / Chroma)</w:t>
      </w:r>
      <w:r>
        <w:t xml:space="preserve"> </w:t>
      </w:r>
      <w:hyperlink r:id="rId688">
        <w:r>
          <w:rPr>
            <w:rStyle w:val="Hyperlink"/>
          </w:rPr>
          <w:t xml:space="preserve">https://pypi.org/project/chromadb/</w:t>
        </w:r>
      </w:hyperlink>
      <w:r>
        <w:t xml:space="preserve"> </w:t>
      </w:r>
      <w:r>
        <w:t xml:space="preserve">accessed 2026-10-07</w:t>
      </w:r>
    </w:p>
  </w:footnote>
  <w:footnote w:id="691">
    <w:p>
      <w:pPr>
        <w:pStyle w:val="FootnoteText"/>
      </w:pPr>
      <w:r>
        <w:rPr>
          <w:rStyle w:val="FootnoteReference"/>
        </w:rPr>
        <w:footnoteRef/>
      </w:r>
      <w:r>
        <w:t xml:space="preserve"> </w:t>
      </w:r>
      <w:r>
        <w:t xml:space="preserve">Verified fact — A2-S130: Security - Chroma</w:t>
      </w:r>
      <w:r>
        <w:t xml:space="preserve"> </w:t>
      </w:r>
      <w:hyperlink r:id="rId692">
        <w:r>
          <w:rPr>
            <w:rStyle w:val="Hyperlink"/>
          </w:rPr>
          <w:t xml:space="preserve">https://www.trychroma.com/security</w:t>
        </w:r>
      </w:hyperlink>
      <w:r>
        <w:t xml:space="preserve"> </w:t>
      </w:r>
      <w:r>
        <w:t xml:space="preserve">accessed 2026-10-07 [search-tool extract]; B-L6-S008: Chroma Security; architecture overview; CMEK changelog</w:t>
      </w:r>
      <w:r>
        <w:t xml:space="preserve"> </w:t>
      </w:r>
      <w:hyperlink r:id="rId692">
        <w:r>
          <w:rPr>
            <w:rStyle w:val="Hyperlink"/>
          </w:rPr>
          <w:t xml:space="preserve">https://www.trychroma.com/security</w:t>
        </w:r>
      </w:hyperlink>
      <w:r>
        <w:t xml:space="preserve"> </w:t>
      </w:r>
      <w:r>
        <w:t xml:space="preserve">accessed 2026-10-08 [search-tool extract]</w:t>
      </w:r>
    </w:p>
  </w:footnote>
  <w:footnote w:id="693">
    <w:p>
      <w:pPr>
        <w:pStyle w:val="FootnoteText"/>
      </w:pPr>
      <w:r>
        <w:rPr>
          <w:rStyle w:val="FootnoteReference"/>
        </w:rPr>
        <w:footnoteRef/>
      </w:r>
      <w:r>
        <w:t xml:space="preserve"> </w:t>
      </w:r>
      <w:r>
        <w:t xml:space="preserve">Verified fact — A2-S128: Pricing - Chroma</w:t>
      </w:r>
      <w:r>
        <w:t xml:space="preserve"> </w:t>
      </w:r>
      <w:hyperlink r:id="rId689">
        <w:r>
          <w:rPr>
            <w:rStyle w:val="Hyperlink"/>
          </w:rPr>
          <w:t xml:space="preserve">https://www.trychroma.com/pricing</w:t>
        </w:r>
      </w:hyperlink>
      <w:r>
        <w:t xml:space="preserve"> </w:t>
      </w:r>
      <w:r>
        <w:t xml:space="preserve">accessed 2026-10-07 [search-tool extract]</w:t>
      </w:r>
    </w:p>
  </w:footnote>
  <w:footnote w:id="694">
    <w:p>
      <w:pPr>
        <w:pStyle w:val="FootnoteText"/>
      </w:pPr>
      <w:r>
        <w:rPr>
          <w:rStyle w:val="FootnoteReference"/>
        </w:rPr>
        <w:footnoteRef/>
      </w:r>
      <w:r>
        <w:t xml:space="preserve"> </w:t>
      </w:r>
      <w:r>
        <w:t xml:space="preserve">Verified fact — A2-S131: Migration - Chroma Docs</w:t>
      </w:r>
      <w:r>
        <w:t xml:space="preserve"> </w:t>
      </w:r>
      <w:hyperlink r:id="rId695">
        <w:r>
          <w:rPr>
            <w:rStyle w:val="Hyperlink"/>
          </w:rPr>
          <w:t xml:space="preserve">https://docs.trychroma.com/docs/overview/migration</w:t>
        </w:r>
      </w:hyperlink>
      <w:r>
        <w:t xml:space="preserve"> </w:t>
      </w:r>
      <w:r>
        <w:t xml:space="preserve">accessed 2026-10-07 [search-tool extract]</w:t>
      </w:r>
    </w:p>
  </w:footnote>
  <w:footnote w:id="696">
    <w:p>
      <w:pPr>
        <w:pStyle w:val="FootnoteText"/>
      </w:pPr>
      <w:r>
        <w:rPr>
          <w:rStyle w:val="FootnoteReference"/>
        </w:rPr>
        <w:footnoteRef/>
      </w:r>
      <w:r>
        <w:t xml:space="preserve"> </w:t>
      </w:r>
      <w:r>
        <w:t xml:space="preserve">Verified fact — A2-S060: chromadb - PyPI (PyPI / Chroma)</w:t>
      </w:r>
      <w:r>
        <w:t xml:space="preserve"> </w:t>
      </w:r>
      <w:hyperlink r:id="rId688">
        <w:r>
          <w:rPr>
            <w:rStyle w:val="Hyperlink"/>
          </w:rPr>
          <w:t xml:space="preserve">https://pypi.org/project/chromadb/</w:t>
        </w:r>
      </w:hyperlink>
      <w:r>
        <w:t xml:space="preserve"> </w:t>
      </w:r>
      <w:r>
        <w:t xml:space="preserve">accessed 2026-10-07</w:t>
      </w:r>
    </w:p>
  </w:footnote>
  <w:footnote w:id="697">
    <w:p>
      <w:pPr>
        <w:pStyle w:val="FootnoteText"/>
      </w:pPr>
      <w:r>
        <w:rPr>
          <w:rStyle w:val="FootnoteReference"/>
        </w:rPr>
        <w:footnoteRef/>
      </w:r>
      <w:r>
        <w:t xml:space="preserve"> </w:t>
      </w:r>
      <w:r>
        <w:t xml:space="preserve">Verified fact — A2-S129: Chroma Cloud - Chroma Docs</w:t>
      </w:r>
      <w:r>
        <w:t xml:space="preserve"> </w:t>
      </w:r>
      <w:hyperlink r:id="rId698">
        <w:r>
          <w:rPr>
            <w:rStyle w:val="Hyperlink"/>
          </w:rPr>
          <w:t xml:space="preserve">https://docs.trychroma.com/cloud/getting-started</w:t>
        </w:r>
      </w:hyperlink>
      <w:r>
        <w:t xml:space="preserve"> </w:t>
      </w:r>
      <w:r>
        <w:t xml:space="preserve">accessed 2026-10-07 [search-tool extract]</w:t>
      </w:r>
    </w:p>
  </w:footnote>
  <w:footnote w:id="701">
    <w:p>
      <w:pPr>
        <w:pStyle w:val="FootnoteText"/>
      </w:pPr>
      <w:r>
        <w:rPr>
          <w:rStyle w:val="FootnoteReference"/>
        </w:rPr>
        <w:footnoteRef/>
      </w:r>
      <w:r>
        <w:t xml:space="preserve"> </w:t>
      </w:r>
      <w:r>
        <w:t xml:space="preserve">Verified fact — A3-S003: PyPI JSON metadata: graphiti-core (Python Package Index (PyPI))</w:t>
      </w:r>
      <w:r>
        <w:t xml:space="preserve"> </w:t>
      </w:r>
      <w:hyperlink r:id="rId702">
        <w:r>
          <w:rPr>
            <w:rStyle w:val="Hyperlink"/>
          </w:rPr>
          <w:t xml:space="preserve">https://pypi.org/pypi/graphiti-core/json</w:t>
        </w:r>
      </w:hyperlink>
      <w:r>
        <w:t xml:space="preserve"> </w:t>
      </w:r>
      <w:r>
        <w:t xml:space="preserve">accessed 2026-10-07; A3-S059: getzep/zep README: Zep Cloud Examples &amp; Integrations (Zep AI (GitHub))</w:t>
      </w:r>
      <w:r>
        <w:t xml:space="preserve"> </w:t>
      </w:r>
      <w:hyperlink r:id="rId703">
        <w:r>
          <w:rPr>
            <w:rStyle w:val="Hyperlink"/>
          </w:rPr>
          <w:t xml:space="preserve">https://raw.githubusercontent.com/getzep/zep/main/README.md</w:t>
        </w:r>
      </w:hyperlink>
      <w:r>
        <w:t xml:space="preserve"> </w:t>
      </w:r>
      <w:r>
        <w:t xml:space="preserve">accessed 2026-10-07</w:t>
      </w:r>
    </w:p>
  </w:footnote>
  <w:footnote w:id="704">
    <w:p>
      <w:pPr>
        <w:pStyle w:val="FootnoteText"/>
      </w:pPr>
      <w:r>
        <w:rPr>
          <w:rStyle w:val="FootnoteReference"/>
        </w:rPr>
        <w:footnoteRef/>
      </w:r>
      <w:r>
        <w:t xml:space="preserve"> </w:t>
      </w:r>
      <w:r>
        <w:t xml:space="preserve">Verified fact — A3-S003: PyPI JSON metadata: graphiti-core (Python Package Index (PyPI))</w:t>
      </w:r>
      <w:r>
        <w:t xml:space="preserve"> </w:t>
      </w:r>
      <w:hyperlink r:id="rId702">
        <w:r>
          <w:rPr>
            <w:rStyle w:val="Hyperlink"/>
          </w:rPr>
          <w:t xml:space="preserve">https://pypi.org/pypi/graphiti-core/json</w:t>
        </w:r>
      </w:hyperlink>
      <w:r>
        <w:t xml:space="preserve"> </w:t>
      </w:r>
      <w:r>
        <w:t xml:space="preserve">accessed 2026-10-07</w:t>
      </w:r>
    </w:p>
  </w:footnote>
  <w:footnote w:id="705">
    <w:p>
      <w:pPr>
        <w:pStyle w:val="FootnoteText"/>
      </w:pPr>
      <w:r>
        <w:rPr>
          <w:rStyle w:val="FootnoteReference"/>
        </w:rPr>
        <w:footnoteRef/>
      </w:r>
      <w:r>
        <w:t xml:space="preserve"> </w:t>
      </w:r>
      <w:r>
        <w:t xml:space="preserve">Verified fact — A3-S089: Zep pricing</w:t>
      </w:r>
      <w:r>
        <w:t xml:space="preserve"> </w:t>
      </w:r>
      <w:hyperlink r:id="rId706">
        <w:r>
          <w:rPr>
            <w:rStyle w:val="Hyperlink"/>
          </w:rPr>
          <w:t xml:space="preserve">https://www.getzep.com/pricing/</w:t>
        </w:r>
      </w:hyperlink>
      <w:r>
        <w:t xml:space="preserve"> </w:t>
      </w:r>
      <w:r>
        <w:t xml:space="preserve">accessed 2026-10-07 [search-tool extract]; A3-S090: Zep Enterprise (and Emerging Companies programme page)</w:t>
      </w:r>
      <w:r>
        <w:t xml:space="preserve"> </w:t>
      </w:r>
      <w:hyperlink r:id="rId707">
        <w:r>
          <w:rPr>
            <w:rStyle w:val="Hyperlink"/>
          </w:rPr>
          <w:t xml:space="preserve">https://www.getzep.com/enterprise/</w:t>
        </w:r>
      </w:hyperlink>
      <w:r>
        <w:t xml:space="preserve"> </w:t>
      </w:r>
      <w:r>
        <w:t xml:space="preserve">accessed 2026-10-07 [search-tool extract]</w:t>
      </w:r>
    </w:p>
  </w:footnote>
  <w:footnote w:id="708">
    <w:p>
      <w:pPr>
        <w:pStyle w:val="FootnoteText"/>
      </w:pPr>
      <w:r>
        <w:rPr>
          <w:rStyle w:val="FootnoteReference"/>
        </w:rPr>
        <w:footnoteRef/>
      </w:r>
      <w:r>
        <w:t xml:space="preserve"> </w:t>
      </w:r>
      <w:r>
        <w:t xml:space="preserve">Verified fact — A3-S107: Zep docs: Governance (and Audit logging page, Zep Archive blog)</w:t>
      </w:r>
      <w:r>
        <w:t xml:space="preserve"> </w:t>
      </w:r>
      <w:hyperlink r:id="rId709">
        <w:r>
          <w:rPr>
            <w:rStyle w:val="Hyperlink"/>
          </w:rPr>
          <w:t xml:space="preserve">https://help.getzep.com/governance</w:t>
        </w:r>
      </w:hyperlink>
      <w:r>
        <w:t xml:space="preserve"> </w:t>
      </w:r>
      <w:r>
        <w:t xml:space="preserve">accessed 2026-10-07 [search-tool extract]</w:t>
      </w:r>
    </w:p>
  </w:footnote>
  <w:footnote w:id="710">
    <w:p>
      <w:pPr>
        <w:pStyle w:val="FootnoteText"/>
      </w:pPr>
      <w:r>
        <w:rPr>
          <w:rStyle w:val="FootnoteReference"/>
        </w:rPr>
        <w:footnoteRef/>
      </w:r>
      <w:r>
        <w:t xml:space="preserve"> </w:t>
      </w:r>
      <w:r>
        <w:t xml:space="preserve">Verified fact — A3-S059: getzep/zep README: Zep Cloud Examples &amp; Integrations (Zep AI (GitHub))</w:t>
      </w:r>
      <w:r>
        <w:t xml:space="preserve"> </w:t>
      </w:r>
      <w:hyperlink r:id="rId703">
        <w:r>
          <w:rPr>
            <w:rStyle w:val="Hyperlink"/>
          </w:rPr>
          <w:t xml:space="preserve">https://raw.githubusercontent.com/getzep/zep/main/README.md</w:t>
        </w:r>
      </w:hyperlink>
      <w:r>
        <w:t xml:space="preserve"> </w:t>
      </w:r>
      <w:r>
        <w:t xml:space="preserve">accessed 2026-10-07; A3-S003: PyPI JSON metadata: graphiti-core (Python Package Index (PyPI))</w:t>
      </w:r>
      <w:r>
        <w:t xml:space="preserve"> </w:t>
      </w:r>
      <w:hyperlink r:id="rId702">
        <w:r>
          <w:rPr>
            <w:rStyle w:val="Hyperlink"/>
          </w:rPr>
          <w:t xml:space="preserve">https://pypi.org/pypi/graphiti-core/json</w:t>
        </w:r>
      </w:hyperlink>
      <w:r>
        <w:t xml:space="preserve"> </w:t>
      </w:r>
      <w:r>
        <w:t xml:space="preserve">accessed 2026-10-07</w:t>
      </w:r>
    </w:p>
  </w:footnote>
  <w:footnote w:id="711">
    <w:p>
      <w:pPr>
        <w:pStyle w:val="FootnoteText"/>
      </w:pPr>
      <w:r>
        <w:rPr>
          <w:rStyle w:val="FootnoteReference"/>
        </w:rPr>
        <w:footnoteRef/>
      </w:r>
      <w:r>
        <w:t xml:space="preserve"> </w:t>
      </w:r>
      <w:r>
        <w:t xml:space="preserve">Verified fact — A3-S059: getzep/zep README: Zep Cloud Examples &amp; Integrations (Zep AI (GitHub))</w:t>
      </w:r>
      <w:r>
        <w:t xml:space="preserve"> </w:t>
      </w:r>
      <w:hyperlink r:id="rId703">
        <w:r>
          <w:rPr>
            <w:rStyle w:val="Hyperlink"/>
          </w:rPr>
          <w:t xml:space="preserve">https://raw.githubusercontent.com/getzep/zep/main/README.md</w:t>
        </w:r>
      </w:hyperlink>
      <w:r>
        <w:t xml:space="preserve"> </w:t>
      </w:r>
      <w:r>
        <w:t xml:space="preserve">accessed 2026-10-07; V1-S044: Announcing a New Direction for Zep’s Open Source Strategy; Zep FAQ</w:t>
      </w:r>
      <w:r>
        <w:t xml:space="preserve"> </w:t>
      </w:r>
      <w:hyperlink r:id="rId712">
        <w:r>
          <w:rPr>
            <w:rStyle w:val="Hyperlink"/>
          </w:rPr>
          <w:t xml:space="preserve">https://blog.getzep.com/announcing-a-new-direction-for-zeps-open-source-strategy/</w:t>
        </w:r>
      </w:hyperlink>
      <w:r>
        <w:t xml:space="preserve"> </w:t>
      </w:r>
      <w:r>
        <w:t xml:space="preserve">accessed 2026-10-08 [search-tool extract]</w:t>
      </w:r>
    </w:p>
  </w:footnote>
  <w:footnote w:id="713">
    <w:p>
      <w:pPr>
        <w:pStyle w:val="FootnoteText"/>
      </w:pPr>
      <w:r>
        <w:rPr>
          <w:rStyle w:val="FootnoteReference"/>
        </w:rPr>
        <w:footnoteRef/>
      </w:r>
      <w:r>
        <w:t xml:space="preserve"> </w:t>
      </w:r>
      <w:r>
        <w:t xml:space="preserve">Verified fact — A3-S089: Zep pricing</w:t>
      </w:r>
      <w:r>
        <w:t xml:space="preserve"> </w:t>
      </w:r>
      <w:hyperlink r:id="rId706">
        <w:r>
          <w:rPr>
            <w:rStyle w:val="Hyperlink"/>
          </w:rPr>
          <w:t xml:space="preserve">https://www.getzep.com/pricing/</w:t>
        </w:r>
      </w:hyperlink>
      <w:r>
        <w:t xml:space="preserve"> </w:t>
      </w:r>
      <w:r>
        <w:t xml:space="preserve">accessed 2026-10-07 [search-tool extract]</w:t>
      </w:r>
    </w:p>
  </w:footnote>
  <w:footnote w:id="714">
    <w:p>
      <w:pPr>
        <w:pStyle w:val="FootnoteText"/>
      </w:pPr>
      <w:r>
        <w:rPr>
          <w:rStyle w:val="FootnoteReference"/>
        </w:rPr>
        <w:footnoteRef/>
      </w:r>
      <w:r>
        <w:t xml:space="preserve"> </w:t>
      </w:r>
      <w:r>
        <w:t xml:space="preserve">Verified fact — A3-S107: Zep docs: Governance (and Audit logging page, Zep Archive blog)</w:t>
      </w:r>
      <w:r>
        <w:t xml:space="preserve"> </w:t>
      </w:r>
      <w:hyperlink r:id="rId709">
        <w:r>
          <w:rPr>
            <w:rStyle w:val="Hyperlink"/>
          </w:rPr>
          <w:t xml:space="preserve">https://help.getzep.com/governance</w:t>
        </w:r>
      </w:hyperlink>
      <w:r>
        <w:t xml:space="preserve"> </w:t>
      </w:r>
      <w:r>
        <w:t xml:space="preserve">accessed 2026-10-07 [search-tool extract]</w:t>
      </w:r>
    </w:p>
  </w:footnote>
  <w:footnote w:id="715">
    <w:p>
      <w:pPr>
        <w:pStyle w:val="FootnoteText"/>
      </w:pPr>
      <w:r>
        <w:rPr>
          <w:rStyle w:val="FootnoteReference"/>
        </w:rPr>
        <w:footnoteRef/>
      </w:r>
      <w:r>
        <w:t xml:space="preserve"> </w:t>
      </w:r>
      <w:r>
        <w:t xml:space="preserve">Verified fact — A3-S003: PyPI JSON metadata: graphiti-core (Python Package Index (PyPI))</w:t>
      </w:r>
      <w:r>
        <w:t xml:space="preserve"> </w:t>
      </w:r>
      <w:hyperlink r:id="rId702">
        <w:r>
          <w:rPr>
            <w:rStyle w:val="Hyperlink"/>
          </w:rPr>
          <w:t xml:space="preserve">https://pypi.org/pypi/graphiti-core/json</w:t>
        </w:r>
      </w:hyperlink>
      <w:r>
        <w:t xml:space="preserve"> </w:t>
      </w:r>
      <w:r>
        <w:t xml:space="preserve">accessed 2026-10-07; A3-S002: PyPI JSON metadata: zep-cloud (Python Package Index (PyPI))</w:t>
      </w:r>
      <w:r>
        <w:t xml:space="preserve"> </w:t>
      </w:r>
      <w:hyperlink r:id="rId716">
        <w:r>
          <w:rPr>
            <w:rStyle w:val="Hyperlink"/>
          </w:rPr>
          <w:t xml:space="preserve">https://pypi.org/pypi/zep-cloud/json</w:t>
        </w:r>
      </w:hyperlink>
      <w:r>
        <w:t xml:space="preserve"> </w:t>
      </w:r>
      <w:r>
        <w:t xml:space="preserve">accessed 2026-10-07</w:t>
      </w:r>
    </w:p>
  </w:footnote>
  <w:footnote w:id="717">
    <w:p>
      <w:pPr>
        <w:pStyle w:val="FootnoteText"/>
      </w:pPr>
      <w:r>
        <w:rPr>
          <w:rStyle w:val="FootnoteReference"/>
        </w:rPr>
        <w:footnoteRef/>
      </w:r>
      <w:r>
        <w:t xml:space="preserve"> </w:t>
      </w:r>
      <w:r>
        <w:t xml:space="preserve">Verified fact — A3-S003: PyPI JSON metadata: graphiti-core (Python Package Index (PyPI))</w:t>
      </w:r>
      <w:r>
        <w:t xml:space="preserve"> </w:t>
      </w:r>
      <w:hyperlink r:id="rId702">
        <w:r>
          <w:rPr>
            <w:rStyle w:val="Hyperlink"/>
          </w:rPr>
          <w:t xml:space="preserve">https://pypi.org/pypi/graphiti-core/json</w:t>
        </w:r>
      </w:hyperlink>
      <w:r>
        <w:t xml:space="preserve"> </w:t>
      </w:r>
      <w:r>
        <w:t xml:space="preserve">accessed 2026-10-07</w:t>
      </w:r>
    </w:p>
  </w:footnote>
  <w:footnote w:id="719">
    <w:p>
      <w:pPr>
        <w:pStyle w:val="FootnoteText"/>
      </w:pPr>
      <w:r>
        <w:rPr>
          <w:rStyle w:val="FootnoteReference"/>
        </w:rPr>
        <w:footnoteRef/>
      </w:r>
      <w:r>
        <w:t xml:space="preserve"> </w:t>
      </w:r>
      <w:r>
        <w:t xml:space="preserve">Verified fact — A3-S001: PyPI JSON metadata: mem0ai (Python Package Index (PyPI))</w:t>
      </w:r>
      <w:r>
        <w:t xml:space="preserve"> </w:t>
      </w:r>
      <w:hyperlink r:id="rId720">
        <w:r>
          <w:rPr>
            <w:rStyle w:val="Hyperlink"/>
          </w:rPr>
          <w:t xml:space="preserve">https://pypi.org/pypi/mem0ai/json</w:t>
        </w:r>
      </w:hyperlink>
      <w:r>
        <w:t xml:space="preserve"> </w:t>
      </w:r>
      <w:r>
        <w:t xml:space="preserve">accessed 2026-10-07; A3-S080: Mem0 docs source: Platform vs Open Source (Mem0 (GitHub))</w:t>
      </w:r>
      <w:r>
        <w:t xml:space="preserve"> </w:t>
      </w:r>
      <w:hyperlink r:id="rId721">
        <w:r>
          <w:rPr>
            <w:rStyle w:val="Hyperlink"/>
          </w:rPr>
          <w:t xml:space="preserve">https://raw.githubusercontent.com/mem0ai/mem0/main/docs/platform/platform-vs-oss.mdx</w:t>
        </w:r>
      </w:hyperlink>
      <w:r>
        <w:t xml:space="preserve"> </w:t>
      </w:r>
      <w:r>
        <w:t xml:space="preserve">accessed 2026-10-07; A3-S053: Mem0 docs: Platform vs Open Source (and OSS v2-to-v3 migration notes)</w:t>
      </w:r>
      <w:r>
        <w:t xml:space="preserve"> </w:t>
      </w:r>
      <w:hyperlink r:id="rId722">
        <w:r>
          <w:rPr>
            <w:rStyle w:val="Hyperlink"/>
          </w:rPr>
          <w:t xml:space="preserve">https://docs.mem0.ai/platform/platform-vs-oss</w:t>
        </w:r>
      </w:hyperlink>
      <w:r>
        <w:t xml:space="preserve"> </w:t>
      </w:r>
      <w:r>
        <w:t xml:space="preserve">accessed 2026-10-07 [search-tool extract]</w:t>
      </w:r>
    </w:p>
  </w:footnote>
  <w:footnote w:id="723">
    <w:p>
      <w:pPr>
        <w:pStyle w:val="FootnoteText"/>
      </w:pPr>
      <w:r>
        <w:rPr>
          <w:rStyle w:val="FootnoteReference"/>
        </w:rPr>
        <w:footnoteRef/>
      </w:r>
      <w:r>
        <w:t xml:space="preserve"> </w:t>
      </w:r>
      <w:r>
        <w:t xml:space="preserve">Verified fact — A3-S080: Mem0 docs source: Platform vs Open Source (Mem0 (GitHub))</w:t>
      </w:r>
      <w:r>
        <w:t xml:space="preserve"> </w:t>
      </w:r>
      <w:hyperlink r:id="rId721">
        <w:r>
          <w:rPr>
            <w:rStyle w:val="Hyperlink"/>
          </w:rPr>
          <w:t xml:space="preserve">https://raw.githubusercontent.com/mem0ai/mem0/main/docs/platform/platform-vs-oss.mdx</w:t>
        </w:r>
      </w:hyperlink>
      <w:r>
        <w:t xml:space="preserve"> </w:t>
      </w:r>
      <w:r>
        <w:t xml:space="preserve">accessed 2026-10-07; A3-S053: Mem0 docs: Platform vs Open Source (and OSS v2-to-v3 migration notes)</w:t>
      </w:r>
      <w:r>
        <w:t xml:space="preserve"> </w:t>
      </w:r>
      <w:hyperlink r:id="rId722">
        <w:r>
          <w:rPr>
            <w:rStyle w:val="Hyperlink"/>
          </w:rPr>
          <w:t xml:space="preserve">https://docs.mem0.ai/platform/platform-vs-oss</w:t>
        </w:r>
      </w:hyperlink>
      <w:r>
        <w:t xml:space="preserve"> </w:t>
      </w:r>
      <w:r>
        <w:t xml:space="preserve">accessed 2026-10-07 [search-tool extract]</w:t>
      </w:r>
    </w:p>
  </w:footnote>
  <w:footnote w:id="724">
    <w:p>
      <w:pPr>
        <w:pStyle w:val="FootnoteText"/>
      </w:pPr>
      <w:r>
        <w:rPr>
          <w:rStyle w:val="FootnoteReference"/>
        </w:rPr>
        <w:footnoteRef/>
      </w:r>
      <w:r>
        <w:t xml:space="preserve"> </w:t>
      </w:r>
      <w:r>
        <w:t xml:space="preserve">Verified fact — A3-S001: PyPI JSON metadata: mem0ai (Python Package Index (PyPI))</w:t>
      </w:r>
      <w:r>
        <w:t xml:space="preserve"> </w:t>
      </w:r>
      <w:hyperlink r:id="rId720">
        <w:r>
          <w:rPr>
            <w:rStyle w:val="Hyperlink"/>
          </w:rPr>
          <w:t xml:space="preserve">https://pypi.org/pypi/mem0ai/json</w:t>
        </w:r>
      </w:hyperlink>
      <w:r>
        <w:t xml:space="preserve"> </w:t>
      </w:r>
      <w:r>
        <w:t xml:space="preserve">accessed 2026-10-07</w:t>
      </w:r>
    </w:p>
  </w:footnote>
  <w:footnote w:id="725">
    <w:p>
      <w:pPr>
        <w:pStyle w:val="FootnoteText"/>
      </w:pPr>
      <w:r>
        <w:rPr>
          <w:rStyle w:val="FootnoteReference"/>
        </w:rPr>
        <w:footnoteRef/>
      </w:r>
      <w:r>
        <w:t xml:space="preserve"> </w:t>
      </w:r>
      <w:r>
        <w:t xml:space="preserve">Verified fact — A3-S080: Mem0 docs source: Platform vs Open Source (Mem0 (GitHub))</w:t>
      </w:r>
      <w:r>
        <w:t xml:space="preserve"> </w:t>
      </w:r>
      <w:hyperlink r:id="rId721">
        <w:r>
          <w:rPr>
            <w:rStyle w:val="Hyperlink"/>
          </w:rPr>
          <w:t xml:space="preserve">https://raw.githubusercontent.com/mem0ai/mem0/main/docs/platform/platform-vs-oss.mdx</w:t>
        </w:r>
      </w:hyperlink>
      <w:r>
        <w:t xml:space="preserve"> </w:t>
      </w:r>
      <w:r>
        <w:t xml:space="preserve">accessed 2026-10-07</w:t>
      </w:r>
    </w:p>
  </w:footnote>
  <w:footnote w:id="726">
    <w:p>
      <w:pPr>
        <w:pStyle w:val="FootnoteText"/>
      </w:pPr>
      <w:r>
        <w:rPr>
          <w:rStyle w:val="FootnoteReference"/>
        </w:rPr>
        <w:footnoteRef/>
      </w:r>
      <w:r>
        <w:t xml:space="preserve"> </w:t>
      </w:r>
      <w:r>
        <w:t xml:space="preserve">Verified fact — A3-S054: GitHub repository metadata (stars, forks, created, archived) retrieved via GitHub MCP search_repositories tool, 7 Oct 2026</w:t>
      </w:r>
      <w:r>
        <w:t xml:space="preserve"> </w:t>
      </w:r>
      <w:hyperlink r:id="rId727">
        <w:r>
          <w:rPr>
            <w:rStyle w:val="Hyperlink"/>
          </w:rPr>
          <w:t xml:space="preserve">https://api.github.com/search/repositories</w:t>
        </w:r>
      </w:hyperlink>
      <w:r>
        <w:t xml:space="preserve"> </w:t>
      </w:r>
      <w:r>
        <w:t xml:space="preserve">accessed 2026-10-07 [search-tool extract]</w:t>
      </w:r>
    </w:p>
  </w:footnote>
  <w:footnote w:id="728">
    <w:p>
      <w:pPr>
        <w:pStyle w:val="FootnoteText"/>
      </w:pPr>
      <w:r>
        <w:rPr>
          <w:rStyle w:val="FootnoteReference"/>
        </w:rPr>
        <w:footnoteRef/>
      </w:r>
      <w:r>
        <w:t xml:space="preserve"> </w:t>
      </w:r>
      <w:r>
        <w:t xml:space="preserve">Verified fact — A3-S051: Enterprise AI Memory Options That Pass Security Review (Mem0)</w:t>
      </w:r>
      <w:r>
        <w:t xml:space="preserve"> </w:t>
      </w:r>
      <w:hyperlink r:id="rId729">
        <w:r>
          <w:rPr>
            <w:rStyle w:val="Hyperlink"/>
          </w:rPr>
          <w:t xml:space="preserve">https://mem0.ai/guide/enterprise-ai-memory-security-review-options</w:t>
        </w:r>
      </w:hyperlink>
      <w:r>
        <w:t xml:space="preserve"> </w:t>
      </w:r>
      <w:r>
        <w:t xml:space="preserve">accessed 2026-10-07 [search-tool extract]; A3-S106: Mem0 guide: Solving SOC 2 Compliance for Enterprise AI Memory (and related mem0.ai pages)</w:t>
      </w:r>
      <w:r>
        <w:t xml:space="preserve"> </w:t>
      </w:r>
      <w:hyperlink r:id="rId730">
        <w:r>
          <w:rPr>
            <w:rStyle w:val="Hyperlink"/>
          </w:rPr>
          <w:t xml:space="preserve">https://mem0.ai/guide/solving-soc-2-compliance-enterprise-ai-memory</w:t>
        </w:r>
      </w:hyperlink>
      <w:r>
        <w:t xml:space="preserve"> </w:t>
      </w:r>
      <w:r>
        <w:t xml:space="preserve">accessed 2026-10-07 [search-tool extract]</w:t>
      </w:r>
    </w:p>
  </w:footnote>
  <w:footnote w:id="731">
    <w:p>
      <w:pPr>
        <w:pStyle w:val="FootnoteText"/>
      </w:pPr>
      <w:r>
        <w:rPr>
          <w:rStyle w:val="FootnoteReference"/>
        </w:rPr>
        <w:footnoteRef/>
      </w:r>
      <w:r>
        <w:t xml:space="preserve"> </w:t>
      </w:r>
      <w:r>
        <w:t xml:space="preserve">Verified fact — A3-S106: Mem0 guide: Solving SOC 2 Compliance for Enterprise AI Memory (and related mem0.ai pages)</w:t>
      </w:r>
      <w:r>
        <w:t xml:space="preserve"> </w:t>
      </w:r>
      <w:hyperlink r:id="rId730">
        <w:r>
          <w:rPr>
            <w:rStyle w:val="Hyperlink"/>
          </w:rPr>
          <w:t xml:space="preserve">https://mem0.ai/guide/solving-soc-2-compliance-enterprise-ai-memory</w:t>
        </w:r>
      </w:hyperlink>
      <w:r>
        <w:t xml:space="preserve"> </w:t>
      </w:r>
      <w:r>
        <w:t xml:space="preserve">accessed 2026-10-07 [search-tool extract]</w:t>
      </w:r>
    </w:p>
  </w:footnote>
  <w:footnote w:id="732">
    <w:p>
      <w:pPr>
        <w:pStyle w:val="FootnoteText"/>
      </w:pPr>
      <w:r>
        <w:rPr>
          <w:rStyle w:val="FootnoteReference"/>
        </w:rPr>
        <w:footnoteRef/>
      </w:r>
      <w:r>
        <w:t xml:space="preserve"> </w:t>
      </w:r>
      <w:r>
        <w:t xml:space="preserve">Verified fact — A3-S081: Mem0 docs source: Open Source migration to the new memory algorithm (Mem0 (GitHub))</w:t>
      </w:r>
      <w:r>
        <w:t xml:space="preserve"> </w:t>
      </w:r>
      <w:hyperlink r:id="rId733">
        <w:r>
          <w:rPr>
            <w:rStyle w:val="Hyperlink"/>
          </w:rPr>
          <w:t xml:space="preserve">https://raw.githubusercontent.com/mem0ai/mem0/main/docs/migration/oss-v2-to-v3.mdx</w:t>
        </w:r>
      </w:hyperlink>
      <w:r>
        <w:t xml:space="preserve"> </w:t>
      </w:r>
      <w:r>
        <w:t xml:space="preserve">accessed 2026-10-07; V1-S043: Open Source: Migrating to the New Memory Algorithm; SDK changelog; Highlights (Mem0)</w:t>
      </w:r>
      <w:r>
        <w:t xml:space="preserve"> </w:t>
      </w:r>
      <w:hyperlink r:id="rId734">
        <w:r>
          <w:rPr>
            <w:rStyle w:val="Hyperlink"/>
          </w:rPr>
          <w:t xml:space="preserve">https://docs.mem0.ai/migration/oss-v2-to-v3</w:t>
        </w:r>
      </w:hyperlink>
      <w:r>
        <w:t xml:space="preserve"> </w:t>
      </w:r>
      <w:r>
        <w:t xml:space="preserve">accessed 2026-10-08 [search-tool extract]; A3-S080: Mem0 docs source: Platform vs Open Source (Mem0 (GitHub))</w:t>
      </w:r>
      <w:r>
        <w:t xml:space="preserve"> </w:t>
      </w:r>
      <w:hyperlink r:id="rId721">
        <w:r>
          <w:rPr>
            <w:rStyle w:val="Hyperlink"/>
          </w:rPr>
          <w:t xml:space="preserve">https://raw.githubusercontent.com/mem0ai/mem0/main/docs/platform/platform-vs-oss.mdx</w:t>
        </w:r>
      </w:hyperlink>
      <w:r>
        <w:t xml:space="preserve"> </w:t>
      </w:r>
      <w:r>
        <w:t xml:space="preserve">accessed 2026-10-07</w:t>
      </w:r>
    </w:p>
  </w:footnote>
  <w:footnote w:id="735">
    <w:p>
      <w:pPr>
        <w:pStyle w:val="FootnoteText"/>
      </w:pPr>
      <w:r>
        <w:rPr>
          <w:rStyle w:val="FootnoteReference"/>
        </w:rPr>
        <w:footnoteRef/>
      </w:r>
      <w:r>
        <w:t xml:space="preserve"> </w:t>
      </w:r>
      <w:r>
        <w:t xml:space="preserve">Verified fact — A3-S081: Mem0 docs source: Open Source migration to the new memory algorithm (Mem0 (GitHub))</w:t>
      </w:r>
      <w:r>
        <w:t xml:space="preserve"> </w:t>
      </w:r>
      <w:hyperlink r:id="rId733">
        <w:r>
          <w:rPr>
            <w:rStyle w:val="Hyperlink"/>
          </w:rPr>
          <w:t xml:space="preserve">https://raw.githubusercontent.com/mem0ai/mem0/main/docs/migration/oss-v2-to-v3.mdx</w:t>
        </w:r>
      </w:hyperlink>
      <w:r>
        <w:t xml:space="preserve"> </w:t>
      </w:r>
      <w:r>
        <w:t xml:space="preserve">accessed 2026-10-07</w:t>
      </w:r>
    </w:p>
  </w:footnote>
  <w:footnote w:id="736">
    <w:p>
      <w:pPr>
        <w:pStyle w:val="FootnoteText"/>
      </w:pPr>
      <w:r>
        <w:rPr>
          <w:rStyle w:val="FootnoteReference"/>
        </w:rPr>
        <w:footnoteRef/>
      </w:r>
      <w:r>
        <w:t xml:space="preserve"> </w:t>
      </w:r>
      <w:r>
        <w:t xml:space="preserve">Reported — A3-S081: Mem0 docs source: Open Source migration to the new memory algorithm (Mem0 (GitHub))</w:t>
      </w:r>
      <w:r>
        <w:t xml:space="preserve"> </w:t>
      </w:r>
      <w:hyperlink r:id="rId733">
        <w:r>
          <w:rPr>
            <w:rStyle w:val="Hyperlink"/>
          </w:rPr>
          <w:t xml:space="preserve">https://raw.githubusercontent.com/mem0ai/mem0/main/docs/migration/oss-v2-to-v3.mdx</w:t>
        </w:r>
      </w:hyperlink>
      <w:r>
        <w:t xml:space="preserve"> </w:t>
      </w:r>
      <w:r>
        <w:t xml:space="preserve">accessed 2026-10-07</w:t>
      </w:r>
    </w:p>
  </w:footnote>
  <w:footnote w:id="738">
    <w:p>
      <w:pPr>
        <w:pStyle w:val="FootnoteText"/>
      </w:pPr>
      <w:r>
        <w:rPr>
          <w:rStyle w:val="FootnoteReference"/>
        </w:rPr>
        <w:footnoteRef/>
      </w:r>
      <w:r>
        <w:t xml:space="preserve"> </w:t>
      </w:r>
      <w:r>
        <w:t xml:space="preserve">Verified fact — A3-S005: PyPI JSON metadata: cognee (Python Package Index (PyPI))</w:t>
      </w:r>
      <w:r>
        <w:t xml:space="preserve"> </w:t>
      </w:r>
      <w:hyperlink r:id="rId739">
        <w:r>
          <w:rPr>
            <w:rStyle w:val="Hyperlink"/>
          </w:rPr>
          <w:t xml:space="preserve">https://pypi.org/pypi/cognee/json</w:t>
        </w:r>
      </w:hyperlink>
      <w:r>
        <w:t xml:space="preserve"> </w:t>
      </w:r>
      <w:r>
        <w:t xml:space="preserve">accessed 2026-10-07</w:t>
      </w:r>
    </w:p>
  </w:footnote>
  <w:footnote w:id="740">
    <w:p>
      <w:pPr>
        <w:pStyle w:val="FootnoteText"/>
      </w:pPr>
      <w:r>
        <w:rPr>
          <w:rStyle w:val="FootnoteReference"/>
        </w:rPr>
        <w:footnoteRef/>
      </w:r>
      <w:r>
        <w:t xml:space="preserve"> </w:t>
      </w:r>
      <w:r>
        <w:t xml:space="preserve">Verified fact — A3-S095: Cognee Cloud: Security &amp; Data Protection (docs) and cognee.ai FAQ/GDPR pages</w:t>
      </w:r>
      <w:r>
        <w:t xml:space="preserve"> </w:t>
      </w:r>
      <w:hyperlink r:id="rId741">
        <w:r>
          <w:rPr>
            <w:rStyle w:val="Hyperlink"/>
          </w:rPr>
          <w:t xml:space="preserve">https://docs.cognee.ai/cognee-cloud/functionality/data-and-security</w:t>
        </w:r>
      </w:hyperlink>
      <w:r>
        <w:t xml:space="preserve"> </w:t>
      </w:r>
      <w:r>
        <w:t xml:space="preserve">accessed 2026-10-07 [search-tool extract]</w:t>
      </w:r>
    </w:p>
  </w:footnote>
  <w:footnote w:id="742">
    <w:p>
      <w:pPr>
        <w:pStyle w:val="FootnoteText"/>
      </w:pPr>
      <w:r>
        <w:rPr>
          <w:rStyle w:val="FootnoteReference"/>
        </w:rPr>
        <w:footnoteRef/>
      </w:r>
      <w:r>
        <w:t xml:space="preserve"> </w:t>
      </w:r>
      <w:r>
        <w:t xml:space="preserve">Verified fact — A3-S005: PyPI JSON metadata: cognee (Python Package Index (PyPI))</w:t>
      </w:r>
      <w:r>
        <w:t xml:space="preserve"> </w:t>
      </w:r>
      <w:hyperlink r:id="rId739">
        <w:r>
          <w:rPr>
            <w:rStyle w:val="Hyperlink"/>
          </w:rPr>
          <w:t xml:space="preserve">https://pypi.org/pypi/cognee/json</w:t>
        </w:r>
      </w:hyperlink>
      <w:r>
        <w:t xml:space="preserve"> </w:t>
      </w:r>
      <w:r>
        <w:t xml:space="preserve">accessed 2026-10-07</w:t>
      </w:r>
    </w:p>
  </w:footnote>
  <w:footnote w:id="743">
    <w:p>
      <w:pPr>
        <w:pStyle w:val="FootnoteText"/>
      </w:pPr>
      <w:r>
        <w:rPr>
          <w:rStyle w:val="FootnoteReference"/>
        </w:rPr>
        <w:footnoteRef/>
      </w:r>
      <w:r>
        <w:t xml:space="preserve"> </w:t>
      </w:r>
      <w:r>
        <w:t xml:space="preserve">Verified fact — A3-S095: Cognee Cloud: Security &amp; Data Protection (docs) and cognee.ai FAQ/GDPR pages</w:t>
      </w:r>
      <w:r>
        <w:t xml:space="preserve"> </w:t>
      </w:r>
      <w:hyperlink r:id="rId741">
        <w:r>
          <w:rPr>
            <w:rStyle w:val="Hyperlink"/>
          </w:rPr>
          <w:t xml:space="preserve">https://docs.cognee.ai/cognee-cloud/functionality/data-and-security</w:t>
        </w:r>
      </w:hyperlink>
      <w:r>
        <w:t xml:space="preserve"> </w:t>
      </w:r>
      <w:r>
        <w:t xml:space="preserve">accessed 2026-10-07 [search-tool extract]</w:t>
      </w:r>
    </w:p>
  </w:footnote>
  <w:footnote w:id="744">
    <w:p>
      <w:pPr>
        <w:pStyle w:val="FootnoteText"/>
      </w:pPr>
      <w:r>
        <w:rPr>
          <w:rStyle w:val="FootnoteReference"/>
        </w:rPr>
        <w:footnoteRef/>
      </w:r>
      <w:r>
        <w:t xml:space="preserve"> </w:t>
      </w:r>
      <w:r>
        <w:t xml:space="preserve">Verified fact — A3-S095: Cognee Cloud: Security &amp; Data Protection (docs) and cognee.ai FAQ/GDPR pages</w:t>
      </w:r>
      <w:r>
        <w:t xml:space="preserve"> </w:t>
      </w:r>
      <w:hyperlink r:id="rId741">
        <w:r>
          <w:rPr>
            <w:rStyle w:val="Hyperlink"/>
          </w:rPr>
          <w:t xml:space="preserve">https://docs.cognee.ai/cognee-cloud/functionality/data-and-security</w:t>
        </w:r>
      </w:hyperlink>
      <w:r>
        <w:t xml:space="preserve"> </w:t>
      </w:r>
      <w:r>
        <w:t xml:space="preserve">accessed 2026-10-07 [search-tool extract]</w:t>
      </w:r>
    </w:p>
  </w:footnote>
  <w:footnote w:id="745">
    <w:p>
      <w:pPr>
        <w:pStyle w:val="FootnoteText"/>
      </w:pPr>
      <w:r>
        <w:rPr>
          <w:rStyle w:val="FootnoteReference"/>
        </w:rPr>
        <w:footnoteRef/>
      </w:r>
      <w:r>
        <w:t xml:space="preserve"> </w:t>
      </w:r>
      <w:r>
        <w:t xml:space="preserve">Verified fact — A3-S095: Cognee Cloud: Security &amp; Data Protection (docs) and cognee.ai FAQ/GDPR pages</w:t>
      </w:r>
      <w:r>
        <w:t xml:space="preserve"> </w:t>
      </w:r>
      <w:hyperlink r:id="rId741">
        <w:r>
          <w:rPr>
            <w:rStyle w:val="Hyperlink"/>
          </w:rPr>
          <w:t xml:space="preserve">https://docs.cognee.ai/cognee-cloud/functionality/data-and-security</w:t>
        </w:r>
      </w:hyperlink>
      <w:r>
        <w:t xml:space="preserve"> </w:t>
      </w:r>
      <w:r>
        <w:t xml:space="preserve">accessed 2026-10-07 [search-tool extract]</w:t>
      </w:r>
    </w:p>
  </w:footnote>
  <w:footnote w:id="746">
    <w:p>
      <w:pPr>
        <w:pStyle w:val="FootnoteText"/>
      </w:pPr>
      <w:r>
        <w:rPr>
          <w:rStyle w:val="FootnoteReference"/>
        </w:rPr>
        <w:footnoteRef/>
      </w:r>
      <w:r>
        <w:t xml:space="preserve"> </w:t>
      </w:r>
      <w:r>
        <w:t xml:space="preserve">Verified fact — A3-S005: PyPI JSON metadata: cognee (Python Package Index (PyPI))</w:t>
      </w:r>
      <w:r>
        <w:t xml:space="preserve"> </w:t>
      </w:r>
      <w:hyperlink r:id="rId739">
        <w:r>
          <w:rPr>
            <w:rStyle w:val="Hyperlink"/>
          </w:rPr>
          <w:t xml:space="preserve">https://pypi.org/pypi/cognee/json</w:t>
        </w:r>
      </w:hyperlink>
      <w:r>
        <w:t xml:space="preserve"> </w:t>
      </w:r>
      <w:r>
        <w:t xml:space="preserve">accessed 2026-10-07</w:t>
      </w:r>
    </w:p>
  </w:footnote>
  <w:footnote w:id="747">
    <w:p>
      <w:pPr>
        <w:pStyle w:val="FootnoteText"/>
      </w:pPr>
      <w:r>
        <w:rPr>
          <w:rStyle w:val="FootnoteReference"/>
        </w:rPr>
        <w:footnoteRef/>
      </w:r>
      <w:r>
        <w:t xml:space="preserve"> </w:t>
      </w:r>
      <w:r>
        <w:t xml:space="preserve">Reported — A3-S094: Cognee: $7.5 Million Seed Funding Raised (Feb 2026) (Pulse 2.0)</w:t>
      </w:r>
      <w:r>
        <w:t xml:space="preserve"> </w:t>
      </w:r>
      <w:hyperlink r:id="rId748">
        <w:r>
          <w:rPr>
            <w:rStyle w:val="Hyperlink"/>
          </w:rPr>
          <w:t xml:space="preserve">https://pulse2.com/cognee-7-5-million-seed-funding-raised-for-building-enterprise-grade-memory-layer-for-ai-agents/</w:t>
        </w:r>
      </w:hyperlink>
      <w:r>
        <w:t xml:space="preserve"> </w:t>
      </w:r>
      <w:r>
        <w:t xml:space="preserve">accessed 2026-10-07 [search-tool extract]</w:t>
      </w:r>
    </w:p>
  </w:footnote>
  <w:footnote w:id="750">
    <w:p>
      <w:pPr>
        <w:pStyle w:val="FootnoteText"/>
      </w:pPr>
      <w:r>
        <w:rPr>
          <w:rStyle w:val="FootnoteReference"/>
        </w:rPr>
        <w:footnoteRef/>
      </w:r>
      <w:r>
        <w:t xml:space="preserve"> </w:t>
      </w:r>
      <w:r>
        <w:t xml:space="preserve">Verified fact — A3-S111: Designing lifecycle policies for AgentCore memory (and AgentCore Memory docs: harness-memory, delete-memory, UpdateMemory, memory-record-streaming) (Amazon Web Services)</w:t>
      </w:r>
      <w:r>
        <w:t xml:space="preserve"> </w:t>
      </w:r>
      <w:hyperlink r:id="rId751">
        <w:r>
          <w:rPr>
            <w:rStyle w:val="Hyperlink"/>
          </w:rPr>
          <w:t xml:space="preserve">https://aws.amazon.com/blogs/machine-learning/designing-lifecycle-policies-for-agentcore-memory/</w:t>
        </w:r>
      </w:hyperlink>
      <w:r>
        <w:t xml:space="preserve"> </w:t>
      </w:r>
      <w:r>
        <w:t xml:space="preserve">accessed 2026-10-07 [search-tool extract]; A3-S047: Amazon Bedrock AgentCore is now generally available (Oct 2025) (Amazon Web Services)</w:t>
      </w:r>
      <w:r>
        <w:t xml:space="preserve"> </w:t>
      </w:r>
      <w:hyperlink r:id="rId752">
        <w:r>
          <w:rPr>
            <w:rStyle w:val="Hyperlink"/>
          </w:rPr>
          <w:t xml:space="preserve">https://aws.amazon.com/about-aws/whats-new/2025/10/amazon-bedrock-agentcore-available/</w:t>
        </w:r>
      </w:hyperlink>
      <w:r>
        <w:t xml:space="preserve"> </w:t>
      </w:r>
      <w:r>
        <w:t xml:space="preserve">accessed 2026-10-07 [search-tool extract]; V1-S087: Amazon Bedrock AgentCore is now generally available; AgentCore FAQs; release notes (Amazon Web Services)</w:t>
      </w:r>
      <w:r>
        <w:t xml:space="preserve"> </w:t>
      </w:r>
      <w:hyperlink r:id="rId752">
        <w:r>
          <w:rPr>
            <w:rStyle w:val="Hyperlink"/>
          </w:rPr>
          <w:t xml:space="preserve">https://aws.amazon.com/about-aws/whats-new/2025/10/amazon-bedrock-agentcore-available/</w:t>
        </w:r>
      </w:hyperlink>
      <w:r>
        <w:t xml:space="preserve"> </w:t>
      </w:r>
      <w:r>
        <w:t xml:space="preserve">accessed 2026-10-08 [search-tool extract]</w:t>
      </w:r>
    </w:p>
  </w:footnote>
  <w:footnote w:id="753">
    <w:p>
      <w:pPr>
        <w:pStyle w:val="FootnoteText"/>
      </w:pPr>
      <w:r>
        <w:rPr>
          <w:rStyle w:val="FootnoteReference"/>
        </w:rPr>
        <w:footnoteRef/>
      </w:r>
      <w:r>
        <w:t xml:space="preserve"> </w:t>
      </w:r>
      <w:r>
        <w:t xml:space="preserve">Verified fact — A3-S111: Designing lifecycle policies for AgentCore memory (and AgentCore Memory docs: harness-memory, delete-memory, UpdateMemory, memory-record-streaming) (Amazon Web Services)</w:t>
      </w:r>
      <w:r>
        <w:t xml:space="preserve"> </w:t>
      </w:r>
      <w:hyperlink r:id="rId751">
        <w:r>
          <w:rPr>
            <w:rStyle w:val="Hyperlink"/>
          </w:rPr>
          <w:t xml:space="preserve">https://aws.amazon.com/blogs/machine-learning/designing-lifecycle-policies-for-agentcore-memory/</w:t>
        </w:r>
      </w:hyperlink>
      <w:r>
        <w:t xml:space="preserve"> </w:t>
      </w:r>
      <w:r>
        <w:t xml:space="preserve">accessed 2026-10-07 [search-tool extract]</w:t>
      </w:r>
    </w:p>
  </w:footnote>
  <w:footnote w:id="754">
    <w:p>
      <w:pPr>
        <w:pStyle w:val="FootnoteText"/>
      </w:pPr>
      <w:r>
        <w:rPr>
          <w:rStyle w:val="FootnoteReference"/>
        </w:rPr>
        <w:footnoteRef/>
      </w:r>
      <w:r>
        <w:t xml:space="preserve"> </w:t>
      </w:r>
      <w:r>
        <w:t xml:space="preserve">Verified fact — B-L5-S002: Encrypt your Amazon Bedrock AgentCore Memory (and AWS Config / Security Hub / SRA pages) (Amazon Web Services)</w:t>
      </w:r>
      <w:r>
        <w:t xml:space="preserve"> </w:t>
      </w:r>
      <w:hyperlink r:id="rId755">
        <w:r>
          <w:rPr>
            <w:rStyle w:val="Hyperlink"/>
          </w:rPr>
          <w:t xml:space="preserve">https://docs.aws.amazon.com/bedrock-agentcore/latest/devguide/storage-encryption.html</w:t>
        </w:r>
      </w:hyperlink>
      <w:r>
        <w:t xml:space="preserve"> </w:t>
      </w:r>
      <w:r>
        <w:t xml:space="preserve">accessed 2026-10-08 [search-tool extract]</w:t>
      </w:r>
    </w:p>
  </w:footnote>
  <w:footnote w:id="756">
    <w:p>
      <w:pPr>
        <w:pStyle w:val="FootnoteText"/>
      </w:pPr>
      <w:r>
        <w:rPr>
          <w:rStyle w:val="FootnoteReference"/>
        </w:rPr>
        <w:footnoteRef/>
      </w:r>
      <w:r>
        <w:t xml:space="preserve"> </w:t>
      </w:r>
      <w:r>
        <w:t xml:space="preserve">Verified fact — B-L5-S003: Compliance validation for Amazon Bedrock AgentCore (and AWS Services in Scope pages) (Amazon Web Services)</w:t>
      </w:r>
      <w:r>
        <w:t xml:space="preserve"> </w:t>
      </w:r>
      <w:hyperlink r:id="rId757">
        <w:r>
          <w:rPr>
            <w:rStyle w:val="Hyperlink"/>
          </w:rPr>
          <w:t xml:space="preserve">https://docs.aws.amazon.com/bedrock-agentcore/latest/devguide/compliance-validation.html</w:t>
        </w:r>
      </w:hyperlink>
      <w:r>
        <w:t xml:space="preserve"> </w:t>
      </w:r>
      <w:r>
        <w:t xml:space="preserve">accessed 2026-10-08 [search-tool extract]</w:t>
      </w:r>
    </w:p>
  </w:footnote>
  <w:footnote w:id="758">
    <w:p>
      <w:pPr>
        <w:pStyle w:val="FootnoteText"/>
      </w:pPr>
      <w:r>
        <w:rPr>
          <w:rStyle w:val="FootnoteReference"/>
        </w:rPr>
        <w:footnoteRef/>
      </w:r>
      <w:r>
        <w:t xml:space="preserve"> </w:t>
      </w:r>
      <w:r>
        <w:t xml:space="preserve">Verified fact — A3-S047: Amazon Bedrock AgentCore is now generally available (Oct 2025) (Amazon Web Services)</w:t>
      </w:r>
      <w:r>
        <w:t xml:space="preserve"> </w:t>
      </w:r>
      <w:hyperlink r:id="rId752">
        <w:r>
          <w:rPr>
            <w:rStyle w:val="Hyperlink"/>
          </w:rPr>
          <w:t xml:space="preserve">https://aws.amazon.com/about-aws/whats-new/2025/10/amazon-bedrock-agentcore-available/</w:t>
        </w:r>
      </w:hyperlink>
      <w:r>
        <w:t xml:space="preserve"> </w:t>
      </w:r>
      <w:r>
        <w:t xml:space="preserve">accessed 2026-10-07 [search-tool extract]</w:t>
      </w:r>
    </w:p>
  </w:footnote>
  <w:footnote w:id="759">
    <w:p>
      <w:pPr>
        <w:pStyle w:val="FootnoteText"/>
      </w:pPr>
      <w:r>
        <w:rPr>
          <w:rStyle w:val="FootnoteReference"/>
        </w:rPr>
        <w:footnoteRef/>
      </w:r>
      <w:r>
        <w:t xml:space="preserve"> </w:t>
      </w:r>
      <w:r>
        <w:t xml:space="preserve">Verified fact — A3-S111: Designing lifecycle policies for AgentCore memory (and AgentCore Memory docs: harness-memory, delete-memory, UpdateMemory, memory-record-streaming) (Amazon Web Services)</w:t>
      </w:r>
      <w:r>
        <w:t xml:space="preserve"> </w:t>
      </w:r>
      <w:hyperlink r:id="rId751">
        <w:r>
          <w:rPr>
            <w:rStyle w:val="Hyperlink"/>
          </w:rPr>
          <w:t xml:space="preserve">https://aws.amazon.com/blogs/machine-learning/designing-lifecycle-policies-for-agentcore-memory/</w:t>
        </w:r>
      </w:hyperlink>
      <w:r>
        <w:t xml:space="preserve"> </w:t>
      </w:r>
      <w:r>
        <w:t xml:space="preserve">accessed 2026-10-07 [search-tool extract]</w:t>
      </w:r>
    </w:p>
  </w:footnote>
  <w:footnote w:id="760">
    <w:p>
      <w:pPr>
        <w:pStyle w:val="FootnoteText"/>
      </w:pPr>
      <w:r>
        <w:rPr>
          <w:rStyle w:val="FootnoteReference"/>
        </w:rPr>
        <w:footnoteRef/>
      </w:r>
      <w:r>
        <w:t xml:space="preserve"> </w:t>
      </w:r>
      <w:r>
        <w:t xml:space="preserve">Verified fact — A3-S111: Designing lifecycle policies for AgentCore memory (and AgentCore Memory docs: harness-memory, delete-memory, UpdateMemory, memory-record-streaming) (Amazon Web Services)</w:t>
      </w:r>
      <w:r>
        <w:t xml:space="preserve"> </w:t>
      </w:r>
      <w:hyperlink r:id="rId751">
        <w:r>
          <w:rPr>
            <w:rStyle w:val="Hyperlink"/>
          </w:rPr>
          <w:t xml:space="preserve">https://aws.amazon.com/blogs/machine-learning/designing-lifecycle-policies-for-agentcore-memory/</w:t>
        </w:r>
      </w:hyperlink>
      <w:r>
        <w:t xml:space="preserve"> </w:t>
      </w:r>
      <w:r>
        <w:t xml:space="preserve">accessed 2026-10-07 [search-tool extract]</w:t>
      </w:r>
    </w:p>
  </w:footnote>
  <w:footnote w:id="761">
    <w:p>
      <w:pPr>
        <w:pStyle w:val="FootnoteText"/>
      </w:pPr>
      <w:r>
        <w:rPr>
          <w:rStyle w:val="FootnoteReference"/>
        </w:rPr>
        <w:footnoteRef/>
      </w:r>
      <w:r>
        <w:t xml:space="preserve"> </w:t>
      </w:r>
      <w:r>
        <w:t xml:space="preserve">Verified fact — B-L5-S002: Encrypt your Amazon Bedrock AgentCore Memory (and AWS Config / Security Hub / SRA pages) (Amazon Web Services)</w:t>
      </w:r>
      <w:r>
        <w:t xml:space="preserve"> </w:t>
      </w:r>
      <w:hyperlink r:id="rId755">
        <w:r>
          <w:rPr>
            <w:rStyle w:val="Hyperlink"/>
          </w:rPr>
          <w:t xml:space="preserve">https://docs.aws.amazon.com/bedrock-agentcore/latest/devguide/storage-encryption.html</w:t>
        </w:r>
      </w:hyperlink>
      <w:r>
        <w:t xml:space="preserve"> </w:t>
      </w:r>
      <w:r>
        <w:t xml:space="preserve">accessed 2026-10-08 [search-tool extract]</w:t>
      </w:r>
    </w:p>
  </w:footnote>
  <w:footnote w:id="762">
    <w:p>
      <w:pPr>
        <w:pStyle w:val="FootnoteText"/>
      </w:pPr>
      <w:r>
        <w:rPr>
          <w:rStyle w:val="FootnoteReference"/>
        </w:rPr>
        <w:footnoteRef/>
      </w:r>
      <w:r>
        <w:t xml:space="preserve"> </w:t>
      </w:r>
      <w:r>
        <w:t xml:space="preserve">Verified fact — A3-S047: Amazon Bedrock AgentCore is now generally available (Oct 2025) (Amazon Web Services)</w:t>
      </w:r>
      <w:r>
        <w:t xml:space="preserve"> </w:t>
      </w:r>
      <w:hyperlink r:id="rId752">
        <w:r>
          <w:rPr>
            <w:rStyle w:val="Hyperlink"/>
          </w:rPr>
          <w:t xml:space="preserve">https://aws.amazon.com/about-aws/whats-new/2025/10/amazon-bedrock-agentcore-available/</w:t>
        </w:r>
      </w:hyperlink>
      <w:r>
        <w:t xml:space="preserve"> </w:t>
      </w:r>
      <w:r>
        <w:t xml:space="preserve">accessed 2026-10-07 [search-tool extract]</w:t>
      </w:r>
    </w:p>
  </w:footnote>
  <w:footnote w:id="763">
    <w:p>
      <w:pPr>
        <w:pStyle w:val="FootnoteText"/>
      </w:pPr>
      <w:r>
        <w:rPr>
          <w:rStyle w:val="FootnoteReference"/>
        </w:rPr>
        <w:footnoteRef/>
      </w:r>
      <w:r>
        <w:t xml:space="preserve"> </w:t>
      </w:r>
      <w:r>
        <w:t xml:space="preserve">Verified fact — B-REVA-S005: Amazon Bedrock AgentCore Pricing (Memory) (Amazon Web Services)</w:t>
      </w:r>
      <w:r>
        <w:t xml:space="preserve"> </w:t>
      </w:r>
      <w:hyperlink r:id="rId764">
        <w:r>
          <w:rPr>
            <w:rStyle w:val="Hyperlink"/>
          </w:rPr>
          <w:t xml:space="preserve">https://aws.amazon.com/bedrock/agentcore/pricing/</w:t>
        </w:r>
      </w:hyperlink>
      <w:r>
        <w:t xml:space="preserve"> </w:t>
      </w:r>
      <w:r>
        <w:t xml:space="preserve">accessed 2026-10-08 [search-tool extract]</w:t>
      </w:r>
    </w:p>
  </w:footnote>
  <w:footnote w:id="765">
    <w:p>
      <w:pPr>
        <w:pStyle w:val="FootnoteText"/>
      </w:pPr>
      <w:r>
        <w:rPr>
          <w:rStyle w:val="FootnoteReference"/>
        </w:rPr>
        <w:footnoteRef/>
      </w:r>
      <w:r>
        <w:t xml:space="preserve"> </w:t>
      </w:r>
      <w:r>
        <w:t xml:space="preserve">Verified fact — A3-S048: Release notes for Amazon Bedrock AgentCore (Amazon Web Services)</w:t>
      </w:r>
      <w:r>
        <w:t xml:space="preserve"> </w:t>
      </w:r>
      <w:hyperlink r:id="rId766">
        <w:r>
          <w:rPr>
            <w:rStyle w:val="Hyperlink"/>
          </w:rPr>
          <w:t xml:space="preserve">https://docs.aws.amazon.com/bedrock-agentcore/latest/devguide/release-notes.html</w:t>
        </w:r>
      </w:hyperlink>
      <w:r>
        <w:t xml:space="preserve"> </w:t>
      </w:r>
      <w:r>
        <w:t xml:space="preserve">accessed 2026-10-07 [search-tool extract]</w:t>
      </w:r>
    </w:p>
  </w:footnote>
  <w:footnote w:id="768">
    <w:p>
      <w:pPr>
        <w:pStyle w:val="FootnoteText"/>
      </w:pPr>
      <w:r>
        <w:rPr>
          <w:rStyle w:val="FootnoteReference"/>
        </w:rPr>
        <w:footnoteRef/>
      </w:r>
      <w:r>
        <w:t xml:space="preserve"> </w:t>
      </w:r>
      <w:r>
        <w:t xml:space="preserve">Verified fact — A3-S108: Vertex AI Memory Bank in public preview (8 Jul 2025) (Google Cloud Blog)</w:t>
      </w:r>
      <w:r>
        <w:t xml:space="preserve"> </w:t>
      </w:r>
      <w:hyperlink r:id="rId769">
        <w:r>
          <w:rPr>
            <w:rStyle w:val="Hyperlink"/>
          </w:rPr>
          <w:t xml:space="preserve">https://cloud.google.com/blog/products/ai-machine-learning/vertex-ai-memory-bank-in-public-preview</w:t>
        </w:r>
      </w:hyperlink>
      <w:r>
        <w:t xml:space="preserve"> </w:t>
      </w:r>
      <w:r>
        <w:t xml:space="preserve">accessed 2026-10-07; A3-S109: Vertex AI Agent Engine Memory Bank overview / generate memories / Memory Bank REST reference (docs.cloud.google.com, now</w:t>
      </w:r>
      <w:r>
        <w:t xml:space="preserve"> </w:t>
      </w:r>
      <w:r>
        <w:t xml:space="preserve">‘</w:t>
      </w:r>
      <w:r>
        <w:t xml:space="preserve">Agent Platform Memory Bank</w:t>
      </w:r>
      <w:r>
        <w:t xml:space="preserve">’</w:t>
      </w:r>
      <w:r>
        <w:t xml:space="preserve">) (Google Cloud)</w:t>
      </w:r>
      <w:r>
        <w:t xml:space="preserve"> </w:t>
      </w:r>
      <w:hyperlink r:id="rId770">
        <w:r>
          <w:rPr>
            <w:rStyle w:val="Hyperlink"/>
          </w:rPr>
          <w:t xml:space="preserve">https://docs.cloud.google.com/vertex-ai/generative-ai/docs/agent-engine/memory-bank/overview</w:t>
        </w:r>
      </w:hyperlink>
      <w:r>
        <w:t xml:space="preserve"> </w:t>
      </w:r>
      <w:r>
        <w:t xml:space="preserve">accessed 2026-10-07 [search-tool extract]</w:t>
      </w:r>
    </w:p>
  </w:footnote>
  <w:footnote w:id="771">
    <w:p>
      <w:pPr>
        <w:pStyle w:val="FootnoteText"/>
      </w:pPr>
      <w:r>
        <w:rPr>
          <w:rStyle w:val="FootnoteReference"/>
        </w:rPr>
        <w:footnoteRef/>
      </w:r>
      <w:r>
        <w:t xml:space="preserve"> </w:t>
      </w:r>
      <w:r>
        <w:t xml:space="preserve">Verified fact — A3-S109: Vertex AI Agent Engine Memory Bank overview / generate memories / Memory Bank REST reference (docs.cloud.google.com, now</w:t>
      </w:r>
      <w:r>
        <w:t xml:space="preserve"> </w:t>
      </w:r>
      <w:r>
        <w:t xml:space="preserve">‘</w:t>
      </w:r>
      <w:r>
        <w:t xml:space="preserve">Agent Platform Memory Bank</w:t>
      </w:r>
      <w:r>
        <w:t xml:space="preserve">’</w:t>
      </w:r>
      <w:r>
        <w:t xml:space="preserve">) (Google Cloud)</w:t>
      </w:r>
      <w:r>
        <w:t xml:space="preserve"> </w:t>
      </w:r>
      <w:hyperlink r:id="rId770">
        <w:r>
          <w:rPr>
            <w:rStyle w:val="Hyperlink"/>
          </w:rPr>
          <w:t xml:space="preserve">https://docs.cloud.google.com/vertex-ai/generative-ai/docs/agent-engine/memory-bank/overview</w:t>
        </w:r>
      </w:hyperlink>
      <w:r>
        <w:t xml:space="preserve"> </w:t>
      </w:r>
      <w:r>
        <w:t xml:space="preserve">accessed 2026-10-07 [search-tool extract]</w:t>
      </w:r>
    </w:p>
  </w:footnote>
  <w:footnote w:id="772">
    <w:p>
      <w:pPr>
        <w:pStyle w:val="FootnoteText"/>
      </w:pPr>
      <w:r>
        <w:rPr>
          <w:rStyle w:val="FootnoteReference"/>
        </w:rPr>
        <w:footnoteRef/>
      </w:r>
      <w:r>
        <w:t xml:space="preserve"> </w:t>
      </w:r>
      <w:r>
        <w:t xml:space="preserve">Verified fact — A3-S109: Vertex AI Agent Engine Memory Bank overview / generate memories / Memory Bank REST reference (docs.cloud.google.com, now</w:t>
      </w:r>
      <w:r>
        <w:t xml:space="preserve"> </w:t>
      </w:r>
      <w:r>
        <w:t xml:space="preserve">‘</w:t>
      </w:r>
      <w:r>
        <w:t xml:space="preserve">Agent Platform Memory Bank</w:t>
      </w:r>
      <w:r>
        <w:t xml:space="preserve">’</w:t>
      </w:r>
      <w:r>
        <w:t xml:space="preserve">) (Google Cloud)</w:t>
      </w:r>
      <w:r>
        <w:t xml:space="preserve"> </w:t>
      </w:r>
      <w:hyperlink r:id="rId770">
        <w:r>
          <w:rPr>
            <w:rStyle w:val="Hyperlink"/>
          </w:rPr>
          <w:t xml:space="preserve">https://docs.cloud.google.com/vertex-ai/generative-ai/docs/agent-engine/memory-bank/overview</w:t>
        </w:r>
      </w:hyperlink>
      <w:r>
        <w:t xml:space="preserve"> </w:t>
      </w:r>
      <w:r>
        <w:t xml:space="preserve">accessed 2026-10-07 [search-tool extract]</w:t>
      </w:r>
    </w:p>
  </w:footnote>
  <w:footnote w:id="773">
    <w:p>
      <w:pPr>
        <w:pStyle w:val="FootnoteText"/>
      </w:pPr>
      <w:r>
        <w:rPr>
          <w:rStyle w:val="FootnoteReference"/>
        </w:rPr>
        <w:footnoteRef/>
      </w:r>
      <w:r>
        <w:t xml:space="preserve"> </w:t>
      </w:r>
      <w:r>
        <w:t xml:space="preserve">Verified fact — V1-S088: Vertex AI release notes (Agent Engine Sessions and Memory Bank GA; pricing) (Google Cloud)</w:t>
      </w:r>
      <w:r>
        <w:t xml:space="preserve"> </w:t>
      </w:r>
      <w:hyperlink r:id="rId774">
        <w:r>
          <w:rPr>
            <w:rStyle w:val="Hyperlink"/>
          </w:rPr>
          <w:t xml:space="preserve">https://docs.cloud.google.com/vertex-ai/docs/release-notes</w:t>
        </w:r>
      </w:hyperlink>
      <w:r>
        <w:t xml:space="preserve"> </w:t>
      </w:r>
      <w:r>
        <w:t xml:space="preserve">accessed 2026-10-08 [search-tool extract]</w:t>
      </w:r>
    </w:p>
  </w:footnote>
  <w:footnote w:id="775">
    <w:p>
      <w:pPr>
        <w:pStyle w:val="FootnoteText"/>
      </w:pPr>
      <w:r>
        <w:rPr>
          <w:rStyle w:val="FootnoteReference"/>
        </w:rPr>
        <w:footnoteRef/>
      </w:r>
      <w:r>
        <w:t xml:space="preserve"> </w:t>
      </w:r>
      <w:r>
        <w:t xml:space="preserve">Verified fact — B-L5-S004: Scale your agents / Set up Memory Bank / release notes / data residency terms (Google Cloud)</w:t>
      </w:r>
      <w:r>
        <w:t xml:space="preserve"> </w:t>
      </w:r>
      <w:hyperlink r:id="rId776">
        <w:r>
          <w:rPr>
            <w:rStyle w:val="Hyperlink"/>
          </w:rPr>
          <w:t xml:space="preserve">https://docs.cloud.google.com/gemini-enterprise-agent-platform/scale</w:t>
        </w:r>
      </w:hyperlink>
      <w:r>
        <w:t xml:space="preserve"> </w:t>
      </w:r>
      <w:r>
        <w:t xml:space="preserve">accessed 2026-10-08 [search-tool extract]</w:t>
      </w:r>
    </w:p>
  </w:footnote>
  <w:footnote w:id="777">
    <w:p>
      <w:pPr>
        <w:pStyle w:val="FootnoteText"/>
      </w:pPr>
      <w:r>
        <w:rPr>
          <w:rStyle w:val="FootnoteReference"/>
        </w:rPr>
        <w:footnoteRef/>
      </w:r>
      <w:r>
        <w:t xml:space="preserve"> </w:t>
      </w:r>
      <w:r>
        <w:t xml:space="preserve">Verified fact — B-L5-S004: Scale your agents / Set up Memory Bank / release notes / data residency terms (Google Cloud)</w:t>
      </w:r>
      <w:r>
        <w:t xml:space="preserve"> </w:t>
      </w:r>
      <w:hyperlink r:id="rId776">
        <w:r>
          <w:rPr>
            <w:rStyle w:val="Hyperlink"/>
          </w:rPr>
          <w:t xml:space="preserve">https://docs.cloud.google.com/gemini-enterprise-agent-platform/scale</w:t>
        </w:r>
      </w:hyperlink>
      <w:r>
        <w:t xml:space="preserve"> </w:t>
      </w:r>
      <w:r>
        <w:t xml:space="preserve">accessed 2026-10-08 [search-tool extract]</w:t>
      </w:r>
    </w:p>
  </w:footnote>
  <w:footnote w:id="778">
    <w:p>
      <w:pPr>
        <w:pStyle w:val="FootnoteText"/>
      </w:pPr>
      <w:r>
        <w:rPr>
          <w:rStyle w:val="FootnoteReference"/>
        </w:rPr>
        <w:footnoteRef/>
      </w:r>
      <w:r>
        <w:t xml:space="preserve"> </w:t>
      </w:r>
      <w:r>
        <w:t xml:space="preserve">Verified fact — A3-S109: Vertex AI Agent Engine Memory Bank overview / generate memories / Memory Bank REST reference (docs.cloud.google.com, now</w:t>
      </w:r>
      <w:r>
        <w:t xml:space="preserve"> </w:t>
      </w:r>
      <w:r>
        <w:t xml:space="preserve">‘</w:t>
      </w:r>
      <w:r>
        <w:t xml:space="preserve">Agent Platform Memory Bank</w:t>
      </w:r>
      <w:r>
        <w:t xml:space="preserve">’</w:t>
      </w:r>
      <w:r>
        <w:t xml:space="preserve">) (Google Cloud)</w:t>
      </w:r>
      <w:r>
        <w:t xml:space="preserve"> </w:t>
      </w:r>
      <w:hyperlink r:id="rId770">
        <w:r>
          <w:rPr>
            <w:rStyle w:val="Hyperlink"/>
          </w:rPr>
          <w:t xml:space="preserve">https://docs.cloud.google.com/vertex-ai/generative-ai/docs/agent-engine/memory-bank/overview</w:t>
        </w:r>
      </w:hyperlink>
      <w:r>
        <w:t xml:space="preserve"> </w:t>
      </w:r>
      <w:r>
        <w:t xml:space="preserve">accessed 2026-10-07 [search-tool extract]</w:t>
      </w:r>
    </w:p>
  </w:footnote>
  <w:footnote w:id="779">
    <w:p>
      <w:pPr>
        <w:pStyle w:val="FootnoteText"/>
      </w:pPr>
      <w:r>
        <w:rPr>
          <w:rStyle w:val="FootnoteReference"/>
        </w:rPr>
        <w:footnoteRef/>
      </w:r>
      <w:r>
        <w:t xml:space="preserve"> </w:t>
      </w:r>
      <w:r>
        <w:t xml:space="preserve">Verified fact — A3-S109: Vertex AI Agent Engine Memory Bank overview / generate memories / Memory Bank REST reference (docs.cloud.google.com, now</w:t>
      </w:r>
      <w:r>
        <w:t xml:space="preserve"> </w:t>
      </w:r>
      <w:r>
        <w:t xml:space="preserve">‘</w:t>
      </w:r>
      <w:r>
        <w:t xml:space="preserve">Agent Platform Memory Bank</w:t>
      </w:r>
      <w:r>
        <w:t xml:space="preserve">’</w:t>
      </w:r>
      <w:r>
        <w:t xml:space="preserve">) (Google Cloud)</w:t>
      </w:r>
      <w:r>
        <w:t xml:space="preserve"> </w:t>
      </w:r>
      <w:hyperlink r:id="rId770">
        <w:r>
          <w:rPr>
            <w:rStyle w:val="Hyperlink"/>
          </w:rPr>
          <w:t xml:space="preserve">https://docs.cloud.google.com/vertex-ai/generative-ai/docs/agent-engine/memory-bank/overview</w:t>
        </w:r>
      </w:hyperlink>
      <w:r>
        <w:t xml:space="preserve"> </w:t>
      </w:r>
      <w:r>
        <w:t xml:space="preserve">accessed 2026-10-07 [search-tool extract]; A3-S108: Vertex AI Memory Bank in public preview (8 Jul 2025) (Google Cloud Blog)</w:t>
      </w:r>
      <w:r>
        <w:t xml:space="preserve"> </w:t>
      </w:r>
      <w:hyperlink r:id="rId769">
        <w:r>
          <w:rPr>
            <w:rStyle w:val="Hyperlink"/>
          </w:rPr>
          <w:t xml:space="preserve">https://cloud.google.com/blog/products/ai-machine-learning/vertex-ai-memory-bank-in-public-preview</w:t>
        </w:r>
      </w:hyperlink>
      <w:r>
        <w:t xml:space="preserve"> </w:t>
      </w:r>
      <w:r>
        <w:t xml:space="preserve">accessed 2026-10-07</w:t>
      </w:r>
    </w:p>
  </w:footnote>
  <w:footnote w:id="780">
    <w:p>
      <w:pPr>
        <w:pStyle w:val="FootnoteText"/>
      </w:pPr>
      <w:r>
        <w:rPr>
          <w:rStyle w:val="FootnoteReference"/>
        </w:rPr>
        <w:footnoteRef/>
      </w:r>
      <w:r>
        <w:t xml:space="preserve"> </w:t>
      </w:r>
      <w:r>
        <w:t xml:space="preserve">Verified fact — A2-S043: Cloud compliance and regulations resources (Vertex AI) (Google Cloud)</w:t>
      </w:r>
      <w:r>
        <w:t xml:space="preserve"> </w:t>
      </w:r>
      <w:hyperlink r:id="rId406">
        <w:r>
          <w:rPr>
            <w:rStyle w:val="Hyperlink"/>
          </w:rPr>
          <w:t xml:space="preserve">https://cloud.google.com/vertex-ai/docs/general/vertexai-compliance</w:t>
        </w:r>
      </w:hyperlink>
      <w:r>
        <w:t xml:space="preserve"> </w:t>
      </w:r>
      <w:r>
        <w:t xml:space="preserve">accessed 2026-10-07 [search-tool extract]</w:t>
      </w:r>
    </w:p>
  </w:footnote>
  <w:footnote w:id="782">
    <w:p>
      <w:pPr>
        <w:pStyle w:val="FootnoteText"/>
      </w:pPr>
      <w:r>
        <w:rPr>
          <w:rStyle w:val="FootnoteReference"/>
        </w:rPr>
        <w:footnoteRef/>
      </w:r>
      <w:r>
        <w:t xml:space="preserve"> </w:t>
      </w:r>
      <w:r>
        <w:t xml:space="preserve">Verified fact — A3-S064: supermemoryai/supermemory README (Supermemory (GitHub))</w:t>
      </w:r>
      <w:r>
        <w:t xml:space="preserve"> </w:t>
      </w:r>
      <w:hyperlink r:id="rId783">
        <w:r>
          <w:rPr>
            <w:rStyle w:val="Hyperlink"/>
          </w:rPr>
          <w:t xml:space="preserve">https://raw.githubusercontent.com/supermemoryai/supermemory/main/README.md</w:t>
        </w:r>
      </w:hyperlink>
      <w:r>
        <w:t xml:space="preserve"> </w:t>
      </w:r>
      <w:r>
        <w:t xml:space="preserve">accessed 2026-10-07; A3-S012: PyPI JSON metadata: supermemory (Python Package Index (PyPI))</w:t>
      </w:r>
      <w:r>
        <w:t xml:space="preserve"> </w:t>
      </w:r>
      <w:hyperlink r:id="rId784">
        <w:r>
          <w:rPr>
            <w:rStyle w:val="Hyperlink"/>
          </w:rPr>
          <w:t xml:space="preserve">https://pypi.org/pypi/supermemory/json</w:t>
        </w:r>
      </w:hyperlink>
      <w:r>
        <w:t xml:space="preserve"> </w:t>
      </w:r>
      <w:r>
        <w:t xml:space="preserve">accessed 2026-10-07</w:t>
      </w:r>
    </w:p>
  </w:footnote>
  <w:footnote w:id="785">
    <w:p>
      <w:pPr>
        <w:pStyle w:val="FootnoteText"/>
      </w:pPr>
      <w:r>
        <w:rPr>
          <w:rStyle w:val="FootnoteReference"/>
        </w:rPr>
        <w:footnoteRef/>
      </w:r>
      <w:r>
        <w:t xml:space="preserve"> </w:t>
      </w:r>
      <w:r>
        <w:t xml:space="preserve">Verified fact — A3-S012: PyPI JSON metadata: supermemory (Python Package Index (PyPI))</w:t>
      </w:r>
      <w:r>
        <w:t xml:space="preserve"> </w:t>
      </w:r>
      <w:hyperlink r:id="rId784">
        <w:r>
          <w:rPr>
            <w:rStyle w:val="Hyperlink"/>
          </w:rPr>
          <w:t xml:space="preserve">https://pypi.org/pypi/supermemory/json</w:t>
        </w:r>
      </w:hyperlink>
      <w:r>
        <w:t xml:space="preserve"> </w:t>
      </w:r>
      <w:r>
        <w:t xml:space="preserve">accessed 2026-10-07; A3-S064: supermemoryai/supermemory README (Supermemory (GitHub))</w:t>
      </w:r>
      <w:r>
        <w:t xml:space="preserve"> </w:t>
      </w:r>
      <w:hyperlink r:id="rId783">
        <w:r>
          <w:rPr>
            <w:rStyle w:val="Hyperlink"/>
          </w:rPr>
          <w:t xml:space="preserve">https://raw.githubusercontent.com/supermemoryai/supermemory/main/README.md</w:t>
        </w:r>
      </w:hyperlink>
      <w:r>
        <w:t xml:space="preserve"> </w:t>
      </w:r>
      <w:r>
        <w:t xml:space="preserve">accessed 2026-10-07</w:t>
      </w:r>
    </w:p>
  </w:footnote>
  <w:footnote w:id="786">
    <w:p>
      <w:pPr>
        <w:pStyle w:val="FootnoteText"/>
      </w:pPr>
      <w:r>
        <w:rPr>
          <w:rStyle w:val="FootnoteReference"/>
        </w:rPr>
        <w:footnoteRef/>
      </w:r>
      <w:r>
        <w:t xml:space="preserve"> </w:t>
      </w:r>
      <w:r>
        <w:t xml:space="preserve">Verified fact — A3-S122: Supermemory docs: Security &amp; compliance (and product page)</w:t>
      </w:r>
      <w:r>
        <w:t xml:space="preserve"> </w:t>
      </w:r>
      <w:hyperlink r:id="rId787">
        <w:r>
          <w:rPr>
            <w:rStyle w:val="Hyperlink"/>
          </w:rPr>
          <w:t xml:space="preserve">https://supermemory.ai/docs/overview/security</w:t>
        </w:r>
      </w:hyperlink>
      <w:r>
        <w:t xml:space="preserve"> </w:t>
      </w:r>
      <w:r>
        <w:t xml:space="preserve">accessed 2026-10-07 [search-tool extract]; A3-S096: Supermemory pricing</w:t>
      </w:r>
      <w:r>
        <w:t xml:space="preserve"> </w:t>
      </w:r>
      <w:hyperlink r:id="rId788">
        <w:r>
          <w:rPr>
            <w:rStyle w:val="Hyperlink"/>
          </w:rPr>
          <w:t xml:space="preserve">https://supermemory.ai/pricing/</w:t>
        </w:r>
      </w:hyperlink>
      <w:r>
        <w:t xml:space="preserve"> </w:t>
      </w:r>
      <w:r>
        <w:t xml:space="preserve">accessed 2026-10-07 [search-tool extract]</w:t>
      </w:r>
    </w:p>
  </w:footnote>
  <w:footnote w:id="789">
    <w:p>
      <w:pPr>
        <w:pStyle w:val="FootnoteText"/>
      </w:pPr>
      <w:r>
        <w:rPr>
          <w:rStyle w:val="FootnoteReference"/>
        </w:rPr>
        <w:footnoteRef/>
      </w:r>
      <w:r>
        <w:t xml:space="preserve"> </w:t>
      </w:r>
      <w:r>
        <w:t xml:space="preserve">Verified fact — A3-S064: supermemoryai/supermemory README (Supermemory (GitHub))</w:t>
      </w:r>
      <w:r>
        <w:t xml:space="preserve"> </w:t>
      </w:r>
      <w:hyperlink r:id="rId783">
        <w:r>
          <w:rPr>
            <w:rStyle w:val="Hyperlink"/>
          </w:rPr>
          <w:t xml:space="preserve">https://raw.githubusercontent.com/supermemoryai/supermemory/main/README.md</w:t>
        </w:r>
      </w:hyperlink>
      <w:r>
        <w:t xml:space="preserve"> </w:t>
      </w:r>
      <w:r>
        <w:t xml:space="preserve">accessed 2026-10-07</w:t>
      </w:r>
    </w:p>
  </w:footnote>
  <w:footnote w:id="790">
    <w:p>
      <w:pPr>
        <w:pStyle w:val="FootnoteText"/>
      </w:pPr>
      <w:r>
        <w:rPr>
          <w:rStyle w:val="FootnoteReference"/>
        </w:rPr>
        <w:footnoteRef/>
      </w:r>
      <w:r>
        <w:t xml:space="preserve"> </w:t>
      </w:r>
      <w:r>
        <w:t xml:space="preserve">Verified fact — A3-S066: Supermemory LICENSE (MIT) (Supermemory (GitHub))</w:t>
      </w:r>
      <w:r>
        <w:t xml:space="preserve"> </w:t>
      </w:r>
      <w:hyperlink r:id="rId791">
        <w:r>
          <w:rPr>
            <w:rStyle w:val="Hyperlink"/>
          </w:rPr>
          <w:t xml:space="preserve">https://raw.githubusercontent.com/supermemoryai/supermemory/main/LICENSE</w:t>
        </w:r>
      </w:hyperlink>
      <w:r>
        <w:t xml:space="preserve"> </w:t>
      </w:r>
      <w:r>
        <w:t xml:space="preserve">accessed 2026-10-07; A3-S096: Supermemory pricing</w:t>
      </w:r>
      <w:r>
        <w:t xml:space="preserve"> </w:t>
      </w:r>
      <w:hyperlink r:id="rId788">
        <w:r>
          <w:rPr>
            <w:rStyle w:val="Hyperlink"/>
          </w:rPr>
          <w:t xml:space="preserve">https://supermemory.ai/pricing/</w:t>
        </w:r>
      </w:hyperlink>
      <w:r>
        <w:t xml:space="preserve"> </w:t>
      </w:r>
      <w:r>
        <w:t xml:space="preserve">accessed 2026-10-07 [search-tool extract]</w:t>
      </w:r>
    </w:p>
  </w:footnote>
  <w:footnote w:id="792">
    <w:p>
      <w:pPr>
        <w:pStyle w:val="FootnoteText"/>
      </w:pPr>
      <w:r>
        <w:rPr>
          <w:rStyle w:val="FootnoteReference"/>
        </w:rPr>
        <w:footnoteRef/>
      </w:r>
      <w:r>
        <w:t xml:space="preserve"> </w:t>
      </w:r>
      <w:r>
        <w:t xml:space="preserve">Verified fact — A3-S096: Supermemory pricing</w:t>
      </w:r>
      <w:r>
        <w:t xml:space="preserve"> </w:t>
      </w:r>
      <w:hyperlink r:id="rId788">
        <w:r>
          <w:rPr>
            <w:rStyle w:val="Hyperlink"/>
          </w:rPr>
          <w:t xml:space="preserve">https://supermemory.ai/pricing/</w:t>
        </w:r>
      </w:hyperlink>
      <w:r>
        <w:t xml:space="preserve"> </w:t>
      </w:r>
      <w:r>
        <w:t xml:space="preserve">accessed 2026-10-07 [search-tool extract]; A3-S122: Supermemory docs: Security &amp; compliance (and product page)</w:t>
      </w:r>
      <w:r>
        <w:t xml:space="preserve"> </w:t>
      </w:r>
      <w:hyperlink r:id="rId787">
        <w:r>
          <w:rPr>
            <w:rStyle w:val="Hyperlink"/>
          </w:rPr>
          <w:t xml:space="preserve">https://supermemory.ai/docs/overview/security</w:t>
        </w:r>
      </w:hyperlink>
      <w:r>
        <w:t xml:space="preserve"> </w:t>
      </w:r>
      <w:r>
        <w:t xml:space="preserve">accessed 2026-10-07 [search-tool extract]</w:t>
      </w:r>
    </w:p>
  </w:footnote>
  <w:footnote w:id="793">
    <w:p>
      <w:pPr>
        <w:pStyle w:val="FootnoteText"/>
      </w:pPr>
      <w:r>
        <w:rPr>
          <w:rStyle w:val="FootnoteReference"/>
        </w:rPr>
        <w:footnoteRef/>
      </w:r>
      <w:r>
        <w:t xml:space="preserve"> </w:t>
      </w:r>
      <w:r>
        <w:t xml:space="preserve">Verified fact — A3-S096: Supermemory pricing</w:t>
      </w:r>
      <w:r>
        <w:t xml:space="preserve"> </w:t>
      </w:r>
      <w:hyperlink r:id="rId788">
        <w:r>
          <w:rPr>
            <w:rStyle w:val="Hyperlink"/>
          </w:rPr>
          <w:t xml:space="preserve">https://supermemory.ai/pricing/</w:t>
        </w:r>
      </w:hyperlink>
      <w:r>
        <w:t xml:space="preserve"> </w:t>
      </w:r>
      <w:r>
        <w:t xml:space="preserve">accessed 2026-10-07 [search-tool extract]</w:t>
      </w:r>
    </w:p>
  </w:footnote>
  <w:footnote w:id="794">
    <w:p>
      <w:pPr>
        <w:pStyle w:val="FootnoteText"/>
      </w:pPr>
      <w:r>
        <w:rPr>
          <w:rStyle w:val="FootnoteReference"/>
        </w:rPr>
        <w:footnoteRef/>
      </w:r>
      <w:r>
        <w:t xml:space="preserve"> </w:t>
      </w:r>
      <w:r>
        <w:t xml:space="preserve">Verified fact — A3-S012: PyPI JSON metadata: supermemory (Python Package Index (PyPI))</w:t>
      </w:r>
      <w:r>
        <w:t xml:space="preserve"> </w:t>
      </w:r>
      <w:hyperlink r:id="rId784">
        <w:r>
          <w:rPr>
            <w:rStyle w:val="Hyperlink"/>
          </w:rPr>
          <w:t xml:space="preserve">https://pypi.org/pypi/supermemory/json</w:t>
        </w:r>
      </w:hyperlink>
      <w:r>
        <w:t xml:space="preserve"> </w:t>
      </w:r>
      <w:r>
        <w:t xml:space="preserve">accessed 2026-10-07</w:t>
      </w:r>
    </w:p>
  </w:footnote>
  <w:footnote w:id="795">
    <w:p>
      <w:pPr>
        <w:pStyle w:val="FootnoteText"/>
      </w:pPr>
      <w:r>
        <w:rPr>
          <w:rStyle w:val="FootnoteReference"/>
        </w:rPr>
        <w:footnoteRef/>
      </w:r>
      <w:r>
        <w:t xml:space="preserve"> </w:t>
      </w:r>
      <w:r>
        <w:t xml:space="preserve">Reported — A3-S064: supermemoryai/supermemory README (Supermemory (GitHub))</w:t>
      </w:r>
      <w:r>
        <w:t xml:space="preserve"> </w:t>
      </w:r>
      <w:hyperlink r:id="rId783">
        <w:r>
          <w:rPr>
            <w:rStyle w:val="Hyperlink"/>
          </w:rPr>
          <w:t xml:space="preserve">https://raw.githubusercontent.com/supermemoryai/supermemory/main/README.md</w:t>
        </w:r>
      </w:hyperlink>
      <w:r>
        <w:t xml:space="preserve"> </w:t>
      </w:r>
      <w:r>
        <w:t xml:space="preserve">accessed 2026-10-07</w:t>
      </w:r>
    </w:p>
  </w:footnote>
  <w:footnote w:id="797">
    <w:p>
      <w:pPr>
        <w:pStyle w:val="FootnoteText"/>
      </w:pPr>
      <w:r>
        <w:rPr>
          <w:rStyle w:val="FootnoteReference"/>
        </w:rPr>
        <w:footnoteRef/>
      </w:r>
      <w:r>
        <w:t xml:space="preserve"> </w:t>
      </w:r>
      <w:r>
        <w:t xml:space="preserve">Verified fact — A3-S073: letta-ai/letta-code README (Letta (GitHub))</w:t>
      </w:r>
      <w:r>
        <w:t xml:space="preserve"> </w:t>
      </w:r>
      <w:hyperlink r:id="rId798">
        <w:r>
          <w:rPr>
            <w:rStyle w:val="Hyperlink"/>
          </w:rPr>
          <w:t xml:space="preserve">https://raw.githubusercontent.com/letta-ai/letta-code/main/README.md</w:t>
        </w:r>
      </w:hyperlink>
      <w:r>
        <w:t xml:space="preserve"> </w:t>
      </w:r>
      <w:r>
        <w:t xml:space="preserve">accessed 2026-10-07; A3-S060: letta-ai/letta README (Letta (GitHub))</w:t>
      </w:r>
      <w:r>
        <w:t xml:space="preserve"> </w:t>
      </w:r>
      <w:hyperlink r:id="rId799">
        <w:r>
          <w:rPr>
            <w:rStyle w:val="Hyperlink"/>
          </w:rPr>
          <w:t xml:space="preserve">https://raw.githubusercontent.com/letta-ai/letta/main/README.md</w:t>
        </w:r>
      </w:hyperlink>
      <w:r>
        <w:t xml:space="preserve"> </w:t>
      </w:r>
      <w:r>
        <w:t xml:space="preserve">accessed 2026-10-07; A3-S093: Letta’s Next Phase (Mar 2026)</w:t>
      </w:r>
      <w:r>
        <w:t xml:space="preserve"> </w:t>
      </w:r>
      <w:hyperlink r:id="rId800">
        <w:r>
          <w:rPr>
            <w:rStyle w:val="Hyperlink"/>
          </w:rPr>
          <w:t xml:space="preserve">https://www.letta.com/blog/our-next-phase/</w:t>
        </w:r>
      </w:hyperlink>
      <w:r>
        <w:t xml:space="preserve"> </w:t>
      </w:r>
      <w:r>
        <w:t xml:space="preserve">accessed 2026-10-07 [search-tool extract]</w:t>
      </w:r>
    </w:p>
  </w:footnote>
  <w:footnote w:id="801">
    <w:p>
      <w:pPr>
        <w:pStyle w:val="FootnoteText"/>
      </w:pPr>
      <w:r>
        <w:rPr>
          <w:rStyle w:val="FootnoteReference"/>
        </w:rPr>
        <w:footnoteRef/>
      </w:r>
      <w:r>
        <w:t xml:space="preserve"> </w:t>
      </w:r>
      <w:r>
        <w:t xml:space="preserve">Verified fact — A3-S073: letta-ai/letta-code README (Letta (GitHub))</w:t>
      </w:r>
      <w:r>
        <w:t xml:space="preserve"> </w:t>
      </w:r>
      <w:hyperlink r:id="rId798">
        <w:r>
          <w:rPr>
            <w:rStyle w:val="Hyperlink"/>
          </w:rPr>
          <w:t xml:space="preserve">https://raw.githubusercontent.com/letta-ai/letta-code/main/README.md</w:t>
        </w:r>
      </w:hyperlink>
      <w:r>
        <w:t xml:space="preserve"> </w:t>
      </w:r>
      <w:r>
        <w:t xml:space="preserve">accessed 2026-10-07</w:t>
      </w:r>
    </w:p>
  </w:footnote>
  <w:footnote w:id="802">
    <w:p>
      <w:pPr>
        <w:pStyle w:val="FootnoteText"/>
      </w:pPr>
      <w:r>
        <w:rPr>
          <w:rStyle w:val="FootnoteReference"/>
        </w:rPr>
        <w:footnoteRef/>
      </w:r>
      <w:r>
        <w:t xml:space="preserve"> </w:t>
      </w:r>
      <w:r>
        <w:t xml:space="preserve">Verified fact — A3-S073: letta-ai/letta-code README (Letta (GitHub))</w:t>
      </w:r>
      <w:r>
        <w:t xml:space="preserve"> </w:t>
      </w:r>
      <w:hyperlink r:id="rId798">
        <w:r>
          <w:rPr>
            <w:rStyle w:val="Hyperlink"/>
          </w:rPr>
          <w:t xml:space="preserve">https://raw.githubusercontent.com/letta-ai/letta-code/main/README.md</w:t>
        </w:r>
      </w:hyperlink>
      <w:r>
        <w:t xml:space="preserve"> </w:t>
      </w:r>
      <w:r>
        <w:t xml:space="preserve">accessed 2026-10-07</w:t>
      </w:r>
    </w:p>
  </w:footnote>
  <w:footnote w:id="803">
    <w:p>
      <w:pPr>
        <w:pStyle w:val="FootnoteText"/>
      </w:pPr>
      <w:r>
        <w:rPr>
          <w:rStyle w:val="FootnoteReference"/>
        </w:rPr>
        <w:footnoteRef/>
      </w:r>
      <w:r>
        <w:t xml:space="preserve"> </w:t>
      </w:r>
      <w:r>
        <w:t xml:space="preserve">Verified fact — A3-S091: Letta pricing (docs)</w:t>
      </w:r>
      <w:r>
        <w:t xml:space="preserve"> </w:t>
      </w:r>
      <w:hyperlink r:id="rId804">
        <w:r>
          <w:rPr>
            <w:rStyle w:val="Hyperlink"/>
          </w:rPr>
          <w:t xml:space="preserve">https://docs.letta.com/pricing</w:t>
        </w:r>
      </w:hyperlink>
      <w:r>
        <w:t xml:space="preserve"> </w:t>
      </w:r>
      <w:r>
        <w:t xml:space="preserve">accessed 2026-10-07 [search-tool extract]</w:t>
      </w:r>
    </w:p>
  </w:footnote>
  <w:footnote w:id="805">
    <w:p>
      <w:pPr>
        <w:pStyle w:val="FootnoteText"/>
      </w:pPr>
      <w:r>
        <w:rPr>
          <w:rStyle w:val="FootnoteReference"/>
        </w:rPr>
        <w:footnoteRef/>
      </w:r>
      <w:r>
        <w:t xml:space="preserve"> </w:t>
      </w:r>
      <w:r>
        <w:t xml:space="preserve">Verified fact — A3-S004: PyPI JSON metadata: letta (Python Package Index (PyPI))</w:t>
      </w:r>
      <w:r>
        <w:t xml:space="preserve"> </w:t>
      </w:r>
      <w:hyperlink r:id="rId806">
        <w:r>
          <w:rPr>
            <w:rStyle w:val="Hyperlink"/>
          </w:rPr>
          <w:t xml:space="preserve">https://pypi.org/pypi/letta/json</w:t>
        </w:r>
      </w:hyperlink>
      <w:r>
        <w:t xml:space="preserve"> </w:t>
      </w:r>
      <w:r>
        <w:t xml:space="preserve">accessed 2026-10-07; A3-S077: npm registry metadata:</w:t>
      </w:r>
      <w:r>
        <w:t xml:space="preserve"> </w:t>
      </w:r>
      <w:r>
        <w:t xml:space="preserve">@letta-ai/letta-code</w:t>
      </w:r>
      <w:r>
        <w:t xml:space="preserve"> </w:t>
      </w:r>
      <w:hyperlink r:id="rId807">
        <w:r>
          <w:rPr>
            <w:rStyle w:val="Hyperlink"/>
          </w:rPr>
          <w:t xml:space="preserve">https://registry.npmjs.org/@letta-ai/letta-code</w:t>
        </w:r>
      </w:hyperlink>
      <w:r>
        <w:t xml:space="preserve"> </w:t>
      </w:r>
      <w:r>
        <w:t xml:space="preserve">accessed 2026-10-07</w:t>
      </w:r>
    </w:p>
  </w:footnote>
  <w:footnote w:id="808">
    <w:p>
      <w:pPr>
        <w:pStyle w:val="FootnoteText"/>
      </w:pPr>
      <w:r>
        <w:rPr>
          <w:rStyle w:val="FootnoteReference"/>
        </w:rPr>
        <w:footnoteRef/>
      </w:r>
      <w:r>
        <w:t xml:space="preserve"> </w:t>
      </w:r>
      <w:r>
        <w:t xml:space="preserve">Verified fact — A3-S093: Letta’s Next Phase (Mar 2026)</w:t>
      </w:r>
      <w:r>
        <w:t xml:space="preserve"> </w:t>
      </w:r>
      <w:hyperlink r:id="rId800">
        <w:r>
          <w:rPr>
            <w:rStyle w:val="Hyperlink"/>
          </w:rPr>
          <w:t xml:space="preserve">https://www.letta.com/blog/our-next-phase/</w:t>
        </w:r>
      </w:hyperlink>
      <w:r>
        <w:t xml:space="preserve"> </w:t>
      </w:r>
      <w:r>
        <w:t xml:space="preserve">accessed 2026-10-07 [search-tool extract]; A3-S060: letta-ai/letta README (Letta (GitHub))</w:t>
      </w:r>
      <w:r>
        <w:t xml:space="preserve"> </w:t>
      </w:r>
      <w:hyperlink r:id="rId799">
        <w:r>
          <w:rPr>
            <w:rStyle w:val="Hyperlink"/>
          </w:rPr>
          <w:t xml:space="preserve">https://raw.githubusercontent.com/letta-ai/letta/main/README.md</w:t>
        </w:r>
      </w:hyperlink>
      <w:r>
        <w:t xml:space="preserve"> </w:t>
      </w:r>
      <w:r>
        <w:t xml:space="preserve">accessed 2026-10-07</w:t>
      </w:r>
    </w:p>
  </w:footnote>
  <w:footnote w:id="809">
    <w:p>
      <w:pPr>
        <w:pStyle w:val="FootnoteText"/>
      </w:pPr>
      <w:r>
        <w:rPr>
          <w:rStyle w:val="FootnoteReference"/>
        </w:rPr>
        <w:footnoteRef/>
      </w:r>
      <w:r>
        <w:t xml:space="preserve"> </w:t>
      </w:r>
      <w:r>
        <w:t xml:space="preserve">Verified fact — A3-S073: letta-ai/letta-code README (Letta (GitHub))</w:t>
      </w:r>
      <w:r>
        <w:t xml:space="preserve"> </w:t>
      </w:r>
      <w:hyperlink r:id="rId798">
        <w:r>
          <w:rPr>
            <w:rStyle w:val="Hyperlink"/>
          </w:rPr>
          <w:t xml:space="preserve">https://raw.githubusercontent.com/letta-ai/letta-code/main/README.md</w:t>
        </w:r>
      </w:hyperlink>
      <w:r>
        <w:t xml:space="preserve"> </w:t>
      </w:r>
      <w:r>
        <w:t xml:space="preserve">accessed 2026-10-07</w:t>
      </w:r>
    </w:p>
  </w:footnote>
  <w:footnote w:id="810">
    <w:p>
      <w:pPr>
        <w:pStyle w:val="FootnoteText"/>
      </w:pPr>
      <w:r>
        <w:rPr>
          <w:rStyle w:val="FootnoteReference"/>
        </w:rPr>
        <w:footnoteRef/>
      </w:r>
      <w:r>
        <w:t xml:space="preserve"> </w:t>
      </w:r>
      <w:r>
        <w:t xml:space="preserve">Verified fact — A3-S118: Letta Privacy Policy (and docs on agent state persistence)</w:t>
      </w:r>
      <w:r>
        <w:t xml:space="preserve"> </w:t>
      </w:r>
      <w:hyperlink r:id="rId811">
        <w:r>
          <w:rPr>
            <w:rStyle w:val="Hyperlink"/>
          </w:rPr>
          <w:t xml:space="preserve">https://www.letta.com/privacy-policy/</w:t>
        </w:r>
      </w:hyperlink>
      <w:r>
        <w:t xml:space="preserve"> </w:t>
      </w:r>
      <w:r>
        <w:t xml:space="preserve">accessed 2026-10-07 [search-tool extract]</w:t>
      </w:r>
    </w:p>
  </w:footnote>
  <w:footnote w:id="812">
    <w:p>
      <w:pPr>
        <w:pStyle w:val="FootnoteText"/>
      </w:pPr>
      <w:r>
        <w:rPr>
          <w:rStyle w:val="FootnoteReference"/>
        </w:rPr>
        <w:footnoteRef/>
      </w:r>
      <w:r>
        <w:t xml:space="preserve"> </w:t>
      </w:r>
      <w:r>
        <w:t xml:space="preserve">Verified fact — A3-S077: npm registry metadata:</w:t>
      </w:r>
      <w:r>
        <w:t xml:space="preserve"> </w:t>
      </w:r>
      <w:r>
        <w:t xml:space="preserve">@letta-ai/letta-code</w:t>
      </w:r>
      <w:r>
        <w:t xml:space="preserve"> </w:t>
      </w:r>
      <w:hyperlink r:id="rId807">
        <w:r>
          <w:rPr>
            <w:rStyle w:val="Hyperlink"/>
          </w:rPr>
          <w:t xml:space="preserve">https://registry.npmjs.org/@letta-ai/letta-code</w:t>
        </w:r>
      </w:hyperlink>
      <w:r>
        <w:t xml:space="preserve"> </w:t>
      </w:r>
      <w:r>
        <w:t xml:space="preserve">accessed 2026-10-07; A3-S004: PyPI JSON metadata: letta (Python Package Index (PyPI))</w:t>
      </w:r>
      <w:r>
        <w:t xml:space="preserve"> </w:t>
      </w:r>
      <w:hyperlink r:id="rId806">
        <w:r>
          <w:rPr>
            <w:rStyle w:val="Hyperlink"/>
          </w:rPr>
          <w:t xml:space="preserve">https://pypi.org/pypi/letta/json</w:t>
        </w:r>
      </w:hyperlink>
      <w:r>
        <w:t xml:space="preserve"> </w:t>
      </w:r>
      <w:r>
        <w:t xml:space="preserve">accessed 2026-10-07</w:t>
      </w:r>
    </w:p>
  </w:footnote>
  <w:footnote w:id="814">
    <w:p>
      <w:pPr>
        <w:pStyle w:val="FootnoteText"/>
      </w:pPr>
      <w:r>
        <w:rPr>
          <w:rStyle w:val="FootnoteReference"/>
        </w:rPr>
        <w:footnoteRef/>
      </w:r>
      <w:r>
        <w:t xml:space="preserve"> </w:t>
      </w:r>
      <w:r>
        <w:t xml:space="preserve">Verified fact — A3-S006: PyPI JSON metadata: langmem (Python Package Index (PyPI))</w:t>
      </w:r>
      <w:r>
        <w:t xml:space="preserve"> </w:t>
      </w:r>
      <w:hyperlink r:id="rId815">
        <w:r>
          <w:rPr>
            <w:rStyle w:val="Hyperlink"/>
          </w:rPr>
          <w:t xml:space="preserve">https://pypi.org/pypi/langmem/json</w:t>
        </w:r>
      </w:hyperlink>
      <w:r>
        <w:t xml:space="preserve"> </w:t>
      </w:r>
      <w:r>
        <w:t xml:space="preserve">accessed 2026-10-07</w:t>
      </w:r>
    </w:p>
  </w:footnote>
  <w:footnote w:id="816">
    <w:p>
      <w:pPr>
        <w:pStyle w:val="FootnoteText"/>
      </w:pPr>
      <w:r>
        <w:rPr>
          <w:rStyle w:val="FootnoteReference"/>
        </w:rPr>
        <w:footnoteRef/>
      </w:r>
      <w:r>
        <w:t xml:space="preserve"> </w:t>
      </w:r>
      <w:r>
        <w:t xml:space="preserve">Verified fact — A3-S006: PyPI JSON metadata: langmem (Python Package Index (PyPI))</w:t>
      </w:r>
      <w:r>
        <w:t xml:space="preserve"> </w:t>
      </w:r>
      <w:hyperlink r:id="rId815">
        <w:r>
          <w:rPr>
            <w:rStyle w:val="Hyperlink"/>
          </w:rPr>
          <w:t xml:space="preserve">https://pypi.org/pypi/langmem/json</w:t>
        </w:r>
      </w:hyperlink>
      <w:r>
        <w:t xml:space="preserve"> </w:t>
      </w:r>
      <w:r>
        <w:t xml:space="preserve">accessed 2026-10-07</w:t>
      </w:r>
    </w:p>
  </w:footnote>
  <w:footnote w:id="817">
    <w:p>
      <w:pPr>
        <w:pStyle w:val="FootnoteText"/>
      </w:pPr>
      <w:r>
        <w:rPr>
          <w:rStyle w:val="FootnoteReference"/>
        </w:rPr>
        <w:footnoteRef/>
      </w:r>
      <w:r>
        <w:t xml:space="preserve"> </w:t>
      </w:r>
      <w:r>
        <w:t xml:space="preserve">Verified fact — A3-S006: PyPI JSON metadata: langmem (Python Package Index (PyPI))</w:t>
      </w:r>
      <w:r>
        <w:t xml:space="preserve"> </w:t>
      </w:r>
      <w:hyperlink r:id="rId815">
        <w:r>
          <w:rPr>
            <w:rStyle w:val="Hyperlink"/>
          </w:rPr>
          <w:t xml:space="preserve">https://pypi.org/pypi/langmem/json</w:t>
        </w:r>
      </w:hyperlink>
      <w:r>
        <w:t xml:space="preserve"> </w:t>
      </w:r>
      <w:r>
        <w:t xml:space="preserve">accessed 2026-10-07</w:t>
      </w:r>
    </w:p>
  </w:footnote>
  <w:footnote w:id="818">
    <w:p>
      <w:pPr>
        <w:pStyle w:val="FootnoteText"/>
      </w:pPr>
      <w:r>
        <w:rPr>
          <w:rStyle w:val="FootnoteReference"/>
        </w:rPr>
        <w:footnoteRef/>
      </w:r>
      <w:r>
        <w:t xml:space="preserve"> </w:t>
      </w:r>
      <w:r>
        <w:t xml:space="preserve">Verified fact — A3-S006: PyPI JSON metadata: langmem (Python Package Index (PyPI))</w:t>
      </w:r>
      <w:r>
        <w:t xml:space="preserve"> </w:t>
      </w:r>
      <w:hyperlink r:id="rId815">
        <w:r>
          <w:rPr>
            <w:rStyle w:val="Hyperlink"/>
          </w:rPr>
          <w:t xml:space="preserve">https://pypi.org/pypi/langmem/json</w:t>
        </w:r>
      </w:hyperlink>
      <w:r>
        <w:t xml:space="preserve"> </w:t>
      </w:r>
      <w:r>
        <w:t xml:space="preserve">accessed 2026-10-07</w:t>
      </w:r>
    </w:p>
  </w:footnote>
  <w:footnote w:id="819">
    <w:p>
      <w:pPr>
        <w:pStyle w:val="FootnoteText"/>
      </w:pPr>
      <w:r>
        <w:rPr>
          <w:rStyle w:val="FootnoteReference"/>
        </w:rPr>
        <w:footnoteRef/>
      </w:r>
      <w:r>
        <w:t xml:space="preserve"> </w:t>
      </w:r>
      <w:r>
        <w:t xml:space="preserve">Verified fact — A3-S006: PyPI JSON metadata: langmem (Python Package Index (PyPI))</w:t>
      </w:r>
      <w:r>
        <w:t xml:space="preserve"> </w:t>
      </w:r>
      <w:hyperlink r:id="rId815">
        <w:r>
          <w:rPr>
            <w:rStyle w:val="Hyperlink"/>
          </w:rPr>
          <w:t xml:space="preserve">https://pypi.org/pypi/langmem/json</w:t>
        </w:r>
      </w:hyperlink>
      <w:r>
        <w:t xml:space="preserve"> </w:t>
      </w:r>
      <w:r>
        <w:t xml:space="preserve">accessed 2026-10-07</w:t>
      </w:r>
    </w:p>
  </w:footnote>
  <w:footnote w:id="822">
    <w:p>
      <w:pPr>
        <w:pStyle w:val="FootnoteText"/>
      </w:pPr>
      <w:r>
        <w:rPr>
          <w:rStyle w:val="FootnoteReference"/>
        </w:rPr>
        <w:footnoteRef/>
      </w:r>
      <w:r>
        <w:t xml:space="preserve"> </w:t>
      </w:r>
      <w:r>
        <w:t xml:space="preserve">Verified fact — A3-S078: A2A Protocol Specification (source, latest released version 1.0.0) (A2A Project (GitHub))</w:t>
      </w:r>
      <w:r>
        <w:t xml:space="preserve"> </w:t>
      </w:r>
      <w:hyperlink r:id="rId823">
        <w:r>
          <w:rPr>
            <w:rStyle w:val="Hyperlink"/>
          </w:rPr>
          <w:t xml:space="preserve">https://raw.githubusercontent.com/a2aproject/A2A/main/docs/specification.md</w:t>
        </w:r>
      </w:hyperlink>
      <w:r>
        <w:t xml:space="preserve"> </w:t>
      </w:r>
      <w:r>
        <w:t xml:space="preserve">accessed 2026-10-07</w:t>
      </w:r>
    </w:p>
  </w:footnote>
  <w:footnote w:id="824">
    <w:p>
      <w:pPr>
        <w:pStyle w:val="FootnoteText"/>
      </w:pPr>
      <w:r>
        <w:rPr>
          <w:rStyle w:val="FootnoteReference"/>
        </w:rPr>
        <w:footnoteRef/>
      </w:r>
      <w:r>
        <w:t xml:space="preserve"> </w:t>
      </w:r>
      <w:r>
        <w:t xml:space="preserve">Verified fact — A3-S078: A2A Protocol Specification (source, latest released version 1.0.0) (A2A Project (GitHub))</w:t>
      </w:r>
      <w:r>
        <w:t xml:space="preserve"> </w:t>
      </w:r>
      <w:hyperlink r:id="rId823">
        <w:r>
          <w:rPr>
            <w:rStyle w:val="Hyperlink"/>
          </w:rPr>
          <w:t xml:space="preserve">https://raw.githubusercontent.com/a2aproject/A2A/main/docs/specification.md</w:t>
        </w:r>
      </w:hyperlink>
      <w:r>
        <w:t xml:space="preserve"> </w:t>
      </w:r>
      <w:r>
        <w:t xml:space="preserve">accessed 2026-10-07; A3-S079: A2A CHANGELOG (A2A Project (GitHub))</w:t>
      </w:r>
      <w:r>
        <w:t xml:space="preserve"> </w:t>
      </w:r>
      <w:hyperlink r:id="rId825">
        <w:r>
          <w:rPr>
            <w:rStyle w:val="Hyperlink"/>
          </w:rPr>
          <w:t xml:space="preserve">https://raw.githubusercontent.com/a2aproject/A2A/main/CHANGELOG.md</w:t>
        </w:r>
      </w:hyperlink>
      <w:r>
        <w:t xml:space="preserve"> </w:t>
      </w:r>
      <w:r>
        <w:t xml:space="preserve">accessed 2026-10-07</w:t>
      </w:r>
    </w:p>
  </w:footnote>
  <w:footnote w:id="826">
    <w:p>
      <w:pPr>
        <w:pStyle w:val="FootnoteText"/>
      </w:pPr>
      <w:r>
        <w:rPr>
          <w:rStyle w:val="FootnoteReference"/>
        </w:rPr>
        <w:footnoteRef/>
      </w:r>
      <w:r>
        <w:t xml:space="preserve"> </w:t>
      </w:r>
      <w:r>
        <w:t xml:space="preserve">Verified fact — A3-S025: A2A Protocol Surpasses 150 Organizations, Lands in Major Cloud Platforms, and Sees Enterprise Production Use in First Year (Linux Foundation)</w:t>
      </w:r>
      <w:r>
        <w:t xml:space="preserve"> </w:t>
      </w:r>
      <w:hyperlink r:id="rId827">
        <w:r>
          <w:rPr>
            <w:rStyle w:val="Hyperlink"/>
          </w:rPr>
          <w:t xml:space="preserve">https://www.linuxfoundation.org/press/a2a-protocol-surpasses-150-organizations-lands-in-major-cloud-platforms-and-sees-enterprise-production-use-in-first-year</w:t>
        </w:r>
      </w:hyperlink>
      <w:r>
        <w:t xml:space="preserve"> </w:t>
      </w:r>
      <w:r>
        <w:t xml:space="preserve">accessed 2026-10-07 [search-tool extract]</w:t>
      </w:r>
    </w:p>
  </w:footnote>
  <w:footnote w:id="828">
    <w:p>
      <w:pPr>
        <w:pStyle w:val="FootnoteText"/>
      </w:pPr>
      <w:r>
        <w:rPr>
          <w:rStyle w:val="FootnoteReference"/>
        </w:rPr>
        <w:footnoteRef/>
      </w:r>
      <w:r>
        <w:t xml:space="preserve"> </w:t>
      </w:r>
      <w:r>
        <w:t xml:space="preserve">Verified fact — A3-S079: A2A CHANGELOG (A2A Project (GitHub))</w:t>
      </w:r>
      <w:r>
        <w:t xml:space="preserve"> </w:t>
      </w:r>
      <w:hyperlink r:id="rId825">
        <w:r>
          <w:rPr>
            <w:rStyle w:val="Hyperlink"/>
          </w:rPr>
          <w:t xml:space="preserve">https://raw.githubusercontent.com/a2aproject/A2A/main/CHANGELOG.md</w:t>
        </w:r>
      </w:hyperlink>
      <w:r>
        <w:t xml:space="preserve"> </w:t>
      </w:r>
      <w:r>
        <w:t xml:space="preserve">accessed 2026-10-07; A3-S116: A2A joins AAIF’s open agentic stack (17 Aug 2026) (Agentic AI Foundation (AAIF))</w:t>
      </w:r>
      <w:r>
        <w:t xml:space="preserve"> </w:t>
      </w:r>
      <w:hyperlink r:id="rId829">
        <w:r>
          <w:rPr>
            <w:rStyle w:val="Hyperlink"/>
          </w:rPr>
          <w:t xml:space="preserve">https://aaif.io/blog/a2a-joins-aaif</w:t>
        </w:r>
      </w:hyperlink>
      <w:r>
        <w:t xml:space="preserve"> </w:t>
      </w:r>
      <w:r>
        <w:t xml:space="preserve">accessed 2026-10-07 [search-tool extract]</w:t>
      </w:r>
    </w:p>
  </w:footnote>
  <w:footnote w:id="830">
    <w:p>
      <w:pPr>
        <w:pStyle w:val="FootnoteText"/>
      </w:pPr>
      <w:r>
        <w:rPr>
          <w:rStyle w:val="FootnoteReference"/>
        </w:rPr>
        <w:footnoteRef/>
      </w:r>
      <w:r>
        <w:t xml:space="preserve"> </w:t>
      </w:r>
      <w:r>
        <w:t xml:space="preserve">Verified fact — A3-S075: PyPI JSON metadata: a2a-sdk (Python Package Index (PyPI))</w:t>
      </w:r>
      <w:r>
        <w:t xml:space="preserve"> </w:t>
      </w:r>
      <w:hyperlink r:id="rId831">
        <w:r>
          <w:rPr>
            <w:rStyle w:val="Hyperlink"/>
          </w:rPr>
          <w:t xml:space="preserve">https://pypi.org/pypi/a2a-sdk/json</w:t>
        </w:r>
      </w:hyperlink>
      <w:r>
        <w:t xml:space="preserve"> </w:t>
      </w:r>
      <w:r>
        <w:t xml:space="preserve">accessed 2026-10-07; A3-S065: A2A GOVERNANCE.md (A2A Project (GitHub))</w:t>
      </w:r>
      <w:r>
        <w:t xml:space="preserve"> </w:t>
      </w:r>
      <w:hyperlink r:id="rId832">
        <w:r>
          <w:rPr>
            <w:rStyle w:val="Hyperlink"/>
          </w:rPr>
          <w:t xml:space="preserve">https://raw.githubusercontent.com/a2aproject/A2A/main/GOVERNANCE.md</w:t>
        </w:r>
      </w:hyperlink>
      <w:r>
        <w:t xml:space="preserve"> </w:t>
      </w:r>
      <w:r>
        <w:t xml:space="preserve">accessed 2026-10-07</w:t>
      </w:r>
    </w:p>
  </w:footnote>
  <w:footnote w:id="833">
    <w:p>
      <w:pPr>
        <w:pStyle w:val="FootnoteText"/>
      </w:pPr>
      <w:r>
        <w:rPr>
          <w:rStyle w:val="FootnoteReference"/>
        </w:rPr>
        <w:footnoteRef/>
      </w:r>
      <w:r>
        <w:t xml:space="preserve"> </w:t>
      </w:r>
      <w:r>
        <w:t xml:space="preserve">Verified fact — A3-S078: A2A Protocol Specification (source, latest released version 1.0.0) (A2A Project (GitHub))</w:t>
      </w:r>
      <w:r>
        <w:t xml:space="preserve"> </w:t>
      </w:r>
      <w:hyperlink r:id="rId823">
        <w:r>
          <w:rPr>
            <w:rStyle w:val="Hyperlink"/>
          </w:rPr>
          <w:t xml:space="preserve">https://raw.githubusercontent.com/a2aproject/A2A/main/docs/specification.md</w:t>
        </w:r>
      </w:hyperlink>
      <w:r>
        <w:t xml:space="preserve"> </w:t>
      </w:r>
      <w:r>
        <w:t xml:space="preserve">accessed 2026-10-07; A3-S030: A2A Protocol Ships v1.0: Production-Ready Standard (A2A Project (Linux Foundation))</w:t>
      </w:r>
      <w:r>
        <w:t xml:space="preserve"> </w:t>
      </w:r>
      <w:hyperlink r:id="rId834">
        <w:r>
          <w:rPr>
            <w:rStyle w:val="Hyperlink"/>
          </w:rPr>
          <w:t xml:space="preserve">https://a2a-protocol.org/latest/announcing-1.0/</w:t>
        </w:r>
      </w:hyperlink>
      <w:r>
        <w:t xml:space="preserve"> </w:t>
      </w:r>
      <w:r>
        <w:t xml:space="preserve">accessed 2026-10-07 [search-tool extract]; A3-S079: A2A CHANGELOG (A2A Project (GitHub))</w:t>
      </w:r>
      <w:r>
        <w:t xml:space="preserve"> </w:t>
      </w:r>
      <w:hyperlink r:id="rId825">
        <w:r>
          <w:rPr>
            <w:rStyle w:val="Hyperlink"/>
          </w:rPr>
          <w:t xml:space="preserve">https://raw.githubusercontent.com/a2aproject/A2A/main/CHANGELOG.md</w:t>
        </w:r>
      </w:hyperlink>
      <w:r>
        <w:t xml:space="preserve"> </w:t>
      </w:r>
      <w:r>
        <w:t xml:space="preserve">accessed 2026-10-07</w:t>
      </w:r>
    </w:p>
  </w:footnote>
  <w:footnote w:id="835">
    <w:p>
      <w:pPr>
        <w:pStyle w:val="FootnoteText"/>
      </w:pPr>
      <w:r>
        <w:rPr>
          <w:rStyle w:val="FootnoteReference"/>
        </w:rPr>
        <w:footnoteRef/>
      </w:r>
      <w:r>
        <w:t xml:space="preserve"> </w:t>
      </w:r>
      <w:r>
        <w:t xml:space="preserve">Verified fact — A3-S065: A2A GOVERNANCE.md (A2A Project (GitHub))</w:t>
      </w:r>
      <w:r>
        <w:t xml:space="preserve"> </w:t>
      </w:r>
      <w:hyperlink r:id="rId832">
        <w:r>
          <w:rPr>
            <w:rStyle w:val="Hyperlink"/>
          </w:rPr>
          <w:t xml:space="preserve">https://raw.githubusercontent.com/a2aproject/A2A/main/GOVERNANCE.md</w:t>
        </w:r>
      </w:hyperlink>
      <w:r>
        <w:t xml:space="preserve"> </w:t>
      </w:r>
      <w:r>
        <w:t xml:space="preserve">accessed 2026-10-07; A3-S117: A New Chapter for A2A: Joining the Agentic AI Foundation (27 Aug 2026) (A2A Project)</w:t>
      </w:r>
      <w:r>
        <w:t xml:space="preserve"> </w:t>
      </w:r>
      <w:hyperlink r:id="rId836">
        <w:r>
          <w:rPr>
            <w:rStyle w:val="Hyperlink"/>
          </w:rPr>
          <w:t xml:space="preserve">https://a2a-protocol.org/latest/blog/2026/08/27/a-new-chapter-for-a2a-joining-the-agentic-ai-foundation/</w:t>
        </w:r>
      </w:hyperlink>
      <w:r>
        <w:t xml:space="preserve"> </w:t>
      </w:r>
      <w:r>
        <w:t xml:space="preserve">accessed 2026-10-07 [search-tool extract]</w:t>
      </w:r>
    </w:p>
  </w:footnote>
  <w:footnote w:id="837">
    <w:p>
      <w:pPr>
        <w:pStyle w:val="FootnoteText"/>
      </w:pPr>
      <w:r>
        <w:rPr>
          <w:rStyle w:val="FootnoteReference"/>
        </w:rPr>
        <w:footnoteRef/>
      </w:r>
      <w:r>
        <w:t xml:space="preserve"> </w:t>
      </w:r>
      <w:r>
        <w:t xml:space="preserve">Verified fact — A3-S078: A2A Protocol Specification (source, latest released version 1.0.0) (A2A Project (GitHub))</w:t>
      </w:r>
      <w:r>
        <w:t xml:space="preserve"> </w:t>
      </w:r>
      <w:hyperlink r:id="rId823">
        <w:r>
          <w:rPr>
            <w:rStyle w:val="Hyperlink"/>
          </w:rPr>
          <w:t xml:space="preserve">https://raw.githubusercontent.com/a2aproject/A2A/main/docs/specification.md</w:t>
        </w:r>
      </w:hyperlink>
      <w:r>
        <w:t xml:space="preserve"> </w:t>
      </w:r>
      <w:r>
        <w:t xml:space="preserve">accessed 2026-10-07</w:t>
      </w:r>
    </w:p>
  </w:footnote>
  <w:footnote w:id="838">
    <w:p>
      <w:pPr>
        <w:pStyle w:val="FootnoteText"/>
      </w:pPr>
      <w:r>
        <w:rPr>
          <w:rStyle w:val="FootnoteReference"/>
        </w:rPr>
        <w:footnoteRef/>
      </w:r>
      <w:r>
        <w:t xml:space="preserve"> </w:t>
      </w:r>
      <w:r>
        <w:t xml:space="preserve">Verified fact — A3-S078: A2A Protocol Specification (source, latest released version 1.0.0) (A2A Project (GitHub))</w:t>
      </w:r>
      <w:r>
        <w:t xml:space="preserve"> </w:t>
      </w:r>
      <w:hyperlink r:id="rId823">
        <w:r>
          <w:rPr>
            <w:rStyle w:val="Hyperlink"/>
          </w:rPr>
          <w:t xml:space="preserve">https://raw.githubusercontent.com/a2aproject/A2A/main/docs/specification.md</w:t>
        </w:r>
      </w:hyperlink>
      <w:r>
        <w:t xml:space="preserve"> </w:t>
      </w:r>
      <w:r>
        <w:t xml:space="preserve">accessed 2026-10-07</w:t>
      </w:r>
    </w:p>
  </w:footnote>
  <w:footnote w:id="839">
    <w:p>
      <w:pPr>
        <w:pStyle w:val="FootnoteText"/>
      </w:pPr>
      <w:r>
        <w:rPr>
          <w:rStyle w:val="FootnoteReference"/>
        </w:rPr>
        <w:footnoteRef/>
      </w:r>
      <w:r>
        <w:t xml:space="preserve"> </w:t>
      </w:r>
      <w:r>
        <w:t xml:space="preserve">Verified fact — A3-S078: A2A Protocol Specification (source, latest released version 1.0.0) (A2A Project (GitHub))</w:t>
      </w:r>
      <w:r>
        <w:t xml:space="preserve"> </w:t>
      </w:r>
      <w:hyperlink r:id="rId823">
        <w:r>
          <w:rPr>
            <w:rStyle w:val="Hyperlink"/>
          </w:rPr>
          <w:t xml:space="preserve">https://raw.githubusercontent.com/a2aproject/A2A/main/docs/specification.md</w:t>
        </w:r>
      </w:hyperlink>
      <w:r>
        <w:t xml:space="preserve"> </w:t>
      </w:r>
      <w:r>
        <w:t xml:space="preserve">accessed 2026-10-07</w:t>
      </w:r>
    </w:p>
  </w:footnote>
  <w:footnote w:id="840">
    <w:p>
      <w:pPr>
        <w:pStyle w:val="FootnoteText"/>
      </w:pPr>
      <w:r>
        <w:rPr>
          <w:rStyle w:val="FootnoteReference"/>
        </w:rPr>
        <w:footnoteRef/>
      </w:r>
      <w:r>
        <w:t xml:space="preserve"> </w:t>
      </w:r>
      <w:r>
        <w:t xml:space="preserve">Verified fact — A3-S078: A2A Protocol Specification (source, latest released version 1.0.0) (A2A Project (GitHub))</w:t>
      </w:r>
      <w:r>
        <w:t xml:space="preserve"> </w:t>
      </w:r>
      <w:hyperlink r:id="rId823">
        <w:r>
          <w:rPr>
            <w:rStyle w:val="Hyperlink"/>
          </w:rPr>
          <w:t xml:space="preserve">https://raw.githubusercontent.com/a2aproject/A2A/main/docs/specification.md</w:t>
        </w:r>
      </w:hyperlink>
      <w:r>
        <w:t xml:space="preserve"> </w:t>
      </w:r>
      <w:r>
        <w:t xml:space="preserve">accessed 2026-10-07</w:t>
      </w:r>
    </w:p>
  </w:footnote>
  <w:footnote w:id="841">
    <w:p>
      <w:pPr>
        <w:pStyle w:val="FootnoteText"/>
      </w:pPr>
      <w:r>
        <w:rPr>
          <w:rStyle w:val="FootnoteReference"/>
        </w:rPr>
        <w:footnoteRef/>
      </w:r>
      <w:r>
        <w:t xml:space="preserve"> </w:t>
      </w:r>
      <w:r>
        <w:t xml:space="preserve">Verified fact — A3-S079: A2A CHANGELOG (A2A Project (GitHub))</w:t>
      </w:r>
      <w:r>
        <w:t xml:space="preserve"> </w:t>
      </w:r>
      <w:hyperlink r:id="rId825">
        <w:r>
          <w:rPr>
            <w:rStyle w:val="Hyperlink"/>
          </w:rPr>
          <w:t xml:space="preserve">https://raw.githubusercontent.com/a2aproject/A2A/main/CHANGELOG.md</w:t>
        </w:r>
      </w:hyperlink>
      <w:r>
        <w:t xml:space="preserve"> </w:t>
      </w:r>
      <w:r>
        <w:t xml:space="preserve">accessed 2026-10-07</w:t>
      </w:r>
    </w:p>
  </w:footnote>
  <w:footnote w:id="842">
    <w:p>
      <w:pPr>
        <w:pStyle w:val="FootnoteText"/>
      </w:pPr>
      <w:r>
        <w:rPr>
          <w:rStyle w:val="FootnoteReference"/>
        </w:rPr>
        <w:footnoteRef/>
      </w:r>
      <w:r>
        <w:t xml:space="preserve"> </w:t>
      </w:r>
      <w:r>
        <w:t xml:space="preserve">Reported — A3-S030: A2A Protocol Ships v1.0: Production-Ready Standard (A2A Project (Linux Foundation))</w:t>
      </w:r>
      <w:r>
        <w:t xml:space="preserve"> </w:t>
      </w:r>
      <w:hyperlink r:id="rId834">
        <w:r>
          <w:rPr>
            <w:rStyle w:val="Hyperlink"/>
          </w:rPr>
          <w:t xml:space="preserve">https://a2a-protocol.org/latest/announcing-1.0/</w:t>
        </w:r>
      </w:hyperlink>
      <w:r>
        <w:t xml:space="preserve"> </w:t>
      </w:r>
      <w:r>
        <w:t xml:space="preserve">accessed 2026-10-07 [search-tool extract]</w:t>
      </w:r>
    </w:p>
  </w:footnote>
  <w:footnote w:id="844">
    <w:p>
      <w:pPr>
        <w:pStyle w:val="FootnoteText"/>
      </w:pPr>
      <w:r>
        <w:rPr>
          <w:rStyle w:val="FootnoteReference"/>
        </w:rPr>
        <w:footnoteRef/>
      </w:r>
      <w:r>
        <w:t xml:space="preserve"> </w:t>
      </w:r>
      <w:r>
        <w:t xml:space="preserve">Verified fact — A3-S055: MCP Specification 2026-07-28: Authorization (Model Context Protocol project (GitHub))</w:t>
      </w:r>
      <w:r>
        <w:t xml:space="preserve"> </w:t>
      </w:r>
      <w:hyperlink r:id="rId845">
        <w:r>
          <w:rPr>
            <w:rStyle w:val="Hyperlink"/>
          </w:rPr>
          <w:t xml:space="preserve">https://raw.githubusercontent.com/modelcontextprotocol/modelcontextprotocol/main/docs/specification/2026-07-28/basic/authorization/index.mdx</w:t>
        </w:r>
      </w:hyperlink>
      <w:r>
        <w:t xml:space="preserve"> </w:t>
      </w:r>
      <w:r>
        <w:t xml:space="preserve">accessed 2026-10-07; A3-S023: MCPTox: A Benchmark for Tool Poisoning Attack on Real-World MCP Servers (arXiv (academic preprint; AAAI 2026))</w:t>
      </w:r>
      <w:r>
        <w:t xml:space="preserve"> </w:t>
      </w:r>
      <w:hyperlink r:id="rId846">
        <w:r>
          <w:rPr>
            <w:rStyle w:val="Hyperlink"/>
          </w:rPr>
          <w:t xml:space="preserve">https://arxiv.org/pdf/2508.14925</w:t>
        </w:r>
      </w:hyperlink>
      <w:r>
        <w:t xml:space="preserve"> </w:t>
      </w:r>
      <w:r>
        <w:t xml:space="preserve">accessed 2026-10-07 [search-tool extract]; B-REVA-S006: modelcontextprotocol/typescript-sdk security advisories (GitHub Advisory Database) (Model Context Protocol project (GitHub))</w:t>
      </w:r>
      <w:r>
        <w:t xml:space="preserve"> </w:t>
      </w:r>
      <w:hyperlink r:id="rId847">
        <w:r>
          <w:rPr>
            <w:rStyle w:val="Hyperlink"/>
          </w:rPr>
          <w:t xml:space="preserve">https://github.com/modelcontextprotocol/typescript-sdk/security/advisories</w:t>
        </w:r>
      </w:hyperlink>
      <w:r>
        <w:t xml:space="preserve"> </w:t>
      </w:r>
      <w:r>
        <w:t xml:space="preserve">accessed 2026-10-08 [search-tool extract]</w:t>
      </w:r>
    </w:p>
  </w:footnote>
  <w:footnote w:id="848">
    <w:p>
      <w:pPr>
        <w:pStyle w:val="FootnoteText"/>
      </w:pPr>
      <w:r>
        <w:rPr>
          <w:rStyle w:val="FootnoteReference"/>
        </w:rPr>
        <w:footnoteRef/>
      </w:r>
      <w:r>
        <w:t xml:space="preserve"> </w:t>
      </w:r>
      <w:r>
        <w:t xml:space="preserve">Verified fact — A3-S015: The 2026-07-28 Specification (Model Context Protocol project (blog))</w:t>
      </w:r>
      <w:r>
        <w:t xml:space="preserve"> </w:t>
      </w:r>
      <w:hyperlink r:id="rId849">
        <w:r>
          <w:rPr>
            <w:rStyle w:val="Hyperlink"/>
          </w:rPr>
          <w:t xml:space="preserve">https://blog.modelcontextprotocol.io/posts/2026-07-28/</w:t>
        </w:r>
      </w:hyperlink>
      <w:r>
        <w:t xml:space="preserve"> </w:t>
      </w:r>
      <w:r>
        <w:t xml:space="preserve">accessed 2026-10-07; A3-S018: MCP joins the Agentic AI Foundation (9 Dec 2025) (Model Context Protocol project (blog))</w:t>
      </w:r>
      <w:r>
        <w:t xml:space="preserve"> </w:t>
      </w:r>
      <w:hyperlink r:id="rId850">
        <w:r>
          <w:rPr>
            <w:rStyle w:val="Hyperlink"/>
          </w:rPr>
          <w:t xml:space="preserve">https://blog.modelcontextprotocol.io/posts/2025-12-09-mcp-joins-agentic-ai-foundation/</w:t>
        </w:r>
      </w:hyperlink>
      <w:r>
        <w:t xml:space="preserve"> </w:t>
      </w:r>
      <w:r>
        <w:t xml:space="preserve">accessed 2026-10-07</w:t>
      </w:r>
    </w:p>
  </w:footnote>
  <w:footnote w:id="851">
    <w:p>
      <w:pPr>
        <w:pStyle w:val="FootnoteText"/>
      </w:pPr>
      <w:r>
        <w:rPr>
          <w:rStyle w:val="FootnoteReference"/>
        </w:rPr>
        <w:footnoteRef/>
      </w:r>
      <w:r>
        <w:t xml:space="preserve"> </w:t>
      </w:r>
      <w:r>
        <w:t xml:space="preserve">Verified fact — A3-S015: The 2026-07-28 Specification (Model Context Protocol project (blog))</w:t>
      </w:r>
      <w:r>
        <w:t xml:space="preserve"> </w:t>
      </w:r>
      <w:hyperlink r:id="rId849">
        <w:r>
          <w:rPr>
            <w:rStyle w:val="Hyperlink"/>
          </w:rPr>
          <w:t xml:space="preserve">https://blog.modelcontextprotocol.io/posts/2026-07-28/</w:t>
        </w:r>
      </w:hyperlink>
      <w:r>
        <w:t xml:space="preserve"> </w:t>
      </w:r>
      <w:r>
        <w:t xml:space="preserve">accessed 2026-10-07; A3-S042: modelcontextprotocol/registry (GitHub README) (Model Context Protocol project)</w:t>
      </w:r>
      <w:r>
        <w:t xml:space="preserve"> </w:t>
      </w:r>
      <w:hyperlink r:id="rId852">
        <w:r>
          <w:rPr>
            <w:rStyle w:val="Hyperlink"/>
          </w:rPr>
          <w:t xml:space="preserve">https://github.com/modelcontextprotocol/registry</w:t>
        </w:r>
      </w:hyperlink>
      <w:r>
        <w:t xml:space="preserve"> </w:t>
      </w:r>
      <w:r>
        <w:t xml:space="preserve">accessed 2026-10-07 [search-tool extract]</w:t>
      </w:r>
    </w:p>
  </w:footnote>
  <w:footnote w:id="853">
    <w:p>
      <w:pPr>
        <w:pStyle w:val="FootnoteText"/>
      </w:pPr>
      <w:r>
        <w:rPr>
          <w:rStyle w:val="FootnoteReference"/>
        </w:rPr>
        <w:footnoteRef/>
      </w:r>
      <w:r>
        <w:t xml:space="preserve"> </w:t>
      </w:r>
      <w:r>
        <w:t xml:space="preserve">Verified fact — A3-S082: Expanding the MCP Maintainer Team (8 Apr 2026) (Model Context Protocol project (blog))</w:t>
      </w:r>
      <w:r>
        <w:t xml:space="preserve"> </w:t>
      </w:r>
      <w:hyperlink r:id="rId854">
        <w:r>
          <w:rPr>
            <w:rStyle w:val="Hyperlink"/>
          </w:rPr>
          <w:t xml:space="preserve">https://blog.modelcontextprotocol.io/posts/2026-04-08-maintainer-update/</w:t>
        </w:r>
      </w:hyperlink>
      <w:r>
        <w:t xml:space="preserve"> </w:t>
      </w:r>
      <w:r>
        <w:t xml:space="preserve">accessed 2026-10-07</w:t>
      </w:r>
    </w:p>
  </w:footnote>
  <w:footnote w:id="855">
    <w:p>
      <w:pPr>
        <w:pStyle w:val="FootnoteText"/>
      </w:pPr>
      <w:r>
        <w:rPr>
          <w:rStyle w:val="FootnoteReference"/>
        </w:rPr>
        <w:footnoteRef/>
      </w:r>
      <w:r>
        <w:t xml:space="preserve"> </w:t>
      </w:r>
      <w:r>
        <w:t xml:space="preserve">Verified fact — A3-S015: The 2026-07-28 Specification (Model Context Protocol project (blog))</w:t>
      </w:r>
      <w:r>
        <w:t xml:space="preserve"> </w:t>
      </w:r>
      <w:hyperlink r:id="rId849">
        <w:r>
          <w:rPr>
            <w:rStyle w:val="Hyperlink"/>
          </w:rPr>
          <w:t xml:space="preserve">https://blog.modelcontextprotocol.io/posts/2026-07-28/</w:t>
        </w:r>
      </w:hyperlink>
      <w:r>
        <w:t xml:space="preserve"> </w:t>
      </w:r>
      <w:r>
        <w:t xml:space="preserve">accessed 2026-10-07; A3-S057: MCP Specification 2026-07-28: Key Changes (Model Context Protocol project (GitHub))</w:t>
      </w:r>
      <w:r>
        <w:t xml:space="preserve"> </w:t>
      </w:r>
      <w:hyperlink r:id="rId856">
        <w:r>
          <w:rPr>
            <w:rStyle w:val="Hyperlink"/>
          </w:rPr>
          <w:t xml:space="preserve">https://raw.githubusercontent.com/modelcontextprotocol/modelcontextprotocol/main/docs/specification/2026-07-28/changelog.mdx</w:t>
        </w:r>
      </w:hyperlink>
      <w:r>
        <w:t xml:space="preserve"> </w:t>
      </w:r>
      <w:r>
        <w:t xml:space="preserve">accessed 2026-10-07; A3-S055: MCP Specification 2026-07-28: Authorization (Model Context Protocol project (GitHub))</w:t>
      </w:r>
      <w:r>
        <w:t xml:space="preserve"> </w:t>
      </w:r>
      <w:hyperlink r:id="rId845">
        <w:r>
          <w:rPr>
            <w:rStyle w:val="Hyperlink"/>
          </w:rPr>
          <w:t xml:space="preserve">https://raw.githubusercontent.com/modelcontextprotocol/modelcontextprotocol/main/docs/specification/2026-07-28/basic/authorization/index.mdx</w:t>
        </w:r>
      </w:hyperlink>
      <w:r>
        <w:t xml:space="preserve"> </w:t>
      </w:r>
      <w:r>
        <w:t xml:space="preserve">accessed 2026-10-07; A3-S056: MCP Specification 2026-07-28: Authorization Security Considerations (Model Context Protocol project (GitHub))</w:t>
      </w:r>
      <w:r>
        <w:t xml:space="preserve"> </w:t>
      </w:r>
      <w:hyperlink r:id="rId857">
        <w:r>
          <w:rPr>
            <w:rStyle w:val="Hyperlink"/>
          </w:rPr>
          <w:t xml:space="preserve">https://raw.githubusercontent.com/modelcontextprotocol/modelcontextprotocol/main/docs/specification/2026-07-28/basic/authorization/security-considerations.mdx</w:t>
        </w:r>
      </w:hyperlink>
      <w:r>
        <w:t xml:space="preserve"> </w:t>
      </w:r>
      <w:r>
        <w:t xml:space="preserve">accessed 2026-10-07; A3-S017: Enterprise-Managed Authorization: Zero-touch OAuth for MCP (18 Jun 2026) (Model Context Protocol project (blog))</w:t>
      </w:r>
      <w:r>
        <w:t xml:space="preserve"> </w:t>
      </w:r>
      <w:hyperlink r:id="rId858">
        <w:r>
          <w:rPr>
            <w:rStyle w:val="Hyperlink"/>
          </w:rPr>
          <w:t xml:space="preserve">https://blog.modelcontextprotocol.io/posts/enterprise-managed-auth/</w:t>
        </w:r>
      </w:hyperlink>
      <w:r>
        <w:t xml:space="preserve"> </w:t>
      </w:r>
      <w:r>
        <w:t xml:space="preserve">accessed 2026-10-07</w:t>
      </w:r>
    </w:p>
  </w:footnote>
  <w:footnote w:id="859">
    <w:p>
      <w:pPr>
        <w:pStyle w:val="FootnoteText"/>
      </w:pPr>
      <w:r>
        <w:rPr>
          <w:rStyle w:val="FootnoteReference"/>
        </w:rPr>
        <w:footnoteRef/>
      </w:r>
      <w:r>
        <w:t xml:space="preserve"> </w:t>
      </w:r>
      <w:r>
        <w:t xml:space="preserve">Verified fact — A3-S015: The 2026-07-28 Specification (Model Context Protocol project (blog))</w:t>
      </w:r>
      <w:r>
        <w:t xml:space="preserve"> </w:t>
      </w:r>
      <w:hyperlink r:id="rId849">
        <w:r>
          <w:rPr>
            <w:rStyle w:val="Hyperlink"/>
          </w:rPr>
          <w:t xml:space="preserve">https://blog.modelcontextprotocol.io/posts/2026-07-28/</w:t>
        </w:r>
      </w:hyperlink>
      <w:r>
        <w:t xml:space="preserve"> </w:t>
      </w:r>
      <w:r>
        <w:t xml:space="preserve">accessed 2026-10-07; A3-S018: MCP joins the Agentic AI Foundation (9 Dec 2025) (Model Context Protocol project (blog))</w:t>
      </w:r>
      <w:r>
        <w:t xml:space="preserve"> </w:t>
      </w:r>
      <w:hyperlink r:id="rId850">
        <w:r>
          <w:rPr>
            <w:rStyle w:val="Hyperlink"/>
          </w:rPr>
          <w:t xml:space="preserve">https://blog.modelcontextprotocol.io/posts/2025-12-09-mcp-joins-agentic-ai-foundation/</w:t>
        </w:r>
      </w:hyperlink>
      <w:r>
        <w:t xml:space="preserve"> </w:t>
      </w:r>
      <w:r>
        <w:t xml:space="preserve">accessed 2026-10-07</w:t>
      </w:r>
    </w:p>
  </w:footnote>
  <w:footnote w:id="860">
    <w:p>
      <w:pPr>
        <w:pStyle w:val="FootnoteText"/>
      </w:pPr>
      <w:r>
        <w:rPr>
          <w:rStyle w:val="FootnoteReference"/>
        </w:rPr>
        <w:footnoteRef/>
      </w:r>
      <w:r>
        <w:t xml:space="preserve"> </w:t>
      </w:r>
      <w:r>
        <w:t xml:space="preserve">Verified fact — A3-S015: The 2026-07-28 Specification (Model Context Protocol project (blog))</w:t>
      </w:r>
      <w:r>
        <w:t xml:space="preserve"> </w:t>
      </w:r>
      <w:hyperlink r:id="rId849">
        <w:r>
          <w:rPr>
            <w:rStyle w:val="Hyperlink"/>
          </w:rPr>
          <w:t xml:space="preserve">https://blog.modelcontextprotocol.io/posts/2026-07-28/</w:t>
        </w:r>
      </w:hyperlink>
      <w:r>
        <w:t xml:space="preserve"> </w:t>
      </w:r>
      <w:r>
        <w:t xml:space="preserve">accessed 2026-10-07</w:t>
      </w:r>
    </w:p>
  </w:footnote>
  <w:footnote w:id="861">
    <w:p>
      <w:pPr>
        <w:pStyle w:val="FootnoteText"/>
      </w:pPr>
      <w:r>
        <w:rPr>
          <w:rStyle w:val="FootnoteReference"/>
        </w:rPr>
        <w:footnoteRef/>
      </w:r>
      <w:r>
        <w:t xml:space="preserve"> </w:t>
      </w:r>
      <w:r>
        <w:t xml:space="preserve">Verified fact — A3-S017: Enterprise-Managed Authorization: Zero-touch OAuth for MCP (18 Jun 2026) (Model Context Protocol project (blog))</w:t>
      </w:r>
      <w:r>
        <w:t xml:space="preserve"> </w:t>
      </w:r>
      <w:hyperlink r:id="rId858">
        <w:r>
          <w:rPr>
            <w:rStyle w:val="Hyperlink"/>
          </w:rPr>
          <w:t xml:space="preserve">https://blog.modelcontextprotocol.io/posts/enterprise-managed-auth/</w:t>
        </w:r>
      </w:hyperlink>
      <w:r>
        <w:t xml:space="preserve"> </w:t>
      </w:r>
      <w:r>
        <w:t xml:space="preserve">accessed 2026-10-07</w:t>
      </w:r>
    </w:p>
  </w:footnote>
  <w:footnote w:id="862">
    <w:p>
      <w:pPr>
        <w:pStyle w:val="FootnoteText"/>
      </w:pPr>
      <w:r>
        <w:rPr>
          <w:rStyle w:val="FootnoteReference"/>
        </w:rPr>
        <w:footnoteRef/>
      </w:r>
      <w:r>
        <w:t xml:space="preserve"> </w:t>
      </w:r>
      <w:r>
        <w:t xml:space="preserve">Verified fact — A3-S018: MCP joins the Agentic AI Foundation (9 Dec 2025) (Model Context Protocol project (blog))</w:t>
      </w:r>
      <w:r>
        <w:t xml:space="preserve"> </w:t>
      </w:r>
      <w:hyperlink r:id="rId850">
        <w:r>
          <w:rPr>
            <w:rStyle w:val="Hyperlink"/>
          </w:rPr>
          <w:t xml:space="preserve">https://blog.modelcontextprotocol.io/posts/2025-12-09-mcp-joins-agentic-ai-foundation/</w:t>
        </w:r>
      </w:hyperlink>
      <w:r>
        <w:t xml:space="preserve"> </w:t>
      </w:r>
      <w:r>
        <w:t xml:space="preserve">accessed 2026-10-07; V1-S038: Linux Foundation Announces the Formation of the Agentic AI Foundation (AAIF) (The Linux Foundation)</w:t>
      </w:r>
      <w:r>
        <w:t xml:space="preserve"> </w:t>
      </w:r>
      <w:hyperlink r:id="rId863">
        <w:r>
          <w:rPr>
            <w:rStyle w:val="Hyperlink"/>
          </w:rPr>
          <w:t xml:space="preserve">https://www.linuxfoundation.org/press/linux-foundation-announces-the-formation-of-the-agentic-ai-foundation</w:t>
        </w:r>
      </w:hyperlink>
      <w:r>
        <w:t xml:space="preserve"> </w:t>
      </w:r>
      <w:r>
        <w:t xml:space="preserve">accessed 2026-10-08 [search-tool extract]</w:t>
      </w:r>
    </w:p>
  </w:footnote>
  <w:footnote w:id="864">
    <w:p>
      <w:pPr>
        <w:pStyle w:val="FootnoteText"/>
      </w:pPr>
      <w:r>
        <w:rPr>
          <w:rStyle w:val="FootnoteReference"/>
        </w:rPr>
        <w:footnoteRef/>
      </w:r>
      <w:r>
        <w:t xml:space="preserve"> </w:t>
      </w:r>
      <w:r>
        <w:t xml:space="preserve">Verified fact — A3-S055: MCP Specification 2026-07-28: Authorization (Model Context Protocol project (GitHub))</w:t>
      </w:r>
      <w:r>
        <w:t xml:space="preserve"> </w:t>
      </w:r>
      <w:hyperlink r:id="rId845">
        <w:r>
          <w:rPr>
            <w:rStyle w:val="Hyperlink"/>
          </w:rPr>
          <w:t xml:space="preserve">https://raw.githubusercontent.com/modelcontextprotocol/modelcontextprotocol/main/docs/specification/2026-07-28/basic/authorization/index.mdx</w:t>
        </w:r>
      </w:hyperlink>
      <w:r>
        <w:t xml:space="preserve"> </w:t>
      </w:r>
      <w:r>
        <w:t xml:space="preserve">accessed 2026-10-07</w:t>
      </w:r>
    </w:p>
  </w:footnote>
  <w:footnote w:id="865">
    <w:p>
      <w:pPr>
        <w:pStyle w:val="FootnoteText"/>
      </w:pPr>
      <w:r>
        <w:rPr>
          <w:rStyle w:val="FootnoteReference"/>
        </w:rPr>
        <w:footnoteRef/>
      </w:r>
      <w:r>
        <w:t xml:space="preserve"> </w:t>
      </w:r>
      <w:r>
        <w:t xml:space="preserve">Verified fact — A3-S020: Tool Annotations as Risk Vocabulary (16 Mar 2026) (Model Context Protocol project (blog))</w:t>
      </w:r>
      <w:r>
        <w:t xml:space="preserve"> </w:t>
      </w:r>
      <w:hyperlink r:id="rId866">
        <w:r>
          <w:rPr>
            <w:rStyle w:val="Hyperlink"/>
          </w:rPr>
          <w:t xml:space="preserve">https://blog.modelcontextprotocol.io/posts/2026-03-16-tool-annotations/</w:t>
        </w:r>
      </w:hyperlink>
      <w:r>
        <w:t xml:space="preserve"> </w:t>
      </w:r>
      <w:r>
        <w:t xml:space="preserve">accessed 2026-10-07</w:t>
      </w:r>
    </w:p>
  </w:footnote>
  <w:footnote w:id="867">
    <w:p>
      <w:pPr>
        <w:pStyle w:val="FootnoteText"/>
      </w:pPr>
      <w:r>
        <w:rPr>
          <w:rStyle w:val="FootnoteReference"/>
        </w:rPr>
        <w:footnoteRef/>
      </w:r>
      <w:r>
        <w:t xml:space="preserve"> </w:t>
      </w:r>
      <w:r>
        <w:t xml:space="preserve">Verified fact — A3-S023: MCPTox: A Benchmark for Tool Poisoning Attack on Real-World MCP Servers (arXiv (academic preprint; AAAI 2026))</w:t>
      </w:r>
      <w:r>
        <w:t xml:space="preserve"> </w:t>
      </w:r>
      <w:hyperlink r:id="rId846">
        <w:r>
          <w:rPr>
            <w:rStyle w:val="Hyperlink"/>
          </w:rPr>
          <w:t xml:space="preserve">https://arxiv.org/pdf/2508.14925</w:t>
        </w:r>
      </w:hyperlink>
      <w:r>
        <w:t xml:space="preserve"> </w:t>
      </w:r>
      <w:r>
        <w:t xml:space="preserve">accessed 2026-10-07 [search-tool extract]</w:t>
      </w:r>
    </w:p>
  </w:footnote>
  <w:footnote w:id="868">
    <w:p>
      <w:pPr>
        <w:pStyle w:val="FootnoteText"/>
      </w:pPr>
      <w:r>
        <w:rPr>
          <w:rStyle w:val="FootnoteReference"/>
        </w:rPr>
        <w:footnoteRef/>
      </w:r>
      <w:r>
        <w:t xml:space="preserve"> </w:t>
      </w:r>
      <w:r>
        <w:t xml:space="preserve">Verified fact — A3-S045: OWASP MCP Top 10: MCP03:2025 Tool Poisoning</w:t>
      </w:r>
      <w:r>
        <w:t xml:space="preserve"> </w:t>
      </w:r>
      <w:hyperlink r:id="rId869">
        <w:r>
          <w:rPr>
            <w:rStyle w:val="Hyperlink"/>
          </w:rPr>
          <w:t xml:space="preserve">https://owasp.org/www-project-mcp-top-10/2025/MCP03-2025%E2%80%93Tool-Poisoning</w:t>
        </w:r>
      </w:hyperlink>
      <w:r>
        <w:t xml:space="preserve"> </w:t>
      </w:r>
      <w:r>
        <w:t xml:space="preserve">accessed 2026-10-07 [search-tool extract]</w:t>
      </w:r>
    </w:p>
  </w:footnote>
  <w:footnote w:id="870">
    <w:p>
      <w:pPr>
        <w:pStyle w:val="FootnoteText"/>
      </w:pPr>
      <w:r>
        <w:rPr>
          <w:rStyle w:val="FootnoteReference"/>
        </w:rPr>
        <w:footnoteRef/>
      </w:r>
      <w:r>
        <w:t xml:space="preserve"> </w:t>
      </w:r>
      <w:r>
        <w:t xml:space="preserve">Reported — A3-S022: MCP Attack Surface: Tool Poisoning and IDE Auto-Execution (CSA research note, Jul 2026) (Cloud Security Alliance Labs)</w:t>
      </w:r>
      <w:r>
        <w:t xml:space="preserve"> </w:t>
      </w:r>
      <w:hyperlink r:id="rId871">
        <w:r>
          <w:rPr>
            <w:rStyle w:val="Hyperlink"/>
          </w:rPr>
          <w:t xml:space="preserve">https://labs.cloudsecurityalliance.org/research/csa-research-note-mcp-tool-poisoning-auto-execution-20260701/</w:t>
        </w:r>
      </w:hyperlink>
      <w:r>
        <w:t xml:space="preserve"> </w:t>
      </w:r>
      <w:r>
        <w:t xml:space="preserve">accessed 2026-10-07 [search-tool extract]</w:t>
      </w:r>
    </w:p>
  </w:footnote>
  <w:footnote w:id="872">
    <w:p>
      <w:pPr>
        <w:pStyle w:val="FootnoteText"/>
      </w:pPr>
      <w:r>
        <w:rPr>
          <w:rStyle w:val="FootnoteReference"/>
        </w:rPr>
        <w:footnoteRef/>
      </w:r>
      <w:r>
        <w:t xml:space="preserve"> </w:t>
      </w:r>
      <w:r>
        <w:t xml:space="preserve">Verified fact — A3-S082: Expanding the MCP Maintainer Team (8 Apr 2026) (Model Context Protocol project (blog))</w:t>
      </w:r>
      <w:r>
        <w:t xml:space="preserve"> </w:t>
      </w:r>
      <w:hyperlink r:id="rId854">
        <w:r>
          <w:rPr>
            <w:rStyle w:val="Hyperlink"/>
          </w:rPr>
          <w:t xml:space="preserve">https://blog.modelcontextprotocol.io/posts/2026-04-08-maintainer-update/</w:t>
        </w:r>
      </w:hyperlink>
      <w:r>
        <w:t xml:space="preserve"> </w:t>
      </w:r>
      <w:r>
        <w:t xml:space="preserve">accessed 2026-10-07; A3-S018: MCP joins the Agentic AI Foundation (9 Dec 2025) (Model Context Protocol project (blog))</w:t>
      </w:r>
      <w:r>
        <w:t xml:space="preserve"> </w:t>
      </w:r>
      <w:hyperlink r:id="rId850">
        <w:r>
          <w:rPr>
            <w:rStyle w:val="Hyperlink"/>
          </w:rPr>
          <w:t xml:space="preserve">https://blog.modelcontextprotocol.io/posts/2025-12-09-mcp-joins-agentic-ai-foundation/</w:t>
        </w:r>
      </w:hyperlink>
      <w:r>
        <w:t xml:space="preserve"> </w:t>
      </w:r>
      <w:r>
        <w:t xml:space="preserve">accessed 2026-10-07</w:t>
      </w:r>
    </w:p>
  </w:footnote>
  <w:footnote w:id="873">
    <w:p>
      <w:pPr>
        <w:pStyle w:val="FootnoteText"/>
      </w:pPr>
      <w:r>
        <w:rPr>
          <w:rStyle w:val="FootnoteReference"/>
        </w:rPr>
        <w:footnoteRef/>
      </w:r>
      <w:r>
        <w:t xml:space="preserve"> </w:t>
      </w:r>
      <w:r>
        <w:t xml:space="preserve">Verified fact — A3-S019: Introducing the MCP Registry (8 Sep 2025) (Model Context Protocol project (blog))</w:t>
      </w:r>
      <w:r>
        <w:t xml:space="preserve"> </w:t>
      </w:r>
      <w:hyperlink r:id="rId874">
        <w:r>
          <w:rPr>
            <w:rStyle w:val="Hyperlink"/>
          </w:rPr>
          <w:t xml:space="preserve">https://blog.modelcontextprotocol.io/posts/2025-09-08-mcp-registry-preview/</w:t>
        </w:r>
      </w:hyperlink>
      <w:r>
        <w:t xml:space="preserve"> </w:t>
      </w:r>
      <w:r>
        <w:t xml:space="preserve">accessed 2026-10-07; A3-S042: modelcontextprotocol/registry (GitHub README) (Model Context Protocol project)</w:t>
      </w:r>
      <w:r>
        <w:t xml:space="preserve"> </w:t>
      </w:r>
      <w:hyperlink r:id="rId852">
        <w:r>
          <w:rPr>
            <w:rStyle w:val="Hyperlink"/>
          </w:rPr>
          <w:t xml:space="preserve">https://github.com/modelcontextprotocol/registry</w:t>
        </w:r>
      </w:hyperlink>
      <w:r>
        <w:t xml:space="preserve"> </w:t>
      </w:r>
      <w:r>
        <w:t xml:space="preserve">accessed 2026-10-07 [search-tool extract]; A3-S036: Official MCP Registry API v0.1 sample response (v0.2 and v1 paths returned HTTP 404 on 7 Oct 2026) (Model Context Protocol project)</w:t>
      </w:r>
      <w:r>
        <w:t xml:space="preserve"> </w:t>
      </w:r>
      <w:hyperlink r:id="rId875">
        <w:r>
          <w:rPr>
            <w:rStyle w:val="Hyperlink"/>
          </w:rPr>
          <w:t xml:space="preserve">https://registry.modelcontextprotocol.io/v0.1/servers?limit=1</w:t>
        </w:r>
      </w:hyperlink>
      <w:r>
        <w:t xml:space="preserve"> </w:t>
      </w:r>
      <w:r>
        <w:t xml:space="preserve">accessed 2026-10-07</w:t>
      </w:r>
    </w:p>
  </w:footnote>
  <w:footnote w:id="876">
    <w:p>
      <w:pPr>
        <w:pStyle w:val="FootnoteText"/>
      </w:pPr>
      <w:r>
        <w:rPr>
          <w:rStyle w:val="FootnoteReference"/>
        </w:rPr>
        <w:footnoteRef/>
      </w:r>
      <w:r>
        <w:t xml:space="preserve"> </w:t>
      </w:r>
      <w:r>
        <w:t xml:space="preserve">Verified fact — A3-S015: The 2026-07-28 Specification (Model Context Protocol project (blog))</w:t>
      </w:r>
      <w:r>
        <w:t xml:space="preserve"> </w:t>
      </w:r>
      <w:hyperlink r:id="rId849">
        <w:r>
          <w:rPr>
            <w:rStyle w:val="Hyperlink"/>
          </w:rPr>
          <w:t xml:space="preserve">https://blog.modelcontextprotocol.io/posts/2026-07-28/</w:t>
        </w:r>
      </w:hyperlink>
      <w:r>
        <w:t xml:space="preserve"> </w:t>
      </w:r>
      <w:r>
        <w:t xml:space="preserve">accessed 2026-10-07; V2-S031: MCP specification 2026-07-28 changelog (Model Context Protocol project)</w:t>
      </w:r>
      <w:r>
        <w:t xml:space="preserve"> </w:t>
      </w:r>
      <w:hyperlink r:id="rId856">
        <w:r>
          <w:rPr>
            <w:rStyle w:val="Hyperlink"/>
          </w:rPr>
          <w:t xml:space="preserve">https://raw.githubusercontent.com/modelcontextprotocol/modelcontextprotocol/main/docs/specification/2026-07-28/changelog.mdx</w:t>
        </w:r>
      </w:hyperlink>
      <w:r>
        <w:t xml:space="preserve"> </w:t>
      </w:r>
      <w:r>
        <w:t xml:space="preserve">accessed 2026-10-08</w:t>
      </w:r>
    </w:p>
  </w:footnote>
  <w:footnote w:id="877">
    <w:p>
      <w:pPr>
        <w:pStyle w:val="FootnoteText"/>
      </w:pPr>
      <w:r>
        <w:rPr>
          <w:rStyle w:val="FootnoteReference"/>
        </w:rPr>
        <w:footnoteRef/>
      </w:r>
      <w:r>
        <w:t xml:space="preserve"> </w:t>
      </w:r>
      <w:r>
        <w:t xml:space="preserve">Verified fact — B-REVA-S006: modelcontextprotocol/typescript-sdk security advisories (GitHub Advisory Database) (Model Context Protocol project (GitHub))</w:t>
      </w:r>
      <w:r>
        <w:t xml:space="preserve"> </w:t>
      </w:r>
      <w:hyperlink r:id="rId847">
        <w:r>
          <w:rPr>
            <w:rStyle w:val="Hyperlink"/>
          </w:rPr>
          <w:t xml:space="preserve">https://github.com/modelcontextprotocol/typescript-sdk/security/advisories</w:t>
        </w:r>
      </w:hyperlink>
      <w:r>
        <w:t xml:space="preserve"> </w:t>
      </w:r>
      <w:r>
        <w:t xml:space="preserve">accessed 2026-10-08 [search-tool extract]</w:t>
      </w:r>
    </w:p>
  </w:footnote>
  <w:footnote w:id="879">
    <w:p>
      <w:pPr>
        <w:pStyle w:val="FootnoteText"/>
      </w:pPr>
      <w:r>
        <w:rPr>
          <w:rStyle w:val="FootnoteReference"/>
        </w:rPr>
        <w:footnoteRef/>
      </w:r>
      <w:r>
        <w:t xml:space="preserve"> </w:t>
      </w:r>
      <w:r>
        <w:t xml:space="preserve">Verified fact — A6-S021: Amazon Bedrock AgentCore Pricing; AgentCore GA announcement (Oct 2025); AgentCore Gateway docs (Amazon Web Services)</w:t>
      </w:r>
      <w:r>
        <w:t xml:space="preserve"> </w:t>
      </w:r>
      <w:hyperlink r:id="rId764">
        <w:r>
          <w:rPr>
            <w:rStyle w:val="Hyperlink"/>
          </w:rPr>
          <w:t xml:space="preserve">https://aws.amazon.com/bedrock/agentcore/pricing/</w:t>
        </w:r>
      </w:hyperlink>
      <w:r>
        <w:t xml:space="preserve"> </w:t>
      </w:r>
      <w:r>
        <w:t xml:space="preserve">accessed 2026-10-07 [search-tool extract]; A6-S026: Policy in Amazon Bedrock AgentCore is now generally available; AgentCore Policy docs; Why Policy in AgentCore chose Cedar (Amazon Web Services)</w:t>
      </w:r>
      <w:r>
        <w:t xml:space="preserve"> </w:t>
      </w:r>
      <w:hyperlink r:id="rId880">
        <w:r>
          <w:rPr>
            <w:rStyle w:val="Hyperlink"/>
          </w:rPr>
          <w:t xml:space="preserve">https://aws.amazon.com/about-aws/whats-new/2026/03/policy-amazon-bedrock-agentcore-generally-available/</w:t>
        </w:r>
      </w:hyperlink>
      <w:r>
        <w:t xml:space="preserve"> </w:t>
      </w:r>
      <w:r>
        <w:t xml:space="preserve">accessed 2026-10-07 [search-tool extract]</w:t>
      </w:r>
    </w:p>
  </w:footnote>
  <w:footnote w:id="881">
    <w:p>
      <w:pPr>
        <w:pStyle w:val="FootnoteText"/>
      </w:pPr>
      <w:r>
        <w:rPr>
          <w:rStyle w:val="FootnoteReference"/>
        </w:rPr>
        <w:footnoteRef/>
      </w:r>
      <w:r>
        <w:t xml:space="preserve"> </w:t>
      </w:r>
      <w:r>
        <w:t xml:space="preserve">Verified fact — B-L4-S001: AWS Services in Scope by Compliance Program: SOC (and AgentCore release notes per search summary) (Amazon Web Services)</w:t>
      </w:r>
      <w:r>
        <w:t xml:space="preserve"> </w:t>
      </w:r>
      <w:hyperlink r:id="rId882">
        <w:r>
          <w:rPr>
            <w:rStyle w:val="Hyperlink"/>
          </w:rPr>
          <w:t xml:space="preserve">https://aws.amazon.com/compliance/services-in-scope/SOC/</w:t>
        </w:r>
      </w:hyperlink>
      <w:r>
        <w:t xml:space="preserve"> </w:t>
      </w:r>
      <w:r>
        <w:t xml:space="preserve">accessed 2026-10-08 [search-tool extract]; B-L4-S002: Compliance validation for Amazon Bedrock AgentCore (Amazon Web Services)</w:t>
      </w:r>
      <w:r>
        <w:t xml:space="preserve"> </w:t>
      </w:r>
      <w:hyperlink r:id="rId757">
        <w:r>
          <w:rPr>
            <w:rStyle w:val="Hyperlink"/>
          </w:rPr>
          <w:t xml:space="preserve">https://docs.aws.amazon.com/bedrock-agentcore/latest/devguide/compliance-validation.html</w:t>
        </w:r>
      </w:hyperlink>
      <w:r>
        <w:t xml:space="preserve"> </w:t>
      </w:r>
      <w:r>
        <w:t xml:space="preserve">accessed 2026-10-08 [search-tool extract]; A6-S074: AWS API model: Amazon Bedrock AgentCore control plane (botocore service-2.json) (Amazon Web Services (via boto/botocore))</w:t>
      </w:r>
      <w:r>
        <w:t xml:space="preserve"> </w:t>
      </w:r>
      <w:hyperlink r:id="rId883">
        <w:r>
          <w:rPr>
            <w:rStyle w:val="Hyperlink"/>
          </w:rPr>
          <w:t xml:space="preserve">https://raw.githubusercontent.com/boto/botocore/develop/botocore/data/bedrock-agentcore-control/2023-06-05/service-2.json</w:t>
        </w:r>
      </w:hyperlink>
      <w:r>
        <w:t xml:space="preserve"> </w:t>
      </w:r>
      <w:r>
        <w:t xml:space="preserve">accessed 2026-10-07</w:t>
      </w:r>
    </w:p>
  </w:footnote>
  <w:footnote w:id="884">
    <w:p>
      <w:pPr>
        <w:pStyle w:val="FootnoteText"/>
      </w:pPr>
      <w:r>
        <w:rPr>
          <w:rStyle w:val="FootnoteReference"/>
        </w:rPr>
        <w:footnoteRef/>
      </w:r>
      <w:r>
        <w:t xml:space="preserve"> </w:t>
      </w:r>
      <w:r>
        <w:t xml:space="preserve">Verified fact — A3-S047: Amazon Bedrock AgentCore is now generally available (Oct 2025) (Amazon Web Services)</w:t>
      </w:r>
      <w:r>
        <w:t xml:space="preserve"> </w:t>
      </w:r>
      <w:hyperlink r:id="rId752">
        <w:r>
          <w:rPr>
            <w:rStyle w:val="Hyperlink"/>
          </w:rPr>
          <w:t xml:space="preserve">https://aws.amazon.com/about-aws/whats-new/2025/10/amazon-bedrock-agentcore-available/</w:t>
        </w:r>
      </w:hyperlink>
      <w:r>
        <w:t xml:space="preserve"> </w:t>
      </w:r>
      <w:r>
        <w:t xml:space="preserve">accessed 2026-10-07 [search-tool extract]</w:t>
      </w:r>
    </w:p>
  </w:footnote>
  <w:footnote w:id="885">
    <w:p>
      <w:pPr>
        <w:pStyle w:val="FootnoteText"/>
      </w:pPr>
      <w:r>
        <w:rPr>
          <w:rStyle w:val="FootnoteReference"/>
        </w:rPr>
        <w:footnoteRef/>
      </w:r>
      <w:r>
        <w:t xml:space="preserve"> </w:t>
      </w:r>
      <w:r>
        <w:t xml:space="preserve">Verified fact — A6-S021: Amazon Bedrock AgentCore Pricing; AgentCore GA announcement (Oct 2025); AgentCore Gateway docs (Amazon Web Services)</w:t>
      </w:r>
      <w:r>
        <w:t xml:space="preserve"> </w:t>
      </w:r>
      <w:hyperlink r:id="rId764">
        <w:r>
          <w:rPr>
            <w:rStyle w:val="Hyperlink"/>
          </w:rPr>
          <w:t xml:space="preserve">https://aws.amazon.com/bedrock/agentcore/pricing/</w:t>
        </w:r>
      </w:hyperlink>
      <w:r>
        <w:t xml:space="preserve"> </w:t>
      </w:r>
      <w:r>
        <w:t xml:space="preserve">accessed 2026-10-07 [search-tool extract]</w:t>
      </w:r>
    </w:p>
  </w:footnote>
  <w:footnote w:id="886">
    <w:p>
      <w:pPr>
        <w:pStyle w:val="FootnoteText"/>
      </w:pPr>
      <w:r>
        <w:rPr>
          <w:rStyle w:val="FootnoteReference"/>
        </w:rPr>
        <w:footnoteRef/>
      </w:r>
      <w:r>
        <w:t xml:space="preserve"> </w:t>
      </w:r>
      <w:r>
        <w:t xml:space="preserve">Verified fact — A6-S045: Cedar README (GitHub) (Cedar project)</w:t>
      </w:r>
      <w:r>
        <w:t xml:space="preserve"> </w:t>
      </w:r>
      <w:hyperlink r:id="rId887">
        <w:r>
          <w:rPr>
            <w:rStyle w:val="Hyperlink"/>
          </w:rPr>
          <w:t xml:space="preserve">https://raw.githubusercontent.com/cedar-policy/cedar/main/README.md</w:t>
        </w:r>
      </w:hyperlink>
      <w:r>
        <w:t xml:space="preserve"> </w:t>
      </w:r>
      <w:r>
        <w:t xml:space="preserve">accessed 2026-10-07</w:t>
      </w:r>
    </w:p>
  </w:footnote>
  <w:footnote w:id="888">
    <w:p>
      <w:pPr>
        <w:pStyle w:val="FootnoteText"/>
      </w:pPr>
      <w:r>
        <w:rPr>
          <w:rStyle w:val="FootnoteReference"/>
        </w:rPr>
        <w:footnoteRef/>
      </w:r>
      <w:r>
        <w:t xml:space="preserve"> </w:t>
      </w:r>
      <w:r>
        <w:t xml:space="preserve">Verified fact — A3-S047: Amazon Bedrock AgentCore is now generally available (Oct 2025) (Amazon Web Services)</w:t>
      </w:r>
      <w:r>
        <w:t xml:space="preserve"> </w:t>
      </w:r>
      <w:hyperlink r:id="rId752">
        <w:r>
          <w:rPr>
            <w:rStyle w:val="Hyperlink"/>
          </w:rPr>
          <w:t xml:space="preserve">https://aws.amazon.com/about-aws/whats-new/2025/10/amazon-bedrock-agentcore-available/</w:t>
        </w:r>
      </w:hyperlink>
      <w:r>
        <w:t xml:space="preserve"> </w:t>
      </w:r>
      <w:r>
        <w:t xml:space="preserve">accessed 2026-10-07 [search-tool extract]; A3-S048: Release notes for Amazon Bedrock AgentCore (Amazon Web Services)</w:t>
      </w:r>
      <w:r>
        <w:t xml:space="preserve"> </w:t>
      </w:r>
      <w:hyperlink r:id="rId766">
        <w:r>
          <w:rPr>
            <w:rStyle w:val="Hyperlink"/>
          </w:rPr>
          <w:t xml:space="preserve">https://docs.aws.amazon.com/bedrock-agentcore/latest/devguide/release-notes.html</w:t>
        </w:r>
      </w:hyperlink>
      <w:r>
        <w:t xml:space="preserve"> </w:t>
      </w:r>
      <w:r>
        <w:t xml:space="preserve">accessed 2026-10-07 [search-tool extract]; A6-S021: Amazon Bedrock AgentCore Pricing; AgentCore GA announcement (Oct 2025); AgentCore Gateway docs (Amazon Web Services)</w:t>
      </w:r>
      <w:r>
        <w:t xml:space="preserve"> </w:t>
      </w:r>
      <w:hyperlink r:id="rId764">
        <w:r>
          <w:rPr>
            <w:rStyle w:val="Hyperlink"/>
          </w:rPr>
          <w:t xml:space="preserve">https://aws.amazon.com/bedrock/agentcore/pricing/</w:t>
        </w:r>
      </w:hyperlink>
      <w:r>
        <w:t xml:space="preserve"> </w:t>
      </w:r>
      <w:r>
        <w:t xml:space="preserve">accessed 2026-10-07 [search-tool extract]; A6-S074: AWS API model: Amazon Bedrock AgentCore control plane (botocore service-2.json) (Amazon Web Services (via boto/botocore))</w:t>
      </w:r>
      <w:r>
        <w:t xml:space="preserve"> </w:t>
      </w:r>
      <w:hyperlink r:id="rId883">
        <w:r>
          <w:rPr>
            <w:rStyle w:val="Hyperlink"/>
          </w:rPr>
          <w:t xml:space="preserve">https://raw.githubusercontent.com/boto/botocore/develop/botocore/data/bedrock-agentcore-control/2023-06-05/service-2.json</w:t>
        </w:r>
      </w:hyperlink>
      <w:r>
        <w:t xml:space="preserve"> </w:t>
      </w:r>
      <w:r>
        <w:t xml:space="preserve">accessed 2026-10-07; A6-S026: Policy in Amazon Bedrock AgentCore is now generally available; AgentCore Policy docs; Why Policy in AgentCore chose Cedar (Amazon Web Services)</w:t>
      </w:r>
      <w:r>
        <w:t xml:space="preserve"> </w:t>
      </w:r>
      <w:hyperlink r:id="rId880">
        <w:r>
          <w:rPr>
            <w:rStyle w:val="Hyperlink"/>
          </w:rPr>
          <w:t xml:space="preserve">https://aws.amazon.com/about-aws/whats-new/2026/03/policy-amazon-bedrock-agentcore-generally-available/</w:t>
        </w:r>
      </w:hyperlink>
      <w:r>
        <w:t xml:space="preserve"> </w:t>
      </w:r>
      <w:r>
        <w:t xml:space="preserve">accessed 2026-10-07 [search-tool extract]</w:t>
      </w:r>
    </w:p>
  </w:footnote>
  <w:footnote w:id="889">
    <w:p>
      <w:pPr>
        <w:pStyle w:val="FootnoteText"/>
      </w:pPr>
      <w:r>
        <w:rPr>
          <w:rStyle w:val="FootnoteReference"/>
        </w:rPr>
        <w:footnoteRef/>
      </w:r>
      <w:r>
        <w:t xml:space="preserve"> </w:t>
      </w:r>
      <w:r>
        <w:t xml:space="preserve">Verified fact — A6-S105: AgentCore Gateway: Inference targets; Inference connector/provider targets; Add rate limits to a gateway (Amazon Web Services)</w:t>
      </w:r>
      <w:r>
        <w:t xml:space="preserve"> </w:t>
      </w:r>
      <w:hyperlink r:id="rId890">
        <w:r>
          <w:rPr>
            <w:rStyle w:val="Hyperlink"/>
          </w:rPr>
          <w:t xml:space="preserve">https://docs.aws.amazon.com/bedrock-agentcore/latest/devguide/gateway-targets-inference.html</w:t>
        </w:r>
      </w:hyperlink>
      <w:r>
        <w:t xml:space="preserve"> </w:t>
      </w:r>
      <w:r>
        <w:t xml:space="preserve">accessed 2026-10-07 [search-tool extract]</w:t>
      </w:r>
    </w:p>
  </w:footnote>
  <w:footnote w:id="891">
    <w:p>
      <w:pPr>
        <w:pStyle w:val="FootnoteText"/>
      </w:pPr>
      <w:r>
        <w:rPr>
          <w:rStyle w:val="FootnoteReference"/>
        </w:rPr>
        <w:footnoteRef/>
      </w:r>
      <w:r>
        <w:t xml:space="preserve"> </w:t>
      </w:r>
      <w:r>
        <w:t xml:space="preserve">Verified fact — A6-S074: AWS API model: Amazon Bedrock AgentCore control plane (botocore service-2.json) (Amazon Web Services (via boto/botocore))</w:t>
      </w:r>
      <w:r>
        <w:t xml:space="preserve"> </w:t>
      </w:r>
      <w:hyperlink r:id="rId883">
        <w:r>
          <w:rPr>
            <w:rStyle w:val="Hyperlink"/>
          </w:rPr>
          <w:t xml:space="preserve">https://raw.githubusercontent.com/boto/botocore/develop/botocore/data/bedrock-agentcore-control/2023-06-05/service-2.json</w:t>
        </w:r>
      </w:hyperlink>
      <w:r>
        <w:t xml:space="preserve"> </w:t>
      </w:r>
      <w:r>
        <w:t xml:space="preserve">accessed 2026-10-07</w:t>
      </w:r>
    </w:p>
  </w:footnote>
  <w:footnote w:id="892">
    <w:p>
      <w:pPr>
        <w:pStyle w:val="FootnoteText"/>
      </w:pPr>
      <w:r>
        <w:rPr>
          <w:rStyle w:val="FootnoteReference"/>
        </w:rPr>
        <w:footnoteRef/>
      </w:r>
      <w:r>
        <w:t xml:space="preserve"> </w:t>
      </w:r>
      <w:r>
        <w:t xml:space="preserve">Verified fact — A6-S021: Amazon Bedrock AgentCore Pricing; AgentCore GA announcement (Oct 2025); AgentCore Gateway docs (Amazon Web Services)</w:t>
      </w:r>
      <w:r>
        <w:t xml:space="preserve"> </w:t>
      </w:r>
      <w:hyperlink r:id="rId764">
        <w:r>
          <w:rPr>
            <w:rStyle w:val="Hyperlink"/>
          </w:rPr>
          <w:t xml:space="preserve">https://aws.amazon.com/bedrock/agentcore/pricing/</w:t>
        </w:r>
      </w:hyperlink>
      <w:r>
        <w:t xml:space="preserve"> </w:t>
      </w:r>
      <w:r>
        <w:t xml:space="preserve">accessed 2026-10-07 [search-tool extract]</w:t>
      </w:r>
    </w:p>
  </w:footnote>
  <w:footnote w:id="893">
    <w:p>
      <w:pPr>
        <w:pStyle w:val="FootnoteText"/>
      </w:pPr>
      <w:r>
        <w:rPr>
          <w:rStyle w:val="FootnoteReference"/>
        </w:rPr>
        <w:footnoteRef/>
      </w:r>
      <w:r>
        <w:t xml:space="preserve"> </w:t>
      </w:r>
      <w:r>
        <w:t xml:space="preserve">Verified fact — A3-S047: Amazon Bedrock AgentCore is now generally available (Oct 2025) (Amazon Web Services)</w:t>
      </w:r>
      <w:r>
        <w:t xml:space="preserve"> </w:t>
      </w:r>
      <w:hyperlink r:id="rId752">
        <w:r>
          <w:rPr>
            <w:rStyle w:val="Hyperlink"/>
          </w:rPr>
          <w:t xml:space="preserve">https://aws.amazon.com/about-aws/whats-new/2025/10/amazon-bedrock-agentcore-available/</w:t>
        </w:r>
      </w:hyperlink>
      <w:r>
        <w:t xml:space="preserve"> </w:t>
      </w:r>
      <w:r>
        <w:t xml:space="preserve">accessed 2026-10-07 [search-tool extract]</w:t>
      </w:r>
    </w:p>
  </w:footnote>
  <w:footnote w:id="894">
    <w:p>
      <w:pPr>
        <w:pStyle w:val="FootnoteText"/>
      </w:pPr>
      <w:r>
        <w:rPr>
          <w:rStyle w:val="FootnoteReference"/>
        </w:rPr>
        <w:footnoteRef/>
      </w:r>
      <w:r>
        <w:t xml:space="preserve"> </w:t>
      </w:r>
      <w:r>
        <w:t xml:space="preserve">Verified fact — B-L4-S002: Compliance validation for Amazon Bedrock AgentCore (Amazon Web Services)</w:t>
      </w:r>
      <w:r>
        <w:t xml:space="preserve"> </w:t>
      </w:r>
      <w:hyperlink r:id="rId757">
        <w:r>
          <w:rPr>
            <w:rStyle w:val="Hyperlink"/>
          </w:rPr>
          <w:t xml:space="preserve">https://docs.aws.amazon.com/bedrock-agentcore/latest/devguide/compliance-validation.html</w:t>
        </w:r>
      </w:hyperlink>
      <w:r>
        <w:t xml:space="preserve"> </w:t>
      </w:r>
      <w:r>
        <w:t xml:space="preserve">accessed 2026-10-08 [search-tool extract]</w:t>
      </w:r>
    </w:p>
  </w:footnote>
  <w:footnote w:id="896">
    <w:p>
      <w:pPr>
        <w:pStyle w:val="FootnoteText"/>
      </w:pPr>
      <w:r>
        <w:rPr>
          <w:rStyle w:val="FootnoteReference"/>
        </w:rPr>
        <w:footnoteRef/>
      </w:r>
      <w:r>
        <w:t xml:space="preserve"> </w:t>
      </w:r>
      <w:r>
        <w:t xml:space="preserve">Verified fact — A3-S013: PyPI JSON metadata: browserbase (Python Package Index (PyPI))</w:t>
      </w:r>
      <w:r>
        <w:t xml:space="preserve"> </w:t>
      </w:r>
      <w:hyperlink r:id="rId897">
        <w:r>
          <w:rPr>
            <w:rStyle w:val="Hyperlink"/>
          </w:rPr>
          <w:t xml:space="preserve">https://pypi.org/pypi/browserbase/json</w:t>
        </w:r>
      </w:hyperlink>
      <w:r>
        <w:t xml:space="preserve"> </w:t>
      </w:r>
      <w:r>
        <w:t xml:space="preserve">accessed 2026-10-07</w:t>
      </w:r>
    </w:p>
  </w:footnote>
  <w:footnote w:id="898">
    <w:p>
      <w:pPr>
        <w:pStyle w:val="FootnoteText"/>
      </w:pPr>
      <w:r>
        <w:rPr>
          <w:rStyle w:val="FootnoteReference"/>
        </w:rPr>
        <w:footnoteRef/>
      </w:r>
      <w:r>
        <w:t xml:space="preserve"> </w:t>
      </w:r>
      <w:r>
        <w:t xml:space="preserve">Verified fact — B-L4-S004: Browserbase docs: SSO with SAML (and Enterprise security page)</w:t>
      </w:r>
      <w:r>
        <w:t xml:space="preserve"> </w:t>
      </w:r>
      <w:hyperlink r:id="rId899">
        <w:r>
          <w:rPr>
            <w:rStyle w:val="Hyperlink"/>
          </w:rPr>
          <w:t xml:space="preserve">https://docs.browserbase.com/account/team/sso</w:t>
        </w:r>
      </w:hyperlink>
      <w:r>
        <w:t xml:space="preserve"> </w:t>
      </w:r>
      <w:r>
        <w:t xml:space="preserve">accessed 2026-10-08 [search-tool extract]</w:t>
      </w:r>
    </w:p>
  </w:footnote>
  <w:footnote w:id="900">
    <w:p>
      <w:pPr>
        <w:pStyle w:val="FootnoteText"/>
      </w:pPr>
      <w:r>
        <w:rPr>
          <w:rStyle w:val="FootnoteReference"/>
        </w:rPr>
        <w:footnoteRef/>
      </w:r>
      <w:r>
        <w:t xml:space="preserve"> </w:t>
      </w:r>
      <w:r>
        <w:t xml:space="preserve">Verified fact — A3-S102: Browserbase Trust Center (and docs enterprise security / plans, pricing pages)</w:t>
      </w:r>
      <w:r>
        <w:t xml:space="preserve"> </w:t>
      </w:r>
      <w:hyperlink r:id="rId901">
        <w:r>
          <w:rPr>
            <w:rStyle w:val="Hyperlink"/>
          </w:rPr>
          <w:t xml:space="preserve">https://trust.browserbase.com/</w:t>
        </w:r>
      </w:hyperlink>
      <w:r>
        <w:t xml:space="preserve"> </w:t>
      </w:r>
      <w:r>
        <w:t xml:space="preserve">accessed 2026-10-07 [search-tool extract]</w:t>
      </w:r>
    </w:p>
  </w:footnote>
  <w:footnote w:id="902">
    <w:p>
      <w:pPr>
        <w:pStyle w:val="FootnoteText"/>
      </w:pPr>
      <w:r>
        <w:rPr>
          <w:rStyle w:val="FootnoteReference"/>
        </w:rPr>
        <w:footnoteRef/>
      </w:r>
      <w:r>
        <w:t xml:space="preserve"> </w:t>
      </w:r>
      <w:r>
        <w:t xml:space="preserve">Verified fact — A3-S102: Browserbase Trust Center (and docs enterprise security / plans, pricing pages)</w:t>
      </w:r>
      <w:r>
        <w:t xml:space="preserve"> </w:t>
      </w:r>
      <w:hyperlink r:id="rId901">
        <w:r>
          <w:rPr>
            <w:rStyle w:val="Hyperlink"/>
          </w:rPr>
          <w:t xml:space="preserve">https://trust.browserbase.com/</w:t>
        </w:r>
      </w:hyperlink>
      <w:r>
        <w:t xml:space="preserve"> </w:t>
      </w:r>
      <w:r>
        <w:t xml:space="preserve">accessed 2026-10-07 [search-tool extract]</w:t>
      </w:r>
    </w:p>
  </w:footnote>
  <w:footnote w:id="903">
    <w:p>
      <w:pPr>
        <w:pStyle w:val="FootnoteText"/>
      </w:pPr>
      <w:r>
        <w:rPr>
          <w:rStyle w:val="FootnoteReference"/>
        </w:rPr>
        <w:footnoteRef/>
      </w:r>
      <w:r>
        <w:t xml:space="preserve"> </w:t>
      </w:r>
      <w:r>
        <w:t xml:space="preserve">Verified fact — A3-S054: GitHub repository metadata (stars, forks, created, archived) retrieved via GitHub MCP search_repositories tool, 7 Oct 2026</w:t>
      </w:r>
      <w:r>
        <w:t xml:space="preserve"> </w:t>
      </w:r>
      <w:hyperlink r:id="rId727">
        <w:r>
          <w:rPr>
            <w:rStyle w:val="Hyperlink"/>
          </w:rPr>
          <w:t xml:space="preserve">https://api.github.com/search/repositories</w:t>
        </w:r>
      </w:hyperlink>
      <w:r>
        <w:t xml:space="preserve"> </w:t>
      </w:r>
      <w:r>
        <w:t xml:space="preserve">accessed 2026-10-07 [search-tool extract]</w:t>
      </w:r>
    </w:p>
  </w:footnote>
  <w:footnote w:id="904">
    <w:p>
      <w:pPr>
        <w:pStyle w:val="FootnoteText"/>
      </w:pPr>
      <w:r>
        <w:rPr>
          <w:rStyle w:val="FootnoteReference"/>
        </w:rPr>
        <w:footnoteRef/>
      </w:r>
      <w:r>
        <w:t xml:space="preserve"> </w:t>
      </w:r>
      <w:r>
        <w:t xml:space="preserve">Verified fact — A3-S013: PyPI JSON metadata: browserbase (Python Package Index (PyPI))</w:t>
      </w:r>
      <w:r>
        <w:t xml:space="preserve"> </w:t>
      </w:r>
      <w:hyperlink r:id="rId897">
        <w:r>
          <w:rPr>
            <w:rStyle w:val="Hyperlink"/>
          </w:rPr>
          <w:t xml:space="preserve">https://pypi.org/pypi/browserbase/json</w:t>
        </w:r>
      </w:hyperlink>
      <w:r>
        <w:t xml:space="preserve"> </w:t>
      </w:r>
      <w:r>
        <w:t xml:space="preserve">accessed 2026-10-07; A3-S054: GitHub repository metadata (stars, forks, created, archived) retrieved via GitHub MCP search_repositories tool, 7 Oct 2026</w:t>
      </w:r>
      <w:r>
        <w:t xml:space="preserve"> </w:t>
      </w:r>
      <w:hyperlink r:id="rId727">
        <w:r>
          <w:rPr>
            <w:rStyle w:val="Hyperlink"/>
          </w:rPr>
          <w:t xml:space="preserve">https://api.github.com/search/repositories</w:t>
        </w:r>
      </w:hyperlink>
      <w:r>
        <w:t xml:space="preserve"> </w:t>
      </w:r>
      <w:r>
        <w:t xml:space="preserve">accessed 2026-10-07 [search-tool extract]</w:t>
      </w:r>
    </w:p>
  </w:footnote>
  <w:footnote w:id="905">
    <w:p>
      <w:pPr>
        <w:pStyle w:val="FootnoteText"/>
      </w:pPr>
      <w:r>
        <w:rPr>
          <w:rStyle w:val="FootnoteReference"/>
        </w:rPr>
        <w:footnoteRef/>
      </w:r>
      <w:r>
        <w:t xml:space="preserve"> </w:t>
      </w:r>
      <w:r>
        <w:t xml:space="preserve">Verified fact — A3-S102: Browserbase Trust Center (and docs enterprise security / plans, pricing pages)</w:t>
      </w:r>
      <w:r>
        <w:t xml:space="preserve"> </w:t>
      </w:r>
      <w:hyperlink r:id="rId901">
        <w:r>
          <w:rPr>
            <w:rStyle w:val="Hyperlink"/>
          </w:rPr>
          <w:t xml:space="preserve">https://trust.browserbase.com/</w:t>
        </w:r>
      </w:hyperlink>
      <w:r>
        <w:t xml:space="preserve"> </w:t>
      </w:r>
      <w:r>
        <w:t xml:space="preserve">accessed 2026-10-07 [search-tool extract]</w:t>
      </w:r>
    </w:p>
  </w:footnote>
  <w:footnote w:id="906">
    <w:p>
      <w:pPr>
        <w:pStyle w:val="FootnoteText"/>
      </w:pPr>
      <w:r>
        <w:rPr>
          <w:rStyle w:val="FootnoteReference"/>
        </w:rPr>
        <w:footnoteRef/>
      </w:r>
      <w:r>
        <w:t xml:space="preserve"> </w:t>
      </w:r>
      <w:r>
        <w:t xml:space="preserve">Verified fact — A3-S013: PyPI JSON metadata: browserbase (Python Package Index (PyPI))</w:t>
      </w:r>
      <w:r>
        <w:t xml:space="preserve"> </w:t>
      </w:r>
      <w:hyperlink r:id="rId897">
        <w:r>
          <w:rPr>
            <w:rStyle w:val="Hyperlink"/>
          </w:rPr>
          <w:t xml:space="preserve">https://pypi.org/pypi/browserbase/json</w:t>
        </w:r>
      </w:hyperlink>
      <w:r>
        <w:t xml:space="preserve"> </w:t>
      </w:r>
      <w:r>
        <w:t xml:space="preserve">accessed 2026-10-07; A3-S068: Stagehand LICENSE (MIT, Browserbase Inc.) (Browserbase (GitHub))</w:t>
      </w:r>
      <w:r>
        <w:t xml:space="preserve"> </w:t>
      </w:r>
      <w:hyperlink r:id="rId907">
        <w:r>
          <w:rPr>
            <w:rStyle w:val="Hyperlink"/>
          </w:rPr>
          <w:t xml:space="preserve">https://raw.githubusercontent.com/browserbase/stagehand/main/LICENSE</w:t>
        </w:r>
      </w:hyperlink>
      <w:r>
        <w:t xml:space="preserve"> </w:t>
      </w:r>
      <w:r>
        <w:t xml:space="preserve">accessed 2026-10-07</w:t>
      </w:r>
    </w:p>
  </w:footnote>
  <w:footnote w:id="908">
    <w:p>
      <w:pPr>
        <w:pStyle w:val="FootnoteText"/>
      </w:pPr>
      <w:r>
        <w:rPr>
          <w:rStyle w:val="FootnoteReference"/>
        </w:rPr>
        <w:footnoteRef/>
      </w:r>
      <w:r>
        <w:t xml:space="preserve"> </w:t>
      </w:r>
      <w:r>
        <w:t xml:space="preserve">Verified fact — A3-S102: Browserbase Trust Center (and docs enterprise security / plans, pricing pages)</w:t>
      </w:r>
      <w:r>
        <w:t xml:space="preserve"> </w:t>
      </w:r>
      <w:hyperlink r:id="rId901">
        <w:r>
          <w:rPr>
            <w:rStyle w:val="Hyperlink"/>
          </w:rPr>
          <w:t xml:space="preserve">https://trust.browserbase.com/</w:t>
        </w:r>
      </w:hyperlink>
      <w:r>
        <w:t xml:space="preserve"> </w:t>
      </w:r>
      <w:r>
        <w:t xml:space="preserve">accessed 2026-10-07 [search-tool extract]</w:t>
      </w:r>
    </w:p>
  </w:footnote>
  <w:footnote w:id="909">
    <w:p>
      <w:pPr>
        <w:pStyle w:val="FootnoteText"/>
      </w:pPr>
      <w:r>
        <w:rPr>
          <w:rStyle w:val="FootnoteReference"/>
        </w:rPr>
        <w:footnoteRef/>
      </w:r>
      <w:r>
        <w:t xml:space="preserve"> </w:t>
      </w:r>
      <w:r>
        <w:t xml:space="preserve">Verified fact — B-L4-S004: Browserbase docs: SSO with SAML (and Enterprise security page)</w:t>
      </w:r>
      <w:r>
        <w:t xml:space="preserve"> </w:t>
      </w:r>
      <w:hyperlink r:id="rId899">
        <w:r>
          <w:rPr>
            <w:rStyle w:val="Hyperlink"/>
          </w:rPr>
          <w:t xml:space="preserve">https://docs.browserbase.com/account/team/sso</w:t>
        </w:r>
      </w:hyperlink>
      <w:r>
        <w:t xml:space="preserve"> </w:t>
      </w:r>
      <w:r>
        <w:t xml:space="preserve">accessed 2026-10-08 [search-tool extract]</w:t>
      </w:r>
    </w:p>
  </w:footnote>
  <w:footnote w:id="910">
    <w:p>
      <w:pPr>
        <w:pStyle w:val="FootnoteText"/>
      </w:pPr>
      <w:r>
        <w:rPr>
          <w:rStyle w:val="FootnoteReference"/>
        </w:rPr>
        <w:footnoteRef/>
      </w:r>
      <w:r>
        <w:t xml:space="preserve"> </w:t>
      </w:r>
      <w:r>
        <w:t xml:space="preserve">Verified fact — A3-S013: PyPI JSON metadata: browserbase (Python Package Index (PyPI))</w:t>
      </w:r>
      <w:r>
        <w:t xml:space="preserve"> </w:t>
      </w:r>
      <w:hyperlink r:id="rId897">
        <w:r>
          <w:rPr>
            <w:rStyle w:val="Hyperlink"/>
          </w:rPr>
          <w:t xml:space="preserve">https://pypi.org/pypi/browserbase/json</w:t>
        </w:r>
      </w:hyperlink>
      <w:r>
        <w:t xml:space="preserve"> </w:t>
      </w:r>
      <w:r>
        <w:t xml:space="preserve">accessed 2026-10-07; A3-S068: Stagehand LICENSE (MIT, Browserbase Inc.) (Browserbase (GitHub))</w:t>
      </w:r>
      <w:r>
        <w:t xml:space="preserve"> </w:t>
      </w:r>
      <w:hyperlink r:id="rId907">
        <w:r>
          <w:rPr>
            <w:rStyle w:val="Hyperlink"/>
          </w:rPr>
          <w:t xml:space="preserve">https://raw.githubusercontent.com/browserbase/stagehand/main/LICENSE</w:t>
        </w:r>
      </w:hyperlink>
      <w:r>
        <w:t xml:space="preserve"> </w:t>
      </w:r>
      <w:r>
        <w:t xml:space="preserve">accessed 2026-10-07</w:t>
      </w:r>
    </w:p>
  </w:footnote>
  <w:footnote w:id="911">
    <w:p>
      <w:pPr>
        <w:pStyle w:val="FootnoteText"/>
      </w:pPr>
      <w:r>
        <w:rPr>
          <w:rStyle w:val="FootnoteReference"/>
        </w:rPr>
        <w:footnoteRef/>
      </w:r>
      <w:r>
        <w:t xml:space="preserve"> </w:t>
      </w:r>
      <w:r>
        <w:t xml:space="preserve">Verified fact — A3-S054: GitHub repository metadata (stars, forks, created, archived) retrieved via GitHub MCP search_repositories tool, 7 Oct 2026</w:t>
      </w:r>
      <w:r>
        <w:t xml:space="preserve"> </w:t>
      </w:r>
      <w:hyperlink r:id="rId727">
        <w:r>
          <w:rPr>
            <w:rStyle w:val="Hyperlink"/>
          </w:rPr>
          <w:t xml:space="preserve">https://api.github.com/search/repositories</w:t>
        </w:r>
      </w:hyperlink>
      <w:r>
        <w:t xml:space="preserve"> </w:t>
      </w:r>
      <w:r>
        <w:t xml:space="preserve">accessed 2026-10-07 [search-tool extract]; V1-S081: GitHub repository metadata (archive flags) for 8 repos (GitHub (via GitHub MCP search_repositories))</w:t>
      </w:r>
      <w:r>
        <w:t xml:space="preserve"> </w:t>
      </w:r>
      <w:hyperlink r:id="rId727">
        <w:r>
          <w:rPr>
            <w:rStyle w:val="Hyperlink"/>
          </w:rPr>
          <w:t xml:space="preserve">https://api.github.com/search/repositories</w:t>
        </w:r>
      </w:hyperlink>
      <w:r>
        <w:t xml:space="preserve"> </w:t>
      </w:r>
      <w:r>
        <w:t xml:space="preserve">accessed 2026-10-08 [search-tool extract]</w:t>
      </w:r>
    </w:p>
  </w:footnote>
  <w:footnote w:id="912">
    <w:p>
      <w:pPr>
        <w:pStyle w:val="FootnoteText"/>
      </w:pPr>
      <w:r>
        <w:rPr>
          <w:rStyle w:val="FootnoteReference"/>
        </w:rPr>
        <w:footnoteRef/>
      </w:r>
      <w:r>
        <w:t xml:space="preserve"> </w:t>
      </w:r>
      <w:r>
        <w:t xml:space="preserve">Verified fact — B-L4-S004: Browserbase docs: SSO with SAML (and Enterprise security page)</w:t>
      </w:r>
      <w:r>
        <w:t xml:space="preserve"> </w:t>
      </w:r>
      <w:hyperlink r:id="rId899">
        <w:r>
          <w:rPr>
            <w:rStyle w:val="Hyperlink"/>
          </w:rPr>
          <w:t xml:space="preserve">https://docs.browserbase.com/account/team/sso</w:t>
        </w:r>
      </w:hyperlink>
      <w:r>
        <w:t xml:space="preserve"> </w:t>
      </w:r>
      <w:r>
        <w:t xml:space="preserve">accessed 2026-10-08 [search-tool extract]</w:t>
      </w:r>
    </w:p>
  </w:footnote>
  <w:footnote w:id="914">
    <w:p>
      <w:pPr>
        <w:pStyle w:val="FootnoteText"/>
      </w:pPr>
      <w:r>
        <w:rPr>
          <w:rStyle w:val="FootnoteReference"/>
        </w:rPr>
        <w:footnoteRef/>
      </w:r>
      <w:r>
        <w:t xml:space="preserve"> </w:t>
      </w:r>
      <w:r>
        <w:t xml:space="preserve">Verified fact — A3-S062: E2B Runtime README (e2b-dev/infra) (E2B (GitHub))</w:t>
      </w:r>
      <w:r>
        <w:t xml:space="preserve"> </w:t>
      </w:r>
      <w:hyperlink r:id="rId915">
        <w:r>
          <w:rPr>
            <w:rStyle w:val="Hyperlink"/>
          </w:rPr>
          <w:t xml:space="preserve">https://raw.githubusercontent.com/e2b-dev/infra/main/README.md</w:t>
        </w:r>
      </w:hyperlink>
      <w:r>
        <w:t xml:space="preserve"> </w:t>
      </w:r>
      <w:r>
        <w:t xml:space="preserve">accessed 2026-10-07</w:t>
      </w:r>
    </w:p>
  </w:footnote>
  <w:footnote w:id="916">
    <w:p>
      <w:pPr>
        <w:pStyle w:val="FootnoteText"/>
      </w:pPr>
      <w:r>
        <w:rPr>
          <w:rStyle w:val="FootnoteReference"/>
        </w:rPr>
        <w:footnoteRef/>
      </w:r>
      <w:r>
        <w:t xml:space="preserve"> </w:t>
      </w:r>
      <w:r>
        <w:t xml:space="preserve">Verified fact — B-L4-S003: E2B docs: lifecycle events API (and Enterprise page and changelog per search summary)</w:t>
      </w:r>
      <w:r>
        <w:t xml:space="preserve"> </w:t>
      </w:r>
      <w:hyperlink r:id="rId917">
        <w:r>
          <w:rPr>
            <w:rStyle w:val="Hyperlink"/>
          </w:rPr>
          <w:t xml:space="preserve">https://docs.e2b.dev/sandbox/lifecycle-events-api</w:t>
        </w:r>
      </w:hyperlink>
      <w:r>
        <w:t xml:space="preserve"> </w:t>
      </w:r>
      <w:r>
        <w:t xml:space="preserve">accessed 2026-10-08 [search-tool extract]</w:t>
      </w:r>
    </w:p>
  </w:footnote>
  <w:footnote w:id="918">
    <w:p>
      <w:pPr>
        <w:pStyle w:val="FootnoteText"/>
      </w:pPr>
      <w:r>
        <w:rPr>
          <w:rStyle w:val="FootnoteReference"/>
        </w:rPr>
        <w:footnoteRef/>
      </w:r>
      <w:r>
        <w:t xml:space="preserve"> </w:t>
      </w:r>
      <w:r>
        <w:t xml:space="preserve">Verified fact — A3-S104: E2B Security (and e2b.dev/enterprise, pricing, docs BYOC)</w:t>
      </w:r>
      <w:r>
        <w:t xml:space="preserve"> </w:t>
      </w:r>
      <w:hyperlink r:id="rId919">
        <w:r>
          <w:rPr>
            <w:rStyle w:val="Hyperlink"/>
          </w:rPr>
          <w:t xml:space="preserve">https://e2b.dev/security</w:t>
        </w:r>
      </w:hyperlink>
      <w:r>
        <w:t xml:space="preserve"> </w:t>
      </w:r>
      <w:r>
        <w:t xml:space="preserve">accessed 2026-10-07 [search-tool extract]; A3-S120: E2B Enterprise (and docs: regions, BYOC; trust.e2b.dev controls)</w:t>
      </w:r>
      <w:r>
        <w:t xml:space="preserve"> </w:t>
      </w:r>
      <w:hyperlink r:id="rId920">
        <w:r>
          <w:rPr>
            <w:rStyle w:val="Hyperlink"/>
          </w:rPr>
          <w:t xml:space="preserve">https://e2b.dev/enterprise</w:t>
        </w:r>
      </w:hyperlink>
      <w:r>
        <w:t xml:space="preserve"> </w:t>
      </w:r>
      <w:r>
        <w:t xml:space="preserve">accessed 2026-10-07 [search-tool extract]</w:t>
      </w:r>
    </w:p>
  </w:footnote>
  <w:footnote w:id="921">
    <w:p>
      <w:pPr>
        <w:pStyle w:val="FootnoteText"/>
      </w:pPr>
      <w:r>
        <w:rPr>
          <w:rStyle w:val="FootnoteReference"/>
        </w:rPr>
        <w:footnoteRef/>
      </w:r>
      <w:r>
        <w:t xml:space="preserve"> </w:t>
      </w:r>
      <w:r>
        <w:t xml:space="preserve">Verified fact — A3-S120: E2B Enterprise (and docs: regions, BYOC; trust.e2b.dev controls)</w:t>
      </w:r>
      <w:r>
        <w:t xml:space="preserve"> </w:t>
      </w:r>
      <w:hyperlink r:id="rId920">
        <w:r>
          <w:rPr>
            <w:rStyle w:val="Hyperlink"/>
          </w:rPr>
          <w:t xml:space="preserve">https://e2b.dev/enterprise</w:t>
        </w:r>
      </w:hyperlink>
      <w:r>
        <w:t xml:space="preserve"> </w:t>
      </w:r>
      <w:r>
        <w:t xml:space="preserve">accessed 2026-10-07 [search-tool extract]; A3-S062: E2B Runtime README (e2b-dev/infra) (E2B (GitHub))</w:t>
      </w:r>
      <w:r>
        <w:t xml:space="preserve"> </w:t>
      </w:r>
      <w:hyperlink r:id="rId915">
        <w:r>
          <w:rPr>
            <w:rStyle w:val="Hyperlink"/>
          </w:rPr>
          <w:t xml:space="preserve">https://raw.githubusercontent.com/e2b-dev/infra/main/README.md</w:t>
        </w:r>
      </w:hyperlink>
      <w:r>
        <w:t xml:space="preserve"> </w:t>
      </w:r>
      <w:r>
        <w:t xml:space="preserve">accessed 2026-10-07</w:t>
      </w:r>
    </w:p>
  </w:footnote>
  <w:footnote w:id="922">
    <w:p>
      <w:pPr>
        <w:pStyle w:val="FootnoteText"/>
      </w:pPr>
      <w:r>
        <w:rPr>
          <w:rStyle w:val="FootnoteReference"/>
        </w:rPr>
        <w:footnoteRef/>
      </w:r>
      <w:r>
        <w:t xml:space="preserve"> </w:t>
      </w:r>
      <w:r>
        <w:t xml:space="preserve">Verified fact — A3-S062: E2B Runtime README (e2b-dev/infra) (E2B (GitHub))</w:t>
      </w:r>
      <w:r>
        <w:t xml:space="preserve"> </w:t>
      </w:r>
      <w:hyperlink r:id="rId915">
        <w:r>
          <w:rPr>
            <w:rStyle w:val="Hyperlink"/>
          </w:rPr>
          <w:t xml:space="preserve">https://raw.githubusercontent.com/e2b-dev/infra/main/README.md</w:t>
        </w:r>
      </w:hyperlink>
      <w:r>
        <w:t xml:space="preserve"> </w:t>
      </w:r>
      <w:r>
        <w:t xml:space="preserve">accessed 2026-10-07; A3-S054: GitHub repository metadata (stars, forks, created, archived) retrieved via GitHub MCP search_repositories tool, 7 Oct 2026</w:t>
      </w:r>
      <w:r>
        <w:t xml:space="preserve"> </w:t>
      </w:r>
      <w:hyperlink r:id="rId727">
        <w:r>
          <w:rPr>
            <w:rStyle w:val="Hyperlink"/>
          </w:rPr>
          <w:t xml:space="preserve">https://api.github.com/search/repositories</w:t>
        </w:r>
      </w:hyperlink>
      <w:r>
        <w:t xml:space="preserve"> </w:t>
      </w:r>
      <w:r>
        <w:t xml:space="preserve">accessed 2026-10-07 [search-tool extract]</w:t>
      </w:r>
    </w:p>
  </w:footnote>
  <w:footnote w:id="923">
    <w:p>
      <w:pPr>
        <w:pStyle w:val="FootnoteText"/>
      </w:pPr>
      <w:r>
        <w:rPr>
          <w:rStyle w:val="FootnoteReference"/>
        </w:rPr>
        <w:footnoteRef/>
      </w:r>
      <w:r>
        <w:t xml:space="preserve"> </w:t>
      </w:r>
      <w:r>
        <w:t xml:space="preserve">Verified fact — A3-S007: PyPI JSON metadata: e2b (Python Package Index (PyPI))</w:t>
      </w:r>
      <w:r>
        <w:t xml:space="preserve"> </w:t>
      </w:r>
      <w:hyperlink r:id="rId924">
        <w:r>
          <w:rPr>
            <w:rStyle w:val="Hyperlink"/>
          </w:rPr>
          <w:t xml:space="preserve">https://pypi.org/pypi/e2b/json</w:t>
        </w:r>
      </w:hyperlink>
      <w:r>
        <w:t xml:space="preserve"> </w:t>
      </w:r>
      <w:r>
        <w:t xml:space="preserve">accessed 2026-10-07; A3-S105: We Raised $21M to Give Fortune 100 Cloud for AI Agents (Jul 2025) (E2B)</w:t>
      </w:r>
      <w:r>
        <w:t xml:space="preserve"> </w:t>
      </w:r>
      <w:hyperlink r:id="rId925">
        <w:r>
          <w:rPr>
            <w:rStyle w:val="Hyperlink"/>
          </w:rPr>
          <w:t xml:space="preserve">https://e2b.dev/blog/series-a</w:t>
        </w:r>
      </w:hyperlink>
      <w:r>
        <w:t xml:space="preserve"> </w:t>
      </w:r>
      <w:r>
        <w:t xml:space="preserve">accessed 2026-10-07 [search-tool extract]</w:t>
      </w:r>
    </w:p>
  </w:footnote>
  <w:footnote w:id="926">
    <w:p>
      <w:pPr>
        <w:pStyle w:val="FootnoteText"/>
      </w:pPr>
      <w:r>
        <w:rPr>
          <w:rStyle w:val="FootnoteReference"/>
        </w:rPr>
        <w:footnoteRef/>
      </w:r>
      <w:r>
        <w:t xml:space="preserve"> </w:t>
      </w:r>
      <w:r>
        <w:t xml:space="preserve">Verified fact — A3-S104: E2B Security (and e2b.dev/enterprise, pricing, docs BYOC)</w:t>
      </w:r>
      <w:r>
        <w:t xml:space="preserve"> </w:t>
      </w:r>
      <w:hyperlink r:id="rId919">
        <w:r>
          <w:rPr>
            <w:rStyle w:val="Hyperlink"/>
          </w:rPr>
          <w:t xml:space="preserve">https://e2b.dev/security</w:t>
        </w:r>
      </w:hyperlink>
      <w:r>
        <w:t xml:space="preserve"> </w:t>
      </w:r>
      <w:r>
        <w:t xml:space="preserve">accessed 2026-10-07 [search-tool extract]; A3-S062: E2B Runtime README (e2b-dev/infra) (E2B (GitHub))</w:t>
      </w:r>
      <w:r>
        <w:t xml:space="preserve"> </w:t>
      </w:r>
      <w:hyperlink r:id="rId915">
        <w:r>
          <w:rPr>
            <w:rStyle w:val="Hyperlink"/>
          </w:rPr>
          <w:t xml:space="preserve">https://raw.githubusercontent.com/e2b-dev/infra/main/README.md</w:t>
        </w:r>
      </w:hyperlink>
      <w:r>
        <w:t xml:space="preserve"> </w:t>
      </w:r>
      <w:r>
        <w:t xml:space="preserve">accessed 2026-10-07</w:t>
      </w:r>
    </w:p>
  </w:footnote>
  <w:footnote w:id="927">
    <w:p>
      <w:pPr>
        <w:pStyle w:val="FootnoteText"/>
      </w:pPr>
      <w:r>
        <w:rPr>
          <w:rStyle w:val="FootnoteReference"/>
        </w:rPr>
        <w:footnoteRef/>
      </w:r>
      <w:r>
        <w:t xml:space="preserve"> </w:t>
      </w:r>
      <w:r>
        <w:t xml:space="preserve">Verified fact — A3-S062: E2B Runtime README (e2b-dev/infra) (E2B (GitHub))</w:t>
      </w:r>
      <w:r>
        <w:t xml:space="preserve"> </w:t>
      </w:r>
      <w:hyperlink r:id="rId915">
        <w:r>
          <w:rPr>
            <w:rStyle w:val="Hyperlink"/>
          </w:rPr>
          <w:t xml:space="preserve">https://raw.githubusercontent.com/e2b-dev/infra/main/README.md</w:t>
        </w:r>
      </w:hyperlink>
      <w:r>
        <w:t xml:space="preserve"> </w:t>
      </w:r>
      <w:r>
        <w:t xml:space="preserve">accessed 2026-10-07</w:t>
      </w:r>
    </w:p>
  </w:footnote>
  <w:footnote w:id="928">
    <w:p>
      <w:pPr>
        <w:pStyle w:val="FootnoteText"/>
      </w:pPr>
      <w:r>
        <w:rPr>
          <w:rStyle w:val="FootnoteReference"/>
        </w:rPr>
        <w:footnoteRef/>
      </w:r>
      <w:r>
        <w:t xml:space="preserve"> </w:t>
      </w:r>
      <w:r>
        <w:t xml:space="preserve">Verified fact — A3-S062: E2B Runtime README (e2b-dev/infra) (E2B (GitHub))</w:t>
      </w:r>
      <w:r>
        <w:t xml:space="preserve"> </w:t>
      </w:r>
      <w:hyperlink r:id="rId915">
        <w:r>
          <w:rPr>
            <w:rStyle w:val="Hyperlink"/>
          </w:rPr>
          <w:t xml:space="preserve">https://raw.githubusercontent.com/e2b-dev/infra/main/README.md</w:t>
        </w:r>
      </w:hyperlink>
      <w:r>
        <w:t xml:space="preserve"> </w:t>
      </w:r>
      <w:r>
        <w:t xml:space="preserve">accessed 2026-10-07; A3-S007: PyPI JSON metadata: e2b (Python Package Index (PyPI))</w:t>
      </w:r>
      <w:r>
        <w:t xml:space="preserve"> </w:t>
      </w:r>
      <w:hyperlink r:id="rId924">
        <w:r>
          <w:rPr>
            <w:rStyle w:val="Hyperlink"/>
          </w:rPr>
          <w:t xml:space="preserve">https://pypi.org/pypi/e2b/json</w:t>
        </w:r>
      </w:hyperlink>
      <w:r>
        <w:t xml:space="preserve"> </w:t>
      </w:r>
      <w:r>
        <w:t xml:space="preserve">accessed 2026-10-07; A3-S120: E2B Enterprise (and docs: regions, BYOC; trust.e2b.dev controls)</w:t>
      </w:r>
      <w:r>
        <w:t xml:space="preserve"> </w:t>
      </w:r>
      <w:hyperlink r:id="rId920">
        <w:r>
          <w:rPr>
            <w:rStyle w:val="Hyperlink"/>
          </w:rPr>
          <w:t xml:space="preserve">https://e2b.dev/enterprise</w:t>
        </w:r>
      </w:hyperlink>
      <w:r>
        <w:t xml:space="preserve"> </w:t>
      </w:r>
      <w:r>
        <w:t xml:space="preserve">accessed 2026-10-07 [search-tool extract]</w:t>
      </w:r>
    </w:p>
  </w:footnote>
  <w:footnote w:id="929">
    <w:p>
      <w:pPr>
        <w:pStyle w:val="FootnoteText"/>
      </w:pPr>
      <w:r>
        <w:rPr>
          <w:rStyle w:val="FootnoteReference"/>
        </w:rPr>
        <w:footnoteRef/>
      </w:r>
      <w:r>
        <w:t xml:space="preserve"> </w:t>
      </w:r>
      <w:r>
        <w:t xml:space="preserve">Verified fact — A3-S062: E2B Runtime README (e2b-dev/infra) (E2B (GitHub))</w:t>
      </w:r>
      <w:r>
        <w:t xml:space="preserve"> </w:t>
      </w:r>
      <w:hyperlink r:id="rId915">
        <w:r>
          <w:rPr>
            <w:rStyle w:val="Hyperlink"/>
          </w:rPr>
          <w:t xml:space="preserve">https://raw.githubusercontent.com/e2b-dev/infra/main/README.md</w:t>
        </w:r>
      </w:hyperlink>
      <w:r>
        <w:t xml:space="preserve"> </w:t>
      </w:r>
      <w:r>
        <w:t xml:space="preserve">accessed 2026-10-07</w:t>
      </w:r>
    </w:p>
  </w:footnote>
  <w:footnote w:id="930">
    <w:p>
      <w:pPr>
        <w:pStyle w:val="FootnoteText"/>
      </w:pPr>
      <w:r>
        <w:rPr>
          <w:rStyle w:val="FootnoteReference"/>
        </w:rPr>
        <w:footnoteRef/>
      </w:r>
      <w:r>
        <w:t xml:space="preserve"> </w:t>
      </w:r>
      <w:r>
        <w:t xml:space="preserve">Verified fact — A3-S062: E2B Runtime README (e2b-dev/infra) (E2B (GitHub))</w:t>
      </w:r>
      <w:r>
        <w:t xml:space="preserve"> </w:t>
      </w:r>
      <w:hyperlink r:id="rId915">
        <w:r>
          <w:rPr>
            <w:rStyle w:val="Hyperlink"/>
          </w:rPr>
          <w:t xml:space="preserve">https://raw.githubusercontent.com/e2b-dev/infra/main/README.md</w:t>
        </w:r>
      </w:hyperlink>
      <w:r>
        <w:t xml:space="preserve"> </w:t>
      </w:r>
      <w:r>
        <w:t xml:space="preserve">accessed 2026-10-07</w:t>
      </w:r>
    </w:p>
  </w:footnote>
  <w:footnote w:id="931">
    <w:p>
      <w:pPr>
        <w:pStyle w:val="FootnoteText"/>
      </w:pPr>
      <w:r>
        <w:rPr>
          <w:rStyle w:val="FootnoteReference"/>
        </w:rPr>
        <w:footnoteRef/>
      </w:r>
      <w:r>
        <w:t xml:space="preserve"> </w:t>
      </w:r>
      <w:r>
        <w:t xml:space="preserve">Verified fact — A3-S120: E2B Enterprise (and docs: regions, BYOC; trust.e2b.dev controls)</w:t>
      </w:r>
      <w:r>
        <w:t xml:space="preserve"> </w:t>
      </w:r>
      <w:hyperlink r:id="rId920">
        <w:r>
          <w:rPr>
            <w:rStyle w:val="Hyperlink"/>
          </w:rPr>
          <w:t xml:space="preserve">https://e2b.dev/enterprise</w:t>
        </w:r>
      </w:hyperlink>
      <w:r>
        <w:t xml:space="preserve"> </w:t>
      </w:r>
      <w:r>
        <w:t xml:space="preserve">accessed 2026-10-07 [search-tool extract]; A3-S104: E2B Security (and e2b.dev/enterprise, pricing, docs BYOC)</w:t>
      </w:r>
      <w:r>
        <w:t xml:space="preserve"> </w:t>
      </w:r>
      <w:hyperlink r:id="rId919">
        <w:r>
          <w:rPr>
            <w:rStyle w:val="Hyperlink"/>
          </w:rPr>
          <w:t xml:space="preserve">https://e2b.dev/security</w:t>
        </w:r>
      </w:hyperlink>
      <w:r>
        <w:t xml:space="preserve"> </w:t>
      </w:r>
      <w:r>
        <w:t xml:space="preserve">accessed 2026-10-07 [search-tool extract]</w:t>
      </w:r>
    </w:p>
  </w:footnote>
  <w:footnote w:id="932">
    <w:p>
      <w:pPr>
        <w:pStyle w:val="FootnoteText"/>
      </w:pPr>
      <w:r>
        <w:rPr>
          <w:rStyle w:val="FootnoteReference"/>
        </w:rPr>
        <w:footnoteRef/>
      </w:r>
      <w:r>
        <w:t xml:space="preserve"> </w:t>
      </w:r>
      <w:r>
        <w:t xml:space="preserve">Verified fact — B-L4-S003: E2B docs: lifecycle events API (and Enterprise page and changelog per search summary)</w:t>
      </w:r>
      <w:r>
        <w:t xml:space="preserve"> </w:t>
      </w:r>
      <w:hyperlink r:id="rId917">
        <w:r>
          <w:rPr>
            <w:rStyle w:val="Hyperlink"/>
          </w:rPr>
          <w:t xml:space="preserve">https://docs.e2b.dev/sandbox/lifecycle-events-api</w:t>
        </w:r>
      </w:hyperlink>
      <w:r>
        <w:t xml:space="preserve"> </w:t>
      </w:r>
      <w:r>
        <w:t xml:space="preserve">accessed 2026-10-08 [search-tool extract]</w:t>
      </w:r>
    </w:p>
  </w:footnote>
  <w:footnote w:id="933">
    <w:p>
      <w:pPr>
        <w:pStyle w:val="FootnoteText"/>
      </w:pPr>
      <w:r>
        <w:rPr>
          <w:rStyle w:val="FootnoteReference"/>
        </w:rPr>
        <w:footnoteRef/>
      </w:r>
      <w:r>
        <w:t xml:space="preserve"> </w:t>
      </w:r>
      <w:r>
        <w:t xml:space="preserve">Verified fact — A3-S062: E2B Runtime README (e2b-dev/infra) (E2B (GitHub))</w:t>
      </w:r>
      <w:r>
        <w:t xml:space="preserve"> </w:t>
      </w:r>
      <w:hyperlink r:id="rId915">
        <w:r>
          <w:rPr>
            <w:rStyle w:val="Hyperlink"/>
          </w:rPr>
          <w:t xml:space="preserve">https://raw.githubusercontent.com/e2b-dev/infra/main/README.md</w:t>
        </w:r>
      </w:hyperlink>
      <w:r>
        <w:t xml:space="preserve"> </w:t>
      </w:r>
      <w:r>
        <w:t xml:space="preserve">accessed 2026-10-07</w:t>
      </w:r>
    </w:p>
  </w:footnote>
  <w:footnote w:id="934">
    <w:p>
      <w:pPr>
        <w:pStyle w:val="FootnoteText"/>
      </w:pPr>
      <w:r>
        <w:rPr>
          <w:rStyle w:val="FootnoteReference"/>
        </w:rPr>
        <w:footnoteRef/>
      </w:r>
      <w:r>
        <w:t xml:space="preserve"> </w:t>
      </w:r>
      <w:r>
        <w:t xml:space="preserve">Verified fact — A3-S104: E2B Security (and e2b.dev/enterprise, pricing, docs BYOC)</w:t>
      </w:r>
      <w:r>
        <w:t xml:space="preserve"> </w:t>
      </w:r>
      <w:hyperlink r:id="rId919">
        <w:r>
          <w:rPr>
            <w:rStyle w:val="Hyperlink"/>
          </w:rPr>
          <w:t xml:space="preserve">https://e2b.dev/security</w:t>
        </w:r>
      </w:hyperlink>
      <w:r>
        <w:t xml:space="preserve"> </w:t>
      </w:r>
      <w:r>
        <w:t xml:space="preserve">accessed 2026-10-07 [search-tool extract]; V1-S096: E2B Security; Enterprise; BYOC docs</w:t>
      </w:r>
      <w:r>
        <w:t xml:space="preserve"> </w:t>
      </w:r>
      <w:hyperlink r:id="rId919">
        <w:r>
          <w:rPr>
            <w:rStyle w:val="Hyperlink"/>
          </w:rPr>
          <w:t xml:space="preserve">https://e2b.dev/security</w:t>
        </w:r>
      </w:hyperlink>
      <w:r>
        <w:t xml:space="preserve"> </w:t>
      </w:r>
      <w:r>
        <w:t xml:space="preserve">accessed 2026-10-08 [search-tool extract]</w:t>
      </w:r>
    </w:p>
  </w:footnote>
  <w:footnote w:id="935">
    <w:p>
      <w:pPr>
        <w:pStyle w:val="FootnoteText"/>
      </w:pPr>
      <w:r>
        <w:rPr>
          <w:rStyle w:val="FootnoteReference"/>
        </w:rPr>
        <w:footnoteRef/>
      </w:r>
      <w:r>
        <w:t xml:space="preserve"> </w:t>
      </w:r>
      <w:r>
        <w:t xml:space="preserve">Verified fact — A3-S104: E2B Security (and e2b.dev/enterprise, pricing, docs BYOC)</w:t>
      </w:r>
      <w:r>
        <w:t xml:space="preserve"> </w:t>
      </w:r>
      <w:hyperlink r:id="rId919">
        <w:r>
          <w:rPr>
            <w:rStyle w:val="Hyperlink"/>
          </w:rPr>
          <w:t xml:space="preserve">https://e2b.dev/security</w:t>
        </w:r>
      </w:hyperlink>
      <w:r>
        <w:t xml:space="preserve"> </w:t>
      </w:r>
      <w:r>
        <w:t xml:space="preserve">accessed 2026-10-07 [search-tool extract]</w:t>
      </w:r>
    </w:p>
  </w:footnote>
  <w:footnote w:id="937">
    <w:p>
      <w:pPr>
        <w:pStyle w:val="FootnoteText"/>
      </w:pPr>
      <w:r>
        <w:rPr>
          <w:rStyle w:val="FootnoteReference"/>
        </w:rPr>
        <w:footnoteRef/>
      </w:r>
      <w:r>
        <w:t xml:space="preserve"> </w:t>
      </w:r>
      <w:r>
        <w:t xml:space="preserve">Verified fact — A3-S029: Skills for organizations, partners, the ecosystem (18 Dec 2025) (Anthropic)</w:t>
      </w:r>
      <w:r>
        <w:t xml:space="preserve"> </w:t>
      </w:r>
      <w:hyperlink r:id="rId938">
        <w:r>
          <w:rPr>
            <w:rStyle w:val="Hyperlink"/>
          </w:rPr>
          <w:t xml:space="preserve">https://claude.com/blog/organization-skills-and-directory</w:t>
        </w:r>
      </w:hyperlink>
      <w:r>
        <w:t xml:space="preserve"> </w:t>
      </w:r>
      <w:r>
        <w:t xml:space="preserve">accessed 2026-10-07</w:t>
      </w:r>
    </w:p>
  </w:footnote>
  <w:footnote w:id="939">
    <w:p>
      <w:pPr>
        <w:pStyle w:val="FootnoteText"/>
      </w:pPr>
      <w:r>
        <w:rPr>
          <w:rStyle w:val="FootnoteReference"/>
        </w:rPr>
        <w:footnoteRef/>
      </w:r>
      <w:r>
        <w:t xml:space="preserve"> </w:t>
      </w:r>
      <w:r>
        <w:t xml:space="preserve">Verified fact — A3-S037: Agent Skills Specification (Agent Skills project (agentskills.io))</w:t>
      </w:r>
      <w:r>
        <w:t xml:space="preserve"> </w:t>
      </w:r>
      <w:hyperlink r:id="rId940">
        <w:r>
          <w:rPr>
            <w:rStyle w:val="Hyperlink"/>
          </w:rPr>
          <w:t xml:space="preserve">https://agentskills.io/specification</w:t>
        </w:r>
      </w:hyperlink>
      <w:r>
        <w:t xml:space="preserve"> </w:t>
      </w:r>
      <w:r>
        <w:t xml:space="preserve">accessed 2026-10-07 [search-tool extract]; A3-S072: Equipping agents for the real world with Agent Skills (Anthropic)</w:t>
      </w:r>
      <w:r>
        <w:t xml:space="preserve"> </w:t>
      </w:r>
      <w:hyperlink r:id="rId941">
        <w:r>
          <w:rPr>
            <w:rStyle w:val="Hyperlink"/>
          </w:rPr>
          <w:t xml:space="preserve">https://www.anthropic.com/engineering/equipping-agents-for-the-real-world-with-agent-skills</w:t>
        </w:r>
      </w:hyperlink>
      <w:r>
        <w:t xml:space="preserve"> </w:t>
      </w:r>
      <w:r>
        <w:t xml:space="preserve">accessed 2026-10-07</w:t>
      </w:r>
    </w:p>
  </w:footnote>
  <w:footnote w:id="942">
    <w:p>
      <w:pPr>
        <w:pStyle w:val="FootnoteText"/>
      </w:pPr>
      <w:r>
        <w:rPr>
          <w:rStyle w:val="FootnoteReference"/>
        </w:rPr>
        <w:footnoteRef/>
      </w:r>
      <w:r>
        <w:t xml:space="preserve"> </w:t>
      </w:r>
      <w:r>
        <w:t xml:space="preserve">Verified fact — A3-S061: agentskills/agentskills README (Agent Skills project (GitHub))</w:t>
      </w:r>
      <w:r>
        <w:t xml:space="preserve"> </w:t>
      </w:r>
      <w:hyperlink r:id="rId943">
        <w:r>
          <w:rPr>
            <w:rStyle w:val="Hyperlink"/>
          </w:rPr>
          <w:t xml:space="preserve">https://raw.githubusercontent.com/agentskills/agentskills/main/README.md</w:t>
        </w:r>
      </w:hyperlink>
      <w:r>
        <w:t xml:space="preserve"> </w:t>
      </w:r>
      <w:r>
        <w:t xml:space="preserve">accessed 2026-10-07</w:t>
      </w:r>
    </w:p>
  </w:footnote>
  <w:footnote w:id="944">
    <w:p>
      <w:pPr>
        <w:pStyle w:val="FootnoteText"/>
      </w:pPr>
      <w:r>
        <w:rPr>
          <w:rStyle w:val="FootnoteReference"/>
        </w:rPr>
        <w:footnoteRef/>
      </w:r>
      <w:r>
        <w:t xml:space="preserve"> </w:t>
      </w:r>
      <w:r>
        <w:t xml:space="preserve">Verified fact — A3-S113: Agent Skills client showcase list (docs/snippets/clients.jsx) (Agent Skills project (GitHub))</w:t>
      </w:r>
      <w:r>
        <w:t xml:space="preserve"> </w:t>
      </w:r>
      <w:hyperlink r:id="rId945">
        <w:r>
          <w:rPr>
            <w:rStyle w:val="Hyperlink"/>
          </w:rPr>
          <w:t xml:space="preserve">https://raw.githubusercontent.com/agentskills/agentskills/main/docs/snippets/clients.jsx</w:t>
        </w:r>
      </w:hyperlink>
      <w:r>
        <w:t xml:space="preserve"> </w:t>
      </w:r>
      <w:r>
        <w:t xml:space="preserve">accessed 2026-10-07</w:t>
      </w:r>
    </w:p>
  </w:footnote>
  <w:footnote w:id="946">
    <w:p>
      <w:pPr>
        <w:pStyle w:val="FootnoteText"/>
      </w:pPr>
      <w:r>
        <w:rPr>
          <w:rStyle w:val="FootnoteReference"/>
        </w:rPr>
        <w:footnoteRef/>
      </w:r>
      <w:r>
        <w:t xml:space="preserve"> </w:t>
      </w:r>
      <w:r>
        <w:t xml:space="preserve">Verified fact — A3-S029: Skills for organizations, partners, the ecosystem (18 Dec 2025) (Anthropic)</w:t>
      </w:r>
      <w:r>
        <w:t xml:space="preserve"> </w:t>
      </w:r>
      <w:hyperlink r:id="rId938">
        <w:r>
          <w:rPr>
            <w:rStyle w:val="Hyperlink"/>
          </w:rPr>
          <w:t xml:space="preserve">https://claude.com/blog/organization-skills-and-directory</w:t>
        </w:r>
      </w:hyperlink>
      <w:r>
        <w:t xml:space="preserve"> </w:t>
      </w:r>
      <w:r>
        <w:t xml:space="preserve">accessed 2026-10-07; A3-S115: (Project Proposal) Agent Skills (aaif/project-proposals issue #47) (Agentic AI Foundation (GitHub))</w:t>
      </w:r>
      <w:r>
        <w:t xml:space="preserve"> </w:t>
      </w:r>
      <w:hyperlink r:id="rId947">
        <w:r>
          <w:rPr>
            <w:rStyle w:val="Hyperlink"/>
          </w:rPr>
          <w:t xml:space="preserve">https://github.com/aaif/project-proposals/issues/47</w:t>
        </w:r>
      </w:hyperlink>
      <w:r>
        <w:t xml:space="preserve"> </w:t>
      </w:r>
      <w:r>
        <w:t xml:space="preserve">accessed 2026-10-07 [search-tool extract]</w:t>
      </w:r>
    </w:p>
  </w:footnote>
  <w:footnote w:id="948">
    <w:p>
      <w:pPr>
        <w:pStyle w:val="FootnoteText"/>
      </w:pPr>
      <w:r>
        <w:rPr>
          <w:rStyle w:val="FootnoteReference"/>
        </w:rPr>
        <w:footnoteRef/>
      </w:r>
      <w:r>
        <w:t xml:space="preserve"> </w:t>
      </w:r>
      <w:r>
        <w:t xml:space="preserve">Verified fact — A3-S061: agentskills/agentskills README (Agent Skills project (GitHub))</w:t>
      </w:r>
      <w:r>
        <w:t xml:space="preserve"> </w:t>
      </w:r>
      <w:hyperlink r:id="rId943">
        <w:r>
          <w:rPr>
            <w:rStyle w:val="Hyperlink"/>
          </w:rPr>
          <w:t xml:space="preserve">https://raw.githubusercontent.com/agentskills/agentskills/main/README.md</w:t>
        </w:r>
      </w:hyperlink>
      <w:r>
        <w:t xml:space="preserve"> </w:t>
      </w:r>
      <w:r>
        <w:t xml:space="preserve">accessed 2026-10-07</w:t>
      </w:r>
    </w:p>
  </w:footnote>
  <w:footnote w:id="949">
    <w:p>
      <w:pPr>
        <w:pStyle w:val="FootnoteText"/>
      </w:pPr>
      <w:r>
        <w:rPr>
          <w:rStyle w:val="FootnoteReference"/>
        </w:rPr>
        <w:footnoteRef/>
      </w:r>
      <w:r>
        <w:t xml:space="preserve"> </w:t>
      </w:r>
      <w:r>
        <w:t xml:space="preserve">Verified fact — V1-S046: Skills Over MCP (AAIF blog); Agent Plugins 1.0 post; agentskills.io specification (Agentic AI Foundation / agentskills.io)</w:t>
      </w:r>
      <w:r>
        <w:t xml:space="preserve"> </w:t>
      </w:r>
      <w:hyperlink r:id="rId950">
        <w:r>
          <w:rPr>
            <w:rStyle w:val="Hyperlink"/>
          </w:rPr>
          <w:t xml:space="preserve">https://aaif.io/blog/skills-over-mcp</w:t>
        </w:r>
      </w:hyperlink>
      <w:r>
        <w:t xml:space="preserve"> </w:t>
      </w:r>
      <w:r>
        <w:t xml:space="preserve">accessed 2026-10-08 [search-tool extract]</w:t>
      </w:r>
    </w:p>
  </w:footnote>
  <w:footnote w:id="951">
    <w:p>
      <w:pPr>
        <w:pStyle w:val="FootnoteText"/>
      </w:pPr>
      <w:r>
        <w:rPr>
          <w:rStyle w:val="FootnoteReference"/>
        </w:rPr>
        <w:footnoteRef/>
      </w:r>
      <w:r>
        <w:t xml:space="preserve"> </w:t>
      </w:r>
      <w:r>
        <w:t xml:space="preserve">Verified fact — A3-S061: agentskills/agentskills README (Agent Skills project (GitHub))</w:t>
      </w:r>
      <w:r>
        <w:t xml:space="preserve"> </w:t>
      </w:r>
      <w:hyperlink r:id="rId943">
        <w:r>
          <w:rPr>
            <w:rStyle w:val="Hyperlink"/>
          </w:rPr>
          <w:t xml:space="preserve">https://raw.githubusercontent.com/agentskills/agentskills/main/README.md</w:t>
        </w:r>
      </w:hyperlink>
      <w:r>
        <w:t xml:space="preserve"> </w:t>
      </w:r>
      <w:r>
        <w:t xml:space="preserve">accessed 2026-10-07; A3-S113: Agent Skills client showcase list (docs/snippets/clients.jsx) (Agent Skills project (GitHub))</w:t>
      </w:r>
      <w:r>
        <w:t xml:space="preserve"> </w:t>
      </w:r>
      <w:hyperlink r:id="rId945">
        <w:r>
          <w:rPr>
            <w:rStyle w:val="Hyperlink"/>
          </w:rPr>
          <w:t xml:space="preserve">https://raw.githubusercontent.com/agentskills/agentskills/main/docs/snippets/clients.jsx</w:t>
        </w:r>
      </w:hyperlink>
      <w:r>
        <w:t xml:space="preserve"> </w:t>
      </w:r>
      <w:r>
        <w:t xml:space="preserve">accessed 2026-10-07; A3-S033: Codex: Build skills (OpenAI)</w:t>
      </w:r>
      <w:r>
        <w:t xml:space="preserve"> </w:t>
      </w:r>
      <w:hyperlink r:id="rId952">
        <w:r>
          <w:rPr>
            <w:rStyle w:val="Hyperlink"/>
          </w:rPr>
          <w:t xml:space="preserve">https://developers.openai.com/codex/skills</w:t>
        </w:r>
      </w:hyperlink>
      <w:r>
        <w:t xml:space="preserve"> </w:t>
      </w:r>
      <w:r>
        <w:t xml:space="preserve">accessed 2026-10-07 [search-tool extract]; A3-S034: Gemini CLI: Agent Skills (Google (Gemini CLI docs))</w:t>
      </w:r>
      <w:r>
        <w:t xml:space="preserve"> </w:t>
      </w:r>
      <w:hyperlink r:id="rId953">
        <w:r>
          <w:rPr>
            <w:rStyle w:val="Hyperlink"/>
          </w:rPr>
          <w:t xml:space="preserve">https://geminicli.com/docs/cli/skills/</w:t>
        </w:r>
      </w:hyperlink>
      <w:r>
        <w:t xml:space="preserve"> </w:t>
      </w:r>
      <w:r>
        <w:t xml:space="preserve">accessed 2026-10-07 [search-tool extract]</w:t>
      </w:r>
    </w:p>
  </w:footnote>
  <w:footnote w:id="954">
    <w:p>
      <w:pPr>
        <w:pStyle w:val="FootnoteText"/>
      </w:pPr>
      <w:r>
        <w:rPr>
          <w:rStyle w:val="FootnoteReference"/>
        </w:rPr>
        <w:footnoteRef/>
      </w:r>
      <w:r>
        <w:t xml:space="preserve"> </w:t>
      </w:r>
      <w:r>
        <w:t xml:space="preserve">Verified fact — A3-S061: agentskills/agentskills README (Agent Skills project (GitHub))</w:t>
      </w:r>
      <w:r>
        <w:t xml:space="preserve"> </w:t>
      </w:r>
      <w:hyperlink r:id="rId943">
        <w:r>
          <w:rPr>
            <w:rStyle w:val="Hyperlink"/>
          </w:rPr>
          <w:t xml:space="preserve">https://raw.githubusercontent.com/agentskills/agentskills/main/README.md</w:t>
        </w:r>
      </w:hyperlink>
      <w:r>
        <w:t xml:space="preserve"> </w:t>
      </w:r>
      <w:r>
        <w:t xml:space="preserve">accessed 2026-10-07</w:t>
      </w:r>
    </w:p>
  </w:footnote>
  <w:footnote w:id="955">
    <w:p>
      <w:pPr>
        <w:pStyle w:val="FootnoteText"/>
      </w:pPr>
      <w:r>
        <w:rPr>
          <w:rStyle w:val="FootnoteReference"/>
        </w:rPr>
        <w:footnoteRef/>
      </w:r>
      <w:r>
        <w:t xml:space="preserve"> </w:t>
      </w:r>
      <w:r>
        <w:t xml:space="preserve">Verified fact — A3-S033: Codex: Build skills (OpenAI)</w:t>
      </w:r>
      <w:r>
        <w:t xml:space="preserve"> </w:t>
      </w:r>
      <w:hyperlink r:id="rId952">
        <w:r>
          <w:rPr>
            <w:rStyle w:val="Hyperlink"/>
          </w:rPr>
          <w:t xml:space="preserve">https://developers.openai.com/codex/skills</w:t>
        </w:r>
      </w:hyperlink>
      <w:r>
        <w:t xml:space="preserve"> </w:t>
      </w:r>
      <w:r>
        <w:t xml:space="preserve">accessed 2026-10-07 [search-tool extract]; A3-S034: Gemini CLI: Agent Skills (Google (Gemini CLI docs))</w:t>
      </w:r>
      <w:r>
        <w:t xml:space="preserve"> </w:t>
      </w:r>
      <w:hyperlink r:id="rId953">
        <w:r>
          <w:rPr>
            <w:rStyle w:val="Hyperlink"/>
          </w:rPr>
          <w:t xml:space="preserve">https://geminicli.com/docs/cli/skills/</w:t>
        </w:r>
      </w:hyperlink>
      <w:r>
        <w:t xml:space="preserve"> </w:t>
      </w:r>
      <w:r>
        <w:t xml:space="preserve">accessed 2026-10-07 [search-tool extract]; V1-S047: Codex: Build skills (OpenAI)</w:t>
      </w:r>
      <w:r>
        <w:t xml:space="preserve"> </w:t>
      </w:r>
      <w:hyperlink r:id="rId952">
        <w:r>
          <w:rPr>
            <w:rStyle w:val="Hyperlink"/>
          </w:rPr>
          <w:t xml:space="preserve">https://developers.openai.com/codex/skills</w:t>
        </w:r>
      </w:hyperlink>
      <w:r>
        <w:t xml:space="preserve"> </w:t>
      </w:r>
      <w:r>
        <w:t xml:space="preserve">accessed 2026-10-08 [search-tool extract]</w:t>
      </w:r>
    </w:p>
  </w:footnote>
  <w:footnote w:id="956">
    <w:p>
      <w:pPr>
        <w:pStyle w:val="FootnoteText"/>
      </w:pPr>
      <w:r>
        <w:rPr>
          <w:rStyle w:val="FootnoteReference"/>
        </w:rPr>
        <w:footnoteRef/>
      </w:r>
      <w:r>
        <w:t xml:space="preserve"> </w:t>
      </w:r>
      <w:r>
        <w:t xml:space="preserve">Verified fact — V1-S046: Skills Over MCP (AAIF blog); Agent Plugins 1.0 post; agentskills.io specification (Agentic AI Foundation / agentskills.io)</w:t>
      </w:r>
      <w:r>
        <w:t xml:space="preserve"> </w:t>
      </w:r>
      <w:hyperlink r:id="rId950">
        <w:r>
          <w:rPr>
            <w:rStyle w:val="Hyperlink"/>
          </w:rPr>
          <w:t xml:space="preserve">https://aaif.io/blog/skills-over-mcp</w:t>
        </w:r>
      </w:hyperlink>
      <w:r>
        <w:t xml:space="preserve"> </w:t>
      </w:r>
      <w:r>
        <w:t xml:space="preserve">accessed 2026-10-08 [search-tool extract]; A3-S115: (Project Proposal) Agent Skills (aaif/project-proposals issue #47) (Agentic AI Foundation (GitHub))</w:t>
      </w:r>
      <w:r>
        <w:t xml:space="preserve"> </w:t>
      </w:r>
      <w:hyperlink r:id="rId947">
        <w:r>
          <w:rPr>
            <w:rStyle w:val="Hyperlink"/>
          </w:rPr>
          <w:t xml:space="preserve">https://github.com/aaif/project-proposals/issues/47</w:t>
        </w:r>
      </w:hyperlink>
      <w:r>
        <w:t xml:space="preserve"> </w:t>
      </w:r>
      <w:r>
        <w:t xml:space="preserve">accessed 2026-10-07 [search-tool extract]; A3-S112: Agent Skills CONTRIBUTING.md (Agent Skills project (GitHub))</w:t>
      </w:r>
      <w:r>
        <w:t xml:space="preserve"> </w:t>
      </w:r>
      <w:hyperlink r:id="rId957">
        <w:r>
          <w:rPr>
            <w:rStyle w:val="Hyperlink"/>
          </w:rPr>
          <w:t xml:space="preserve">https://raw.githubusercontent.com/agentskills/agentskills/main/CONTRIBUTING.md</w:t>
        </w:r>
      </w:hyperlink>
      <w:r>
        <w:t xml:space="preserve"> </w:t>
      </w:r>
      <w:r>
        <w:t xml:space="preserve">accessed 2026-10-07</w:t>
      </w:r>
    </w:p>
  </w:footnote>
  <w:footnote w:id="958">
    <w:p>
      <w:pPr>
        <w:pStyle w:val="FootnoteText"/>
      </w:pPr>
      <w:r>
        <w:rPr>
          <w:rStyle w:val="FootnoteReference"/>
        </w:rPr>
        <w:footnoteRef/>
      </w:r>
      <w:r>
        <w:t xml:space="preserve"> </w:t>
      </w:r>
      <w:r>
        <w:t xml:space="preserve">Verified fact — A3-S115: (Project Proposal) Agent Skills (aaif/project-proposals issue #47) (Agentic AI Foundation (GitHub))</w:t>
      </w:r>
      <w:r>
        <w:t xml:space="preserve"> </w:t>
      </w:r>
      <w:hyperlink r:id="rId947">
        <w:r>
          <w:rPr>
            <w:rStyle w:val="Hyperlink"/>
          </w:rPr>
          <w:t xml:space="preserve">https://github.com/aaif/project-proposals/issues/47</w:t>
        </w:r>
      </w:hyperlink>
      <w:r>
        <w:t xml:space="preserve"> </w:t>
      </w:r>
      <w:r>
        <w:t xml:space="preserve">accessed 2026-10-07 [search-tool extract]</w:t>
      </w:r>
    </w:p>
  </w:footnote>
  <w:footnote w:id="959">
    <w:p>
      <w:pPr>
        <w:pStyle w:val="FootnoteText"/>
      </w:pPr>
      <w:r>
        <w:rPr>
          <w:rStyle w:val="FootnoteReference"/>
        </w:rPr>
        <w:footnoteRef/>
      </w:r>
      <w:r>
        <w:t xml:space="preserve"> </w:t>
      </w:r>
      <w:r>
        <w:t xml:space="preserve">Verified fact — A3-S037: Agent Skills Specification (Agent Skills project (agentskills.io))</w:t>
      </w:r>
      <w:r>
        <w:t xml:space="preserve"> </w:t>
      </w:r>
      <w:hyperlink r:id="rId940">
        <w:r>
          <w:rPr>
            <w:rStyle w:val="Hyperlink"/>
          </w:rPr>
          <w:t xml:space="preserve">https://agentskills.io/specification</w:t>
        </w:r>
      </w:hyperlink>
      <w:r>
        <w:t xml:space="preserve"> </w:t>
      </w:r>
      <w:r>
        <w:t xml:space="preserve">accessed 2026-10-07 [search-tool extract]; A3-S061: agentskills/agentskills README (Agent Skills project (GitHub))</w:t>
      </w:r>
      <w:r>
        <w:t xml:space="preserve"> </w:t>
      </w:r>
      <w:hyperlink r:id="rId943">
        <w:r>
          <w:rPr>
            <w:rStyle w:val="Hyperlink"/>
          </w:rPr>
          <w:t xml:space="preserve">https://raw.githubusercontent.com/agentskills/agentskills/main/README.md</w:t>
        </w:r>
      </w:hyperlink>
      <w:r>
        <w:t xml:space="preserve"> </w:t>
      </w:r>
      <w:r>
        <w:t xml:space="preserve">accessed 2026-10-07; A3-S072: Equipping agents for the real world with Agent Skills (Anthropic)</w:t>
      </w:r>
      <w:r>
        <w:t xml:space="preserve"> </w:t>
      </w:r>
      <w:hyperlink r:id="rId941">
        <w:r>
          <w:rPr>
            <w:rStyle w:val="Hyperlink"/>
          </w:rPr>
          <w:t xml:space="preserve">https://www.anthropic.com/engineering/equipping-agents-for-the-real-world-with-agent-skills</w:t>
        </w:r>
      </w:hyperlink>
      <w:r>
        <w:t xml:space="preserve"> </w:t>
      </w:r>
      <w:r>
        <w:t xml:space="preserve">accessed 2026-10-07</w:t>
      </w:r>
    </w:p>
  </w:footnote>
  <w:footnote w:id="961">
    <w:p>
      <w:pPr>
        <w:pStyle w:val="FootnoteText"/>
      </w:pPr>
      <w:r>
        <w:rPr>
          <w:rStyle w:val="FootnoteReference"/>
        </w:rPr>
        <w:footnoteRef/>
      </w:r>
      <w:r>
        <w:t xml:space="preserve"> </w:t>
      </w:r>
      <w:r>
        <w:t xml:space="preserve">Verified fact — A3-S063: ComposioHQ/composio README (Composio (GitHub))</w:t>
      </w:r>
      <w:r>
        <w:t xml:space="preserve"> </w:t>
      </w:r>
      <w:hyperlink r:id="rId962">
        <w:r>
          <w:rPr>
            <w:rStyle w:val="Hyperlink"/>
          </w:rPr>
          <w:t xml:space="preserve">https://raw.githubusercontent.com/ComposioHQ/composio/next/README.md</w:t>
        </w:r>
      </w:hyperlink>
      <w:r>
        <w:t xml:space="preserve"> </w:t>
      </w:r>
      <w:r>
        <w:t xml:space="preserve">accessed 2026-10-07; A3-S119: Composio: Two questions every security review asks us (and MCP gateway/governance pages)</w:t>
      </w:r>
      <w:r>
        <w:t xml:space="preserve"> </w:t>
      </w:r>
      <w:hyperlink r:id="rId963">
        <w:r>
          <w:rPr>
            <w:rStyle w:val="Hyperlink"/>
          </w:rPr>
          <w:t xml:space="preserve">https://composio.dev/blog/two-questions-every-security-review-asks-us</w:t>
        </w:r>
      </w:hyperlink>
      <w:r>
        <w:t xml:space="preserve"> </w:t>
      </w:r>
      <w:r>
        <w:t xml:space="preserve">accessed 2026-10-07 [search-tool extract]</w:t>
      </w:r>
    </w:p>
  </w:footnote>
  <w:footnote w:id="964">
    <w:p>
      <w:pPr>
        <w:pStyle w:val="FootnoteText"/>
      </w:pPr>
      <w:r>
        <w:rPr>
          <w:rStyle w:val="FootnoteReference"/>
        </w:rPr>
        <w:footnoteRef/>
      </w:r>
      <w:r>
        <w:t xml:space="preserve"> </w:t>
      </w:r>
      <w:r>
        <w:t xml:space="preserve">Verified fact — A3-S119: Composio: Two questions every security review asks us (and MCP gateway/governance pages)</w:t>
      </w:r>
      <w:r>
        <w:t xml:space="preserve"> </w:t>
      </w:r>
      <w:hyperlink r:id="rId963">
        <w:r>
          <w:rPr>
            <w:rStyle w:val="Hyperlink"/>
          </w:rPr>
          <w:t xml:space="preserve">https://composio.dev/blog/two-questions-every-security-review-asks-us</w:t>
        </w:r>
      </w:hyperlink>
      <w:r>
        <w:t xml:space="preserve"> </w:t>
      </w:r>
      <w:r>
        <w:t xml:space="preserve">accessed 2026-10-07 [search-tool extract]; A3-S098: Composio Enterprise (and related composio.dev content pages)</w:t>
      </w:r>
      <w:r>
        <w:t xml:space="preserve"> </w:t>
      </w:r>
      <w:hyperlink r:id="rId965">
        <w:r>
          <w:rPr>
            <w:rStyle w:val="Hyperlink"/>
          </w:rPr>
          <w:t xml:space="preserve">https://composio.dev/enterprise</w:t>
        </w:r>
      </w:hyperlink>
      <w:r>
        <w:t xml:space="preserve"> </w:t>
      </w:r>
      <w:r>
        <w:t xml:space="preserve">accessed 2026-10-07 [search-tool extract]</w:t>
      </w:r>
    </w:p>
  </w:footnote>
  <w:footnote w:id="966">
    <w:p>
      <w:pPr>
        <w:pStyle w:val="FootnoteText"/>
      </w:pPr>
      <w:r>
        <w:rPr>
          <w:rStyle w:val="FootnoteReference"/>
        </w:rPr>
        <w:footnoteRef/>
      </w:r>
      <w:r>
        <w:t xml:space="preserve"> </w:t>
      </w:r>
      <w:r>
        <w:t xml:space="preserve">Verified fact — B-L4-S007: Composio May 2026 security incident update</w:t>
      </w:r>
      <w:r>
        <w:t xml:space="preserve"> </w:t>
      </w:r>
      <w:hyperlink r:id="rId967">
        <w:r>
          <w:rPr>
            <w:rStyle w:val="Hyperlink"/>
          </w:rPr>
          <w:t xml:space="preserve">https://composio.dev/blog/composio-may-2026-security-incident</w:t>
        </w:r>
      </w:hyperlink>
      <w:r>
        <w:t xml:space="preserve"> </w:t>
      </w:r>
      <w:r>
        <w:t xml:space="preserve">accessed 2026-10-08 [search-tool extract]</w:t>
      </w:r>
    </w:p>
  </w:footnote>
  <w:footnote w:id="968">
    <w:p>
      <w:pPr>
        <w:pStyle w:val="FootnoteText"/>
      </w:pPr>
      <w:r>
        <w:rPr>
          <w:rStyle w:val="FootnoteReference"/>
        </w:rPr>
        <w:footnoteRef/>
      </w:r>
      <w:r>
        <w:t xml:space="preserve"> </w:t>
      </w:r>
      <w:r>
        <w:t xml:space="preserve">Verified fact — A3-S098: Composio Enterprise (and related composio.dev content pages)</w:t>
      </w:r>
      <w:r>
        <w:t xml:space="preserve"> </w:t>
      </w:r>
      <w:hyperlink r:id="rId965">
        <w:r>
          <w:rPr>
            <w:rStyle w:val="Hyperlink"/>
          </w:rPr>
          <w:t xml:space="preserve">https://composio.dev/enterprise</w:t>
        </w:r>
      </w:hyperlink>
      <w:r>
        <w:t xml:space="preserve"> </w:t>
      </w:r>
      <w:r>
        <w:t xml:space="preserve">accessed 2026-10-07 [search-tool extract]</w:t>
      </w:r>
    </w:p>
  </w:footnote>
  <w:footnote w:id="969">
    <w:p>
      <w:pPr>
        <w:pStyle w:val="FootnoteText"/>
      </w:pPr>
      <w:r>
        <w:rPr>
          <w:rStyle w:val="FootnoteReference"/>
        </w:rPr>
        <w:footnoteRef/>
      </w:r>
      <w:r>
        <w:t xml:space="preserve"> </w:t>
      </w:r>
      <w:r>
        <w:t xml:space="preserve">Verified fact — A3-S063: ComposioHQ/composio README (Composio (GitHub))</w:t>
      </w:r>
      <w:r>
        <w:t xml:space="preserve"> </w:t>
      </w:r>
      <w:hyperlink r:id="rId962">
        <w:r>
          <w:rPr>
            <w:rStyle w:val="Hyperlink"/>
          </w:rPr>
          <w:t xml:space="preserve">https://raw.githubusercontent.com/ComposioHQ/composio/next/README.md</w:t>
        </w:r>
      </w:hyperlink>
      <w:r>
        <w:t xml:space="preserve"> </w:t>
      </w:r>
      <w:r>
        <w:t xml:space="preserve">accessed 2026-10-07</w:t>
      </w:r>
    </w:p>
  </w:footnote>
  <w:footnote w:id="970">
    <w:p>
      <w:pPr>
        <w:pStyle w:val="FootnoteText"/>
      </w:pPr>
      <w:r>
        <w:rPr>
          <w:rStyle w:val="FootnoteReference"/>
        </w:rPr>
        <w:footnoteRef/>
      </w:r>
      <w:r>
        <w:t xml:space="preserve"> </w:t>
      </w:r>
      <w:r>
        <w:t xml:space="preserve">Verified fact — A3-S008: PyPI JSON metadata: composio (Python Package Index (PyPI))</w:t>
      </w:r>
      <w:r>
        <w:t xml:space="preserve"> </w:t>
      </w:r>
      <w:hyperlink r:id="rId971">
        <w:r>
          <w:rPr>
            <w:rStyle w:val="Hyperlink"/>
          </w:rPr>
          <w:t xml:space="preserve">https://pypi.org/pypi/composio/json</w:t>
        </w:r>
      </w:hyperlink>
      <w:r>
        <w:t xml:space="preserve"> </w:t>
      </w:r>
      <w:r>
        <w:t xml:space="preserve">accessed 2026-10-07; B-L4-S007: Composio May 2026 security incident update</w:t>
      </w:r>
      <w:r>
        <w:t xml:space="preserve"> </w:t>
      </w:r>
      <w:hyperlink r:id="rId967">
        <w:r>
          <w:rPr>
            <w:rStyle w:val="Hyperlink"/>
          </w:rPr>
          <w:t xml:space="preserve">https://composio.dev/blog/composio-may-2026-security-incident</w:t>
        </w:r>
      </w:hyperlink>
      <w:r>
        <w:t xml:space="preserve"> </w:t>
      </w:r>
      <w:r>
        <w:t xml:space="preserve">accessed 2026-10-08 [search-tool extract]</w:t>
      </w:r>
    </w:p>
  </w:footnote>
  <w:footnote w:id="972">
    <w:p>
      <w:pPr>
        <w:pStyle w:val="FootnoteText"/>
      </w:pPr>
      <w:r>
        <w:rPr>
          <w:rStyle w:val="FootnoteReference"/>
        </w:rPr>
        <w:footnoteRef/>
      </w:r>
      <w:r>
        <w:t xml:space="preserve"> </w:t>
      </w:r>
      <w:r>
        <w:t xml:space="preserve">Verified fact — A3-S098: Composio Enterprise (and related composio.dev content pages)</w:t>
      </w:r>
      <w:r>
        <w:t xml:space="preserve"> </w:t>
      </w:r>
      <w:hyperlink r:id="rId965">
        <w:r>
          <w:rPr>
            <w:rStyle w:val="Hyperlink"/>
          </w:rPr>
          <w:t xml:space="preserve">https://composio.dev/enterprise</w:t>
        </w:r>
      </w:hyperlink>
      <w:r>
        <w:t xml:space="preserve"> </w:t>
      </w:r>
      <w:r>
        <w:t xml:space="preserve">accessed 2026-10-07 [search-tool extract]</w:t>
      </w:r>
    </w:p>
  </w:footnote>
  <w:footnote w:id="973">
    <w:p>
      <w:pPr>
        <w:pStyle w:val="FootnoteText"/>
      </w:pPr>
      <w:r>
        <w:rPr>
          <w:rStyle w:val="FootnoteReference"/>
        </w:rPr>
        <w:footnoteRef/>
      </w:r>
      <w:r>
        <w:t xml:space="preserve"> </w:t>
      </w:r>
      <w:r>
        <w:t xml:space="preserve">Verified fact — A3-S063: ComposioHQ/composio README (Composio (GitHub))</w:t>
      </w:r>
      <w:r>
        <w:t xml:space="preserve"> </w:t>
      </w:r>
      <w:hyperlink r:id="rId962">
        <w:r>
          <w:rPr>
            <w:rStyle w:val="Hyperlink"/>
          </w:rPr>
          <w:t xml:space="preserve">https://raw.githubusercontent.com/ComposioHQ/composio/next/README.md</w:t>
        </w:r>
      </w:hyperlink>
      <w:r>
        <w:t xml:space="preserve"> </w:t>
      </w:r>
      <w:r>
        <w:t xml:space="preserve">accessed 2026-10-07; A3-S008: PyPI JSON metadata: composio (Python Package Index (PyPI))</w:t>
      </w:r>
      <w:r>
        <w:t xml:space="preserve"> </w:t>
      </w:r>
      <w:hyperlink r:id="rId971">
        <w:r>
          <w:rPr>
            <w:rStyle w:val="Hyperlink"/>
          </w:rPr>
          <w:t xml:space="preserve">https://pypi.org/pypi/composio/json</w:t>
        </w:r>
      </w:hyperlink>
      <w:r>
        <w:t xml:space="preserve"> </w:t>
      </w:r>
      <w:r>
        <w:t xml:space="preserve">accessed 2026-10-07; A3-S119: Composio: Two questions every security review asks us (and MCP gateway/governance pages)</w:t>
      </w:r>
      <w:r>
        <w:t xml:space="preserve"> </w:t>
      </w:r>
      <w:hyperlink r:id="rId963">
        <w:r>
          <w:rPr>
            <w:rStyle w:val="Hyperlink"/>
          </w:rPr>
          <w:t xml:space="preserve">https://composio.dev/blog/two-questions-every-security-review-asks-us</w:t>
        </w:r>
      </w:hyperlink>
      <w:r>
        <w:t xml:space="preserve"> </w:t>
      </w:r>
      <w:r>
        <w:t xml:space="preserve">accessed 2026-10-07 [search-tool extract]; A3-S098: Composio Enterprise (and related composio.dev content pages)</w:t>
      </w:r>
      <w:r>
        <w:t xml:space="preserve"> </w:t>
      </w:r>
      <w:hyperlink r:id="rId965">
        <w:r>
          <w:rPr>
            <w:rStyle w:val="Hyperlink"/>
          </w:rPr>
          <w:t xml:space="preserve">https://composio.dev/enterprise</w:t>
        </w:r>
      </w:hyperlink>
      <w:r>
        <w:t xml:space="preserve"> </w:t>
      </w:r>
      <w:r>
        <w:t xml:space="preserve">accessed 2026-10-07 [search-tool extract]</w:t>
      </w:r>
    </w:p>
  </w:footnote>
  <w:footnote w:id="974">
    <w:p>
      <w:pPr>
        <w:pStyle w:val="FootnoteText"/>
      </w:pPr>
      <w:r>
        <w:rPr>
          <w:rStyle w:val="FootnoteReference"/>
        </w:rPr>
        <w:footnoteRef/>
      </w:r>
      <w:r>
        <w:t xml:space="preserve"> </w:t>
      </w:r>
      <w:r>
        <w:t xml:space="preserve">Verified fact — A3-S063: ComposioHQ/composio README (Composio (GitHub))</w:t>
      </w:r>
      <w:r>
        <w:t xml:space="preserve"> </w:t>
      </w:r>
      <w:hyperlink r:id="rId962">
        <w:r>
          <w:rPr>
            <w:rStyle w:val="Hyperlink"/>
          </w:rPr>
          <w:t xml:space="preserve">https://raw.githubusercontent.com/ComposioHQ/composio/next/README.md</w:t>
        </w:r>
      </w:hyperlink>
      <w:r>
        <w:t xml:space="preserve"> </w:t>
      </w:r>
      <w:r>
        <w:t xml:space="preserve">accessed 2026-10-07</w:t>
      </w:r>
    </w:p>
  </w:footnote>
  <w:footnote w:id="975">
    <w:p>
      <w:pPr>
        <w:pStyle w:val="FootnoteText"/>
      </w:pPr>
      <w:r>
        <w:rPr>
          <w:rStyle w:val="FootnoteReference"/>
        </w:rPr>
        <w:footnoteRef/>
      </w:r>
      <w:r>
        <w:t xml:space="preserve"> </w:t>
      </w:r>
      <w:r>
        <w:t xml:space="preserve">Verified fact — A3-S098: Composio Enterprise (and related composio.dev content pages)</w:t>
      </w:r>
      <w:r>
        <w:t xml:space="preserve"> </w:t>
      </w:r>
      <w:hyperlink r:id="rId965">
        <w:r>
          <w:rPr>
            <w:rStyle w:val="Hyperlink"/>
          </w:rPr>
          <w:t xml:space="preserve">https://composio.dev/enterprise</w:t>
        </w:r>
      </w:hyperlink>
      <w:r>
        <w:t xml:space="preserve"> </w:t>
      </w:r>
      <w:r>
        <w:t xml:space="preserve">accessed 2026-10-07 [search-tool extract]</w:t>
      </w:r>
    </w:p>
  </w:footnote>
  <w:footnote w:id="976">
    <w:p>
      <w:pPr>
        <w:pStyle w:val="FootnoteText"/>
      </w:pPr>
      <w:r>
        <w:rPr>
          <w:rStyle w:val="FootnoteReference"/>
        </w:rPr>
        <w:footnoteRef/>
      </w:r>
      <w:r>
        <w:t xml:space="preserve"> </w:t>
      </w:r>
      <w:r>
        <w:t xml:space="preserve">Verified fact — B-L4-S007: Composio May 2026 security incident update</w:t>
      </w:r>
      <w:r>
        <w:t xml:space="preserve"> </w:t>
      </w:r>
      <w:hyperlink r:id="rId967">
        <w:r>
          <w:rPr>
            <w:rStyle w:val="Hyperlink"/>
          </w:rPr>
          <w:t xml:space="preserve">https://composio.dev/blog/composio-may-2026-security-incident</w:t>
        </w:r>
      </w:hyperlink>
      <w:r>
        <w:t xml:space="preserve"> </w:t>
      </w:r>
      <w:r>
        <w:t xml:space="preserve">accessed 2026-10-08 [search-tool extract]</w:t>
      </w:r>
    </w:p>
  </w:footnote>
  <w:footnote w:id="977">
    <w:p>
      <w:pPr>
        <w:pStyle w:val="FootnoteText"/>
      </w:pPr>
      <w:r>
        <w:rPr>
          <w:rStyle w:val="FootnoteReference"/>
        </w:rPr>
        <w:footnoteRef/>
      </w:r>
      <w:r>
        <w:t xml:space="preserve"> </w:t>
      </w:r>
      <w:r>
        <w:t xml:space="preserve">Verified fact — A3-S119: Composio: Two questions every security review asks us (and MCP gateway/governance pages)</w:t>
      </w:r>
      <w:r>
        <w:t xml:space="preserve"> </w:t>
      </w:r>
      <w:hyperlink r:id="rId963">
        <w:r>
          <w:rPr>
            <w:rStyle w:val="Hyperlink"/>
          </w:rPr>
          <w:t xml:space="preserve">https://composio.dev/blog/two-questions-every-security-review-asks-us</w:t>
        </w:r>
      </w:hyperlink>
      <w:r>
        <w:t xml:space="preserve"> </w:t>
      </w:r>
      <w:r>
        <w:t xml:space="preserve">accessed 2026-10-07 [search-tool extract]</w:t>
      </w:r>
    </w:p>
  </w:footnote>
  <w:footnote w:id="978">
    <w:p>
      <w:pPr>
        <w:pStyle w:val="FootnoteText"/>
      </w:pPr>
      <w:r>
        <w:rPr>
          <w:rStyle w:val="FootnoteReference"/>
        </w:rPr>
        <w:footnoteRef/>
      </w:r>
      <w:r>
        <w:t xml:space="preserve"> </w:t>
      </w:r>
      <w:r>
        <w:t xml:space="preserve">Verified fact — A3-S008: PyPI JSON metadata: composio (Python Package Index (PyPI))</w:t>
      </w:r>
      <w:r>
        <w:t xml:space="preserve"> </w:t>
      </w:r>
      <w:hyperlink r:id="rId971">
        <w:r>
          <w:rPr>
            <w:rStyle w:val="Hyperlink"/>
          </w:rPr>
          <w:t xml:space="preserve">https://pypi.org/pypi/composio/json</w:t>
        </w:r>
      </w:hyperlink>
      <w:r>
        <w:t xml:space="preserve"> </w:t>
      </w:r>
      <w:r>
        <w:t xml:space="preserve">accessed 2026-10-07; V1-S098: PyPI JSON metadata: composio (0.25.0; 2.0.0b0 pre-release 31 Aug 2026) (Python Package Index)</w:t>
      </w:r>
      <w:r>
        <w:t xml:space="preserve"> </w:t>
      </w:r>
      <w:hyperlink r:id="rId971">
        <w:r>
          <w:rPr>
            <w:rStyle w:val="Hyperlink"/>
          </w:rPr>
          <w:t xml:space="preserve">https://pypi.org/pypi/composio/json</w:t>
        </w:r>
      </w:hyperlink>
      <w:r>
        <w:t xml:space="preserve"> </w:t>
      </w:r>
      <w:r>
        <w:t xml:space="preserve">accessed 2026-10-08</w:t>
      </w:r>
    </w:p>
  </w:footnote>
  <w:footnote w:id="980">
    <w:p>
      <w:pPr>
        <w:pStyle w:val="FootnoteText"/>
      </w:pPr>
      <w:r>
        <w:rPr>
          <w:rStyle w:val="FootnoteReference"/>
        </w:rPr>
        <w:footnoteRef/>
      </w:r>
      <w:r>
        <w:t xml:space="preserve"> </w:t>
      </w:r>
      <w:r>
        <w:t xml:space="preserve">Verified fact — A3-S010: PyPI JSON metadata: exa-py (Python Package Index (PyPI))</w:t>
      </w:r>
      <w:r>
        <w:t xml:space="preserve"> </w:t>
      </w:r>
      <w:hyperlink r:id="rId981">
        <w:r>
          <w:rPr>
            <w:rStyle w:val="Hyperlink"/>
          </w:rPr>
          <w:t xml:space="preserve">https://pypi.org/pypi/exa-py/json</w:t>
        </w:r>
      </w:hyperlink>
      <w:r>
        <w:t xml:space="preserve"> </w:t>
      </w:r>
      <w:r>
        <w:t xml:space="preserve">accessed 2026-10-07</w:t>
      </w:r>
    </w:p>
  </w:footnote>
  <w:footnote w:id="982">
    <w:p>
      <w:pPr>
        <w:pStyle w:val="FootnoteText"/>
      </w:pPr>
      <w:r>
        <w:rPr>
          <w:rStyle w:val="FootnoteReference"/>
        </w:rPr>
        <w:footnoteRef/>
      </w:r>
      <w:r>
        <w:t xml:space="preserve"> </w:t>
      </w:r>
      <w:r>
        <w:t xml:space="preserve">Verified fact — A3-S121: Exa Security Overview (and exa.ai/enterprise, exa.ai/dpa)</w:t>
      </w:r>
      <w:r>
        <w:t xml:space="preserve"> </w:t>
      </w:r>
      <w:hyperlink r:id="rId983">
        <w:r>
          <w:rPr>
            <w:rStyle w:val="Hyperlink"/>
          </w:rPr>
          <w:t xml:space="preserve">https://exa.ai/docs/reference/security</w:t>
        </w:r>
      </w:hyperlink>
      <w:r>
        <w:t xml:space="preserve"> </w:t>
      </w:r>
      <w:r>
        <w:t xml:space="preserve">accessed 2026-10-07 [search-tool extract]</w:t>
      </w:r>
    </w:p>
  </w:footnote>
  <w:footnote w:id="984">
    <w:p>
      <w:pPr>
        <w:pStyle w:val="FootnoteText"/>
      </w:pPr>
      <w:r>
        <w:rPr>
          <w:rStyle w:val="FootnoteReference"/>
        </w:rPr>
        <w:footnoteRef/>
      </w:r>
      <w:r>
        <w:t xml:space="preserve"> </w:t>
      </w:r>
      <w:r>
        <w:t xml:space="preserve">Verified fact — A3-S100: Exa Trust Center (and exa.ai pricing/enterprise/FAQ pages)</w:t>
      </w:r>
      <w:r>
        <w:t xml:space="preserve"> </w:t>
      </w:r>
      <w:hyperlink r:id="rId985">
        <w:r>
          <w:rPr>
            <w:rStyle w:val="Hyperlink"/>
          </w:rPr>
          <w:t xml:space="preserve">https://trust.exa.ai/</w:t>
        </w:r>
      </w:hyperlink>
      <w:r>
        <w:t xml:space="preserve"> </w:t>
      </w:r>
      <w:r>
        <w:t xml:space="preserve">accessed 2026-10-07 [search-tool extract]; A3-S121: Exa Security Overview (and exa.ai/enterprise, exa.ai/dpa)</w:t>
      </w:r>
      <w:r>
        <w:t xml:space="preserve"> </w:t>
      </w:r>
      <w:hyperlink r:id="rId983">
        <w:r>
          <w:rPr>
            <w:rStyle w:val="Hyperlink"/>
          </w:rPr>
          <w:t xml:space="preserve">https://exa.ai/docs/reference/security</w:t>
        </w:r>
      </w:hyperlink>
      <w:r>
        <w:t xml:space="preserve"> </w:t>
      </w:r>
      <w:r>
        <w:t xml:space="preserve">accessed 2026-10-07 [search-tool extract]</w:t>
      </w:r>
    </w:p>
  </w:footnote>
  <w:footnote w:id="986">
    <w:p>
      <w:pPr>
        <w:pStyle w:val="FootnoteText"/>
      </w:pPr>
      <w:r>
        <w:rPr>
          <w:rStyle w:val="FootnoteReference"/>
        </w:rPr>
        <w:footnoteRef/>
      </w:r>
      <w:r>
        <w:t xml:space="preserve"> </w:t>
      </w:r>
      <w:r>
        <w:t xml:space="preserve">Verified fact — A3-S121: Exa Security Overview (and exa.ai/enterprise, exa.ai/dpa)</w:t>
      </w:r>
      <w:r>
        <w:t xml:space="preserve"> </w:t>
      </w:r>
      <w:hyperlink r:id="rId983">
        <w:r>
          <w:rPr>
            <w:rStyle w:val="Hyperlink"/>
          </w:rPr>
          <w:t xml:space="preserve">https://exa.ai/docs/reference/security</w:t>
        </w:r>
      </w:hyperlink>
      <w:r>
        <w:t xml:space="preserve"> </w:t>
      </w:r>
      <w:r>
        <w:t xml:space="preserve">accessed 2026-10-07 [search-tool extract]</w:t>
      </w:r>
    </w:p>
  </w:footnote>
  <w:footnote w:id="987">
    <w:p>
      <w:pPr>
        <w:pStyle w:val="FootnoteText"/>
      </w:pPr>
      <w:r>
        <w:rPr>
          <w:rStyle w:val="FootnoteReference"/>
        </w:rPr>
        <w:footnoteRef/>
      </w:r>
      <w:r>
        <w:t xml:space="preserve"> </w:t>
      </w:r>
      <w:r>
        <w:t xml:space="preserve">Verified fact — A3-S054: GitHub repository metadata (stars, forks, created, archived) retrieved via GitHub MCP search_repositories tool, 7 Oct 2026</w:t>
      </w:r>
      <w:r>
        <w:t xml:space="preserve"> </w:t>
      </w:r>
      <w:hyperlink r:id="rId727">
        <w:r>
          <w:rPr>
            <w:rStyle w:val="Hyperlink"/>
          </w:rPr>
          <w:t xml:space="preserve">https://api.github.com/search/repositories</w:t>
        </w:r>
      </w:hyperlink>
      <w:r>
        <w:t xml:space="preserve"> </w:t>
      </w:r>
      <w:r>
        <w:t xml:space="preserve">accessed 2026-10-07 [search-tool extract]</w:t>
      </w:r>
    </w:p>
  </w:footnote>
  <w:footnote w:id="988">
    <w:p>
      <w:pPr>
        <w:pStyle w:val="FootnoteText"/>
      </w:pPr>
      <w:r>
        <w:rPr>
          <w:rStyle w:val="FootnoteReference"/>
        </w:rPr>
        <w:footnoteRef/>
      </w:r>
      <w:r>
        <w:t xml:space="preserve"> </w:t>
      </w:r>
      <w:r>
        <w:t xml:space="preserve">Verified fact — A3-S010: PyPI JSON metadata: exa-py (Python Package Index (PyPI))</w:t>
      </w:r>
      <w:r>
        <w:t xml:space="preserve"> </w:t>
      </w:r>
      <w:hyperlink r:id="rId981">
        <w:r>
          <w:rPr>
            <w:rStyle w:val="Hyperlink"/>
          </w:rPr>
          <w:t xml:space="preserve">https://pypi.org/pypi/exa-py/json</w:t>
        </w:r>
      </w:hyperlink>
      <w:r>
        <w:t xml:space="preserve"> </w:t>
      </w:r>
      <w:r>
        <w:t xml:space="preserve">accessed 2026-10-07</w:t>
      </w:r>
    </w:p>
  </w:footnote>
  <w:footnote w:id="989">
    <w:p>
      <w:pPr>
        <w:pStyle w:val="FootnoteText"/>
      </w:pPr>
      <w:r>
        <w:rPr>
          <w:rStyle w:val="FootnoteReference"/>
        </w:rPr>
        <w:footnoteRef/>
      </w:r>
      <w:r>
        <w:t xml:space="preserve"> </w:t>
      </w:r>
      <w:r>
        <w:t xml:space="preserve">Reported — A3-S101: Latham &amp; Watkins advises Exa in Series C (May 2026)</w:t>
      </w:r>
      <w:r>
        <w:t xml:space="preserve"> </w:t>
      </w:r>
      <w:hyperlink r:id="rId990">
        <w:r>
          <w:rPr>
            <w:rStyle w:val="Hyperlink"/>
          </w:rPr>
          <w:t xml:space="preserve">https://www.lw.com/en/news/2026/05/latham-advises-exa-in-series-c</w:t>
        </w:r>
      </w:hyperlink>
      <w:r>
        <w:t xml:space="preserve"> </w:t>
      </w:r>
      <w:r>
        <w:t xml:space="preserve">accessed 2026-10-07 [search-tool extract]</w:t>
      </w:r>
    </w:p>
  </w:footnote>
  <w:footnote w:id="991">
    <w:p>
      <w:pPr>
        <w:pStyle w:val="FootnoteText"/>
      </w:pPr>
      <w:r>
        <w:rPr>
          <w:rStyle w:val="FootnoteReference"/>
        </w:rPr>
        <w:footnoteRef/>
      </w:r>
      <w:r>
        <w:t xml:space="preserve"> </w:t>
      </w:r>
      <w:r>
        <w:t xml:space="preserve">Verified fact — A3-S100: Exa Trust Center (and exa.ai pricing/enterprise/FAQ pages)</w:t>
      </w:r>
      <w:r>
        <w:t xml:space="preserve"> </w:t>
      </w:r>
      <w:hyperlink r:id="rId985">
        <w:r>
          <w:rPr>
            <w:rStyle w:val="Hyperlink"/>
          </w:rPr>
          <w:t xml:space="preserve">https://trust.exa.ai/</w:t>
        </w:r>
      </w:hyperlink>
      <w:r>
        <w:t xml:space="preserve"> </w:t>
      </w:r>
      <w:r>
        <w:t xml:space="preserve">accessed 2026-10-07 [search-tool extract]</w:t>
      </w:r>
    </w:p>
  </w:footnote>
  <w:footnote w:id="992">
    <w:p>
      <w:pPr>
        <w:pStyle w:val="FootnoteText"/>
      </w:pPr>
      <w:r>
        <w:rPr>
          <w:rStyle w:val="FootnoteReference"/>
        </w:rPr>
        <w:footnoteRef/>
      </w:r>
      <w:r>
        <w:t xml:space="preserve"> </w:t>
      </w:r>
      <w:r>
        <w:t xml:space="preserve">Verified fact — A3-S010: PyPI JSON metadata: exa-py (Python Package Index (PyPI))</w:t>
      </w:r>
      <w:r>
        <w:t xml:space="preserve"> </w:t>
      </w:r>
      <w:hyperlink r:id="rId981">
        <w:r>
          <w:rPr>
            <w:rStyle w:val="Hyperlink"/>
          </w:rPr>
          <w:t xml:space="preserve">https://pypi.org/pypi/exa-py/json</w:t>
        </w:r>
      </w:hyperlink>
      <w:r>
        <w:t xml:space="preserve"> </w:t>
      </w:r>
      <w:r>
        <w:t xml:space="preserve">accessed 2026-10-07; A3-S054: GitHub repository metadata (stars, forks, created, archived) retrieved via GitHub MCP search_repositories tool, 7 Oct 2026</w:t>
      </w:r>
      <w:r>
        <w:t xml:space="preserve"> </w:t>
      </w:r>
      <w:hyperlink r:id="rId727">
        <w:r>
          <w:rPr>
            <w:rStyle w:val="Hyperlink"/>
          </w:rPr>
          <w:t xml:space="preserve">https://api.github.com/search/repositories</w:t>
        </w:r>
      </w:hyperlink>
      <w:r>
        <w:t xml:space="preserve"> </w:t>
      </w:r>
      <w:r>
        <w:t xml:space="preserve">accessed 2026-10-07 [search-tool extract]</w:t>
      </w:r>
    </w:p>
  </w:footnote>
  <w:footnote w:id="993">
    <w:p>
      <w:pPr>
        <w:pStyle w:val="FootnoteText"/>
      </w:pPr>
      <w:r>
        <w:rPr>
          <w:rStyle w:val="FootnoteReference"/>
        </w:rPr>
        <w:footnoteRef/>
      </w:r>
      <w:r>
        <w:t xml:space="preserve"> </w:t>
      </w:r>
      <w:r>
        <w:t xml:space="preserve">Verified fact — A3-S100: Exa Trust Center (and exa.ai pricing/enterprise/FAQ pages)</w:t>
      </w:r>
      <w:r>
        <w:t xml:space="preserve"> </w:t>
      </w:r>
      <w:hyperlink r:id="rId985">
        <w:r>
          <w:rPr>
            <w:rStyle w:val="Hyperlink"/>
          </w:rPr>
          <w:t xml:space="preserve">https://trust.exa.ai/</w:t>
        </w:r>
      </w:hyperlink>
      <w:r>
        <w:t xml:space="preserve"> </w:t>
      </w:r>
      <w:r>
        <w:t xml:space="preserve">accessed 2026-10-07 [search-tool extract]; A3-S121: Exa Security Overview (and exa.ai/enterprise, exa.ai/dpa)</w:t>
      </w:r>
      <w:r>
        <w:t xml:space="preserve"> </w:t>
      </w:r>
      <w:hyperlink r:id="rId983">
        <w:r>
          <w:rPr>
            <w:rStyle w:val="Hyperlink"/>
          </w:rPr>
          <w:t xml:space="preserve">https://exa.ai/docs/reference/security</w:t>
        </w:r>
      </w:hyperlink>
      <w:r>
        <w:t xml:space="preserve"> </w:t>
      </w:r>
      <w:r>
        <w:t xml:space="preserve">accessed 2026-10-07 [search-tool extract]</w:t>
      </w:r>
    </w:p>
  </w:footnote>
  <w:footnote w:id="994">
    <w:p>
      <w:pPr>
        <w:pStyle w:val="FootnoteText"/>
      </w:pPr>
      <w:r>
        <w:rPr>
          <w:rStyle w:val="FootnoteReference"/>
        </w:rPr>
        <w:footnoteRef/>
      </w:r>
      <w:r>
        <w:t xml:space="preserve"> </w:t>
      </w:r>
      <w:r>
        <w:t xml:space="preserve">Verified fact — A3-S121: Exa Security Overview (and exa.ai/enterprise, exa.ai/dpa)</w:t>
      </w:r>
      <w:r>
        <w:t xml:space="preserve"> </w:t>
      </w:r>
      <w:hyperlink r:id="rId983">
        <w:r>
          <w:rPr>
            <w:rStyle w:val="Hyperlink"/>
          </w:rPr>
          <w:t xml:space="preserve">https://exa.ai/docs/reference/security</w:t>
        </w:r>
      </w:hyperlink>
      <w:r>
        <w:t xml:space="preserve"> </w:t>
      </w:r>
      <w:r>
        <w:t xml:space="preserve">accessed 2026-10-07 [search-tool extract]</w:t>
      </w:r>
    </w:p>
  </w:footnote>
  <w:footnote w:id="995">
    <w:p>
      <w:pPr>
        <w:pStyle w:val="FootnoteText"/>
      </w:pPr>
      <w:r>
        <w:rPr>
          <w:rStyle w:val="FootnoteReference"/>
        </w:rPr>
        <w:footnoteRef/>
      </w:r>
      <w:r>
        <w:t xml:space="preserve"> </w:t>
      </w:r>
      <w:r>
        <w:t xml:space="preserve">Verified fact — A3-S121: Exa Security Overview (and exa.ai/enterprise, exa.ai/dpa)</w:t>
      </w:r>
      <w:r>
        <w:t xml:space="preserve"> </w:t>
      </w:r>
      <w:hyperlink r:id="rId983">
        <w:r>
          <w:rPr>
            <w:rStyle w:val="Hyperlink"/>
          </w:rPr>
          <w:t xml:space="preserve">https://exa.ai/docs/reference/security</w:t>
        </w:r>
      </w:hyperlink>
      <w:r>
        <w:t xml:space="preserve"> </w:t>
      </w:r>
      <w:r>
        <w:t xml:space="preserve">accessed 2026-10-07 [search-tool extract]</w:t>
      </w:r>
    </w:p>
  </w:footnote>
  <w:footnote w:id="996">
    <w:p>
      <w:pPr>
        <w:pStyle w:val="FootnoteText"/>
      </w:pPr>
      <w:r>
        <w:rPr>
          <w:rStyle w:val="FootnoteReference"/>
        </w:rPr>
        <w:footnoteRef/>
      </w:r>
      <w:r>
        <w:t xml:space="preserve"> </w:t>
      </w:r>
      <w:r>
        <w:t xml:space="preserve">Verified fact — A3-S100: Exa Trust Center (and exa.ai pricing/enterprise/FAQ pages)</w:t>
      </w:r>
      <w:r>
        <w:t xml:space="preserve"> </w:t>
      </w:r>
      <w:hyperlink r:id="rId985">
        <w:r>
          <w:rPr>
            <w:rStyle w:val="Hyperlink"/>
          </w:rPr>
          <w:t xml:space="preserve">https://trust.exa.ai/</w:t>
        </w:r>
      </w:hyperlink>
      <w:r>
        <w:t xml:space="preserve"> </w:t>
      </w:r>
      <w:r>
        <w:t xml:space="preserve">accessed 2026-10-07 [search-tool extract]</w:t>
      </w:r>
    </w:p>
  </w:footnote>
  <w:footnote w:id="998">
    <w:p>
      <w:pPr>
        <w:pStyle w:val="FootnoteText"/>
      </w:pPr>
      <w:r>
        <w:rPr>
          <w:rStyle w:val="FootnoteReference"/>
        </w:rPr>
        <w:footnoteRef/>
      </w:r>
      <w:r>
        <w:t xml:space="preserve"> </w:t>
      </w:r>
      <w:r>
        <w:t xml:space="preserve">Verified fact — A3-S009: PyPI JSON metadata: tavily-python (Python Package Index (PyPI))</w:t>
      </w:r>
      <w:r>
        <w:t xml:space="preserve"> </w:t>
      </w:r>
      <w:hyperlink r:id="rId999">
        <w:r>
          <w:rPr>
            <w:rStyle w:val="Hyperlink"/>
          </w:rPr>
          <w:t xml:space="preserve">https://pypi.org/pypi/tavily-python/json</w:t>
        </w:r>
      </w:hyperlink>
      <w:r>
        <w:t xml:space="preserve"> </w:t>
      </w:r>
      <w:r>
        <w:t xml:space="preserve">accessed 2026-10-07</w:t>
      </w:r>
    </w:p>
  </w:footnote>
  <w:footnote w:id="1000">
    <w:p>
      <w:pPr>
        <w:pStyle w:val="FootnoteText"/>
      </w:pPr>
      <w:r>
        <w:rPr>
          <w:rStyle w:val="FootnoteReference"/>
        </w:rPr>
        <w:footnoteRef/>
      </w:r>
      <w:r>
        <w:t xml:space="preserve"> </w:t>
      </w:r>
      <w:r>
        <w:t xml:space="preserve">Verified fact — B-L4-S006: Tavily help centre: Team Roles and Permissions (Owner/Admin/Member)</w:t>
      </w:r>
      <w:r>
        <w:t xml:space="preserve"> </w:t>
      </w:r>
      <w:hyperlink r:id="rId1001">
        <w:r>
          <w:rPr>
            <w:rStyle w:val="Hyperlink"/>
          </w:rPr>
          <w:t xml:space="preserve">https://help.tavily.com/articles/7788853762-team-roles-and-permissions-owner-admin-member</w:t>
        </w:r>
      </w:hyperlink>
      <w:r>
        <w:t xml:space="preserve"> </w:t>
      </w:r>
      <w:r>
        <w:t xml:space="preserve">accessed 2026-10-08 [search-tool extract]</w:t>
      </w:r>
    </w:p>
  </w:footnote>
  <w:footnote w:id="1002">
    <w:p>
      <w:pPr>
        <w:pStyle w:val="FootnoteText"/>
      </w:pPr>
      <w:r>
        <w:rPr>
          <w:rStyle w:val="FootnoteReference"/>
        </w:rPr>
        <w:footnoteRef/>
      </w:r>
      <w:r>
        <w:t xml:space="preserve"> </w:t>
      </w:r>
      <w:r>
        <w:t xml:space="preserve">Verified fact — B-L4-S005: Tavily Trust Center FAQ</w:t>
      </w:r>
      <w:r>
        <w:t xml:space="preserve"> </w:t>
      </w:r>
      <w:hyperlink r:id="rId1003">
        <w:r>
          <w:rPr>
            <w:rStyle w:val="Hyperlink"/>
          </w:rPr>
          <w:t xml:space="preserve">https://trust.tavily.com/faq</w:t>
        </w:r>
      </w:hyperlink>
      <w:r>
        <w:t xml:space="preserve"> </w:t>
      </w:r>
      <w:r>
        <w:t xml:space="preserve">accessed 2026-10-08 [search-tool extract]; A3-S088: Tavily pricing, FAQ and help-centre security pages</w:t>
      </w:r>
      <w:r>
        <w:t xml:space="preserve"> </w:t>
      </w:r>
      <w:hyperlink r:id="rId1004">
        <w:r>
          <w:rPr>
            <w:rStyle w:val="Hyperlink"/>
          </w:rPr>
          <w:t xml:space="preserve">https://www.tavily.com/pricing</w:t>
        </w:r>
      </w:hyperlink>
      <w:r>
        <w:t xml:space="preserve"> </w:t>
      </w:r>
      <w:r>
        <w:t xml:space="preserve">accessed 2026-10-07 [search-tool extract]</w:t>
      </w:r>
    </w:p>
  </w:footnote>
  <w:footnote w:id="1005">
    <w:p>
      <w:pPr>
        <w:pStyle w:val="FootnoteText"/>
      </w:pPr>
      <w:r>
        <w:rPr>
          <w:rStyle w:val="FootnoteReference"/>
        </w:rPr>
        <w:footnoteRef/>
      </w:r>
      <w:r>
        <w:t xml:space="preserve"> </w:t>
      </w:r>
      <w:r>
        <w:t xml:space="preserve">Verified fact — A3-S088: Tavily pricing, FAQ and help-centre security pages</w:t>
      </w:r>
      <w:r>
        <w:t xml:space="preserve"> </w:t>
      </w:r>
      <w:hyperlink r:id="rId1004">
        <w:r>
          <w:rPr>
            <w:rStyle w:val="Hyperlink"/>
          </w:rPr>
          <w:t xml:space="preserve">https://www.tavily.com/pricing</w:t>
        </w:r>
      </w:hyperlink>
      <w:r>
        <w:t xml:space="preserve"> </w:t>
      </w:r>
      <w:r>
        <w:t xml:space="preserve">accessed 2026-10-07 [search-tool extract]</w:t>
      </w:r>
    </w:p>
  </w:footnote>
  <w:footnote w:id="1006">
    <w:p>
      <w:pPr>
        <w:pStyle w:val="FootnoteText"/>
      </w:pPr>
      <w:r>
        <w:rPr>
          <w:rStyle w:val="FootnoteReference"/>
        </w:rPr>
        <w:footnoteRef/>
      </w:r>
      <w:r>
        <w:t xml:space="preserve"> </w:t>
      </w:r>
      <w:r>
        <w:t xml:space="preserve">Verified fact — A3-S054: GitHub repository metadata (stars, forks, created, archived) retrieved via GitHub MCP search_repositories tool, 7 Oct 2026</w:t>
      </w:r>
      <w:r>
        <w:t xml:space="preserve"> </w:t>
      </w:r>
      <w:hyperlink r:id="rId727">
        <w:r>
          <w:rPr>
            <w:rStyle w:val="Hyperlink"/>
          </w:rPr>
          <w:t xml:space="preserve">https://api.github.com/search/repositories</w:t>
        </w:r>
      </w:hyperlink>
      <w:r>
        <w:t xml:space="preserve"> </w:t>
      </w:r>
      <w:r>
        <w:t xml:space="preserve">accessed 2026-10-07 [search-tool extract]</w:t>
      </w:r>
    </w:p>
  </w:footnote>
  <w:footnote w:id="1007">
    <w:p>
      <w:pPr>
        <w:pStyle w:val="FootnoteText"/>
      </w:pPr>
      <w:r>
        <w:rPr>
          <w:rStyle w:val="FootnoteReference"/>
        </w:rPr>
        <w:footnoteRef/>
      </w:r>
      <w:r>
        <w:t xml:space="preserve"> </w:t>
      </w:r>
      <w:r>
        <w:t xml:space="preserve">Verified fact — A3-S009: PyPI JSON metadata: tavily-python (Python Package Index (PyPI))</w:t>
      </w:r>
      <w:r>
        <w:t xml:space="preserve"> </w:t>
      </w:r>
      <w:hyperlink r:id="rId999">
        <w:r>
          <w:rPr>
            <w:rStyle w:val="Hyperlink"/>
          </w:rPr>
          <w:t xml:space="preserve">https://pypi.org/pypi/tavily-python/json</w:t>
        </w:r>
      </w:hyperlink>
      <w:r>
        <w:t xml:space="preserve"> </w:t>
      </w:r>
      <w:r>
        <w:t xml:space="preserve">accessed 2026-10-07; V1-S041: Nebius Group N.V. Form 20-F FY2025 (subsequent event: Tavily acquisition) (Nebius Group N.V. (SEC EDGAR))</w:t>
      </w:r>
      <w:r>
        <w:t xml:space="preserve"> </w:t>
      </w:r>
      <w:hyperlink r:id="rId1008">
        <w:r>
          <w:rPr>
            <w:rStyle w:val="Hyperlink"/>
          </w:rPr>
          <w:t xml:space="preserve">https://www.sec.gov/Archives/edgar/data/0001513845/000110465926052948/nbis-20251231x20f.htm</w:t>
        </w:r>
      </w:hyperlink>
      <w:r>
        <w:t xml:space="preserve"> </w:t>
      </w:r>
      <w:r>
        <w:t xml:space="preserve">accessed 2026-10-08 [search-tool extract]</w:t>
      </w:r>
    </w:p>
  </w:footnote>
  <w:footnote w:id="1009">
    <w:p>
      <w:pPr>
        <w:pStyle w:val="FootnoteText"/>
      </w:pPr>
      <w:r>
        <w:rPr>
          <w:rStyle w:val="FootnoteReference"/>
        </w:rPr>
        <w:footnoteRef/>
      </w:r>
      <w:r>
        <w:t xml:space="preserve"> </w:t>
      </w:r>
      <w:r>
        <w:t xml:space="preserve">Verified fact — A3-S088: Tavily pricing, FAQ and help-centre security pages</w:t>
      </w:r>
      <w:r>
        <w:t xml:space="preserve"> </w:t>
      </w:r>
      <w:hyperlink r:id="rId1004">
        <w:r>
          <w:rPr>
            <w:rStyle w:val="Hyperlink"/>
          </w:rPr>
          <w:t xml:space="preserve">https://www.tavily.com/pricing</w:t>
        </w:r>
      </w:hyperlink>
      <w:r>
        <w:t xml:space="preserve"> </w:t>
      </w:r>
      <w:r>
        <w:t xml:space="preserve">accessed 2026-10-07 [search-tool extract]</w:t>
      </w:r>
    </w:p>
  </w:footnote>
  <w:footnote w:id="1010">
    <w:p>
      <w:pPr>
        <w:pStyle w:val="FootnoteText"/>
      </w:pPr>
      <w:r>
        <w:rPr>
          <w:rStyle w:val="FootnoteReference"/>
        </w:rPr>
        <w:footnoteRef/>
      </w:r>
      <w:r>
        <w:t xml:space="preserve"> </w:t>
      </w:r>
      <w:r>
        <w:t xml:space="preserve">Verified fact — A3-S009: PyPI JSON metadata: tavily-python (Python Package Index (PyPI))</w:t>
      </w:r>
      <w:r>
        <w:t xml:space="preserve"> </w:t>
      </w:r>
      <w:hyperlink r:id="rId999">
        <w:r>
          <w:rPr>
            <w:rStyle w:val="Hyperlink"/>
          </w:rPr>
          <w:t xml:space="preserve">https://pypi.org/pypi/tavily-python/json</w:t>
        </w:r>
      </w:hyperlink>
      <w:r>
        <w:t xml:space="preserve"> </w:t>
      </w:r>
      <w:r>
        <w:t xml:space="preserve">accessed 2026-10-07; A3-S054: GitHub repository metadata (stars, forks, created, archived) retrieved via GitHub MCP search_repositories tool, 7 Oct 2026</w:t>
      </w:r>
      <w:r>
        <w:t xml:space="preserve"> </w:t>
      </w:r>
      <w:hyperlink r:id="rId727">
        <w:r>
          <w:rPr>
            <w:rStyle w:val="Hyperlink"/>
          </w:rPr>
          <w:t xml:space="preserve">https://api.github.com/search/repositories</w:t>
        </w:r>
      </w:hyperlink>
      <w:r>
        <w:t xml:space="preserve"> </w:t>
      </w:r>
      <w:r>
        <w:t xml:space="preserve">accessed 2026-10-07 [search-tool extract]</w:t>
      </w:r>
    </w:p>
  </w:footnote>
  <w:footnote w:id="1011">
    <w:p>
      <w:pPr>
        <w:pStyle w:val="FootnoteText"/>
      </w:pPr>
      <w:r>
        <w:rPr>
          <w:rStyle w:val="FootnoteReference"/>
        </w:rPr>
        <w:footnoteRef/>
      </w:r>
      <w:r>
        <w:t xml:space="preserve"> </w:t>
      </w:r>
      <w:r>
        <w:t xml:space="preserve">Verified fact — A3-S009: PyPI JSON metadata: tavily-python (Python Package Index (PyPI))</w:t>
      </w:r>
      <w:r>
        <w:t xml:space="preserve"> </w:t>
      </w:r>
      <w:hyperlink r:id="rId999">
        <w:r>
          <w:rPr>
            <w:rStyle w:val="Hyperlink"/>
          </w:rPr>
          <w:t xml:space="preserve">https://pypi.org/pypi/tavily-python/json</w:t>
        </w:r>
      </w:hyperlink>
      <w:r>
        <w:t xml:space="preserve"> </w:t>
      </w:r>
      <w:r>
        <w:t xml:space="preserve">accessed 2026-10-07</w:t>
      </w:r>
    </w:p>
  </w:footnote>
  <w:footnote w:id="1012">
    <w:p>
      <w:pPr>
        <w:pStyle w:val="FootnoteText"/>
      </w:pPr>
      <w:r>
        <w:rPr>
          <w:rStyle w:val="FootnoteReference"/>
        </w:rPr>
        <w:footnoteRef/>
      </w:r>
      <w:r>
        <w:t xml:space="preserve"> </w:t>
      </w:r>
      <w:r>
        <w:t xml:space="preserve">Verified fact — B-L4-S005: Tavily Trust Center FAQ</w:t>
      </w:r>
      <w:r>
        <w:t xml:space="preserve"> </w:t>
      </w:r>
      <w:hyperlink r:id="rId1003">
        <w:r>
          <w:rPr>
            <w:rStyle w:val="Hyperlink"/>
          </w:rPr>
          <w:t xml:space="preserve">https://trust.tavily.com/faq</w:t>
        </w:r>
      </w:hyperlink>
      <w:r>
        <w:t xml:space="preserve"> </w:t>
      </w:r>
      <w:r>
        <w:t xml:space="preserve">accessed 2026-10-08 [search-tool extract]; B-L4-S006: Tavily help centre: Team Roles and Permissions (Owner/Admin/Member)</w:t>
      </w:r>
      <w:r>
        <w:t xml:space="preserve"> </w:t>
      </w:r>
      <w:hyperlink r:id="rId1001">
        <w:r>
          <w:rPr>
            <w:rStyle w:val="Hyperlink"/>
          </w:rPr>
          <w:t xml:space="preserve">https://help.tavily.com/articles/7788853762-team-roles-and-permissions-owner-admin-member</w:t>
        </w:r>
      </w:hyperlink>
      <w:r>
        <w:t xml:space="preserve"> </w:t>
      </w:r>
      <w:r>
        <w:t xml:space="preserve">accessed 2026-10-08 [search-tool extract]; A3-S088: Tavily pricing, FAQ and help-centre security pages</w:t>
      </w:r>
      <w:r>
        <w:t xml:space="preserve"> </w:t>
      </w:r>
      <w:hyperlink r:id="rId1004">
        <w:r>
          <w:rPr>
            <w:rStyle w:val="Hyperlink"/>
          </w:rPr>
          <w:t xml:space="preserve">https://www.tavily.com/pricing</w:t>
        </w:r>
      </w:hyperlink>
      <w:r>
        <w:t xml:space="preserve"> </w:t>
      </w:r>
      <w:r>
        <w:t xml:space="preserve">accessed 2026-10-07 [search-tool extract]</w:t>
      </w:r>
    </w:p>
  </w:footnote>
  <w:footnote w:id="1013">
    <w:p>
      <w:pPr>
        <w:pStyle w:val="FootnoteText"/>
      </w:pPr>
      <w:r>
        <w:rPr>
          <w:rStyle w:val="FootnoteReference"/>
        </w:rPr>
        <w:footnoteRef/>
      </w:r>
      <w:r>
        <w:t xml:space="preserve"> </w:t>
      </w:r>
      <w:r>
        <w:t xml:space="preserve">Verified fact — V1-S041: Nebius Group N.V. Form 20-F FY2025 (subsequent event: Tavily acquisition) (Nebius Group N.V. (SEC EDGAR))</w:t>
      </w:r>
      <w:r>
        <w:t xml:space="preserve"> </w:t>
      </w:r>
      <w:hyperlink r:id="rId1008">
        <w:r>
          <w:rPr>
            <w:rStyle w:val="Hyperlink"/>
          </w:rPr>
          <w:t xml:space="preserve">https://www.sec.gov/Archives/edgar/data/0001513845/000110465926052948/nbis-20251231x20f.htm</w:t>
        </w:r>
      </w:hyperlink>
      <w:r>
        <w:t xml:space="preserve"> </w:t>
      </w:r>
      <w:r>
        <w:t xml:space="preserve">accessed 2026-10-08 [search-tool extract]; A3-S084: Tavily is Joining Nebius (10 Feb 2026)</w:t>
      </w:r>
      <w:r>
        <w:t xml:space="preserve"> </w:t>
      </w:r>
      <w:hyperlink r:id="rId1014">
        <w:r>
          <w:rPr>
            <w:rStyle w:val="Hyperlink"/>
          </w:rPr>
          <w:t xml:space="preserve">https://www.tavily.com/blog/tavily-is-joining-nebius</w:t>
        </w:r>
      </w:hyperlink>
      <w:r>
        <w:t xml:space="preserve"> </w:t>
      </w:r>
      <w:r>
        <w:t xml:space="preserve">accessed 2026-10-07 [search-tool extract]</w:t>
      </w:r>
    </w:p>
  </w:footnote>
  <w:footnote w:id="1015">
    <w:p>
      <w:pPr>
        <w:pStyle w:val="FootnoteText"/>
      </w:pPr>
      <w:r>
        <w:rPr>
          <w:rStyle w:val="FootnoteReference"/>
        </w:rPr>
        <w:footnoteRef/>
      </w:r>
      <w:r>
        <w:t xml:space="preserve"> </w:t>
      </w:r>
      <w:r>
        <w:t xml:space="preserve">Verified fact — A3-S088: Tavily pricing, FAQ and help-centre security pages</w:t>
      </w:r>
      <w:r>
        <w:t xml:space="preserve"> </w:t>
      </w:r>
      <w:hyperlink r:id="rId1004">
        <w:r>
          <w:rPr>
            <w:rStyle w:val="Hyperlink"/>
          </w:rPr>
          <w:t xml:space="preserve">https://www.tavily.com/pricing</w:t>
        </w:r>
      </w:hyperlink>
      <w:r>
        <w:t xml:space="preserve"> </w:t>
      </w:r>
      <w:r>
        <w:t xml:space="preserve">accessed 2026-10-07 [search-tool extract]</w:t>
      </w:r>
    </w:p>
  </w:footnote>
  <w:footnote w:id="1018">
    <w:p>
      <w:pPr>
        <w:pStyle w:val="FootnoteText"/>
      </w:pPr>
      <w:r>
        <w:rPr>
          <w:rStyle w:val="FootnoteReference"/>
        </w:rPr>
        <w:footnoteRef/>
      </w:r>
      <w:r>
        <w:t xml:space="preserve"> </w:t>
      </w:r>
      <w:r>
        <w:t xml:space="preserve">Verified fact — A4-S118: LangGraph README (GitHub) (LangChain)</w:t>
      </w:r>
      <w:r>
        <w:t xml:space="preserve"> </w:t>
      </w:r>
      <w:hyperlink r:id="rId1019">
        <w:r>
          <w:rPr>
            <w:rStyle w:val="Hyperlink"/>
          </w:rPr>
          <w:t xml:space="preserve">https://raw.githubusercontent.com/langchain-ai/langgraph/main/README.md</w:t>
        </w:r>
      </w:hyperlink>
      <w:r>
        <w:t xml:space="preserve"> </w:t>
      </w:r>
      <w:r>
        <w:t xml:space="preserve">accessed 2026-10-07; A4-S039: LangGraph Persistence / Durable execution / Interrupts - Docs by LangChain</w:t>
      </w:r>
      <w:r>
        <w:t xml:space="preserve"> </w:t>
      </w:r>
      <w:hyperlink r:id="rId1020">
        <w:r>
          <w:rPr>
            <w:rStyle w:val="Hyperlink"/>
          </w:rPr>
          <w:t xml:space="preserve">https://docs.langchain.com/oss/python/langgraph/durable-execution</w:t>
        </w:r>
      </w:hyperlink>
      <w:r>
        <w:t xml:space="preserve"> </w:t>
      </w:r>
      <w:r>
        <w:t xml:space="preserve">accessed 2026-10-07 [search-tool extract]</w:t>
      </w:r>
    </w:p>
  </w:footnote>
  <w:footnote w:id="1021">
    <w:p>
      <w:pPr>
        <w:pStyle w:val="FootnoteText"/>
      </w:pPr>
      <w:r>
        <w:rPr>
          <w:rStyle w:val="FootnoteReference"/>
        </w:rPr>
        <w:footnoteRef/>
      </w:r>
      <w:r>
        <w:t xml:space="preserve"> </w:t>
      </w:r>
      <w:r>
        <w:t xml:space="preserve">Verified fact — A4-S038: User management - Docs by LangChain (with self-hosted changelog)</w:t>
      </w:r>
      <w:r>
        <w:t xml:space="preserve"> </w:t>
      </w:r>
      <w:hyperlink r:id="rId1022">
        <w:r>
          <w:rPr>
            <w:rStyle w:val="Hyperlink"/>
          </w:rPr>
          <w:t xml:space="preserve">https://docs.langchain.com/langsmith/user-management</w:t>
        </w:r>
      </w:hyperlink>
      <w:r>
        <w:t xml:space="preserve"> </w:t>
      </w:r>
      <w:r>
        <w:t xml:space="preserve">accessed 2026-10-07 [search-tool extract]</w:t>
      </w:r>
    </w:p>
  </w:footnote>
  <w:footnote w:id="1023">
    <w:p>
      <w:pPr>
        <w:pStyle w:val="FootnoteText"/>
      </w:pPr>
      <w:r>
        <w:rPr>
          <w:rStyle w:val="FootnoteReference"/>
        </w:rPr>
        <w:footnoteRef/>
      </w:r>
      <w:r>
        <w:t xml:space="preserve"> </w:t>
      </w:r>
      <w:r>
        <w:t xml:space="preserve">Verified fact — A4-S034: LangSmith Regions FAQ (LangChain)</w:t>
      </w:r>
      <w:r>
        <w:t xml:space="preserve"> </w:t>
      </w:r>
      <w:hyperlink r:id="rId58">
        <w:r>
          <w:rPr>
            <w:rStyle w:val="Hyperlink"/>
          </w:rPr>
          <w:t xml:space="preserve">https://docs.langchain.com/langsmith/regions-faq</w:t>
        </w:r>
      </w:hyperlink>
      <w:r>
        <w:t xml:space="preserve"> </w:t>
      </w:r>
      <w:r>
        <w:t xml:space="preserve">accessed 2026-10-07 [search-tool extract]; B-L3-S007: LangGraph security advisories (GitHub) and NVD entries (LangChain / GitHub / NIST NVD)</w:t>
      </w:r>
      <w:r>
        <w:t xml:space="preserve"> </w:t>
      </w:r>
      <w:hyperlink r:id="rId1024">
        <w:r>
          <w:rPr>
            <w:rStyle w:val="Hyperlink"/>
          </w:rPr>
          <w:t xml:space="preserve">https://github.com/langchain-ai/langgraph/security</w:t>
        </w:r>
      </w:hyperlink>
      <w:r>
        <w:t xml:space="preserve"> </w:t>
      </w:r>
      <w:r>
        <w:t xml:space="preserve">accessed 2026-10-08 [search-tool extract]</w:t>
      </w:r>
    </w:p>
  </w:footnote>
  <w:footnote w:id="1025">
    <w:p>
      <w:pPr>
        <w:pStyle w:val="FootnoteText"/>
      </w:pPr>
      <w:r>
        <w:rPr>
          <w:rStyle w:val="FootnoteReference"/>
        </w:rPr>
        <w:footnoteRef/>
      </w:r>
      <w:r>
        <w:t xml:space="preserve"> </w:t>
      </w:r>
      <w:r>
        <w:t xml:space="preserve">Verified fact — A4-S036: LangSmith Plans and Pricing (LangChain)</w:t>
      </w:r>
      <w:r>
        <w:t xml:space="preserve"> </w:t>
      </w:r>
      <w:hyperlink r:id="rId62">
        <w:r>
          <w:rPr>
            <w:rStyle w:val="Hyperlink"/>
          </w:rPr>
          <w:t xml:space="preserve">https://www.langchain.com/pricing</w:t>
        </w:r>
      </w:hyperlink>
      <w:r>
        <w:t xml:space="preserve"> </w:t>
      </w:r>
      <w:r>
        <w:t xml:space="preserve">accessed 2026-10-07 [search-tool extract]; A4-S037: LangSmith Deployment - Docs by LangChain</w:t>
      </w:r>
      <w:r>
        <w:t xml:space="preserve"> </w:t>
      </w:r>
      <w:hyperlink r:id="rId1026">
        <w:r>
          <w:rPr>
            <w:rStyle w:val="Hyperlink"/>
          </w:rPr>
          <w:t xml:space="preserve">https://docs.langchain.com/langsmith/deployment</w:t>
        </w:r>
      </w:hyperlink>
      <w:r>
        <w:t xml:space="preserve"> </w:t>
      </w:r>
      <w:r>
        <w:t xml:space="preserve">accessed 2026-10-07 [search-tool extract]</w:t>
      </w:r>
    </w:p>
  </w:footnote>
  <w:footnote w:id="1027">
    <w:p>
      <w:pPr>
        <w:pStyle w:val="FootnoteText"/>
      </w:pPr>
      <w:r>
        <w:rPr>
          <w:rStyle w:val="FootnoteReference"/>
        </w:rPr>
        <w:footnoteRef/>
      </w:r>
      <w:r>
        <w:t xml:space="preserve"> </w:t>
      </w:r>
      <w:r>
        <w:t xml:space="preserve">Verified fact — A4-S118: LangGraph README (GitHub) (LangChain)</w:t>
      </w:r>
      <w:r>
        <w:t xml:space="preserve"> </w:t>
      </w:r>
      <w:hyperlink r:id="rId1019">
        <w:r>
          <w:rPr>
            <w:rStyle w:val="Hyperlink"/>
          </w:rPr>
          <w:t xml:space="preserve">https://raw.githubusercontent.com/langchain-ai/langgraph/main/README.md</w:t>
        </w:r>
      </w:hyperlink>
      <w:r>
        <w:t xml:space="preserve"> </w:t>
      </w:r>
      <w:r>
        <w:t xml:space="preserve">accessed 2026-10-07; A4-S116: Bedrock AgentCore SDK README (GitHub) (AWS)</w:t>
      </w:r>
      <w:r>
        <w:t xml:space="preserve"> </w:t>
      </w:r>
      <w:hyperlink r:id="rId1028">
        <w:r>
          <w:rPr>
            <w:rStyle w:val="Hyperlink"/>
          </w:rPr>
          <w:t xml:space="preserve">https://raw.githubusercontent.com/aws/bedrock-agentcore-sdk-python/main/README.md</w:t>
        </w:r>
      </w:hyperlink>
      <w:r>
        <w:t xml:space="preserve"> </w:t>
      </w:r>
      <w:r>
        <w:t xml:space="preserve">accessed 2026-10-07</w:t>
      </w:r>
    </w:p>
  </w:footnote>
  <w:footnote w:id="1029">
    <w:p>
      <w:pPr>
        <w:pStyle w:val="FootnoteText"/>
      </w:pPr>
      <w:r>
        <w:rPr>
          <w:rStyle w:val="FootnoteReference"/>
        </w:rPr>
        <w:footnoteRef/>
      </w:r>
      <w:r>
        <w:t xml:space="preserve"> </w:t>
      </w:r>
      <w:r>
        <w:t xml:space="preserve">Verified fact — A4-S001: PyPI JSON metadata: langgraph (Python Package Index)</w:t>
      </w:r>
      <w:r>
        <w:t xml:space="preserve"> </w:t>
      </w:r>
      <w:hyperlink r:id="rId1030">
        <w:r>
          <w:rPr>
            <w:rStyle w:val="Hyperlink"/>
          </w:rPr>
          <w:t xml:space="preserve">https://pypi.org/pypi/langgraph/json</w:t>
        </w:r>
      </w:hyperlink>
      <w:r>
        <w:t xml:space="preserve"> </w:t>
      </w:r>
      <w:r>
        <w:t xml:space="preserve">accessed 2026-10-07; A4-S033: LangChain and LangGraph Agent Frameworks Reach v1.0 Milestones</w:t>
      </w:r>
      <w:r>
        <w:t xml:space="preserve"> </w:t>
      </w:r>
      <w:hyperlink r:id="rId1031">
        <w:r>
          <w:rPr>
            <w:rStyle w:val="Hyperlink"/>
          </w:rPr>
          <w:t xml:space="preserve">https://www.langchain.com/blog/langchain-langgraph-1dot0</w:t>
        </w:r>
      </w:hyperlink>
      <w:r>
        <w:t xml:space="preserve"> </w:t>
      </w:r>
      <w:r>
        <w:t xml:space="preserve">accessed 2026-10-07 [search-tool extract]</w:t>
      </w:r>
    </w:p>
  </w:footnote>
  <w:footnote w:id="1032">
    <w:p>
      <w:pPr>
        <w:pStyle w:val="FootnoteText"/>
      </w:pPr>
      <w:r>
        <w:rPr>
          <w:rStyle w:val="FootnoteReference"/>
        </w:rPr>
        <w:footnoteRef/>
      </w:r>
      <w:r>
        <w:t xml:space="preserve"> </w:t>
      </w:r>
      <w:r>
        <w:t xml:space="preserve">Verified fact — A4-S036: LangSmith Plans and Pricing (LangChain)</w:t>
      </w:r>
      <w:r>
        <w:t xml:space="preserve"> </w:t>
      </w:r>
      <w:hyperlink r:id="rId62">
        <w:r>
          <w:rPr>
            <w:rStyle w:val="Hyperlink"/>
          </w:rPr>
          <w:t xml:space="preserve">https://www.langchain.com/pricing</w:t>
        </w:r>
      </w:hyperlink>
      <w:r>
        <w:t xml:space="preserve"> </w:t>
      </w:r>
      <w:r>
        <w:t xml:space="preserve">accessed 2026-10-07 [search-tool extract]</w:t>
      </w:r>
    </w:p>
  </w:footnote>
  <w:footnote w:id="1033">
    <w:p>
      <w:pPr>
        <w:pStyle w:val="FootnoteText"/>
      </w:pPr>
      <w:r>
        <w:rPr>
          <w:rStyle w:val="FootnoteReference"/>
        </w:rPr>
        <w:footnoteRef/>
      </w:r>
      <w:r>
        <w:t xml:space="preserve"> </w:t>
      </w:r>
      <w:r>
        <w:t xml:space="preserve">Verified fact — A4-S001: PyPI JSON metadata: langgraph (Python Package Index)</w:t>
      </w:r>
      <w:r>
        <w:t xml:space="preserve"> </w:t>
      </w:r>
      <w:hyperlink r:id="rId1030">
        <w:r>
          <w:rPr>
            <w:rStyle w:val="Hyperlink"/>
          </w:rPr>
          <w:t xml:space="preserve">https://pypi.org/pypi/langgraph/json</w:t>
        </w:r>
      </w:hyperlink>
      <w:r>
        <w:t xml:space="preserve"> </w:t>
      </w:r>
      <w:r>
        <w:t xml:space="preserve">accessed 2026-10-07; A4-S039: LangGraph Persistence / Durable execution / Interrupts - Docs by LangChain</w:t>
      </w:r>
      <w:r>
        <w:t xml:space="preserve"> </w:t>
      </w:r>
      <w:hyperlink r:id="rId1020">
        <w:r>
          <w:rPr>
            <w:rStyle w:val="Hyperlink"/>
          </w:rPr>
          <w:t xml:space="preserve">https://docs.langchain.com/oss/python/langgraph/durable-execution</w:t>
        </w:r>
      </w:hyperlink>
      <w:r>
        <w:t xml:space="preserve"> </w:t>
      </w:r>
      <w:r>
        <w:t xml:space="preserve">accessed 2026-10-07 [search-tool extract]</w:t>
      </w:r>
    </w:p>
  </w:footnote>
  <w:footnote w:id="1034">
    <w:p>
      <w:pPr>
        <w:pStyle w:val="FootnoteText"/>
      </w:pPr>
      <w:r>
        <w:rPr>
          <w:rStyle w:val="FootnoteReference"/>
        </w:rPr>
        <w:footnoteRef/>
      </w:r>
      <w:r>
        <w:t xml:space="preserve"> </w:t>
      </w:r>
      <w:r>
        <w:t xml:space="preserve">Verified fact — A4-S118: LangGraph README (GitHub) (LangChain)</w:t>
      </w:r>
      <w:r>
        <w:t xml:space="preserve"> </w:t>
      </w:r>
      <w:hyperlink r:id="rId1019">
        <w:r>
          <w:rPr>
            <w:rStyle w:val="Hyperlink"/>
          </w:rPr>
          <w:t xml:space="preserve">https://raw.githubusercontent.com/langchain-ai/langgraph/main/README.md</w:t>
        </w:r>
      </w:hyperlink>
      <w:r>
        <w:t xml:space="preserve"> </w:t>
      </w:r>
      <w:r>
        <w:t xml:space="preserve">accessed 2026-10-07; A4-S039: LangGraph Persistence / Durable execution / Interrupts - Docs by LangChain</w:t>
      </w:r>
      <w:r>
        <w:t xml:space="preserve"> </w:t>
      </w:r>
      <w:hyperlink r:id="rId1020">
        <w:r>
          <w:rPr>
            <w:rStyle w:val="Hyperlink"/>
          </w:rPr>
          <w:t xml:space="preserve">https://docs.langchain.com/oss/python/langgraph/durable-execution</w:t>
        </w:r>
      </w:hyperlink>
      <w:r>
        <w:t xml:space="preserve"> </w:t>
      </w:r>
      <w:r>
        <w:t xml:space="preserve">accessed 2026-10-07 [search-tool extract]; A4-S031: Product naming changes: LangSmith Deployment and LangSmith Studio (LangChain)</w:t>
      </w:r>
      <w:r>
        <w:t xml:space="preserve"> </w:t>
      </w:r>
      <w:hyperlink r:id="rId1035">
        <w:r>
          <w:rPr>
            <w:rStyle w:val="Hyperlink"/>
          </w:rPr>
          <w:t xml:space="preserve">https://changelog.langchain.com/announcements/product-naming-changes-langsmith-deployment-and-langsmith-studio</w:t>
        </w:r>
      </w:hyperlink>
      <w:r>
        <w:t xml:space="preserve"> </w:t>
      </w:r>
      <w:r>
        <w:t xml:space="preserve">accessed 2026-10-07 [search-tool extract]</w:t>
      </w:r>
    </w:p>
  </w:footnote>
  <w:footnote w:id="1036">
    <w:p>
      <w:pPr>
        <w:pStyle w:val="FootnoteText"/>
      </w:pPr>
      <w:r>
        <w:rPr>
          <w:rStyle w:val="FootnoteReference"/>
        </w:rPr>
        <w:footnoteRef/>
      </w:r>
      <w:r>
        <w:t xml:space="preserve"> </w:t>
      </w:r>
      <w:r>
        <w:t xml:space="preserve">Verified fact — A4-S033: LangChain and LangGraph Agent Frameworks Reach v1.0 Milestones</w:t>
      </w:r>
      <w:r>
        <w:t xml:space="preserve"> </w:t>
      </w:r>
      <w:hyperlink r:id="rId1031">
        <w:r>
          <w:rPr>
            <w:rStyle w:val="Hyperlink"/>
          </w:rPr>
          <w:t xml:space="preserve">https://www.langchain.com/blog/langchain-langgraph-1dot0</w:t>
        </w:r>
      </w:hyperlink>
      <w:r>
        <w:t xml:space="preserve"> </w:t>
      </w:r>
      <w:r>
        <w:t xml:space="preserve">accessed 2026-10-07 [search-tool extract]</w:t>
      </w:r>
    </w:p>
  </w:footnote>
  <w:footnote w:id="1037">
    <w:p>
      <w:pPr>
        <w:pStyle w:val="FootnoteText"/>
      </w:pPr>
      <w:r>
        <w:rPr>
          <w:rStyle w:val="FootnoteReference"/>
        </w:rPr>
        <w:footnoteRef/>
      </w:r>
      <w:r>
        <w:t xml:space="preserve"> </w:t>
      </w:r>
      <w:r>
        <w:t xml:space="preserve">Verified fact — A4-S036: LangSmith Plans and Pricing (LangChain)</w:t>
      </w:r>
      <w:r>
        <w:t xml:space="preserve"> </w:t>
      </w:r>
      <w:hyperlink r:id="rId62">
        <w:r>
          <w:rPr>
            <w:rStyle w:val="Hyperlink"/>
          </w:rPr>
          <w:t xml:space="preserve">https://www.langchain.com/pricing</w:t>
        </w:r>
      </w:hyperlink>
      <w:r>
        <w:t xml:space="preserve"> </w:t>
      </w:r>
      <w:r>
        <w:t xml:space="preserve">accessed 2026-10-07 [search-tool extract]; A4-S037: LangSmith Deployment - Docs by LangChain</w:t>
      </w:r>
      <w:r>
        <w:t xml:space="preserve"> </w:t>
      </w:r>
      <w:hyperlink r:id="rId1026">
        <w:r>
          <w:rPr>
            <w:rStyle w:val="Hyperlink"/>
          </w:rPr>
          <w:t xml:space="preserve">https://docs.langchain.com/langsmith/deployment</w:t>
        </w:r>
      </w:hyperlink>
      <w:r>
        <w:t xml:space="preserve"> </w:t>
      </w:r>
      <w:r>
        <w:t xml:space="preserve">accessed 2026-10-07 [search-tool extract]</w:t>
      </w:r>
    </w:p>
  </w:footnote>
  <w:footnote w:id="1038">
    <w:p>
      <w:pPr>
        <w:pStyle w:val="FootnoteText"/>
      </w:pPr>
      <w:r>
        <w:rPr>
          <w:rStyle w:val="FootnoteReference"/>
        </w:rPr>
        <w:footnoteRef/>
      </w:r>
      <w:r>
        <w:t xml:space="preserve"> </w:t>
      </w:r>
      <w:r>
        <w:t xml:space="preserve">Verified fact — A4-S039: LangGraph Persistence / Durable execution / Interrupts - Docs by LangChain</w:t>
      </w:r>
      <w:r>
        <w:t xml:space="preserve"> </w:t>
      </w:r>
      <w:hyperlink r:id="rId1020">
        <w:r>
          <w:rPr>
            <w:rStyle w:val="Hyperlink"/>
          </w:rPr>
          <w:t xml:space="preserve">https://docs.langchain.com/oss/python/langgraph/durable-execution</w:t>
        </w:r>
      </w:hyperlink>
      <w:r>
        <w:t xml:space="preserve"> </w:t>
      </w:r>
      <w:r>
        <w:t xml:space="preserve">accessed 2026-10-07 [search-tool extract]</w:t>
      </w:r>
    </w:p>
  </w:footnote>
  <w:footnote w:id="1039">
    <w:p>
      <w:pPr>
        <w:pStyle w:val="FootnoteText"/>
      </w:pPr>
      <w:r>
        <w:rPr>
          <w:rStyle w:val="FootnoteReference"/>
        </w:rPr>
        <w:footnoteRef/>
      </w:r>
      <w:r>
        <w:t xml:space="preserve"> </w:t>
      </w:r>
      <w:r>
        <w:t xml:space="preserve">Verified fact — B-L3-S007: LangGraph security advisories (GitHub) and NVD entries (LangChain / GitHub / NIST NVD)</w:t>
      </w:r>
      <w:r>
        <w:t xml:space="preserve"> </w:t>
      </w:r>
      <w:hyperlink r:id="rId1024">
        <w:r>
          <w:rPr>
            <w:rStyle w:val="Hyperlink"/>
          </w:rPr>
          <w:t xml:space="preserve">https://github.com/langchain-ai/langgraph/security</w:t>
        </w:r>
      </w:hyperlink>
      <w:r>
        <w:t xml:space="preserve"> </w:t>
      </w:r>
      <w:r>
        <w:t xml:space="preserve">accessed 2026-10-08 [search-tool extract]</w:t>
      </w:r>
    </w:p>
  </w:footnote>
  <w:footnote w:id="1040">
    <w:p>
      <w:pPr>
        <w:pStyle w:val="FootnoteText"/>
      </w:pPr>
      <w:r>
        <w:rPr>
          <w:rStyle w:val="FootnoteReference"/>
        </w:rPr>
        <w:footnoteRef/>
      </w:r>
      <w:r>
        <w:t xml:space="preserve"> </w:t>
      </w:r>
      <w:r>
        <w:t xml:space="preserve">Verified fact — A4-S034: LangSmith Regions FAQ (LangChain)</w:t>
      </w:r>
      <w:r>
        <w:t xml:space="preserve"> </w:t>
      </w:r>
      <w:hyperlink r:id="rId58">
        <w:r>
          <w:rPr>
            <w:rStyle w:val="Hyperlink"/>
          </w:rPr>
          <w:t xml:space="preserve">https://docs.langchain.com/langsmith/regions-faq</w:t>
        </w:r>
      </w:hyperlink>
      <w:r>
        <w:t xml:space="preserve"> </w:t>
      </w:r>
      <w:r>
        <w:t xml:space="preserve">accessed 2026-10-07 [search-tool extract]; A4-S035: LangChain Enterprise</w:t>
      </w:r>
      <w:r>
        <w:t xml:space="preserve"> </w:t>
      </w:r>
      <w:hyperlink r:id="rId1041">
        <w:r>
          <w:rPr>
            <w:rStyle w:val="Hyperlink"/>
          </w:rPr>
          <w:t xml:space="preserve">https://www.langchain.com/enterprise</w:t>
        </w:r>
      </w:hyperlink>
      <w:r>
        <w:t xml:space="preserve"> </w:t>
      </w:r>
      <w:r>
        <w:t xml:space="preserve">accessed 2026-10-07 [search-tool extract]; A4-S149: LangSmith Engine security - Docs by LangChain (with Trust Center, enterprise and shared-responsibility pages)</w:t>
      </w:r>
      <w:r>
        <w:t xml:space="preserve"> </w:t>
      </w:r>
      <w:hyperlink r:id="rId59">
        <w:r>
          <w:rPr>
            <w:rStyle w:val="Hyperlink"/>
          </w:rPr>
          <w:t xml:space="preserve">https://docs.langchain.com/langsmith/engine-security</w:t>
        </w:r>
      </w:hyperlink>
      <w:r>
        <w:t xml:space="preserve"> </w:t>
      </w:r>
      <w:r>
        <w:t xml:space="preserve">accessed 2026-10-07 [search-tool extract]</w:t>
      </w:r>
    </w:p>
  </w:footnote>
  <w:footnote w:id="1042">
    <w:p>
      <w:pPr>
        <w:pStyle w:val="FootnoteText"/>
      </w:pPr>
      <w:r>
        <w:rPr>
          <w:rStyle w:val="FootnoteReference"/>
        </w:rPr>
        <w:footnoteRef/>
      </w:r>
      <w:r>
        <w:t xml:space="preserve"> </w:t>
      </w:r>
      <w:r>
        <w:t xml:space="preserve">Verified fact — A4-S037: LangSmith Deployment - Docs by LangChain</w:t>
      </w:r>
      <w:r>
        <w:t xml:space="preserve"> </w:t>
      </w:r>
      <w:hyperlink r:id="rId1026">
        <w:r>
          <w:rPr>
            <w:rStyle w:val="Hyperlink"/>
          </w:rPr>
          <w:t xml:space="preserve">https://docs.langchain.com/langsmith/deployment</w:t>
        </w:r>
      </w:hyperlink>
      <w:r>
        <w:t xml:space="preserve"> </w:t>
      </w:r>
      <w:r>
        <w:t xml:space="preserve">accessed 2026-10-07 [search-tool extract]</w:t>
      </w:r>
    </w:p>
  </w:footnote>
  <w:footnote w:id="1044">
    <w:p>
      <w:pPr>
        <w:pStyle w:val="FootnoteText"/>
      </w:pPr>
      <w:r>
        <w:rPr>
          <w:rStyle w:val="FootnoteReference"/>
        </w:rPr>
        <w:footnoteRef/>
      </w:r>
      <w:r>
        <w:t xml:space="preserve"> </w:t>
      </w:r>
      <w:r>
        <w:t xml:space="preserve">Verified fact — A4-S019: PyPI JSON metadata: temporalio (Python Package Index)</w:t>
      </w:r>
      <w:r>
        <w:t xml:space="preserve"> </w:t>
      </w:r>
      <w:hyperlink r:id="rId1045">
        <w:r>
          <w:rPr>
            <w:rStyle w:val="Hyperlink"/>
          </w:rPr>
          <w:t xml:space="preserve">https://pypi.org/pypi/temporalio/json</w:t>
        </w:r>
      </w:hyperlink>
      <w:r>
        <w:t xml:space="preserve"> </w:t>
      </w:r>
      <w:r>
        <w:t xml:space="preserve">accessed 2026-10-07; A4-S045: Pydantic AI Durable Execution (overview, Temporal, DBOS, Prefect)</w:t>
      </w:r>
      <w:r>
        <w:t xml:space="preserve"> </w:t>
      </w:r>
      <w:hyperlink r:id="rId1046">
        <w:r>
          <w:rPr>
            <w:rStyle w:val="Hyperlink"/>
          </w:rPr>
          <w:t xml:space="preserve">https://pydantic.dev/docs/ai/capabilities/durable_execution/overview/</w:t>
        </w:r>
      </w:hyperlink>
      <w:r>
        <w:t xml:space="preserve"> </w:t>
      </w:r>
      <w:r>
        <w:t xml:space="preserve">accessed 2026-10-07 [search-tool extract]</w:t>
      </w:r>
    </w:p>
  </w:footnote>
  <w:footnote w:id="1047">
    <w:p>
      <w:pPr>
        <w:pStyle w:val="FootnoteText"/>
      </w:pPr>
      <w:r>
        <w:rPr>
          <w:rStyle w:val="FootnoteReference"/>
        </w:rPr>
        <w:footnoteRef/>
      </w:r>
      <w:r>
        <w:t xml:space="preserve"> </w:t>
      </w:r>
      <w:r>
        <w:t xml:space="preserve">Verified fact — B-L3-S003: Temporal Cloud account access / SCIM / audit logs (Temporal Technologies Inc.)</w:t>
      </w:r>
      <w:r>
        <w:t xml:space="preserve"> </w:t>
      </w:r>
      <w:hyperlink r:id="rId1048">
        <w:r>
          <w:rPr>
            <w:rStyle w:val="Hyperlink"/>
          </w:rPr>
          <w:t xml:space="preserve">https://docs.temporal.io/cloud/manage-access</w:t>
        </w:r>
      </w:hyperlink>
      <w:r>
        <w:t xml:space="preserve"> </w:t>
      </w:r>
      <w:r>
        <w:t xml:space="preserve">accessed 2026-10-08 [search-tool extract]</w:t>
      </w:r>
    </w:p>
  </w:footnote>
  <w:footnote w:id="1049">
    <w:p>
      <w:pPr>
        <w:pStyle w:val="FootnoteText"/>
      </w:pPr>
      <w:r>
        <w:rPr>
          <w:rStyle w:val="FootnoteReference"/>
        </w:rPr>
        <w:footnoteRef/>
      </w:r>
      <w:r>
        <w:t xml:space="preserve"> </w:t>
      </w:r>
      <w:r>
        <w:t xml:space="preserve">Verified fact — B-L3-S001: Temporal security / Trust Center / Cloud security model (Temporal Technologies Inc.)</w:t>
      </w:r>
      <w:r>
        <w:t xml:space="preserve"> </w:t>
      </w:r>
      <w:hyperlink r:id="rId1050">
        <w:r>
          <w:rPr>
            <w:rStyle w:val="Hyperlink"/>
          </w:rPr>
          <w:t xml:space="preserve">https://trust.temporal.io/</w:t>
        </w:r>
      </w:hyperlink>
      <w:r>
        <w:t xml:space="preserve"> </w:t>
      </w:r>
      <w:r>
        <w:t xml:space="preserve">accessed 2026-10-08 [search-tool extract]</w:t>
      </w:r>
    </w:p>
  </w:footnote>
  <w:footnote w:id="1051">
    <w:p>
      <w:pPr>
        <w:pStyle w:val="FootnoteText"/>
      </w:pPr>
      <w:r>
        <w:rPr>
          <w:rStyle w:val="FootnoteReference"/>
        </w:rPr>
        <w:footnoteRef/>
      </w:r>
      <w:r>
        <w:t xml:space="preserve"> </w:t>
      </w:r>
      <w:r>
        <w:t xml:space="preserve">Verified fact — B-L3-S002: Temporal server repository; production deployment and Cloud overview docs (Temporal Technologies Inc.)</w:t>
      </w:r>
      <w:r>
        <w:t xml:space="preserve"> </w:t>
      </w:r>
      <w:hyperlink r:id="rId1052">
        <w:r>
          <w:rPr>
            <w:rStyle w:val="Hyperlink"/>
          </w:rPr>
          <w:t xml:space="preserve">https://github.com/temporalio/temporal</w:t>
        </w:r>
      </w:hyperlink>
      <w:r>
        <w:t xml:space="preserve"> </w:t>
      </w:r>
      <w:r>
        <w:t xml:space="preserve">accessed 2026-10-08 [search-tool extract]</w:t>
      </w:r>
    </w:p>
  </w:footnote>
  <w:footnote w:id="1053">
    <w:p>
      <w:pPr>
        <w:pStyle w:val="FootnoteText"/>
      </w:pPr>
      <w:r>
        <w:rPr>
          <w:rStyle w:val="FootnoteReference"/>
        </w:rPr>
        <w:footnoteRef/>
      </w:r>
      <w:r>
        <w:t xml:space="preserve"> </w:t>
      </w:r>
      <w:r>
        <w:t xml:space="preserve">Verified fact — A4-S045: Pydantic AI Durable Execution (overview, Temporal, DBOS, Prefect)</w:t>
      </w:r>
      <w:r>
        <w:t xml:space="preserve"> </w:t>
      </w:r>
      <w:hyperlink r:id="rId1046">
        <w:r>
          <w:rPr>
            <w:rStyle w:val="Hyperlink"/>
          </w:rPr>
          <w:t xml:space="preserve">https://pydantic.dev/docs/ai/capabilities/durable_execution/overview/</w:t>
        </w:r>
      </w:hyperlink>
      <w:r>
        <w:t xml:space="preserve"> </w:t>
      </w:r>
      <w:r>
        <w:t xml:space="preserve">accessed 2026-10-07 [search-tool extract]; A4-S052: OpenAI Agents SDK documentation (agents, sessions, handoffs, guardrails, tracing, running agents)</w:t>
      </w:r>
      <w:r>
        <w:t xml:space="preserve"> </w:t>
      </w:r>
      <w:hyperlink r:id="rId1054">
        <w:r>
          <w:rPr>
            <w:rStyle w:val="Hyperlink"/>
          </w:rPr>
          <w:t xml:space="preserve">https://openai.github.io/openai-agents-python/</w:t>
        </w:r>
      </w:hyperlink>
      <w:r>
        <w:t xml:space="preserve"> </w:t>
      </w:r>
      <w:r>
        <w:t xml:space="preserve">accessed 2026-10-07 [search-tool extract]; A4-S058: Workflows for work that runs the business (Mistral Workflows) (Mistral AI)</w:t>
      </w:r>
      <w:r>
        <w:t xml:space="preserve"> </w:t>
      </w:r>
      <w:hyperlink r:id="rId1055">
        <w:r>
          <w:rPr>
            <w:rStyle w:val="Hyperlink"/>
          </w:rPr>
          <w:t xml:space="preserve">https://mistral.ai/news/workflows/</w:t>
        </w:r>
      </w:hyperlink>
      <w:r>
        <w:t xml:space="preserve"> </w:t>
      </w:r>
      <w:r>
        <w:t xml:space="preserve">accessed 2026-10-07 [search-tool extract]</w:t>
      </w:r>
    </w:p>
  </w:footnote>
  <w:footnote w:id="1056">
    <w:p>
      <w:pPr>
        <w:pStyle w:val="FootnoteText"/>
      </w:pPr>
      <w:r>
        <w:rPr>
          <w:rStyle w:val="FootnoteReference"/>
        </w:rPr>
        <w:footnoteRef/>
      </w:r>
      <w:r>
        <w:t xml:space="preserve"> </w:t>
      </w:r>
      <w:r>
        <w:t xml:space="preserve">Verified fact — A4-S019: PyPI JSON metadata: temporalio (Python Package Index)</w:t>
      </w:r>
      <w:r>
        <w:t xml:space="preserve"> </w:t>
      </w:r>
      <w:hyperlink r:id="rId1045">
        <w:r>
          <w:rPr>
            <w:rStyle w:val="Hyperlink"/>
          </w:rPr>
          <w:t xml:space="preserve">https://pypi.org/pypi/temporalio/json</w:t>
        </w:r>
      </w:hyperlink>
      <w:r>
        <w:t xml:space="preserve"> </w:t>
      </w:r>
      <w:r>
        <w:t xml:space="preserve">accessed 2026-10-07</w:t>
      </w:r>
    </w:p>
  </w:footnote>
  <w:footnote w:id="1057">
    <w:p>
      <w:pPr>
        <w:pStyle w:val="FootnoteText"/>
      </w:pPr>
      <w:r>
        <w:rPr>
          <w:rStyle w:val="FootnoteReference"/>
        </w:rPr>
        <w:footnoteRef/>
      </w:r>
      <w:r>
        <w:t xml:space="preserve"> </w:t>
      </w:r>
      <w:r>
        <w:t xml:space="preserve">Verified fact — B-L3-S002: Temporal server repository; production deployment and Cloud overview docs (Temporal Technologies Inc.)</w:t>
      </w:r>
      <w:r>
        <w:t xml:space="preserve"> </w:t>
      </w:r>
      <w:hyperlink r:id="rId1052">
        <w:r>
          <w:rPr>
            <w:rStyle w:val="Hyperlink"/>
          </w:rPr>
          <w:t xml:space="preserve">https://github.com/temporalio/temporal</w:t>
        </w:r>
      </w:hyperlink>
      <w:r>
        <w:t xml:space="preserve"> </w:t>
      </w:r>
      <w:r>
        <w:t xml:space="preserve">accessed 2026-10-08 [search-tool extract]</w:t>
      </w:r>
    </w:p>
  </w:footnote>
  <w:footnote w:id="1058">
    <w:p>
      <w:pPr>
        <w:pStyle w:val="FootnoteText"/>
      </w:pPr>
      <w:r>
        <w:rPr>
          <w:rStyle w:val="FootnoteReference"/>
        </w:rPr>
        <w:footnoteRef/>
      </w:r>
      <w:r>
        <w:t xml:space="preserve"> </w:t>
      </w:r>
      <w:r>
        <w:t xml:space="preserve">Verified fact — B-L3-S002: Temporal server repository; production deployment and Cloud overview docs (Temporal Technologies Inc.)</w:t>
      </w:r>
      <w:r>
        <w:t xml:space="preserve"> </w:t>
      </w:r>
      <w:hyperlink r:id="rId1052">
        <w:r>
          <w:rPr>
            <w:rStyle w:val="Hyperlink"/>
          </w:rPr>
          <w:t xml:space="preserve">https://github.com/temporalio/temporal</w:t>
        </w:r>
      </w:hyperlink>
      <w:r>
        <w:t xml:space="preserve"> </w:t>
      </w:r>
      <w:r>
        <w:t xml:space="preserve">accessed 2026-10-08 [search-tool extract]</w:t>
      </w:r>
    </w:p>
  </w:footnote>
  <w:footnote w:id="1059">
    <w:p>
      <w:pPr>
        <w:pStyle w:val="FootnoteText"/>
      </w:pPr>
      <w:r>
        <w:rPr>
          <w:rStyle w:val="FootnoteReference"/>
        </w:rPr>
        <w:footnoteRef/>
      </w:r>
      <w:r>
        <w:t xml:space="preserve"> </w:t>
      </w:r>
      <w:r>
        <w:t xml:space="preserve">Verified fact — A4-S019: PyPI JSON metadata: temporalio (Python Package Index)</w:t>
      </w:r>
      <w:r>
        <w:t xml:space="preserve"> </w:t>
      </w:r>
      <w:hyperlink r:id="rId1045">
        <w:r>
          <w:rPr>
            <w:rStyle w:val="Hyperlink"/>
          </w:rPr>
          <w:t xml:space="preserve">https://pypi.org/pypi/temporalio/json</w:t>
        </w:r>
      </w:hyperlink>
      <w:r>
        <w:t xml:space="preserve"> </w:t>
      </w:r>
      <w:r>
        <w:t xml:space="preserve">accessed 2026-10-07; A4-S045: Pydantic AI Durable Execution (overview, Temporal, DBOS, Prefect)</w:t>
      </w:r>
      <w:r>
        <w:t xml:space="preserve"> </w:t>
      </w:r>
      <w:hyperlink r:id="rId1046">
        <w:r>
          <w:rPr>
            <w:rStyle w:val="Hyperlink"/>
          </w:rPr>
          <w:t xml:space="preserve">https://pydantic.dev/docs/ai/capabilities/durable_execution/overview/</w:t>
        </w:r>
      </w:hyperlink>
      <w:r>
        <w:t xml:space="preserve"> </w:t>
      </w:r>
      <w:r>
        <w:t xml:space="preserve">accessed 2026-10-07 [search-tool extract]; A4-S052: OpenAI Agents SDK documentation (agents, sessions, handoffs, guardrails, tracing, running agents)</w:t>
      </w:r>
      <w:r>
        <w:t xml:space="preserve"> </w:t>
      </w:r>
      <w:hyperlink r:id="rId1054">
        <w:r>
          <w:rPr>
            <w:rStyle w:val="Hyperlink"/>
          </w:rPr>
          <w:t xml:space="preserve">https://openai.github.io/openai-agents-python/</w:t>
        </w:r>
      </w:hyperlink>
      <w:r>
        <w:t xml:space="preserve"> </w:t>
      </w:r>
      <w:r>
        <w:t xml:space="preserve">accessed 2026-10-07 [search-tool extract]; A4-S058: Workflows for work that runs the business (Mistral Workflows) (Mistral AI)</w:t>
      </w:r>
      <w:r>
        <w:t xml:space="preserve"> </w:t>
      </w:r>
      <w:hyperlink r:id="rId1055">
        <w:r>
          <w:rPr>
            <w:rStyle w:val="Hyperlink"/>
          </w:rPr>
          <w:t xml:space="preserve">https://mistral.ai/news/workflows/</w:t>
        </w:r>
      </w:hyperlink>
      <w:r>
        <w:t xml:space="preserve"> </w:t>
      </w:r>
      <w:r>
        <w:t xml:space="preserve">accessed 2026-10-07 [search-tool extract]; B-L3-S002: Temporal server repository; production deployment and Cloud overview docs (Temporal Technologies Inc.)</w:t>
      </w:r>
      <w:r>
        <w:t xml:space="preserve"> </w:t>
      </w:r>
      <w:hyperlink r:id="rId1052">
        <w:r>
          <w:rPr>
            <w:rStyle w:val="Hyperlink"/>
          </w:rPr>
          <w:t xml:space="preserve">https://github.com/temporalio/temporal</w:t>
        </w:r>
      </w:hyperlink>
      <w:r>
        <w:t xml:space="preserve"> </w:t>
      </w:r>
      <w:r>
        <w:t xml:space="preserve">accessed 2026-10-08 [search-tool extract]</w:t>
      </w:r>
    </w:p>
  </w:footnote>
  <w:footnote w:id="1060">
    <w:p>
      <w:pPr>
        <w:pStyle w:val="FootnoteText"/>
      </w:pPr>
      <w:r>
        <w:rPr>
          <w:rStyle w:val="FootnoteReference"/>
        </w:rPr>
        <w:footnoteRef/>
      </w:r>
      <w:r>
        <w:t xml:space="preserve"> </w:t>
      </w:r>
      <w:r>
        <w:t xml:space="preserve">Verified fact — B-L3-S002: Temporal server repository; production deployment and Cloud overview docs (Temporal Technologies Inc.)</w:t>
      </w:r>
      <w:r>
        <w:t xml:space="preserve"> </w:t>
      </w:r>
      <w:hyperlink r:id="rId1052">
        <w:r>
          <w:rPr>
            <w:rStyle w:val="Hyperlink"/>
          </w:rPr>
          <w:t xml:space="preserve">https://github.com/temporalio/temporal</w:t>
        </w:r>
      </w:hyperlink>
      <w:r>
        <w:t xml:space="preserve"> </w:t>
      </w:r>
      <w:r>
        <w:t xml:space="preserve">accessed 2026-10-08 [search-tool extract]</w:t>
      </w:r>
    </w:p>
  </w:footnote>
  <w:footnote w:id="1061">
    <w:p>
      <w:pPr>
        <w:pStyle w:val="FootnoteText"/>
      </w:pPr>
      <w:r>
        <w:rPr>
          <w:rStyle w:val="FootnoteReference"/>
        </w:rPr>
        <w:footnoteRef/>
      </w:r>
      <w:r>
        <w:t xml:space="preserve"> </w:t>
      </w:r>
      <w:r>
        <w:t xml:space="preserve">Verified fact — B-L3-S003: Temporal Cloud account access / SCIM / audit logs (Temporal Technologies Inc.)</w:t>
      </w:r>
      <w:r>
        <w:t xml:space="preserve"> </w:t>
      </w:r>
      <w:hyperlink r:id="rId1048">
        <w:r>
          <w:rPr>
            <w:rStyle w:val="Hyperlink"/>
          </w:rPr>
          <w:t xml:space="preserve">https://docs.temporal.io/cloud/manage-access</w:t>
        </w:r>
      </w:hyperlink>
      <w:r>
        <w:t xml:space="preserve"> </w:t>
      </w:r>
      <w:r>
        <w:t xml:space="preserve">accessed 2026-10-08 [search-tool extract]</w:t>
      </w:r>
    </w:p>
  </w:footnote>
  <w:footnote w:id="1062">
    <w:p>
      <w:pPr>
        <w:pStyle w:val="FootnoteText"/>
      </w:pPr>
      <w:r>
        <w:rPr>
          <w:rStyle w:val="FootnoteReference"/>
        </w:rPr>
        <w:footnoteRef/>
      </w:r>
      <w:r>
        <w:t xml:space="preserve"> </w:t>
      </w:r>
      <w:r>
        <w:t xml:space="preserve">Verified fact — B-L3-S002: Temporal server repository; production deployment and Cloud overview docs (Temporal Technologies Inc.)</w:t>
      </w:r>
      <w:r>
        <w:t xml:space="preserve"> </w:t>
      </w:r>
      <w:hyperlink r:id="rId1052">
        <w:r>
          <w:rPr>
            <w:rStyle w:val="Hyperlink"/>
          </w:rPr>
          <w:t xml:space="preserve">https://github.com/temporalio/temporal</w:t>
        </w:r>
      </w:hyperlink>
      <w:r>
        <w:t xml:space="preserve"> </w:t>
      </w:r>
      <w:r>
        <w:t xml:space="preserve">accessed 2026-10-08 [search-tool extract]</w:t>
      </w:r>
    </w:p>
  </w:footnote>
  <w:footnote w:id="1063">
    <w:p>
      <w:pPr>
        <w:pStyle w:val="FootnoteText"/>
      </w:pPr>
      <w:r>
        <w:rPr>
          <w:rStyle w:val="FootnoteReference"/>
        </w:rPr>
        <w:footnoteRef/>
      </w:r>
      <w:r>
        <w:t xml:space="preserve"> </w:t>
      </w:r>
      <w:r>
        <w:t xml:space="preserve">Verified fact — B-L3-S001: Temporal security / Trust Center / Cloud security model (Temporal Technologies Inc.)</w:t>
      </w:r>
      <w:r>
        <w:t xml:space="preserve"> </w:t>
      </w:r>
      <w:hyperlink r:id="rId1050">
        <w:r>
          <w:rPr>
            <w:rStyle w:val="Hyperlink"/>
          </w:rPr>
          <w:t xml:space="preserve">https://trust.temporal.io/</w:t>
        </w:r>
      </w:hyperlink>
      <w:r>
        <w:t xml:space="preserve"> </w:t>
      </w:r>
      <w:r>
        <w:t xml:space="preserve">accessed 2026-10-08 [search-tool extract]</w:t>
      </w:r>
    </w:p>
  </w:footnote>
  <w:footnote w:id="1064">
    <w:p>
      <w:pPr>
        <w:pStyle w:val="FootnoteText"/>
      </w:pPr>
      <w:r>
        <w:rPr>
          <w:rStyle w:val="FootnoteReference"/>
        </w:rPr>
        <w:footnoteRef/>
      </w:r>
      <w:r>
        <w:t xml:space="preserve"> </w:t>
      </w:r>
      <w:r>
        <w:t xml:space="preserve">Verified fact — B-L3-S001: Temporal security / Trust Center / Cloud security model (Temporal Technologies Inc.)</w:t>
      </w:r>
      <w:r>
        <w:t xml:space="preserve"> </w:t>
      </w:r>
      <w:hyperlink r:id="rId1050">
        <w:r>
          <w:rPr>
            <w:rStyle w:val="Hyperlink"/>
          </w:rPr>
          <w:t xml:space="preserve">https://trust.temporal.io/</w:t>
        </w:r>
      </w:hyperlink>
      <w:r>
        <w:t xml:space="preserve"> </w:t>
      </w:r>
      <w:r>
        <w:t xml:space="preserve">accessed 2026-10-08 [search-tool extract]</w:t>
      </w:r>
    </w:p>
  </w:footnote>
  <w:footnote w:id="1066">
    <w:p>
      <w:pPr>
        <w:pStyle w:val="FootnoteText"/>
      </w:pPr>
      <w:r>
        <w:rPr>
          <w:rStyle w:val="FootnoteReference"/>
        </w:rPr>
        <w:footnoteRef/>
      </w:r>
      <w:r>
        <w:t xml:space="preserve"> </w:t>
      </w:r>
      <w:r>
        <w:t xml:space="preserve">Verified fact — A4-S066: Microsoft Agent Framework README (GitHub)</w:t>
      </w:r>
      <w:r>
        <w:t xml:space="preserve"> </w:t>
      </w:r>
      <w:hyperlink r:id="rId1067">
        <w:r>
          <w:rPr>
            <w:rStyle w:val="Hyperlink"/>
          </w:rPr>
          <w:t xml:space="preserve">https://raw.githubusercontent.com/microsoft/agent-framework/main/README.md</w:t>
        </w:r>
      </w:hyperlink>
      <w:r>
        <w:t xml:space="preserve"> </w:t>
      </w:r>
      <w:r>
        <w:t xml:space="preserve">accessed 2026-10-07; A4-S101: PyPI JSON metadata: agent-framework-durabletask (Python Package Index)</w:t>
      </w:r>
      <w:r>
        <w:t xml:space="preserve"> </w:t>
      </w:r>
      <w:hyperlink r:id="rId1068">
        <w:r>
          <w:rPr>
            <w:rStyle w:val="Hyperlink"/>
          </w:rPr>
          <w:t xml:space="preserve">https://pypi.org/pypi/agent-framework-durabletask/json</w:t>
        </w:r>
      </w:hyperlink>
      <w:r>
        <w:t xml:space="preserve"> </w:t>
      </w:r>
      <w:r>
        <w:t xml:space="preserve">accessed 2026-10-07</w:t>
      </w:r>
    </w:p>
  </w:footnote>
  <w:footnote w:id="1069">
    <w:p>
      <w:pPr>
        <w:pStyle w:val="FootnoteText"/>
      </w:pPr>
      <w:r>
        <w:rPr>
          <w:rStyle w:val="FootnoteReference"/>
        </w:rPr>
        <w:footnoteRef/>
      </w:r>
      <w:r>
        <w:t xml:space="preserve"> </w:t>
      </w:r>
      <w:r>
        <w:t xml:space="preserve">Verified fact — A4-S012: PyPI JSON metadata: semantic-kernel (Python Package Index)</w:t>
      </w:r>
      <w:r>
        <w:t xml:space="preserve"> </w:t>
      </w:r>
      <w:hyperlink r:id="rId1070">
        <w:r>
          <w:rPr>
            <w:rStyle w:val="Hyperlink"/>
          </w:rPr>
          <w:t xml:space="preserve">https://pypi.org/pypi/semantic-kernel/json</w:t>
        </w:r>
      </w:hyperlink>
      <w:r>
        <w:t xml:space="preserve"> </w:t>
      </w:r>
      <w:r>
        <w:t xml:space="preserve">accessed 2026-10-07; B-L3-S006: Foundry Hosted Agents (Agent Framework hosting docs and Foundry blog) (Microsoft)</w:t>
      </w:r>
      <w:r>
        <w:t xml:space="preserve"> </w:t>
      </w:r>
      <w:hyperlink r:id="rId1071">
        <w:r>
          <w:rPr>
            <w:rStyle w:val="Hyperlink"/>
          </w:rPr>
          <w:t xml:space="preserve">https://learn.microsoft.com/en-us/agent-framework/hosting/foundry-hosted-agent</w:t>
        </w:r>
      </w:hyperlink>
      <w:r>
        <w:t xml:space="preserve"> </w:t>
      </w:r>
      <w:r>
        <w:t xml:space="preserve">accessed 2026-10-08 [search-tool extract]</w:t>
      </w:r>
    </w:p>
  </w:footnote>
  <w:footnote w:id="1072">
    <w:p>
      <w:pPr>
        <w:pStyle w:val="FootnoteText"/>
      </w:pPr>
      <w:r>
        <w:rPr>
          <w:rStyle w:val="FootnoteReference"/>
        </w:rPr>
        <w:footnoteRef/>
      </w:r>
      <w:r>
        <w:t xml:space="preserve"> </w:t>
      </w:r>
      <w:r>
        <w:t xml:space="preserve">Verified fact — A4-S008: PyPI JSON metadata: agent-framework (Python Package Index)</w:t>
      </w:r>
      <w:r>
        <w:t xml:space="preserve"> </w:t>
      </w:r>
      <w:hyperlink r:id="rId1073">
        <w:r>
          <w:rPr>
            <w:rStyle w:val="Hyperlink"/>
          </w:rPr>
          <w:t xml:space="preserve">https://pypi.org/pypi/agent-framework/json</w:t>
        </w:r>
      </w:hyperlink>
      <w:r>
        <w:t xml:space="preserve"> </w:t>
      </w:r>
      <w:r>
        <w:t xml:space="preserve">accessed 2026-10-07; A4-S066: Microsoft Agent Framework README (GitHub)</w:t>
      </w:r>
      <w:r>
        <w:t xml:space="preserve"> </w:t>
      </w:r>
      <w:hyperlink r:id="rId1067">
        <w:r>
          <w:rPr>
            <w:rStyle w:val="Hyperlink"/>
          </w:rPr>
          <w:t xml:space="preserve">https://raw.githubusercontent.com/microsoft/agent-framework/main/README.md</w:t>
        </w:r>
      </w:hyperlink>
      <w:r>
        <w:t xml:space="preserve"> </w:t>
      </w:r>
      <w:r>
        <w:t xml:space="preserve">accessed 2026-10-07</w:t>
      </w:r>
    </w:p>
  </w:footnote>
  <w:footnote w:id="1074">
    <w:p>
      <w:pPr>
        <w:pStyle w:val="FootnoteText"/>
      </w:pPr>
      <w:r>
        <w:rPr>
          <w:rStyle w:val="FootnoteReference"/>
        </w:rPr>
        <w:footnoteRef/>
      </w:r>
      <w:r>
        <w:t xml:space="preserve"> </w:t>
      </w:r>
      <w:r>
        <w:t xml:space="preserve">Verified fact — A4-S066: Microsoft Agent Framework README (GitHub)</w:t>
      </w:r>
      <w:r>
        <w:t xml:space="preserve"> </w:t>
      </w:r>
      <w:hyperlink r:id="rId1067">
        <w:r>
          <w:rPr>
            <w:rStyle w:val="Hyperlink"/>
          </w:rPr>
          <w:t xml:space="preserve">https://raw.githubusercontent.com/microsoft/agent-framework/main/README.md</w:t>
        </w:r>
      </w:hyperlink>
      <w:r>
        <w:t xml:space="preserve"> </w:t>
      </w:r>
      <w:r>
        <w:t xml:space="preserve">accessed 2026-10-07; A4-S008: PyPI JSON metadata: agent-framework (Python Package Index)</w:t>
      </w:r>
      <w:r>
        <w:t xml:space="preserve"> </w:t>
      </w:r>
      <w:hyperlink r:id="rId1073">
        <w:r>
          <w:rPr>
            <w:rStyle w:val="Hyperlink"/>
          </w:rPr>
          <w:t xml:space="preserve">https://pypi.org/pypi/agent-framework/json</w:t>
        </w:r>
      </w:hyperlink>
      <w:r>
        <w:t xml:space="preserve"> </w:t>
      </w:r>
      <w:r>
        <w:t xml:space="preserve">accessed 2026-10-07</w:t>
      </w:r>
    </w:p>
  </w:footnote>
  <w:footnote w:id="1075">
    <w:p>
      <w:pPr>
        <w:pStyle w:val="FootnoteText"/>
      </w:pPr>
      <w:r>
        <w:rPr>
          <w:rStyle w:val="FootnoteReference"/>
        </w:rPr>
        <w:footnoteRef/>
      </w:r>
      <w:r>
        <w:t xml:space="preserve"> </w:t>
      </w:r>
      <w:r>
        <w:t xml:space="preserve">Verified fact — A4-S008: PyPI JSON metadata: agent-framework (Python Package Index)</w:t>
      </w:r>
      <w:r>
        <w:t xml:space="preserve"> </w:t>
      </w:r>
      <w:hyperlink r:id="rId1073">
        <w:r>
          <w:rPr>
            <w:rStyle w:val="Hyperlink"/>
          </w:rPr>
          <w:t xml:space="preserve">https://pypi.org/pypi/agent-framework/json</w:t>
        </w:r>
      </w:hyperlink>
      <w:r>
        <w:t xml:space="preserve"> </w:t>
      </w:r>
      <w:r>
        <w:t xml:space="preserve">accessed 2026-10-07; A4-S012: PyPI JSON metadata: semantic-kernel (Python Package Index)</w:t>
      </w:r>
      <w:r>
        <w:t xml:space="preserve"> </w:t>
      </w:r>
      <w:hyperlink r:id="rId1070">
        <w:r>
          <w:rPr>
            <w:rStyle w:val="Hyperlink"/>
          </w:rPr>
          <w:t xml:space="preserve">https://pypi.org/pypi/semantic-kernel/json</w:t>
        </w:r>
      </w:hyperlink>
      <w:r>
        <w:t xml:space="preserve"> </w:t>
      </w:r>
      <w:r>
        <w:t xml:space="preserve">accessed 2026-10-07</w:t>
      </w:r>
    </w:p>
  </w:footnote>
  <w:footnote w:id="1076">
    <w:p>
      <w:pPr>
        <w:pStyle w:val="FootnoteText"/>
      </w:pPr>
      <w:r>
        <w:rPr>
          <w:rStyle w:val="FootnoteReference"/>
        </w:rPr>
        <w:footnoteRef/>
      </w:r>
      <w:r>
        <w:t xml:space="preserve"> </w:t>
      </w:r>
      <w:r>
        <w:t xml:space="preserve">Verified fact — A4-S067: Microsoft Agent Framework LICENSE</w:t>
      </w:r>
      <w:r>
        <w:t xml:space="preserve"> </w:t>
      </w:r>
      <w:hyperlink r:id="rId1077">
        <w:r>
          <w:rPr>
            <w:rStyle w:val="Hyperlink"/>
          </w:rPr>
          <w:t xml:space="preserve">https://raw.githubusercontent.com/microsoft/agent-framework/main/LICENSE</w:t>
        </w:r>
      </w:hyperlink>
      <w:r>
        <w:t xml:space="preserve"> </w:t>
      </w:r>
      <w:r>
        <w:t xml:space="preserve">accessed 2026-10-07</w:t>
      </w:r>
    </w:p>
  </w:footnote>
  <w:footnote w:id="1078">
    <w:p>
      <w:pPr>
        <w:pStyle w:val="FootnoteText"/>
      </w:pPr>
      <w:r>
        <w:rPr>
          <w:rStyle w:val="FootnoteReference"/>
        </w:rPr>
        <w:footnoteRef/>
      </w:r>
      <w:r>
        <w:t xml:space="preserve"> </w:t>
      </w:r>
      <w:r>
        <w:t xml:space="preserve">Verified fact — A4-S066: Microsoft Agent Framework README (GitHub)</w:t>
      </w:r>
      <w:r>
        <w:t xml:space="preserve"> </w:t>
      </w:r>
      <w:hyperlink r:id="rId1067">
        <w:r>
          <w:rPr>
            <w:rStyle w:val="Hyperlink"/>
          </w:rPr>
          <w:t xml:space="preserve">https://raw.githubusercontent.com/microsoft/agent-framework/main/README.md</w:t>
        </w:r>
      </w:hyperlink>
      <w:r>
        <w:t xml:space="preserve"> </w:t>
      </w:r>
      <w:r>
        <w:t xml:space="preserve">accessed 2026-10-07</w:t>
      </w:r>
    </w:p>
  </w:footnote>
  <w:footnote w:id="1079">
    <w:p>
      <w:pPr>
        <w:pStyle w:val="FootnoteText"/>
      </w:pPr>
      <w:r>
        <w:rPr>
          <w:rStyle w:val="FootnoteReference"/>
        </w:rPr>
        <w:footnoteRef/>
      </w:r>
      <w:r>
        <w:t xml:space="preserve"> </w:t>
      </w:r>
      <w:r>
        <w:t xml:space="preserve">Verified fact — A4-S066: Microsoft Agent Framework README (GitHub)</w:t>
      </w:r>
      <w:r>
        <w:t xml:space="preserve"> </w:t>
      </w:r>
      <w:hyperlink r:id="rId1067">
        <w:r>
          <w:rPr>
            <w:rStyle w:val="Hyperlink"/>
          </w:rPr>
          <w:t xml:space="preserve">https://raw.githubusercontent.com/microsoft/agent-framework/main/README.md</w:t>
        </w:r>
      </w:hyperlink>
      <w:r>
        <w:t xml:space="preserve"> </w:t>
      </w:r>
      <w:r>
        <w:t xml:space="preserve">accessed 2026-10-07; A4-S012: PyPI JSON metadata: semantic-kernel (Python Package Index)</w:t>
      </w:r>
      <w:r>
        <w:t xml:space="preserve"> </w:t>
      </w:r>
      <w:hyperlink r:id="rId1070">
        <w:r>
          <w:rPr>
            <w:rStyle w:val="Hyperlink"/>
          </w:rPr>
          <w:t xml:space="preserve">https://pypi.org/pypi/semantic-kernel/json</w:t>
        </w:r>
      </w:hyperlink>
      <w:r>
        <w:t xml:space="preserve"> </w:t>
      </w:r>
      <w:r>
        <w:t xml:space="preserve">accessed 2026-10-07; A4-S101: PyPI JSON metadata: agent-framework-durabletask (Python Package Index)</w:t>
      </w:r>
      <w:r>
        <w:t xml:space="preserve"> </w:t>
      </w:r>
      <w:hyperlink r:id="rId1068">
        <w:r>
          <w:rPr>
            <w:rStyle w:val="Hyperlink"/>
          </w:rPr>
          <w:t xml:space="preserve">https://pypi.org/pypi/agent-framework-durabletask/json</w:t>
        </w:r>
      </w:hyperlink>
      <w:r>
        <w:t xml:space="preserve"> </w:t>
      </w:r>
      <w:r>
        <w:t xml:space="preserve">accessed 2026-10-07; A4-S102: PyPI JSON metadata: agent-framework-azurefunctions (Python Package Index)</w:t>
      </w:r>
      <w:r>
        <w:t xml:space="preserve"> </w:t>
      </w:r>
      <w:hyperlink r:id="rId1080">
        <w:r>
          <w:rPr>
            <w:rStyle w:val="Hyperlink"/>
          </w:rPr>
          <w:t xml:space="preserve">https://pypi.org/pypi/agent-framework-azurefunctions/json</w:t>
        </w:r>
      </w:hyperlink>
      <w:r>
        <w:t xml:space="preserve"> </w:t>
      </w:r>
      <w:r>
        <w:t xml:space="preserve">accessed 2026-10-07; B-L3-S006: Foundry Hosted Agents (Agent Framework hosting docs and Foundry blog) (Microsoft)</w:t>
      </w:r>
      <w:r>
        <w:t xml:space="preserve"> </w:t>
      </w:r>
      <w:hyperlink r:id="rId1071">
        <w:r>
          <w:rPr>
            <w:rStyle w:val="Hyperlink"/>
          </w:rPr>
          <w:t xml:space="preserve">https://learn.microsoft.com/en-us/agent-framework/hosting/foundry-hosted-agent</w:t>
        </w:r>
      </w:hyperlink>
      <w:r>
        <w:t xml:space="preserve"> </w:t>
      </w:r>
      <w:r>
        <w:t xml:space="preserve">accessed 2026-10-08 [search-tool extract]</w:t>
      </w:r>
    </w:p>
  </w:footnote>
  <w:footnote w:id="1081">
    <w:p>
      <w:pPr>
        <w:pStyle w:val="FootnoteText"/>
      </w:pPr>
      <w:r>
        <w:rPr>
          <w:rStyle w:val="FootnoteReference"/>
        </w:rPr>
        <w:footnoteRef/>
      </w:r>
      <w:r>
        <w:t xml:space="preserve"> </w:t>
      </w:r>
      <w:r>
        <w:t xml:space="preserve">Verified fact — A4-S066: Microsoft Agent Framework README (GitHub)</w:t>
      </w:r>
      <w:r>
        <w:t xml:space="preserve"> </w:t>
      </w:r>
      <w:hyperlink r:id="rId1067">
        <w:r>
          <w:rPr>
            <w:rStyle w:val="Hyperlink"/>
          </w:rPr>
          <w:t xml:space="preserve">https://raw.githubusercontent.com/microsoft/agent-framework/main/README.md</w:t>
        </w:r>
      </w:hyperlink>
      <w:r>
        <w:t xml:space="preserve"> </w:t>
      </w:r>
      <w:r>
        <w:t xml:space="preserve">accessed 2026-10-07</w:t>
      </w:r>
    </w:p>
  </w:footnote>
  <w:footnote w:id="1082">
    <w:p>
      <w:pPr>
        <w:pStyle w:val="FootnoteText"/>
      </w:pPr>
      <w:r>
        <w:rPr>
          <w:rStyle w:val="FootnoteReference"/>
        </w:rPr>
        <w:footnoteRef/>
      </w:r>
      <w:r>
        <w:t xml:space="preserve"> </w:t>
      </w:r>
      <w:r>
        <w:t xml:space="preserve">Verified fact — A4-S012: PyPI JSON metadata: semantic-kernel (Python Package Index)</w:t>
      </w:r>
      <w:r>
        <w:t xml:space="preserve"> </w:t>
      </w:r>
      <w:hyperlink r:id="rId1070">
        <w:r>
          <w:rPr>
            <w:rStyle w:val="Hyperlink"/>
          </w:rPr>
          <w:t xml:space="preserve">https://pypi.org/pypi/semantic-kernel/json</w:t>
        </w:r>
      </w:hyperlink>
      <w:r>
        <w:t xml:space="preserve"> </w:t>
      </w:r>
      <w:r>
        <w:t xml:space="preserve">accessed 2026-10-07; A4-S068: AutoGen README (GitHub) (Microsoft)</w:t>
      </w:r>
      <w:r>
        <w:t xml:space="preserve"> </w:t>
      </w:r>
      <w:hyperlink r:id="rId1083">
        <w:r>
          <w:rPr>
            <w:rStyle w:val="Hyperlink"/>
          </w:rPr>
          <w:t xml:space="preserve">https://raw.githubusercontent.com/microsoft/autogen/main/README.md</w:t>
        </w:r>
      </w:hyperlink>
      <w:r>
        <w:t xml:space="preserve"> </w:t>
      </w:r>
      <w:r>
        <w:t xml:space="preserve">accessed 2026-10-07</w:t>
      </w:r>
    </w:p>
  </w:footnote>
  <w:footnote w:id="1084">
    <w:p>
      <w:pPr>
        <w:pStyle w:val="FootnoteText"/>
      </w:pPr>
      <w:r>
        <w:rPr>
          <w:rStyle w:val="FootnoteReference"/>
        </w:rPr>
        <w:footnoteRef/>
      </w:r>
      <w:r>
        <w:t xml:space="preserve"> </w:t>
      </w:r>
      <w:r>
        <w:t xml:space="preserve">Verified fact — A4-S066: Microsoft Agent Framework README (GitHub)</w:t>
      </w:r>
      <w:r>
        <w:t xml:space="preserve"> </w:t>
      </w:r>
      <w:hyperlink r:id="rId1067">
        <w:r>
          <w:rPr>
            <w:rStyle w:val="Hyperlink"/>
          </w:rPr>
          <w:t xml:space="preserve">https://raw.githubusercontent.com/microsoft/agent-framework/main/README.md</w:t>
        </w:r>
      </w:hyperlink>
      <w:r>
        <w:t xml:space="preserve"> </w:t>
      </w:r>
      <w:r>
        <w:t xml:space="preserve">accessed 2026-10-07</w:t>
      </w:r>
    </w:p>
  </w:footnote>
  <w:footnote w:id="1085">
    <w:p>
      <w:pPr>
        <w:pStyle w:val="FootnoteText"/>
      </w:pPr>
      <w:r>
        <w:rPr>
          <w:rStyle w:val="FootnoteReference"/>
        </w:rPr>
        <w:footnoteRef/>
      </w:r>
      <w:r>
        <w:t xml:space="preserve"> </w:t>
      </w:r>
      <w:r>
        <w:t xml:space="preserve">Verified fact — A4-S101: PyPI JSON metadata: agent-framework-durabletask (Python Package Index)</w:t>
      </w:r>
      <w:r>
        <w:t xml:space="preserve"> </w:t>
      </w:r>
      <w:hyperlink r:id="rId1068">
        <w:r>
          <w:rPr>
            <w:rStyle w:val="Hyperlink"/>
          </w:rPr>
          <w:t xml:space="preserve">https://pypi.org/pypi/agent-framework-durabletask/json</w:t>
        </w:r>
      </w:hyperlink>
      <w:r>
        <w:t xml:space="preserve"> </w:t>
      </w:r>
      <w:r>
        <w:t xml:space="preserve">accessed 2026-10-07; A4-S102: PyPI JSON metadata: agent-framework-azurefunctions (Python Package Index)</w:t>
      </w:r>
      <w:r>
        <w:t xml:space="preserve"> </w:t>
      </w:r>
      <w:hyperlink r:id="rId1080">
        <w:r>
          <w:rPr>
            <w:rStyle w:val="Hyperlink"/>
          </w:rPr>
          <w:t xml:space="preserve">https://pypi.org/pypi/agent-framework-azurefunctions/json</w:t>
        </w:r>
      </w:hyperlink>
      <w:r>
        <w:t xml:space="preserve"> </w:t>
      </w:r>
      <w:r>
        <w:t xml:space="preserve">accessed 2026-10-07</w:t>
      </w:r>
    </w:p>
  </w:footnote>
  <w:footnote w:id="1086">
    <w:p>
      <w:pPr>
        <w:pStyle w:val="FootnoteText"/>
      </w:pPr>
      <w:r>
        <w:rPr>
          <w:rStyle w:val="FootnoteReference"/>
        </w:rPr>
        <w:footnoteRef/>
      </w:r>
      <w:r>
        <w:t xml:space="preserve"> </w:t>
      </w:r>
      <w:r>
        <w:t xml:space="preserve">Verified fact — B-L3-S006: Foundry Hosted Agents (Agent Framework hosting docs and Foundry blog) (Microsoft)</w:t>
      </w:r>
      <w:r>
        <w:t xml:space="preserve"> </w:t>
      </w:r>
      <w:hyperlink r:id="rId1071">
        <w:r>
          <w:rPr>
            <w:rStyle w:val="Hyperlink"/>
          </w:rPr>
          <w:t xml:space="preserve">https://learn.microsoft.com/en-us/agent-framework/hosting/foundry-hosted-agent</w:t>
        </w:r>
      </w:hyperlink>
      <w:r>
        <w:t xml:space="preserve"> </w:t>
      </w:r>
      <w:r>
        <w:t xml:space="preserve">accessed 2026-10-08 [search-tool extract]</w:t>
      </w:r>
    </w:p>
  </w:footnote>
  <w:footnote w:id="1087">
    <w:p>
      <w:pPr>
        <w:pStyle w:val="FootnoteText"/>
      </w:pPr>
      <w:r>
        <w:rPr>
          <w:rStyle w:val="FootnoteReference"/>
        </w:rPr>
        <w:footnoteRef/>
      </w:r>
      <w:r>
        <w:t xml:space="preserve"> </w:t>
      </w:r>
      <w:r>
        <w:t xml:space="preserve">Verified fact — A4-S066: Microsoft Agent Framework README (GitHub)</w:t>
      </w:r>
      <w:r>
        <w:t xml:space="preserve"> </w:t>
      </w:r>
      <w:hyperlink r:id="rId1067">
        <w:r>
          <w:rPr>
            <w:rStyle w:val="Hyperlink"/>
          </w:rPr>
          <w:t xml:space="preserve">https://raw.githubusercontent.com/microsoft/agent-framework/main/README.md</w:t>
        </w:r>
      </w:hyperlink>
      <w:r>
        <w:t xml:space="preserve"> </w:t>
      </w:r>
      <w:r>
        <w:t xml:space="preserve">accessed 2026-10-07</w:t>
      </w:r>
    </w:p>
  </w:footnote>
  <w:footnote w:id="1088">
    <w:p>
      <w:pPr>
        <w:pStyle w:val="FootnoteText"/>
      </w:pPr>
      <w:r>
        <w:rPr>
          <w:rStyle w:val="FootnoteReference"/>
        </w:rPr>
        <w:footnoteRef/>
      </w:r>
      <w:r>
        <w:t xml:space="preserve"> </w:t>
      </w:r>
      <w:r>
        <w:t xml:space="preserve">Verified fact — A4-S008: PyPI JSON metadata: agent-framework (Python Package Index)</w:t>
      </w:r>
      <w:r>
        <w:t xml:space="preserve"> </w:t>
      </w:r>
      <w:hyperlink r:id="rId1073">
        <w:r>
          <w:rPr>
            <w:rStyle w:val="Hyperlink"/>
          </w:rPr>
          <w:t xml:space="preserve">https://pypi.org/pypi/agent-framework/json</w:t>
        </w:r>
      </w:hyperlink>
      <w:r>
        <w:t xml:space="preserve"> </w:t>
      </w:r>
      <w:r>
        <w:t xml:space="preserve">accessed 2026-10-07</w:t>
      </w:r>
    </w:p>
  </w:footnote>
  <w:footnote w:id="1090">
    <w:p>
      <w:pPr>
        <w:pStyle w:val="FootnoteText"/>
      </w:pPr>
      <w:r>
        <w:rPr>
          <w:rStyle w:val="FootnoteReference"/>
        </w:rPr>
        <w:footnoteRef/>
      </w:r>
      <w:r>
        <w:t xml:space="preserve"> </w:t>
      </w:r>
      <w:r>
        <w:t xml:space="preserve">Verified fact — A4-S119: Pydantic AI README (GitHub)</w:t>
      </w:r>
      <w:r>
        <w:t xml:space="preserve"> </w:t>
      </w:r>
      <w:hyperlink r:id="rId1091">
        <w:r>
          <w:rPr>
            <w:rStyle w:val="Hyperlink"/>
          </w:rPr>
          <w:t xml:space="preserve">https://raw.githubusercontent.com/pydantic/pydantic-ai/main/README.md</w:t>
        </w:r>
      </w:hyperlink>
      <w:r>
        <w:t xml:space="preserve"> </w:t>
      </w:r>
      <w:r>
        <w:t xml:space="preserve">accessed 2026-10-07; A4-S045: Pydantic AI Durable Execution (overview, Temporal, DBOS, Prefect)</w:t>
      </w:r>
      <w:r>
        <w:t xml:space="preserve"> </w:t>
      </w:r>
      <w:hyperlink r:id="rId1046">
        <w:r>
          <w:rPr>
            <w:rStyle w:val="Hyperlink"/>
          </w:rPr>
          <w:t xml:space="preserve">https://pydantic.dev/docs/ai/capabilities/durable_execution/overview/</w:t>
        </w:r>
      </w:hyperlink>
      <w:r>
        <w:t xml:space="preserve"> </w:t>
      </w:r>
      <w:r>
        <w:t xml:space="preserve">accessed 2026-10-07 [search-tool extract]</w:t>
      </w:r>
    </w:p>
  </w:footnote>
  <w:footnote w:id="1092">
    <w:p>
      <w:pPr>
        <w:pStyle w:val="FootnoteText"/>
      </w:pPr>
      <w:r>
        <w:rPr>
          <w:rStyle w:val="FootnoteReference"/>
        </w:rPr>
        <w:footnoteRef/>
      </w:r>
      <w:r>
        <w:t xml:space="preserve"> </w:t>
      </w:r>
      <w:r>
        <w:t xml:space="preserve">Verified fact — V1-S074: Pydantic AI Upgrade Guide; Pydantic AI v2 article; Version Policy</w:t>
      </w:r>
      <w:r>
        <w:t xml:space="preserve"> </w:t>
      </w:r>
      <w:hyperlink r:id="rId1093">
        <w:r>
          <w:rPr>
            <w:rStyle w:val="Hyperlink"/>
          </w:rPr>
          <w:t xml:space="preserve">https://pydantic.dev/docs/ai/project/changelog/</w:t>
        </w:r>
      </w:hyperlink>
      <w:r>
        <w:t xml:space="preserve"> </w:t>
      </w:r>
      <w:r>
        <w:t xml:space="preserve">accessed 2026-10-08 [search-tool extract]</w:t>
      </w:r>
    </w:p>
  </w:footnote>
  <w:footnote w:id="1094">
    <w:p>
      <w:pPr>
        <w:pStyle w:val="FootnoteText"/>
      </w:pPr>
      <w:r>
        <w:rPr>
          <w:rStyle w:val="FootnoteReference"/>
        </w:rPr>
        <w:footnoteRef/>
      </w:r>
      <w:r>
        <w:t xml:space="preserve"> </w:t>
      </w:r>
      <w:r>
        <w:t xml:space="preserve">Verified fact — A4-S003: PyPI JSON metadata: pydantic-ai (Python Package Index)</w:t>
      </w:r>
      <w:r>
        <w:t xml:space="preserve"> </w:t>
      </w:r>
      <w:hyperlink r:id="rId1095">
        <w:r>
          <w:rPr>
            <w:rStyle w:val="Hyperlink"/>
          </w:rPr>
          <w:t xml:space="preserve">https://pypi.org/pypi/pydantic-ai/json</w:t>
        </w:r>
      </w:hyperlink>
      <w:r>
        <w:t xml:space="preserve"> </w:t>
      </w:r>
      <w:r>
        <w:t xml:space="preserve">accessed 2026-10-07</w:t>
      </w:r>
    </w:p>
  </w:footnote>
  <w:footnote w:id="1096">
    <w:p>
      <w:pPr>
        <w:pStyle w:val="FootnoteText"/>
      </w:pPr>
      <w:r>
        <w:rPr>
          <w:rStyle w:val="FootnoteReference"/>
        </w:rPr>
        <w:footnoteRef/>
      </w:r>
      <w:r>
        <w:t xml:space="preserve"> </w:t>
      </w:r>
      <w:r>
        <w:t xml:space="preserve">Verified fact — A4-S045: Pydantic AI Durable Execution (overview, Temporal, DBOS, Prefect)</w:t>
      </w:r>
      <w:r>
        <w:t xml:space="preserve"> </w:t>
      </w:r>
      <w:hyperlink r:id="rId1046">
        <w:r>
          <w:rPr>
            <w:rStyle w:val="Hyperlink"/>
          </w:rPr>
          <w:t xml:space="preserve">https://pydantic.dev/docs/ai/capabilities/durable_execution/overview/</w:t>
        </w:r>
      </w:hyperlink>
      <w:r>
        <w:t xml:space="preserve"> </w:t>
      </w:r>
      <w:r>
        <w:t xml:space="preserve">accessed 2026-10-07 [search-tool extract]</w:t>
      </w:r>
    </w:p>
  </w:footnote>
  <w:footnote w:id="1097">
    <w:p>
      <w:pPr>
        <w:pStyle w:val="FootnoteText"/>
      </w:pPr>
      <w:r>
        <w:rPr>
          <w:rStyle w:val="FootnoteReference"/>
        </w:rPr>
        <w:footnoteRef/>
      </w:r>
      <w:r>
        <w:t xml:space="preserve"> </w:t>
      </w:r>
      <w:r>
        <w:t xml:space="preserve">Verified fact — A4-S003: PyPI JSON metadata: pydantic-ai (Python Package Index)</w:t>
      </w:r>
      <w:r>
        <w:t xml:space="preserve"> </w:t>
      </w:r>
      <w:hyperlink r:id="rId1095">
        <w:r>
          <w:rPr>
            <w:rStyle w:val="Hyperlink"/>
          </w:rPr>
          <w:t xml:space="preserve">https://pypi.org/pypi/pydantic-ai/json</w:t>
        </w:r>
      </w:hyperlink>
      <w:r>
        <w:t xml:space="preserve"> </w:t>
      </w:r>
      <w:r>
        <w:t xml:space="preserve">accessed 2026-10-07; A4-S044: Pydantic AI v2: capabilities, a leaner core, and the Harness (with upgrade guide)</w:t>
      </w:r>
      <w:r>
        <w:t xml:space="preserve"> </w:t>
      </w:r>
      <w:hyperlink r:id="rId1098">
        <w:r>
          <w:rPr>
            <w:rStyle w:val="Hyperlink"/>
          </w:rPr>
          <w:t xml:space="preserve">https://pydantic.dev/articles/pydantic-ai-v2</w:t>
        </w:r>
      </w:hyperlink>
      <w:r>
        <w:t xml:space="preserve"> </w:t>
      </w:r>
      <w:r>
        <w:t xml:space="preserve">accessed 2026-10-07 [search-tool extract]</w:t>
      </w:r>
    </w:p>
  </w:footnote>
  <w:footnote w:id="1099">
    <w:p>
      <w:pPr>
        <w:pStyle w:val="FootnoteText"/>
      </w:pPr>
      <w:r>
        <w:rPr>
          <w:rStyle w:val="FootnoteReference"/>
        </w:rPr>
        <w:footnoteRef/>
      </w:r>
      <w:r>
        <w:t xml:space="preserve"> </w:t>
      </w:r>
      <w:r>
        <w:t xml:space="preserve">Verified fact — A4-S003: PyPI JSON metadata: pydantic-ai (Python Package Index)</w:t>
      </w:r>
      <w:r>
        <w:t xml:space="preserve"> </w:t>
      </w:r>
      <w:hyperlink r:id="rId1095">
        <w:r>
          <w:rPr>
            <w:rStyle w:val="Hyperlink"/>
          </w:rPr>
          <w:t xml:space="preserve">https://pypi.org/pypi/pydantic-ai/json</w:t>
        </w:r>
      </w:hyperlink>
      <w:r>
        <w:t xml:space="preserve"> </w:t>
      </w:r>
      <w:r>
        <w:t xml:space="preserve">accessed 2026-10-07</w:t>
      </w:r>
    </w:p>
  </w:footnote>
  <w:footnote w:id="1100">
    <w:p>
      <w:pPr>
        <w:pStyle w:val="FootnoteText"/>
      </w:pPr>
      <w:r>
        <w:rPr>
          <w:rStyle w:val="FootnoteReference"/>
        </w:rPr>
        <w:footnoteRef/>
      </w:r>
      <w:r>
        <w:t xml:space="preserve"> </w:t>
      </w:r>
      <w:r>
        <w:t xml:space="preserve">Verified fact — A4-S003: PyPI JSON metadata: pydantic-ai (Python Package Index)</w:t>
      </w:r>
      <w:r>
        <w:t xml:space="preserve"> </w:t>
      </w:r>
      <w:hyperlink r:id="rId1095">
        <w:r>
          <w:rPr>
            <w:rStyle w:val="Hyperlink"/>
          </w:rPr>
          <w:t xml:space="preserve">https://pypi.org/pypi/pydantic-ai/json</w:t>
        </w:r>
      </w:hyperlink>
      <w:r>
        <w:t xml:space="preserve"> </w:t>
      </w:r>
      <w:r>
        <w:t xml:space="preserve">accessed 2026-10-07; A4-S119: Pydantic AI README (GitHub)</w:t>
      </w:r>
      <w:r>
        <w:t xml:space="preserve"> </w:t>
      </w:r>
      <w:hyperlink r:id="rId1091">
        <w:r>
          <w:rPr>
            <w:rStyle w:val="Hyperlink"/>
          </w:rPr>
          <w:t xml:space="preserve">https://raw.githubusercontent.com/pydantic/pydantic-ai/main/README.md</w:t>
        </w:r>
      </w:hyperlink>
      <w:r>
        <w:t xml:space="preserve"> </w:t>
      </w:r>
      <w:r>
        <w:t xml:space="preserve">accessed 2026-10-07</w:t>
      </w:r>
    </w:p>
  </w:footnote>
  <w:footnote w:id="1101">
    <w:p>
      <w:pPr>
        <w:pStyle w:val="FootnoteText"/>
      </w:pPr>
      <w:r>
        <w:rPr>
          <w:rStyle w:val="FootnoteReference"/>
        </w:rPr>
        <w:footnoteRef/>
      </w:r>
      <w:r>
        <w:t xml:space="preserve"> </w:t>
      </w:r>
      <w:r>
        <w:t xml:space="preserve">Verified fact — A4-S119: Pydantic AI README (GitHub)</w:t>
      </w:r>
      <w:r>
        <w:t xml:space="preserve"> </w:t>
      </w:r>
      <w:hyperlink r:id="rId1091">
        <w:r>
          <w:rPr>
            <w:rStyle w:val="Hyperlink"/>
          </w:rPr>
          <w:t xml:space="preserve">https://raw.githubusercontent.com/pydantic/pydantic-ai/main/README.md</w:t>
        </w:r>
      </w:hyperlink>
      <w:r>
        <w:t xml:space="preserve"> </w:t>
      </w:r>
      <w:r>
        <w:t xml:space="preserve">accessed 2026-10-07; A4-S044: Pydantic AI v2: capabilities, a leaner core, and the Harness (with upgrade guide)</w:t>
      </w:r>
      <w:r>
        <w:t xml:space="preserve"> </w:t>
      </w:r>
      <w:hyperlink r:id="rId1098">
        <w:r>
          <w:rPr>
            <w:rStyle w:val="Hyperlink"/>
          </w:rPr>
          <w:t xml:space="preserve">https://pydantic.dev/articles/pydantic-ai-v2</w:t>
        </w:r>
      </w:hyperlink>
      <w:r>
        <w:t xml:space="preserve"> </w:t>
      </w:r>
      <w:r>
        <w:t xml:space="preserve">accessed 2026-10-07 [search-tool extract]; A4-S045: Pydantic AI Durable Execution (overview, Temporal, DBOS, Prefect)</w:t>
      </w:r>
      <w:r>
        <w:t xml:space="preserve"> </w:t>
      </w:r>
      <w:hyperlink r:id="rId1046">
        <w:r>
          <w:rPr>
            <w:rStyle w:val="Hyperlink"/>
          </w:rPr>
          <w:t xml:space="preserve">https://pydantic.dev/docs/ai/capabilities/durable_execution/overview/</w:t>
        </w:r>
      </w:hyperlink>
      <w:r>
        <w:t xml:space="preserve"> </w:t>
      </w:r>
      <w:r>
        <w:t xml:space="preserve">accessed 2026-10-07 [search-tool extract]</w:t>
      </w:r>
    </w:p>
  </w:footnote>
  <w:footnote w:id="1102">
    <w:p>
      <w:pPr>
        <w:pStyle w:val="FootnoteText"/>
      </w:pPr>
      <w:r>
        <w:rPr>
          <w:rStyle w:val="FootnoteReference"/>
        </w:rPr>
        <w:footnoteRef/>
      </w:r>
      <w:r>
        <w:t xml:space="preserve"> </w:t>
      </w:r>
      <w:r>
        <w:t xml:space="preserve">Verified fact — A4-S045: Pydantic AI Durable Execution (overview, Temporal, DBOS, Prefect)</w:t>
      </w:r>
      <w:r>
        <w:t xml:space="preserve"> </w:t>
      </w:r>
      <w:hyperlink r:id="rId1046">
        <w:r>
          <w:rPr>
            <w:rStyle w:val="Hyperlink"/>
          </w:rPr>
          <w:t xml:space="preserve">https://pydantic.dev/docs/ai/capabilities/durable_execution/overview/</w:t>
        </w:r>
      </w:hyperlink>
      <w:r>
        <w:t xml:space="preserve"> </w:t>
      </w:r>
      <w:r>
        <w:t xml:space="preserve">accessed 2026-10-07 [search-tool extract]</w:t>
      </w:r>
    </w:p>
  </w:footnote>
  <w:footnote w:id="1103">
    <w:p>
      <w:pPr>
        <w:pStyle w:val="FootnoteText"/>
      </w:pPr>
      <w:r>
        <w:rPr>
          <w:rStyle w:val="FootnoteReference"/>
        </w:rPr>
        <w:footnoteRef/>
      </w:r>
      <w:r>
        <w:t xml:space="preserve"> </w:t>
      </w:r>
      <w:r>
        <w:t xml:space="preserve">Verified fact — A4-S003: PyPI JSON metadata: pydantic-ai (Python Package Index)</w:t>
      </w:r>
      <w:r>
        <w:t xml:space="preserve"> </w:t>
      </w:r>
      <w:hyperlink r:id="rId1095">
        <w:r>
          <w:rPr>
            <w:rStyle w:val="Hyperlink"/>
          </w:rPr>
          <w:t xml:space="preserve">https://pypi.org/pypi/pydantic-ai/json</w:t>
        </w:r>
      </w:hyperlink>
      <w:r>
        <w:t xml:space="preserve"> </w:t>
      </w:r>
      <w:r>
        <w:t xml:space="preserve">accessed 2026-10-07; A4-S044: Pydantic AI v2: capabilities, a leaner core, and the Harness (with upgrade guide)</w:t>
      </w:r>
      <w:r>
        <w:t xml:space="preserve"> </w:t>
      </w:r>
      <w:hyperlink r:id="rId1098">
        <w:r>
          <w:rPr>
            <w:rStyle w:val="Hyperlink"/>
          </w:rPr>
          <w:t xml:space="preserve">https://pydantic.dev/articles/pydantic-ai-v2</w:t>
        </w:r>
      </w:hyperlink>
      <w:r>
        <w:t xml:space="preserve"> </w:t>
      </w:r>
      <w:r>
        <w:t xml:space="preserve">accessed 2026-10-07 [search-tool extract]</w:t>
      </w:r>
    </w:p>
  </w:footnote>
  <w:footnote w:id="1104">
    <w:p>
      <w:pPr>
        <w:pStyle w:val="FootnoteText"/>
      </w:pPr>
      <w:r>
        <w:rPr>
          <w:rStyle w:val="FootnoteReference"/>
        </w:rPr>
        <w:footnoteRef/>
      </w:r>
      <w:r>
        <w:t xml:space="preserve"> </w:t>
      </w:r>
      <w:r>
        <w:t xml:space="preserve">Verified fact — A4-S046: Announcement: Pydantic Logfire launch &amp; Series A Funding (and AI Gateway moving to Logfire)</w:t>
      </w:r>
      <w:r>
        <w:t xml:space="preserve"> </w:t>
      </w:r>
      <w:hyperlink r:id="rId1105">
        <w:r>
          <w:rPr>
            <w:rStyle w:val="Hyperlink"/>
          </w:rPr>
          <w:t xml:space="preserve">https://pydantic.dev/articles/logfire-announcement</w:t>
        </w:r>
      </w:hyperlink>
      <w:r>
        <w:t xml:space="preserve"> </w:t>
      </w:r>
      <w:r>
        <w:t xml:space="preserve">accessed 2026-10-07 [search-tool extract]</w:t>
      </w:r>
    </w:p>
  </w:footnote>
  <w:footnote w:id="1106">
    <w:p>
      <w:pPr>
        <w:pStyle w:val="FootnoteText"/>
      </w:pPr>
      <w:r>
        <w:rPr>
          <w:rStyle w:val="FootnoteReference"/>
        </w:rPr>
        <w:footnoteRef/>
      </w:r>
      <w:r>
        <w:t xml:space="preserve"> </w:t>
      </w:r>
      <w:r>
        <w:t xml:space="preserve">Verified fact — V1-S074: Pydantic AI Upgrade Guide; Pydantic AI v2 article; Version Policy</w:t>
      </w:r>
      <w:r>
        <w:t xml:space="preserve"> </w:t>
      </w:r>
      <w:hyperlink r:id="rId1093">
        <w:r>
          <w:rPr>
            <w:rStyle w:val="Hyperlink"/>
          </w:rPr>
          <w:t xml:space="preserve">https://pydantic.dev/docs/ai/project/changelog/</w:t>
        </w:r>
      </w:hyperlink>
      <w:r>
        <w:t xml:space="preserve"> </w:t>
      </w:r>
      <w:r>
        <w:t xml:space="preserve">accessed 2026-10-08 [search-tool extract]</w:t>
      </w:r>
    </w:p>
  </w:footnote>
  <w:footnote w:id="1108">
    <w:p>
      <w:pPr>
        <w:pStyle w:val="FootnoteText"/>
      </w:pPr>
      <w:r>
        <w:rPr>
          <w:rStyle w:val="FootnoteReference"/>
        </w:rPr>
        <w:footnoteRef/>
      </w:r>
      <w:r>
        <w:t xml:space="preserve"> </w:t>
      </w:r>
      <w:r>
        <w:t xml:space="preserve">Verified fact — A4-S114: Agent Development Kit (ADK) 2.0 README (GitHub) (Google)</w:t>
      </w:r>
      <w:r>
        <w:t xml:space="preserve"> </w:t>
      </w:r>
      <w:hyperlink r:id="rId1109">
        <w:r>
          <w:rPr>
            <w:rStyle w:val="Hyperlink"/>
          </w:rPr>
          <w:t xml:space="preserve">https://raw.githubusercontent.com/google/adk-python/main/README.md</w:t>
        </w:r>
      </w:hyperlink>
      <w:r>
        <w:t xml:space="preserve"> </w:t>
      </w:r>
      <w:r>
        <w:t xml:space="preserve">accessed 2026-10-07</w:t>
      </w:r>
    </w:p>
  </w:footnote>
  <w:footnote w:id="1110">
    <w:p>
      <w:pPr>
        <w:pStyle w:val="FootnoteText"/>
      </w:pPr>
      <w:r>
        <w:rPr>
          <w:rStyle w:val="FootnoteReference"/>
        </w:rPr>
        <w:footnoteRef/>
      </w:r>
      <w:r>
        <w:t xml:space="preserve"> </w:t>
      </w:r>
      <w:r>
        <w:t xml:space="preserve">Verified fact — A4-S114: Agent Development Kit (ADK) 2.0 README (GitHub) (Google)</w:t>
      </w:r>
      <w:r>
        <w:t xml:space="preserve"> </w:t>
      </w:r>
      <w:hyperlink r:id="rId1109">
        <w:r>
          <w:rPr>
            <w:rStyle w:val="Hyperlink"/>
          </w:rPr>
          <w:t xml:space="preserve">https://raw.githubusercontent.com/google/adk-python/main/README.md</w:t>
        </w:r>
      </w:hyperlink>
      <w:r>
        <w:t xml:space="preserve"> </w:t>
      </w:r>
      <w:r>
        <w:t xml:space="preserve">accessed 2026-10-07</w:t>
      </w:r>
    </w:p>
  </w:footnote>
  <w:footnote w:id="1111">
    <w:p>
      <w:pPr>
        <w:pStyle w:val="FootnoteText"/>
      </w:pPr>
      <w:r>
        <w:rPr>
          <w:rStyle w:val="FootnoteReference"/>
        </w:rPr>
        <w:footnoteRef/>
      </w:r>
      <w:r>
        <w:t xml:space="preserve"> </w:t>
      </w:r>
      <w:r>
        <w:t xml:space="preserve">Verified fact — A4-S114: Agent Development Kit (ADK) 2.0 README (GitHub) (Google)</w:t>
      </w:r>
      <w:r>
        <w:t xml:space="preserve"> </w:t>
      </w:r>
      <w:hyperlink r:id="rId1109">
        <w:r>
          <w:rPr>
            <w:rStyle w:val="Hyperlink"/>
          </w:rPr>
          <w:t xml:space="preserve">https://raw.githubusercontent.com/google/adk-python/main/README.md</w:t>
        </w:r>
      </w:hyperlink>
      <w:r>
        <w:t xml:space="preserve"> </w:t>
      </w:r>
      <w:r>
        <w:t xml:space="preserve">accessed 2026-10-07</w:t>
      </w:r>
    </w:p>
  </w:footnote>
  <w:footnote w:id="1112">
    <w:p>
      <w:pPr>
        <w:pStyle w:val="FootnoteText"/>
      </w:pPr>
      <w:r>
        <w:rPr>
          <w:rStyle w:val="FootnoteReference"/>
        </w:rPr>
        <w:footnoteRef/>
      </w:r>
      <w:r>
        <w:t xml:space="preserve"> </w:t>
      </w:r>
      <w:r>
        <w:t xml:space="preserve">Verified fact — A4-S017: PyPI JSON metadata: google-adk (Python Package Index)</w:t>
      </w:r>
      <w:r>
        <w:t xml:space="preserve"> </w:t>
      </w:r>
      <w:hyperlink r:id="rId1113">
        <w:r>
          <w:rPr>
            <w:rStyle w:val="Hyperlink"/>
          </w:rPr>
          <w:t xml:space="preserve">https://pypi.org/pypi/google-adk/json</w:t>
        </w:r>
      </w:hyperlink>
      <w:r>
        <w:t xml:space="preserve"> </w:t>
      </w:r>
      <w:r>
        <w:t xml:space="preserve">accessed 2026-10-07</w:t>
      </w:r>
    </w:p>
  </w:footnote>
  <w:footnote w:id="1114">
    <w:p>
      <w:pPr>
        <w:pStyle w:val="FootnoteText"/>
      </w:pPr>
      <w:r>
        <w:rPr>
          <w:rStyle w:val="FootnoteReference"/>
        </w:rPr>
        <w:footnoteRef/>
      </w:r>
      <w:r>
        <w:t xml:space="preserve"> </w:t>
      </w:r>
      <w:r>
        <w:t xml:space="preserve">Verified fact — A4-S114: Agent Development Kit (ADK) 2.0 README (GitHub) (Google)</w:t>
      </w:r>
      <w:r>
        <w:t xml:space="preserve"> </w:t>
      </w:r>
      <w:hyperlink r:id="rId1109">
        <w:r>
          <w:rPr>
            <w:rStyle w:val="Hyperlink"/>
          </w:rPr>
          <w:t xml:space="preserve">https://raw.githubusercontent.com/google/adk-python/main/README.md</w:t>
        </w:r>
      </w:hyperlink>
      <w:r>
        <w:t xml:space="preserve"> </w:t>
      </w:r>
      <w:r>
        <w:t xml:space="preserve">accessed 2026-10-07</w:t>
      </w:r>
    </w:p>
  </w:footnote>
  <w:footnote w:id="1115">
    <w:p>
      <w:pPr>
        <w:pStyle w:val="FootnoteText"/>
      </w:pPr>
      <w:r>
        <w:rPr>
          <w:rStyle w:val="FootnoteReference"/>
        </w:rPr>
        <w:footnoteRef/>
      </w:r>
      <w:r>
        <w:t xml:space="preserve"> </w:t>
      </w:r>
      <w:r>
        <w:t xml:space="preserve">Verified fact — A4-S114: Agent Development Kit (ADK) 2.0 README (GitHub) (Google)</w:t>
      </w:r>
      <w:r>
        <w:t xml:space="preserve"> </w:t>
      </w:r>
      <w:hyperlink r:id="rId1109">
        <w:r>
          <w:rPr>
            <w:rStyle w:val="Hyperlink"/>
          </w:rPr>
          <w:t xml:space="preserve">https://raw.githubusercontent.com/google/adk-python/main/README.md</w:t>
        </w:r>
      </w:hyperlink>
      <w:r>
        <w:t xml:space="preserve"> </w:t>
      </w:r>
      <w:r>
        <w:t xml:space="preserve">accessed 2026-10-07</w:t>
      </w:r>
    </w:p>
  </w:footnote>
  <w:footnote w:id="1116">
    <w:p>
      <w:pPr>
        <w:pStyle w:val="FootnoteText"/>
      </w:pPr>
      <w:r>
        <w:rPr>
          <w:rStyle w:val="FootnoteReference"/>
        </w:rPr>
        <w:footnoteRef/>
      </w:r>
      <w:r>
        <w:t xml:space="preserve"> </w:t>
      </w:r>
      <w:r>
        <w:t xml:space="preserve">Verified fact — A4-S114: Agent Development Kit (ADK) 2.0 README (GitHub) (Google)</w:t>
      </w:r>
      <w:r>
        <w:t xml:space="preserve"> </w:t>
      </w:r>
      <w:hyperlink r:id="rId1109">
        <w:r>
          <w:rPr>
            <w:rStyle w:val="Hyperlink"/>
          </w:rPr>
          <w:t xml:space="preserve">https://raw.githubusercontent.com/google/adk-python/main/README.md</w:t>
        </w:r>
      </w:hyperlink>
      <w:r>
        <w:t xml:space="preserve"> </w:t>
      </w:r>
      <w:r>
        <w:t xml:space="preserve">accessed 2026-10-07; A4-S017: PyPI JSON metadata: google-adk (Python Package Index)</w:t>
      </w:r>
      <w:r>
        <w:t xml:space="preserve"> </w:t>
      </w:r>
      <w:hyperlink r:id="rId1113">
        <w:r>
          <w:rPr>
            <w:rStyle w:val="Hyperlink"/>
          </w:rPr>
          <w:t xml:space="preserve">https://pypi.org/pypi/google-adk/json</w:t>
        </w:r>
      </w:hyperlink>
      <w:r>
        <w:t xml:space="preserve"> </w:t>
      </w:r>
      <w:r>
        <w:t xml:space="preserve">accessed 2026-10-07</w:t>
      </w:r>
    </w:p>
  </w:footnote>
  <w:footnote w:id="1117">
    <w:p>
      <w:pPr>
        <w:pStyle w:val="FootnoteText"/>
      </w:pPr>
      <w:r>
        <w:rPr>
          <w:rStyle w:val="FootnoteReference"/>
        </w:rPr>
        <w:footnoteRef/>
      </w:r>
      <w:r>
        <w:t xml:space="preserve"> </w:t>
      </w:r>
      <w:r>
        <w:t xml:space="preserve">Verified fact — A4-S114: Agent Development Kit (ADK) 2.0 README (GitHub) (Google)</w:t>
      </w:r>
      <w:r>
        <w:t xml:space="preserve"> </w:t>
      </w:r>
      <w:hyperlink r:id="rId1109">
        <w:r>
          <w:rPr>
            <w:rStyle w:val="Hyperlink"/>
          </w:rPr>
          <w:t xml:space="preserve">https://raw.githubusercontent.com/google/adk-python/main/README.md</w:t>
        </w:r>
      </w:hyperlink>
      <w:r>
        <w:t xml:space="preserve"> </w:t>
      </w:r>
      <w:r>
        <w:t xml:space="preserve">accessed 2026-10-07</w:t>
      </w:r>
    </w:p>
  </w:footnote>
  <w:footnote w:id="1118">
    <w:p>
      <w:pPr>
        <w:pStyle w:val="FootnoteText"/>
      </w:pPr>
      <w:r>
        <w:rPr>
          <w:rStyle w:val="FootnoteReference"/>
        </w:rPr>
        <w:footnoteRef/>
      </w:r>
      <w:r>
        <w:t xml:space="preserve"> </w:t>
      </w:r>
      <w:r>
        <w:t xml:space="preserve">Verified fact — A4-S114: Agent Development Kit (ADK) 2.0 README (GitHub) (Google)</w:t>
      </w:r>
      <w:r>
        <w:t xml:space="preserve"> </w:t>
      </w:r>
      <w:hyperlink r:id="rId1109">
        <w:r>
          <w:rPr>
            <w:rStyle w:val="Hyperlink"/>
          </w:rPr>
          <w:t xml:space="preserve">https://raw.githubusercontent.com/google/adk-python/main/README.md</w:t>
        </w:r>
      </w:hyperlink>
      <w:r>
        <w:t xml:space="preserve"> </w:t>
      </w:r>
      <w:r>
        <w:t xml:space="preserve">accessed 2026-10-07</w:t>
      </w:r>
    </w:p>
  </w:footnote>
  <w:footnote w:id="1119">
    <w:p>
      <w:pPr>
        <w:pStyle w:val="FootnoteText"/>
      </w:pPr>
      <w:r>
        <w:rPr>
          <w:rStyle w:val="FootnoteReference"/>
        </w:rPr>
        <w:footnoteRef/>
      </w:r>
      <w:r>
        <w:t xml:space="preserve"> </w:t>
      </w:r>
      <w:r>
        <w:t xml:space="preserve">Verified fact — A4-S017: PyPI JSON metadata: google-adk (Python Package Index)</w:t>
      </w:r>
      <w:r>
        <w:t xml:space="preserve"> </w:t>
      </w:r>
      <w:hyperlink r:id="rId1113">
        <w:r>
          <w:rPr>
            <w:rStyle w:val="Hyperlink"/>
          </w:rPr>
          <w:t xml:space="preserve">https://pypi.org/pypi/google-adk/json</w:t>
        </w:r>
      </w:hyperlink>
      <w:r>
        <w:t xml:space="preserve"> </w:t>
      </w:r>
      <w:r>
        <w:t xml:space="preserve">accessed 2026-10-07</w:t>
      </w:r>
    </w:p>
  </w:footnote>
  <w:footnote w:id="1120">
    <w:p>
      <w:pPr>
        <w:pStyle w:val="FootnoteText"/>
      </w:pPr>
      <w:r>
        <w:rPr>
          <w:rStyle w:val="FootnoteReference"/>
        </w:rPr>
        <w:footnoteRef/>
      </w:r>
      <w:r>
        <w:t xml:space="preserve"> </w:t>
      </w:r>
      <w:r>
        <w:t xml:space="preserve">Verified fact — A4-S114: Agent Development Kit (ADK) 2.0 README (GitHub) (Google)</w:t>
      </w:r>
      <w:r>
        <w:t xml:space="preserve"> </w:t>
      </w:r>
      <w:hyperlink r:id="rId1109">
        <w:r>
          <w:rPr>
            <w:rStyle w:val="Hyperlink"/>
          </w:rPr>
          <w:t xml:space="preserve">https://raw.githubusercontent.com/google/adk-python/main/README.md</w:t>
        </w:r>
      </w:hyperlink>
      <w:r>
        <w:t xml:space="preserve"> </w:t>
      </w:r>
      <w:r>
        <w:t xml:space="preserve">accessed 2026-10-07</w:t>
      </w:r>
    </w:p>
  </w:footnote>
  <w:footnote w:id="1122">
    <w:p>
      <w:pPr>
        <w:pStyle w:val="FootnoteText"/>
      </w:pPr>
      <w:r>
        <w:rPr>
          <w:rStyle w:val="FootnoteReference"/>
        </w:rPr>
        <w:footnoteRef/>
      </w:r>
      <w:r>
        <w:t xml:space="preserve"> </w:t>
      </w:r>
      <w:r>
        <w:t xml:space="preserve">Verified fact — A4-S120: OpenAI Agents SDK README (GitHub)</w:t>
      </w:r>
      <w:r>
        <w:t xml:space="preserve"> </w:t>
      </w:r>
      <w:hyperlink r:id="rId1123">
        <w:r>
          <w:rPr>
            <w:rStyle w:val="Hyperlink"/>
          </w:rPr>
          <w:t xml:space="preserve">https://raw.githubusercontent.com/openai/openai-agents-python/main/README.md</w:t>
        </w:r>
      </w:hyperlink>
      <w:r>
        <w:t xml:space="preserve"> </w:t>
      </w:r>
      <w:r>
        <w:t xml:space="preserve">accessed 2026-10-07; A4-S052: OpenAI Agents SDK documentation (agents, sessions, handoffs, guardrails, tracing, running agents)</w:t>
      </w:r>
      <w:r>
        <w:t xml:space="preserve"> </w:t>
      </w:r>
      <w:hyperlink r:id="rId1054">
        <w:r>
          <w:rPr>
            <w:rStyle w:val="Hyperlink"/>
          </w:rPr>
          <w:t xml:space="preserve">https://openai.github.io/openai-agents-python/</w:t>
        </w:r>
      </w:hyperlink>
      <w:r>
        <w:t xml:space="preserve"> </w:t>
      </w:r>
      <w:r>
        <w:t xml:space="preserve">accessed 2026-10-07 [search-tool extract]; A4-S053: The next evolution of the Agents SDK (OpenAI)</w:t>
      </w:r>
      <w:r>
        <w:t xml:space="preserve"> </w:t>
      </w:r>
      <w:hyperlink r:id="rId1124">
        <w:r>
          <w:rPr>
            <w:rStyle w:val="Hyperlink"/>
          </w:rPr>
          <w:t xml:space="preserve">https://openai.com/index/the-next-evolution-of-the-agents-sdk/</w:t>
        </w:r>
      </w:hyperlink>
      <w:r>
        <w:t xml:space="preserve"> </w:t>
      </w:r>
      <w:r>
        <w:t xml:space="preserve">accessed 2026-10-07 [search-tool extract]</w:t>
      </w:r>
    </w:p>
  </w:footnote>
  <w:footnote w:id="1125">
    <w:p>
      <w:pPr>
        <w:pStyle w:val="FootnoteText"/>
      </w:pPr>
      <w:r>
        <w:rPr>
          <w:rStyle w:val="FootnoteReference"/>
        </w:rPr>
        <w:footnoteRef/>
      </w:r>
      <w:r>
        <w:t xml:space="preserve"> </w:t>
      </w:r>
      <w:r>
        <w:t xml:space="preserve">Verified fact — A4-S053: The next evolution of the Agents SDK (OpenAI)</w:t>
      </w:r>
      <w:r>
        <w:t xml:space="preserve"> </w:t>
      </w:r>
      <w:hyperlink r:id="rId1124">
        <w:r>
          <w:rPr>
            <w:rStyle w:val="Hyperlink"/>
          </w:rPr>
          <w:t xml:space="preserve">https://openai.com/index/the-next-evolution-of-the-agents-sdk/</w:t>
        </w:r>
      </w:hyperlink>
      <w:r>
        <w:t xml:space="preserve"> </w:t>
      </w:r>
      <w:r>
        <w:t xml:space="preserve">accessed 2026-10-07 [search-tool extract]</w:t>
      </w:r>
    </w:p>
  </w:footnote>
  <w:footnote w:id="1126">
    <w:p>
      <w:pPr>
        <w:pStyle w:val="FootnoteText"/>
      </w:pPr>
      <w:r>
        <w:rPr>
          <w:rStyle w:val="FootnoteReference"/>
        </w:rPr>
        <w:footnoteRef/>
      </w:r>
      <w:r>
        <w:t xml:space="preserve"> </w:t>
      </w:r>
      <w:r>
        <w:t xml:space="preserve">Verified fact — A4-S005: PyPI JSON metadata: openai-agents (Python Package Index)</w:t>
      </w:r>
      <w:r>
        <w:t xml:space="preserve"> </w:t>
      </w:r>
      <w:hyperlink r:id="rId1127">
        <w:r>
          <w:rPr>
            <w:rStyle w:val="Hyperlink"/>
          </w:rPr>
          <w:t xml:space="preserve">https://pypi.org/pypi/openai-agents/json</w:t>
        </w:r>
      </w:hyperlink>
      <w:r>
        <w:t xml:space="preserve"> </w:t>
      </w:r>
      <w:r>
        <w:t xml:space="preserve">accessed 2026-10-07</w:t>
      </w:r>
    </w:p>
  </w:footnote>
  <w:footnote w:id="1128">
    <w:p>
      <w:pPr>
        <w:pStyle w:val="FootnoteText"/>
      </w:pPr>
      <w:r>
        <w:rPr>
          <w:rStyle w:val="FootnoteReference"/>
        </w:rPr>
        <w:footnoteRef/>
      </w:r>
      <w:r>
        <w:t xml:space="preserve"> </w:t>
      </w:r>
      <w:r>
        <w:t xml:space="preserve">Verified fact — A4-S053: The next evolution of the Agents SDK (OpenAI)</w:t>
      </w:r>
      <w:r>
        <w:t xml:space="preserve"> </w:t>
      </w:r>
      <w:hyperlink r:id="rId1124">
        <w:r>
          <w:rPr>
            <w:rStyle w:val="Hyperlink"/>
          </w:rPr>
          <w:t xml:space="preserve">https://openai.com/index/the-next-evolution-of-the-agents-sdk/</w:t>
        </w:r>
      </w:hyperlink>
      <w:r>
        <w:t xml:space="preserve"> </w:t>
      </w:r>
      <w:r>
        <w:t xml:space="preserve">accessed 2026-10-07 [search-tool extract]; A4-S055: OpenAI API Changelog (Agents API public beta, Sep 2026) and Introducing the Agents API</w:t>
      </w:r>
      <w:r>
        <w:t xml:space="preserve"> </w:t>
      </w:r>
      <w:hyperlink r:id="rId1129">
        <w:r>
          <w:rPr>
            <w:rStyle w:val="Hyperlink"/>
          </w:rPr>
          <w:t xml:space="preserve">https://developers.openai.com/api/docs/changelog</w:t>
        </w:r>
      </w:hyperlink>
      <w:r>
        <w:t xml:space="preserve"> </w:t>
      </w:r>
      <w:r>
        <w:t xml:space="preserve">accessed 2026-10-07 [search-tool extract]</w:t>
      </w:r>
    </w:p>
  </w:footnote>
  <w:footnote w:id="1130">
    <w:p>
      <w:pPr>
        <w:pStyle w:val="FootnoteText"/>
      </w:pPr>
      <w:r>
        <w:rPr>
          <w:rStyle w:val="FootnoteReference"/>
        </w:rPr>
        <w:footnoteRef/>
      </w:r>
      <w:r>
        <w:t xml:space="preserve"> </w:t>
      </w:r>
      <w:r>
        <w:t xml:space="preserve">Verified fact — A4-S005: PyPI JSON metadata: openai-agents (Python Package Index)</w:t>
      </w:r>
      <w:r>
        <w:t xml:space="preserve"> </w:t>
      </w:r>
      <w:hyperlink r:id="rId1127">
        <w:r>
          <w:rPr>
            <w:rStyle w:val="Hyperlink"/>
          </w:rPr>
          <w:t xml:space="preserve">https://pypi.org/pypi/openai-agents/json</w:t>
        </w:r>
      </w:hyperlink>
      <w:r>
        <w:t xml:space="preserve"> </w:t>
      </w:r>
      <w:r>
        <w:t xml:space="preserve">accessed 2026-10-07; A4-S054: OpenAI Deprecations (Agent Builder) and Introducing AgentKit update</w:t>
      </w:r>
      <w:r>
        <w:t xml:space="preserve"> </w:t>
      </w:r>
      <w:hyperlink r:id="rId1131">
        <w:r>
          <w:rPr>
            <w:rStyle w:val="Hyperlink"/>
          </w:rPr>
          <w:t xml:space="preserve">https://developers.openai.com/api/docs/deprecations</w:t>
        </w:r>
      </w:hyperlink>
      <w:r>
        <w:t xml:space="preserve"> </w:t>
      </w:r>
      <w:r>
        <w:t xml:space="preserve">accessed 2026-10-07 [search-tool extract]; A4-S056: Assistants API beta deprecation - August 26, 2026 sunset (OpenAI)</w:t>
      </w:r>
      <w:r>
        <w:t xml:space="preserve"> </w:t>
      </w:r>
      <w:hyperlink r:id="rId1132">
        <w:r>
          <w:rPr>
            <w:rStyle w:val="Hyperlink"/>
          </w:rPr>
          <w:t xml:space="preserve">https://community.openai.com/t/assistants-api-beta-deprecation-august-26-2026-sunset/1354666</w:t>
        </w:r>
      </w:hyperlink>
      <w:r>
        <w:t xml:space="preserve"> </w:t>
      </w:r>
      <w:r>
        <w:t xml:space="preserve">accessed 2026-10-07 [search-tool extract]</w:t>
      </w:r>
    </w:p>
  </w:footnote>
  <w:footnote w:id="1133">
    <w:p>
      <w:pPr>
        <w:pStyle w:val="FootnoteText"/>
      </w:pPr>
      <w:r>
        <w:rPr>
          <w:rStyle w:val="FootnoteReference"/>
        </w:rPr>
        <w:footnoteRef/>
      </w:r>
      <w:r>
        <w:t xml:space="preserve"> </w:t>
      </w:r>
      <w:r>
        <w:t xml:space="preserve">Verified fact — A4-S005: PyPI JSON metadata: openai-agents (Python Package Index)</w:t>
      </w:r>
      <w:r>
        <w:t xml:space="preserve"> </w:t>
      </w:r>
      <w:hyperlink r:id="rId1127">
        <w:r>
          <w:rPr>
            <w:rStyle w:val="Hyperlink"/>
          </w:rPr>
          <w:t xml:space="preserve">https://pypi.org/pypi/openai-agents/json</w:t>
        </w:r>
      </w:hyperlink>
      <w:r>
        <w:t xml:space="preserve"> </w:t>
      </w:r>
      <w:r>
        <w:t xml:space="preserve">accessed 2026-10-07</w:t>
      </w:r>
    </w:p>
  </w:footnote>
  <w:footnote w:id="1134">
    <w:p>
      <w:pPr>
        <w:pStyle w:val="FootnoteText"/>
      </w:pPr>
      <w:r>
        <w:rPr>
          <w:rStyle w:val="FootnoteReference"/>
        </w:rPr>
        <w:footnoteRef/>
      </w:r>
      <w:r>
        <w:t xml:space="preserve"> </w:t>
      </w:r>
      <w:r>
        <w:t xml:space="preserve">Verified fact — A4-S120: OpenAI Agents SDK README (GitHub)</w:t>
      </w:r>
      <w:r>
        <w:t xml:space="preserve"> </w:t>
      </w:r>
      <w:hyperlink r:id="rId1123">
        <w:r>
          <w:rPr>
            <w:rStyle w:val="Hyperlink"/>
          </w:rPr>
          <w:t xml:space="preserve">https://raw.githubusercontent.com/openai/openai-agents-python/main/README.md</w:t>
        </w:r>
      </w:hyperlink>
      <w:r>
        <w:t xml:space="preserve"> </w:t>
      </w:r>
      <w:r>
        <w:t xml:space="preserve">accessed 2026-10-07; A4-S052: OpenAI Agents SDK documentation (agents, sessions, handoffs, guardrails, tracing, running agents)</w:t>
      </w:r>
      <w:r>
        <w:t xml:space="preserve"> </w:t>
      </w:r>
      <w:hyperlink r:id="rId1054">
        <w:r>
          <w:rPr>
            <w:rStyle w:val="Hyperlink"/>
          </w:rPr>
          <w:t xml:space="preserve">https://openai.github.io/openai-agents-python/</w:t>
        </w:r>
      </w:hyperlink>
      <w:r>
        <w:t xml:space="preserve"> </w:t>
      </w:r>
      <w:r>
        <w:t xml:space="preserve">accessed 2026-10-07 [search-tool extract]</w:t>
      </w:r>
    </w:p>
  </w:footnote>
  <w:footnote w:id="1135">
    <w:p>
      <w:pPr>
        <w:pStyle w:val="FootnoteText"/>
      </w:pPr>
      <w:r>
        <w:rPr>
          <w:rStyle w:val="FootnoteReference"/>
        </w:rPr>
        <w:footnoteRef/>
      </w:r>
      <w:r>
        <w:t xml:space="preserve"> </w:t>
      </w:r>
      <w:r>
        <w:t xml:space="preserve">Verified fact — A4-S120: OpenAI Agents SDK README (GitHub)</w:t>
      </w:r>
      <w:r>
        <w:t xml:space="preserve"> </w:t>
      </w:r>
      <w:hyperlink r:id="rId1123">
        <w:r>
          <w:rPr>
            <w:rStyle w:val="Hyperlink"/>
          </w:rPr>
          <w:t xml:space="preserve">https://raw.githubusercontent.com/openai/openai-agents-python/main/README.md</w:t>
        </w:r>
      </w:hyperlink>
      <w:r>
        <w:t xml:space="preserve"> </w:t>
      </w:r>
      <w:r>
        <w:t xml:space="preserve">accessed 2026-10-07; A4-S052: OpenAI Agents SDK documentation (agents, sessions, handoffs, guardrails, tracing, running agents)</w:t>
      </w:r>
      <w:r>
        <w:t xml:space="preserve"> </w:t>
      </w:r>
      <w:hyperlink r:id="rId1054">
        <w:r>
          <w:rPr>
            <w:rStyle w:val="Hyperlink"/>
          </w:rPr>
          <w:t xml:space="preserve">https://openai.github.io/openai-agents-python/</w:t>
        </w:r>
      </w:hyperlink>
      <w:r>
        <w:t xml:space="preserve"> </w:t>
      </w:r>
      <w:r>
        <w:t xml:space="preserve">accessed 2026-10-07 [search-tool extract]; A4-S053: The next evolution of the Agents SDK (OpenAI)</w:t>
      </w:r>
      <w:r>
        <w:t xml:space="preserve"> </w:t>
      </w:r>
      <w:hyperlink r:id="rId1124">
        <w:r>
          <w:rPr>
            <w:rStyle w:val="Hyperlink"/>
          </w:rPr>
          <w:t xml:space="preserve">https://openai.com/index/the-next-evolution-of-the-agents-sdk/</w:t>
        </w:r>
      </w:hyperlink>
      <w:r>
        <w:t xml:space="preserve"> </w:t>
      </w:r>
      <w:r>
        <w:t xml:space="preserve">accessed 2026-10-07 [search-tool extract]; A4-S055: OpenAI API Changelog (Agents API public beta, Sep 2026) and Introducing the Agents API</w:t>
      </w:r>
      <w:r>
        <w:t xml:space="preserve"> </w:t>
      </w:r>
      <w:hyperlink r:id="rId1129">
        <w:r>
          <w:rPr>
            <w:rStyle w:val="Hyperlink"/>
          </w:rPr>
          <w:t xml:space="preserve">https://developers.openai.com/api/docs/changelog</w:t>
        </w:r>
      </w:hyperlink>
      <w:r>
        <w:t xml:space="preserve"> </w:t>
      </w:r>
      <w:r>
        <w:t xml:space="preserve">accessed 2026-10-07 [search-tool extract]; A4-S054: OpenAI Deprecations (Agent Builder) and Introducing AgentKit update</w:t>
      </w:r>
      <w:r>
        <w:t xml:space="preserve"> </w:t>
      </w:r>
      <w:hyperlink r:id="rId1131">
        <w:r>
          <w:rPr>
            <w:rStyle w:val="Hyperlink"/>
          </w:rPr>
          <w:t xml:space="preserve">https://developers.openai.com/api/docs/deprecations</w:t>
        </w:r>
      </w:hyperlink>
      <w:r>
        <w:t xml:space="preserve"> </w:t>
      </w:r>
      <w:r>
        <w:t xml:space="preserve">accessed 2026-10-07 [search-tool extract]</w:t>
      </w:r>
    </w:p>
  </w:footnote>
  <w:footnote w:id="1136">
    <w:p>
      <w:pPr>
        <w:pStyle w:val="FootnoteText"/>
      </w:pPr>
      <w:r>
        <w:rPr>
          <w:rStyle w:val="FootnoteReference"/>
        </w:rPr>
        <w:footnoteRef/>
      </w:r>
      <w:r>
        <w:t xml:space="preserve"> </w:t>
      </w:r>
      <w:r>
        <w:t xml:space="preserve">Verified fact — A4-S120: OpenAI Agents SDK README (GitHub)</w:t>
      </w:r>
      <w:r>
        <w:t xml:space="preserve"> </w:t>
      </w:r>
      <w:hyperlink r:id="rId1123">
        <w:r>
          <w:rPr>
            <w:rStyle w:val="Hyperlink"/>
          </w:rPr>
          <w:t xml:space="preserve">https://raw.githubusercontent.com/openai/openai-agents-python/main/README.md</w:t>
        </w:r>
      </w:hyperlink>
      <w:r>
        <w:t xml:space="preserve"> </w:t>
      </w:r>
      <w:r>
        <w:t xml:space="preserve">accessed 2026-10-07</w:t>
      </w:r>
    </w:p>
  </w:footnote>
  <w:footnote w:id="1137">
    <w:p>
      <w:pPr>
        <w:pStyle w:val="FootnoteText"/>
      </w:pPr>
      <w:r>
        <w:rPr>
          <w:rStyle w:val="FootnoteReference"/>
        </w:rPr>
        <w:footnoteRef/>
      </w:r>
      <w:r>
        <w:t xml:space="preserve"> </w:t>
      </w:r>
      <w:r>
        <w:t xml:space="preserve">Verified fact — A4-S120: OpenAI Agents SDK README (GitHub)</w:t>
      </w:r>
      <w:r>
        <w:t xml:space="preserve"> </w:t>
      </w:r>
      <w:hyperlink r:id="rId1123">
        <w:r>
          <w:rPr>
            <w:rStyle w:val="Hyperlink"/>
          </w:rPr>
          <w:t xml:space="preserve">https://raw.githubusercontent.com/openai/openai-agents-python/main/README.md</w:t>
        </w:r>
      </w:hyperlink>
      <w:r>
        <w:t xml:space="preserve"> </w:t>
      </w:r>
      <w:r>
        <w:t xml:space="preserve">accessed 2026-10-07</w:t>
      </w:r>
    </w:p>
  </w:footnote>
  <w:footnote w:id="1138">
    <w:p>
      <w:pPr>
        <w:pStyle w:val="FootnoteText"/>
      </w:pPr>
      <w:r>
        <w:rPr>
          <w:rStyle w:val="FootnoteReference"/>
        </w:rPr>
        <w:footnoteRef/>
      </w:r>
      <w:r>
        <w:t xml:space="preserve"> </w:t>
      </w:r>
      <w:r>
        <w:t xml:space="preserve">Verified fact — A4-S005: PyPI JSON metadata: openai-agents (Python Package Index)</w:t>
      </w:r>
      <w:r>
        <w:t xml:space="preserve"> </w:t>
      </w:r>
      <w:hyperlink r:id="rId1127">
        <w:r>
          <w:rPr>
            <w:rStyle w:val="Hyperlink"/>
          </w:rPr>
          <w:t xml:space="preserve">https://pypi.org/pypi/openai-agents/json</w:t>
        </w:r>
      </w:hyperlink>
      <w:r>
        <w:t xml:space="preserve"> </w:t>
      </w:r>
      <w:r>
        <w:t xml:space="preserve">accessed 2026-10-07</w:t>
      </w:r>
    </w:p>
  </w:footnote>
  <w:footnote w:id="1139">
    <w:p>
      <w:pPr>
        <w:pStyle w:val="FootnoteText"/>
      </w:pPr>
      <w:r>
        <w:rPr>
          <w:rStyle w:val="FootnoteReference"/>
        </w:rPr>
        <w:footnoteRef/>
      </w:r>
      <w:r>
        <w:t xml:space="preserve"> </w:t>
      </w:r>
      <w:r>
        <w:t xml:space="preserve">Verified fact — A4-S052: OpenAI Agents SDK documentation (agents, sessions, handoffs, guardrails, tracing, running agents)</w:t>
      </w:r>
      <w:r>
        <w:t xml:space="preserve"> </w:t>
      </w:r>
      <w:hyperlink r:id="rId1054">
        <w:r>
          <w:rPr>
            <w:rStyle w:val="Hyperlink"/>
          </w:rPr>
          <w:t xml:space="preserve">https://openai.github.io/openai-agents-python/</w:t>
        </w:r>
      </w:hyperlink>
      <w:r>
        <w:t xml:space="preserve"> </w:t>
      </w:r>
      <w:r>
        <w:t xml:space="preserve">accessed 2026-10-07 [search-tool extract]</w:t>
      </w:r>
    </w:p>
  </w:footnote>
  <w:footnote w:id="1140">
    <w:p>
      <w:pPr>
        <w:pStyle w:val="FootnoteText"/>
      </w:pPr>
      <w:r>
        <w:rPr>
          <w:rStyle w:val="FootnoteReference"/>
        </w:rPr>
        <w:footnoteRef/>
      </w:r>
      <w:r>
        <w:t xml:space="preserve"> </w:t>
      </w:r>
      <w:r>
        <w:t xml:space="preserve">Verified fact — A4-S056: Assistants API beta deprecation - August 26, 2026 sunset (OpenAI)</w:t>
      </w:r>
      <w:r>
        <w:t xml:space="preserve"> </w:t>
      </w:r>
      <w:hyperlink r:id="rId1132">
        <w:r>
          <w:rPr>
            <w:rStyle w:val="Hyperlink"/>
          </w:rPr>
          <w:t xml:space="preserve">https://community.openai.com/t/assistants-api-beta-deprecation-august-26-2026-sunset/1354666</w:t>
        </w:r>
      </w:hyperlink>
      <w:r>
        <w:t xml:space="preserve"> </w:t>
      </w:r>
      <w:r>
        <w:t xml:space="preserve">accessed 2026-10-07 [search-tool extract]; A4-S054: OpenAI Deprecations (Agent Builder) and Introducing AgentKit update</w:t>
      </w:r>
      <w:r>
        <w:t xml:space="preserve"> </w:t>
      </w:r>
      <w:hyperlink r:id="rId1131">
        <w:r>
          <w:rPr>
            <w:rStyle w:val="Hyperlink"/>
          </w:rPr>
          <w:t xml:space="preserve">https://developers.openai.com/api/docs/deprecations</w:t>
        </w:r>
      </w:hyperlink>
      <w:r>
        <w:t xml:space="preserve"> </w:t>
      </w:r>
      <w:r>
        <w:t xml:space="preserve">accessed 2026-10-07 [search-tool extract]</w:t>
      </w:r>
    </w:p>
  </w:footnote>
  <w:footnote w:id="1141">
    <w:p>
      <w:pPr>
        <w:pStyle w:val="FootnoteText"/>
      </w:pPr>
      <w:r>
        <w:rPr>
          <w:rStyle w:val="FootnoteReference"/>
        </w:rPr>
        <w:footnoteRef/>
      </w:r>
      <w:r>
        <w:t xml:space="preserve"> </w:t>
      </w:r>
      <w:r>
        <w:t xml:space="preserve">Verified fact — A4-S055: OpenAI API Changelog (Agents API public beta, Sep 2026) and Introducing the Agents API</w:t>
      </w:r>
      <w:r>
        <w:t xml:space="preserve"> </w:t>
      </w:r>
      <w:hyperlink r:id="rId1129">
        <w:r>
          <w:rPr>
            <w:rStyle w:val="Hyperlink"/>
          </w:rPr>
          <w:t xml:space="preserve">https://developers.openai.com/api/docs/changelog</w:t>
        </w:r>
      </w:hyperlink>
      <w:r>
        <w:t xml:space="preserve"> </w:t>
      </w:r>
      <w:r>
        <w:t xml:space="preserve">accessed 2026-10-07 [search-tool extract]</w:t>
      </w:r>
    </w:p>
  </w:footnote>
  <w:footnote w:id="1143">
    <w:p>
      <w:pPr>
        <w:pStyle w:val="FootnoteText"/>
      </w:pPr>
      <w:r>
        <w:rPr>
          <w:rStyle w:val="FootnoteReference"/>
        </w:rPr>
        <w:footnoteRef/>
      </w:r>
      <w:r>
        <w:t xml:space="preserve"> </w:t>
      </w:r>
      <w:r>
        <w:t xml:space="preserve">Verified fact — A4-S116: Bedrock AgentCore SDK README (GitHub) (AWS)</w:t>
      </w:r>
      <w:r>
        <w:t xml:space="preserve"> </w:t>
      </w:r>
      <w:hyperlink r:id="rId1028">
        <w:r>
          <w:rPr>
            <w:rStyle w:val="Hyperlink"/>
          </w:rPr>
          <w:t xml:space="preserve">https://raw.githubusercontent.com/aws/bedrock-agentcore-sdk-python/main/README.md</w:t>
        </w:r>
      </w:hyperlink>
      <w:r>
        <w:t xml:space="preserve"> </w:t>
      </w:r>
      <w:r>
        <w:t xml:space="preserve">accessed 2026-10-07; B-L3-S004: AgentCore Runtime sessions / microVMs / quotas / security best practices (Amazon Web Services)</w:t>
      </w:r>
      <w:r>
        <w:t xml:space="preserve"> </w:t>
      </w:r>
      <w:hyperlink r:id="rId1144">
        <w:r>
          <w:rPr>
            <w:rStyle w:val="Hyperlink"/>
          </w:rPr>
          <w:t xml:space="preserve">https://docs.aws.amazon.com/bedrock-agentcore/latest/devguide/runtime-sessions.html</w:t>
        </w:r>
      </w:hyperlink>
      <w:r>
        <w:t xml:space="preserve"> </w:t>
      </w:r>
      <w:r>
        <w:t xml:space="preserve">accessed 2026-10-08 [search-tool extract]</w:t>
      </w:r>
    </w:p>
  </w:footnote>
  <w:footnote w:id="1145">
    <w:p>
      <w:pPr>
        <w:pStyle w:val="FootnoteText"/>
      </w:pPr>
      <w:r>
        <w:rPr>
          <w:rStyle w:val="FootnoteReference"/>
        </w:rPr>
        <w:footnoteRef/>
      </w:r>
      <w:r>
        <w:t xml:space="preserve"> </w:t>
      </w:r>
      <w:r>
        <w:t xml:space="preserve">Verified fact — B-L5-S003: Compliance validation for Amazon Bedrock AgentCore (and AWS Services in Scope pages) (Amazon Web Services)</w:t>
      </w:r>
      <w:r>
        <w:t xml:space="preserve"> </w:t>
      </w:r>
      <w:hyperlink r:id="rId757">
        <w:r>
          <w:rPr>
            <w:rStyle w:val="Hyperlink"/>
          </w:rPr>
          <w:t xml:space="preserve">https://docs.aws.amazon.com/bedrock-agentcore/latest/devguide/compliance-validation.html</w:t>
        </w:r>
      </w:hyperlink>
      <w:r>
        <w:t xml:space="preserve"> </w:t>
      </w:r>
      <w:r>
        <w:t xml:space="preserve">accessed 2026-10-08 [search-tool extract]</w:t>
      </w:r>
    </w:p>
  </w:footnote>
  <w:footnote w:id="1146">
    <w:p>
      <w:pPr>
        <w:pStyle w:val="FootnoteText"/>
      </w:pPr>
      <w:r>
        <w:rPr>
          <w:rStyle w:val="FootnoteReference"/>
        </w:rPr>
        <w:footnoteRef/>
      </w:r>
      <w:r>
        <w:t xml:space="preserve"> </w:t>
      </w:r>
      <w:r>
        <w:t xml:space="preserve">Verified fact — A4-S116: Bedrock AgentCore SDK README (GitHub) (AWS)</w:t>
      </w:r>
      <w:r>
        <w:t xml:space="preserve"> </w:t>
      </w:r>
      <w:hyperlink r:id="rId1028">
        <w:r>
          <w:rPr>
            <w:rStyle w:val="Hyperlink"/>
          </w:rPr>
          <w:t xml:space="preserve">https://raw.githubusercontent.com/aws/bedrock-agentcore-sdk-python/main/README.md</w:t>
        </w:r>
      </w:hyperlink>
      <w:r>
        <w:t xml:space="preserve"> </w:t>
      </w:r>
      <w:r>
        <w:t xml:space="preserve">accessed 2026-10-07; A4-S018: PyPI JSON metadata: strands-agents (Python Package Index)</w:t>
      </w:r>
      <w:r>
        <w:t xml:space="preserve"> </w:t>
      </w:r>
      <w:hyperlink r:id="rId1147">
        <w:r>
          <w:rPr>
            <w:rStyle w:val="Hyperlink"/>
          </w:rPr>
          <w:t xml:space="preserve">https://pypi.org/pypi/strands-agents/json</w:t>
        </w:r>
      </w:hyperlink>
      <w:r>
        <w:t xml:space="preserve"> </w:t>
      </w:r>
      <w:r>
        <w:t xml:space="preserve">accessed 2026-10-07</w:t>
      </w:r>
    </w:p>
  </w:footnote>
  <w:footnote w:id="1148">
    <w:p>
      <w:pPr>
        <w:pStyle w:val="FootnoteText"/>
      </w:pPr>
      <w:r>
        <w:rPr>
          <w:rStyle w:val="FootnoteReference"/>
        </w:rPr>
        <w:footnoteRef/>
      </w:r>
      <w:r>
        <w:t xml:space="preserve"> </w:t>
      </w:r>
      <w:r>
        <w:t xml:space="preserve">Verified fact — A4-S116: Bedrock AgentCore SDK README (GitHub) (AWS)</w:t>
      </w:r>
      <w:r>
        <w:t xml:space="preserve"> </w:t>
      </w:r>
      <w:hyperlink r:id="rId1028">
        <w:r>
          <w:rPr>
            <w:rStyle w:val="Hyperlink"/>
          </w:rPr>
          <w:t xml:space="preserve">https://raw.githubusercontent.com/aws/bedrock-agentcore-sdk-python/main/README.md</w:t>
        </w:r>
      </w:hyperlink>
      <w:r>
        <w:t xml:space="preserve"> </w:t>
      </w:r>
      <w:r>
        <w:t xml:space="preserve">accessed 2026-10-07</w:t>
      </w:r>
    </w:p>
  </w:footnote>
  <w:footnote w:id="1149">
    <w:p>
      <w:pPr>
        <w:pStyle w:val="FootnoteText"/>
      </w:pPr>
      <w:r>
        <w:rPr>
          <w:rStyle w:val="FootnoteReference"/>
        </w:rPr>
        <w:footnoteRef/>
      </w:r>
      <w:r>
        <w:t xml:space="preserve"> </w:t>
      </w:r>
      <w:r>
        <w:t xml:space="preserve">Verified fact — V1-S087: Amazon Bedrock AgentCore is now generally available; AgentCore FAQs; release notes (Amazon Web Services)</w:t>
      </w:r>
      <w:r>
        <w:t xml:space="preserve"> </w:t>
      </w:r>
      <w:hyperlink r:id="rId752">
        <w:r>
          <w:rPr>
            <w:rStyle w:val="Hyperlink"/>
          </w:rPr>
          <w:t xml:space="preserve">https://aws.amazon.com/about-aws/whats-new/2025/10/amazon-bedrock-agentcore-available/</w:t>
        </w:r>
      </w:hyperlink>
      <w:r>
        <w:t xml:space="preserve"> </w:t>
      </w:r>
      <w:r>
        <w:t xml:space="preserve">accessed 2026-10-08 [search-tool extract]; A4-S018: PyPI JSON metadata: strands-agents (Python Package Index)</w:t>
      </w:r>
      <w:r>
        <w:t xml:space="preserve"> </w:t>
      </w:r>
      <w:hyperlink r:id="rId1147">
        <w:r>
          <w:rPr>
            <w:rStyle w:val="Hyperlink"/>
          </w:rPr>
          <w:t xml:space="preserve">https://pypi.org/pypi/strands-agents/json</w:t>
        </w:r>
      </w:hyperlink>
      <w:r>
        <w:t xml:space="preserve"> </w:t>
      </w:r>
      <w:r>
        <w:t xml:space="preserve">accessed 2026-10-07; A4-S121: PyPI JSON metadata: bedrock-agentcore (Python Package Index)</w:t>
      </w:r>
      <w:r>
        <w:t xml:space="preserve"> </w:t>
      </w:r>
      <w:hyperlink r:id="rId1150">
        <w:r>
          <w:rPr>
            <w:rStyle w:val="Hyperlink"/>
          </w:rPr>
          <w:t xml:space="preserve">https://pypi.org/pypi/bedrock-agentcore/json</w:t>
        </w:r>
      </w:hyperlink>
      <w:r>
        <w:t xml:space="preserve"> </w:t>
      </w:r>
      <w:r>
        <w:t xml:space="preserve">accessed 2026-10-07</w:t>
      </w:r>
    </w:p>
  </w:footnote>
  <w:footnote w:id="1151">
    <w:p>
      <w:pPr>
        <w:pStyle w:val="FootnoteText"/>
      </w:pPr>
      <w:r>
        <w:rPr>
          <w:rStyle w:val="FootnoteReference"/>
        </w:rPr>
        <w:footnoteRef/>
      </w:r>
      <w:r>
        <w:t xml:space="preserve"> </w:t>
      </w:r>
      <w:r>
        <w:t xml:space="preserve">Verified fact — A4-S116: Bedrock AgentCore SDK README (GitHub) (AWS)</w:t>
      </w:r>
      <w:r>
        <w:t xml:space="preserve"> </w:t>
      </w:r>
      <w:hyperlink r:id="rId1028">
        <w:r>
          <w:rPr>
            <w:rStyle w:val="Hyperlink"/>
          </w:rPr>
          <w:t xml:space="preserve">https://raw.githubusercontent.com/aws/bedrock-agentcore-sdk-python/main/README.md</w:t>
        </w:r>
      </w:hyperlink>
      <w:r>
        <w:t xml:space="preserve"> </w:t>
      </w:r>
      <w:r>
        <w:t xml:space="preserve">accessed 2026-10-07</w:t>
      </w:r>
    </w:p>
  </w:footnote>
  <w:footnote w:id="1152">
    <w:p>
      <w:pPr>
        <w:pStyle w:val="FootnoteText"/>
      </w:pPr>
      <w:r>
        <w:rPr>
          <w:rStyle w:val="FootnoteReference"/>
        </w:rPr>
        <w:footnoteRef/>
      </w:r>
      <w:r>
        <w:t xml:space="preserve"> </w:t>
      </w:r>
      <w:r>
        <w:t xml:space="preserve">Verified fact — A4-S115: Strands Agents README (GitHub) (AWS (Strands Agents))</w:t>
      </w:r>
      <w:r>
        <w:t xml:space="preserve"> </w:t>
      </w:r>
      <w:hyperlink r:id="rId1153">
        <w:r>
          <w:rPr>
            <w:rStyle w:val="Hyperlink"/>
          </w:rPr>
          <w:t xml:space="preserve">https://raw.githubusercontent.com/strands-agents/sdk-python/main/README.md</w:t>
        </w:r>
      </w:hyperlink>
      <w:r>
        <w:t xml:space="preserve"> </w:t>
      </w:r>
      <w:r>
        <w:t xml:space="preserve">accessed 2026-10-07; A4-S116: Bedrock AgentCore SDK README (GitHub) (AWS)</w:t>
      </w:r>
      <w:r>
        <w:t xml:space="preserve"> </w:t>
      </w:r>
      <w:hyperlink r:id="rId1028">
        <w:r>
          <w:rPr>
            <w:rStyle w:val="Hyperlink"/>
          </w:rPr>
          <w:t xml:space="preserve">https://raw.githubusercontent.com/aws/bedrock-agentcore-sdk-python/main/README.md</w:t>
        </w:r>
      </w:hyperlink>
      <w:r>
        <w:t xml:space="preserve"> </w:t>
      </w:r>
      <w:r>
        <w:t xml:space="preserve">accessed 2026-10-07; B-L3-S004: AgentCore Runtime sessions / microVMs / quotas / security best practices (Amazon Web Services)</w:t>
      </w:r>
      <w:r>
        <w:t xml:space="preserve"> </w:t>
      </w:r>
      <w:hyperlink r:id="rId1144">
        <w:r>
          <w:rPr>
            <w:rStyle w:val="Hyperlink"/>
          </w:rPr>
          <w:t xml:space="preserve">https://docs.aws.amazon.com/bedrock-agentcore/latest/devguide/runtime-sessions.html</w:t>
        </w:r>
      </w:hyperlink>
      <w:r>
        <w:t xml:space="preserve"> </w:t>
      </w:r>
      <w:r>
        <w:t xml:space="preserve">accessed 2026-10-08 [search-tool extract]</w:t>
      </w:r>
    </w:p>
  </w:footnote>
  <w:footnote w:id="1154">
    <w:p>
      <w:pPr>
        <w:pStyle w:val="FootnoteText"/>
      </w:pPr>
      <w:r>
        <w:rPr>
          <w:rStyle w:val="FootnoteReference"/>
        </w:rPr>
        <w:footnoteRef/>
      </w:r>
      <w:r>
        <w:t xml:space="preserve"> </w:t>
      </w:r>
      <w:r>
        <w:t xml:space="preserve">Verified fact — B-L3-S004: AgentCore Runtime sessions / microVMs / quotas / security best practices (Amazon Web Services)</w:t>
      </w:r>
      <w:r>
        <w:t xml:space="preserve"> </w:t>
      </w:r>
      <w:hyperlink r:id="rId1144">
        <w:r>
          <w:rPr>
            <w:rStyle w:val="Hyperlink"/>
          </w:rPr>
          <w:t xml:space="preserve">https://docs.aws.amazon.com/bedrock-agentcore/latest/devguide/runtime-sessions.html</w:t>
        </w:r>
      </w:hyperlink>
      <w:r>
        <w:t xml:space="preserve"> </w:t>
      </w:r>
      <w:r>
        <w:t xml:space="preserve">accessed 2026-10-08 [search-tool extract]</w:t>
      </w:r>
    </w:p>
  </w:footnote>
  <w:footnote w:id="1155">
    <w:p>
      <w:pPr>
        <w:pStyle w:val="FootnoteText"/>
      </w:pPr>
      <w:r>
        <w:rPr>
          <w:rStyle w:val="FootnoteReference"/>
        </w:rPr>
        <w:footnoteRef/>
      </w:r>
      <w:r>
        <w:t xml:space="preserve"> </w:t>
      </w:r>
      <w:r>
        <w:t xml:space="preserve">Verified fact — A4-S116: Bedrock AgentCore SDK README (GitHub) (AWS)</w:t>
      </w:r>
      <w:r>
        <w:t xml:space="preserve"> </w:t>
      </w:r>
      <w:hyperlink r:id="rId1028">
        <w:r>
          <w:rPr>
            <w:rStyle w:val="Hyperlink"/>
          </w:rPr>
          <w:t xml:space="preserve">https://raw.githubusercontent.com/aws/bedrock-agentcore-sdk-python/main/README.md</w:t>
        </w:r>
      </w:hyperlink>
      <w:r>
        <w:t xml:space="preserve"> </w:t>
      </w:r>
      <w:r>
        <w:t xml:space="preserve">accessed 2026-10-07</w:t>
      </w:r>
    </w:p>
  </w:footnote>
  <w:footnote w:id="1156">
    <w:p>
      <w:pPr>
        <w:pStyle w:val="FootnoteText"/>
      </w:pPr>
      <w:r>
        <w:rPr>
          <w:rStyle w:val="FootnoteReference"/>
        </w:rPr>
        <w:footnoteRef/>
      </w:r>
      <w:r>
        <w:t xml:space="preserve"> </w:t>
      </w:r>
      <w:r>
        <w:t xml:space="preserve">Verified fact — A4-S116: Bedrock AgentCore SDK README (GitHub) (AWS)</w:t>
      </w:r>
      <w:r>
        <w:t xml:space="preserve"> </w:t>
      </w:r>
      <w:hyperlink r:id="rId1028">
        <w:r>
          <w:rPr>
            <w:rStyle w:val="Hyperlink"/>
          </w:rPr>
          <w:t xml:space="preserve">https://raw.githubusercontent.com/aws/bedrock-agentcore-sdk-python/main/README.md</w:t>
        </w:r>
      </w:hyperlink>
      <w:r>
        <w:t xml:space="preserve"> </w:t>
      </w:r>
      <w:r>
        <w:t xml:space="preserve">accessed 2026-10-07</w:t>
      </w:r>
    </w:p>
  </w:footnote>
  <w:footnote w:id="1157">
    <w:p>
      <w:pPr>
        <w:pStyle w:val="FootnoteText"/>
      </w:pPr>
      <w:r>
        <w:rPr>
          <w:rStyle w:val="FootnoteReference"/>
        </w:rPr>
        <w:footnoteRef/>
      </w:r>
      <w:r>
        <w:t xml:space="preserve"> </w:t>
      </w:r>
      <w:r>
        <w:t xml:space="preserve">Verified fact — B-L3-S004: AgentCore Runtime sessions / microVMs / quotas / security best practices (Amazon Web Services)</w:t>
      </w:r>
      <w:r>
        <w:t xml:space="preserve"> </w:t>
      </w:r>
      <w:hyperlink r:id="rId1144">
        <w:r>
          <w:rPr>
            <w:rStyle w:val="Hyperlink"/>
          </w:rPr>
          <w:t xml:space="preserve">https://docs.aws.amazon.com/bedrock-agentcore/latest/devguide/runtime-sessions.html</w:t>
        </w:r>
      </w:hyperlink>
      <w:r>
        <w:t xml:space="preserve"> </w:t>
      </w:r>
      <w:r>
        <w:t xml:space="preserve">accessed 2026-10-08 [search-tool extract]</w:t>
      </w:r>
    </w:p>
  </w:footnote>
  <w:footnote w:id="1158">
    <w:p>
      <w:pPr>
        <w:pStyle w:val="FootnoteText"/>
      </w:pPr>
      <w:r>
        <w:rPr>
          <w:rStyle w:val="FootnoteReference"/>
        </w:rPr>
        <w:footnoteRef/>
      </w:r>
      <w:r>
        <w:t xml:space="preserve"> </w:t>
      </w:r>
      <w:r>
        <w:t xml:space="preserve">Verified fact — A4-S121: PyPI JSON metadata: bedrock-agentcore (Python Package Index)</w:t>
      </w:r>
      <w:r>
        <w:t xml:space="preserve"> </w:t>
      </w:r>
      <w:hyperlink r:id="rId1150">
        <w:r>
          <w:rPr>
            <w:rStyle w:val="Hyperlink"/>
          </w:rPr>
          <w:t xml:space="preserve">https://pypi.org/pypi/bedrock-agentcore/json</w:t>
        </w:r>
      </w:hyperlink>
      <w:r>
        <w:t xml:space="preserve"> </w:t>
      </w:r>
      <w:r>
        <w:t xml:space="preserve">accessed 2026-10-07</w:t>
      </w:r>
    </w:p>
  </w:footnote>
  <w:footnote w:id="1159">
    <w:p>
      <w:pPr>
        <w:pStyle w:val="FootnoteText"/>
      </w:pPr>
      <w:r>
        <w:rPr>
          <w:rStyle w:val="FootnoteReference"/>
        </w:rPr>
        <w:footnoteRef/>
      </w:r>
      <w:r>
        <w:t xml:space="preserve"> </w:t>
      </w:r>
      <w:r>
        <w:t xml:space="preserve">Verified fact — B-L3-S004: AgentCore Runtime sessions / microVMs / quotas / security best practices (Amazon Web Services)</w:t>
      </w:r>
      <w:r>
        <w:t xml:space="preserve"> </w:t>
      </w:r>
      <w:hyperlink r:id="rId1144">
        <w:r>
          <w:rPr>
            <w:rStyle w:val="Hyperlink"/>
          </w:rPr>
          <w:t xml:space="preserve">https://docs.aws.amazon.com/bedrock-agentcore/latest/devguide/runtime-sessions.html</w:t>
        </w:r>
      </w:hyperlink>
      <w:r>
        <w:t xml:space="preserve"> </w:t>
      </w:r>
      <w:r>
        <w:t xml:space="preserve">accessed 2026-10-08 [search-tool extract]</w:t>
      </w:r>
    </w:p>
  </w:footnote>
  <w:footnote w:id="1161">
    <w:p>
      <w:pPr>
        <w:pStyle w:val="FootnoteText"/>
      </w:pPr>
      <w:r>
        <w:rPr>
          <w:rStyle w:val="FootnoteReference"/>
        </w:rPr>
        <w:footnoteRef/>
      </w:r>
      <w:r>
        <w:t xml:space="preserve"> </w:t>
      </w:r>
      <w:r>
        <w:t xml:space="preserve">Verified fact — A4-S050: CrewAI Introduction / Flows / Evaluating Use Cases - CrewAI docs</w:t>
      </w:r>
      <w:r>
        <w:t xml:space="preserve"> </w:t>
      </w:r>
      <w:hyperlink r:id="rId1162">
        <w:r>
          <w:rPr>
            <w:rStyle w:val="Hyperlink"/>
          </w:rPr>
          <w:t xml:space="preserve">https://docs.crewai.com/en/introduction</w:t>
        </w:r>
      </w:hyperlink>
      <w:r>
        <w:t xml:space="preserve"> </w:t>
      </w:r>
      <w:r>
        <w:t xml:space="preserve">accessed 2026-10-07 [search-tool extract]</w:t>
      </w:r>
    </w:p>
  </w:footnote>
  <w:footnote w:id="1163">
    <w:p>
      <w:pPr>
        <w:pStyle w:val="FootnoteText"/>
      </w:pPr>
      <w:r>
        <w:rPr>
          <w:rStyle w:val="FootnoteReference"/>
        </w:rPr>
        <w:footnoteRef/>
      </w:r>
      <w:r>
        <w:t xml:space="preserve"> </w:t>
      </w:r>
      <w:r>
        <w:t xml:space="preserve">Verified fact — A4-S047: CrewAI Pricing</w:t>
      </w:r>
      <w:r>
        <w:t xml:space="preserve"> </w:t>
      </w:r>
      <w:hyperlink r:id="rId1164">
        <w:r>
          <w:rPr>
            <w:rStyle w:val="Hyperlink"/>
          </w:rPr>
          <w:t xml:space="preserve">https://crewai.com/pricing</w:t>
        </w:r>
      </w:hyperlink>
      <w:r>
        <w:t xml:space="preserve"> </w:t>
      </w:r>
      <w:r>
        <w:t xml:space="preserve">accessed 2026-10-07 [search-tool extract]</w:t>
      </w:r>
    </w:p>
  </w:footnote>
  <w:footnote w:id="1165">
    <w:p>
      <w:pPr>
        <w:pStyle w:val="FootnoteText"/>
      </w:pPr>
      <w:r>
        <w:rPr>
          <w:rStyle w:val="FootnoteReference"/>
        </w:rPr>
        <w:footnoteRef/>
      </w:r>
      <w:r>
        <w:t xml:space="preserve"> </w:t>
      </w:r>
      <w:r>
        <w:t xml:space="preserve">Verified fact — A4-S048: Trust Center - CrewAI</w:t>
      </w:r>
      <w:r>
        <w:t xml:space="preserve"> </w:t>
      </w:r>
      <w:hyperlink r:id="rId1166">
        <w:r>
          <w:rPr>
            <w:rStyle w:val="Hyperlink"/>
          </w:rPr>
          <w:t xml:space="preserve">https://trust.crewai.com/</w:t>
        </w:r>
      </w:hyperlink>
      <w:r>
        <w:t xml:space="preserve"> </w:t>
      </w:r>
      <w:r>
        <w:t xml:space="preserve">accessed 2026-10-07 [search-tool extract]</w:t>
      </w:r>
    </w:p>
  </w:footnote>
  <w:footnote w:id="1167">
    <w:p>
      <w:pPr>
        <w:pStyle w:val="FootnoteText"/>
      </w:pPr>
      <w:r>
        <w:rPr>
          <w:rStyle w:val="FootnoteReference"/>
        </w:rPr>
        <w:footnoteRef/>
      </w:r>
      <w:r>
        <w:t xml:space="preserve"> </w:t>
      </w:r>
      <w:r>
        <w:t xml:space="preserve">Verified fact — A4-S047: CrewAI Pricing</w:t>
      </w:r>
      <w:r>
        <w:t xml:space="preserve"> </w:t>
      </w:r>
      <w:hyperlink r:id="rId1164">
        <w:r>
          <w:rPr>
            <w:rStyle w:val="Hyperlink"/>
          </w:rPr>
          <w:t xml:space="preserve">https://crewai.com/pricing</w:t>
        </w:r>
      </w:hyperlink>
      <w:r>
        <w:t xml:space="preserve"> </w:t>
      </w:r>
      <w:r>
        <w:t xml:space="preserve">accessed 2026-10-07 [search-tool extract]; A4-S049: CrewAI AMP - Agent Management Platform (product page, docs and blog)</w:t>
      </w:r>
      <w:r>
        <w:t xml:space="preserve"> </w:t>
      </w:r>
      <w:hyperlink r:id="rId1168">
        <w:r>
          <w:rPr>
            <w:rStyle w:val="Hyperlink"/>
          </w:rPr>
          <w:t xml:space="preserve">https://crewai.com/agent-management-platform</w:t>
        </w:r>
      </w:hyperlink>
      <w:r>
        <w:t xml:space="preserve"> </w:t>
      </w:r>
      <w:r>
        <w:t xml:space="preserve">accessed 2026-10-07 [search-tool extract]</w:t>
      </w:r>
    </w:p>
  </w:footnote>
  <w:footnote w:id="1169">
    <w:p>
      <w:pPr>
        <w:pStyle w:val="FootnoteText"/>
      </w:pPr>
      <w:r>
        <w:rPr>
          <w:rStyle w:val="FootnoteReference"/>
        </w:rPr>
        <w:footnoteRef/>
      </w:r>
      <w:r>
        <w:t xml:space="preserve"> </w:t>
      </w:r>
      <w:r>
        <w:t xml:space="preserve">Verified fact — A4-S004: PyPI JSON metadata: crewai (Python Package Index)</w:t>
      </w:r>
      <w:r>
        <w:t xml:space="preserve"> </w:t>
      </w:r>
      <w:hyperlink r:id="rId1170">
        <w:r>
          <w:rPr>
            <w:rStyle w:val="Hyperlink"/>
          </w:rPr>
          <w:t xml:space="preserve">https://pypi.org/pypi/crewai/json</w:t>
        </w:r>
      </w:hyperlink>
      <w:r>
        <w:t xml:space="preserve"> </w:t>
      </w:r>
      <w:r>
        <w:t xml:space="preserve">accessed 2026-10-07; A4-S049: CrewAI AMP - Agent Management Platform (product page, docs and blog)</w:t>
      </w:r>
      <w:r>
        <w:t xml:space="preserve"> </w:t>
      </w:r>
      <w:hyperlink r:id="rId1168">
        <w:r>
          <w:rPr>
            <w:rStyle w:val="Hyperlink"/>
          </w:rPr>
          <w:t xml:space="preserve">https://crewai.com/agent-management-platform</w:t>
        </w:r>
      </w:hyperlink>
      <w:r>
        <w:t xml:space="preserve"> </w:t>
      </w:r>
      <w:r>
        <w:t xml:space="preserve">accessed 2026-10-07 [search-tool extract]; A4-S116: Bedrock AgentCore SDK README (GitHub) (AWS)</w:t>
      </w:r>
      <w:r>
        <w:t xml:space="preserve"> </w:t>
      </w:r>
      <w:hyperlink r:id="rId1028">
        <w:r>
          <w:rPr>
            <w:rStyle w:val="Hyperlink"/>
          </w:rPr>
          <w:t xml:space="preserve">https://raw.githubusercontent.com/aws/bedrock-agentcore-sdk-python/main/README.md</w:t>
        </w:r>
      </w:hyperlink>
      <w:r>
        <w:t xml:space="preserve"> </w:t>
      </w:r>
      <w:r>
        <w:t xml:space="preserve">accessed 2026-10-07</w:t>
      </w:r>
    </w:p>
  </w:footnote>
  <w:footnote w:id="1171">
    <w:p>
      <w:pPr>
        <w:pStyle w:val="FootnoteText"/>
      </w:pPr>
      <w:r>
        <w:rPr>
          <w:rStyle w:val="FootnoteReference"/>
        </w:rPr>
        <w:footnoteRef/>
      </w:r>
      <w:r>
        <w:t xml:space="preserve"> </w:t>
      </w:r>
      <w:r>
        <w:t xml:space="preserve">Verified fact — A4-S004: PyPI JSON metadata: crewai (Python Package Index)</w:t>
      </w:r>
      <w:r>
        <w:t xml:space="preserve"> </w:t>
      </w:r>
      <w:hyperlink r:id="rId1170">
        <w:r>
          <w:rPr>
            <w:rStyle w:val="Hyperlink"/>
          </w:rPr>
          <w:t xml:space="preserve">https://pypi.org/pypi/crewai/json</w:t>
        </w:r>
      </w:hyperlink>
      <w:r>
        <w:t xml:space="preserve"> </w:t>
      </w:r>
      <w:r>
        <w:t xml:space="preserve">accessed 2026-10-07</w:t>
      </w:r>
    </w:p>
  </w:footnote>
  <w:footnote w:id="1172">
    <w:p>
      <w:pPr>
        <w:pStyle w:val="FootnoteText"/>
      </w:pPr>
      <w:r>
        <w:rPr>
          <w:rStyle w:val="FootnoteReference"/>
        </w:rPr>
        <w:footnoteRef/>
      </w:r>
      <w:r>
        <w:t xml:space="preserve"> </w:t>
      </w:r>
      <w:r>
        <w:t xml:space="preserve">Verified fact — A4-S047: CrewAI Pricing</w:t>
      </w:r>
      <w:r>
        <w:t xml:space="preserve"> </w:t>
      </w:r>
      <w:hyperlink r:id="rId1164">
        <w:r>
          <w:rPr>
            <w:rStyle w:val="Hyperlink"/>
          </w:rPr>
          <w:t xml:space="preserve">https://crewai.com/pricing</w:t>
        </w:r>
      </w:hyperlink>
      <w:r>
        <w:t xml:space="preserve"> </w:t>
      </w:r>
      <w:r>
        <w:t xml:space="preserve">accessed 2026-10-07 [search-tool extract]</w:t>
      </w:r>
    </w:p>
  </w:footnote>
  <w:footnote w:id="1173">
    <w:p>
      <w:pPr>
        <w:pStyle w:val="FootnoteText"/>
      </w:pPr>
      <w:r>
        <w:rPr>
          <w:rStyle w:val="FootnoteReference"/>
        </w:rPr>
        <w:footnoteRef/>
      </w:r>
      <w:r>
        <w:t xml:space="preserve"> </w:t>
      </w:r>
      <w:r>
        <w:t xml:space="preserve">Verified fact — A4-S126: crewAI LICENSE (crewAI, Inc.)</w:t>
      </w:r>
      <w:r>
        <w:t xml:space="preserve"> </w:t>
      </w:r>
      <w:hyperlink r:id="rId1174">
        <w:r>
          <w:rPr>
            <w:rStyle w:val="Hyperlink"/>
          </w:rPr>
          <w:t xml:space="preserve">https://raw.githubusercontent.com/crewAIInc/crewAI/main/LICENSE</w:t>
        </w:r>
      </w:hyperlink>
      <w:r>
        <w:t xml:space="preserve"> </w:t>
      </w:r>
      <w:r>
        <w:t xml:space="preserve">accessed 2026-10-07; A4-S047: CrewAI Pricing</w:t>
      </w:r>
      <w:r>
        <w:t xml:space="preserve"> </w:t>
      </w:r>
      <w:hyperlink r:id="rId1164">
        <w:r>
          <w:rPr>
            <w:rStyle w:val="Hyperlink"/>
          </w:rPr>
          <w:t xml:space="preserve">https://crewai.com/pricing</w:t>
        </w:r>
      </w:hyperlink>
      <w:r>
        <w:t xml:space="preserve"> </w:t>
      </w:r>
      <w:r>
        <w:t xml:space="preserve">accessed 2026-10-07 [search-tool extract]</w:t>
      </w:r>
    </w:p>
  </w:footnote>
  <w:footnote w:id="1175">
    <w:p>
      <w:pPr>
        <w:pStyle w:val="FootnoteText"/>
      </w:pPr>
      <w:r>
        <w:rPr>
          <w:rStyle w:val="FootnoteReference"/>
        </w:rPr>
        <w:footnoteRef/>
      </w:r>
      <w:r>
        <w:t xml:space="preserve"> </w:t>
      </w:r>
      <w:r>
        <w:t xml:space="preserve">Verified fact — A4-S004: PyPI JSON metadata: crewai (Python Package Index)</w:t>
      </w:r>
      <w:r>
        <w:t xml:space="preserve"> </w:t>
      </w:r>
      <w:hyperlink r:id="rId1170">
        <w:r>
          <w:rPr>
            <w:rStyle w:val="Hyperlink"/>
          </w:rPr>
          <w:t xml:space="preserve">https://pypi.org/pypi/crewai/json</w:t>
        </w:r>
      </w:hyperlink>
      <w:r>
        <w:t xml:space="preserve"> </w:t>
      </w:r>
      <w:r>
        <w:t xml:space="preserve">accessed 2026-10-07; A4-S050: CrewAI Introduction / Flows / Evaluating Use Cases - CrewAI docs</w:t>
      </w:r>
      <w:r>
        <w:t xml:space="preserve"> </w:t>
      </w:r>
      <w:hyperlink r:id="rId1162">
        <w:r>
          <w:rPr>
            <w:rStyle w:val="Hyperlink"/>
          </w:rPr>
          <w:t xml:space="preserve">https://docs.crewai.com/en/introduction</w:t>
        </w:r>
      </w:hyperlink>
      <w:r>
        <w:t xml:space="preserve"> </w:t>
      </w:r>
      <w:r>
        <w:t xml:space="preserve">accessed 2026-10-07 [search-tool extract]; A4-S049: CrewAI AMP - Agent Management Platform (product page, docs and blog)</w:t>
      </w:r>
      <w:r>
        <w:t xml:space="preserve"> </w:t>
      </w:r>
      <w:hyperlink r:id="rId1168">
        <w:r>
          <w:rPr>
            <w:rStyle w:val="Hyperlink"/>
          </w:rPr>
          <w:t xml:space="preserve">https://crewai.com/agent-management-platform</w:t>
        </w:r>
      </w:hyperlink>
      <w:r>
        <w:t xml:space="preserve"> </w:t>
      </w:r>
      <w:r>
        <w:t xml:space="preserve">accessed 2026-10-07 [search-tool extract]; V1-S075: CrewAI AMP - CrewAI Platform (docs); CrewAI AMP - The Agent Management Platform (blog)</w:t>
      </w:r>
      <w:r>
        <w:t xml:space="preserve"> </w:t>
      </w:r>
      <w:hyperlink r:id="rId1176">
        <w:r>
          <w:rPr>
            <w:rStyle w:val="Hyperlink"/>
          </w:rPr>
          <w:t xml:space="preserve">https://docs.crewai.com/en/enterprise/introduction</w:t>
        </w:r>
      </w:hyperlink>
      <w:r>
        <w:t xml:space="preserve"> </w:t>
      </w:r>
      <w:r>
        <w:t xml:space="preserve">accessed 2026-10-08 [search-tool extract]</w:t>
      </w:r>
    </w:p>
  </w:footnote>
  <w:footnote w:id="1177">
    <w:p>
      <w:pPr>
        <w:pStyle w:val="FootnoteText"/>
      </w:pPr>
      <w:r>
        <w:rPr>
          <w:rStyle w:val="FootnoteReference"/>
        </w:rPr>
        <w:footnoteRef/>
      </w:r>
      <w:r>
        <w:t xml:space="preserve"> </w:t>
      </w:r>
      <w:r>
        <w:t xml:space="preserve">Verified fact — A4-S050: CrewAI Introduction / Flows / Evaluating Use Cases - CrewAI docs</w:t>
      </w:r>
      <w:r>
        <w:t xml:space="preserve"> </w:t>
      </w:r>
      <w:hyperlink r:id="rId1162">
        <w:r>
          <w:rPr>
            <w:rStyle w:val="Hyperlink"/>
          </w:rPr>
          <w:t xml:space="preserve">https://docs.crewai.com/en/introduction</w:t>
        </w:r>
      </w:hyperlink>
      <w:r>
        <w:t xml:space="preserve"> </w:t>
      </w:r>
      <w:r>
        <w:t xml:space="preserve">accessed 2026-10-07 [search-tool extract]</w:t>
      </w:r>
    </w:p>
  </w:footnote>
  <w:footnote w:id="1178">
    <w:p>
      <w:pPr>
        <w:pStyle w:val="FootnoteText"/>
      </w:pPr>
      <w:r>
        <w:rPr>
          <w:rStyle w:val="FootnoteReference"/>
        </w:rPr>
        <w:footnoteRef/>
      </w:r>
      <w:r>
        <w:t xml:space="preserve"> </w:t>
      </w:r>
      <w:r>
        <w:t xml:space="preserve">Verified fact — A4-S047: CrewAI Pricing</w:t>
      </w:r>
      <w:r>
        <w:t xml:space="preserve"> </w:t>
      </w:r>
      <w:hyperlink r:id="rId1164">
        <w:r>
          <w:rPr>
            <w:rStyle w:val="Hyperlink"/>
          </w:rPr>
          <w:t xml:space="preserve">https://crewai.com/pricing</w:t>
        </w:r>
      </w:hyperlink>
      <w:r>
        <w:t xml:space="preserve"> </w:t>
      </w:r>
      <w:r>
        <w:t xml:space="preserve">accessed 2026-10-07 [search-tool extract]; A4-S049: CrewAI AMP - Agent Management Platform (product page, docs and blog)</w:t>
      </w:r>
      <w:r>
        <w:t xml:space="preserve"> </w:t>
      </w:r>
      <w:hyperlink r:id="rId1168">
        <w:r>
          <w:rPr>
            <w:rStyle w:val="Hyperlink"/>
          </w:rPr>
          <w:t xml:space="preserve">https://crewai.com/agent-management-platform</w:t>
        </w:r>
      </w:hyperlink>
      <w:r>
        <w:t xml:space="preserve"> </w:t>
      </w:r>
      <w:r>
        <w:t xml:space="preserve">accessed 2026-10-07 [search-tool extract]</w:t>
      </w:r>
    </w:p>
  </w:footnote>
  <w:footnote w:id="1179">
    <w:p>
      <w:pPr>
        <w:pStyle w:val="FootnoteText"/>
      </w:pPr>
      <w:r>
        <w:rPr>
          <w:rStyle w:val="FootnoteReference"/>
        </w:rPr>
        <w:footnoteRef/>
      </w:r>
      <w:r>
        <w:t xml:space="preserve"> </w:t>
      </w:r>
      <w:r>
        <w:t xml:space="preserve">Verified fact — A4-S148: CrewAI OSS 1.0 - We are going GA (and CrewAI blog posts)</w:t>
      </w:r>
      <w:r>
        <w:t xml:space="preserve"> </w:t>
      </w:r>
      <w:hyperlink r:id="rId1180">
        <w:r>
          <w:rPr>
            <w:rStyle w:val="Hyperlink"/>
          </w:rPr>
          <w:t xml:space="preserve">https://blog.crewai.com/crewai-oss-1-0-we-are-going-ga/</w:t>
        </w:r>
      </w:hyperlink>
      <w:r>
        <w:t xml:space="preserve"> </w:t>
      </w:r>
      <w:r>
        <w:t xml:space="preserve">accessed 2026-10-07 [search-tool extract]</w:t>
      </w:r>
    </w:p>
  </w:footnote>
  <w:footnote w:id="1182">
    <w:p>
      <w:pPr>
        <w:pStyle w:val="FootnoteText"/>
      </w:pPr>
      <w:r>
        <w:rPr>
          <w:rStyle w:val="FootnoteReference"/>
        </w:rPr>
        <w:footnoteRef/>
      </w:r>
      <w:r>
        <w:t xml:space="preserve"> </w:t>
      </w:r>
      <w:r>
        <w:t xml:space="preserve">Verified fact — A4-S041: Announcing Workflows 1.0: a lightweight framework for agentic systems (LlamaIndex)</w:t>
      </w:r>
      <w:r>
        <w:t xml:space="preserve"> </w:t>
      </w:r>
      <w:hyperlink r:id="rId1183">
        <w:r>
          <w:rPr>
            <w:rStyle w:val="Hyperlink"/>
          </w:rPr>
          <w:t xml:space="preserve">https://www.llamaindex.ai/blog/announcing-workflows-1-0-a-lightweight-framework-for-agentic-systems</w:t>
        </w:r>
      </w:hyperlink>
      <w:r>
        <w:t xml:space="preserve"> </w:t>
      </w:r>
      <w:r>
        <w:t xml:space="preserve">accessed 2026-10-07 [search-tool extract]</w:t>
      </w:r>
    </w:p>
  </w:footnote>
  <w:footnote w:id="1184">
    <w:p>
      <w:pPr>
        <w:pStyle w:val="FootnoteText"/>
      </w:pPr>
      <w:r>
        <w:rPr>
          <w:rStyle w:val="FootnoteReference"/>
        </w:rPr>
        <w:footnoteRef/>
      </w:r>
      <w:r>
        <w:t xml:space="preserve"> </w:t>
      </w:r>
      <w:r>
        <w:t xml:space="preserve">Verified fact — A1-S115: Compliance - LlamaParse documentation (Enterprise Readiness) (LlamaIndex, Inc.)</w:t>
      </w:r>
      <w:r>
        <w:t xml:space="preserve"> </w:t>
      </w:r>
      <w:hyperlink r:id="rId273">
        <w:r>
          <w:rPr>
            <w:rStyle w:val="Hyperlink"/>
          </w:rPr>
          <w:t xml:space="preserve">https://developers.llamaindex.ai/llamaparse/general/enterprise-readiness/compliance/</w:t>
        </w:r>
      </w:hyperlink>
      <w:r>
        <w:t xml:space="preserve"> </w:t>
      </w:r>
      <w:r>
        <w:t xml:space="preserve">accessed 2026-10-07 [search-tool extract]; A1-S116: Pricing - LlamaParse documentation (LlamaIndex, Inc.)</w:t>
      </w:r>
      <w:r>
        <w:t xml:space="preserve"> </w:t>
      </w:r>
      <w:hyperlink r:id="rId277">
        <w:r>
          <w:rPr>
            <w:rStyle w:val="Hyperlink"/>
          </w:rPr>
          <w:t xml:space="preserve">https://developers.llamaindex.ai/llamaparse/general/pricing/</w:t>
        </w:r>
      </w:hyperlink>
      <w:r>
        <w:t xml:space="preserve"> </w:t>
      </w:r>
      <w:r>
        <w:t xml:space="preserve">accessed 2026-10-07 [search-tool extract]</w:t>
      </w:r>
    </w:p>
  </w:footnote>
  <w:footnote w:id="1185">
    <w:p>
      <w:pPr>
        <w:pStyle w:val="FootnoteText"/>
      </w:pPr>
      <w:r>
        <w:rPr>
          <w:rStyle w:val="FootnoteReference"/>
        </w:rPr>
        <w:footnoteRef/>
      </w:r>
      <w:r>
        <w:t xml:space="preserve"> </w:t>
      </w:r>
      <w:r>
        <w:t xml:space="preserve">Verified fact — A1-S115: Compliance - LlamaParse documentation (Enterprise Readiness) (LlamaIndex, Inc.)</w:t>
      </w:r>
      <w:r>
        <w:t xml:space="preserve"> </w:t>
      </w:r>
      <w:hyperlink r:id="rId273">
        <w:r>
          <w:rPr>
            <w:rStyle w:val="Hyperlink"/>
          </w:rPr>
          <w:t xml:space="preserve">https://developers.llamaindex.ai/llamaparse/general/enterprise-readiness/compliance/</w:t>
        </w:r>
      </w:hyperlink>
      <w:r>
        <w:t xml:space="preserve"> </w:t>
      </w:r>
      <w:r>
        <w:t xml:space="preserve">accessed 2026-10-07 [search-tool extract]</w:t>
      </w:r>
    </w:p>
  </w:footnote>
  <w:footnote w:id="1186">
    <w:p>
      <w:pPr>
        <w:pStyle w:val="FootnoteText"/>
      </w:pPr>
      <w:r>
        <w:rPr>
          <w:rStyle w:val="FootnoteReference"/>
        </w:rPr>
        <w:footnoteRef/>
      </w:r>
      <w:r>
        <w:t xml:space="preserve"> </w:t>
      </w:r>
      <w:r>
        <w:t xml:space="preserve">Verified fact — A4-S042: LlamaAgents Open Preview: Build Document Agents (and LlamaIndex newsletters Jan-Feb 2026)</w:t>
      </w:r>
      <w:r>
        <w:t xml:space="preserve"> </w:t>
      </w:r>
      <w:hyperlink r:id="rId1187">
        <w:r>
          <w:rPr>
            <w:rStyle w:val="Hyperlink"/>
          </w:rPr>
          <w:t xml:space="preserve">https://www.llamaindex.ai/blog/llamaagents-build-serve-and-deploy-document-agents</w:t>
        </w:r>
      </w:hyperlink>
      <w:r>
        <w:t xml:space="preserve"> </w:t>
      </w:r>
      <w:r>
        <w:t xml:space="preserve">accessed 2026-10-07 [search-tool extract]</w:t>
      </w:r>
    </w:p>
  </w:footnote>
  <w:footnote w:id="1188">
    <w:p>
      <w:pPr>
        <w:pStyle w:val="FootnoteText"/>
      </w:pPr>
      <w:r>
        <w:rPr>
          <w:rStyle w:val="FootnoteReference"/>
        </w:rPr>
        <w:footnoteRef/>
      </w:r>
      <w:r>
        <w:t xml:space="preserve"> </w:t>
      </w:r>
      <w:r>
        <w:t xml:space="preserve">Verified fact — A4-S117: LlamaIndex README (GitHub)</w:t>
      </w:r>
      <w:r>
        <w:t xml:space="preserve"> </w:t>
      </w:r>
      <w:hyperlink r:id="rId269">
        <w:r>
          <w:rPr>
            <w:rStyle w:val="Hyperlink"/>
          </w:rPr>
          <w:t xml:space="preserve">https://raw.githubusercontent.com/run-llama/llama_index/main/README.md</w:t>
        </w:r>
      </w:hyperlink>
      <w:r>
        <w:t xml:space="preserve"> </w:t>
      </w:r>
      <w:r>
        <w:t xml:space="preserve">accessed 2026-10-07</w:t>
      </w:r>
    </w:p>
  </w:footnote>
  <w:footnote w:id="1189">
    <w:p>
      <w:pPr>
        <w:pStyle w:val="FootnoteText"/>
      </w:pPr>
      <w:r>
        <w:rPr>
          <w:rStyle w:val="FootnoteReference"/>
        </w:rPr>
        <w:footnoteRef/>
      </w:r>
      <w:r>
        <w:t xml:space="preserve"> </w:t>
      </w:r>
      <w:r>
        <w:t xml:space="preserve">Verified fact — A4-S002: PyPI JSON metadata: llama-index-core (Python Package Index)</w:t>
      </w:r>
      <w:r>
        <w:t xml:space="preserve"> </w:t>
      </w:r>
      <w:hyperlink r:id="rId1190">
        <w:r>
          <w:rPr>
            <w:rStyle w:val="Hyperlink"/>
          </w:rPr>
          <w:t xml:space="preserve">https://pypi.org/pypi/llama-index-core/json</w:t>
        </w:r>
      </w:hyperlink>
      <w:r>
        <w:t xml:space="preserve"> </w:t>
      </w:r>
      <w:r>
        <w:t xml:space="preserve">accessed 2026-10-07; A4-S117: LlamaIndex README (GitHub)</w:t>
      </w:r>
      <w:r>
        <w:t xml:space="preserve"> </w:t>
      </w:r>
      <w:hyperlink r:id="rId269">
        <w:r>
          <w:rPr>
            <w:rStyle w:val="Hyperlink"/>
          </w:rPr>
          <w:t xml:space="preserve">https://raw.githubusercontent.com/run-llama/llama_index/main/README.md</w:t>
        </w:r>
      </w:hyperlink>
      <w:r>
        <w:t xml:space="preserve"> </w:t>
      </w:r>
      <w:r>
        <w:t xml:space="preserve">accessed 2026-10-07</w:t>
      </w:r>
    </w:p>
  </w:footnote>
  <w:footnote w:id="1191">
    <w:p>
      <w:pPr>
        <w:pStyle w:val="FootnoteText"/>
      </w:pPr>
      <w:r>
        <w:rPr>
          <w:rStyle w:val="FootnoteReference"/>
        </w:rPr>
        <w:footnoteRef/>
      </w:r>
      <w:r>
        <w:t xml:space="preserve"> </w:t>
      </w:r>
      <w:r>
        <w:t xml:space="preserve">Verified fact — A4-S002: PyPI JSON metadata: llama-index-core (Python Package Index)</w:t>
      </w:r>
      <w:r>
        <w:t xml:space="preserve"> </w:t>
      </w:r>
      <w:hyperlink r:id="rId1190">
        <w:r>
          <w:rPr>
            <w:rStyle w:val="Hyperlink"/>
          </w:rPr>
          <w:t xml:space="preserve">https://pypi.org/pypi/llama-index-core/json</w:t>
        </w:r>
      </w:hyperlink>
      <w:r>
        <w:t xml:space="preserve"> </w:t>
      </w:r>
      <w:r>
        <w:t xml:space="preserve">accessed 2026-10-07</w:t>
      </w:r>
    </w:p>
  </w:footnote>
  <w:footnote w:id="1192">
    <w:p>
      <w:pPr>
        <w:pStyle w:val="FootnoteText"/>
      </w:pPr>
      <w:r>
        <w:rPr>
          <w:rStyle w:val="FootnoteReference"/>
        </w:rPr>
        <w:footnoteRef/>
      </w:r>
      <w:r>
        <w:t xml:space="preserve"> </w:t>
      </w:r>
      <w:r>
        <w:t xml:space="preserve">Verified fact — A4-S041: Announcing Workflows 1.0: a lightweight framework for agentic systems (LlamaIndex)</w:t>
      </w:r>
      <w:r>
        <w:t xml:space="preserve"> </w:t>
      </w:r>
      <w:hyperlink r:id="rId1183">
        <w:r>
          <w:rPr>
            <w:rStyle w:val="Hyperlink"/>
          </w:rPr>
          <w:t xml:space="preserve">https://www.llamaindex.ai/blog/announcing-workflows-1-0-a-lightweight-framework-for-agentic-systems</w:t>
        </w:r>
      </w:hyperlink>
      <w:r>
        <w:t xml:space="preserve"> </w:t>
      </w:r>
      <w:r>
        <w:t xml:space="preserve">accessed 2026-10-07 [search-tool extract]</w:t>
      </w:r>
    </w:p>
  </w:footnote>
  <w:footnote w:id="1193">
    <w:p>
      <w:pPr>
        <w:pStyle w:val="FootnoteText"/>
      </w:pPr>
      <w:r>
        <w:rPr>
          <w:rStyle w:val="FootnoteReference"/>
        </w:rPr>
        <w:footnoteRef/>
      </w:r>
      <w:r>
        <w:t xml:space="preserve"> </w:t>
      </w:r>
      <w:r>
        <w:t xml:space="preserve">Verified fact — A4-S117: LlamaIndex README (GitHub)</w:t>
      </w:r>
      <w:r>
        <w:t xml:space="preserve"> </w:t>
      </w:r>
      <w:hyperlink r:id="rId269">
        <w:r>
          <w:rPr>
            <w:rStyle w:val="Hyperlink"/>
          </w:rPr>
          <w:t xml:space="preserve">https://raw.githubusercontent.com/run-llama/llama_index/main/README.md</w:t>
        </w:r>
      </w:hyperlink>
      <w:r>
        <w:t xml:space="preserve"> </w:t>
      </w:r>
      <w:r>
        <w:t xml:space="preserve">accessed 2026-10-07; A4-S041: Announcing Workflows 1.0: a lightweight framework for agentic systems (LlamaIndex)</w:t>
      </w:r>
      <w:r>
        <w:t xml:space="preserve"> </w:t>
      </w:r>
      <w:hyperlink r:id="rId1183">
        <w:r>
          <w:rPr>
            <w:rStyle w:val="Hyperlink"/>
          </w:rPr>
          <w:t xml:space="preserve">https://www.llamaindex.ai/blog/announcing-workflows-1-0-a-lightweight-framework-for-agentic-systems</w:t>
        </w:r>
      </w:hyperlink>
      <w:r>
        <w:t xml:space="preserve"> </w:t>
      </w:r>
      <w:r>
        <w:t xml:space="preserve">accessed 2026-10-07 [search-tool extract]; A4-S042: LlamaAgents Open Preview: Build Document Agents (and LlamaIndex newsletters Jan-Feb 2026)</w:t>
      </w:r>
      <w:r>
        <w:t xml:space="preserve"> </w:t>
      </w:r>
      <w:hyperlink r:id="rId1187">
        <w:r>
          <w:rPr>
            <w:rStyle w:val="Hyperlink"/>
          </w:rPr>
          <w:t xml:space="preserve">https://www.llamaindex.ai/blog/llamaagents-build-serve-and-deploy-document-agents</w:t>
        </w:r>
      </w:hyperlink>
      <w:r>
        <w:t xml:space="preserve"> </w:t>
      </w:r>
      <w:r>
        <w:t xml:space="preserve">accessed 2026-10-07 [search-tool extract]</w:t>
      </w:r>
    </w:p>
  </w:footnote>
  <w:footnote w:id="1194">
    <w:p>
      <w:pPr>
        <w:pStyle w:val="FootnoteText"/>
      </w:pPr>
      <w:r>
        <w:rPr>
          <w:rStyle w:val="FootnoteReference"/>
        </w:rPr>
        <w:footnoteRef/>
      </w:r>
      <w:r>
        <w:t xml:space="preserve"> </w:t>
      </w:r>
      <w:r>
        <w:t xml:space="preserve">Verified fact — A4-S041: Announcing Workflows 1.0: a lightweight framework for agentic systems (LlamaIndex)</w:t>
      </w:r>
      <w:r>
        <w:t xml:space="preserve"> </w:t>
      </w:r>
      <w:hyperlink r:id="rId1183">
        <w:r>
          <w:rPr>
            <w:rStyle w:val="Hyperlink"/>
          </w:rPr>
          <w:t xml:space="preserve">https://www.llamaindex.ai/blog/announcing-workflows-1-0-a-lightweight-framework-for-agentic-systems</w:t>
        </w:r>
      </w:hyperlink>
      <w:r>
        <w:t xml:space="preserve"> </w:t>
      </w:r>
      <w:r>
        <w:t xml:space="preserve">accessed 2026-10-07 [search-tool extract]</w:t>
      </w:r>
    </w:p>
  </w:footnote>
  <w:footnote w:id="1195">
    <w:p>
      <w:pPr>
        <w:pStyle w:val="FootnoteText"/>
      </w:pPr>
      <w:r>
        <w:rPr>
          <w:rStyle w:val="FootnoteReference"/>
        </w:rPr>
        <w:footnoteRef/>
      </w:r>
      <w:r>
        <w:t xml:space="preserve"> </w:t>
      </w:r>
      <w:r>
        <w:t xml:space="preserve">Verified fact — A4-S117: LlamaIndex README (GitHub)</w:t>
      </w:r>
      <w:r>
        <w:t xml:space="preserve"> </w:t>
      </w:r>
      <w:hyperlink r:id="rId269">
        <w:r>
          <w:rPr>
            <w:rStyle w:val="Hyperlink"/>
          </w:rPr>
          <w:t xml:space="preserve">https://raw.githubusercontent.com/run-llama/llama_index/main/README.md</w:t>
        </w:r>
      </w:hyperlink>
      <w:r>
        <w:t xml:space="preserve"> </w:t>
      </w:r>
      <w:r>
        <w:t xml:space="preserve">accessed 2026-10-07</w:t>
      </w:r>
    </w:p>
  </w:footnote>
  <w:footnote w:id="1196">
    <w:p>
      <w:pPr>
        <w:pStyle w:val="FootnoteText"/>
      </w:pPr>
      <w:r>
        <w:rPr>
          <w:rStyle w:val="FootnoteReference"/>
        </w:rPr>
        <w:footnoteRef/>
      </w:r>
      <w:r>
        <w:t xml:space="preserve"> </w:t>
      </w:r>
      <w:r>
        <w:t xml:space="preserve">Verified fact — A4-S117: LlamaIndex README (GitHub)</w:t>
      </w:r>
      <w:r>
        <w:t xml:space="preserve"> </w:t>
      </w:r>
      <w:hyperlink r:id="rId269">
        <w:r>
          <w:rPr>
            <w:rStyle w:val="Hyperlink"/>
          </w:rPr>
          <w:t xml:space="preserve">https://raw.githubusercontent.com/run-llama/llama_index/main/README.md</w:t>
        </w:r>
      </w:hyperlink>
      <w:r>
        <w:t xml:space="preserve"> </w:t>
      </w:r>
      <w:r>
        <w:t xml:space="preserve">accessed 2026-10-07</w:t>
      </w:r>
    </w:p>
  </w:footnote>
  <w:footnote w:id="1197">
    <w:p>
      <w:pPr>
        <w:pStyle w:val="FootnoteText"/>
      </w:pPr>
      <w:r>
        <w:rPr>
          <w:rStyle w:val="FootnoteReference"/>
        </w:rPr>
        <w:footnoteRef/>
      </w:r>
      <w:r>
        <w:t xml:space="preserve"> </w:t>
      </w:r>
      <w:r>
        <w:t xml:space="preserve">Verified fact — A4-S002: PyPI JSON metadata: llama-index-core (Python Package Index)</w:t>
      </w:r>
      <w:r>
        <w:t xml:space="preserve"> </w:t>
      </w:r>
      <w:hyperlink r:id="rId1190">
        <w:r>
          <w:rPr>
            <w:rStyle w:val="Hyperlink"/>
          </w:rPr>
          <w:t xml:space="preserve">https://pypi.org/pypi/llama-index-core/json</w:t>
        </w:r>
      </w:hyperlink>
      <w:r>
        <w:t xml:space="preserve"> </w:t>
      </w:r>
      <w:r>
        <w:t xml:space="preserve">accessed 2026-10-07</w:t>
      </w:r>
    </w:p>
  </w:footnote>
  <w:footnote w:id="1199">
    <w:p>
      <w:pPr>
        <w:pStyle w:val="FootnoteText"/>
      </w:pPr>
      <w:r>
        <w:rPr>
          <w:rStyle w:val="FootnoteReference"/>
        </w:rPr>
        <w:footnoteRef/>
      </w:r>
      <w:r>
        <w:t xml:space="preserve"> </w:t>
      </w:r>
      <w:r>
        <w:t xml:space="preserve">Verified fact — A4-S069: AI SDK package README (GitHub) (Vercel)</w:t>
      </w:r>
      <w:r>
        <w:t xml:space="preserve"> </w:t>
      </w:r>
      <w:hyperlink r:id="rId1200">
        <w:r>
          <w:rPr>
            <w:rStyle w:val="Hyperlink"/>
          </w:rPr>
          <w:t xml:space="preserve">https://raw.githubusercontent.com/vercel/ai/main/packages/ai/README.md</w:t>
        </w:r>
      </w:hyperlink>
      <w:r>
        <w:t xml:space="preserve"> </w:t>
      </w:r>
      <w:r>
        <w:t xml:space="preserve">accessed 2026-10-07; A4-S071: Workflow SDK README (GitHub) (Vercel)</w:t>
      </w:r>
      <w:r>
        <w:t xml:space="preserve"> </w:t>
      </w:r>
      <w:hyperlink r:id="rId1201">
        <w:r>
          <w:rPr>
            <w:rStyle w:val="Hyperlink"/>
          </w:rPr>
          <w:t xml:space="preserve">https://raw.githubusercontent.com/vercel/workflow/main/packages/workflow/README.md</w:t>
        </w:r>
      </w:hyperlink>
      <w:r>
        <w:t xml:space="preserve"> </w:t>
      </w:r>
      <w:r>
        <w:t xml:space="preserve">accessed 2026-10-07</w:t>
      </w:r>
    </w:p>
  </w:footnote>
  <w:footnote w:id="1202">
    <w:p>
      <w:pPr>
        <w:pStyle w:val="FootnoteText"/>
      </w:pPr>
      <w:r>
        <w:rPr>
          <w:rStyle w:val="FootnoteReference"/>
        </w:rPr>
        <w:footnoteRef/>
      </w:r>
      <w:r>
        <w:t xml:space="preserve"> </w:t>
      </w:r>
      <w:r>
        <w:t xml:space="preserve">Verified fact — A4-S070: AI SDK LICENSE (Vercel)</w:t>
      </w:r>
      <w:r>
        <w:t xml:space="preserve"> </w:t>
      </w:r>
      <w:hyperlink r:id="rId1203">
        <w:r>
          <w:rPr>
            <w:rStyle w:val="Hyperlink"/>
          </w:rPr>
          <w:t xml:space="preserve">https://raw.githubusercontent.com/vercel/ai/main/LICENSE</w:t>
        </w:r>
      </w:hyperlink>
      <w:r>
        <w:t xml:space="preserve"> </w:t>
      </w:r>
      <w:r>
        <w:t xml:space="preserve">accessed 2026-10-07</w:t>
      </w:r>
    </w:p>
  </w:footnote>
  <w:footnote w:id="1204">
    <w:p>
      <w:pPr>
        <w:pStyle w:val="FootnoteText"/>
      </w:pPr>
      <w:r>
        <w:rPr>
          <w:rStyle w:val="FootnoteReference"/>
        </w:rPr>
        <w:footnoteRef/>
      </w:r>
      <w:r>
        <w:t xml:space="preserve"> </w:t>
      </w:r>
      <w:r>
        <w:t xml:space="preserve">Verified fact — A4-S069: AI SDK package README (GitHub) (Vercel)</w:t>
      </w:r>
      <w:r>
        <w:t xml:space="preserve"> </w:t>
      </w:r>
      <w:hyperlink r:id="rId1200">
        <w:r>
          <w:rPr>
            <w:rStyle w:val="Hyperlink"/>
          </w:rPr>
          <w:t xml:space="preserve">https://raw.githubusercontent.com/vercel/ai/main/packages/ai/README.md</w:t>
        </w:r>
      </w:hyperlink>
      <w:r>
        <w:t xml:space="preserve"> </w:t>
      </w:r>
      <w:r>
        <w:t xml:space="preserve">accessed 2026-10-07</w:t>
      </w:r>
    </w:p>
  </w:footnote>
  <w:footnote w:id="1205">
    <w:p>
      <w:pPr>
        <w:pStyle w:val="FootnoteText"/>
      </w:pPr>
      <w:r>
        <w:rPr>
          <w:rStyle w:val="FootnoteReference"/>
        </w:rPr>
        <w:footnoteRef/>
      </w:r>
      <w:r>
        <w:t xml:space="preserve"> </w:t>
      </w:r>
      <w:r>
        <w:t xml:space="preserve">Verified fact — A4-S069: AI SDK package README (GitHub) (Vercel)</w:t>
      </w:r>
      <w:r>
        <w:t xml:space="preserve"> </w:t>
      </w:r>
      <w:hyperlink r:id="rId1200">
        <w:r>
          <w:rPr>
            <w:rStyle w:val="Hyperlink"/>
          </w:rPr>
          <w:t xml:space="preserve">https://raw.githubusercontent.com/vercel/ai/main/packages/ai/README.md</w:t>
        </w:r>
      </w:hyperlink>
      <w:r>
        <w:t xml:space="preserve"> </w:t>
      </w:r>
      <w:r>
        <w:t xml:space="preserve">accessed 2026-10-07</w:t>
      </w:r>
    </w:p>
  </w:footnote>
  <w:footnote w:id="1206">
    <w:p>
      <w:pPr>
        <w:pStyle w:val="FootnoteText"/>
      </w:pPr>
      <w:r>
        <w:rPr>
          <w:rStyle w:val="FootnoteReference"/>
        </w:rPr>
        <w:footnoteRef/>
      </w:r>
      <w:r>
        <w:t xml:space="preserve"> </w:t>
      </w:r>
      <w:r>
        <w:t xml:space="preserve">Verified fact — A4-S022: npm registry metadata: ai</w:t>
      </w:r>
      <w:r>
        <w:t xml:space="preserve"> </w:t>
      </w:r>
      <w:hyperlink r:id="rId1207">
        <w:r>
          <w:rPr>
            <w:rStyle w:val="Hyperlink"/>
          </w:rPr>
          <w:t xml:space="preserve">https://registry.npmjs.org/ai</w:t>
        </w:r>
      </w:hyperlink>
      <w:r>
        <w:t xml:space="preserve"> </w:t>
      </w:r>
      <w:r>
        <w:t xml:space="preserve">accessed 2026-10-07</w:t>
      </w:r>
    </w:p>
  </w:footnote>
  <w:footnote w:id="1208">
    <w:p>
      <w:pPr>
        <w:pStyle w:val="FootnoteText"/>
      </w:pPr>
      <w:r>
        <w:rPr>
          <w:rStyle w:val="FootnoteReference"/>
        </w:rPr>
        <w:footnoteRef/>
      </w:r>
      <w:r>
        <w:t xml:space="preserve"> </w:t>
      </w:r>
      <w:r>
        <w:t xml:space="preserve">Verified fact — A4-S070: AI SDK LICENSE (Vercel)</w:t>
      </w:r>
      <w:r>
        <w:t xml:space="preserve"> </w:t>
      </w:r>
      <w:hyperlink r:id="rId1203">
        <w:r>
          <w:rPr>
            <w:rStyle w:val="Hyperlink"/>
          </w:rPr>
          <w:t xml:space="preserve">https://raw.githubusercontent.com/vercel/ai/main/LICENSE</w:t>
        </w:r>
      </w:hyperlink>
      <w:r>
        <w:t xml:space="preserve"> </w:t>
      </w:r>
      <w:r>
        <w:t xml:space="preserve">accessed 2026-10-07</w:t>
      </w:r>
    </w:p>
  </w:footnote>
  <w:footnote w:id="1209">
    <w:p>
      <w:pPr>
        <w:pStyle w:val="FootnoteText"/>
      </w:pPr>
      <w:r>
        <w:rPr>
          <w:rStyle w:val="FootnoteReference"/>
        </w:rPr>
        <w:footnoteRef/>
      </w:r>
      <w:r>
        <w:t xml:space="preserve"> </w:t>
      </w:r>
      <w:r>
        <w:t xml:space="preserve">Verified fact — A4-S069: AI SDK package README (GitHub) (Vercel)</w:t>
      </w:r>
      <w:r>
        <w:t xml:space="preserve"> </w:t>
      </w:r>
      <w:hyperlink r:id="rId1200">
        <w:r>
          <w:rPr>
            <w:rStyle w:val="Hyperlink"/>
          </w:rPr>
          <w:t xml:space="preserve">https://raw.githubusercontent.com/vercel/ai/main/packages/ai/README.md</w:t>
        </w:r>
      </w:hyperlink>
      <w:r>
        <w:t xml:space="preserve"> </w:t>
      </w:r>
      <w:r>
        <w:t xml:space="preserve">accessed 2026-10-07</w:t>
      </w:r>
    </w:p>
  </w:footnote>
  <w:footnote w:id="1210">
    <w:p>
      <w:pPr>
        <w:pStyle w:val="FootnoteText"/>
      </w:pPr>
      <w:r>
        <w:rPr>
          <w:rStyle w:val="FootnoteReference"/>
        </w:rPr>
        <w:footnoteRef/>
      </w:r>
      <w:r>
        <w:t xml:space="preserve"> </w:t>
      </w:r>
      <w:r>
        <w:t xml:space="preserve">Verified fact — A4-S069: AI SDK package README (GitHub) (Vercel)</w:t>
      </w:r>
      <w:r>
        <w:t xml:space="preserve"> </w:t>
      </w:r>
      <w:hyperlink r:id="rId1200">
        <w:r>
          <w:rPr>
            <w:rStyle w:val="Hyperlink"/>
          </w:rPr>
          <w:t xml:space="preserve">https://raw.githubusercontent.com/vercel/ai/main/packages/ai/README.md</w:t>
        </w:r>
      </w:hyperlink>
      <w:r>
        <w:t xml:space="preserve"> </w:t>
      </w:r>
      <w:r>
        <w:t xml:space="preserve">accessed 2026-10-07; A4-S071: Workflow SDK README (GitHub) (Vercel)</w:t>
      </w:r>
      <w:r>
        <w:t xml:space="preserve"> </w:t>
      </w:r>
      <w:hyperlink r:id="rId1201">
        <w:r>
          <w:rPr>
            <w:rStyle w:val="Hyperlink"/>
          </w:rPr>
          <w:t xml:space="preserve">https://raw.githubusercontent.com/vercel/workflow/main/packages/workflow/README.md</w:t>
        </w:r>
      </w:hyperlink>
      <w:r>
        <w:t xml:space="preserve"> </w:t>
      </w:r>
      <w:r>
        <w:t xml:space="preserve">accessed 2026-10-07; A4-S106: npm registry metadata: workflow (Vercel Workflow SDK)</w:t>
      </w:r>
      <w:r>
        <w:t xml:space="preserve"> </w:t>
      </w:r>
      <w:hyperlink r:id="rId1211">
        <w:r>
          <w:rPr>
            <w:rStyle w:val="Hyperlink"/>
          </w:rPr>
          <w:t xml:space="preserve">https://registry.npmjs.org/workflow</w:t>
        </w:r>
      </w:hyperlink>
      <w:r>
        <w:t xml:space="preserve"> </w:t>
      </w:r>
      <w:r>
        <w:t xml:space="preserve">accessed 2026-10-07</w:t>
      </w:r>
    </w:p>
  </w:footnote>
  <w:footnote w:id="1212">
    <w:p>
      <w:pPr>
        <w:pStyle w:val="FootnoteText"/>
      </w:pPr>
      <w:r>
        <w:rPr>
          <w:rStyle w:val="FootnoteReference"/>
        </w:rPr>
        <w:footnoteRef/>
      </w:r>
      <w:r>
        <w:t xml:space="preserve"> </w:t>
      </w:r>
      <w:r>
        <w:t xml:space="preserve">Verified fact — A4-S071: Workflow SDK README (GitHub) (Vercel)</w:t>
      </w:r>
      <w:r>
        <w:t xml:space="preserve"> </w:t>
      </w:r>
      <w:hyperlink r:id="rId1201">
        <w:r>
          <w:rPr>
            <w:rStyle w:val="Hyperlink"/>
          </w:rPr>
          <w:t xml:space="preserve">https://raw.githubusercontent.com/vercel/workflow/main/packages/workflow/README.md</w:t>
        </w:r>
      </w:hyperlink>
      <w:r>
        <w:t xml:space="preserve"> </w:t>
      </w:r>
      <w:r>
        <w:t xml:space="preserve">accessed 2026-10-07</w:t>
      </w:r>
    </w:p>
  </w:footnote>
  <w:footnote w:id="1213">
    <w:p>
      <w:pPr>
        <w:pStyle w:val="FootnoteText"/>
      </w:pPr>
      <w:r>
        <w:rPr>
          <w:rStyle w:val="FootnoteReference"/>
        </w:rPr>
        <w:footnoteRef/>
      </w:r>
      <w:r>
        <w:t xml:space="preserve"> </w:t>
      </w:r>
      <w:r>
        <w:t xml:space="preserve">Verified fact — A4-S022: npm registry metadata: ai</w:t>
      </w:r>
      <w:r>
        <w:t xml:space="preserve"> </w:t>
      </w:r>
      <w:hyperlink r:id="rId1207">
        <w:r>
          <w:rPr>
            <w:rStyle w:val="Hyperlink"/>
          </w:rPr>
          <w:t xml:space="preserve">https://registry.npmjs.org/ai</w:t>
        </w:r>
      </w:hyperlink>
      <w:r>
        <w:t xml:space="preserve"> </w:t>
      </w:r>
      <w:r>
        <w:t xml:space="preserve">accessed 2026-10-07</w:t>
      </w:r>
    </w:p>
  </w:footnote>
  <w:footnote w:id="1214">
    <w:p>
      <w:pPr>
        <w:pStyle w:val="FootnoteText"/>
      </w:pPr>
      <w:r>
        <w:rPr>
          <w:rStyle w:val="FootnoteReference"/>
        </w:rPr>
        <w:footnoteRef/>
      </w:r>
      <w:r>
        <w:t xml:space="preserve"> </w:t>
      </w:r>
      <w:r>
        <w:t xml:space="preserve">Verified fact — A4-S069: AI SDK package README (GitHub) (Vercel)</w:t>
      </w:r>
      <w:r>
        <w:t xml:space="preserve"> </w:t>
      </w:r>
      <w:hyperlink r:id="rId1200">
        <w:r>
          <w:rPr>
            <w:rStyle w:val="Hyperlink"/>
          </w:rPr>
          <w:t xml:space="preserve">https://raw.githubusercontent.com/vercel/ai/main/packages/ai/README.md</w:t>
        </w:r>
      </w:hyperlink>
      <w:r>
        <w:t xml:space="preserve"> </w:t>
      </w:r>
      <w:r>
        <w:t xml:space="preserve">accessed 2026-10-07</w:t>
      </w:r>
    </w:p>
  </w:footnote>
  <w:footnote w:id="1216">
    <w:p>
      <w:pPr>
        <w:pStyle w:val="FootnoteText"/>
      </w:pPr>
      <w:r>
        <w:rPr>
          <w:rStyle w:val="FootnoteReference"/>
        </w:rPr>
        <w:footnoteRef/>
      </w:r>
      <w:r>
        <w:t xml:space="preserve"> </w:t>
      </w:r>
      <w:r>
        <w:t xml:space="preserve">Verified fact — A4-S027: Agent SDK overview - Claude Code Docs (Anthropic)</w:t>
      </w:r>
      <w:r>
        <w:t xml:space="preserve"> </w:t>
      </w:r>
      <w:hyperlink r:id="rId1217">
        <w:r>
          <w:rPr>
            <w:rStyle w:val="Hyperlink"/>
          </w:rPr>
          <w:t xml:space="preserve">https://code.claude.com/docs/en/agent-sdk/overview</w:t>
        </w:r>
      </w:hyperlink>
      <w:r>
        <w:t xml:space="preserve"> </w:t>
      </w:r>
      <w:r>
        <w:t xml:space="preserve">accessed 2026-10-07; A4-S122: Hosting the Agent SDK - Claude Code Docs (Anthropic)</w:t>
      </w:r>
      <w:r>
        <w:t xml:space="preserve"> </w:t>
      </w:r>
      <w:hyperlink r:id="rId1218">
        <w:r>
          <w:rPr>
            <w:rStyle w:val="Hyperlink"/>
          </w:rPr>
          <w:t xml:space="preserve">https://code.claude.com/docs/en/agent-sdk/hosting</w:t>
        </w:r>
      </w:hyperlink>
      <w:r>
        <w:t xml:space="preserve"> </w:t>
      </w:r>
      <w:r>
        <w:t xml:space="preserve">accessed 2026-10-07</w:t>
      </w:r>
    </w:p>
  </w:footnote>
  <w:footnote w:id="1219">
    <w:p>
      <w:pPr>
        <w:pStyle w:val="FootnoteText"/>
      </w:pPr>
      <w:r>
        <w:rPr>
          <w:rStyle w:val="FootnoteReference"/>
        </w:rPr>
        <w:footnoteRef/>
      </w:r>
      <w:r>
        <w:t xml:space="preserve"> </w:t>
      </w:r>
      <w:r>
        <w:t xml:space="preserve">Verified fact — A4-S027: Agent SDK overview - Claude Code Docs (Anthropic)</w:t>
      </w:r>
      <w:r>
        <w:t xml:space="preserve"> </w:t>
      </w:r>
      <w:hyperlink r:id="rId1217">
        <w:r>
          <w:rPr>
            <w:rStyle w:val="Hyperlink"/>
          </w:rPr>
          <w:t xml:space="preserve">https://code.claude.com/docs/en/agent-sdk/overview</w:t>
        </w:r>
      </w:hyperlink>
      <w:r>
        <w:t xml:space="preserve"> </w:t>
      </w:r>
      <w:r>
        <w:t xml:space="preserve">accessed 2026-10-07</w:t>
      </w:r>
    </w:p>
  </w:footnote>
  <w:footnote w:id="1220">
    <w:p>
      <w:pPr>
        <w:pStyle w:val="FootnoteText"/>
      </w:pPr>
      <w:r>
        <w:rPr>
          <w:rStyle w:val="FootnoteReference"/>
        </w:rPr>
        <w:footnoteRef/>
      </w:r>
      <w:r>
        <w:t xml:space="preserve"> </w:t>
      </w:r>
      <w:r>
        <w:t xml:space="preserve">Verified fact — A4-S123: API and data retention - Claude Platform Docs (Anthropic)</w:t>
      </w:r>
      <w:r>
        <w:t xml:space="preserve"> </w:t>
      </w:r>
      <w:hyperlink r:id="rId1221">
        <w:r>
          <w:rPr>
            <w:rStyle w:val="Hyperlink"/>
          </w:rPr>
          <w:t xml:space="preserve">https://platform.claude.com/docs/en/build-with-claude/zero-data-retention</w:t>
        </w:r>
      </w:hyperlink>
      <w:r>
        <w:t xml:space="preserve"> </w:t>
      </w:r>
      <w:r>
        <w:t xml:space="preserve">accessed 2026-10-07</w:t>
      </w:r>
    </w:p>
  </w:footnote>
  <w:footnote w:id="1222">
    <w:p>
      <w:pPr>
        <w:pStyle w:val="FootnoteText"/>
      </w:pPr>
      <w:r>
        <w:rPr>
          <w:rStyle w:val="FootnoteReference"/>
        </w:rPr>
        <w:footnoteRef/>
      </w:r>
      <w:r>
        <w:t xml:space="preserve"> </w:t>
      </w:r>
      <w:r>
        <w:t xml:space="preserve">Verified fact — A4-S122: Hosting the Agent SDK - Claude Code Docs (Anthropic)</w:t>
      </w:r>
      <w:r>
        <w:t xml:space="preserve"> </w:t>
      </w:r>
      <w:hyperlink r:id="rId1218">
        <w:r>
          <w:rPr>
            <w:rStyle w:val="Hyperlink"/>
          </w:rPr>
          <w:t xml:space="preserve">https://code.claude.com/docs/en/agent-sdk/hosting</w:t>
        </w:r>
      </w:hyperlink>
      <w:r>
        <w:t xml:space="preserve"> </w:t>
      </w:r>
      <w:r>
        <w:t xml:space="preserve">accessed 2026-10-07</w:t>
      </w:r>
    </w:p>
  </w:footnote>
  <w:footnote w:id="1223">
    <w:p>
      <w:pPr>
        <w:pStyle w:val="FootnoteText"/>
      </w:pPr>
      <w:r>
        <w:rPr>
          <w:rStyle w:val="FootnoteReference"/>
        </w:rPr>
        <w:footnoteRef/>
      </w:r>
      <w:r>
        <w:t xml:space="preserve"> </w:t>
      </w:r>
      <w:r>
        <w:t xml:space="preserve">Verified fact — A4-S027: Agent SDK overview - Claude Code Docs (Anthropic)</w:t>
      </w:r>
      <w:r>
        <w:t xml:space="preserve"> </w:t>
      </w:r>
      <w:hyperlink r:id="rId1217">
        <w:r>
          <w:rPr>
            <w:rStyle w:val="Hyperlink"/>
          </w:rPr>
          <w:t xml:space="preserve">https://code.claude.com/docs/en/agent-sdk/overview</w:t>
        </w:r>
      </w:hyperlink>
      <w:r>
        <w:t xml:space="preserve"> </w:t>
      </w:r>
      <w:r>
        <w:t xml:space="preserve">accessed 2026-10-07</w:t>
      </w:r>
    </w:p>
  </w:footnote>
  <w:footnote w:id="1224">
    <w:p>
      <w:pPr>
        <w:pStyle w:val="FootnoteText"/>
      </w:pPr>
      <w:r>
        <w:rPr>
          <w:rStyle w:val="FootnoteReference"/>
        </w:rPr>
        <w:footnoteRef/>
      </w:r>
      <w:r>
        <w:t xml:space="preserve"> </w:t>
      </w:r>
      <w:r>
        <w:t xml:space="preserve">Verified fact — A4-S006: PyPI JSON metadata: claude-agent-sdk (Python Package Index)</w:t>
      </w:r>
      <w:r>
        <w:t xml:space="preserve"> </w:t>
      </w:r>
      <w:hyperlink r:id="rId1225">
        <w:r>
          <w:rPr>
            <w:rStyle w:val="Hyperlink"/>
          </w:rPr>
          <w:t xml:space="preserve">https://pypi.org/pypi/claude-agent-sdk/json</w:t>
        </w:r>
      </w:hyperlink>
      <w:r>
        <w:t xml:space="preserve"> </w:t>
      </w:r>
      <w:r>
        <w:t xml:space="preserve">accessed 2026-10-07; A4-S029: Building agents with the Claude Agent SDK (Anthropic)</w:t>
      </w:r>
      <w:r>
        <w:t xml:space="preserve"> </w:t>
      </w:r>
      <w:hyperlink r:id="rId1226">
        <w:r>
          <w:rPr>
            <w:rStyle w:val="Hyperlink"/>
          </w:rPr>
          <w:t xml:space="preserve">https://www.anthropic.com/engineering/building-agents-with-the-claude-agent-sdk</w:t>
        </w:r>
      </w:hyperlink>
      <w:r>
        <w:t xml:space="preserve"> </w:t>
      </w:r>
      <w:r>
        <w:t xml:space="preserve">accessed 2026-10-07; B-REVC-S001: PyPI JSON API: claude-agent-sdk (with openai-agents; google-adk; sglang; pydantic-ai; langgraph) (Python Package Index)</w:t>
      </w:r>
      <w:r>
        <w:t xml:space="preserve"> </w:t>
      </w:r>
      <w:hyperlink r:id="rId1225">
        <w:r>
          <w:rPr>
            <w:rStyle w:val="Hyperlink"/>
          </w:rPr>
          <w:t xml:space="preserve">https://pypi.org/pypi/claude-agent-sdk/json</w:t>
        </w:r>
      </w:hyperlink>
      <w:r>
        <w:t xml:space="preserve"> </w:t>
      </w:r>
      <w:r>
        <w:t xml:space="preserve">accessed 2026-10-08 [search-tool extract]</w:t>
      </w:r>
    </w:p>
  </w:footnote>
  <w:footnote w:id="1227">
    <w:p>
      <w:pPr>
        <w:pStyle w:val="FootnoteText"/>
      </w:pPr>
      <w:r>
        <w:rPr>
          <w:rStyle w:val="FootnoteReference"/>
        </w:rPr>
        <w:footnoteRef/>
      </w:r>
      <w:r>
        <w:t xml:space="preserve"> </w:t>
      </w:r>
      <w:r>
        <w:t xml:space="preserve">Verified fact — A4-S122: Hosting the Agent SDK - Claude Code Docs (Anthropic)</w:t>
      </w:r>
      <w:r>
        <w:t xml:space="preserve"> </w:t>
      </w:r>
      <w:hyperlink r:id="rId1218">
        <w:r>
          <w:rPr>
            <w:rStyle w:val="Hyperlink"/>
          </w:rPr>
          <w:t xml:space="preserve">https://code.claude.com/docs/en/agent-sdk/hosting</w:t>
        </w:r>
      </w:hyperlink>
      <w:r>
        <w:t xml:space="preserve"> </w:t>
      </w:r>
      <w:r>
        <w:t xml:space="preserve">accessed 2026-10-07</w:t>
      </w:r>
    </w:p>
  </w:footnote>
  <w:footnote w:id="1228">
    <w:p>
      <w:pPr>
        <w:pStyle w:val="FootnoteText"/>
      </w:pPr>
      <w:r>
        <w:rPr>
          <w:rStyle w:val="FootnoteReference"/>
        </w:rPr>
        <w:footnoteRef/>
      </w:r>
      <w:r>
        <w:t xml:space="preserve"> </w:t>
      </w:r>
      <w:r>
        <w:t xml:space="preserve">Verified fact — A4-S027: Agent SDK overview - Claude Code Docs (Anthropic)</w:t>
      </w:r>
      <w:r>
        <w:t xml:space="preserve"> </w:t>
      </w:r>
      <w:hyperlink r:id="rId1217">
        <w:r>
          <w:rPr>
            <w:rStyle w:val="Hyperlink"/>
          </w:rPr>
          <w:t xml:space="preserve">https://code.claude.com/docs/en/agent-sdk/overview</w:t>
        </w:r>
      </w:hyperlink>
      <w:r>
        <w:t xml:space="preserve"> </w:t>
      </w:r>
      <w:r>
        <w:t xml:space="preserve">accessed 2026-10-07; A4-S092: Claude Agent SDK (Python) LICENSE (Anthropic)</w:t>
      </w:r>
      <w:r>
        <w:t xml:space="preserve"> </w:t>
      </w:r>
      <w:hyperlink r:id="rId1229">
        <w:r>
          <w:rPr>
            <w:rStyle w:val="Hyperlink"/>
          </w:rPr>
          <w:t xml:space="preserve">https://raw.githubusercontent.com/anthropics/claude-agent-sdk-python/main/LICENSE</w:t>
        </w:r>
      </w:hyperlink>
      <w:r>
        <w:t xml:space="preserve"> </w:t>
      </w:r>
      <w:r>
        <w:t xml:space="preserve">accessed 2026-10-07</w:t>
      </w:r>
    </w:p>
  </w:footnote>
  <w:footnote w:id="1230">
    <w:p>
      <w:pPr>
        <w:pStyle w:val="FootnoteText"/>
      </w:pPr>
      <w:r>
        <w:rPr>
          <w:rStyle w:val="FootnoteReference"/>
        </w:rPr>
        <w:footnoteRef/>
      </w:r>
      <w:r>
        <w:t xml:space="preserve"> </w:t>
      </w:r>
      <w:r>
        <w:t xml:space="preserve">Verified fact — A4-S027: Agent SDK overview - Claude Code Docs (Anthropic)</w:t>
      </w:r>
      <w:r>
        <w:t xml:space="preserve"> </w:t>
      </w:r>
      <w:hyperlink r:id="rId1217">
        <w:r>
          <w:rPr>
            <w:rStyle w:val="Hyperlink"/>
          </w:rPr>
          <w:t xml:space="preserve">https://code.claude.com/docs/en/agent-sdk/overview</w:t>
        </w:r>
      </w:hyperlink>
      <w:r>
        <w:t xml:space="preserve"> </w:t>
      </w:r>
      <w:r>
        <w:t xml:space="preserve">accessed 2026-10-07; A4-S122: Hosting the Agent SDK - Claude Code Docs (Anthropic)</w:t>
      </w:r>
      <w:r>
        <w:t xml:space="preserve"> </w:t>
      </w:r>
      <w:hyperlink r:id="rId1218">
        <w:r>
          <w:rPr>
            <w:rStyle w:val="Hyperlink"/>
          </w:rPr>
          <w:t xml:space="preserve">https://code.claude.com/docs/en/agent-sdk/hosting</w:t>
        </w:r>
      </w:hyperlink>
      <w:r>
        <w:t xml:space="preserve"> </w:t>
      </w:r>
      <w:r>
        <w:t xml:space="preserve">accessed 2026-10-07; A4-S028: Migrate to Claude Agent SDK - Claude Code Docs (Anthropic)</w:t>
      </w:r>
      <w:r>
        <w:t xml:space="preserve"> </w:t>
      </w:r>
      <w:hyperlink r:id="rId1231">
        <w:r>
          <w:rPr>
            <w:rStyle w:val="Hyperlink"/>
          </w:rPr>
          <w:t xml:space="preserve">https://platform.claude.com/docs/en/agent-sdk/migration-guide</w:t>
        </w:r>
      </w:hyperlink>
      <w:r>
        <w:t xml:space="preserve"> </w:t>
      </w:r>
      <w:r>
        <w:t xml:space="preserve">accessed 2026-10-07</w:t>
      </w:r>
    </w:p>
  </w:footnote>
  <w:footnote w:id="1232">
    <w:p>
      <w:pPr>
        <w:pStyle w:val="FootnoteText"/>
      </w:pPr>
      <w:r>
        <w:rPr>
          <w:rStyle w:val="FootnoteReference"/>
        </w:rPr>
        <w:footnoteRef/>
      </w:r>
      <w:r>
        <w:t xml:space="preserve"> </w:t>
      </w:r>
      <w:r>
        <w:t xml:space="preserve">Verified fact — A4-S027: Agent SDK overview - Claude Code Docs (Anthropic)</w:t>
      </w:r>
      <w:r>
        <w:t xml:space="preserve"> </w:t>
      </w:r>
      <w:hyperlink r:id="rId1217">
        <w:r>
          <w:rPr>
            <w:rStyle w:val="Hyperlink"/>
          </w:rPr>
          <w:t xml:space="preserve">https://code.claude.com/docs/en/agent-sdk/overview</w:t>
        </w:r>
      </w:hyperlink>
      <w:r>
        <w:t xml:space="preserve"> </w:t>
      </w:r>
      <w:r>
        <w:t xml:space="preserve">accessed 2026-10-07</w:t>
      </w:r>
    </w:p>
  </w:footnote>
  <w:footnote w:id="1233">
    <w:p>
      <w:pPr>
        <w:pStyle w:val="FootnoteText"/>
      </w:pPr>
      <w:r>
        <w:rPr>
          <w:rStyle w:val="FootnoteReference"/>
        </w:rPr>
        <w:footnoteRef/>
      </w:r>
      <w:r>
        <w:t xml:space="preserve"> </w:t>
      </w:r>
      <w:r>
        <w:t xml:space="preserve">Verified fact — A4-S006: PyPI JSON metadata: claude-agent-sdk (Python Package Index)</w:t>
      </w:r>
      <w:r>
        <w:t xml:space="preserve"> </w:t>
      </w:r>
      <w:hyperlink r:id="rId1225">
        <w:r>
          <w:rPr>
            <w:rStyle w:val="Hyperlink"/>
          </w:rPr>
          <w:t xml:space="preserve">https://pypi.org/pypi/claude-agent-sdk/json</w:t>
        </w:r>
      </w:hyperlink>
      <w:r>
        <w:t xml:space="preserve"> </w:t>
      </w:r>
      <w:r>
        <w:t xml:space="preserve">accessed 2026-10-07</w:t>
      </w:r>
    </w:p>
  </w:footnote>
  <w:footnote w:id="1234">
    <w:p>
      <w:pPr>
        <w:pStyle w:val="FootnoteText"/>
      </w:pPr>
      <w:r>
        <w:rPr>
          <w:rStyle w:val="FootnoteReference"/>
        </w:rPr>
        <w:footnoteRef/>
      </w:r>
      <w:r>
        <w:t xml:space="preserve"> </w:t>
      </w:r>
      <w:r>
        <w:t xml:space="preserve">Verified fact — A4-S006: PyPI JSON metadata: claude-agent-sdk (Python Package Index)</w:t>
      </w:r>
      <w:r>
        <w:t xml:space="preserve"> </w:t>
      </w:r>
      <w:hyperlink r:id="rId1225">
        <w:r>
          <w:rPr>
            <w:rStyle w:val="Hyperlink"/>
          </w:rPr>
          <w:t xml:space="preserve">https://pypi.org/pypi/claude-agent-sdk/json</w:t>
        </w:r>
      </w:hyperlink>
      <w:r>
        <w:t xml:space="preserve"> </w:t>
      </w:r>
      <w:r>
        <w:t xml:space="preserve">accessed 2026-10-07; A4-S122: Hosting the Agent SDK - Claude Code Docs (Anthropic)</w:t>
      </w:r>
      <w:r>
        <w:t xml:space="preserve"> </w:t>
      </w:r>
      <w:hyperlink r:id="rId1218">
        <w:r>
          <w:rPr>
            <w:rStyle w:val="Hyperlink"/>
          </w:rPr>
          <w:t xml:space="preserve">https://code.claude.com/docs/en/agent-sdk/hosting</w:t>
        </w:r>
      </w:hyperlink>
      <w:r>
        <w:t xml:space="preserve"> </w:t>
      </w:r>
      <w:r>
        <w:t xml:space="preserve">accessed 2026-10-07</w:t>
      </w:r>
    </w:p>
  </w:footnote>
  <w:footnote w:id="1235">
    <w:p>
      <w:pPr>
        <w:pStyle w:val="FootnoteText"/>
      </w:pPr>
      <w:r>
        <w:rPr>
          <w:rStyle w:val="FootnoteReference"/>
        </w:rPr>
        <w:footnoteRef/>
      </w:r>
      <w:r>
        <w:t xml:space="preserve"> </w:t>
      </w:r>
      <w:r>
        <w:t xml:space="preserve">Verified fact — A4-S092: Claude Agent SDK (Python) LICENSE (Anthropic)</w:t>
      </w:r>
      <w:r>
        <w:t xml:space="preserve"> </w:t>
      </w:r>
      <w:hyperlink r:id="rId1229">
        <w:r>
          <w:rPr>
            <w:rStyle w:val="Hyperlink"/>
          </w:rPr>
          <w:t xml:space="preserve">https://raw.githubusercontent.com/anthropics/claude-agent-sdk-python/main/LICENSE</w:t>
        </w:r>
      </w:hyperlink>
      <w:r>
        <w:t xml:space="preserve"> </w:t>
      </w:r>
      <w:r>
        <w:t xml:space="preserve">accessed 2026-10-07; V1-S048: Agent SDK overview (License and terms section) (Anthropic)</w:t>
      </w:r>
      <w:r>
        <w:t xml:space="preserve"> </w:t>
      </w:r>
      <w:hyperlink r:id="rId1236">
        <w:r>
          <w:rPr>
            <w:rStyle w:val="Hyperlink"/>
          </w:rPr>
          <w:t xml:space="preserve">https://docs.claude.com/en/docs/agent-sdk/overview</w:t>
        </w:r>
      </w:hyperlink>
      <w:r>
        <w:t xml:space="preserve"> </w:t>
      </w:r>
      <w:r>
        <w:t xml:space="preserve">accessed 2026-10-08</w:t>
      </w:r>
    </w:p>
  </w:footnote>
  <w:footnote w:id="1237">
    <w:p>
      <w:pPr>
        <w:pStyle w:val="FootnoteText"/>
      </w:pPr>
      <w:r>
        <w:rPr>
          <w:rStyle w:val="FootnoteReference"/>
        </w:rPr>
        <w:footnoteRef/>
      </w:r>
      <w:r>
        <w:t xml:space="preserve"> </w:t>
      </w:r>
      <w:r>
        <w:t xml:space="preserve">Verified fact — A4-S122: Hosting the Agent SDK - Claude Code Docs (Anthropic)</w:t>
      </w:r>
      <w:r>
        <w:t xml:space="preserve"> </w:t>
      </w:r>
      <w:hyperlink r:id="rId1218">
        <w:r>
          <w:rPr>
            <w:rStyle w:val="Hyperlink"/>
          </w:rPr>
          <w:t xml:space="preserve">https://code.claude.com/docs/en/agent-sdk/hosting</w:t>
        </w:r>
      </w:hyperlink>
      <w:r>
        <w:t xml:space="preserve"> </w:t>
      </w:r>
      <w:r>
        <w:t xml:space="preserve">accessed 2026-10-07</w:t>
      </w:r>
    </w:p>
  </w:footnote>
  <w:footnote w:id="1238">
    <w:p>
      <w:pPr>
        <w:pStyle w:val="FootnoteText"/>
      </w:pPr>
      <w:r>
        <w:rPr>
          <w:rStyle w:val="FootnoteReference"/>
        </w:rPr>
        <w:footnoteRef/>
      </w:r>
      <w:r>
        <w:t xml:space="preserve"> </w:t>
      </w:r>
      <w:r>
        <w:t xml:space="preserve">Verified fact — A4-S123: API and data retention - Claude Platform Docs (Anthropic)</w:t>
      </w:r>
      <w:r>
        <w:t xml:space="preserve"> </w:t>
      </w:r>
      <w:hyperlink r:id="rId1221">
        <w:r>
          <w:rPr>
            <w:rStyle w:val="Hyperlink"/>
          </w:rPr>
          <w:t xml:space="preserve">https://platform.claude.com/docs/en/build-with-claude/zero-data-retention</w:t>
        </w:r>
      </w:hyperlink>
      <w:r>
        <w:t xml:space="preserve"> </w:t>
      </w:r>
      <w:r>
        <w:t xml:space="preserve">accessed 2026-10-07</w:t>
      </w:r>
    </w:p>
  </w:footnote>
  <w:footnote w:id="1239">
    <w:p>
      <w:pPr>
        <w:pStyle w:val="FootnoteText"/>
      </w:pPr>
      <w:r>
        <w:rPr>
          <w:rStyle w:val="FootnoteReference"/>
        </w:rPr>
        <w:footnoteRef/>
      </w:r>
      <w:r>
        <w:t xml:space="preserve"> </w:t>
      </w:r>
      <w:r>
        <w:t xml:space="preserve">Verified fact — A4-S027: Agent SDK overview - Claude Code Docs (Anthropic)</w:t>
      </w:r>
      <w:r>
        <w:t xml:space="preserve"> </w:t>
      </w:r>
      <w:hyperlink r:id="rId1217">
        <w:r>
          <w:rPr>
            <w:rStyle w:val="Hyperlink"/>
          </w:rPr>
          <w:t xml:space="preserve">https://code.claude.com/docs/en/agent-sdk/overview</w:t>
        </w:r>
      </w:hyperlink>
      <w:r>
        <w:t xml:space="preserve"> </w:t>
      </w:r>
      <w:r>
        <w:t xml:space="preserve">accessed 2026-10-07</w:t>
      </w:r>
    </w:p>
  </w:footnote>
  <w:footnote w:id="1241">
    <w:p>
      <w:pPr>
        <w:pStyle w:val="FootnoteText"/>
      </w:pPr>
      <w:r>
        <w:rPr>
          <w:rStyle w:val="FootnoteReference"/>
        </w:rPr>
        <w:footnoteRef/>
      </w:r>
      <w:r>
        <w:t xml:space="preserve"> </w:t>
      </w:r>
      <w:r>
        <w:t xml:space="preserve">Verified fact — A4-S057: Build AI agents with the Mistral Agents API (and Agents &amp; Conversations / Handoffs docs) (Mistral AI)</w:t>
      </w:r>
      <w:r>
        <w:t xml:space="preserve"> </w:t>
      </w:r>
      <w:hyperlink r:id="rId1242">
        <w:r>
          <w:rPr>
            <w:rStyle w:val="Hyperlink"/>
          </w:rPr>
          <w:t xml:space="preserve">https://mistral.ai/news/agents-api/</w:t>
        </w:r>
      </w:hyperlink>
      <w:r>
        <w:t xml:space="preserve"> </w:t>
      </w:r>
      <w:r>
        <w:t xml:space="preserve">accessed 2026-10-07 [search-tool extract]; A4-S058: Workflows for work that runs the business (Mistral Workflows) (Mistral AI)</w:t>
      </w:r>
      <w:r>
        <w:t xml:space="preserve"> </w:t>
      </w:r>
      <w:hyperlink r:id="rId1055">
        <w:r>
          <w:rPr>
            <w:rStyle w:val="Hyperlink"/>
          </w:rPr>
          <w:t xml:space="preserve">https://mistral.ai/news/workflows/</w:t>
        </w:r>
      </w:hyperlink>
      <w:r>
        <w:t xml:space="preserve"> </w:t>
      </w:r>
      <w:r>
        <w:t xml:space="preserve">accessed 2026-10-07 [search-tool extract]</w:t>
      </w:r>
    </w:p>
  </w:footnote>
  <w:footnote w:id="1243">
    <w:p>
      <w:pPr>
        <w:pStyle w:val="FootnoteText"/>
      </w:pPr>
      <w:r>
        <w:rPr>
          <w:rStyle w:val="FootnoteReference"/>
        </w:rPr>
        <w:footnoteRef/>
      </w:r>
      <w:r>
        <w:t xml:space="preserve"> </w:t>
      </w:r>
      <w:r>
        <w:t xml:space="preserve">Verified fact — A4-S060: Do you have SOC 2 or ISO 27001 certification? (Mistral Help Center / Trust Center) (Mistral AI)</w:t>
      </w:r>
      <w:r>
        <w:t xml:space="preserve"> </w:t>
      </w:r>
      <w:hyperlink r:id="rId263">
        <w:r>
          <w:rPr>
            <w:rStyle w:val="Hyperlink"/>
          </w:rPr>
          <w:t xml:space="preserve">https://help.mistral.ai/en/articles/347638-do-you-have-soc-2-or-iso-27001-certification</w:t>
        </w:r>
      </w:hyperlink>
      <w:r>
        <w:t xml:space="preserve"> </w:t>
      </w:r>
      <w:r>
        <w:t xml:space="preserve">accessed 2026-10-07 [search-tool extract]</w:t>
      </w:r>
    </w:p>
  </w:footnote>
  <w:footnote w:id="1244">
    <w:p>
      <w:pPr>
        <w:pStyle w:val="FootnoteText"/>
      </w:pPr>
      <w:r>
        <w:rPr>
          <w:rStyle w:val="FootnoteReference"/>
        </w:rPr>
        <w:footnoteRef/>
      </w:r>
      <w:r>
        <w:t xml:space="preserve"> </w:t>
      </w:r>
      <w:r>
        <w:t xml:space="preserve">Verified fact — A4-S058: Workflows for work that runs the business (Mistral Workflows) (Mistral AI)</w:t>
      </w:r>
      <w:r>
        <w:t xml:space="preserve"> </w:t>
      </w:r>
      <w:hyperlink r:id="rId1055">
        <w:r>
          <w:rPr>
            <w:rStyle w:val="Hyperlink"/>
          </w:rPr>
          <w:t xml:space="preserve">https://mistral.ai/news/workflows/</w:t>
        </w:r>
      </w:hyperlink>
      <w:r>
        <w:t xml:space="preserve"> </w:t>
      </w:r>
      <w:r>
        <w:t xml:space="preserve">accessed 2026-10-07 [search-tool extract]</w:t>
      </w:r>
    </w:p>
  </w:footnote>
  <w:footnote w:id="1245">
    <w:p>
      <w:pPr>
        <w:pStyle w:val="FootnoteText"/>
      </w:pPr>
      <w:r>
        <w:rPr>
          <w:rStyle w:val="FootnoteReference"/>
        </w:rPr>
        <w:footnoteRef/>
      </w:r>
      <w:r>
        <w:t xml:space="preserve"> </w:t>
      </w:r>
      <w:r>
        <w:t xml:space="preserve">Verified fact — A4-S057: Build AI agents with the Mistral Agents API (and Agents &amp; Conversations / Handoffs docs) (Mistral AI)</w:t>
      </w:r>
      <w:r>
        <w:t xml:space="preserve"> </w:t>
      </w:r>
      <w:hyperlink r:id="rId1242">
        <w:r>
          <w:rPr>
            <w:rStyle w:val="Hyperlink"/>
          </w:rPr>
          <w:t xml:space="preserve">https://mistral.ai/news/agents-api/</w:t>
        </w:r>
      </w:hyperlink>
      <w:r>
        <w:t xml:space="preserve"> </w:t>
      </w:r>
      <w:r>
        <w:t xml:space="preserve">accessed 2026-10-07 [search-tool extract]; A4-S058: Workflows for work that runs the business (Mistral Workflows) (Mistral AI)</w:t>
      </w:r>
      <w:r>
        <w:t xml:space="preserve"> </w:t>
      </w:r>
      <w:hyperlink r:id="rId1055">
        <w:r>
          <w:rPr>
            <w:rStyle w:val="Hyperlink"/>
          </w:rPr>
          <w:t xml:space="preserve">https://mistral.ai/news/workflows/</w:t>
        </w:r>
      </w:hyperlink>
      <w:r>
        <w:t xml:space="preserve"> </w:t>
      </w:r>
      <w:r>
        <w:t xml:space="preserve">accessed 2026-10-07 [search-tool extract]</w:t>
      </w:r>
    </w:p>
  </w:footnote>
  <w:footnote w:id="1246">
    <w:p>
      <w:pPr>
        <w:pStyle w:val="FootnoteText"/>
      </w:pPr>
      <w:r>
        <w:rPr>
          <w:rStyle w:val="FootnoteReference"/>
        </w:rPr>
        <w:footnoteRef/>
      </w:r>
      <w:r>
        <w:t xml:space="preserve"> </w:t>
      </w:r>
      <w:r>
        <w:t xml:space="preserve">Verified fact — A4-S061: PyPI JSON metadata: mistralai-workflows (Python Package Index)</w:t>
      </w:r>
      <w:r>
        <w:t xml:space="preserve"> </w:t>
      </w:r>
      <w:hyperlink r:id="rId1247">
        <w:r>
          <w:rPr>
            <w:rStyle w:val="Hyperlink"/>
          </w:rPr>
          <w:t xml:space="preserve">https://pypi.org/pypi/mistralai-workflows/json</w:t>
        </w:r>
      </w:hyperlink>
      <w:r>
        <w:t xml:space="preserve"> </w:t>
      </w:r>
      <w:r>
        <w:t xml:space="preserve">accessed 2026-10-07; A4-S007: PyPI JSON metadata: mistralai (Python Package Index)</w:t>
      </w:r>
      <w:r>
        <w:t xml:space="preserve"> </w:t>
      </w:r>
      <w:hyperlink r:id="rId1248">
        <w:r>
          <w:rPr>
            <w:rStyle w:val="Hyperlink"/>
          </w:rPr>
          <w:t xml:space="preserve">https://pypi.org/pypi/mistralai/json</w:t>
        </w:r>
      </w:hyperlink>
      <w:r>
        <w:t xml:space="preserve"> </w:t>
      </w:r>
      <w:r>
        <w:t xml:space="preserve">accessed 2026-10-07</w:t>
      </w:r>
    </w:p>
  </w:footnote>
  <w:footnote w:id="1249">
    <w:p>
      <w:pPr>
        <w:pStyle w:val="FootnoteText"/>
      </w:pPr>
      <w:r>
        <w:rPr>
          <w:rStyle w:val="FootnoteReference"/>
        </w:rPr>
        <w:footnoteRef/>
      </w:r>
      <w:r>
        <w:t xml:space="preserve"> </w:t>
      </w:r>
      <w:r>
        <w:t xml:space="preserve">Verified fact — A4-S058: Workflows for work that runs the business (Mistral Workflows) (Mistral AI)</w:t>
      </w:r>
      <w:r>
        <w:t xml:space="preserve"> </w:t>
      </w:r>
      <w:hyperlink r:id="rId1055">
        <w:r>
          <w:rPr>
            <w:rStyle w:val="Hyperlink"/>
          </w:rPr>
          <w:t xml:space="preserve">https://mistral.ai/news/workflows/</w:t>
        </w:r>
      </w:hyperlink>
      <w:r>
        <w:t xml:space="preserve"> </w:t>
      </w:r>
      <w:r>
        <w:t xml:space="preserve">accessed 2026-10-07 [search-tool extract]</w:t>
      </w:r>
    </w:p>
  </w:footnote>
  <w:footnote w:id="1250">
    <w:p>
      <w:pPr>
        <w:pStyle w:val="FootnoteText"/>
      </w:pPr>
      <w:r>
        <w:rPr>
          <w:rStyle w:val="FootnoteReference"/>
        </w:rPr>
        <w:footnoteRef/>
      </w:r>
      <w:r>
        <w:t xml:space="preserve"> </w:t>
      </w:r>
      <w:r>
        <w:t xml:space="preserve">Verified fact — A4-S057: Build AI agents with the Mistral Agents API (and Agents &amp; Conversations / Handoffs docs) (Mistral AI)</w:t>
      </w:r>
      <w:r>
        <w:t xml:space="preserve"> </w:t>
      </w:r>
      <w:hyperlink r:id="rId1242">
        <w:r>
          <w:rPr>
            <w:rStyle w:val="Hyperlink"/>
          </w:rPr>
          <w:t xml:space="preserve">https://mistral.ai/news/agents-api/</w:t>
        </w:r>
      </w:hyperlink>
      <w:r>
        <w:t xml:space="preserve"> </w:t>
      </w:r>
      <w:r>
        <w:t xml:space="preserve">accessed 2026-10-07 [search-tool extract]</w:t>
      </w:r>
    </w:p>
  </w:footnote>
  <w:footnote w:id="1251">
    <w:p>
      <w:pPr>
        <w:pStyle w:val="FootnoteText"/>
      </w:pPr>
      <w:r>
        <w:rPr>
          <w:rStyle w:val="FootnoteReference"/>
        </w:rPr>
        <w:footnoteRef/>
      </w:r>
      <w:r>
        <w:t xml:space="preserve"> </w:t>
      </w:r>
      <w:r>
        <w:t xml:space="preserve">Verified fact — A4-S057: Build AI agents with the Mistral Agents API (and Agents &amp; Conversations / Handoffs docs) (Mistral AI)</w:t>
      </w:r>
      <w:r>
        <w:t xml:space="preserve"> </w:t>
      </w:r>
      <w:hyperlink r:id="rId1242">
        <w:r>
          <w:rPr>
            <w:rStyle w:val="Hyperlink"/>
          </w:rPr>
          <w:t xml:space="preserve">https://mistral.ai/news/agents-api/</w:t>
        </w:r>
      </w:hyperlink>
      <w:r>
        <w:t xml:space="preserve"> </w:t>
      </w:r>
      <w:r>
        <w:t xml:space="preserve">accessed 2026-10-07 [search-tool extract]; A4-S058: Workflows for work that runs the business (Mistral Workflows) (Mistral AI)</w:t>
      </w:r>
      <w:r>
        <w:t xml:space="preserve"> </w:t>
      </w:r>
      <w:hyperlink r:id="rId1055">
        <w:r>
          <w:rPr>
            <w:rStyle w:val="Hyperlink"/>
          </w:rPr>
          <w:t xml:space="preserve">https://mistral.ai/news/workflows/</w:t>
        </w:r>
      </w:hyperlink>
      <w:r>
        <w:t xml:space="preserve"> </w:t>
      </w:r>
      <w:r>
        <w:t xml:space="preserve">accessed 2026-10-07 [search-tool extract]; A4-S061: PyPI JSON metadata: mistralai-workflows (Python Package Index)</w:t>
      </w:r>
      <w:r>
        <w:t xml:space="preserve"> </w:t>
      </w:r>
      <w:hyperlink r:id="rId1247">
        <w:r>
          <w:rPr>
            <w:rStyle w:val="Hyperlink"/>
          </w:rPr>
          <w:t xml:space="preserve">https://pypi.org/pypi/mistralai-workflows/json</w:t>
        </w:r>
      </w:hyperlink>
      <w:r>
        <w:t xml:space="preserve"> </w:t>
      </w:r>
      <w:r>
        <w:t xml:space="preserve">accessed 2026-10-07</w:t>
      </w:r>
    </w:p>
  </w:footnote>
  <w:footnote w:id="1252">
    <w:p>
      <w:pPr>
        <w:pStyle w:val="FootnoteText"/>
      </w:pPr>
      <w:r>
        <w:rPr>
          <w:rStyle w:val="FootnoteReference"/>
        </w:rPr>
        <w:footnoteRef/>
      </w:r>
      <w:r>
        <w:t xml:space="preserve"> </w:t>
      </w:r>
      <w:r>
        <w:t xml:space="preserve">Verified fact — A5-S075: Mistral Help Centre: SOC 2 / ISO 27001; data storage location; ZDR; Regional inference docs; Trust Center (Mistral AI)</w:t>
      </w:r>
      <w:r>
        <w:t xml:space="preserve"> </w:t>
      </w:r>
      <w:hyperlink r:id="rId263">
        <w:r>
          <w:rPr>
            <w:rStyle w:val="Hyperlink"/>
          </w:rPr>
          <w:t xml:space="preserve">https://help.mistral.ai/en/articles/347638-do-you-have-soc-2-or-iso-27001-certification</w:t>
        </w:r>
      </w:hyperlink>
      <w:r>
        <w:t xml:space="preserve"> </w:t>
      </w:r>
      <w:r>
        <w:t xml:space="preserve">accessed 2026-10-07 [search-tool extract]</w:t>
      </w:r>
    </w:p>
  </w:footnote>
  <w:footnote w:id="1253">
    <w:p>
      <w:pPr>
        <w:pStyle w:val="FootnoteText"/>
      </w:pPr>
      <w:r>
        <w:rPr>
          <w:rStyle w:val="FootnoteReference"/>
        </w:rPr>
        <w:footnoteRef/>
      </w:r>
      <w:r>
        <w:t xml:space="preserve"> </w:t>
      </w:r>
      <w:r>
        <w:t xml:space="preserve">Verified fact — A4-S058: Workflows for work that runs the business (Mistral Workflows) (Mistral AI)</w:t>
      </w:r>
      <w:r>
        <w:t xml:space="preserve"> </w:t>
      </w:r>
      <w:hyperlink r:id="rId1055">
        <w:r>
          <w:rPr>
            <w:rStyle w:val="Hyperlink"/>
          </w:rPr>
          <w:t xml:space="preserve">https://mistral.ai/news/workflows/</w:t>
        </w:r>
      </w:hyperlink>
      <w:r>
        <w:t xml:space="preserve"> </w:t>
      </w:r>
      <w:r>
        <w:t xml:space="preserve">accessed 2026-10-07 [search-tool extract]</w:t>
      </w:r>
    </w:p>
  </w:footnote>
  <w:footnote w:id="1254">
    <w:p>
      <w:pPr>
        <w:pStyle w:val="FootnoteText"/>
      </w:pPr>
      <w:r>
        <w:rPr>
          <w:rStyle w:val="FootnoteReference"/>
        </w:rPr>
        <w:footnoteRef/>
      </w:r>
      <w:r>
        <w:t xml:space="preserve"> </w:t>
      </w:r>
      <w:r>
        <w:t xml:space="preserve">Verified fact — A4-S057: Build AI agents with the Mistral Agents API (and Agents &amp; Conversations / Handoffs docs) (Mistral AI)</w:t>
      </w:r>
      <w:r>
        <w:t xml:space="preserve"> </w:t>
      </w:r>
      <w:hyperlink r:id="rId1242">
        <w:r>
          <w:rPr>
            <w:rStyle w:val="Hyperlink"/>
          </w:rPr>
          <w:t xml:space="preserve">https://mistral.ai/news/agents-api/</w:t>
        </w:r>
      </w:hyperlink>
      <w:r>
        <w:t xml:space="preserve"> </w:t>
      </w:r>
      <w:r>
        <w:t xml:space="preserve">accessed 2026-10-07 [search-tool extract]; A4-S061: PyPI JSON metadata: mistralai-workflows (Python Package Index)</w:t>
      </w:r>
      <w:r>
        <w:t xml:space="preserve"> </w:t>
      </w:r>
      <w:hyperlink r:id="rId1247">
        <w:r>
          <w:rPr>
            <w:rStyle w:val="Hyperlink"/>
          </w:rPr>
          <w:t xml:space="preserve">https://pypi.org/pypi/mistralai-workflows/json</w:t>
        </w:r>
      </w:hyperlink>
      <w:r>
        <w:t xml:space="preserve"> </w:t>
      </w:r>
      <w:r>
        <w:t xml:space="preserve">accessed 2026-10-07; A4-S007: PyPI JSON metadata: mistralai (Python Package Index)</w:t>
      </w:r>
      <w:r>
        <w:t xml:space="preserve"> </w:t>
      </w:r>
      <w:hyperlink r:id="rId1248">
        <w:r>
          <w:rPr>
            <w:rStyle w:val="Hyperlink"/>
          </w:rPr>
          <w:t xml:space="preserve">https://pypi.org/pypi/mistralai/json</w:t>
        </w:r>
      </w:hyperlink>
      <w:r>
        <w:t xml:space="preserve"> </w:t>
      </w:r>
      <w:r>
        <w:t xml:space="preserve">accessed 2026-10-07; V1-S065: Workflows for work that runs the business; Mistral Workflows docs (Mistral AI)</w:t>
      </w:r>
      <w:r>
        <w:t xml:space="preserve"> </w:t>
      </w:r>
      <w:hyperlink r:id="rId1055">
        <w:r>
          <w:rPr>
            <w:rStyle w:val="Hyperlink"/>
          </w:rPr>
          <w:t xml:space="preserve">https://mistral.ai/news/workflows/</w:t>
        </w:r>
      </w:hyperlink>
      <w:r>
        <w:t xml:space="preserve"> </w:t>
      </w:r>
      <w:r>
        <w:t xml:space="preserve">accessed 2026-10-08 [search-tool extract]</w:t>
      </w:r>
    </w:p>
  </w:footnote>
  <w:footnote w:id="1255">
    <w:p>
      <w:pPr>
        <w:pStyle w:val="FootnoteText"/>
      </w:pPr>
      <w:r>
        <w:rPr>
          <w:rStyle w:val="FootnoteReference"/>
        </w:rPr>
        <w:footnoteRef/>
      </w:r>
      <w:r>
        <w:t xml:space="preserve"> </w:t>
      </w:r>
      <w:r>
        <w:t xml:space="preserve">Verified fact — A4-S057: Build AI agents with the Mistral Agents API (and Agents &amp; Conversations / Handoffs docs) (Mistral AI)</w:t>
      </w:r>
      <w:r>
        <w:t xml:space="preserve"> </w:t>
      </w:r>
      <w:hyperlink r:id="rId1242">
        <w:r>
          <w:rPr>
            <w:rStyle w:val="Hyperlink"/>
          </w:rPr>
          <w:t xml:space="preserve">https://mistral.ai/news/agents-api/</w:t>
        </w:r>
      </w:hyperlink>
      <w:r>
        <w:t xml:space="preserve"> </w:t>
      </w:r>
      <w:r>
        <w:t xml:space="preserve">accessed 2026-10-07 [search-tool extract]</w:t>
      </w:r>
    </w:p>
  </w:footnote>
  <w:footnote w:id="1258">
    <w:p>
      <w:pPr>
        <w:pStyle w:val="FootnoteText"/>
      </w:pPr>
      <w:r>
        <w:rPr>
          <w:rStyle w:val="FootnoteReference"/>
        </w:rPr>
        <w:footnoteRef/>
      </w:r>
      <w:r>
        <w:t xml:space="preserve"> </w:t>
      </w:r>
      <w:r>
        <w:t xml:space="preserve">Verified fact — A4-S063: vLLM README (GitHub) (vLLM project)</w:t>
      </w:r>
      <w:r>
        <w:t xml:space="preserve"> </w:t>
      </w:r>
      <w:hyperlink r:id="rId1259">
        <w:r>
          <w:rPr>
            <w:rStyle w:val="Hyperlink"/>
          </w:rPr>
          <w:t xml:space="preserve">https://raw.githubusercontent.com/vllm-project/vllm/main/README.md</w:t>
        </w:r>
      </w:hyperlink>
      <w:r>
        <w:t xml:space="preserve"> </w:t>
      </w:r>
      <w:r>
        <w:t xml:space="preserve">accessed 2026-10-07</w:t>
      </w:r>
    </w:p>
  </w:footnote>
  <w:footnote w:id="1260">
    <w:p>
      <w:pPr>
        <w:pStyle w:val="FootnoteText"/>
      </w:pPr>
      <w:r>
        <w:rPr>
          <w:rStyle w:val="FootnoteReference"/>
        </w:rPr>
        <w:footnoteRef/>
      </w:r>
      <w:r>
        <w:t xml:space="preserve"> </w:t>
      </w:r>
      <w:r>
        <w:t xml:space="preserve">Verified fact — B-L2-S001: Red Hat AI Inference 3.4 release notes</w:t>
      </w:r>
      <w:r>
        <w:t xml:space="preserve"> </w:t>
      </w:r>
      <w:hyperlink r:id="rId1261">
        <w:r>
          <w:rPr>
            <w:rStyle w:val="Hyperlink"/>
          </w:rPr>
          <w:t xml:space="preserve">https://docs.redhat.com/en/documentation/red_hat_ai_inference/3.4/html/release_notes/rhaii-340-ga-release-notes_release-notes</w:t>
        </w:r>
      </w:hyperlink>
      <w:r>
        <w:t xml:space="preserve"> </w:t>
      </w:r>
      <w:r>
        <w:t xml:space="preserve">accessed 2026-10-08 [search-tool extract]</w:t>
      </w:r>
    </w:p>
  </w:footnote>
  <w:footnote w:id="1262">
    <w:p>
      <w:pPr>
        <w:pStyle w:val="FootnoteText"/>
      </w:pPr>
      <w:r>
        <w:rPr>
          <w:rStyle w:val="FootnoteReference"/>
        </w:rPr>
        <w:footnoteRef/>
      </w:r>
      <w:r>
        <w:t xml:space="preserve"> </w:t>
      </w:r>
      <w:r>
        <w:t xml:space="preserve">Verified fact — A4-S063: vLLM README (GitHub) (vLLM project)</w:t>
      </w:r>
      <w:r>
        <w:t xml:space="preserve"> </w:t>
      </w:r>
      <w:hyperlink r:id="rId1259">
        <w:r>
          <w:rPr>
            <w:rStyle w:val="Hyperlink"/>
          </w:rPr>
          <w:t xml:space="preserve">https://raw.githubusercontent.com/vllm-project/vllm/main/README.md</w:t>
        </w:r>
      </w:hyperlink>
      <w:r>
        <w:t xml:space="preserve"> </w:t>
      </w:r>
      <w:r>
        <w:t xml:space="preserve">accessed 2026-10-07; B-L2-S004: Security Advisories - vllm-project/vllm (vLLM project (GitHub))</w:t>
      </w:r>
      <w:r>
        <w:t xml:space="preserve"> </w:t>
      </w:r>
      <w:hyperlink r:id="rId1263">
        <w:r>
          <w:rPr>
            <w:rStyle w:val="Hyperlink"/>
          </w:rPr>
          <w:t xml:space="preserve">https://github.com/vllm-project/vllm/security/advisories</w:t>
        </w:r>
      </w:hyperlink>
      <w:r>
        <w:t xml:space="preserve"> </w:t>
      </w:r>
      <w:r>
        <w:t xml:space="preserve">accessed 2026-10-08 [search-tool extract]</w:t>
      </w:r>
    </w:p>
  </w:footnote>
  <w:footnote w:id="1264">
    <w:p>
      <w:pPr>
        <w:pStyle w:val="FootnoteText"/>
      </w:pPr>
      <w:r>
        <w:rPr>
          <w:rStyle w:val="FootnoteReference"/>
        </w:rPr>
        <w:footnoteRef/>
      </w:r>
      <w:r>
        <w:t xml:space="preserve"> </w:t>
      </w:r>
      <w:r>
        <w:t xml:space="preserve">Verified fact — A4-S063: vLLM README (GitHub) (vLLM project)</w:t>
      </w:r>
      <w:r>
        <w:t xml:space="preserve"> </w:t>
      </w:r>
      <w:hyperlink r:id="rId1259">
        <w:r>
          <w:rPr>
            <w:rStyle w:val="Hyperlink"/>
          </w:rPr>
          <w:t xml:space="preserve">https://raw.githubusercontent.com/vllm-project/vllm/main/README.md</w:t>
        </w:r>
      </w:hyperlink>
      <w:r>
        <w:t xml:space="preserve"> </w:t>
      </w:r>
      <w:r>
        <w:t xml:space="preserve">accessed 2026-10-07; A4-S081: About Inference Endpoints (Hugging Face)</w:t>
      </w:r>
      <w:r>
        <w:t xml:space="preserve"> </w:t>
      </w:r>
      <w:hyperlink r:id="rId1265">
        <w:r>
          <w:rPr>
            <w:rStyle w:val="Hyperlink"/>
          </w:rPr>
          <w:t xml:space="preserve">https://raw.githubusercontent.com/huggingface/hf-endpoints-documentation/main/docs/source/about.md</w:t>
        </w:r>
      </w:hyperlink>
      <w:r>
        <w:t xml:space="preserve"> </w:t>
      </w:r>
      <w:r>
        <w:t xml:space="preserve">accessed 2026-10-07</w:t>
      </w:r>
    </w:p>
  </w:footnote>
  <w:footnote w:id="1266">
    <w:p>
      <w:pPr>
        <w:pStyle w:val="FootnoteText"/>
      </w:pPr>
      <w:r>
        <w:rPr>
          <w:rStyle w:val="FootnoteReference"/>
        </w:rPr>
        <w:footnoteRef/>
      </w:r>
      <w:r>
        <w:t xml:space="preserve"> </w:t>
      </w:r>
      <w:r>
        <w:t xml:space="preserve">Verified fact — A4-S063: vLLM README (GitHub) (vLLM project)</w:t>
      </w:r>
      <w:r>
        <w:t xml:space="preserve"> </w:t>
      </w:r>
      <w:hyperlink r:id="rId1259">
        <w:r>
          <w:rPr>
            <w:rStyle w:val="Hyperlink"/>
          </w:rPr>
          <w:t xml:space="preserve">https://raw.githubusercontent.com/vllm-project/vllm/main/README.md</w:t>
        </w:r>
      </w:hyperlink>
      <w:r>
        <w:t xml:space="preserve"> </w:t>
      </w:r>
      <w:r>
        <w:t xml:space="preserve">accessed 2026-10-07</w:t>
      </w:r>
    </w:p>
  </w:footnote>
  <w:footnote w:id="1267">
    <w:p>
      <w:pPr>
        <w:pStyle w:val="FootnoteText"/>
      </w:pPr>
      <w:r>
        <w:rPr>
          <w:rStyle w:val="FootnoteReference"/>
        </w:rPr>
        <w:footnoteRef/>
      </w:r>
      <w:r>
        <w:t xml:space="preserve"> </w:t>
      </w:r>
      <w:r>
        <w:t xml:space="preserve">Verified fact — A4-S146: PyTorch Foundation Welcomes vLLM as a Hosted Project (and umbrella-foundation press release, 7 May 2025) (PyTorch Foundation (Linux Foundation))</w:t>
      </w:r>
      <w:r>
        <w:t xml:space="preserve"> </w:t>
      </w:r>
      <w:hyperlink r:id="rId1268">
        <w:r>
          <w:rPr>
            <w:rStyle w:val="Hyperlink"/>
          </w:rPr>
          <w:t xml:space="preserve">https://pytorch.org/blog/pytorch-foundation-welcomes-vllm/</w:t>
        </w:r>
      </w:hyperlink>
      <w:r>
        <w:t xml:space="preserve"> </w:t>
      </w:r>
      <w:r>
        <w:t xml:space="preserve">accessed 2026-10-07 [search-tool extract]</w:t>
      </w:r>
    </w:p>
  </w:footnote>
  <w:footnote w:id="1269">
    <w:p>
      <w:pPr>
        <w:pStyle w:val="FootnoteText"/>
      </w:pPr>
      <w:r>
        <w:rPr>
          <w:rStyle w:val="FootnoteReference"/>
        </w:rPr>
        <w:footnoteRef/>
      </w:r>
      <w:r>
        <w:t xml:space="preserve"> </w:t>
      </w:r>
      <w:r>
        <w:t xml:space="preserve">Verified fact — A4-S009: PyPI JSON metadata: vllm (Python Package Index)</w:t>
      </w:r>
      <w:r>
        <w:t xml:space="preserve"> </w:t>
      </w:r>
      <w:hyperlink r:id="rId1270">
        <w:r>
          <w:rPr>
            <w:rStyle w:val="Hyperlink"/>
          </w:rPr>
          <w:t xml:space="preserve">https://pypi.org/pypi/vllm/json</w:t>
        </w:r>
      </w:hyperlink>
      <w:r>
        <w:t xml:space="preserve"> </w:t>
      </w:r>
      <w:r>
        <w:t xml:space="preserve">accessed 2026-10-07</w:t>
      </w:r>
    </w:p>
  </w:footnote>
  <w:footnote w:id="1271">
    <w:p>
      <w:pPr>
        <w:pStyle w:val="FootnoteText"/>
      </w:pPr>
      <w:r>
        <w:rPr>
          <w:rStyle w:val="FootnoteReference"/>
        </w:rPr>
        <w:footnoteRef/>
      </w:r>
      <w:r>
        <w:t xml:space="preserve"> </w:t>
      </w:r>
      <w:r>
        <w:t xml:space="preserve">Verified fact — A4-S009: PyPI JSON metadata: vllm (Python Package Index)</w:t>
      </w:r>
      <w:r>
        <w:t xml:space="preserve"> </w:t>
      </w:r>
      <w:hyperlink r:id="rId1270">
        <w:r>
          <w:rPr>
            <w:rStyle w:val="Hyperlink"/>
          </w:rPr>
          <w:t xml:space="preserve">https://pypi.org/pypi/vllm/json</w:t>
        </w:r>
      </w:hyperlink>
      <w:r>
        <w:t xml:space="preserve"> </w:t>
      </w:r>
      <w:r>
        <w:t xml:space="preserve">accessed 2026-10-07; A4-S146: PyTorch Foundation Welcomes vLLM as a Hosted Project (and umbrella-foundation press release, 7 May 2025) (PyTorch Foundation (Linux Foundation))</w:t>
      </w:r>
      <w:r>
        <w:t xml:space="preserve"> </w:t>
      </w:r>
      <w:hyperlink r:id="rId1268">
        <w:r>
          <w:rPr>
            <w:rStyle w:val="Hyperlink"/>
          </w:rPr>
          <w:t xml:space="preserve">https://pytorch.org/blog/pytorch-foundation-welcomes-vllm/</w:t>
        </w:r>
      </w:hyperlink>
      <w:r>
        <w:t xml:space="preserve"> </w:t>
      </w:r>
      <w:r>
        <w:t xml:space="preserve">accessed 2026-10-07 [search-tool extract]</w:t>
      </w:r>
    </w:p>
  </w:footnote>
  <w:footnote w:id="1272">
    <w:p>
      <w:pPr>
        <w:pStyle w:val="FootnoteText"/>
      </w:pPr>
      <w:r>
        <w:rPr>
          <w:rStyle w:val="FootnoteReference"/>
        </w:rPr>
        <w:footnoteRef/>
      </w:r>
      <w:r>
        <w:t xml:space="preserve"> </w:t>
      </w:r>
      <w:r>
        <w:t xml:space="preserve">Verified fact — A4-S009: PyPI JSON metadata: vllm (Python Package Index)</w:t>
      </w:r>
      <w:r>
        <w:t xml:space="preserve"> </w:t>
      </w:r>
      <w:hyperlink r:id="rId1270">
        <w:r>
          <w:rPr>
            <w:rStyle w:val="Hyperlink"/>
          </w:rPr>
          <w:t xml:space="preserve">https://pypi.org/pypi/vllm/json</w:t>
        </w:r>
      </w:hyperlink>
      <w:r>
        <w:t xml:space="preserve"> </w:t>
      </w:r>
      <w:r>
        <w:t xml:space="preserve">accessed 2026-10-07; A4-S063: vLLM README (GitHub) (vLLM project)</w:t>
      </w:r>
      <w:r>
        <w:t xml:space="preserve"> </w:t>
      </w:r>
      <w:hyperlink r:id="rId1259">
        <w:r>
          <w:rPr>
            <w:rStyle w:val="Hyperlink"/>
          </w:rPr>
          <w:t xml:space="preserve">https://raw.githubusercontent.com/vllm-project/vllm/main/README.md</w:t>
        </w:r>
      </w:hyperlink>
      <w:r>
        <w:t xml:space="preserve"> </w:t>
      </w:r>
      <w:r>
        <w:t xml:space="preserve">accessed 2026-10-07; A4-S146: PyTorch Foundation Welcomes vLLM as a Hosted Project (and umbrella-foundation press release, 7 May 2025) (PyTorch Foundation (Linux Foundation))</w:t>
      </w:r>
      <w:r>
        <w:t xml:space="preserve"> </w:t>
      </w:r>
      <w:hyperlink r:id="rId1268">
        <w:r>
          <w:rPr>
            <w:rStyle w:val="Hyperlink"/>
          </w:rPr>
          <w:t xml:space="preserve">https://pytorch.org/blog/pytorch-foundation-welcomes-vllm/</w:t>
        </w:r>
      </w:hyperlink>
      <w:r>
        <w:t xml:space="preserve"> </w:t>
      </w:r>
      <w:r>
        <w:t xml:space="preserve">accessed 2026-10-07 [search-tool extract]</w:t>
      </w:r>
    </w:p>
  </w:footnote>
  <w:footnote w:id="1273">
    <w:p>
      <w:pPr>
        <w:pStyle w:val="FootnoteText"/>
      </w:pPr>
      <w:r>
        <w:rPr>
          <w:rStyle w:val="FootnoteReference"/>
        </w:rPr>
        <w:footnoteRef/>
      </w:r>
      <w:r>
        <w:t xml:space="preserve"> </w:t>
      </w:r>
      <w:r>
        <w:t xml:space="preserve">Verified fact — B-L2-S001: Red Hat AI Inference 3.4 release notes</w:t>
      </w:r>
      <w:r>
        <w:t xml:space="preserve"> </w:t>
      </w:r>
      <w:hyperlink r:id="rId1261">
        <w:r>
          <w:rPr>
            <w:rStyle w:val="Hyperlink"/>
          </w:rPr>
          <w:t xml:space="preserve">https://docs.redhat.com/en/documentation/red_hat_ai_inference/3.4/html/release_notes/rhaii-340-ga-release-notes_release-notes</w:t>
        </w:r>
      </w:hyperlink>
      <w:r>
        <w:t xml:space="preserve"> </w:t>
      </w:r>
      <w:r>
        <w:t xml:space="preserve">accessed 2026-10-08 [search-tool extract]</w:t>
      </w:r>
    </w:p>
  </w:footnote>
  <w:footnote w:id="1274">
    <w:p>
      <w:pPr>
        <w:pStyle w:val="FootnoteText"/>
      </w:pPr>
      <w:r>
        <w:rPr>
          <w:rStyle w:val="FootnoteReference"/>
        </w:rPr>
        <w:footnoteRef/>
      </w:r>
      <w:r>
        <w:t xml:space="preserve"> </w:t>
      </w:r>
      <w:r>
        <w:t xml:space="preserve">Verified fact — A4-S063: vLLM README (GitHub) (vLLM project)</w:t>
      </w:r>
      <w:r>
        <w:t xml:space="preserve"> </w:t>
      </w:r>
      <w:hyperlink r:id="rId1259">
        <w:r>
          <w:rPr>
            <w:rStyle w:val="Hyperlink"/>
          </w:rPr>
          <w:t xml:space="preserve">https://raw.githubusercontent.com/vllm-project/vllm/main/README.md</w:t>
        </w:r>
      </w:hyperlink>
      <w:r>
        <w:t xml:space="preserve"> </w:t>
      </w:r>
      <w:r>
        <w:t xml:space="preserve">accessed 2026-10-07</w:t>
      </w:r>
    </w:p>
  </w:footnote>
  <w:footnote w:id="1275">
    <w:p>
      <w:pPr>
        <w:pStyle w:val="FootnoteText"/>
      </w:pPr>
      <w:r>
        <w:rPr>
          <w:rStyle w:val="FootnoteReference"/>
        </w:rPr>
        <w:footnoteRef/>
      </w:r>
      <w:r>
        <w:t xml:space="preserve"> </w:t>
      </w:r>
      <w:r>
        <w:t xml:space="preserve">Verified fact — A4-S146: PyTorch Foundation Welcomes vLLM as a Hosted Project (and umbrella-foundation press release, 7 May 2025) (PyTorch Foundation (Linux Foundation))</w:t>
      </w:r>
      <w:r>
        <w:t xml:space="preserve"> </w:t>
      </w:r>
      <w:hyperlink r:id="rId1268">
        <w:r>
          <w:rPr>
            <w:rStyle w:val="Hyperlink"/>
          </w:rPr>
          <w:t xml:space="preserve">https://pytorch.org/blog/pytorch-foundation-welcomes-vllm/</w:t>
        </w:r>
      </w:hyperlink>
      <w:r>
        <w:t xml:space="preserve"> </w:t>
      </w:r>
      <w:r>
        <w:t xml:space="preserve">accessed 2026-10-07 [search-tool extract]; A4-S009: PyPI JSON metadata: vllm (Python Package Index)</w:t>
      </w:r>
      <w:r>
        <w:t xml:space="preserve"> </w:t>
      </w:r>
      <w:hyperlink r:id="rId1270">
        <w:r>
          <w:rPr>
            <w:rStyle w:val="Hyperlink"/>
          </w:rPr>
          <w:t xml:space="preserve">https://pypi.org/pypi/vllm/json</w:t>
        </w:r>
      </w:hyperlink>
      <w:r>
        <w:t xml:space="preserve"> </w:t>
      </w:r>
      <w:r>
        <w:t xml:space="preserve">accessed 2026-10-07</w:t>
      </w:r>
    </w:p>
  </w:footnote>
  <w:footnote w:id="1276">
    <w:p>
      <w:pPr>
        <w:pStyle w:val="FootnoteText"/>
      </w:pPr>
      <w:r>
        <w:rPr>
          <w:rStyle w:val="FootnoteReference"/>
        </w:rPr>
        <w:footnoteRef/>
      </w:r>
      <w:r>
        <w:t xml:space="preserve"> </w:t>
      </w:r>
      <w:r>
        <w:t xml:space="preserve">Verified fact — A4-S081: About Inference Endpoints (Hugging Face)</w:t>
      </w:r>
      <w:r>
        <w:t xml:space="preserve"> </w:t>
      </w:r>
      <w:hyperlink r:id="rId1265">
        <w:r>
          <w:rPr>
            <w:rStyle w:val="Hyperlink"/>
          </w:rPr>
          <w:t xml:space="preserve">https://raw.githubusercontent.com/huggingface/hf-endpoints-documentation/main/docs/source/about.md</w:t>
        </w:r>
      </w:hyperlink>
      <w:r>
        <w:t xml:space="preserve"> </w:t>
      </w:r>
      <w:r>
        <w:t xml:space="preserve">accessed 2026-10-07; A4-S089: llm-d README (GitHub) (llm-d project)</w:t>
      </w:r>
      <w:r>
        <w:t xml:space="preserve"> </w:t>
      </w:r>
      <w:hyperlink r:id="rId1277">
        <w:r>
          <w:rPr>
            <w:rStyle w:val="Hyperlink"/>
          </w:rPr>
          <w:t xml:space="preserve">https://raw.githubusercontent.com/llm-d/llm-d/main/README.md</w:t>
        </w:r>
      </w:hyperlink>
      <w:r>
        <w:t xml:space="preserve"> </w:t>
      </w:r>
      <w:r>
        <w:t xml:space="preserve">accessed 2026-10-07; A4-S090: NVIDIA Dynamo README (GitHub)</w:t>
      </w:r>
      <w:r>
        <w:t xml:space="preserve"> </w:t>
      </w:r>
      <w:hyperlink r:id="rId1278">
        <w:r>
          <w:rPr>
            <w:rStyle w:val="Hyperlink"/>
          </w:rPr>
          <w:t xml:space="preserve">https://raw.githubusercontent.com/ai-dynamo/dynamo/main/README.md</w:t>
        </w:r>
      </w:hyperlink>
      <w:r>
        <w:t xml:space="preserve"> </w:t>
      </w:r>
      <w:r>
        <w:t xml:space="preserve">accessed 2026-10-07</w:t>
      </w:r>
    </w:p>
  </w:footnote>
  <w:footnote w:id="1279">
    <w:p>
      <w:pPr>
        <w:pStyle w:val="FootnoteText"/>
      </w:pPr>
      <w:r>
        <w:rPr>
          <w:rStyle w:val="FootnoteReference"/>
        </w:rPr>
        <w:footnoteRef/>
      </w:r>
      <w:r>
        <w:t xml:space="preserve"> </w:t>
      </w:r>
      <w:r>
        <w:t xml:space="preserve">Verified fact — A4-S009: PyPI JSON metadata: vllm (Python Package Index)</w:t>
      </w:r>
      <w:r>
        <w:t xml:space="preserve"> </w:t>
      </w:r>
      <w:hyperlink r:id="rId1270">
        <w:r>
          <w:rPr>
            <w:rStyle w:val="Hyperlink"/>
          </w:rPr>
          <w:t xml:space="preserve">https://pypi.org/pypi/vllm/json</w:t>
        </w:r>
      </w:hyperlink>
      <w:r>
        <w:t xml:space="preserve"> </w:t>
      </w:r>
      <w:r>
        <w:t xml:space="preserve">accessed 2026-10-07</w:t>
      </w:r>
    </w:p>
  </w:footnote>
  <w:footnote w:id="1280">
    <w:p>
      <w:pPr>
        <w:pStyle w:val="FootnoteText"/>
      </w:pPr>
      <w:r>
        <w:rPr>
          <w:rStyle w:val="FootnoteReference"/>
        </w:rPr>
        <w:footnoteRef/>
      </w:r>
      <w:r>
        <w:t xml:space="preserve"> </w:t>
      </w:r>
      <w:r>
        <w:t xml:space="preserve">Verified fact — B-L2-S004: Security Advisories - vllm-project/vllm (vLLM project (GitHub))</w:t>
      </w:r>
      <w:r>
        <w:t xml:space="preserve"> </w:t>
      </w:r>
      <w:hyperlink r:id="rId1263">
        <w:r>
          <w:rPr>
            <w:rStyle w:val="Hyperlink"/>
          </w:rPr>
          <w:t xml:space="preserve">https://github.com/vllm-project/vllm/security/advisories</w:t>
        </w:r>
      </w:hyperlink>
      <w:r>
        <w:t xml:space="preserve"> </w:t>
      </w:r>
      <w:r>
        <w:t xml:space="preserve">accessed 2026-10-08 [search-tool extract]</w:t>
      </w:r>
    </w:p>
  </w:footnote>
  <w:footnote w:id="1282">
    <w:p>
      <w:pPr>
        <w:pStyle w:val="FootnoteText"/>
      </w:pPr>
      <w:r>
        <w:rPr>
          <w:rStyle w:val="FootnoteReference"/>
        </w:rPr>
        <w:footnoteRef/>
      </w:r>
      <w:r>
        <w:t xml:space="preserve"> </w:t>
      </w:r>
      <w:r>
        <w:t xml:space="preserve">Verified fact — A4-S135: Fireworks - Pricing (and Serverless Pricing docs) (Fireworks AI)</w:t>
      </w:r>
      <w:r>
        <w:t xml:space="preserve"> </w:t>
      </w:r>
      <w:hyperlink r:id="rId1283">
        <w:r>
          <w:rPr>
            <w:rStyle w:val="Hyperlink"/>
          </w:rPr>
          <w:t xml:space="preserve">https://fireworks.ai/pricing</w:t>
        </w:r>
      </w:hyperlink>
      <w:r>
        <w:t xml:space="preserve"> </w:t>
      </w:r>
      <w:r>
        <w:t xml:space="preserve">accessed 2026-10-07 [search-tool extract]; A4-S152: Custom SSO - Fireworks AI Docs (with Enterprise, Virtual Cloud and changelog pages)</w:t>
      </w:r>
      <w:r>
        <w:t xml:space="preserve"> </w:t>
      </w:r>
      <w:hyperlink r:id="rId1284">
        <w:r>
          <w:rPr>
            <w:rStyle w:val="Hyperlink"/>
          </w:rPr>
          <w:t xml:space="preserve">https://docs.fireworks.ai/accounts/sso</w:t>
        </w:r>
      </w:hyperlink>
      <w:r>
        <w:t xml:space="preserve"> </w:t>
      </w:r>
      <w:r>
        <w:t xml:space="preserve">accessed 2026-10-07 [search-tool extract]</w:t>
      </w:r>
    </w:p>
  </w:footnote>
  <w:footnote w:id="1285">
    <w:p>
      <w:pPr>
        <w:pStyle w:val="FootnoteText"/>
      </w:pPr>
      <w:r>
        <w:rPr>
          <w:rStyle w:val="FootnoteReference"/>
        </w:rPr>
        <w:footnoteRef/>
      </w:r>
      <w:r>
        <w:t xml:space="preserve"> </w:t>
      </w:r>
      <w:r>
        <w:t xml:space="preserve">Verified fact — A4-S152: Custom SSO - Fireworks AI Docs (with Enterprise, Virtual Cloud and changelog pages)</w:t>
      </w:r>
      <w:r>
        <w:t xml:space="preserve"> </w:t>
      </w:r>
      <w:hyperlink r:id="rId1284">
        <w:r>
          <w:rPr>
            <w:rStyle w:val="Hyperlink"/>
          </w:rPr>
          <w:t xml:space="preserve">https://docs.fireworks.ai/accounts/sso</w:t>
        </w:r>
      </w:hyperlink>
      <w:r>
        <w:t xml:space="preserve"> </w:t>
      </w:r>
      <w:r>
        <w:t xml:space="preserve">accessed 2026-10-07 [search-tool extract]</w:t>
      </w:r>
    </w:p>
  </w:footnote>
  <w:footnote w:id="1286">
    <w:p>
      <w:pPr>
        <w:pStyle w:val="FootnoteText"/>
      </w:pPr>
      <w:r>
        <w:rPr>
          <w:rStyle w:val="FootnoteReference"/>
        </w:rPr>
        <w:footnoteRef/>
      </w:r>
      <w:r>
        <w:t xml:space="preserve"> </w:t>
      </w:r>
      <w:r>
        <w:t xml:space="preserve">Verified fact — A4-S133: Trust Center - Fireworks AI (with docs Certifications page and certification blogs)</w:t>
      </w:r>
      <w:r>
        <w:t xml:space="preserve"> </w:t>
      </w:r>
      <w:hyperlink r:id="rId1287">
        <w:r>
          <w:rPr>
            <w:rStyle w:val="Hyperlink"/>
          </w:rPr>
          <w:t xml:space="preserve">https://trust.fireworks.ai/</w:t>
        </w:r>
      </w:hyperlink>
      <w:r>
        <w:t xml:space="preserve"> </w:t>
      </w:r>
      <w:r>
        <w:t xml:space="preserve">accessed 2026-10-07 [search-tool extract]; V1-S067: Fireworks data security / Security &amp; Compliance FAQ / triple ISO blog (Fireworks AI)</w:t>
      </w:r>
      <w:r>
        <w:t xml:space="preserve"> </w:t>
      </w:r>
      <w:hyperlink r:id="rId1288">
        <w:r>
          <w:rPr>
            <w:rStyle w:val="Hyperlink"/>
          </w:rPr>
          <w:t xml:space="preserve">https://docs.fireworks.ai/guides/security_compliance/data_security</w:t>
        </w:r>
      </w:hyperlink>
      <w:r>
        <w:t xml:space="preserve"> </w:t>
      </w:r>
      <w:r>
        <w:t xml:space="preserve">accessed 2026-10-08 [search-tool extract]</w:t>
      </w:r>
    </w:p>
  </w:footnote>
  <w:footnote w:id="1289">
    <w:p>
      <w:pPr>
        <w:pStyle w:val="FootnoteText"/>
      </w:pPr>
      <w:r>
        <w:rPr>
          <w:rStyle w:val="FootnoteReference"/>
        </w:rPr>
        <w:footnoteRef/>
      </w:r>
      <w:r>
        <w:t xml:space="preserve"> </w:t>
      </w:r>
      <w:r>
        <w:t xml:space="preserve">Verified fact — A4-S152: Custom SSO - Fireworks AI Docs (with Enterprise, Virtual Cloud and changelog pages)</w:t>
      </w:r>
      <w:r>
        <w:t xml:space="preserve"> </w:t>
      </w:r>
      <w:hyperlink r:id="rId1284">
        <w:r>
          <w:rPr>
            <w:rStyle w:val="Hyperlink"/>
          </w:rPr>
          <w:t xml:space="preserve">https://docs.fireworks.ai/accounts/sso</w:t>
        </w:r>
      </w:hyperlink>
      <w:r>
        <w:t xml:space="preserve"> </w:t>
      </w:r>
      <w:r>
        <w:t xml:space="preserve">accessed 2026-10-07 [search-tool extract]</w:t>
      </w:r>
    </w:p>
  </w:footnote>
  <w:footnote w:id="1290">
    <w:p>
      <w:pPr>
        <w:pStyle w:val="FootnoteText"/>
      </w:pPr>
      <w:r>
        <w:rPr>
          <w:rStyle w:val="FootnoteReference"/>
        </w:rPr>
        <w:footnoteRef/>
      </w:r>
      <w:r>
        <w:t xml:space="preserve"> </w:t>
      </w:r>
      <w:r>
        <w:t xml:space="preserve">Verified fact — A4-S134: Zero Data Retention / Data residency / Regions - Fireworks AI Docs</w:t>
      </w:r>
      <w:r>
        <w:t xml:space="preserve"> </w:t>
      </w:r>
      <w:hyperlink r:id="rId1291">
        <w:r>
          <w:rPr>
            <w:rStyle w:val="Hyperlink"/>
          </w:rPr>
          <w:t xml:space="preserve">https://docs.fireworks.ai/guides/security_compliance/data_handling</w:t>
        </w:r>
      </w:hyperlink>
      <w:r>
        <w:t xml:space="preserve"> </w:t>
      </w:r>
      <w:r>
        <w:t xml:space="preserve">accessed 2026-10-07 [search-tool extract]; A4-S075: Hugging Face Inference Providers</w:t>
      </w:r>
      <w:r>
        <w:t xml:space="preserve"> </w:t>
      </w:r>
      <w:hyperlink r:id="rId1292">
        <w:r>
          <w:rPr>
            <w:rStyle w:val="Hyperlink"/>
          </w:rPr>
          <w:t xml:space="preserve">https://raw.githubusercontent.com/huggingface/hub-docs/main/docs/inference-providers/index.md</w:t>
        </w:r>
      </w:hyperlink>
      <w:r>
        <w:t xml:space="preserve"> </w:t>
      </w:r>
      <w:r>
        <w:t xml:space="preserve">accessed 2026-10-07</w:t>
      </w:r>
    </w:p>
  </w:footnote>
  <w:footnote w:id="1293">
    <w:p>
      <w:pPr>
        <w:pStyle w:val="FootnoteText"/>
      </w:pPr>
      <w:r>
        <w:rPr>
          <w:rStyle w:val="FootnoteReference"/>
        </w:rPr>
        <w:footnoteRef/>
      </w:r>
      <w:r>
        <w:t xml:space="preserve"> </w:t>
      </w:r>
      <w:r>
        <w:t xml:space="preserve">Verified fact — A4-S141: Fireworks Raises a $1.5 Billion Series D (press release; CNBC 16 Jul 2026) (Fireworks AI (Business Wire))</w:t>
      </w:r>
      <w:r>
        <w:t xml:space="preserve"> </w:t>
      </w:r>
      <w:hyperlink r:id="rId1294">
        <w:r>
          <w:rPr>
            <w:rStyle w:val="Hyperlink"/>
          </w:rPr>
          <w:t xml:space="preserve">https://www.businesswire.com/news/home/20260716264405/en/Fireworks-Raises-a-$1.5-Billion-Series-D-to-Lead-the-Specialized-Intelligence-Revolution</w:t>
        </w:r>
      </w:hyperlink>
      <w:r>
        <w:t xml:space="preserve"> </w:t>
      </w:r>
      <w:r>
        <w:t xml:space="preserve">accessed 2026-10-07 [search-tool extract]</w:t>
      </w:r>
    </w:p>
  </w:footnote>
  <w:footnote w:id="1295">
    <w:p>
      <w:pPr>
        <w:pStyle w:val="FootnoteText"/>
      </w:pPr>
      <w:r>
        <w:rPr>
          <w:rStyle w:val="FootnoteReference"/>
        </w:rPr>
        <w:footnoteRef/>
      </w:r>
      <w:r>
        <w:t xml:space="preserve"> </w:t>
      </w:r>
      <w:r>
        <w:t xml:space="preserve">Verified fact — A4-S135: Fireworks - Pricing (and Serverless Pricing docs) (Fireworks AI)</w:t>
      </w:r>
      <w:r>
        <w:t xml:space="preserve"> </w:t>
      </w:r>
      <w:hyperlink r:id="rId1283">
        <w:r>
          <w:rPr>
            <w:rStyle w:val="Hyperlink"/>
          </w:rPr>
          <w:t xml:space="preserve">https://fireworks.ai/pricing</w:t>
        </w:r>
      </w:hyperlink>
      <w:r>
        <w:t xml:space="preserve"> </w:t>
      </w:r>
      <w:r>
        <w:t xml:space="preserve">accessed 2026-10-07 [search-tool extract]</w:t>
      </w:r>
    </w:p>
  </w:footnote>
  <w:footnote w:id="1296">
    <w:p>
      <w:pPr>
        <w:pStyle w:val="FootnoteText"/>
      </w:pPr>
      <w:r>
        <w:rPr>
          <w:rStyle w:val="FootnoteReference"/>
        </w:rPr>
        <w:footnoteRef/>
      </w:r>
      <w:r>
        <w:t xml:space="preserve"> </w:t>
      </w:r>
      <w:r>
        <w:t xml:space="preserve">Verified fact — A4-S152: Custom SSO - Fireworks AI Docs (with Enterprise, Virtual Cloud and changelog pages)</w:t>
      </w:r>
      <w:r>
        <w:t xml:space="preserve"> </w:t>
      </w:r>
      <w:hyperlink r:id="rId1284">
        <w:r>
          <w:rPr>
            <w:rStyle w:val="Hyperlink"/>
          </w:rPr>
          <w:t xml:space="preserve">https://docs.fireworks.ai/accounts/sso</w:t>
        </w:r>
      </w:hyperlink>
      <w:r>
        <w:t xml:space="preserve"> </w:t>
      </w:r>
      <w:r>
        <w:t xml:space="preserve">accessed 2026-10-07 [search-tool extract]</w:t>
      </w:r>
    </w:p>
  </w:footnote>
  <w:footnote w:id="1297">
    <w:p>
      <w:pPr>
        <w:pStyle w:val="FootnoteText"/>
      </w:pPr>
      <w:r>
        <w:rPr>
          <w:rStyle w:val="FootnoteReference"/>
        </w:rPr>
        <w:footnoteRef/>
      </w:r>
      <w:r>
        <w:t xml:space="preserve"> </w:t>
      </w:r>
      <w:r>
        <w:t xml:space="preserve">Verified fact — A4-S135: Fireworks - Pricing (and Serverless Pricing docs) (Fireworks AI)</w:t>
      </w:r>
      <w:r>
        <w:t xml:space="preserve"> </w:t>
      </w:r>
      <w:hyperlink r:id="rId1283">
        <w:r>
          <w:rPr>
            <w:rStyle w:val="Hyperlink"/>
          </w:rPr>
          <w:t xml:space="preserve">https://fireworks.ai/pricing</w:t>
        </w:r>
      </w:hyperlink>
      <w:r>
        <w:t xml:space="preserve"> </w:t>
      </w:r>
      <w:r>
        <w:t xml:space="preserve">accessed 2026-10-07 [search-tool extract]; A4-S152: Custom SSO - Fireworks AI Docs (with Enterprise, Virtual Cloud and changelog pages)</w:t>
      </w:r>
      <w:r>
        <w:t xml:space="preserve"> </w:t>
      </w:r>
      <w:hyperlink r:id="rId1284">
        <w:r>
          <w:rPr>
            <w:rStyle w:val="Hyperlink"/>
          </w:rPr>
          <w:t xml:space="preserve">https://docs.fireworks.ai/accounts/sso</w:t>
        </w:r>
      </w:hyperlink>
      <w:r>
        <w:t xml:space="preserve"> </w:t>
      </w:r>
      <w:r>
        <w:t xml:space="preserve">accessed 2026-10-07 [search-tool extract]; A4-S134: Zero Data Retention / Data residency / Regions - Fireworks AI Docs</w:t>
      </w:r>
      <w:r>
        <w:t xml:space="preserve"> </w:t>
      </w:r>
      <w:hyperlink r:id="rId1291">
        <w:r>
          <w:rPr>
            <w:rStyle w:val="Hyperlink"/>
          </w:rPr>
          <w:t xml:space="preserve">https://docs.fireworks.ai/guides/security_compliance/data_handling</w:t>
        </w:r>
      </w:hyperlink>
      <w:r>
        <w:t xml:space="preserve"> </w:t>
      </w:r>
      <w:r>
        <w:t xml:space="preserve">accessed 2026-10-07 [search-tool extract]; A4-S133: Trust Center - Fireworks AI (with docs Certifications page and certification blogs)</w:t>
      </w:r>
      <w:r>
        <w:t xml:space="preserve"> </w:t>
      </w:r>
      <w:hyperlink r:id="rId1287">
        <w:r>
          <w:rPr>
            <w:rStyle w:val="Hyperlink"/>
          </w:rPr>
          <w:t xml:space="preserve">https://trust.fireworks.ai/</w:t>
        </w:r>
      </w:hyperlink>
      <w:r>
        <w:t xml:space="preserve"> </w:t>
      </w:r>
      <w:r>
        <w:t xml:space="preserve">accessed 2026-10-07 [search-tool extract]; V1-S067: Fireworks data security / Security &amp; Compliance FAQ / triple ISO blog (Fireworks AI)</w:t>
      </w:r>
      <w:r>
        <w:t xml:space="preserve"> </w:t>
      </w:r>
      <w:hyperlink r:id="rId1288">
        <w:r>
          <w:rPr>
            <w:rStyle w:val="Hyperlink"/>
          </w:rPr>
          <w:t xml:space="preserve">https://docs.fireworks.ai/guides/security_compliance/data_security</w:t>
        </w:r>
      </w:hyperlink>
      <w:r>
        <w:t xml:space="preserve"> </w:t>
      </w:r>
      <w:r>
        <w:t xml:space="preserve">accessed 2026-10-08 [search-tool extract]</w:t>
      </w:r>
    </w:p>
  </w:footnote>
  <w:footnote w:id="1298">
    <w:p>
      <w:pPr>
        <w:pStyle w:val="FootnoteText"/>
      </w:pPr>
      <w:r>
        <w:rPr>
          <w:rStyle w:val="FootnoteReference"/>
        </w:rPr>
        <w:footnoteRef/>
      </w:r>
      <w:r>
        <w:t xml:space="preserve"> </w:t>
      </w:r>
      <w:r>
        <w:t xml:space="preserve">Verified fact — A4-S134: Zero Data Retention / Data residency / Regions - Fireworks AI Docs</w:t>
      </w:r>
      <w:r>
        <w:t xml:space="preserve"> </w:t>
      </w:r>
      <w:hyperlink r:id="rId1291">
        <w:r>
          <w:rPr>
            <w:rStyle w:val="Hyperlink"/>
          </w:rPr>
          <w:t xml:space="preserve">https://docs.fireworks.ai/guides/security_compliance/data_handling</w:t>
        </w:r>
      </w:hyperlink>
      <w:r>
        <w:t xml:space="preserve"> </w:t>
      </w:r>
      <w:r>
        <w:t xml:space="preserve">accessed 2026-10-07 [search-tool extract]; A4-S152: Custom SSO - Fireworks AI Docs (with Enterprise, Virtual Cloud and changelog pages)</w:t>
      </w:r>
      <w:r>
        <w:t xml:space="preserve"> </w:t>
      </w:r>
      <w:hyperlink r:id="rId1284">
        <w:r>
          <w:rPr>
            <w:rStyle w:val="Hyperlink"/>
          </w:rPr>
          <w:t xml:space="preserve">https://docs.fireworks.ai/accounts/sso</w:t>
        </w:r>
      </w:hyperlink>
      <w:r>
        <w:t xml:space="preserve"> </w:t>
      </w:r>
      <w:r>
        <w:t xml:space="preserve">accessed 2026-10-07 [search-tool extract]</w:t>
      </w:r>
    </w:p>
  </w:footnote>
  <w:footnote w:id="1299">
    <w:p>
      <w:pPr>
        <w:pStyle w:val="FootnoteText"/>
      </w:pPr>
      <w:r>
        <w:rPr>
          <w:rStyle w:val="FootnoteReference"/>
        </w:rPr>
        <w:footnoteRef/>
      </w:r>
      <w:r>
        <w:t xml:space="preserve"> </w:t>
      </w:r>
      <w:r>
        <w:t xml:space="preserve">Verified fact — A4-S152: Custom SSO - Fireworks AI Docs (with Enterprise, Virtual Cloud and changelog pages)</w:t>
      </w:r>
      <w:r>
        <w:t xml:space="preserve"> </w:t>
      </w:r>
      <w:hyperlink r:id="rId1284">
        <w:r>
          <w:rPr>
            <w:rStyle w:val="Hyperlink"/>
          </w:rPr>
          <w:t xml:space="preserve">https://docs.fireworks.ai/accounts/sso</w:t>
        </w:r>
      </w:hyperlink>
      <w:r>
        <w:t xml:space="preserve"> </w:t>
      </w:r>
      <w:r>
        <w:t xml:space="preserve">accessed 2026-10-07 [search-tool extract]</w:t>
      </w:r>
    </w:p>
  </w:footnote>
  <w:footnote w:id="1300">
    <w:p>
      <w:pPr>
        <w:pStyle w:val="FootnoteText"/>
      </w:pPr>
      <w:r>
        <w:rPr>
          <w:rStyle w:val="FootnoteReference"/>
        </w:rPr>
        <w:footnoteRef/>
      </w:r>
      <w:r>
        <w:t xml:space="preserve"> </w:t>
      </w:r>
      <w:r>
        <w:t xml:space="preserve">Verified fact — A4-S134: Zero Data Retention / Data residency / Regions - Fireworks AI Docs</w:t>
      </w:r>
      <w:r>
        <w:t xml:space="preserve"> </w:t>
      </w:r>
      <w:hyperlink r:id="rId1291">
        <w:r>
          <w:rPr>
            <w:rStyle w:val="Hyperlink"/>
          </w:rPr>
          <w:t xml:space="preserve">https://docs.fireworks.ai/guides/security_compliance/data_handling</w:t>
        </w:r>
      </w:hyperlink>
      <w:r>
        <w:t xml:space="preserve"> </w:t>
      </w:r>
      <w:r>
        <w:t xml:space="preserve">accessed 2026-10-07 [search-tool extract]</w:t>
      </w:r>
    </w:p>
  </w:footnote>
  <w:footnote w:id="1301">
    <w:p>
      <w:pPr>
        <w:pStyle w:val="FootnoteText"/>
      </w:pPr>
      <w:r>
        <w:rPr>
          <w:rStyle w:val="FootnoteReference"/>
        </w:rPr>
        <w:footnoteRef/>
      </w:r>
      <w:r>
        <w:t xml:space="preserve"> </w:t>
      </w:r>
      <w:r>
        <w:t xml:space="preserve">Verified fact — V1-S067: Fireworks data security / Security &amp; Compliance FAQ / triple ISO blog (Fireworks AI)</w:t>
      </w:r>
      <w:r>
        <w:t xml:space="preserve"> </w:t>
      </w:r>
      <w:hyperlink r:id="rId1288">
        <w:r>
          <w:rPr>
            <w:rStyle w:val="Hyperlink"/>
          </w:rPr>
          <w:t xml:space="preserve">https://docs.fireworks.ai/guides/security_compliance/data_security</w:t>
        </w:r>
      </w:hyperlink>
      <w:r>
        <w:t xml:space="preserve"> </w:t>
      </w:r>
      <w:r>
        <w:t xml:space="preserve">accessed 2026-10-08 [search-tool extract]</w:t>
      </w:r>
    </w:p>
  </w:footnote>
  <w:footnote w:id="1302">
    <w:p>
      <w:pPr>
        <w:pStyle w:val="FootnoteText"/>
      </w:pPr>
      <w:r>
        <w:rPr>
          <w:rStyle w:val="FootnoteReference"/>
        </w:rPr>
        <w:footnoteRef/>
      </w:r>
      <w:r>
        <w:t xml:space="preserve"> </w:t>
      </w:r>
      <w:r>
        <w:t xml:space="preserve">Verified fact — A4-S134: Zero Data Retention / Data residency / Regions - Fireworks AI Docs</w:t>
      </w:r>
      <w:r>
        <w:t xml:space="preserve"> </w:t>
      </w:r>
      <w:hyperlink r:id="rId1291">
        <w:r>
          <w:rPr>
            <w:rStyle w:val="Hyperlink"/>
          </w:rPr>
          <w:t xml:space="preserve">https://docs.fireworks.ai/guides/security_compliance/data_handling</w:t>
        </w:r>
      </w:hyperlink>
      <w:r>
        <w:t xml:space="preserve"> </w:t>
      </w:r>
      <w:r>
        <w:t xml:space="preserve">accessed 2026-10-07 [search-tool extract]</w:t>
      </w:r>
    </w:p>
  </w:footnote>
  <w:footnote w:id="1303">
    <w:p>
      <w:pPr>
        <w:pStyle w:val="FootnoteText"/>
      </w:pPr>
      <w:r>
        <w:rPr>
          <w:rStyle w:val="FootnoteReference"/>
        </w:rPr>
        <w:footnoteRef/>
      </w:r>
      <w:r>
        <w:t xml:space="preserve"> </w:t>
      </w:r>
      <w:r>
        <w:t xml:space="preserve">Verified fact — A4-S141: Fireworks Raises a $1.5 Billion Series D (press release; CNBC 16 Jul 2026) (Fireworks AI (Business Wire))</w:t>
      </w:r>
      <w:r>
        <w:t xml:space="preserve"> </w:t>
      </w:r>
      <w:hyperlink r:id="rId1294">
        <w:r>
          <w:rPr>
            <w:rStyle w:val="Hyperlink"/>
          </w:rPr>
          <w:t xml:space="preserve">https://www.businesswire.com/news/home/20260716264405/en/Fireworks-Raises-a-$1.5-Billion-Series-D-to-Lead-the-Specialized-Intelligence-Revolution</w:t>
        </w:r>
      </w:hyperlink>
      <w:r>
        <w:t xml:space="preserve"> </w:t>
      </w:r>
      <w:r>
        <w:t xml:space="preserve">accessed 2026-10-07 [search-tool extract]</w:t>
      </w:r>
    </w:p>
  </w:footnote>
  <w:footnote w:id="1304">
    <w:p>
      <w:pPr>
        <w:pStyle w:val="FootnoteText"/>
      </w:pPr>
      <w:r>
        <w:rPr>
          <w:rStyle w:val="FootnoteReference"/>
        </w:rPr>
        <w:footnoteRef/>
      </w:r>
      <w:r>
        <w:t xml:space="preserve"> </w:t>
      </w:r>
      <w:r>
        <w:t xml:space="preserve">Verified fact — A4-S134: Zero Data Retention / Data residency / Regions - Fireworks AI Docs</w:t>
      </w:r>
      <w:r>
        <w:t xml:space="preserve"> </w:t>
      </w:r>
      <w:hyperlink r:id="rId1291">
        <w:r>
          <w:rPr>
            <w:rStyle w:val="Hyperlink"/>
          </w:rPr>
          <w:t xml:space="preserve">https://docs.fireworks.ai/guides/security_compliance/data_handling</w:t>
        </w:r>
      </w:hyperlink>
      <w:r>
        <w:t xml:space="preserve"> </w:t>
      </w:r>
      <w:r>
        <w:t xml:space="preserve">accessed 2026-10-07 [search-tool extract]</w:t>
      </w:r>
    </w:p>
  </w:footnote>
  <w:footnote w:id="1305">
    <w:p>
      <w:pPr>
        <w:pStyle w:val="FootnoteText"/>
      </w:pPr>
      <w:r>
        <w:rPr>
          <w:rStyle w:val="FootnoteReference"/>
        </w:rPr>
        <w:footnoteRef/>
      </w:r>
      <w:r>
        <w:t xml:space="preserve"> </w:t>
      </w:r>
      <w:r>
        <w:t xml:space="preserve">Verified fact — A4-S134: Zero Data Retention / Data residency / Regions - Fireworks AI Docs</w:t>
      </w:r>
      <w:r>
        <w:t xml:space="preserve"> </w:t>
      </w:r>
      <w:hyperlink r:id="rId1291">
        <w:r>
          <w:rPr>
            <w:rStyle w:val="Hyperlink"/>
          </w:rPr>
          <w:t xml:space="preserve">https://docs.fireworks.ai/guides/security_compliance/data_handling</w:t>
        </w:r>
      </w:hyperlink>
      <w:r>
        <w:t xml:space="preserve"> </w:t>
      </w:r>
      <w:r>
        <w:t xml:space="preserve">accessed 2026-10-07 [search-tool extract]</w:t>
      </w:r>
    </w:p>
  </w:footnote>
  <w:footnote w:id="1307">
    <w:p>
      <w:pPr>
        <w:pStyle w:val="FootnoteText"/>
      </w:pPr>
      <w:r>
        <w:rPr>
          <w:rStyle w:val="FootnoteReference"/>
        </w:rPr>
        <w:footnoteRef/>
      </w:r>
      <w:r>
        <w:t xml:space="preserve"> </w:t>
      </w:r>
      <w:r>
        <w:t xml:space="preserve">Verified fact — A4-S010: PyPI JSON metadata: sglang (Python Package Index)</w:t>
      </w:r>
      <w:r>
        <w:t xml:space="preserve"> </w:t>
      </w:r>
      <w:hyperlink r:id="rId1308">
        <w:r>
          <w:rPr>
            <w:rStyle w:val="Hyperlink"/>
          </w:rPr>
          <w:t xml:space="preserve">https://pypi.org/pypi/sglang/json</w:t>
        </w:r>
      </w:hyperlink>
      <w:r>
        <w:t xml:space="preserve"> </w:t>
      </w:r>
      <w:r>
        <w:t xml:space="preserve">accessed 2026-10-07</w:t>
      </w:r>
    </w:p>
  </w:footnote>
  <w:footnote w:id="1309">
    <w:p>
      <w:pPr>
        <w:pStyle w:val="FootnoteText"/>
      </w:pPr>
      <w:r>
        <w:rPr>
          <w:rStyle w:val="FootnoteReference"/>
        </w:rPr>
        <w:footnoteRef/>
      </w:r>
      <w:r>
        <w:t xml:space="preserve"> </w:t>
      </w:r>
      <w:r>
        <w:t xml:space="preserve">Verified fact — B-L2-S009: SGLang multimodal generation module unauthenticated RCE via ZMQ broker (CVE-2026-3059) - GitHub Advisory Database</w:t>
      </w:r>
      <w:r>
        <w:t xml:space="preserve"> </w:t>
      </w:r>
      <w:hyperlink r:id="rId1310">
        <w:r>
          <w:rPr>
            <w:rStyle w:val="Hyperlink"/>
          </w:rPr>
          <w:t xml:space="preserve">https://github.com/advisories/GHSA-rgq9-fqf5-fv58</w:t>
        </w:r>
      </w:hyperlink>
      <w:r>
        <w:t xml:space="preserve"> </w:t>
      </w:r>
      <w:r>
        <w:t xml:space="preserve">accessed 2026-10-08 [search-tool extract]; B-REVC-S002: NVD CVE-2026-3059 (with OSV and GitHub Advisory Database GHSA-rgq9-fqf5-fv58) (NIST NVD)</w:t>
      </w:r>
      <w:r>
        <w:t xml:space="preserve"> </w:t>
      </w:r>
      <w:hyperlink r:id="rId1311">
        <w:r>
          <w:rPr>
            <w:rStyle w:val="Hyperlink"/>
          </w:rPr>
          <w:t xml:space="preserve">https://nvd.nist.gov/vuln/detail/CVE-2026-3059</w:t>
        </w:r>
      </w:hyperlink>
      <w:r>
        <w:t xml:space="preserve"> </w:t>
      </w:r>
      <w:r>
        <w:t xml:space="preserve">accessed 2026-10-08 [search-tool extract]</w:t>
      </w:r>
    </w:p>
  </w:footnote>
  <w:footnote w:id="1312">
    <w:p>
      <w:pPr>
        <w:pStyle w:val="FootnoteText"/>
      </w:pPr>
      <w:r>
        <w:rPr>
          <w:rStyle w:val="FootnoteReference"/>
        </w:rPr>
        <w:footnoteRef/>
      </w:r>
      <w:r>
        <w:t xml:space="preserve"> </w:t>
      </w:r>
      <w:r>
        <w:t xml:space="preserve">Verified fact — A4-S065: SGLang README (GitHub) (SGLang project (LMSYS))</w:t>
      </w:r>
      <w:r>
        <w:t xml:space="preserve"> </w:t>
      </w:r>
      <w:hyperlink r:id="rId1313">
        <w:r>
          <w:rPr>
            <w:rStyle w:val="Hyperlink"/>
          </w:rPr>
          <w:t xml:space="preserve">https://raw.githubusercontent.com/sgl-project/sglang/main/README.md</w:t>
        </w:r>
      </w:hyperlink>
      <w:r>
        <w:t xml:space="preserve"> </w:t>
      </w:r>
      <w:r>
        <w:t xml:space="preserve">accessed 2026-10-07; A4-S081: About Inference Endpoints (Hugging Face)</w:t>
      </w:r>
      <w:r>
        <w:t xml:space="preserve"> </w:t>
      </w:r>
      <w:hyperlink r:id="rId1265">
        <w:r>
          <w:rPr>
            <w:rStyle w:val="Hyperlink"/>
          </w:rPr>
          <w:t xml:space="preserve">https://raw.githubusercontent.com/huggingface/hf-endpoints-documentation/main/docs/source/about.md</w:t>
        </w:r>
      </w:hyperlink>
      <w:r>
        <w:t xml:space="preserve"> </w:t>
      </w:r>
      <w:r>
        <w:t xml:space="preserve">accessed 2026-10-07</w:t>
      </w:r>
    </w:p>
  </w:footnote>
  <w:footnote w:id="1314">
    <w:p>
      <w:pPr>
        <w:pStyle w:val="FootnoteText"/>
      </w:pPr>
      <w:r>
        <w:rPr>
          <w:rStyle w:val="FootnoteReference"/>
        </w:rPr>
        <w:footnoteRef/>
      </w:r>
      <w:r>
        <w:t xml:space="preserve"> </w:t>
      </w:r>
      <w:r>
        <w:t xml:space="preserve">Verified fact — A4-S010: PyPI JSON metadata: sglang (Python Package Index)</w:t>
      </w:r>
      <w:r>
        <w:t xml:space="preserve"> </w:t>
      </w:r>
      <w:hyperlink r:id="rId1308">
        <w:r>
          <w:rPr>
            <w:rStyle w:val="Hyperlink"/>
          </w:rPr>
          <w:t xml:space="preserve">https://pypi.org/pypi/sglang/json</w:t>
        </w:r>
      </w:hyperlink>
      <w:r>
        <w:t xml:space="preserve"> </w:t>
      </w:r>
      <w:r>
        <w:t xml:space="preserve">accessed 2026-10-07; A4-S090: NVIDIA Dynamo README (GitHub)</w:t>
      </w:r>
      <w:r>
        <w:t xml:space="preserve"> </w:t>
      </w:r>
      <w:hyperlink r:id="rId1278">
        <w:r>
          <w:rPr>
            <w:rStyle w:val="Hyperlink"/>
          </w:rPr>
          <w:t xml:space="preserve">https://raw.githubusercontent.com/ai-dynamo/dynamo/main/README.md</w:t>
        </w:r>
      </w:hyperlink>
      <w:r>
        <w:t xml:space="preserve"> </w:t>
      </w:r>
      <w:r>
        <w:t xml:space="preserve">accessed 2026-10-07; A4-S065: SGLang README (GitHub) (SGLang project (LMSYS))</w:t>
      </w:r>
      <w:r>
        <w:t xml:space="preserve"> </w:t>
      </w:r>
      <w:hyperlink r:id="rId1313">
        <w:r>
          <w:rPr>
            <w:rStyle w:val="Hyperlink"/>
          </w:rPr>
          <w:t xml:space="preserve">https://raw.githubusercontent.com/sgl-project/sglang/main/README.md</w:t>
        </w:r>
      </w:hyperlink>
      <w:r>
        <w:t xml:space="preserve"> </w:t>
      </w:r>
      <w:r>
        <w:t xml:space="preserve">accessed 2026-10-07</w:t>
      </w:r>
    </w:p>
  </w:footnote>
  <w:footnote w:id="1315">
    <w:p>
      <w:pPr>
        <w:pStyle w:val="FootnoteText"/>
      </w:pPr>
      <w:r>
        <w:rPr>
          <w:rStyle w:val="FootnoteReference"/>
        </w:rPr>
        <w:footnoteRef/>
      </w:r>
      <w:r>
        <w:t xml:space="preserve"> </w:t>
      </w:r>
      <w:r>
        <w:t xml:space="preserve">Verified fact — A4-S010: PyPI JSON metadata: sglang (Python Package Index)</w:t>
      </w:r>
      <w:r>
        <w:t xml:space="preserve"> </w:t>
      </w:r>
      <w:hyperlink r:id="rId1308">
        <w:r>
          <w:rPr>
            <w:rStyle w:val="Hyperlink"/>
          </w:rPr>
          <w:t xml:space="preserve">https://pypi.org/pypi/sglang/json</w:t>
        </w:r>
      </w:hyperlink>
      <w:r>
        <w:t xml:space="preserve"> </w:t>
      </w:r>
      <w:r>
        <w:t xml:space="preserve">accessed 2026-10-07; A4-S147: RadixArk Launches with $100 Million in Seed Funding Led by Accel to Grow SGLang (Business Wire, May 2026) (RadixArk (Business Wire))</w:t>
      </w:r>
      <w:r>
        <w:t xml:space="preserve"> </w:t>
      </w:r>
      <w:hyperlink r:id="rId1316">
        <w:r>
          <w:rPr>
            <w:rStyle w:val="Hyperlink"/>
          </w:rPr>
          <w:t xml:space="preserve">https://www.morningstar.com/news/business-wire/20260505077157/radixark-launches-with-100-million-in-seed-funding-led-by-accel-to-grow-sglang-and-democratize-frontier-ai-infrastructure</w:t>
        </w:r>
      </w:hyperlink>
      <w:r>
        <w:t xml:space="preserve"> </w:t>
      </w:r>
      <w:r>
        <w:t xml:space="preserve">accessed 2026-10-07 [search-tool extract]</w:t>
      </w:r>
    </w:p>
  </w:footnote>
  <w:footnote w:id="1317">
    <w:p>
      <w:pPr>
        <w:pStyle w:val="FootnoteText"/>
      </w:pPr>
      <w:r>
        <w:rPr>
          <w:rStyle w:val="FootnoteReference"/>
        </w:rPr>
        <w:footnoteRef/>
      </w:r>
      <w:r>
        <w:t xml:space="preserve"> </w:t>
      </w:r>
      <w:r>
        <w:t xml:space="preserve">Verified fact — A4-S128: SGLang LICENSE (SGLang project)</w:t>
      </w:r>
      <w:r>
        <w:t xml:space="preserve"> </w:t>
      </w:r>
      <w:hyperlink r:id="rId1318">
        <w:r>
          <w:rPr>
            <w:rStyle w:val="Hyperlink"/>
          </w:rPr>
          <w:t xml:space="preserve">https://raw.githubusercontent.com/sgl-project/sglang/main/LICENSE</w:t>
        </w:r>
      </w:hyperlink>
      <w:r>
        <w:t xml:space="preserve"> </w:t>
      </w:r>
      <w:r>
        <w:t xml:space="preserve">accessed 2026-10-07; A4-S147: RadixArk Launches with $100 Million in Seed Funding Led by Accel to Grow SGLang (Business Wire, May 2026) (RadixArk (Business Wire))</w:t>
      </w:r>
      <w:r>
        <w:t xml:space="preserve"> </w:t>
      </w:r>
      <w:hyperlink r:id="rId1316">
        <w:r>
          <w:rPr>
            <w:rStyle w:val="Hyperlink"/>
          </w:rPr>
          <w:t xml:space="preserve">https://www.morningstar.com/news/business-wire/20260505077157/radixark-launches-with-100-million-in-seed-funding-led-by-accel-to-grow-sglang-and-democratize-frontier-ai-infrastructure</w:t>
        </w:r>
      </w:hyperlink>
      <w:r>
        <w:t xml:space="preserve"> </w:t>
      </w:r>
      <w:r>
        <w:t xml:space="preserve">accessed 2026-10-07 [search-tool extract]</w:t>
      </w:r>
    </w:p>
  </w:footnote>
  <w:footnote w:id="1319">
    <w:p>
      <w:pPr>
        <w:pStyle w:val="FootnoteText"/>
      </w:pPr>
      <w:r>
        <w:rPr>
          <w:rStyle w:val="FootnoteReference"/>
        </w:rPr>
        <w:footnoteRef/>
      </w:r>
      <w:r>
        <w:t xml:space="preserve"> </w:t>
      </w:r>
      <w:r>
        <w:t xml:space="preserve">Verified fact — A4-S010: PyPI JSON metadata: sglang (Python Package Index)</w:t>
      </w:r>
      <w:r>
        <w:t xml:space="preserve"> </w:t>
      </w:r>
      <w:hyperlink r:id="rId1308">
        <w:r>
          <w:rPr>
            <w:rStyle w:val="Hyperlink"/>
          </w:rPr>
          <w:t xml:space="preserve">https://pypi.org/pypi/sglang/json</w:t>
        </w:r>
      </w:hyperlink>
      <w:r>
        <w:t xml:space="preserve"> </w:t>
      </w:r>
      <w:r>
        <w:t xml:space="preserve">accessed 2026-10-07; A4-S065: SGLang README (GitHub) (SGLang project (LMSYS))</w:t>
      </w:r>
      <w:r>
        <w:t xml:space="preserve"> </w:t>
      </w:r>
      <w:hyperlink r:id="rId1313">
        <w:r>
          <w:rPr>
            <w:rStyle w:val="Hyperlink"/>
          </w:rPr>
          <w:t xml:space="preserve">https://raw.githubusercontent.com/sgl-project/sglang/main/README.md</w:t>
        </w:r>
      </w:hyperlink>
      <w:r>
        <w:t xml:space="preserve"> </w:t>
      </w:r>
      <w:r>
        <w:t xml:space="preserve">accessed 2026-10-07; A4-S147: RadixArk Launches with $100 Million in Seed Funding Led by Accel to Grow SGLang (Business Wire, May 2026) (RadixArk (Business Wire))</w:t>
      </w:r>
      <w:r>
        <w:t xml:space="preserve"> </w:t>
      </w:r>
      <w:hyperlink r:id="rId1316">
        <w:r>
          <w:rPr>
            <w:rStyle w:val="Hyperlink"/>
          </w:rPr>
          <w:t xml:space="preserve">https://www.morningstar.com/news/business-wire/20260505077157/radixark-launches-with-100-million-in-seed-funding-led-by-accel-to-grow-sglang-and-democratize-frontier-ai-infrastructure</w:t>
        </w:r>
      </w:hyperlink>
      <w:r>
        <w:t xml:space="preserve"> </w:t>
      </w:r>
      <w:r>
        <w:t xml:space="preserve">accessed 2026-10-07 [search-tool extract]; V1-S063: RadixArk Launches with $100 Million in Seed Funding Led by Accel (RadixArk (Business Wire))</w:t>
      </w:r>
      <w:r>
        <w:t xml:space="preserve"> </w:t>
      </w:r>
      <w:hyperlink r:id="rId1316">
        <w:r>
          <w:rPr>
            <w:rStyle w:val="Hyperlink"/>
          </w:rPr>
          <w:t xml:space="preserve">https://www.morningstar.com/news/business-wire/20260505077157/radixark-launches-with-100-million-in-seed-funding-led-by-accel-to-grow-sglang-and-democratize-frontier-ai-infrastructure</w:t>
        </w:r>
      </w:hyperlink>
      <w:r>
        <w:t xml:space="preserve"> </w:t>
      </w:r>
      <w:r>
        <w:t xml:space="preserve">accessed 2026-10-08 [search-tool extract]</w:t>
      </w:r>
    </w:p>
  </w:footnote>
  <w:footnote w:id="1320">
    <w:p>
      <w:pPr>
        <w:pStyle w:val="FootnoteText"/>
      </w:pPr>
      <w:r>
        <w:rPr>
          <w:rStyle w:val="FootnoteReference"/>
        </w:rPr>
        <w:footnoteRef/>
      </w:r>
      <w:r>
        <w:t xml:space="preserve"> </w:t>
      </w:r>
      <w:r>
        <w:t xml:space="preserve">Verified fact — A4-S010: PyPI JSON metadata: sglang (Python Package Index)</w:t>
      </w:r>
      <w:r>
        <w:t xml:space="preserve"> </w:t>
      </w:r>
      <w:hyperlink r:id="rId1308">
        <w:r>
          <w:rPr>
            <w:rStyle w:val="Hyperlink"/>
          </w:rPr>
          <w:t xml:space="preserve">https://pypi.org/pypi/sglang/json</w:t>
        </w:r>
      </w:hyperlink>
      <w:r>
        <w:t xml:space="preserve"> </w:t>
      </w:r>
      <w:r>
        <w:t xml:space="preserve">accessed 2026-10-07</w:t>
      </w:r>
    </w:p>
  </w:footnote>
  <w:footnote w:id="1321">
    <w:p>
      <w:pPr>
        <w:pStyle w:val="FootnoteText"/>
      </w:pPr>
      <w:r>
        <w:rPr>
          <w:rStyle w:val="FootnoteReference"/>
        </w:rPr>
        <w:footnoteRef/>
      </w:r>
      <w:r>
        <w:t xml:space="preserve"> </w:t>
      </w:r>
      <w:r>
        <w:t xml:space="preserve">Verified fact — A4-S065: SGLang README (GitHub) (SGLang project (LMSYS))</w:t>
      </w:r>
      <w:r>
        <w:t xml:space="preserve"> </w:t>
      </w:r>
      <w:hyperlink r:id="rId1313">
        <w:r>
          <w:rPr>
            <w:rStyle w:val="Hyperlink"/>
          </w:rPr>
          <w:t xml:space="preserve">https://raw.githubusercontent.com/sgl-project/sglang/main/README.md</w:t>
        </w:r>
      </w:hyperlink>
      <w:r>
        <w:t xml:space="preserve"> </w:t>
      </w:r>
      <w:r>
        <w:t xml:space="preserve">accessed 2026-10-07</w:t>
      </w:r>
    </w:p>
  </w:footnote>
  <w:footnote w:id="1322">
    <w:p>
      <w:pPr>
        <w:pStyle w:val="FootnoteText"/>
      </w:pPr>
      <w:r>
        <w:rPr>
          <w:rStyle w:val="FootnoteReference"/>
        </w:rPr>
        <w:footnoteRef/>
      </w:r>
      <w:r>
        <w:t xml:space="preserve"> </w:t>
      </w:r>
      <w:r>
        <w:t xml:space="preserve">Verified fact — A4-S128: SGLang LICENSE (SGLang project)</w:t>
      </w:r>
      <w:r>
        <w:t xml:space="preserve"> </w:t>
      </w:r>
      <w:hyperlink r:id="rId1318">
        <w:r>
          <w:rPr>
            <w:rStyle w:val="Hyperlink"/>
          </w:rPr>
          <w:t xml:space="preserve">https://raw.githubusercontent.com/sgl-project/sglang/main/LICENSE</w:t>
        </w:r>
      </w:hyperlink>
      <w:r>
        <w:t xml:space="preserve"> </w:t>
      </w:r>
      <w:r>
        <w:t xml:space="preserve">accessed 2026-10-07; A4-S010: PyPI JSON metadata: sglang (Python Package Index)</w:t>
      </w:r>
      <w:r>
        <w:t xml:space="preserve"> </w:t>
      </w:r>
      <w:hyperlink r:id="rId1308">
        <w:r>
          <w:rPr>
            <w:rStyle w:val="Hyperlink"/>
          </w:rPr>
          <w:t xml:space="preserve">https://pypi.org/pypi/sglang/json</w:t>
        </w:r>
      </w:hyperlink>
      <w:r>
        <w:t xml:space="preserve"> </w:t>
      </w:r>
      <w:r>
        <w:t xml:space="preserve">accessed 2026-10-07</w:t>
      </w:r>
    </w:p>
  </w:footnote>
  <w:footnote w:id="1323">
    <w:p>
      <w:pPr>
        <w:pStyle w:val="FootnoteText"/>
      </w:pPr>
      <w:r>
        <w:rPr>
          <w:rStyle w:val="FootnoteReference"/>
        </w:rPr>
        <w:footnoteRef/>
      </w:r>
      <w:r>
        <w:t xml:space="preserve"> </w:t>
      </w:r>
      <w:r>
        <w:t xml:space="preserve">Verified fact — B-L2-S009: SGLang multimodal generation module unauthenticated RCE via ZMQ broker (CVE-2026-3059) - GitHub Advisory Database</w:t>
      </w:r>
      <w:r>
        <w:t xml:space="preserve"> </w:t>
      </w:r>
      <w:hyperlink r:id="rId1310">
        <w:r>
          <w:rPr>
            <w:rStyle w:val="Hyperlink"/>
          </w:rPr>
          <w:t xml:space="preserve">https://github.com/advisories/GHSA-rgq9-fqf5-fv58</w:t>
        </w:r>
      </w:hyperlink>
      <w:r>
        <w:t xml:space="preserve"> </w:t>
      </w:r>
      <w:r>
        <w:t xml:space="preserve">accessed 2026-10-08 [search-tool extract]; B-REVC-S002: NVD CVE-2026-3059 (with OSV and GitHub Advisory Database GHSA-rgq9-fqf5-fv58) (NIST NVD)</w:t>
      </w:r>
      <w:r>
        <w:t xml:space="preserve"> </w:t>
      </w:r>
      <w:hyperlink r:id="rId1311">
        <w:r>
          <w:rPr>
            <w:rStyle w:val="Hyperlink"/>
          </w:rPr>
          <w:t xml:space="preserve">https://nvd.nist.gov/vuln/detail/CVE-2026-3059</w:t>
        </w:r>
      </w:hyperlink>
      <w:r>
        <w:t xml:space="preserve"> </w:t>
      </w:r>
      <w:r>
        <w:t xml:space="preserve">accessed 2026-10-08 [search-tool extract]</w:t>
      </w:r>
    </w:p>
  </w:footnote>
  <w:footnote w:id="1324">
    <w:p>
      <w:pPr>
        <w:pStyle w:val="FootnoteText"/>
      </w:pPr>
      <w:r>
        <w:rPr>
          <w:rStyle w:val="FootnoteReference"/>
        </w:rPr>
        <w:footnoteRef/>
      </w:r>
      <w:r>
        <w:t xml:space="preserve"> </w:t>
      </w:r>
      <w:r>
        <w:t xml:space="preserve">Verified fact — A4-S010: PyPI JSON metadata: sglang (Python Package Index)</w:t>
      </w:r>
      <w:r>
        <w:t xml:space="preserve"> </w:t>
      </w:r>
      <w:hyperlink r:id="rId1308">
        <w:r>
          <w:rPr>
            <w:rStyle w:val="Hyperlink"/>
          </w:rPr>
          <w:t xml:space="preserve">https://pypi.org/pypi/sglang/json</w:t>
        </w:r>
      </w:hyperlink>
      <w:r>
        <w:t xml:space="preserve"> </w:t>
      </w:r>
      <w:r>
        <w:t xml:space="preserve">accessed 2026-10-07; A4-S147: RadixArk Launches with $100 Million in Seed Funding Led by Accel to Grow SGLang (Business Wire, May 2026) (RadixArk (Business Wire))</w:t>
      </w:r>
      <w:r>
        <w:t xml:space="preserve"> </w:t>
      </w:r>
      <w:hyperlink r:id="rId1316">
        <w:r>
          <w:rPr>
            <w:rStyle w:val="Hyperlink"/>
          </w:rPr>
          <w:t xml:space="preserve">https://www.morningstar.com/news/business-wire/20260505077157/radixark-launches-with-100-million-in-seed-funding-led-by-accel-to-grow-sglang-and-democratize-frontier-ai-infrastructure</w:t>
        </w:r>
      </w:hyperlink>
      <w:r>
        <w:t xml:space="preserve"> </w:t>
      </w:r>
      <w:r>
        <w:t xml:space="preserve">accessed 2026-10-07 [search-tool extract]</w:t>
      </w:r>
    </w:p>
  </w:footnote>
  <w:footnote w:id="1325">
    <w:p>
      <w:pPr>
        <w:pStyle w:val="FootnoteText"/>
      </w:pPr>
      <w:r>
        <w:rPr>
          <w:rStyle w:val="FootnoteReference"/>
        </w:rPr>
        <w:footnoteRef/>
      </w:r>
      <w:r>
        <w:t xml:space="preserve"> </w:t>
      </w:r>
      <w:r>
        <w:t xml:space="preserve">Verified fact — A4-S010: PyPI JSON metadata: sglang (Python Package Index)</w:t>
      </w:r>
      <w:r>
        <w:t xml:space="preserve"> </w:t>
      </w:r>
      <w:hyperlink r:id="rId1308">
        <w:r>
          <w:rPr>
            <w:rStyle w:val="Hyperlink"/>
          </w:rPr>
          <w:t xml:space="preserve">https://pypi.org/pypi/sglang/json</w:t>
        </w:r>
      </w:hyperlink>
      <w:r>
        <w:t xml:space="preserve"> </w:t>
      </w:r>
      <w:r>
        <w:t xml:space="preserve">accessed 2026-10-07</w:t>
      </w:r>
    </w:p>
  </w:footnote>
  <w:footnote w:id="1327">
    <w:p>
      <w:pPr>
        <w:pStyle w:val="FootnoteText"/>
      </w:pPr>
      <w:r>
        <w:rPr>
          <w:rStyle w:val="FootnoteReference"/>
        </w:rPr>
        <w:footnoteRef/>
      </w:r>
      <w:r>
        <w:t xml:space="preserve"> </w:t>
      </w:r>
      <w:r>
        <w:t xml:space="preserve">Verified fact — A4-S075: Hugging Face Inference Providers</w:t>
      </w:r>
      <w:r>
        <w:t xml:space="preserve"> </w:t>
      </w:r>
      <w:hyperlink r:id="rId1292">
        <w:r>
          <w:rPr>
            <w:rStyle w:val="Hyperlink"/>
          </w:rPr>
          <w:t xml:space="preserve">https://raw.githubusercontent.com/huggingface/hub-docs/main/docs/inference-providers/index.md</w:t>
        </w:r>
      </w:hyperlink>
      <w:r>
        <w:t xml:space="preserve"> </w:t>
      </w:r>
      <w:r>
        <w:t xml:space="preserve">accessed 2026-10-07; A4-S081: About Inference Endpoints (Hugging Face)</w:t>
      </w:r>
      <w:r>
        <w:t xml:space="preserve"> </w:t>
      </w:r>
      <w:hyperlink r:id="rId1265">
        <w:r>
          <w:rPr>
            <w:rStyle w:val="Hyperlink"/>
          </w:rPr>
          <w:t xml:space="preserve">https://raw.githubusercontent.com/huggingface/hf-endpoints-documentation/main/docs/source/about.md</w:t>
        </w:r>
      </w:hyperlink>
      <w:r>
        <w:t xml:space="preserve"> </w:t>
      </w:r>
      <w:r>
        <w:t xml:space="preserve">accessed 2026-10-07</w:t>
      </w:r>
    </w:p>
  </w:footnote>
  <w:footnote w:id="1328">
    <w:p>
      <w:pPr>
        <w:pStyle w:val="FootnoteText"/>
      </w:pPr>
      <w:r>
        <w:rPr>
          <w:rStyle w:val="FootnoteReference"/>
        </w:rPr>
        <w:footnoteRef/>
      </w:r>
      <w:r>
        <w:t xml:space="preserve"> </w:t>
      </w:r>
      <w:r>
        <w:t xml:space="preserve">Verified fact — A4-S080: Hugging Face Single Sign-On (SSO)</w:t>
      </w:r>
      <w:r>
        <w:t xml:space="preserve"> </w:t>
      </w:r>
      <w:hyperlink r:id="rId1329">
        <w:r>
          <w:rPr>
            <w:rStyle w:val="Hyperlink"/>
          </w:rPr>
          <w:t xml:space="preserve">https://raw.githubusercontent.com/huggingface/hub-docs/main/docs/hub/security-sso.md</w:t>
        </w:r>
      </w:hyperlink>
      <w:r>
        <w:t xml:space="preserve"> </w:t>
      </w:r>
      <w:r>
        <w:t xml:space="preserve">accessed 2026-10-07; A4-S079: Hugging Face Audit Logs</w:t>
      </w:r>
      <w:r>
        <w:t xml:space="preserve"> </w:t>
      </w:r>
      <w:hyperlink r:id="rId1330">
        <w:r>
          <w:rPr>
            <w:rStyle w:val="Hyperlink"/>
          </w:rPr>
          <w:t xml:space="preserve">https://raw.githubusercontent.com/huggingface/hub-docs/main/docs/hub/audit-logs.md</w:t>
        </w:r>
      </w:hyperlink>
      <w:r>
        <w:t xml:space="preserve"> </w:t>
      </w:r>
      <w:r>
        <w:t xml:space="preserve">accessed 2026-10-07</w:t>
      </w:r>
    </w:p>
  </w:footnote>
  <w:footnote w:id="1331">
    <w:p>
      <w:pPr>
        <w:pStyle w:val="FootnoteText"/>
      </w:pPr>
      <w:r>
        <w:rPr>
          <w:rStyle w:val="FootnoteReference"/>
        </w:rPr>
        <w:footnoteRef/>
      </w:r>
      <w:r>
        <w:t xml:space="preserve"> </w:t>
      </w:r>
      <w:r>
        <w:t xml:space="preserve">Verified fact — A4-S074: Hugging Face Hub Security</w:t>
      </w:r>
      <w:r>
        <w:t xml:space="preserve"> </w:t>
      </w:r>
      <w:hyperlink r:id="rId1332">
        <w:r>
          <w:rPr>
            <w:rStyle w:val="Hyperlink"/>
          </w:rPr>
          <w:t xml:space="preserve">https://raw.githubusercontent.com/huggingface/hub-docs/main/docs/hub/security.md</w:t>
        </w:r>
      </w:hyperlink>
      <w:r>
        <w:t xml:space="preserve"> </w:t>
      </w:r>
      <w:r>
        <w:t xml:space="preserve">accessed 2026-10-07; A4-S082: Inference Endpoints Security &amp; Compliance (Hugging Face)</w:t>
      </w:r>
      <w:r>
        <w:t xml:space="preserve"> </w:t>
      </w:r>
      <w:hyperlink r:id="rId1333">
        <w:r>
          <w:rPr>
            <w:rStyle w:val="Hyperlink"/>
          </w:rPr>
          <w:t xml:space="preserve">https://raw.githubusercontent.com/huggingface/hf-endpoints-documentation/main/docs/source/guides/security.md</w:t>
        </w:r>
      </w:hyperlink>
      <w:r>
        <w:t xml:space="preserve"> </w:t>
      </w:r>
      <w:r>
        <w:t xml:space="preserve">accessed 2026-10-07</w:t>
      </w:r>
    </w:p>
  </w:footnote>
  <w:footnote w:id="1334">
    <w:p>
      <w:pPr>
        <w:pStyle w:val="FootnoteText"/>
      </w:pPr>
      <w:r>
        <w:rPr>
          <w:rStyle w:val="FootnoteReference"/>
        </w:rPr>
        <w:footnoteRef/>
      </w:r>
      <w:r>
        <w:t xml:space="preserve"> </w:t>
      </w:r>
      <w:r>
        <w:t xml:space="preserve">Verified fact — A4-S083: Inference Endpoints Pricing (Hugging Face)</w:t>
      </w:r>
      <w:r>
        <w:t xml:space="preserve"> </w:t>
      </w:r>
      <w:hyperlink r:id="rId1335">
        <w:r>
          <w:rPr>
            <w:rStyle w:val="Hyperlink"/>
          </w:rPr>
          <w:t xml:space="preserve">https://raw.githubusercontent.com/huggingface/hf-endpoints-documentation/main/docs/source/support/pricing.md</w:t>
        </w:r>
      </w:hyperlink>
      <w:r>
        <w:t xml:space="preserve"> </w:t>
      </w:r>
      <w:r>
        <w:t xml:space="preserve">accessed 2026-10-07; A4-S082: Inference Endpoints Security &amp; Compliance (Hugging Face)</w:t>
      </w:r>
      <w:r>
        <w:t xml:space="preserve"> </w:t>
      </w:r>
      <w:hyperlink r:id="rId1333">
        <w:r>
          <w:rPr>
            <w:rStyle w:val="Hyperlink"/>
          </w:rPr>
          <w:t xml:space="preserve">https://raw.githubusercontent.com/huggingface/hf-endpoints-documentation/main/docs/source/guides/security.md</w:t>
        </w:r>
      </w:hyperlink>
      <w:r>
        <w:t xml:space="preserve"> </w:t>
      </w:r>
      <w:r>
        <w:t xml:space="preserve">accessed 2026-10-07</w:t>
      </w:r>
    </w:p>
  </w:footnote>
  <w:footnote w:id="1336">
    <w:p>
      <w:pPr>
        <w:pStyle w:val="FootnoteText"/>
      </w:pPr>
      <w:r>
        <w:rPr>
          <w:rStyle w:val="FootnoteReference"/>
        </w:rPr>
        <w:footnoteRef/>
      </w:r>
      <w:r>
        <w:t xml:space="preserve"> </w:t>
      </w:r>
      <w:r>
        <w:t xml:space="preserve">Verified fact — A4-S075: Hugging Face Inference Providers</w:t>
      </w:r>
      <w:r>
        <w:t xml:space="preserve"> </w:t>
      </w:r>
      <w:hyperlink r:id="rId1292">
        <w:r>
          <w:rPr>
            <w:rStyle w:val="Hyperlink"/>
          </w:rPr>
          <w:t xml:space="preserve">https://raw.githubusercontent.com/huggingface/hub-docs/main/docs/inference-providers/index.md</w:t>
        </w:r>
      </w:hyperlink>
      <w:r>
        <w:t xml:space="preserve"> </w:t>
      </w:r>
      <w:r>
        <w:t xml:space="preserve">accessed 2026-10-07</w:t>
      </w:r>
    </w:p>
  </w:footnote>
  <w:footnote w:id="1337">
    <w:p>
      <w:pPr>
        <w:pStyle w:val="FootnoteText"/>
      </w:pPr>
      <w:r>
        <w:rPr>
          <w:rStyle w:val="FootnoteReference"/>
        </w:rPr>
        <w:footnoteRef/>
      </w:r>
      <w:r>
        <w:t xml:space="preserve"> </w:t>
      </w:r>
      <w:r>
        <w:t xml:space="preserve">Verified fact — A4-S014: PyPI JSON metadata: huggingface-hub (Python Package Index)</w:t>
      </w:r>
      <w:r>
        <w:t xml:space="preserve"> </w:t>
      </w:r>
      <w:hyperlink r:id="rId1338">
        <w:r>
          <w:rPr>
            <w:rStyle w:val="Hyperlink"/>
          </w:rPr>
          <w:t xml:space="preserve">https://pypi.org/pypi/huggingface-hub/json</w:t>
        </w:r>
      </w:hyperlink>
      <w:r>
        <w:t xml:space="preserve"> </w:t>
      </w:r>
      <w:r>
        <w:t xml:space="preserve">accessed 2026-10-07; V1-S054: GitHub repository metadata: huggingface/text-generation-inference (archived) (GitHub (via GitHub MCP search_repositories))</w:t>
      </w:r>
      <w:r>
        <w:t xml:space="preserve"> </w:t>
      </w:r>
      <w:hyperlink r:id="rId1339">
        <w:r>
          <w:rPr>
            <w:rStyle w:val="Hyperlink"/>
          </w:rPr>
          <w:t xml:space="preserve">https://api.github.com/repos/huggingface/text-generation-inference</w:t>
        </w:r>
      </w:hyperlink>
      <w:r>
        <w:t xml:space="preserve"> </w:t>
      </w:r>
      <w:r>
        <w:t xml:space="preserve">accessed 2026-10-08 [search-tool extract]; A4-S083: Inference Endpoints Pricing (Hugging Face)</w:t>
      </w:r>
      <w:r>
        <w:t xml:space="preserve"> </w:t>
      </w:r>
      <w:hyperlink r:id="rId1335">
        <w:r>
          <w:rPr>
            <w:rStyle w:val="Hyperlink"/>
          </w:rPr>
          <w:t xml:space="preserve">https://raw.githubusercontent.com/huggingface/hf-endpoints-documentation/main/docs/source/support/pricing.md</w:t>
        </w:r>
      </w:hyperlink>
      <w:r>
        <w:t xml:space="preserve"> </w:t>
      </w:r>
      <w:r>
        <w:t xml:space="preserve">accessed 2026-10-07</w:t>
      </w:r>
    </w:p>
  </w:footnote>
  <w:footnote w:id="1340">
    <w:p>
      <w:pPr>
        <w:pStyle w:val="FootnoteText"/>
      </w:pPr>
      <w:r>
        <w:rPr>
          <w:rStyle w:val="FootnoteReference"/>
        </w:rPr>
        <w:footnoteRef/>
      </w:r>
      <w:r>
        <w:t xml:space="preserve"> </w:t>
      </w:r>
      <w:r>
        <w:t xml:space="preserve">Verified fact — A4-S076: Inference Providers Pricing and Billing (Hugging Face)</w:t>
      </w:r>
      <w:r>
        <w:t xml:space="preserve"> </w:t>
      </w:r>
      <w:hyperlink r:id="rId1341">
        <w:r>
          <w:rPr>
            <w:rStyle w:val="Hyperlink"/>
          </w:rPr>
          <w:t xml:space="preserve">https://raw.githubusercontent.com/huggingface/hub-docs/main/docs/inference-providers/pricing.md</w:t>
        </w:r>
      </w:hyperlink>
      <w:r>
        <w:t xml:space="preserve"> </w:t>
      </w:r>
      <w:r>
        <w:t xml:space="preserve">accessed 2026-10-07; A4-S083: Inference Endpoints Pricing (Hugging Face)</w:t>
      </w:r>
      <w:r>
        <w:t xml:space="preserve"> </w:t>
      </w:r>
      <w:hyperlink r:id="rId1335">
        <w:r>
          <w:rPr>
            <w:rStyle w:val="Hyperlink"/>
          </w:rPr>
          <w:t xml:space="preserve">https://raw.githubusercontent.com/huggingface/hf-endpoints-documentation/main/docs/source/support/pricing.md</w:t>
        </w:r>
      </w:hyperlink>
      <w:r>
        <w:t xml:space="preserve"> </w:t>
      </w:r>
      <w:r>
        <w:t xml:space="preserve">accessed 2026-10-07</w:t>
      </w:r>
    </w:p>
  </w:footnote>
  <w:footnote w:id="1342">
    <w:p>
      <w:pPr>
        <w:pStyle w:val="FootnoteText"/>
      </w:pPr>
      <w:r>
        <w:rPr>
          <w:rStyle w:val="FootnoteReference"/>
        </w:rPr>
        <w:footnoteRef/>
      </w:r>
      <w:r>
        <w:t xml:space="preserve"> </w:t>
      </w:r>
      <w:r>
        <w:t xml:space="preserve">Verified fact — A4-S076: Inference Providers Pricing and Billing (Hugging Face)</w:t>
      </w:r>
      <w:r>
        <w:t xml:space="preserve"> </w:t>
      </w:r>
      <w:hyperlink r:id="rId1341">
        <w:r>
          <w:rPr>
            <w:rStyle w:val="Hyperlink"/>
          </w:rPr>
          <w:t xml:space="preserve">https://raw.githubusercontent.com/huggingface/hub-docs/main/docs/inference-providers/pricing.md</w:t>
        </w:r>
      </w:hyperlink>
      <w:r>
        <w:t xml:space="preserve"> </w:t>
      </w:r>
      <w:r>
        <w:t xml:space="preserve">accessed 2026-10-07; A4-S075: Hugging Face Inference Providers</w:t>
      </w:r>
      <w:r>
        <w:t xml:space="preserve"> </w:t>
      </w:r>
      <w:hyperlink r:id="rId1292">
        <w:r>
          <w:rPr>
            <w:rStyle w:val="Hyperlink"/>
          </w:rPr>
          <w:t xml:space="preserve">https://raw.githubusercontent.com/huggingface/hub-docs/main/docs/inference-providers/index.md</w:t>
        </w:r>
      </w:hyperlink>
      <w:r>
        <w:t xml:space="preserve"> </w:t>
      </w:r>
      <w:r>
        <w:t xml:space="preserve">accessed 2026-10-07</w:t>
      </w:r>
    </w:p>
  </w:footnote>
  <w:footnote w:id="1343">
    <w:p>
      <w:pPr>
        <w:pStyle w:val="FootnoteText"/>
      </w:pPr>
      <w:r>
        <w:rPr>
          <w:rStyle w:val="FootnoteReference"/>
        </w:rPr>
        <w:footnoteRef/>
      </w:r>
      <w:r>
        <w:t xml:space="preserve"> </w:t>
      </w:r>
      <w:r>
        <w:t xml:space="preserve">Verified fact — A4-S074: Hugging Face Hub Security</w:t>
      </w:r>
      <w:r>
        <w:t xml:space="preserve"> </w:t>
      </w:r>
      <w:hyperlink r:id="rId1332">
        <w:r>
          <w:rPr>
            <w:rStyle w:val="Hyperlink"/>
          </w:rPr>
          <w:t xml:space="preserve">https://raw.githubusercontent.com/huggingface/hub-docs/main/docs/hub/security.md</w:t>
        </w:r>
      </w:hyperlink>
      <w:r>
        <w:t xml:space="preserve"> </w:t>
      </w:r>
      <w:r>
        <w:t xml:space="preserve">accessed 2026-10-07; A4-S075: Hugging Face Inference Providers</w:t>
      </w:r>
      <w:r>
        <w:t xml:space="preserve"> </w:t>
      </w:r>
      <w:hyperlink r:id="rId1292">
        <w:r>
          <w:rPr>
            <w:rStyle w:val="Hyperlink"/>
          </w:rPr>
          <w:t xml:space="preserve">https://raw.githubusercontent.com/huggingface/hub-docs/main/docs/inference-providers/index.md</w:t>
        </w:r>
      </w:hyperlink>
      <w:r>
        <w:t xml:space="preserve"> </w:t>
      </w:r>
      <w:r>
        <w:t xml:space="preserve">accessed 2026-10-07; A4-S080: Hugging Face Single Sign-On (SSO)</w:t>
      </w:r>
      <w:r>
        <w:t xml:space="preserve"> </w:t>
      </w:r>
      <w:hyperlink r:id="rId1329">
        <w:r>
          <w:rPr>
            <w:rStyle w:val="Hyperlink"/>
          </w:rPr>
          <w:t xml:space="preserve">https://raw.githubusercontent.com/huggingface/hub-docs/main/docs/hub/security-sso.md</w:t>
        </w:r>
      </w:hyperlink>
      <w:r>
        <w:t xml:space="preserve"> </w:t>
      </w:r>
      <w:r>
        <w:t xml:space="preserve">accessed 2026-10-07; A4-S081: About Inference Endpoints (Hugging Face)</w:t>
      </w:r>
      <w:r>
        <w:t xml:space="preserve"> </w:t>
      </w:r>
      <w:hyperlink r:id="rId1265">
        <w:r>
          <w:rPr>
            <w:rStyle w:val="Hyperlink"/>
          </w:rPr>
          <w:t xml:space="preserve">https://raw.githubusercontent.com/huggingface/hf-endpoints-documentation/main/docs/source/about.md</w:t>
        </w:r>
      </w:hyperlink>
      <w:r>
        <w:t xml:space="preserve"> </w:t>
      </w:r>
      <w:r>
        <w:t xml:space="preserve">accessed 2026-10-07; A4-S082: Inference Endpoints Security &amp; Compliance (Hugging Face)</w:t>
      </w:r>
      <w:r>
        <w:t xml:space="preserve"> </w:t>
      </w:r>
      <w:hyperlink r:id="rId1333">
        <w:r>
          <w:rPr>
            <w:rStyle w:val="Hyperlink"/>
          </w:rPr>
          <w:t xml:space="preserve">https://raw.githubusercontent.com/huggingface/hf-endpoints-documentation/main/docs/source/guides/security.md</w:t>
        </w:r>
      </w:hyperlink>
      <w:r>
        <w:t xml:space="preserve"> </w:t>
      </w:r>
      <w:r>
        <w:t xml:space="preserve">accessed 2026-10-07; V1-S054: GitHub repository metadata: huggingface/text-generation-inference (archived) (GitHub (via GitHub MCP search_repositories))</w:t>
      </w:r>
      <w:r>
        <w:t xml:space="preserve"> </w:t>
      </w:r>
      <w:hyperlink r:id="rId1339">
        <w:r>
          <w:rPr>
            <w:rStyle w:val="Hyperlink"/>
          </w:rPr>
          <w:t xml:space="preserve">https://api.github.com/repos/huggingface/text-generation-inference</w:t>
        </w:r>
      </w:hyperlink>
      <w:r>
        <w:t xml:space="preserve"> </w:t>
      </w:r>
      <w:r>
        <w:t xml:space="preserve">accessed 2026-10-08 [search-tool extract]</w:t>
      </w:r>
    </w:p>
  </w:footnote>
  <w:footnote w:id="1344">
    <w:p>
      <w:pPr>
        <w:pStyle w:val="FootnoteText"/>
      </w:pPr>
      <w:r>
        <w:rPr>
          <w:rStyle w:val="FootnoteReference"/>
        </w:rPr>
        <w:footnoteRef/>
      </w:r>
      <w:r>
        <w:t xml:space="preserve"> </w:t>
      </w:r>
      <w:r>
        <w:t xml:space="preserve">Verified fact — A4-S075: Hugging Face Inference Providers</w:t>
      </w:r>
      <w:r>
        <w:t xml:space="preserve"> </w:t>
      </w:r>
      <w:hyperlink r:id="rId1292">
        <w:r>
          <w:rPr>
            <w:rStyle w:val="Hyperlink"/>
          </w:rPr>
          <w:t xml:space="preserve">https://raw.githubusercontent.com/huggingface/hub-docs/main/docs/inference-providers/index.md</w:t>
        </w:r>
      </w:hyperlink>
      <w:r>
        <w:t xml:space="preserve"> </w:t>
      </w:r>
      <w:r>
        <w:t xml:space="preserve">accessed 2026-10-07; A4-S080: Hugging Face Single Sign-On (SSO)</w:t>
      </w:r>
      <w:r>
        <w:t xml:space="preserve"> </w:t>
      </w:r>
      <w:hyperlink r:id="rId1329">
        <w:r>
          <w:rPr>
            <w:rStyle w:val="Hyperlink"/>
          </w:rPr>
          <w:t xml:space="preserve">https://raw.githubusercontent.com/huggingface/hub-docs/main/docs/hub/security-sso.md</w:t>
        </w:r>
      </w:hyperlink>
      <w:r>
        <w:t xml:space="preserve"> </w:t>
      </w:r>
      <w:r>
        <w:t xml:space="preserve">accessed 2026-10-07</w:t>
      </w:r>
    </w:p>
  </w:footnote>
  <w:footnote w:id="1345">
    <w:p>
      <w:pPr>
        <w:pStyle w:val="FootnoteText"/>
      </w:pPr>
      <w:r>
        <w:rPr>
          <w:rStyle w:val="FootnoteReference"/>
        </w:rPr>
        <w:footnoteRef/>
      </w:r>
      <w:r>
        <w:t xml:space="preserve"> </w:t>
      </w:r>
      <w:r>
        <w:t xml:space="preserve">Verified fact — A4-S081: About Inference Endpoints (Hugging Face)</w:t>
      </w:r>
      <w:r>
        <w:t xml:space="preserve"> </w:t>
      </w:r>
      <w:hyperlink r:id="rId1265">
        <w:r>
          <w:rPr>
            <w:rStyle w:val="Hyperlink"/>
          </w:rPr>
          <w:t xml:space="preserve">https://raw.githubusercontent.com/huggingface/hf-endpoints-documentation/main/docs/source/about.md</w:t>
        </w:r>
      </w:hyperlink>
      <w:r>
        <w:t xml:space="preserve"> </w:t>
      </w:r>
      <w:r>
        <w:t xml:space="preserve">accessed 2026-10-07; A4-S083: Inference Endpoints Pricing (Hugging Face)</w:t>
      </w:r>
      <w:r>
        <w:t xml:space="preserve"> </w:t>
      </w:r>
      <w:hyperlink r:id="rId1335">
        <w:r>
          <w:rPr>
            <w:rStyle w:val="Hyperlink"/>
          </w:rPr>
          <w:t xml:space="preserve">https://raw.githubusercontent.com/huggingface/hf-endpoints-documentation/main/docs/source/support/pricing.md</w:t>
        </w:r>
      </w:hyperlink>
      <w:r>
        <w:t xml:space="preserve"> </w:t>
      </w:r>
      <w:r>
        <w:t xml:space="preserve">accessed 2026-10-07</w:t>
      </w:r>
    </w:p>
  </w:footnote>
  <w:footnote w:id="1346">
    <w:p>
      <w:pPr>
        <w:pStyle w:val="FootnoteText"/>
      </w:pPr>
      <w:r>
        <w:rPr>
          <w:rStyle w:val="FootnoteReference"/>
        </w:rPr>
        <w:footnoteRef/>
      </w:r>
      <w:r>
        <w:t xml:space="preserve"> </w:t>
      </w:r>
      <w:r>
        <w:t xml:space="preserve">Verified fact — A4-S076: Inference Providers Pricing and Billing (Hugging Face)</w:t>
      </w:r>
      <w:r>
        <w:t xml:space="preserve"> </w:t>
      </w:r>
      <w:hyperlink r:id="rId1341">
        <w:r>
          <w:rPr>
            <w:rStyle w:val="Hyperlink"/>
          </w:rPr>
          <w:t xml:space="preserve">https://raw.githubusercontent.com/huggingface/hub-docs/main/docs/inference-providers/pricing.md</w:t>
        </w:r>
      </w:hyperlink>
      <w:r>
        <w:t xml:space="preserve"> </w:t>
      </w:r>
      <w:r>
        <w:t xml:space="preserve">accessed 2026-10-07</w:t>
      </w:r>
    </w:p>
  </w:footnote>
  <w:footnote w:id="1347">
    <w:p>
      <w:pPr>
        <w:pStyle w:val="FootnoteText"/>
      </w:pPr>
      <w:r>
        <w:rPr>
          <w:rStyle w:val="FootnoteReference"/>
        </w:rPr>
        <w:footnoteRef/>
      </w:r>
      <w:r>
        <w:t xml:space="preserve"> </w:t>
      </w:r>
      <w:r>
        <w:t xml:space="preserve">Verified fact — V1-S054: GitHub repository metadata: huggingface/text-generation-inference (archived) (GitHub (via GitHub MCP search_repositories))</w:t>
      </w:r>
      <w:r>
        <w:t xml:space="preserve"> </w:t>
      </w:r>
      <w:hyperlink r:id="rId1339">
        <w:r>
          <w:rPr>
            <w:rStyle w:val="Hyperlink"/>
          </w:rPr>
          <w:t xml:space="preserve">https://api.github.com/repos/huggingface/text-generation-inference</w:t>
        </w:r>
      </w:hyperlink>
      <w:r>
        <w:t xml:space="preserve"> </w:t>
      </w:r>
      <w:r>
        <w:t xml:space="preserve">accessed 2026-10-08 [search-tool extract]</w:t>
      </w:r>
    </w:p>
  </w:footnote>
  <w:footnote w:id="1348">
    <w:p>
      <w:pPr>
        <w:pStyle w:val="FootnoteText"/>
      </w:pPr>
      <w:r>
        <w:rPr>
          <w:rStyle w:val="FootnoteReference"/>
        </w:rPr>
        <w:footnoteRef/>
      </w:r>
      <w:r>
        <w:t xml:space="preserve"> </w:t>
      </w:r>
      <w:r>
        <w:t xml:space="preserve">Verified fact — A4-S077: Inference Providers Security &amp; Compliance (Hugging Face)</w:t>
      </w:r>
      <w:r>
        <w:t xml:space="preserve"> </w:t>
      </w:r>
      <w:hyperlink r:id="rId1349">
        <w:r>
          <w:rPr>
            <w:rStyle w:val="Hyperlink"/>
          </w:rPr>
          <w:t xml:space="preserve">https://raw.githubusercontent.com/huggingface/hub-docs/main/docs/inference-providers/security.md</w:t>
        </w:r>
      </w:hyperlink>
      <w:r>
        <w:t xml:space="preserve"> </w:t>
      </w:r>
      <w:r>
        <w:t xml:space="preserve">accessed 2026-10-07</w:t>
      </w:r>
    </w:p>
  </w:footnote>
  <w:footnote w:id="1350">
    <w:p>
      <w:pPr>
        <w:pStyle w:val="FootnoteText"/>
      </w:pPr>
      <w:r>
        <w:rPr>
          <w:rStyle w:val="FootnoteReference"/>
        </w:rPr>
        <w:footnoteRef/>
      </w:r>
      <w:r>
        <w:t xml:space="preserve"> </w:t>
      </w:r>
      <w:r>
        <w:t xml:space="preserve">Verified fact — V1-S097: Inference Endpoints Security &amp; Compliance; SOC 2/ISO 27001 compliance guide; Hub security (Hugging Face)</w:t>
      </w:r>
      <w:r>
        <w:t xml:space="preserve"> </w:t>
      </w:r>
      <w:hyperlink r:id="rId1351">
        <w:r>
          <w:rPr>
            <w:rStyle w:val="Hyperlink"/>
          </w:rPr>
          <w:t xml:space="preserve">https://huggingface.co/docs/inference-endpoints/en/security</w:t>
        </w:r>
      </w:hyperlink>
      <w:r>
        <w:t xml:space="preserve"> </w:t>
      </w:r>
      <w:r>
        <w:t xml:space="preserve">accessed 2026-10-08 [search-tool extract]</w:t>
      </w:r>
    </w:p>
  </w:footnote>
  <w:footnote w:id="1353">
    <w:p>
      <w:pPr>
        <w:pStyle w:val="FootnoteText"/>
      </w:pPr>
      <w:r>
        <w:rPr>
          <w:rStyle w:val="FootnoteReference"/>
        </w:rPr>
        <w:footnoteRef/>
      </w:r>
      <w:r>
        <w:t xml:space="preserve"> </w:t>
      </w:r>
      <w:r>
        <w:t xml:space="preserve">Verified fact — A4-S131: Pricing - Together AI docs (serverless, dedicated endpoints, GPU clusters)</w:t>
      </w:r>
      <w:r>
        <w:t xml:space="preserve"> </w:t>
      </w:r>
      <w:hyperlink r:id="rId1354">
        <w:r>
          <w:rPr>
            <w:rStyle w:val="Hyperlink"/>
          </w:rPr>
          <w:t xml:space="preserve">https://docs.together.ai/docs/inference/pricing</w:t>
        </w:r>
      </w:hyperlink>
      <w:r>
        <w:t xml:space="preserve"> </w:t>
      </w:r>
      <w:r>
        <w:t xml:space="preserve">accessed 2026-10-07 [search-tool extract]</w:t>
      </w:r>
    </w:p>
  </w:footnote>
  <w:footnote w:id="1355">
    <w:p>
      <w:pPr>
        <w:pStyle w:val="FootnoteText"/>
      </w:pPr>
      <w:r>
        <w:rPr>
          <w:rStyle w:val="FootnoteReference"/>
        </w:rPr>
        <w:footnoteRef/>
      </w:r>
      <w:r>
        <w:t xml:space="preserve"> </w:t>
      </w:r>
      <w:r>
        <w:t xml:space="preserve">Verified fact — A4-S151: Single sign-on (SSO) and Roles &amp; permissions (RBAC) - Together AI docs</w:t>
      </w:r>
      <w:r>
        <w:t xml:space="preserve"> </w:t>
      </w:r>
      <w:hyperlink r:id="rId1356">
        <w:r>
          <w:rPr>
            <w:rStyle w:val="Hyperlink"/>
          </w:rPr>
          <w:t xml:space="preserve">https://docs.together.ai/docs/sso</w:t>
        </w:r>
      </w:hyperlink>
      <w:r>
        <w:t xml:space="preserve"> </w:t>
      </w:r>
      <w:r>
        <w:t xml:space="preserve">accessed 2026-10-07 [search-tool extract]</w:t>
      </w:r>
    </w:p>
  </w:footnote>
  <w:footnote w:id="1357">
    <w:p>
      <w:pPr>
        <w:pStyle w:val="FootnoteText"/>
      </w:pPr>
      <w:r>
        <w:rPr>
          <w:rStyle w:val="FootnoteReference"/>
        </w:rPr>
        <w:footnoteRef/>
      </w:r>
      <w:r>
        <w:t xml:space="preserve"> </w:t>
      </w:r>
      <w:r>
        <w:t xml:space="preserve">Verified fact — A4-S129: Powering Secure AI: Together AI Achieves SOC 2 Type 2 Compliance (and product pages)</w:t>
      </w:r>
      <w:r>
        <w:t xml:space="preserve"> </w:t>
      </w:r>
      <w:hyperlink r:id="rId1358">
        <w:r>
          <w:rPr>
            <w:rStyle w:val="Hyperlink"/>
          </w:rPr>
          <w:t xml:space="preserve">https://www.together.ai/blog/soc-2-compliance</w:t>
        </w:r>
      </w:hyperlink>
      <w:r>
        <w:t xml:space="preserve"> </w:t>
      </w:r>
      <w:r>
        <w:t xml:space="preserve">accessed 2026-10-07 [search-tool extract]; V1-S079: Together AI Trust Center; ISO 27001:2022 certification blog; SOC 2 Type 2 blog</w:t>
      </w:r>
      <w:r>
        <w:t xml:space="preserve"> </w:t>
      </w:r>
      <w:hyperlink r:id="rId1359">
        <w:r>
          <w:rPr>
            <w:rStyle w:val="Hyperlink"/>
          </w:rPr>
          <w:t xml:space="preserve">https://trust.together.ai/</w:t>
        </w:r>
      </w:hyperlink>
      <w:r>
        <w:t xml:space="preserve"> </w:t>
      </w:r>
      <w:r>
        <w:t xml:space="preserve">accessed 2026-10-08 [search-tool extract]</w:t>
      </w:r>
    </w:p>
  </w:footnote>
  <w:footnote w:id="1360">
    <w:p>
      <w:pPr>
        <w:pStyle w:val="FootnoteText"/>
      </w:pPr>
      <w:r>
        <w:rPr>
          <w:rStyle w:val="FootnoteReference"/>
        </w:rPr>
        <w:footnoteRef/>
      </w:r>
      <w:r>
        <w:t xml:space="preserve"> </w:t>
      </w:r>
      <w:r>
        <w:t xml:space="preserve">Verified fact — A4-S130: Zero data retention / Privacy and security - Together AI docs (and EU data centers support article)</w:t>
      </w:r>
      <w:r>
        <w:t xml:space="preserve"> </w:t>
      </w:r>
      <w:hyperlink r:id="rId1361">
        <w:r>
          <w:rPr>
            <w:rStyle w:val="Hyperlink"/>
          </w:rPr>
          <w:t xml:space="preserve">https://docs.together.ai/docs/zero-data-retention</w:t>
        </w:r>
      </w:hyperlink>
      <w:r>
        <w:t xml:space="preserve"> </w:t>
      </w:r>
      <w:r>
        <w:t xml:space="preserve">accessed 2026-10-07 [search-tool extract]; A4-S131: Pricing - Together AI docs (serverless, dedicated endpoints, GPU clusters)</w:t>
      </w:r>
      <w:r>
        <w:t xml:space="preserve"> </w:t>
      </w:r>
      <w:hyperlink r:id="rId1354">
        <w:r>
          <w:rPr>
            <w:rStyle w:val="Hyperlink"/>
          </w:rPr>
          <w:t xml:space="preserve">https://docs.together.ai/docs/inference/pricing</w:t>
        </w:r>
      </w:hyperlink>
      <w:r>
        <w:t xml:space="preserve"> </w:t>
      </w:r>
      <w:r>
        <w:t xml:space="preserve">accessed 2026-10-07 [search-tool extract]</w:t>
      </w:r>
    </w:p>
  </w:footnote>
  <w:footnote w:id="1362">
    <w:p>
      <w:pPr>
        <w:pStyle w:val="FootnoteText"/>
      </w:pPr>
      <w:r>
        <w:rPr>
          <w:rStyle w:val="FootnoteReference"/>
        </w:rPr>
        <w:footnoteRef/>
      </w:r>
      <w:r>
        <w:t xml:space="preserve"> </w:t>
      </w:r>
      <w:r>
        <w:t xml:space="preserve">Verified fact — A4-S075: Hugging Face Inference Providers</w:t>
      </w:r>
      <w:r>
        <w:t xml:space="preserve"> </w:t>
      </w:r>
      <w:hyperlink r:id="rId1292">
        <w:r>
          <w:rPr>
            <w:rStyle w:val="Hyperlink"/>
          </w:rPr>
          <w:t xml:space="preserve">https://raw.githubusercontent.com/huggingface/hub-docs/main/docs/inference-providers/index.md</w:t>
        </w:r>
      </w:hyperlink>
      <w:r>
        <w:t xml:space="preserve"> </w:t>
      </w:r>
      <w:r>
        <w:t xml:space="preserve">accessed 2026-10-07; A4-S132: Together AI Raises $800 Million at $8.3 Billion Valuation (press release, 1 Jul 2026; TechCrunch coverage) (Together AI (Business Wire))</w:t>
      </w:r>
      <w:r>
        <w:t xml:space="preserve"> </w:t>
      </w:r>
      <w:hyperlink r:id="rId1363">
        <w:r>
          <w:rPr>
            <w:rStyle w:val="Hyperlink"/>
          </w:rPr>
          <w:t xml:space="preserve">https://www.businesswire.com/news/home/20260701243402/en/Together-AI-Raises-00-Million-at-.3-Billion-Valuation-to-Make-Frontier-AI-Accessible-to-All</w:t>
        </w:r>
      </w:hyperlink>
      <w:r>
        <w:t xml:space="preserve"> </w:t>
      </w:r>
      <w:r>
        <w:t xml:space="preserve">accessed 2026-10-07 [search-tool extract]</w:t>
      </w:r>
    </w:p>
  </w:footnote>
  <w:footnote w:id="1364">
    <w:p>
      <w:pPr>
        <w:pStyle w:val="FootnoteText"/>
      </w:pPr>
      <w:r>
        <w:rPr>
          <w:rStyle w:val="FootnoteReference"/>
        </w:rPr>
        <w:footnoteRef/>
      </w:r>
      <w:r>
        <w:t xml:space="preserve"> </w:t>
      </w:r>
      <w:r>
        <w:t xml:space="preserve">Verified fact — A4-S131: Pricing - Together AI docs (serverless, dedicated endpoints, GPU clusters)</w:t>
      </w:r>
      <w:r>
        <w:t xml:space="preserve"> </w:t>
      </w:r>
      <w:hyperlink r:id="rId1354">
        <w:r>
          <w:rPr>
            <w:rStyle w:val="Hyperlink"/>
          </w:rPr>
          <w:t xml:space="preserve">https://docs.together.ai/docs/inference/pricing</w:t>
        </w:r>
      </w:hyperlink>
      <w:r>
        <w:t xml:space="preserve"> </w:t>
      </w:r>
      <w:r>
        <w:t xml:space="preserve">accessed 2026-10-07 [search-tool extract]; A4-S151: Single sign-on (SSO) and Roles &amp; permissions (RBAC) - Together AI docs</w:t>
      </w:r>
      <w:r>
        <w:t xml:space="preserve"> </w:t>
      </w:r>
      <w:hyperlink r:id="rId1356">
        <w:r>
          <w:rPr>
            <w:rStyle w:val="Hyperlink"/>
          </w:rPr>
          <w:t xml:space="preserve">https://docs.together.ai/docs/sso</w:t>
        </w:r>
      </w:hyperlink>
      <w:r>
        <w:t xml:space="preserve"> </w:t>
      </w:r>
      <w:r>
        <w:t xml:space="preserve">accessed 2026-10-07 [search-tool extract]</w:t>
      </w:r>
    </w:p>
  </w:footnote>
  <w:footnote w:id="1365">
    <w:p>
      <w:pPr>
        <w:pStyle w:val="FootnoteText"/>
      </w:pPr>
      <w:r>
        <w:rPr>
          <w:rStyle w:val="FootnoteReference"/>
        </w:rPr>
        <w:footnoteRef/>
      </w:r>
      <w:r>
        <w:t xml:space="preserve"> </w:t>
      </w:r>
      <w:r>
        <w:t xml:space="preserve">Verified fact — A4-S131: Pricing - Together AI docs (serverless, dedicated endpoints, GPU clusters)</w:t>
      </w:r>
      <w:r>
        <w:t xml:space="preserve"> </w:t>
      </w:r>
      <w:hyperlink r:id="rId1354">
        <w:r>
          <w:rPr>
            <w:rStyle w:val="Hyperlink"/>
          </w:rPr>
          <w:t xml:space="preserve">https://docs.together.ai/docs/inference/pricing</w:t>
        </w:r>
      </w:hyperlink>
      <w:r>
        <w:t xml:space="preserve"> </w:t>
      </w:r>
      <w:r>
        <w:t xml:space="preserve">accessed 2026-10-07 [search-tool extract]</w:t>
      </w:r>
    </w:p>
  </w:footnote>
  <w:footnote w:id="1366">
    <w:p>
      <w:pPr>
        <w:pStyle w:val="FootnoteText"/>
      </w:pPr>
      <w:r>
        <w:rPr>
          <w:rStyle w:val="FootnoteReference"/>
        </w:rPr>
        <w:footnoteRef/>
      </w:r>
      <w:r>
        <w:t xml:space="preserve"> </w:t>
      </w:r>
      <w:r>
        <w:t xml:space="preserve">Verified fact — A4-S131: Pricing - Together AI docs (serverless, dedicated endpoints, GPU clusters)</w:t>
      </w:r>
      <w:r>
        <w:t xml:space="preserve"> </w:t>
      </w:r>
      <w:hyperlink r:id="rId1354">
        <w:r>
          <w:rPr>
            <w:rStyle w:val="Hyperlink"/>
          </w:rPr>
          <w:t xml:space="preserve">https://docs.together.ai/docs/inference/pricing</w:t>
        </w:r>
      </w:hyperlink>
      <w:r>
        <w:t xml:space="preserve"> </w:t>
      </w:r>
      <w:r>
        <w:t xml:space="preserve">accessed 2026-10-07 [search-tool extract]</w:t>
      </w:r>
    </w:p>
  </w:footnote>
  <w:footnote w:id="1367">
    <w:p>
      <w:pPr>
        <w:pStyle w:val="FootnoteText"/>
      </w:pPr>
      <w:r>
        <w:rPr>
          <w:rStyle w:val="FootnoteReference"/>
        </w:rPr>
        <w:footnoteRef/>
      </w:r>
      <w:r>
        <w:t xml:space="preserve"> </w:t>
      </w:r>
      <w:r>
        <w:t xml:space="preserve">Verified fact — A4-S131: Pricing - Together AI docs (serverless, dedicated endpoints, GPU clusters)</w:t>
      </w:r>
      <w:r>
        <w:t xml:space="preserve"> </w:t>
      </w:r>
      <w:hyperlink r:id="rId1354">
        <w:r>
          <w:rPr>
            <w:rStyle w:val="Hyperlink"/>
          </w:rPr>
          <w:t xml:space="preserve">https://docs.together.ai/docs/inference/pricing</w:t>
        </w:r>
      </w:hyperlink>
      <w:r>
        <w:t xml:space="preserve"> </w:t>
      </w:r>
      <w:r>
        <w:t xml:space="preserve">accessed 2026-10-07 [search-tool extract]; A4-S129: Powering Secure AI: Together AI Achieves SOC 2 Type 2 Compliance (and product pages)</w:t>
      </w:r>
      <w:r>
        <w:t xml:space="preserve"> </w:t>
      </w:r>
      <w:hyperlink r:id="rId1358">
        <w:r>
          <w:rPr>
            <w:rStyle w:val="Hyperlink"/>
          </w:rPr>
          <w:t xml:space="preserve">https://www.together.ai/blog/soc-2-compliance</w:t>
        </w:r>
      </w:hyperlink>
      <w:r>
        <w:t xml:space="preserve"> </w:t>
      </w:r>
      <w:r>
        <w:t xml:space="preserve">accessed 2026-10-07 [search-tool extract]; A4-S130: Zero data retention / Privacy and security - Together AI docs (and EU data centers support article)</w:t>
      </w:r>
      <w:r>
        <w:t xml:space="preserve"> </w:t>
      </w:r>
      <w:hyperlink r:id="rId1361">
        <w:r>
          <w:rPr>
            <w:rStyle w:val="Hyperlink"/>
          </w:rPr>
          <w:t xml:space="preserve">https://docs.together.ai/docs/zero-data-retention</w:t>
        </w:r>
      </w:hyperlink>
      <w:r>
        <w:t xml:space="preserve"> </w:t>
      </w:r>
      <w:r>
        <w:t xml:space="preserve">accessed 2026-10-07 [search-tool extract]; V1-S079: Together AI Trust Center; ISO 27001:2022 certification blog; SOC 2 Type 2 blog</w:t>
      </w:r>
      <w:r>
        <w:t xml:space="preserve"> </w:t>
      </w:r>
      <w:hyperlink r:id="rId1359">
        <w:r>
          <w:rPr>
            <w:rStyle w:val="Hyperlink"/>
          </w:rPr>
          <w:t xml:space="preserve">https://trust.together.ai/</w:t>
        </w:r>
      </w:hyperlink>
      <w:r>
        <w:t xml:space="preserve"> </w:t>
      </w:r>
      <w:r>
        <w:t xml:space="preserve">accessed 2026-10-08 [search-tool extract]; V1-S057: Together AI Raises $800 Million at $8.3 Billion Valuation (Together AI (Business Wire))</w:t>
      </w:r>
      <w:r>
        <w:t xml:space="preserve"> </w:t>
      </w:r>
      <w:hyperlink r:id="rId1368">
        <w:r>
          <w:rPr>
            <w:rStyle w:val="Hyperlink"/>
          </w:rPr>
          <w:t xml:space="preserve">https://www.businesswire.com/news/home/20260701243402/en/Together-AI-Raises-$800-Million-at-$8.3-Billion-Valuation-to-Make-Frontier-AI-Accessible-to-All</w:t>
        </w:r>
      </w:hyperlink>
      <w:r>
        <w:t xml:space="preserve"> </w:t>
      </w:r>
      <w:r>
        <w:t xml:space="preserve">accessed 2026-10-08 [search-tool extract]</w:t>
      </w:r>
    </w:p>
  </w:footnote>
  <w:footnote w:id="1369">
    <w:p>
      <w:pPr>
        <w:pStyle w:val="FootnoteText"/>
      </w:pPr>
      <w:r>
        <w:rPr>
          <w:rStyle w:val="FootnoteReference"/>
        </w:rPr>
        <w:footnoteRef/>
      </w:r>
      <w:r>
        <w:t xml:space="preserve"> </w:t>
      </w:r>
      <w:r>
        <w:t xml:space="preserve">Verified fact — A4-S131: Pricing - Together AI docs (serverless, dedicated endpoints, GPU clusters)</w:t>
      </w:r>
      <w:r>
        <w:t xml:space="preserve"> </w:t>
      </w:r>
      <w:hyperlink r:id="rId1354">
        <w:r>
          <w:rPr>
            <w:rStyle w:val="Hyperlink"/>
          </w:rPr>
          <w:t xml:space="preserve">https://docs.together.ai/docs/inference/pricing</w:t>
        </w:r>
      </w:hyperlink>
      <w:r>
        <w:t xml:space="preserve"> </w:t>
      </w:r>
      <w:r>
        <w:t xml:space="preserve">accessed 2026-10-07 [search-tool extract]</w:t>
      </w:r>
    </w:p>
  </w:footnote>
  <w:footnote w:id="1370">
    <w:p>
      <w:pPr>
        <w:pStyle w:val="FootnoteText"/>
      </w:pPr>
      <w:r>
        <w:rPr>
          <w:rStyle w:val="FootnoteReference"/>
        </w:rPr>
        <w:footnoteRef/>
      </w:r>
      <w:r>
        <w:t xml:space="preserve"> </w:t>
      </w:r>
      <w:r>
        <w:t xml:space="preserve">Verified fact — A4-S130: Zero data retention / Privacy and security - Together AI docs (and EU data centers support article)</w:t>
      </w:r>
      <w:r>
        <w:t xml:space="preserve"> </w:t>
      </w:r>
      <w:hyperlink r:id="rId1361">
        <w:r>
          <w:rPr>
            <w:rStyle w:val="Hyperlink"/>
          </w:rPr>
          <w:t xml:space="preserve">https://docs.together.ai/docs/zero-data-retention</w:t>
        </w:r>
      </w:hyperlink>
      <w:r>
        <w:t xml:space="preserve"> </w:t>
      </w:r>
      <w:r>
        <w:t xml:space="preserve">accessed 2026-10-07 [search-tool extract]</w:t>
      </w:r>
    </w:p>
  </w:footnote>
  <w:footnote w:id="1371">
    <w:p>
      <w:pPr>
        <w:pStyle w:val="FootnoteText"/>
      </w:pPr>
      <w:r>
        <w:rPr>
          <w:rStyle w:val="FootnoteReference"/>
        </w:rPr>
        <w:footnoteRef/>
      </w:r>
      <w:r>
        <w:t xml:space="preserve"> </w:t>
      </w:r>
      <w:r>
        <w:t xml:space="preserve">Verified fact — A4-S130: Zero data retention / Privacy and security - Together AI docs (and EU data centers support article)</w:t>
      </w:r>
      <w:r>
        <w:t xml:space="preserve"> </w:t>
      </w:r>
      <w:hyperlink r:id="rId1361">
        <w:r>
          <w:rPr>
            <w:rStyle w:val="Hyperlink"/>
          </w:rPr>
          <w:t xml:space="preserve">https://docs.together.ai/docs/zero-data-retention</w:t>
        </w:r>
      </w:hyperlink>
      <w:r>
        <w:t xml:space="preserve"> </w:t>
      </w:r>
      <w:r>
        <w:t xml:space="preserve">accessed 2026-10-07 [search-tool extract]</w:t>
      </w:r>
    </w:p>
  </w:footnote>
  <w:footnote w:id="1372">
    <w:p>
      <w:pPr>
        <w:pStyle w:val="FootnoteText"/>
      </w:pPr>
      <w:r>
        <w:rPr>
          <w:rStyle w:val="FootnoteReference"/>
        </w:rPr>
        <w:footnoteRef/>
      </w:r>
      <w:r>
        <w:t xml:space="preserve"> </w:t>
      </w:r>
      <w:r>
        <w:t xml:space="preserve">Verified fact — A4-S130: Zero data retention / Privacy and security - Together AI docs (and EU data centers support article)</w:t>
      </w:r>
      <w:r>
        <w:t xml:space="preserve"> </w:t>
      </w:r>
      <w:hyperlink r:id="rId1361">
        <w:r>
          <w:rPr>
            <w:rStyle w:val="Hyperlink"/>
          </w:rPr>
          <w:t xml:space="preserve">https://docs.together.ai/docs/zero-data-retention</w:t>
        </w:r>
      </w:hyperlink>
      <w:r>
        <w:t xml:space="preserve"> </w:t>
      </w:r>
      <w:r>
        <w:t xml:space="preserve">accessed 2026-10-07 [search-tool extract]</w:t>
      </w:r>
    </w:p>
  </w:footnote>
  <w:footnote w:id="1373">
    <w:p>
      <w:pPr>
        <w:pStyle w:val="FootnoteText"/>
      </w:pPr>
      <w:r>
        <w:rPr>
          <w:rStyle w:val="FootnoteReference"/>
        </w:rPr>
        <w:footnoteRef/>
      </w:r>
      <w:r>
        <w:t xml:space="preserve"> </w:t>
      </w:r>
      <w:r>
        <w:t xml:space="preserve">Verified fact — A4-S151: Single sign-on (SSO) and Roles &amp; permissions (RBAC) - Together AI docs</w:t>
      </w:r>
      <w:r>
        <w:t xml:space="preserve"> </w:t>
      </w:r>
      <w:hyperlink r:id="rId1356">
        <w:r>
          <w:rPr>
            <w:rStyle w:val="Hyperlink"/>
          </w:rPr>
          <w:t xml:space="preserve">https://docs.together.ai/docs/sso</w:t>
        </w:r>
      </w:hyperlink>
      <w:r>
        <w:t xml:space="preserve"> </w:t>
      </w:r>
      <w:r>
        <w:t xml:space="preserve">accessed 2026-10-07 [search-tool extract]</w:t>
      </w:r>
    </w:p>
  </w:footnote>
  <w:footnote w:id="1374">
    <w:p>
      <w:pPr>
        <w:pStyle w:val="FootnoteText"/>
      </w:pPr>
      <w:r>
        <w:rPr>
          <w:rStyle w:val="FootnoteReference"/>
        </w:rPr>
        <w:footnoteRef/>
      </w:r>
      <w:r>
        <w:t xml:space="preserve"> </w:t>
      </w:r>
      <w:r>
        <w:t xml:space="preserve">Verified fact — V1-S079: Together AI Trust Center; ISO 27001:2022 certification blog; SOC 2 Type 2 blog</w:t>
      </w:r>
      <w:r>
        <w:t xml:space="preserve"> </w:t>
      </w:r>
      <w:hyperlink r:id="rId1359">
        <w:r>
          <w:rPr>
            <w:rStyle w:val="Hyperlink"/>
          </w:rPr>
          <w:t xml:space="preserve">https://trust.together.ai/</w:t>
        </w:r>
      </w:hyperlink>
      <w:r>
        <w:t xml:space="preserve"> </w:t>
      </w:r>
      <w:r>
        <w:t xml:space="preserve">accessed 2026-10-08 [search-tool extract]</w:t>
      </w:r>
    </w:p>
  </w:footnote>
  <w:footnote w:id="1376">
    <w:p>
      <w:pPr>
        <w:pStyle w:val="FootnoteText"/>
      </w:pPr>
      <w:r>
        <w:rPr>
          <w:rStyle w:val="FootnoteReference"/>
        </w:rPr>
        <w:footnoteRef/>
      </w:r>
      <w:r>
        <w:t xml:space="preserve"> </w:t>
      </w:r>
      <w:r>
        <w:t xml:space="preserve">Verified fact — A4-S089: llm-d README (GitHub) (llm-d project)</w:t>
      </w:r>
      <w:r>
        <w:t xml:space="preserve"> </w:t>
      </w:r>
      <w:hyperlink r:id="rId1277">
        <w:r>
          <w:rPr>
            <w:rStyle w:val="Hyperlink"/>
          </w:rPr>
          <w:t xml:space="preserve">https://raw.githubusercontent.com/llm-d/llm-d/main/README.md</w:t>
        </w:r>
      </w:hyperlink>
      <w:r>
        <w:t xml:space="preserve"> </w:t>
      </w:r>
      <w:r>
        <w:t xml:space="preserve">accessed 2026-10-07</w:t>
      </w:r>
    </w:p>
  </w:footnote>
  <w:footnote w:id="1377">
    <w:p>
      <w:pPr>
        <w:pStyle w:val="FootnoteText"/>
      </w:pPr>
      <w:r>
        <w:rPr>
          <w:rStyle w:val="FootnoteReference"/>
        </w:rPr>
        <w:footnoteRef/>
      </w:r>
      <w:r>
        <w:t xml:space="preserve"> </w:t>
      </w:r>
      <w:r>
        <w:t xml:space="preserve">Verified fact — B-L2-S002: Supported platforms for Distributed Inference with llm-d (Red Hat AI 3)</w:t>
      </w:r>
      <w:r>
        <w:t xml:space="preserve"> </w:t>
      </w:r>
      <w:hyperlink r:id="rId1378">
        <w:r>
          <w:rPr>
            <w:rStyle w:val="Hyperlink"/>
          </w:rPr>
          <w:t xml:space="preserve">https://docs.redhat.com/en/documentation/red_hat_ai/3/html/supported_product_and_hardware_configurations/llmd-supported-platforms_supported-configurations</w:t>
        </w:r>
      </w:hyperlink>
      <w:r>
        <w:t xml:space="preserve"> </w:t>
      </w:r>
      <w:r>
        <w:t xml:space="preserve">accessed 2026-10-08 [search-tool extract]</w:t>
      </w:r>
    </w:p>
  </w:footnote>
  <w:footnote w:id="1379">
    <w:p>
      <w:pPr>
        <w:pStyle w:val="FootnoteText"/>
      </w:pPr>
      <w:r>
        <w:rPr>
          <w:rStyle w:val="FootnoteReference"/>
        </w:rPr>
        <w:footnoteRef/>
      </w:r>
      <w:r>
        <w:t xml:space="preserve"> </w:t>
      </w:r>
      <w:r>
        <w:t xml:space="preserve">Verified fact — A4-S089: llm-d README (GitHub) (llm-d project)</w:t>
      </w:r>
      <w:r>
        <w:t xml:space="preserve"> </w:t>
      </w:r>
      <w:hyperlink r:id="rId1277">
        <w:r>
          <w:rPr>
            <w:rStyle w:val="Hyperlink"/>
          </w:rPr>
          <w:t xml:space="preserve">https://raw.githubusercontent.com/llm-d/llm-d/main/README.md</w:t>
        </w:r>
      </w:hyperlink>
      <w:r>
        <w:t xml:space="preserve"> </w:t>
      </w:r>
      <w:r>
        <w:t xml:space="preserve">accessed 2026-10-07</w:t>
      </w:r>
    </w:p>
  </w:footnote>
  <w:footnote w:id="1380">
    <w:p>
      <w:pPr>
        <w:pStyle w:val="FootnoteText"/>
      </w:pPr>
      <w:r>
        <w:rPr>
          <w:rStyle w:val="FootnoteReference"/>
        </w:rPr>
        <w:footnoteRef/>
      </w:r>
      <w:r>
        <w:t xml:space="preserve"> </w:t>
      </w:r>
      <w:r>
        <w:t xml:space="preserve">Verified fact — A4-S089: llm-d README (GitHub) (llm-d project)</w:t>
      </w:r>
      <w:r>
        <w:t xml:space="preserve"> </w:t>
      </w:r>
      <w:hyperlink r:id="rId1277">
        <w:r>
          <w:rPr>
            <w:rStyle w:val="Hyperlink"/>
          </w:rPr>
          <w:t xml:space="preserve">https://raw.githubusercontent.com/llm-d/llm-d/main/README.md</w:t>
        </w:r>
      </w:hyperlink>
      <w:r>
        <w:t xml:space="preserve"> </w:t>
      </w:r>
      <w:r>
        <w:t xml:space="preserve">accessed 2026-10-07; A4-S062: Introducing the next generation of AI inference, powered by llm-d (Google Cloud)</w:t>
      </w:r>
      <w:r>
        <w:t xml:space="preserve"> </w:t>
      </w:r>
      <w:hyperlink r:id="rId1381">
        <w:r>
          <w:rPr>
            <w:rStyle w:val="Hyperlink"/>
          </w:rPr>
          <w:t xml:space="preserve">https://cloud.google.com/blog/products/ai-machine-learning/enhancing-vllm-for-distributed-inference-with-llm-d</w:t>
        </w:r>
      </w:hyperlink>
      <w:r>
        <w:t xml:space="preserve"> </w:t>
      </w:r>
      <w:r>
        <w:t xml:space="preserve">accessed 2026-10-07</w:t>
      </w:r>
    </w:p>
  </w:footnote>
  <w:footnote w:id="1382">
    <w:p>
      <w:pPr>
        <w:pStyle w:val="FootnoteText"/>
      </w:pPr>
      <w:r>
        <w:rPr>
          <w:rStyle w:val="FootnoteReference"/>
        </w:rPr>
        <w:footnoteRef/>
      </w:r>
      <w:r>
        <w:t xml:space="preserve"> </w:t>
      </w:r>
      <w:r>
        <w:t xml:space="preserve">Verified fact — A4-S089: llm-d README (GitHub) (llm-d project)</w:t>
      </w:r>
      <w:r>
        <w:t xml:space="preserve"> </w:t>
      </w:r>
      <w:hyperlink r:id="rId1277">
        <w:r>
          <w:rPr>
            <w:rStyle w:val="Hyperlink"/>
          </w:rPr>
          <w:t xml:space="preserve">https://raw.githubusercontent.com/llm-d/llm-d/main/README.md</w:t>
        </w:r>
      </w:hyperlink>
      <w:r>
        <w:t xml:space="preserve"> </w:t>
      </w:r>
      <w:r>
        <w:t xml:space="preserve">accessed 2026-10-07; B-L2-S002: Supported platforms for Distributed Inference with llm-d (Red Hat AI 3)</w:t>
      </w:r>
      <w:r>
        <w:t xml:space="preserve"> </w:t>
      </w:r>
      <w:hyperlink r:id="rId1378">
        <w:r>
          <w:rPr>
            <w:rStyle w:val="Hyperlink"/>
          </w:rPr>
          <w:t xml:space="preserve">https://docs.redhat.com/en/documentation/red_hat_ai/3/html/supported_product_and_hardware_configurations/llmd-supported-platforms_supported-configurations</w:t>
        </w:r>
      </w:hyperlink>
      <w:r>
        <w:t xml:space="preserve"> </w:t>
      </w:r>
      <w:r>
        <w:t xml:space="preserve">accessed 2026-10-08 [search-tool extract]</w:t>
      </w:r>
    </w:p>
  </w:footnote>
  <w:footnote w:id="1383">
    <w:p>
      <w:pPr>
        <w:pStyle w:val="FootnoteText"/>
      </w:pPr>
      <w:r>
        <w:rPr>
          <w:rStyle w:val="FootnoteReference"/>
        </w:rPr>
        <w:footnoteRef/>
      </w:r>
      <w:r>
        <w:t xml:space="preserve"> </w:t>
      </w:r>
      <w:r>
        <w:t xml:space="preserve">Verified fact — A4-S089: llm-d README (GitHub) (llm-d project)</w:t>
      </w:r>
      <w:r>
        <w:t xml:space="preserve"> </w:t>
      </w:r>
      <w:hyperlink r:id="rId1277">
        <w:r>
          <w:rPr>
            <w:rStyle w:val="Hyperlink"/>
          </w:rPr>
          <w:t xml:space="preserve">https://raw.githubusercontent.com/llm-d/llm-d/main/README.md</w:t>
        </w:r>
      </w:hyperlink>
      <w:r>
        <w:t xml:space="preserve"> </w:t>
      </w:r>
      <w:r>
        <w:t xml:space="preserve">accessed 2026-10-07</w:t>
      </w:r>
    </w:p>
  </w:footnote>
  <w:footnote w:id="1384">
    <w:p>
      <w:pPr>
        <w:pStyle w:val="FootnoteText"/>
      </w:pPr>
      <w:r>
        <w:rPr>
          <w:rStyle w:val="FootnoteReference"/>
        </w:rPr>
        <w:footnoteRef/>
      </w:r>
      <w:r>
        <w:t xml:space="preserve"> </w:t>
      </w:r>
      <w:r>
        <w:t xml:space="preserve">Verified fact — A4-S089: llm-d README (GitHub) (llm-d project)</w:t>
      </w:r>
      <w:r>
        <w:t xml:space="preserve"> </w:t>
      </w:r>
      <w:hyperlink r:id="rId1277">
        <w:r>
          <w:rPr>
            <w:rStyle w:val="Hyperlink"/>
          </w:rPr>
          <w:t xml:space="preserve">https://raw.githubusercontent.com/llm-d/llm-d/main/README.md</w:t>
        </w:r>
      </w:hyperlink>
      <w:r>
        <w:t xml:space="preserve"> </w:t>
      </w:r>
      <w:r>
        <w:t xml:space="preserve">accessed 2026-10-07; A4-S062: Introducing the next generation of AI inference, powered by llm-d (Google Cloud)</w:t>
      </w:r>
      <w:r>
        <w:t xml:space="preserve"> </w:t>
      </w:r>
      <w:hyperlink r:id="rId1381">
        <w:r>
          <w:rPr>
            <w:rStyle w:val="Hyperlink"/>
          </w:rPr>
          <w:t xml:space="preserve">https://cloud.google.com/blog/products/ai-machine-learning/enhancing-vllm-for-distributed-inference-with-llm-d</w:t>
        </w:r>
      </w:hyperlink>
      <w:r>
        <w:t xml:space="preserve"> </w:t>
      </w:r>
      <w:r>
        <w:t xml:space="preserve">accessed 2026-10-07</w:t>
      </w:r>
    </w:p>
  </w:footnote>
  <w:footnote w:id="1385">
    <w:p>
      <w:pPr>
        <w:pStyle w:val="FootnoteText"/>
      </w:pPr>
      <w:r>
        <w:rPr>
          <w:rStyle w:val="FootnoteReference"/>
        </w:rPr>
        <w:footnoteRef/>
      </w:r>
      <w:r>
        <w:t xml:space="preserve"> </w:t>
      </w:r>
      <w:r>
        <w:t xml:space="preserve">Verified fact — B-L2-S002: Supported platforms for Distributed Inference with llm-d (Red Hat AI 3)</w:t>
      </w:r>
      <w:r>
        <w:t xml:space="preserve"> </w:t>
      </w:r>
      <w:hyperlink r:id="rId1378">
        <w:r>
          <w:rPr>
            <w:rStyle w:val="Hyperlink"/>
          </w:rPr>
          <w:t xml:space="preserve">https://docs.redhat.com/en/documentation/red_hat_ai/3/html/supported_product_and_hardware_configurations/llmd-supported-platforms_supported-configurations</w:t>
        </w:r>
      </w:hyperlink>
      <w:r>
        <w:t xml:space="preserve"> </w:t>
      </w:r>
      <w:r>
        <w:t xml:space="preserve">accessed 2026-10-08 [search-tool extract]</w:t>
      </w:r>
    </w:p>
  </w:footnote>
  <w:footnote w:id="1386">
    <w:p>
      <w:pPr>
        <w:pStyle w:val="FootnoteText"/>
      </w:pPr>
      <w:r>
        <w:rPr>
          <w:rStyle w:val="FootnoteReference"/>
        </w:rPr>
        <w:footnoteRef/>
      </w:r>
      <w:r>
        <w:t xml:space="preserve"> </w:t>
      </w:r>
      <w:r>
        <w:t xml:space="preserve">Verified fact — A4-S089: llm-d README (GitHub) (llm-d project)</w:t>
      </w:r>
      <w:r>
        <w:t xml:space="preserve"> </w:t>
      </w:r>
      <w:hyperlink r:id="rId1277">
        <w:r>
          <w:rPr>
            <w:rStyle w:val="Hyperlink"/>
          </w:rPr>
          <w:t xml:space="preserve">https://raw.githubusercontent.com/llm-d/llm-d/main/README.md</w:t>
        </w:r>
      </w:hyperlink>
      <w:r>
        <w:t xml:space="preserve"> </w:t>
      </w:r>
      <w:r>
        <w:t xml:space="preserve">accessed 2026-10-07</w:t>
      </w:r>
    </w:p>
  </w:footnote>
  <w:footnote w:id="1387">
    <w:p>
      <w:pPr>
        <w:pStyle w:val="FootnoteText"/>
      </w:pPr>
      <w:r>
        <w:rPr>
          <w:rStyle w:val="FootnoteReference"/>
        </w:rPr>
        <w:footnoteRef/>
      </w:r>
      <w:r>
        <w:t xml:space="preserve"> </w:t>
      </w:r>
      <w:r>
        <w:t xml:space="preserve">Verified fact — A4-S062: Introducing the next generation of AI inference, powered by llm-d (Google Cloud)</w:t>
      </w:r>
      <w:r>
        <w:t xml:space="preserve"> </w:t>
      </w:r>
      <w:hyperlink r:id="rId1381">
        <w:r>
          <w:rPr>
            <w:rStyle w:val="Hyperlink"/>
          </w:rPr>
          <w:t xml:space="preserve">https://cloud.google.com/blog/products/ai-machine-learning/enhancing-vllm-for-distributed-inference-with-llm-d</w:t>
        </w:r>
      </w:hyperlink>
      <w:r>
        <w:t xml:space="preserve"> </w:t>
      </w:r>
      <w:r>
        <w:t xml:space="preserve">accessed 2026-10-07</w:t>
      </w:r>
    </w:p>
  </w:footnote>
  <w:footnote w:id="1388">
    <w:p>
      <w:pPr>
        <w:pStyle w:val="FootnoteText"/>
      </w:pPr>
      <w:r>
        <w:rPr>
          <w:rStyle w:val="FootnoteReference"/>
        </w:rPr>
        <w:footnoteRef/>
      </w:r>
      <w:r>
        <w:t xml:space="preserve"> </w:t>
      </w:r>
      <w:r>
        <w:t xml:space="preserve">Verified fact — A4-S089: llm-d README (GitHub) (llm-d project)</w:t>
      </w:r>
      <w:r>
        <w:t xml:space="preserve"> </w:t>
      </w:r>
      <w:hyperlink r:id="rId1277">
        <w:r>
          <w:rPr>
            <w:rStyle w:val="Hyperlink"/>
          </w:rPr>
          <w:t xml:space="preserve">https://raw.githubusercontent.com/llm-d/llm-d/main/README.md</w:t>
        </w:r>
      </w:hyperlink>
      <w:r>
        <w:t xml:space="preserve"> </w:t>
      </w:r>
      <w:r>
        <w:t xml:space="preserve">accessed 2026-10-07</w:t>
      </w:r>
    </w:p>
  </w:footnote>
  <w:footnote w:id="1389">
    <w:p>
      <w:pPr>
        <w:pStyle w:val="FootnoteText"/>
      </w:pPr>
      <w:r>
        <w:rPr>
          <w:rStyle w:val="FootnoteReference"/>
        </w:rPr>
        <w:footnoteRef/>
      </w:r>
      <w:r>
        <w:t xml:space="preserve"> </w:t>
      </w:r>
      <w:r>
        <w:t xml:space="preserve">Verified fact — B-L2-S002: Supported platforms for Distributed Inference with llm-d (Red Hat AI 3)</w:t>
      </w:r>
      <w:r>
        <w:t xml:space="preserve"> </w:t>
      </w:r>
      <w:hyperlink r:id="rId1378">
        <w:r>
          <w:rPr>
            <w:rStyle w:val="Hyperlink"/>
          </w:rPr>
          <w:t xml:space="preserve">https://docs.redhat.com/en/documentation/red_hat_ai/3/html/supported_product_and_hardware_configurations/llmd-supported-platforms_supported-configurations</w:t>
        </w:r>
      </w:hyperlink>
      <w:r>
        <w:t xml:space="preserve"> </w:t>
      </w:r>
      <w:r>
        <w:t xml:space="preserve">accessed 2026-10-08 [search-tool extract]</w:t>
      </w:r>
    </w:p>
  </w:footnote>
  <w:footnote w:id="1390">
    <w:p>
      <w:pPr>
        <w:pStyle w:val="FootnoteText"/>
      </w:pPr>
      <w:r>
        <w:rPr>
          <w:rStyle w:val="FootnoteReference"/>
        </w:rPr>
        <w:footnoteRef/>
      </w:r>
      <w:r>
        <w:t xml:space="preserve"> </w:t>
      </w:r>
      <w:r>
        <w:t xml:space="preserve">Verified fact — A4-S089: llm-d README (GitHub) (llm-d project)</w:t>
      </w:r>
      <w:r>
        <w:t xml:space="preserve"> </w:t>
      </w:r>
      <w:hyperlink r:id="rId1277">
        <w:r>
          <w:rPr>
            <w:rStyle w:val="Hyperlink"/>
          </w:rPr>
          <w:t xml:space="preserve">https://raw.githubusercontent.com/llm-d/llm-d/main/README.md</w:t>
        </w:r>
      </w:hyperlink>
      <w:r>
        <w:t xml:space="preserve"> </w:t>
      </w:r>
      <w:r>
        <w:t xml:space="preserve">accessed 2026-10-07; B-L2-S002: Supported platforms for Distributed Inference with llm-d (Red Hat AI 3)</w:t>
      </w:r>
      <w:r>
        <w:t xml:space="preserve"> </w:t>
      </w:r>
      <w:hyperlink r:id="rId1378">
        <w:r>
          <w:rPr>
            <w:rStyle w:val="Hyperlink"/>
          </w:rPr>
          <w:t xml:space="preserve">https://docs.redhat.com/en/documentation/red_hat_ai/3/html/supported_product_and_hardware_configurations/llmd-supported-platforms_supported-configurations</w:t>
        </w:r>
      </w:hyperlink>
      <w:r>
        <w:t xml:space="preserve"> </w:t>
      </w:r>
      <w:r>
        <w:t xml:space="preserve">accessed 2026-10-08 [search-tool extract]</w:t>
      </w:r>
    </w:p>
  </w:footnote>
  <w:footnote w:id="1391">
    <w:p>
      <w:pPr>
        <w:pStyle w:val="FootnoteText"/>
      </w:pPr>
      <w:r>
        <w:rPr>
          <w:rStyle w:val="FootnoteReference"/>
        </w:rPr>
        <w:footnoteRef/>
      </w:r>
      <w:r>
        <w:t xml:space="preserve"> </w:t>
      </w:r>
      <w:r>
        <w:t xml:space="preserve">Verified fact — B-L2-S002: Supported platforms for Distributed Inference with llm-d (Red Hat AI 3)</w:t>
      </w:r>
      <w:r>
        <w:t xml:space="preserve"> </w:t>
      </w:r>
      <w:hyperlink r:id="rId1378">
        <w:r>
          <w:rPr>
            <w:rStyle w:val="Hyperlink"/>
          </w:rPr>
          <w:t xml:space="preserve">https://docs.redhat.com/en/documentation/red_hat_ai/3/html/supported_product_and_hardware_configurations/llmd-supported-platforms_supported-configurations</w:t>
        </w:r>
      </w:hyperlink>
      <w:r>
        <w:t xml:space="preserve"> </w:t>
      </w:r>
      <w:r>
        <w:t xml:space="preserve">accessed 2026-10-08 [search-tool extract]</w:t>
      </w:r>
    </w:p>
  </w:footnote>
  <w:footnote w:id="1393">
    <w:p>
      <w:pPr>
        <w:pStyle w:val="FootnoteText"/>
      </w:pPr>
      <w:r>
        <w:rPr>
          <w:rStyle w:val="FootnoteReference"/>
        </w:rPr>
        <w:footnoteRef/>
      </w:r>
      <w:r>
        <w:t xml:space="preserve"> </w:t>
      </w:r>
      <w:r>
        <w:t xml:space="preserve">Verified fact — A4-S111: OpenRouter Docs: Guardrails</w:t>
      </w:r>
      <w:r>
        <w:t xml:space="preserve"> </w:t>
      </w:r>
      <w:hyperlink r:id="rId1394">
        <w:r>
          <w:rPr>
            <w:rStyle w:val="Hyperlink"/>
          </w:rPr>
          <w:t xml:space="preserve">https://raw.githubusercontent.com/OpenRouterTeam/docs/main/guides/features/guardrails.mdx</w:t>
        </w:r>
      </w:hyperlink>
      <w:r>
        <w:t xml:space="preserve"> </w:t>
      </w:r>
      <w:r>
        <w:t xml:space="preserve">accessed 2026-10-07; A4-S113: OpenRouter Docs: FAQ (pricing and fees)</w:t>
      </w:r>
      <w:r>
        <w:t xml:space="preserve"> </w:t>
      </w:r>
      <w:hyperlink r:id="rId1395">
        <w:r>
          <w:rPr>
            <w:rStyle w:val="Hyperlink"/>
          </w:rPr>
          <w:t xml:space="preserve">https://raw.githubusercontent.com/OpenRouterTeam/docs/main/faq.mdx</w:t>
        </w:r>
      </w:hyperlink>
      <w:r>
        <w:t xml:space="preserve"> </w:t>
      </w:r>
      <w:r>
        <w:t xml:space="preserve">accessed 2026-10-07</w:t>
      </w:r>
    </w:p>
  </w:footnote>
  <w:footnote w:id="1396">
    <w:p>
      <w:pPr>
        <w:pStyle w:val="FootnoteText"/>
      </w:pPr>
      <w:r>
        <w:rPr>
          <w:rStyle w:val="FootnoteReference"/>
        </w:rPr>
        <w:footnoteRef/>
      </w:r>
      <w:r>
        <w:t xml:space="preserve"> </w:t>
      </w:r>
      <w:r>
        <w:t xml:space="preserve">Verified fact — A4-S110: OpenRouter Docs: Single Sign-On</w:t>
      </w:r>
      <w:r>
        <w:t xml:space="preserve"> </w:t>
      </w:r>
      <w:hyperlink r:id="rId1397">
        <w:r>
          <w:rPr>
            <w:rStyle w:val="Hyperlink"/>
          </w:rPr>
          <w:t xml:space="preserve">https://raw.githubusercontent.com/OpenRouterTeam/docs/main/guides/features/sso.mdx</w:t>
        </w:r>
      </w:hyperlink>
      <w:r>
        <w:t xml:space="preserve"> </w:t>
      </w:r>
      <w:r>
        <w:t xml:space="preserve">accessed 2026-10-07; A4-S112: OpenRouter Docs: Enterprise Quickstart</w:t>
      </w:r>
      <w:r>
        <w:t xml:space="preserve"> </w:t>
      </w:r>
      <w:hyperlink r:id="rId1398">
        <w:r>
          <w:rPr>
            <w:rStyle w:val="Hyperlink"/>
          </w:rPr>
          <w:t xml:space="preserve">https://raw.githubusercontent.com/OpenRouterTeam/docs/main/cookbook/get-started/enterprise-quickstart.mdx</w:t>
        </w:r>
      </w:hyperlink>
      <w:r>
        <w:t xml:space="preserve"> </w:t>
      </w:r>
      <w:r>
        <w:t xml:space="preserve">accessed 2026-10-07; A4-S150: In-Region Routing: keep your data in the US or EU (OpenRouter blog) and OpenRouter Pricing/Enterprise pages</w:t>
      </w:r>
      <w:r>
        <w:t xml:space="preserve"> </w:t>
      </w:r>
      <w:hyperlink r:id="rId1399">
        <w:r>
          <w:rPr>
            <w:rStyle w:val="Hyperlink"/>
          </w:rPr>
          <w:t xml:space="preserve">https://openrouter.ai/blog/announcements/us-in-region-routing/</w:t>
        </w:r>
      </w:hyperlink>
      <w:r>
        <w:t xml:space="preserve"> </w:t>
      </w:r>
      <w:r>
        <w:t xml:space="preserve">accessed 2026-10-07 [search-tool extract]</w:t>
      </w:r>
    </w:p>
  </w:footnote>
  <w:footnote w:id="1400">
    <w:p>
      <w:pPr>
        <w:pStyle w:val="FootnoteText"/>
      </w:pPr>
      <w:r>
        <w:rPr>
          <w:rStyle w:val="FootnoteReference"/>
        </w:rPr>
        <w:footnoteRef/>
      </w:r>
      <w:r>
        <w:t xml:space="preserve"> </w:t>
      </w:r>
      <w:r>
        <w:t xml:space="preserve">Verified fact — A4-S142: OpenRouter Trust Center (and OpenRouter blog / Enterprise Access Agreement)</w:t>
      </w:r>
      <w:r>
        <w:t xml:space="preserve"> </w:t>
      </w:r>
      <w:hyperlink r:id="rId1401">
        <w:r>
          <w:rPr>
            <w:rStyle w:val="Hyperlink"/>
          </w:rPr>
          <w:t xml:space="preserve">https://trust.openrouter.ai/</w:t>
        </w:r>
      </w:hyperlink>
      <w:r>
        <w:t xml:space="preserve"> </w:t>
      </w:r>
      <w:r>
        <w:t xml:space="preserve">accessed 2026-10-07 [search-tool extract]</w:t>
      </w:r>
    </w:p>
  </w:footnote>
  <w:footnote w:id="1402">
    <w:p>
      <w:pPr>
        <w:pStyle w:val="FootnoteText"/>
      </w:pPr>
      <w:r>
        <w:rPr>
          <w:rStyle w:val="FootnoteReference"/>
        </w:rPr>
        <w:footnoteRef/>
      </w:r>
      <w:r>
        <w:t xml:space="preserve"> </w:t>
      </w:r>
      <w:r>
        <w:t xml:space="preserve">Verified fact — A4-S107: OpenRouter Docs: Data Collection (source of openrouter.ai/docs)</w:t>
      </w:r>
      <w:r>
        <w:t xml:space="preserve"> </w:t>
      </w:r>
      <w:hyperlink r:id="rId1403">
        <w:r>
          <w:rPr>
            <w:rStyle w:val="Hyperlink"/>
          </w:rPr>
          <w:t xml:space="preserve">https://raw.githubusercontent.com/OpenRouterTeam/docs/main/guides/privacy/data-collection.mdx</w:t>
        </w:r>
      </w:hyperlink>
      <w:r>
        <w:t xml:space="preserve"> </w:t>
      </w:r>
      <w:r>
        <w:t xml:space="preserve">accessed 2026-10-07; A4-S109: OpenRouter Docs: In-Region Routing (EU/US)</w:t>
      </w:r>
      <w:r>
        <w:t xml:space="preserve"> </w:t>
      </w:r>
      <w:hyperlink r:id="rId1404">
        <w:r>
          <w:rPr>
            <w:rStyle w:val="Hyperlink"/>
          </w:rPr>
          <w:t xml:space="preserve">https://raw.githubusercontent.com/OpenRouterTeam/docs/main/guides/features/in-region-routing.mdx</w:t>
        </w:r>
      </w:hyperlink>
      <w:r>
        <w:t xml:space="preserve"> </w:t>
      </w:r>
      <w:r>
        <w:t xml:space="preserve">accessed 2026-10-07</w:t>
      </w:r>
    </w:p>
  </w:footnote>
  <w:footnote w:id="1405">
    <w:p>
      <w:pPr>
        <w:pStyle w:val="FootnoteText"/>
      </w:pPr>
      <w:r>
        <w:rPr>
          <w:rStyle w:val="FootnoteReference"/>
        </w:rPr>
        <w:footnoteRef/>
      </w:r>
      <w:r>
        <w:t xml:space="preserve"> </w:t>
      </w:r>
      <w:r>
        <w:t xml:space="preserve">Verified fact — A4-S109: OpenRouter Docs: In-Region Routing (EU/US)</w:t>
      </w:r>
      <w:r>
        <w:t xml:space="preserve"> </w:t>
      </w:r>
      <w:hyperlink r:id="rId1404">
        <w:r>
          <w:rPr>
            <w:rStyle w:val="Hyperlink"/>
          </w:rPr>
          <w:t xml:space="preserve">https://raw.githubusercontent.com/OpenRouterTeam/docs/main/guides/features/in-region-routing.mdx</w:t>
        </w:r>
      </w:hyperlink>
      <w:r>
        <w:t xml:space="preserve"> </w:t>
      </w:r>
      <w:r>
        <w:t xml:space="preserve">accessed 2026-10-07; A4-S112: OpenRouter Docs: Enterprise Quickstart</w:t>
      </w:r>
      <w:r>
        <w:t xml:space="preserve"> </w:t>
      </w:r>
      <w:hyperlink r:id="rId1398">
        <w:r>
          <w:rPr>
            <w:rStyle w:val="Hyperlink"/>
          </w:rPr>
          <w:t xml:space="preserve">https://raw.githubusercontent.com/OpenRouterTeam/docs/main/cookbook/get-started/enterprise-quickstart.mdx</w:t>
        </w:r>
      </w:hyperlink>
      <w:r>
        <w:t xml:space="preserve"> </w:t>
      </w:r>
      <w:r>
        <w:t xml:space="preserve">accessed 2026-10-07</w:t>
      </w:r>
    </w:p>
  </w:footnote>
  <w:footnote w:id="1406">
    <w:p>
      <w:pPr>
        <w:pStyle w:val="FootnoteText"/>
      </w:pPr>
      <w:r>
        <w:rPr>
          <w:rStyle w:val="FootnoteReference"/>
        </w:rPr>
        <w:footnoteRef/>
      </w:r>
      <w:r>
        <w:t xml:space="preserve"> </w:t>
      </w:r>
      <w:r>
        <w:t xml:space="preserve">Verified fact — A4-S150: In-Region Routing: keep your data in the US or EU (OpenRouter blog) and OpenRouter Pricing/Enterprise pages</w:t>
      </w:r>
      <w:r>
        <w:t xml:space="preserve"> </w:t>
      </w:r>
      <w:hyperlink r:id="rId1399">
        <w:r>
          <w:rPr>
            <w:rStyle w:val="Hyperlink"/>
          </w:rPr>
          <w:t xml:space="preserve">https://openrouter.ai/blog/announcements/us-in-region-routing/</w:t>
        </w:r>
      </w:hyperlink>
      <w:r>
        <w:t xml:space="preserve"> </w:t>
      </w:r>
      <w:r>
        <w:t xml:space="preserve">accessed 2026-10-07 [search-tool extract]; V1-S059: Stripe agrees to acquire OpenRouter to help businesses optimize token routing and usage</w:t>
      </w:r>
      <w:r>
        <w:t xml:space="preserve"> </w:t>
      </w:r>
      <w:hyperlink r:id="rId1407">
        <w:r>
          <w:rPr>
            <w:rStyle w:val="Hyperlink"/>
          </w:rPr>
          <w:t xml:space="preserve">https://stripe.com/newsroom/news/stripe-agrees-to-acquire-openrouter</w:t>
        </w:r>
      </w:hyperlink>
      <w:r>
        <w:t xml:space="preserve"> </w:t>
      </w:r>
      <w:r>
        <w:t xml:space="preserve">accessed 2026-10-08 [search-tool extract]</w:t>
      </w:r>
    </w:p>
  </w:footnote>
  <w:footnote w:id="1408">
    <w:p>
      <w:pPr>
        <w:pStyle w:val="FootnoteText"/>
      </w:pPr>
      <w:r>
        <w:rPr>
          <w:rStyle w:val="FootnoteReference"/>
        </w:rPr>
        <w:footnoteRef/>
      </w:r>
      <w:r>
        <w:t xml:space="preserve"> </w:t>
      </w:r>
      <w:r>
        <w:t xml:space="preserve">Verified fact — V1-S062: Simplifying Our Platform Fee (OpenRouter)</w:t>
      </w:r>
      <w:r>
        <w:t xml:space="preserve"> </w:t>
      </w:r>
      <w:hyperlink r:id="rId1409">
        <w:r>
          <w:rPr>
            <w:rStyle w:val="Hyperlink"/>
          </w:rPr>
          <w:t xml:space="preserve">https://openrouter.ai/blog/announcements/simplifying-our-platform-fee/</w:t>
        </w:r>
      </w:hyperlink>
      <w:r>
        <w:t xml:space="preserve"> </w:t>
      </w:r>
      <w:r>
        <w:t xml:space="preserve">accessed 2026-10-08 [search-tool extract]; A4-S144: OpenRouter Business / plans (and pricing blog posts)</w:t>
      </w:r>
      <w:r>
        <w:t xml:space="preserve"> </w:t>
      </w:r>
      <w:hyperlink r:id="rId1410">
        <w:r>
          <w:rPr>
            <w:rStyle w:val="Hyperlink"/>
          </w:rPr>
          <w:t xml:space="preserve">https://openrouter.ai/business</w:t>
        </w:r>
      </w:hyperlink>
      <w:r>
        <w:t xml:space="preserve"> </w:t>
      </w:r>
      <w:r>
        <w:t xml:space="preserve">accessed 2026-10-07 [search-tool extract]</w:t>
      </w:r>
    </w:p>
  </w:footnote>
  <w:footnote w:id="1411">
    <w:p>
      <w:pPr>
        <w:pStyle w:val="FootnoteText"/>
      </w:pPr>
      <w:r>
        <w:rPr>
          <w:rStyle w:val="FootnoteReference"/>
        </w:rPr>
        <w:footnoteRef/>
      </w:r>
      <w:r>
        <w:t xml:space="preserve"> </w:t>
      </w:r>
      <w:r>
        <w:t xml:space="preserve">Verified fact — A4-S111: OpenRouter Docs: Guardrails</w:t>
      </w:r>
      <w:r>
        <w:t xml:space="preserve"> </w:t>
      </w:r>
      <w:hyperlink r:id="rId1394">
        <w:r>
          <w:rPr>
            <w:rStyle w:val="Hyperlink"/>
          </w:rPr>
          <w:t xml:space="preserve">https://raw.githubusercontent.com/OpenRouterTeam/docs/main/guides/features/guardrails.mdx</w:t>
        </w:r>
      </w:hyperlink>
      <w:r>
        <w:t xml:space="preserve"> </w:t>
      </w:r>
      <w:r>
        <w:t xml:space="preserve">accessed 2026-10-07; V1-S059: Stripe agrees to acquire OpenRouter to help businesses optimize token routing and usage</w:t>
      </w:r>
      <w:r>
        <w:t xml:space="preserve"> </w:t>
      </w:r>
      <w:hyperlink r:id="rId1407">
        <w:r>
          <w:rPr>
            <w:rStyle w:val="Hyperlink"/>
          </w:rPr>
          <w:t xml:space="preserve">https://stripe.com/newsroom/news/stripe-agrees-to-acquire-openrouter</w:t>
        </w:r>
      </w:hyperlink>
      <w:r>
        <w:t xml:space="preserve"> </w:t>
      </w:r>
      <w:r>
        <w:t xml:space="preserve">accessed 2026-10-08 [search-tool extract]</w:t>
      </w:r>
    </w:p>
  </w:footnote>
  <w:footnote w:id="1412">
    <w:p>
      <w:pPr>
        <w:pStyle w:val="FootnoteText"/>
      </w:pPr>
      <w:r>
        <w:rPr>
          <w:rStyle w:val="FootnoteReference"/>
        </w:rPr>
        <w:footnoteRef/>
      </w:r>
      <w:r>
        <w:t xml:space="preserve"> </w:t>
      </w:r>
      <w:r>
        <w:t xml:space="preserve">Verified fact — A4-S111: OpenRouter Docs: Guardrails</w:t>
      </w:r>
      <w:r>
        <w:t xml:space="preserve"> </w:t>
      </w:r>
      <w:hyperlink r:id="rId1394">
        <w:r>
          <w:rPr>
            <w:rStyle w:val="Hyperlink"/>
          </w:rPr>
          <w:t xml:space="preserve">https://raw.githubusercontent.com/OpenRouterTeam/docs/main/guides/features/guardrails.mdx</w:t>
        </w:r>
      </w:hyperlink>
      <w:r>
        <w:t xml:space="preserve"> </w:t>
      </w:r>
      <w:r>
        <w:t xml:space="preserve">accessed 2026-10-07; A4-S109: OpenRouter Docs: In-Region Routing (EU/US)</w:t>
      </w:r>
      <w:r>
        <w:t xml:space="preserve"> </w:t>
      </w:r>
      <w:hyperlink r:id="rId1404">
        <w:r>
          <w:rPr>
            <w:rStyle w:val="Hyperlink"/>
          </w:rPr>
          <w:t xml:space="preserve">https://raw.githubusercontent.com/OpenRouterTeam/docs/main/guides/features/in-region-routing.mdx</w:t>
        </w:r>
      </w:hyperlink>
      <w:r>
        <w:t xml:space="preserve"> </w:t>
      </w:r>
      <w:r>
        <w:t xml:space="preserve">accessed 2026-10-07; A4-S110: OpenRouter Docs: Single Sign-On</w:t>
      </w:r>
      <w:r>
        <w:t xml:space="preserve"> </w:t>
      </w:r>
      <w:hyperlink r:id="rId1397">
        <w:r>
          <w:rPr>
            <w:rStyle w:val="Hyperlink"/>
          </w:rPr>
          <w:t xml:space="preserve">https://raw.githubusercontent.com/OpenRouterTeam/docs/main/guides/features/sso.mdx</w:t>
        </w:r>
      </w:hyperlink>
      <w:r>
        <w:t xml:space="preserve"> </w:t>
      </w:r>
      <w:r>
        <w:t xml:space="preserve">accessed 2026-10-07; A4-S142: OpenRouter Trust Center (and OpenRouter blog / Enterprise Access Agreement)</w:t>
      </w:r>
      <w:r>
        <w:t xml:space="preserve"> </w:t>
      </w:r>
      <w:hyperlink r:id="rId1401">
        <w:r>
          <w:rPr>
            <w:rStyle w:val="Hyperlink"/>
          </w:rPr>
          <w:t xml:space="preserve">https://trust.openrouter.ai/</w:t>
        </w:r>
      </w:hyperlink>
      <w:r>
        <w:t xml:space="preserve"> </w:t>
      </w:r>
      <w:r>
        <w:t xml:space="preserve">accessed 2026-10-07 [search-tool extract]; A4-S144: OpenRouter Business / plans (and pricing blog posts)</w:t>
      </w:r>
      <w:r>
        <w:t xml:space="preserve"> </w:t>
      </w:r>
      <w:hyperlink r:id="rId1410">
        <w:r>
          <w:rPr>
            <w:rStyle w:val="Hyperlink"/>
          </w:rPr>
          <w:t xml:space="preserve">https://openrouter.ai/business</w:t>
        </w:r>
      </w:hyperlink>
      <w:r>
        <w:t xml:space="preserve"> </w:t>
      </w:r>
      <w:r>
        <w:t xml:space="preserve">accessed 2026-10-07 [search-tool extract]; V1-S062: Simplifying Our Platform Fee (OpenRouter)</w:t>
      </w:r>
      <w:r>
        <w:t xml:space="preserve"> </w:t>
      </w:r>
      <w:hyperlink r:id="rId1409">
        <w:r>
          <w:rPr>
            <w:rStyle w:val="Hyperlink"/>
          </w:rPr>
          <w:t xml:space="preserve">https://openrouter.ai/blog/announcements/simplifying-our-platform-fee/</w:t>
        </w:r>
      </w:hyperlink>
      <w:r>
        <w:t xml:space="preserve"> </w:t>
      </w:r>
      <w:r>
        <w:t xml:space="preserve">accessed 2026-10-08 [search-tool extract]; V1-S059: Stripe agrees to acquire OpenRouter to help businesses optimize token routing and usage</w:t>
      </w:r>
      <w:r>
        <w:t xml:space="preserve"> </w:t>
      </w:r>
      <w:hyperlink r:id="rId1407">
        <w:r>
          <w:rPr>
            <w:rStyle w:val="Hyperlink"/>
          </w:rPr>
          <w:t xml:space="preserve">https://stripe.com/newsroom/news/stripe-agrees-to-acquire-openrouter</w:t>
        </w:r>
      </w:hyperlink>
      <w:r>
        <w:t xml:space="preserve"> </w:t>
      </w:r>
      <w:r>
        <w:t xml:space="preserve">accessed 2026-10-08 [search-tool extract]</w:t>
      </w:r>
    </w:p>
  </w:footnote>
  <w:footnote w:id="1413">
    <w:p>
      <w:pPr>
        <w:pStyle w:val="FootnoteText"/>
      </w:pPr>
      <w:r>
        <w:rPr>
          <w:rStyle w:val="FootnoteReference"/>
        </w:rPr>
        <w:footnoteRef/>
      </w:r>
      <w:r>
        <w:t xml:space="preserve"> </w:t>
      </w:r>
      <w:r>
        <w:t xml:space="preserve">Verified fact — A4-S113: OpenRouter Docs: FAQ (pricing and fees)</w:t>
      </w:r>
      <w:r>
        <w:t xml:space="preserve"> </w:t>
      </w:r>
      <w:hyperlink r:id="rId1395">
        <w:r>
          <w:rPr>
            <w:rStyle w:val="Hyperlink"/>
          </w:rPr>
          <w:t xml:space="preserve">https://raw.githubusercontent.com/OpenRouterTeam/docs/main/faq.mdx</w:t>
        </w:r>
      </w:hyperlink>
      <w:r>
        <w:t xml:space="preserve"> </w:t>
      </w:r>
      <w:r>
        <w:t xml:space="preserve">accessed 2026-10-07</w:t>
      </w:r>
    </w:p>
  </w:footnote>
  <w:footnote w:id="1414">
    <w:p>
      <w:pPr>
        <w:pStyle w:val="FootnoteText"/>
      </w:pPr>
      <w:r>
        <w:rPr>
          <w:rStyle w:val="FootnoteReference"/>
        </w:rPr>
        <w:footnoteRef/>
      </w:r>
      <w:r>
        <w:t xml:space="preserve"> </w:t>
      </w:r>
      <w:r>
        <w:t xml:space="preserve">Verified fact — A4-S109: OpenRouter Docs: In-Region Routing (EU/US)</w:t>
      </w:r>
      <w:r>
        <w:t xml:space="preserve"> </w:t>
      </w:r>
      <w:hyperlink r:id="rId1404">
        <w:r>
          <w:rPr>
            <w:rStyle w:val="Hyperlink"/>
          </w:rPr>
          <w:t xml:space="preserve">https://raw.githubusercontent.com/OpenRouterTeam/docs/main/guides/features/in-region-routing.mdx</w:t>
        </w:r>
      </w:hyperlink>
      <w:r>
        <w:t xml:space="preserve"> </w:t>
      </w:r>
      <w:r>
        <w:t xml:space="preserve">accessed 2026-10-07; A4-S150: In-Region Routing: keep your data in the US or EU (OpenRouter blog) and OpenRouter Pricing/Enterprise pages</w:t>
      </w:r>
      <w:r>
        <w:t xml:space="preserve"> </w:t>
      </w:r>
      <w:hyperlink r:id="rId1399">
        <w:r>
          <w:rPr>
            <w:rStyle w:val="Hyperlink"/>
          </w:rPr>
          <w:t xml:space="preserve">https://openrouter.ai/blog/announcements/us-in-region-routing/</w:t>
        </w:r>
      </w:hyperlink>
      <w:r>
        <w:t xml:space="preserve"> </w:t>
      </w:r>
      <w:r>
        <w:t xml:space="preserve">accessed 2026-10-07 [search-tool extract]</w:t>
      </w:r>
    </w:p>
  </w:footnote>
  <w:footnote w:id="1415">
    <w:p>
      <w:pPr>
        <w:pStyle w:val="FootnoteText"/>
      </w:pPr>
      <w:r>
        <w:rPr>
          <w:rStyle w:val="FootnoteReference"/>
        </w:rPr>
        <w:footnoteRef/>
      </w:r>
      <w:r>
        <w:t xml:space="preserve"> </w:t>
      </w:r>
      <w:r>
        <w:t xml:space="preserve">Verified fact — A4-S150: In-Region Routing: keep your data in the US or EU (OpenRouter blog) and OpenRouter Pricing/Enterprise pages</w:t>
      </w:r>
      <w:r>
        <w:t xml:space="preserve"> </w:t>
      </w:r>
      <w:hyperlink r:id="rId1399">
        <w:r>
          <w:rPr>
            <w:rStyle w:val="Hyperlink"/>
          </w:rPr>
          <w:t xml:space="preserve">https://openrouter.ai/blog/announcements/us-in-region-routing/</w:t>
        </w:r>
      </w:hyperlink>
      <w:r>
        <w:t xml:space="preserve"> </w:t>
      </w:r>
      <w:r>
        <w:t xml:space="preserve">accessed 2026-10-07 [search-tool extract]</w:t>
      </w:r>
    </w:p>
  </w:footnote>
  <w:footnote w:id="1416">
    <w:p>
      <w:pPr>
        <w:pStyle w:val="FootnoteText"/>
      </w:pPr>
      <w:r>
        <w:rPr>
          <w:rStyle w:val="FootnoteReference"/>
        </w:rPr>
        <w:footnoteRef/>
      </w:r>
      <w:r>
        <w:t xml:space="preserve"> </w:t>
      </w:r>
      <w:r>
        <w:t xml:space="preserve">Verified fact — V1-S062: Simplifying Our Platform Fee (OpenRouter)</w:t>
      </w:r>
      <w:r>
        <w:t xml:space="preserve"> </w:t>
      </w:r>
      <w:hyperlink r:id="rId1409">
        <w:r>
          <w:rPr>
            <w:rStyle w:val="Hyperlink"/>
          </w:rPr>
          <w:t xml:space="preserve">https://openrouter.ai/blog/announcements/simplifying-our-platform-fee/</w:t>
        </w:r>
      </w:hyperlink>
      <w:r>
        <w:t xml:space="preserve"> </w:t>
      </w:r>
      <w:r>
        <w:t xml:space="preserve">accessed 2026-10-08 [search-tool extract]; A4-S144: OpenRouter Business / plans (and pricing blog posts)</w:t>
      </w:r>
      <w:r>
        <w:t xml:space="preserve"> </w:t>
      </w:r>
      <w:hyperlink r:id="rId1410">
        <w:r>
          <w:rPr>
            <w:rStyle w:val="Hyperlink"/>
          </w:rPr>
          <w:t xml:space="preserve">https://openrouter.ai/business</w:t>
        </w:r>
      </w:hyperlink>
      <w:r>
        <w:t xml:space="preserve"> </w:t>
      </w:r>
      <w:r>
        <w:t xml:space="preserve">accessed 2026-10-07 [search-tool extract]</w:t>
      </w:r>
    </w:p>
  </w:footnote>
  <w:footnote w:id="1417">
    <w:p>
      <w:pPr>
        <w:pStyle w:val="FootnoteText"/>
      </w:pPr>
      <w:r>
        <w:rPr>
          <w:rStyle w:val="FootnoteReference"/>
        </w:rPr>
        <w:footnoteRef/>
      </w:r>
      <w:r>
        <w:t xml:space="preserve"> </w:t>
      </w:r>
      <w:r>
        <w:t xml:space="preserve">Verified fact — V1-S059: Stripe agrees to acquire OpenRouter to help businesses optimize token routing and usage</w:t>
      </w:r>
      <w:r>
        <w:t xml:space="preserve"> </w:t>
      </w:r>
      <w:hyperlink r:id="rId1407">
        <w:r>
          <w:rPr>
            <w:rStyle w:val="Hyperlink"/>
          </w:rPr>
          <w:t xml:space="preserve">https://stripe.com/newsroom/news/stripe-agrees-to-acquire-openrouter</w:t>
        </w:r>
      </w:hyperlink>
      <w:r>
        <w:t xml:space="preserve"> </w:t>
      </w:r>
      <w:r>
        <w:t xml:space="preserve">accessed 2026-10-08 [search-tool extract]</w:t>
      </w:r>
    </w:p>
  </w:footnote>
  <w:footnote w:id="1418">
    <w:p>
      <w:pPr>
        <w:pStyle w:val="FootnoteText"/>
      </w:pPr>
      <w:r>
        <w:rPr>
          <w:rStyle w:val="FootnoteReference"/>
        </w:rPr>
        <w:footnoteRef/>
      </w:r>
      <w:r>
        <w:t xml:space="preserve"> </w:t>
      </w:r>
      <w:r>
        <w:t xml:space="preserve">Verified fact — A4-S150: In-Region Routing: keep your data in the US or EU (OpenRouter blog) and OpenRouter Pricing/Enterprise pages</w:t>
      </w:r>
      <w:r>
        <w:t xml:space="preserve"> </w:t>
      </w:r>
      <w:hyperlink r:id="rId1399">
        <w:r>
          <w:rPr>
            <w:rStyle w:val="Hyperlink"/>
          </w:rPr>
          <w:t xml:space="preserve">https://openrouter.ai/blog/announcements/us-in-region-routing/</w:t>
        </w:r>
      </w:hyperlink>
      <w:r>
        <w:t xml:space="preserve"> </w:t>
      </w:r>
      <w:r>
        <w:t xml:space="preserve">accessed 2026-10-07 [search-tool extract]</w:t>
      </w:r>
    </w:p>
  </w:footnote>
  <w:footnote w:id="1420">
    <w:p>
      <w:pPr>
        <w:pStyle w:val="FootnoteText"/>
      </w:pPr>
      <w:r>
        <w:rPr>
          <w:rStyle w:val="FootnoteReference"/>
        </w:rPr>
        <w:footnoteRef/>
      </w:r>
      <w:r>
        <w:t xml:space="preserve"> </w:t>
      </w:r>
      <w:r>
        <w:t xml:space="preserve">Verified fact — A4-S090: NVIDIA Dynamo README (GitHub)</w:t>
      </w:r>
      <w:r>
        <w:t xml:space="preserve"> </w:t>
      </w:r>
      <w:hyperlink r:id="rId1278">
        <w:r>
          <w:rPr>
            <w:rStyle w:val="Hyperlink"/>
          </w:rPr>
          <w:t xml:space="preserve">https://raw.githubusercontent.com/ai-dynamo/dynamo/main/README.md</w:t>
        </w:r>
      </w:hyperlink>
      <w:r>
        <w:t xml:space="preserve"> </w:t>
      </w:r>
      <w:r>
        <w:t xml:space="preserve">accessed 2026-10-07</w:t>
      </w:r>
    </w:p>
  </w:footnote>
  <w:footnote w:id="1421">
    <w:p>
      <w:pPr>
        <w:pStyle w:val="FootnoteText"/>
      </w:pPr>
      <w:r>
        <w:rPr>
          <w:rStyle w:val="FootnoteReference"/>
        </w:rPr>
        <w:footnoteRef/>
      </w:r>
      <w:r>
        <w:t xml:space="preserve"> </w:t>
      </w:r>
      <w:r>
        <w:t xml:space="preserve">Verified fact — B-L2-S003: Dynamo Support Coverage (NVIDIA)</w:t>
      </w:r>
      <w:r>
        <w:t xml:space="preserve"> </w:t>
      </w:r>
      <w:hyperlink r:id="rId1422">
        <w:r>
          <w:rPr>
            <w:rStyle w:val="Hyperlink"/>
          </w:rPr>
          <w:t xml:space="preserve">https://docs.nvidia.com/dynamo/dev/reference/enterprise/support-coverage</w:t>
        </w:r>
      </w:hyperlink>
      <w:r>
        <w:t xml:space="preserve"> </w:t>
      </w:r>
      <w:r>
        <w:t xml:space="preserve">accessed 2026-10-08 [search-tool extract]</w:t>
      </w:r>
    </w:p>
  </w:footnote>
  <w:footnote w:id="1423">
    <w:p>
      <w:pPr>
        <w:pStyle w:val="FootnoteText"/>
      </w:pPr>
      <w:r>
        <w:rPr>
          <w:rStyle w:val="FootnoteReference"/>
        </w:rPr>
        <w:footnoteRef/>
      </w:r>
      <w:r>
        <w:t xml:space="preserve"> </w:t>
      </w:r>
      <w:r>
        <w:t xml:space="preserve">Verified fact — B-L2-S003: Dynamo Support Coverage (NVIDIA)</w:t>
      </w:r>
      <w:r>
        <w:t xml:space="preserve"> </w:t>
      </w:r>
      <w:hyperlink r:id="rId1422">
        <w:r>
          <w:rPr>
            <w:rStyle w:val="Hyperlink"/>
          </w:rPr>
          <w:t xml:space="preserve">https://docs.nvidia.com/dynamo/dev/reference/enterprise/support-coverage</w:t>
        </w:r>
      </w:hyperlink>
      <w:r>
        <w:t xml:space="preserve"> </w:t>
      </w:r>
      <w:r>
        <w:t xml:space="preserve">accessed 2026-10-08 [search-tool extract]</w:t>
      </w:r>
    </w:p>
  </w:footnote>
  <w:footnote w:id="1424">
    <w:p>
      <w:pPr>
        <w:pStyle w:val="FootnoteText"/>
      </w:pPr>
      <w:r>
        <w:rPr>
          <w:rStyle w:val="FootnoteReference"/>
        </w:rPr>
        <w:footnoteRef/>
      </w:r>
      <w:r>
        <w:t xml:space="preserve"> </w:t>
      </w:r>
      <w:r>
        <w:t xml:space="preserve">Verified fact — A4-S090: NVIDIA Dynamo README (GitHub)</w:t>
      </w:r>
      <w:r>
        <w:t xml:space="preserve"> </w:t>
      </w:r>
      <w:hyperlink r:id="rId1278">
        <w:r>
          <w:rPr>
            <w:rStyle w:val="Hyperlink"/>
          </w:rPr>
          <w:t xml:space="preserve">https://raw.githubusercontent.com/ai-dynamo/dynamo/main/README.md</w:t>
        </w:r>
      </w:hyperlink>
      <w:r>
        <w:t xml:space="preserve"> </w:t>
      </w:r>
      <w:r>
        <w:t xml:space="preserve">accessed 2026-10-07</w:t>
      </w:r>
    </w:p>
  </w:footnote>
  <w:footnote w:id="1425">
    <w:p>
      <w:pPr>
        <w:pStyle w:val="FootnoteText"/>
      </w:pPr>
      <w:r>
        <w:rPr>
          <w:rStyle w:val="FootnoteReference"/>
        </w:rPr>
        <w:footnoteRef/>
      </w:r>
      <w:r>
        <w:t xml:space="preserve"> </w:t>
      </w:r>
      <w:r>
        <w:t xml:space="preserve">Verified fact — A4-S090: NVIDIA Dynamo README (GitHub)</w:t>
      </w:r>
      <w:r>
        <w:t xml:space="preserve"> </w:t>
      </w:r>
      <w:hyperlink r:id="rId1278">
        <w:r>
          <w:rPr>
            <w:rStyle w:val="Hyperlink"/>
          </w:rPr>
          <w:t xml:space="preserve">https://raw.githubusercontent.com/ai-dynamo/dynamo/main/README.md</w:t>
        </w:r>
      </w:hyperlink>
      <w:r>
        <w:t xml:space="preserve"> </w:t>
      </w:r>
      <w:r>
        <w:t xml:space="preserve">accessed 2026-10-07; A4-S091: LMCache README (GitHub) (LMCache project)</w:t>
      </w:r>
      <w:r>
        <w:t xml:space="preserve"> </w:t>
      </w:r>
      <w:hyperlink r:id="rId1426">
        <w:r>
          <w:rPr>
            <w:rStyle w:val="Hyperlink"/>
          </w:rPr>
          <w:t xml:space="preserve">https://raw.githubusercontent.com/LMCache/LMCache/dev/README.md</w:t>
        </w:r>
      </w:hyperlink>
      <w:r>
        <w:t xml:space="preserve"> </w:t>
      </w:r>
      <w:r>
        <w:t xml:space="preserve">accessed 2026-10-07</w:t>
      </w:r>
    </w:p>
  </w:footnote>
  <w:footnote w:id="1427">
    <w:p>
      <w:pPr>
        <w:pStyle w:val="FootnoteText"/>
      </w:pPr>
      <w:r>
        <w:rPr>
          <w:rStyle w:val="FootnoteReference"/>
        </w:rPr>
        <w:footnoteRef/>
      </w:r>
      <w:r>
        <w:t xml:space="preserve"> </w:t>
      </w:r>
      <w:r>
        <w:t xml:space="preserve">Verified fact — A4-S098: PyPI JSON metadata: ai-dynamo (Python Package Index)</w:t>
      </w:r>
      <w:r>
        <w:t xml:space="preserve"> </w:t>
      </w:r>
      <w:hyperlink r:id="rId1428">
        <w:r>
          <w:rPr>
            <w:rStyle w:val="Hyperlink"/>
          </w:rPr>
          <w:t xml:space="preserve">https://pypi.org/pypi/ai-dynamo/json</w:t>
        </w:r>
      </w:hyperlink>
      <w:r>
        <w:t xml:space="preserve"> </w:t>
      </w:r>
      <w:r>
        <w:t xml:space="preserve">accessed 2026-10-07; A4-S090: NVIDIA Dynamo README (GitHub)</w:t>
      </w:r>
      <w:r>
        <w:t xml:space="preserve"> </w:t>
      </w:r>
      <w:hyperlink r:id="rId1278">
        <w:r>
          <w:rPr>
            <w:rStyle w:val="Hyperlink"/>
          </w:rPr>
          <w:t xml:space="preserve">https://raw.githubusercontent.com/ai-dynamo/dynamo/main/README.md</w:t>
        </w:r>
      </w:hyperlink>
      <w:r>
        <w:t xml:space="preserve"> </w:t>
      </w:r>
      <w:r>
        <w:t xml:space="preserve">accessed 2026-10-07; B-L2-S003: Dynamo Support Coverage (NVIDIA)</w:t>
      </w:r>
      <w:r>
        <w:t xml:space="preserve"> </w:t>
      </w:r>
      <w:hyperlink r:id="rId1422">
        <w:r>
          <w:rPr>
            <w:rStyle w:val="Hyperlink"/>
          </w:rPr>
          <w:t xml:space="preserve">https://docs.nvidia.com/dynamo/dev/reference/enterprise/support-coverage</w:t>
        </w:r>
      </w:hyperlink>
      <w:r>
        <w:t xml:space="preserve"> </w:t>
      </w:r>
      <w:r>
        <w:t xml:space="preserve">accessed 2026-10-08 [search-tool extract]</w:t>
      </w:r>
    </w:p>
  </w:footnote>
  <w:footnote w:id="1429">
    <w:p>
      <w:pPr>
        <w:pStyle w:val="FootnoteText"/>
      </w:pPr>
      <w:r>
        <w:rPr>
          <w:rStyle w:val="FootnoteReference"/>
        </w:rPr>
        <w:footnoteRef/>
      </w:r>
      <w:r>
        <w:t xml:space="preserve"> </w:t>
      </w:r>
      <w:r>
        <w:t xml:space="preserve">Verified fact — B-L2-S003: Dynamo Support Coverage (NVIDIA)</w:t>
      </w:r>
      <w:r>
        <w:t xml:space="preserve"> </w:t>
      </w:r>
      <w:hyperlink r:id="rId1422">
        <w:r>
          <w:rPr>
            <w:rStyle w:val="Hyperlink"/>
          </w:rPr>
          <w:t xml:space="preserve">https://docs.nvidia.com/dynamo/dev/reference/enterprise/support-coverage</w:t>
        </w:r>
      </w:hyperlink>
      <w:r>
        <w:t xml:space="preserve"> </w:t>
      </w:r>
      <w:r>
        <w:t xml:space="preserve">accessed 2026-10-08 [search-tool extract]</w:t>
      </w:r>
    </w:p>
  </w:footnote>
  <w:footnote w:id="1430">
    <w:p>
      <w:pPr>
        <w:pStyle w:val="FootnoteText"/>
      </w:pPr>
      <w:r>
        <w:rPr>
          <w:rStyle w:val="FootnoteReference"/>
        </w:rPr>
        <w:footnoteRef/>
      </w:r>
      <w:r>
        <w:t xml:space="preserve"> </w:t>
      </w:r>
      <w:r>
        <w:t xml:space="preserve">Verified fact — A4-S090: NVIDIA Dynamo README (GitHub)</w:t>
      </w:r>
      <w:r>
        <w:t xml:space="preserve"> </w:t>
      </w:r>
      <w:hyperlink r:id="rId1278">
        <w:r>
          <w:rPr>
            <w:rStyle w:val="Hyperlink"/>
          </w:rPr>
          <w:t xml:space="preserve">https://raw.githubusercontent.com/ai-dynamo/dynamo/main/README.md</w:t>
        </w:r>
      </w:hyperlink>
      <w:r>
        <w:t xml:space="preserve"> </w:t>
      </w:r>
      <w:r>
        <w:t xml:space="preserve">accessed 2026-10-07</w:t>
      </w:r>
    </w:p>
  </w:footnote>
  <w:footnote w:id="1431">
    <w:p>
      <w:pPr>
        <w:pStyle w:val="FootnoteText"/>
      </w:pPr>
      <w:r>
        <w:rPr>
          <w:rStyle w:val="FootnoteReference"/>
        </w:rPr>
        <w:footnoteRef/>
      </w:r>
      <w:r>
        <w:t xml:space="preserve"> </w:t>
      </w:r>
      <w:r>
        <w:t xml:space="preserve">Verified fact — A4-S090: NVIDIA Dynamo README (GitHub)</w:t>
      </w:r>
      <w:r>
        <w:t xml:space="preserve"> </w:t>
      </w:r>
      <w:hyperlink r:id="rId1278">
        <w:r>
          <w:rPr>
            <w:rStyle w:val="Hyperlink"/>
          </w:rPr>
          <w:t xml:space="preserve">https://raw.githubusercontent.com/ai-dynamo/dynamo/main/README.md</w:t>
        </w:r>
      </w:hyperlink>
      <w:r>
        <w:t xml:space="preserve"> </w:t>
      </w:r>
      <w:r>
        <w:t xml:space="preserve">accessed 2026-10-07; A4-S098: PyPI JSON metadata: ai-dynamo (Python Package Index)</w:t>
      </w:r>
      <w:r>
        <w:t xml:space="preserve"> </w:t>
      </w:r>
      <w:hyperlink r:id="rId1428">
        <w:r>
          <w:rPr>
            <w:rStyle w:val="Hyperlink"/>
          </w:rPr>
          <w:t xml:space="preserve">https://pypi.org/pypi/ai-dynamo/json</w:t>
        </w:r>
      </w:hyperlink>
      <w:r>
        <w:t xml:space="preserve"> </w:t>
      </w:r>
      <w:r>
        <w:t xml:space="preserve">accessed 2026-10-07</w:t>
      </w:r>
    </w:p>
  </w:footnote>
  <w:footnote w:id="1432">
    <w:p>
      <w:pPr>
        <w:pStyle w:val="FootnoteText"/>
      </w:pPr>
      <w:r>
        <w:rPr>
          <w:rStyle w:val="FootnoteReference"/>
        </w:rPr>
        <w:footnoteRef/>
      </w:r>
      <w:r>
        <w:t xml:space="preserve"> </w:t>
      </w:r>
      <w:r>
        <w:t xml:space="preserve">Verified fact — B-L2-S003: Dynamo Support Coverage (NVIDIA)</w:t>
      </w:r>
      <w:r>
        <w:t xml:space="preserve"> </w:t>
      </w:r>
      <w:hyperlink r:id="rId1422">
        <w:r>
          <w:rPr>
            <w:rStyle w:val="Hyperlink"/>
          </w:rPr>
          <w:t xml:space="preserve">https://docs.nvidia.com/dynamo/dev/reference/enterprise/support-coverage</w:t>
        </w:r>
      </w:hyperlink>
      <w:r>
        <w:t xml:space="preserve"> </w:t>
      </w:r>
      <w:r>
        <w:t xml:space="preserve">accessed 2026-10-08 [search-tool extract]</w:t>
      </w:r>
    </w:p>
  </w:footnote>
  <w:footnote w:id="1433">
    <w:p>
      <w:pPr>
        <w:pStyle w:val="FootnoteText"/>
      </w:pPr>
      <w:r>
        <w:rPr>
          <w:rStyle w:val="FootnoteReference"/>
        </w:rPr>
        <w:footnoteRef/>
      </w:r>
      <w:r>
        <w:t xml:space="preserve"> </w:t>
      </w:r>
      <w:r>
        <w:t xml:space="preserve">Verified fact — A4-S090: NVIDIA Dynamo README (GitHub)</w:t>
      </w:r>
      <w:r>
        <w:t xml:space="preserve"> </w:t>
      </w:r>
      <w:hyperlink r:id="rId1278">
        <w:r>
          <w:rPr>
            <w:rStyle w:val="Hyperlink"/>
          </w:rPr>
          <w:t xml:space="preserve">https://raw.githubusercontent.com/ai-dynamo/dynamo/main/README.md</w:t>
        </w:r>
      </w:hyperlink>
      <w:r>
        <w:t xml:space="preserve"> </w:t>
      </w:r>
      <w:r>
        <w:t xml:space="preserve">accessed 2026-10-07</w:t>
      </w:r>
    </w:p>
  </w:footnote>
  <w:footnote w:id="1434">
    <w:p>
      <w:pPr>
        <w:pStyle w:val="FootnoteText"/>
      </w:pPr>
      <w:r>
        <w:rPr>
          <w:rStyle w:val="FootnoteReference"/>
        </w:rPr>
        <w:footnoteRef/>
      </w:r>
      <w:r>
        <w:t xml:space="preserve"> </w:t>
      </w:r>
      <w:r>
        <w:t xml:space="preserve">Verified fact — A4-S090: NVIDIA Dynamo README (GitHub)</w:t>
      </w:r>
      <w:r>
        <w:t xml:space="preserve"> </w:t>
      </w:r>
      <w:hyperlink r:id="rId1278">
        <w:r>
          <w:rPr>
            <w:rStyle w:val="Hyperlink"/>
          </w:rPr>
          <w:t xml:space="preserve">https://raw.githubusercontent.com/ai-dynamo/dynamo/main/README.md</w:t>
        </w:r>
      </w:hyperlink>
      <w:r>
        <w:t xml:space="preserve"> </w:t>
      </w:r>
      <w:r>
        <w:t xml:space="preserve">accessed 2026-10-07; A4-S091: LMCache README (GitHub) (LMCache project)</w:t>
      </w:r>
      <w:r>
        <w:t xml:space="preserve"> </w:t>
      </w:r>
      <w:hyperlink r:id="rId1426">
        <w:r>
          <w:rPr>
            <w:rStyle w:val="Hyperlink"/>
          </w:rPr>
          <w:t xml:space="preserve">https://raw.githubusercontent.com/LMCache/LMCache/dev/README.md</w:t>
        </w:r>
      </w:hyperlink>
      <w:r>
        <w:t xml:space="preserve"> </w:t>
      </w:r>
      <w:r>
        <w:t xml:space="preserve">accessed 2026-10-07</w:t>
      </w:r>
    </w:p>
  </w:footnote>
  <w:footnote w:id="1435">
    <w:p>
      <w:pPr>
        <w:pStyle w:val="FootnoteText"/>
      </w:pPr>
      <w:r>
        <w:rPr>
          <w:rStyle w:val="FootnoteReference"/>
        </w:rPr>
        <w:footnoteRef/>
      </w:r>
      <w:r>
        <w:t xml:space="preserve"> </w:t>
      </w:r>
      <w:r>
        <w:t xml:space="preserve">Verified fact — A4-S098: PyPI JSON metadata: ai-dynamo (Python Package Index)</w:t>
      </w:r>
      <w:r>
        <w:t xml:space="preserve"> </w:t>
      </w:r>
      <w:hyperlink r:id="rId1428">
        <w:r>
          <w:rPr>
            <w:rStyle w:val="Hyperlink"/>
          </w:rPr>
          <w:t xml:space="preserve">https://pypi.org/pypi/ai-dynamo/json</w:t>
        </w:r>
      </w:hyperlink>
      <w:r>
        <w:t xml:space="preserve"> </w:t>
      </w:r>
      <w:r>
        <w:t xml:space="preserve">accessed 2026-10-07; A4-S090: NVIDIA Dynamo README (GitHub)</w:t>
      </w:r>
      <w:r>
        <w:t xml:space="preserve"> </w:t>
      </w:r>
      <w:hyperlink r:id="rId1278">
        <w:r>
          <w:rPr>
            <w:rStyle w:val="Hyperlink"/>
          </w:rPr>
          <w:t xml:space="preserve">https://raw.githubusercontent.com/ai-dynamo/dynamo/main/README.md</w:t>
        </w:r>
      </w:hyperlink>
      <w:r>
        <w:t xml:space="preserve"> </w:t>
      </w:r>
      <w:r>
        <w:t xml:space="preserve">accessed 2026-10-07</w:t>
      </w:r>
    </w:p>
  </w:footnote>
  <w:footnote w:id="1436">
    <w:p>
      <w:pPr>
        <w:pStyle w:val="FootnoteText"/>
      </w:pPr>
      <w:r>
        <w:rPr>
          <w:rStyle w:val="FootnoteReference"/>
        </w:rPr>
        <w:footnoteRef/>
      </w:r>
      <w:r>
        <w:t xml:space="preserve"> </w:t>
      </w:r>
      <w:r>
        <w:t xml:space="preserve">Verified fact — B-L2-S003: Dynamo Support Coverage (NVIDIA)</w:t>
      </w:r>
      <w:r>
        <w:t xml:space="preserve"> </w:t>
      </w:r>
      <w:hyperlink r:id="rId1422">
        <w:r>
          <w:rPr>
            <w:rStyle w:val="Hyperlink"/>
          </w:rPr>
          <w:t xml:space="preserve">https://docs.nvidia.com/dynamo/dev/reference/enterprise/support-coverage</w:t>
        </w:r>
      </w:hyperlink>
      <w:r>
        <w:t xml:space="preserve"> </w:t>
      </w:r>
      <w:r>
        <w:t xml:space="preserve">accessed 2026-10-08 [search-tool extract]</w:t>
      </w:r>
    </w:p>
  </w:footnote>
  <w:footnote w:id="1437">
    <w:p>
      <w:pPr>
        <w:pStyle w:val="FootnoteText"/>
      </w:pPr>
      <w:r>
        <w:rPr>
          <w:rStyle w:val="FootnoteReference"/>
        </w:rPr>
        <w:footnoteRef/>
      </w:r>
      <w:r>
        <w:t xml:space="preserve"> </w:t>
      </w:r>
      <w:r>
        <w:t xml:space="preserve">Verified fact — A4-S090: NVIDIA Dynamo README (GitHub)</w:t>
      </w:r>
      <w:r>
        <w:t xml:space="preserve"> </w:t>
      </w:r>
      <w:hyperlink r:id="rId1278">
        <w:r>
          <w:rPr>
            <w:rStyle w:val="Hyperlink"/>
          </w:rPr>
          <w:t xml:space="preserve">https://raw.githubusercontent.com/ai-dynamo/dynamo/main/README.md</w:t>
        </w:r>
      </w:hyperlink>
      <w:r>
        <w:t xml:space="preserve"> </w:t>
      </w:r>
      <w:r>
        <w:t xml:space="preserve">accessed 2026-10-07</w:t>
      </w:r>
    </w:p>
  </w:footnote>
  <w:footnote w:id="1438">
    <w:p>
      <w:pPr>
        <w:pStyle w:val="FootnoteText"/>
      </w:pPr>
      <w:r>
        <w:rPr>
          <w:rStyle w:val="FootnoteReference"/>
        </w:rPr>
        <w:footnoteRef/>
      </w:r>
      <w:r>
        <w:t xml:space="preserve"> </w:t>
      </w:r>
      <w:r>
        <w:t xml:space="preserve">Verified fact — B-L2-S003: Dynamo Support Coverage (NVIDIA)</w:t>
      </w:r>
      <w:r>
        <w:t xml:space="preserve"> </w:t>
      </w:r>
      <w:hyperlink r:id="rId1422">
        <w:r>
          <w:rPr>
            <w:rStyle w:val="Hyperlink"/>
          </w:rPr>
          <w:t xml:space="preserve">https://docs.nvidia.com/dynamo/dev/reference/enterprise/support-coverage</w:t>
        </w:r>
      </w:hyperlink>
      <w:r>
        <w:t xml:space="preserve"> </w:t>
      </w:r>
      <w:r>
        <w:t xml:space="preserve">accessed 2026-10-08 [search-tool extract]</w:t>
      </w:r>
    </w:p>
  </w:footnote>
  <w:footnote w:id="1440">
    <w:p>
      <w:pPr>
        <w:pStyle w:val="FootnoteText"/>
      </w:pPr>
      <w:r>
        <w:rPr>
          <w:rStyle w:val="FootnoteReference"/>
        </w:rPr>
        <w:footnoteRef/>
      </w:r>
      <w:r>
        <w:t xml:space="preserve"> </w:t>
      </w:r>
      <w:r>
        <w:t xml:space="preserve">Verified fact — A4-S084: Ollama Cloud docs</w:t>
      </w:r>
      <w:r>
        <w:t xml:space="preserve"> </w:t>
      </w:r>
      <w:hyperlink r:id="rId1441">
        <w:r>
          <w:rPr>
            <w:rStyle w:val="Hyperlink"/>
          </w:rPr>
          <w:t xml:space="preserve">https://raw.githubusercontent.com/ollama/ollama/main/docs/cloud.mdx</w:t>
        </w:r>
      </w:hyperlink>
      <w:r>
        <w:t xml:space="preserve"> </w:t>
      </w:r>
      <w:r>
        <w:t xml:space="preserve">accessed 2026-10-07</w:t>
      </w:r>
    </w:p>
  </w:footnote>
  <w:footnote w:id="1442">
    <w:p>
      <w:pPr>
        <w:pStyle w:val="FootnoteText"/>
      </w:pPr>
      <w:r>
        <w:rPr>
          <w:rStyle w:val="FootnoteReference"/>
        </w:rPr>
        <w:footnoteRef/>
      </w:r>
      <w:r>
        <w:t xml:space="preserve"> </w:t>
      </w:r>
      <w:r>
        <w:t xml:space="preserve">Verified fact — B-L2-S007: FAQ - Ollama</w:t>
      </w:r>
      <w:r>
        <w:t xml:space="preserve"> </w:t>
      </w:r>
      <w:hyperlink r:id="rId1443">
        <w:r>
          <w:rPr>
            <w:rStyle w:val="Hyperlink"/>
          </w:rPr>
          <w:t xml:space="preserve">https://docs.ollama.com/faq</w:t>
        </w:r>
      </w:hyperlink>
      <w:r>
        <w:t xml:space="preserve"> </w:t>
      </w:r>
      <w:r>
        <w:t xml:space="preserve">accessed 2026-10-08 [search-tool extract]</w:t>
      </w:r>
    </w:p>
  </w:footnote>
  <w:footnote w:id="1444">
    <w:p>
      <w:pPr>
        <w:pStyle w:val="FootnoteText"/>
      </w:pPr>
      <w:r>
        <w:rPr>
          <w:rStyle w:val="FootnoteReference"/>
        </w:rPr>
        <w:footnoteRef/>
      </w:r>
      <w:r>
        <w:t xml:space="preserve"> </w:t>
      </w:r>
      <w:r>
        <w:t xml:space="preserve">Verified fact — A4-S084: Ollama Cloud docs</w:t>
      </w:r>
      <w:r>
        <w:t xml:space="preserve"> </w:t>
      </w:r>
      <w:hyperlink r:id="rId1441">
        <w:r>
          <w:rPr>
            <w:rStyle w:val="Hyperlink"/>
          </w:rPr>
          <w:t xml:space="preserve">https://raw.githubusercontent.com/ollama/ollama/main/docs/cloud.mdx</w:t>
        </w:r>
      </w:hyperlink>
      <w:r>
        <w:t xml:space="preserve"> </w:t>
      </w:r>
      <w:r>
        <w:t xml:space="preserve">accessed 2026-10-07; A4-S085: Ollama FAQ</w:t>
      </w:r>
      <w:r>
        <w:t xml:space="preserve"> </w:t>
      </w:r>
      <w:hyperlink r:id="rId1445">
        <w:r>
          <w:rPr>
            <w:rStyle w:val="Hyperlink"/>
          </w:rPr>
          <w:t xml:space="preserve">https://raw.githubusercontent.com/ollama/ollama/main/docs/faq.mdx</w:t>
        </w:r>
      </w:hyperlink>
      <w:r>
        <w:t xml:space="preserve"> </w:t>
      </w:r>
      <w:r>
        <w:t xml:space="preserve">accessed 2026-10-07</w:t>
      </w:r>
    </w:p>
  </w:footnote>
  <w:footnote w:id="1446">
    <w:p>
      <w:pPr>
        <w:pStyle w:val="FootnoteText"/>
      </w:pPr>
      <w:r>
        <w:rPr>
          <w:rStyle w:val="FootnoteReference"/>
        </w:rPr>
        <w:footnoteRef/>
      </w:r>
      <w:r>
        <w:t xml:space="preserve"> </w:t>
      </w:r>
      <w:r>
        <w:t xml:space="preserve">Verified fact — A4-S084: Ollama Cloud docs</w:t>
      </w:r>
      <w:r>
        <w:t xml:space="preserve"> </w:t>
      </w:r>
      <w:hyperlink r:id="rId1441">
        <w:r>
          <w:rPr>
            <w:rStyle w:val="Hyperlink"/>
          </w:rPr>
          <w:t xml:space="preserve">https://raw.githubusercontent.com/ollama/ollama/main/docs/cloud.mdx</w:t>
        </w:r>
      </w:hyperlink>
      <w:r>
        <w:t xml:space="preserve"> </w:t>
      </w:r>
      <w:r>
        <w:t xml:space="preserve">accessed 2026-10-07</w:t>
      </w:r>
    </w:p>
  </w:footnote>
  <w:footnote w:id="1447">
    <w:p>
      <w:pPr>
        <w:pStyle w:val="FootnoteText"/>
      </w:pPr>
      <w:r>
        <w:rPr>
          <w:rStyle w:val="FootnoteReference"/>
        </w:rPr>
        <w:footnoteRef/>
      </w:r>
      <w:r>
        <w:t xml:space="preserve"> </w:t>
      </w:r>
      <w:r>
        <w:t xml:space="preserve">Verified fact — V1-S066: Pricing - Ollama; Ollama’s transparent pricing (31 Aug 2026)</w:t>
      </w:r>
      <w:r>
        <w:t xml:space="preserve"> </w:t>
      </w:r>
      <w:hyperlink r:id="rId1448">
        <w:r>
          <w:rPr>
            <w:rStyle w:val="Hyperlink"/>
          </w:rPr>
          <w:t xml:space="preserve">https://ollama.com/pricing</w:t>
        </w:r>
      </w:hyperlink>
      <w:r>
        <w:t xml:space="preserve"> </w:t>
      </w:r>
      <w:r>
        <w:t xml:space="preserve">accessed 2026-10-08 [search-tool extract]</w:t>
      </w:r>
    </w:p>
  </w:footnote>
  <w:footnote w:id="1449">
    <w:p>
      <w:pPr>
        <w:pStyle w:val="FootnoteText"/>
      </w:pPr>
      <w:r>
        <w:rPr>
          <w:rStyle w:val="FootnoteReference"/>
        </w:rPr>
        <w:footnoteRef/>
      </w:r>
      <w:r>
        <w:t xml:space="preserve"> </w:t>
      </w:r>
      <w:r>
        <w:t xml:space="preserve">Verified fact — V1-S066: Pricing - Ollama; Ollama’s transparent pricing (31 Aug 2026)</w:t>
      </w:r>
      <w:r>
        <w:t xml:space="preserve"> </w:t>
      </w:r>
      <w:hyperlink r:id="rId1448">
        <w:r>
          <w:rPr>
            <w:rStyle w:val="Hyperlink"/>
          </w:rPr>
          <w:t xml:space="preserve">https://ollama.com/pricing</w:t>
        </w:r>
      </w:hyperlink>
      <w:r>
        <w:t xml:space="preserve"> </w:t>
      </w:r>
      <w:r>
        <w:t xml:space="preserve">accessed 2026-10-08 [search-tool extract]</w:t>
      </w:r>
    </w:p>
  </w:footnote>
  <w:footnote w:id="1450">
    <w:p>
      <w:pPr>
        <w:pStyle w:val="FootnoteText"/>
      </w:pPr>
      <w:r>
        <w:rPr>
          <w:rStyle w:val="FootnoteReference"/>
        </w:rPr>
        <w:footnoteRef/>
      </w:r>
      <w:r>
        <w:t xml:space="preserve"> </w:t>
      </w:r>
      <w:r>
        <w:t xml:space="preserve">Verified fact — A4-S086: Ollama LICENSE</w:t>
      </w:r>
      <w:r>
        <w:t xml:space="preserve"> </w:t>
      </w:r>
      <w:hyperlink r:id="rId1451">
        <w:r>
          <w:rPr>
            <w:rStyle w:val="Hyperlink"/>
          </w:rPr>
          <w:t xml:space="preserve">https://raw.githubusercontent.com/ollama/ollama/main/LICENSE</w:t>
        </w:r>
      </w:hyperlink>
      <w:r>
        <w:t xml:space="preserve"> </w:t>
      </w:r>
      <w:r>
        <w:t xml:space="preserve">accessed 2026-10-07</w:t>
      </w:r>
    </w:p>
  </w:footnote>
  <w:footnote w:id="1452">
    <w:p>
      <w:pPr>
        <w:pStyle w:val="FootnoteText"/>
      </w:pPr>
      <w:r>
        <w:rPr>
          <w:rStyle w:val="FootnoteReference"/>
        </w:rPr>
        <w:footnoteRef/>
      </w:r>
      <w:r>
        <w:t xml:space="preserve"> </w:t>
      </w:r>
      <w:r>
        <w:t xml:space="preserve">Verified fact — A4-S084: Ollama Cloud docs</w:t>
      </w:r>
      <w:r>
        <w:t xml:space="preserve"> </w:t>
      </w:r>
      <w:hyperlink r:id="rId1441">
        <w:r>
          <w:rPr>
            <w:rStyle w:val="Hyperlink"/>
          </w:rPr>
          <w:t xml:space="preserve">https://raw.githubusercontent.com/ollama/ollama/main/docs/cloud.mdx</w:t>
        </w:r>
      </w:hyperlink>
      <w:r>
        <w:t xml:space="preserve"> </w:t>
      </w:r>
      <w:r>
        <w:t xml:space="preserve">accessed 2026-10-07; A4-S085: Ollama FAQ</w:t>
      </w:r>
      <w:r>
        <w:t xml:space="preserve"> </w:t>
      </w:r>
      <w:hyperlink r:id="rId1445">
        <w:r>
          <w:rPr>
            <w:rStyle w:val="Hyperlink"/>
          </w:rPr>
          <w:t xml:space="preserve">https://raw.githubusercontent.com/ollama/ollama/main/docs/faq.mdx</w:t>
        </w:r>
      </w:hyperlink>
      <w:r>
        <w:t xml:space="preserve"> </w:t>
      </w:r>
      <w:r>
        <w:t xml:space="preserve">accessed 2026-10-07; A4-S086: Ollama LICENSE</w:t>
      </w:r>
      <w:r>
        <w:t xml:space="preserve"> </w:t>
      </w:r>
      <w:hyperlink r:id="rId1451">
        <w:r>
          <w:rPr>
            <w:rStyle w:val="Hyperlink"/>
          </w:rPr>
          <w:t xml:space="preserve">https://raw.githubusercontent.com/ollama/ollama/main/LICENSE</w:t>
        </w:r>
      </w:hyperlink>
      <w:r>
        <w:t xml:space="preserve"> </w:t>
      </w:r>
      <w:r>
        <w:t xml:space="preserve">accessed 2026-10-07; V1-S066: Pricing - Ollama; Ollama’s transparent pricing (31 Aug 2026)</w:t>
      </w:r>
      <w:r>
        <w:t xml:space="preserve"> </w:t>
      </w:r>
      <w:hyperlink r:id="rId1448">
        <w:r>
          <w:rPr>
            <w:rStyle w:val="Hyperlink"/>
          </w:rPr>
          <w:t xml:space="preserve">https://ollama.com/pricing</w:t>
        </w:r>
      </w:hyperlink>
      <w:r>
        <w:t xml:space="preserve"> </w:t>
      </w:r>
      <w:r>
        <w:t xml:space="preserve">accessed 2026-10-08 [search-tool extract]</w:t>
      </w:r>
    </w:p>
  </w:footnote>
  <w:footnote w:id="1453">
    <w:p>
      <w:pPr>
        <w:pStyle w:val="FootnoteText"/>
      </w:pPr>
      <w:r>
        <w:rPr>
          <w:rStyle w:val="FootnoteReference"/>
        </w:rPr>
        <w:footnoteRef/>
      </w:r>
      <w:r>
        <w:t xml:space="preserve"> </w:t>
      </w:r>
      <w:r>
        <w:t xml:space="preserve">Verified fact — B-L2-S007: FAQ - Ollama</w:t>
      </w:r>
      <w:r>
        <w:t xml:space="preserve"> </w:t>
      </w:r>
      <w:hyperlink r:id="rId1443">
        <w:r>
          <w:rPr>
            <w:rStyle w:val="Hyperlink"/>
          </w:rPr>
          <w:t xml:space="preserve">https://docs.ollama.com/faq</w:t>
        </w:r>
      </w:hyperlink>
      <w:r>
        <w:t xml:space="preserve"> </w:t>
      </w:r>
      <w:r>
        <w:t xml:space="preserve">accessed 2026-10-08 [search-tool extract]</w:t>
      </w:r>
    </w:p>
  </w:footnote>
  <w:footnote w:id="1454">
    <w:p>
      <w:pPr>
        <w:pStyle w:val="FootnoteText"/>
      </w:pPr>
      <w:r>
        <w:rPr>
          <w:rStyle w:val="FootnoteReference"/>
        </w:rPr>
        <w:footnoteRef/>
      </w:r>
      <w:r>
        <w:t xml:space="preserve"> </w:t>
      </w:r>
      <w:r>
        <w:t xml:space="preserve">Verified fact — A4-S086: Ollama LICENSE</w:t>
      </w:r>
      <w:r>
        <w:t xml:space="preserve"> </w:t>
      </w:r>
      <w:hyperlink r:id="rId1451">
        <w:r>
          <w:rPr>
            <w:rStyle w:val="Hyperlink"/>
          </w:rPr>
          <w:t xml:space="preserve">https://raw.githubusercontent.com/ollama/ollama/main/LICENSE</w:t>
        </w:r>
      </w:hyperlink>
      <w:r>
        <w:t xml:space="preserve"> </w:t>
      </w:r>
      <w:r>
        <w:t xml:space="preserve">accessed 2026-10-07</w:t>
      </w:r>
    </w:p>
  </w:footnote>
  <w:footnote w:id="1455">
    <w:p>
      <w:pPr>
        <w:pStyle w:val="FootnoteText"/>
      </w:pPr>
      <w:r>
        <w:rPr>
          <w:rStyle w:val="FootnoteReference"/>
        </w:rPr>
        <w:footnoteRef/>
      </w:r>
      <w:r>
        <w:t xml:space="preserve"> </w:t>
      </w:r>
      <w:r>
        <w:t xml:space="preserve">Verified fact — A4-S085: Ollama FAQ</w:t>
      </w:r>
      <w:r>
        <w:t xml:space="preserve"> </w:t>
      </w:r>
      <w:hyperlink r:id="rId1445">
        <w:r>
          <w:rPr>
            <w:rStyle w:val="Hyperlink"/>
          </w:rPr>
          <w:t xml:space="preserve">https://raw.githubusercontent.com/ollama/ollama/main/docs/faq.mdx</w:t>
        </w:r>
      </w:hyperlink>
      <w:r>
        <w:t xml:space="preserve"> </w:t>
      </w:r>
      <w:r>
        <w:t xml:space="preserve">accessed 2026-10-07</w:t>
      </w:r>
    </w:p>
  </w:footnote>
  <w:footnote w:id="1456">
    <w:p>
      <w:pPr>
        <w:pStyle w:val="FootnoteText"/>
      </w:pPr>
      <w:r>
        <w:rPr>
          <w:rStyle w:val="FootnoteReference"/>
        </w:rPr>
        <w:footnoteRef/>
      </w:r>
      <w:r>
        <w:t xml:space="preserve"> </w:t>
      </w:r>
      <w:r>
        <w:t xml:space="preserve">Verified fact — A4-S084: Ollama Cloud docs</w:t>
      </w:r>
      <w:r>
        <w:t xml:space="preserve"> </w:t>
      </w:r>
      <w:hyperlink r:id="rId1441">
        <w:r>
          <w:rPr>
            <w:rStyle w:val="Hyperlink"/>
          </w:rPr>
          <w:t xml:space="preserve">https://raw.githubusercontent.com/ollama/ollama/main/docs/cloud.mdx</w:t>
        </w:r>
      </w:hyperlink>
      <w:r>
        <w:t xml:space="preserve"> </w:t>
      </w:r>
      <w:r>
        <w:t xml:space="preserve">accessed 2026-10-07</w:t>
      </w:r>
    </w:p>
  </w:footnote>
  <w:footnote w:id="1457">
    <w:p>
      <w:pPr>
        <w:pStyle w:val="FootnoteText"/>
      </w:pPr>
      <w:r>
        <w:rPr>
          <w:rStyle w:val="FootnoteReference"/>
        </w:rPr>
        <w:footnoteRef/>
      </w:r>
      <w:r>
        <w:t xml:space="preserve"> </w:t>
      </w:r>
      <w:r>
        <w:t xml:space="preserve">Verified fact — B-L2-S007: FAQ - Ollama</w:t>
      </w:r>
      <w:r>
        <w:t xml:space="preserve"> </w:t>
      </w:r>
      <w:hyperlink r:id="rId1443">
        <w:r>
          <w:rPr>
            <w:rStyle w:val="Hyperlink"/>
          </w:rPr>
          <w:t xml:space="preserve">https://docs.ollama.com/faq</w:t>
        </w:r>
      </w:hyperlink>
      <w:r>
        <w:t xml:space="preserve"> </w:t>
      </w:r>
      <w:r>
        <w:t xml:space="preserve">accessed 2026-10-08 [search-tool extract]</w:t>
      </w:r>
    </w:p>
  </w:footnote>
  <w:footnote w:id="1459">
    <w:p>
      <w:pPr>
        <w:pStyle w:val="FootnoteText"/>
      </w:pPr>
      <w:r>
        <w:rPr>
          <w:rStyle w:val="FootnoteReference"/>
        </w:rPr>
        <w:footnoteRef/>
      </w:r>
      <w:r>
        <w:t xml:space="preserve"> </w:t>
      </w:r>
      <w:r>
        <w:t xml:space="preserve">Verified fact — A4-S095: PyPI JSON metadata: cerebras-cloud-sdk (Python Package Index)</w:t>
      </w:r>
      <w:r>
        <w:t xml:space="preserve"> </w:t>
      </w:r>
      <w:hyperlink r:id="rId1460">
        <w:r>
          <w:rPr>
            <w:rStyle w:val="Hyperlink"/>
          </w:rPr>
          <w:t xml:space="preserve">https://pypi.org/pypi/cerebras-cloud-sdk/json</w:t>
        </w:r>
      </w:hyperlink>
      <w:r>
        <w:t xml:space="preserve"> </w:t>
      </w:r>
      <w:r>
        <w:t xml:space="preserve">accessed 2026-10-07; A4-S139: Pricing - Build with Cerebras Inference (Cerebras Systems)</w:t>
      </w:r>
      <w:r>
        <w:t xml:space="preserve"> </w:t>
      </w:r>
      <w:hyperlink r:id="rId1461">
        <w:r>
          <w:rPr>
            <w:rStyle w:val="Hyperlink"/>
          </w:rPr>
          <w:t xml:space="preserve">https://inference-docs.cerebras.ai/support/pricing</w:t>
        </w:r>
      </w:hyperlink>
      <w:r>
        <w:t xml:space="preserve"> </w:t>
      </w:r>
      <w:r>
        <w:t xml:space="preserve">accessed 2026-10-07 [search-tool extract]</w:t>
      </w:r>
    </w:p>
  </w:footnote>
  <w:footnote w:id="1462">
    <w:p>
      <w:pPr>
        <w:pStyle w:val="FootnoteText"/>
      </w:pPr>
      <w:r>
        <w:rPr>
          <w:rStyle w:val="FootnoteReference"/>
        </w:rPr>
        <w:footnoteRef/>
      </w:r>
      <w:r>
        <w:t xml:space="preserve"> </w:t>
      </w:r>
      <w:r>
        <w:t xml:space="preserve">Verified fact — A4-S153: Cloud Console / Projects - Cerebras Inference docs (with Cerebras Privacy Policy) (Cerebras Systems)</w:t>
      </w:r>
      <w:r>
        <w:t xml:space="preserve"> </w:t>
      </w:r>
      <w:hyperlink r:id="rId1463">
        <w:r>
          <w:rPr>
            <w:rStyle w:val="Hyperlink"/>
          </w:rPr>
          <w:t xml:space="preserve">https://inference-docs.cerebras.ai/console/overview</w:t>
        </w:r>
      </w:hyperlink>
      <w:r>
        <w:t xml:space="preserve"> </w:t>
      </w:r>
      <w:r>
        <w:t xml:space="preserve">accessed 2026-10-07 [search-tool extract]</w:t>
      </w:r>
    </w:p>
  </w:footnote>
  <w:footnote w:id="1464">
    <w:p>
      <w:pPr>
        <w:pStyle w:val="FootnoteText"/>
      </w:pPr>
      <w:r>
        <w:rPr>
          <w:rStyle w:val="FootnoteReference"/>
        </w:rPr>
        <w:footnoteRef/>
      </w:r>
      <w:r>
        <w:t xml:space="preserve"> </w:t>
      </w:r>
      <w:r>
        <w:t xml:space="preserve">Verified fact — A4-S138: Cerebras Systems Trust Center (and Cerebras Inference blog posts on data retention)</w:t>
      </w:r>
      <w:r>
        <w:t xml:space="preserve"> </w:t>
      </w:r>
      <w:hyperlink r:id="rId1465">
        <w:r>
          <w:rPr>
            <w:rStyle w:val="Hyperlink"/>
          </w:rPr>
          <w:t xml:space="preserve">https://trust.cerebras.ai/</w:t>
        </w:r>
      </w:hyperlink>
      <w:r>
        <w:t xml:space="preserve"> </w:t>
      </w:r>
      <w:r>
        <w:t xml:space="preserve">accessed 2026-10-07 [search-tool extract]; V1-S095: Cerebras Systems Trust Center; six new datacenters press release (March 2025)</w:t>
      </w:r>
      <w:r>
        <w:t xml:space="preserve"> </w:t>
      </w:r>
      <w:hyperlink r:id="rId1465">
        <w:r>
          <w:rPr>
            <w:rStyle w:val="Hyperlink"/>
          </w:rPr>
          <w:t xml:space="preserve">https://trust.cerebras.ai/</w:t>
        </w:r>
      </w:hyperlink>
      <w:r>
        <w:t xml:space="preserve"> </w:t>
      </w:r>
      <w:r>
        <w:t xml:space="preserve">accessed 2026-10-08 [search-tool extract]</w:t>
      </w:r>
    </w:p>
  </w:footnote>
  <w:footnote w:id="1466">
    <w:p>
      <w:pPr>
        <w:pStyle w:val="FootnoteText"/>
      </w:pPr>
      <w:r>
        <w:rPr>
          <w:rStyle w:val="FootnoteReference"/>
        </w:rPr>
        <w:footnoteRef/>
      </w:r>
      <w:r>
        <w:t xml:space="preserve"> </w:t>
      </w:r>
      <w:r>
        <w:t xml:space="preserve">Verified fact — A4-S139: Pricing - Build with Cerebras Inference (Cerebras Systems)</w:t>
      </w:r>
      <w:r>
        <w:t xml:space="preserve"> </w:t>
      </w:r>
      <w:hyperlink r:id="rId1461">
        <w:r>
          <w:rPr>
            <w:rStyle w:val="Hyperlink"/>
          </w:rPr>
          <w:t xml:space="preserve">https://inference-docs.cerebras.ai/support/pricing</w:t>
        </w:r>
      </w:hyperlink>
      <w:r>
        <w:t xml:space="preserve"> </w:t>
      </w:r>
      <w:r>
        <w:t xml:space="preserve">accessed 2026-10-07 [search-tool extract]; A4-S095: PyPI JSON metadata: cerebras-cloud-sdk (Python Package Index)</w:t>
      </w:r>
      <w:r>
        <w:t xml:space="preserve"> </w:t>
      </w:r>
      <w:hyperlink r:id="rId1460">
        <w:r>
          <w:rPr>
            <w:rStyle w:val="Hyperlink"/>
          </w:rPr>
          <w:t xml:space="preserve">https://pypi.org/pypi/cerebras-cloud-sdk/json</w:t>
        </w:r>
      </w:hyperlink>
      <w:r>
        <w:t xml:space="preserve"> </w:t>
      </w:r>
      <w:r>
        <w:t xml:space="preserve">accessed 2026-10-07; A4-S140: Cerebras Systems Accelerates European Expansion with 200MW of AI Compute Capacity by End of 2027 (8 Jul 2026) and Mikkeli, Finland release (31 Aug 2026)</w:t>
      </w:r>
      <w:r>
        <w:t xml:space="preserve"> </w:t>
      </w:r>
      <w:hyperlink r:id="rId1467">
        <w:r>
          <w:rPr>
            <w:rStyle w:val="Hyperlink"/>
          </w:rPr>
          <w:t xml:space="preserve">https://investors.cerebras.ai/news-releases/news-release-details/cerebras-systems-accelerates-european-expansion-200mw-ai-compute</w:t>
        </w:r>
      </w:hyperlink>
      <w:r>
        <w:t xml:space="preserve"> </w:t>
      </w:r>
      <w:r>
        <w:t xml:space="preserve">accessed 2026-10-07 [search-tool extract]</w:t>
      </w:r>
    </w:p>
  </w:footnote>
  <w:footnote w:id="1468">
    <w:p>
      <w:pPr>
        <w:pStyle w:val="FootnoteText"/>
      </w:pPr>
      <w:r>
        <w:rPr>
          <w:rStyle w:val="FootnoteReference"/>
        </w:rPr>
        <w:footnoteRef/>
      </w:r>
      <w:r>
        <w:t xml:space="preserve"> </w:t>
      </w:r>
      <w:r>
        <w:t xml:space="preserve">Verified fact — A4-S139: Pricing - Build with Cerebras Inference (Cerebras Systems)</w:t>
      </w:r>
      <w:r>
        <w:t xml:space="preserve"> </w:t>
      </w:r>
      <w:hyperlink r:id="rId1461">
        <w:r>
          <w:rPr>
            <w:rStyle w:val="Hyperlink"/>
          </w:rPr>
          <w:t xml:space="preserve">https://inference-docs.cerebras.ai/support/pricing</w:t>
        </w:r>
      </w:hyperlink>
      <w:r>
        <w:t xml:space="preserve"> </w:t>
      </w:r>
      <w:r>
        <w:t xml:space="preserve">accessed 2026-10-07 [search-tool extract]; A4-S075: Hugging Face Inference Providers</w:t>
      </w:r>
      <w:r>
        <w:t xml:space="preserve"> </w:t>
      </w:r>
      <w:hyperlink r:id="rId1292">
        <w:r>
          <w:rPr>
            <w:rStyle w:val="Hyperlink"/>
          </w:rPr>
          <w:t xml:space="preserve">https://raw.githubusercontent.com/huggingface/hub-docs/main/docs/inference-providers/index.md</w:t>
        </w:r>
      </w:hyperlink>
      <w:r>
        <w:t xml:space="preserve"> </w:t>
      </w:r>
      <w:r>
        <w:t xml:space="preserve">accessed 2026-10-07</w:t>
      </w:r>
    </w:p>
  </w:footnote>
  <w:footnote w:id="1469">
    <w:p>
      <w:pPr>
        <w:pStyle w:val="FootnoteText"/>
      </w:pPr>
      <w:r>
        <w:rPr>
          <w:rStyle w:val="FootnoteReference"/>
        </w:rPr>
        <w:footnoteRef/>
      </w:r>
      <w:r>
        <w:t xml:space="preserve"> </w:t>
      </w:r>
      <w:r>
        <w:t xml:space="preserve">Verified fact — A4-S137: Cerebras Systems Announces Pricing of Initial Public Offering</w:t>
      </w:r>
      <w:r>
        <w:t xml:space="preserve"> </w:t>
      </w:r>
      <w:hyperlink r:id="rId1470">
        <w:r>
          <w:rPr>
            <w:rStyle w:val="Hyperlink"/>
          </w:rPr>
          <w:t xml:space="preserve">https://www.cerebras.ai/press-release/cerebras-systems-announces-pricing-of-initial-public-offering</w:t>
        </w:r>
      </w:hyperlink>
      <w:r>
        <w:t xml:space="preserve"> </w:t>
      </w:r>
      <w:r>
        <w:t xml:space="preserve">accessed 2026-10-07 [search-tool extract]; A4-S154: Cerebras Systems Inc. Form 10-Q (quarter ended 30 June 2026) and related S-1/8-K filings (Cerebras Systems Inc. (SEC EDGAR))</w:t>
      </w:r>
      <w:r>
        <w:t xml:space="preserve"> </w:t>
      </w:r>
      <w:hyperlink r:id="rId1471">
        <w:r>
          <w:rPr>
            <w:rStyle w:val="Hyperlink"/>
          </w:rPr>
          <w:t xml:space="preserve">https://www.sec.gov/Archives/edgar/data/0002021728/000162828026056357/cbrs-20260630.htm</w:t>
        </w:r>
      </w:hyperlink>
      <w:r>
        <w:t xml:space="preserve"> </w:t>
      </w:r>
      <w:r>
        <w:t xml:space="preserve">accessed 2026-10-07 [search-tool extract]</w:t>
      </w:r>
    </w:p>
  </w:footnote>
  <w:footnote w:id="1472">
    <w:p>
      <w:pPr>
        <w:pStyle w:val="FootnoteText"/>
      </w:pPr>
      <w:r>
        <w:rPr>
          <w:rStyle w:val="FootnoteReference"/>
        </w:rPr>
        <w:footnoteRef/>
      </w:r>
      <w:r>
        <w:t xml:space="preserve"> </w:t>
      </w:r>
      <w:r>
        <w:t xml:space="preserve">Verified fact — A4-S139: Pricing - Build with Cerebras Inference (Cerebras Systems)</w:t>
      </w:r>
      <w:r>
        <w:t xml:space="preserve"> </w:t>
      </w:r>
      <w:hyperlink r:id="rId1461">
        <w:r>
          <w:rPr>
            <w:rStyle w:val="Hyperlink"/>
          </w:rPr>
          <w:t xml:space="preserve">https://inference-docs.cerebras.ai/support/pricing</w:t>
        </w:r>
      </w:hyperlink>
      <w:r>
        <w:t xml:space="preserve"> </w:t>
      </w:r>
      <w:r>
        <w:t xml:space="preserve">accessed 2026-10-07 [search-tool extract]</w:t>
      </w:r>
    </w:p>
  </w:footnote>
  <w:footnote w:id="1473">
    <w:p>
      <w:pPr>
        <w:pStyle w:val="FootnoteText"/>
      </w:pPr>
      <w:r>
        <w:rPr>
          <w:rStyle w:val="FootnoteReference"/>
        </w:rPr>
        <w:footnoteRef/>
      </w:r>
      <w:r>
        <w:t xml:space="preserve"> </w:t>
      </w:r>
      <w:r>
        <w:t xml:space="preserve">Verified fact — A4-S139: Pricing - Build with Cerebras Inference (Cerebras Systems)</w:t>
      </w:r>
      <w:r>
        <w:t xml:space="preserve"> </w:t>
      </w:r>
      <w:hyperlink r:id="rId1461">
        <w:r>
          <w:rPr>
            <w:rStyle w:val="Hyperlink"/>
          </w:rPr>
          <w:t xml:space="preserve">https://inference-docs.cerebras.ai/support/pricing</w:t>
        </w:r>
      </w:hyperlink>
      <w:r>
        <w:t xml:space="preserve"> </w:t>
      </w:r>
      <w:r>
        <w:t xml:space="preserve">accessed 2026-10-07 [search-tool extract]; A4-S095: PyPI JSON metadata: cerebras-cloud-sdk (Python Package Index)</w:t>
      </w:r>
      <w:r>
        <w:t xml:space="preserve"> </w:t>
      </w:r>
      <w:hyperlink r:id="rId1460">
        <w:r>
          <w:rPr>
            <w:rStyle w:val="Hyperlink"/>
          </w:rPr>
          <w:t xml:space="preserve">https://pypi.org/pypi/cerebras-cloud-sdk/json</w:t>
        </w:r>
      </w:hyperlink>
      <w:r>
        <w:t xml:space="preserve"> </w:t>
      </w:r>
      <w:r>
        <w:t xml:space="preserve">accessed 2026-10-07</w:t>
      </w:r>
    </w:p>
  </w:footnote>
  <w:footnote w:id="1474">
    <w:p>
      <w:pPr>
        <w:pStyle w:val="FootnoteText"/>
      </w:pPr>
      <w:r>
        <w:rPr>
          <w:rStyle w:val="FootnoteReference"/>
        </w:rPr>
        <w:footnoteRef/>
      </w:r>
      <w:r>
        <w:t xml:space="preserve"> </w:t>
      </w:r>
      <w:r>
        <w:t xml:space="preserve">Verified fact — A4-S095: PyPI JSON metadata: cerebras-cloud-sdk (Python Package Index)</w:t>
      </w:r>
      <w:r>
        <w:t xml:space="preserve"> </w:t>
      </w:r>
      <w:hyperlink r:id="rId1460">
        <w:r>
          <w:rPr>
            <w:rStyle w:val="Hyperlink"/>
          </w:rPr>
          <w:t xml:space="preserve">https://pypi.org/pypi/cerebras-cloud-sdk/json</w:t>
        </w:r>
      </w:hyperlink>
      <w:r>
        <w:t xml:space="preserve"> </w:t>
      </w:r>
      <w:r>
        <w:t xml:space="preserve">accessed 2026-10-07; A4-S137: Cerebras Systems Announces Pricing of Initial Public Offering</w:t>
      </w:r>
      <w:r>
        <w:t xml:space="preserve"> </w:t>
      </w:r>
      <w:hyperlink r:id="rId1470">
        <w:r>
          <w:rPr>
            <w:rStyle w:val="Hyperlink"/>
          </w:rPr>
          <w:t xml:space="preserve">https://www.cerebras.ai/press-release/cerebras-systems-announces-pricing-of-initial-public-offering</w:t>
        </w:r>
      </w:hyperlink>
      <w:r>
        <w:t xml:space="preserve"> </w:t>
      </w:r>
      <w:r>
        <w:t xml:space="preserve">accessed 2026-10-07 [search-tool extract]; A4-S154: Cerebras Systems Inc. Form 10-Q (quarter ended 30 June 2026) and related S-1/8-K filings (Cerebras Systems Inc. (SEC EDGAR))</w:t>
      </w:r>
      <w:r>
        <w:t xml:space="preserve"> </w:t>
      </w:r>
      <w:hyperlink r:id="rId1471">
        <w:r>
          <w:rPr>
            <w:rStyle w:val="Hyperlink"/>
          </w:rPr>
          <w:t xml:space="preserve">https://www.sec.gov/Archives/edgar/data/0002021728/000162828026056357/cbrs-20260630.htm</w:t>
        </w:r>
      </w:hyperlink>
      <w:r>
        <w:t xml:space="preserve"> </w:t>
      </w:r>
      <w:r>
        <w:t xml:space="preserve">accessed 2026-10-07 [search-tool extract]; A4-S138: Cerebras Systems Trust Center (and Cerebras Inference blog posts on data retention)</w:t>
      </w:r>
      <w:r>
        <w:t xml:space="preserve"> </w:t>
      </w:r>
      <w:hyperlink r:id="rId1465">
        <w:r>
          <w:rPr>
            <w:rStyle w:val="Hyperlink"/>
          </w:rPr>
          <w:t xml:space="preserve">https://trust.cerebras.ai/</w:t>
        </w:r>
      </w:hyperlink>
      <w:r>
        <w:t xml:space="preserve"> </w:t>
      </w:r>
      <w:r>
        <w:t xml:space="preserve">accessed 2026-10-07 [search-tool extract]; A4-S140: Cerebras Systems Accelerates European Expansion with 200MW of AI Compute Capacity by End of 2027 (8 Jul 2026) and Mikkeli, Finland release (31 Aug 2026)</w:t>
      </w:r>
      <w:r>
        <w:t xml:space="preserve"> </w:t>
      </w:r>
      <w:hyperlink r:id="rId1467">
        <w:r>
          <w:rPr>
            <w:rStyle w:val="Hyperlink"/>
          </w:rPr>
          <w:t xml:space="preserve">https://investors.cerebras.ai/news-releases/news-release-details/cerebras-systems-accelerates-european-expansion-200mw-ai-compute</w:t>
        </w:r>
      </w:hyperlink>
      <w:r>
        <w:t xml:space="preserve"> </w:t>
      </w:r>
      <w:r>
        <w:t xml:space="preserve">accessed 2026-10-07 [search-tool extract]; V1-S095: Cerebras Systems Trust Center; six new datacenters press release (March 2025)</w:t>
      </w:r>
      <w:r>
        <w:t xml:space="preserve"> </w:t>
      </w:r>
      <w:hyperlink r:id="rId1465">
        <w:r>
          <w:rPr>
            <w:rStyle w:val="Hyperlink"/>
          </w:rPr>
          <w:t xml:space="preserve">https://trust.cerebras.ai/</w:t>
        </w:r>
      </w:hyperlink>
      <w:r>
        <w:t xml:space="preserve"> </w:t>
      </w:r>
      <w:r>
        <w:t xml:space="preserve">accessed 2026-10-08 [search-tool extract]</w:t>
      </w:r>
    </w:p>
  </w:footnote>
  <w:footnote w:id="1475">
    <w:p>
      <w:pPr>
        <w:pStyle w:val="FootnoteText"/>
      </w:pPr>
      <w:r>
        <w:rPr>
          <w:rStyle w:val="FootnoteReference"/>
        </w:rPr>
        <w:footnoteRef/>
      </w:r>
      <w:r>
        <w:t xml:space="preserve"> </w:t>
      </w:r>
      <w:r>
        <w:t xml:space="preserve">Verified fact — A4-S095: PyPI JSON metadata: cerebras-cloud-sdk (Python Package Index)</w:t>
      </w:r>
      <w:r>
        <w:t xml:space="preserve"> </w:t>
      </w:r>
      <w:hyperlink r:id="rId1460">
        <w:r>
          <w:rPr>
            <w:rStyle w:val="Hyperlink"/>
          </w:rPr>
          <w:t xml:space="preserve">https://pypi.org/pypi/cerebras-cloud-sdk/json</w:t>
        </w:r>
      </w:hyperlink>
      <w:r>
        <w:t xml:space="preserve"> </w:t>
      </w:r>
      <w:r>
        <w:t xml:space="preserve">accessed 2026-10-07</w:t>
      </w:r>
    </w:p>
  </w:footnote>
  <w:footnote w:id="1476">
    <w:p>
      <w:pPr>
        <w:pStyle w:val="FootnoteText"/>
      </w:pPr>
      <w:r>
        <w:rPr>
          <w:rStyle w:val="FootnoteReference"/>
        </w:rPr>
        <w:footnoteRef/>
      </w:r>
      <w:r>
        <w:t xml:space="preserve"> </w:t>
      </w:r>
      <w:r>
        <w:t xml:space="preserve">Verified fact — A4-S095: PyPI JSON metadata: cerebras-cloud-sdk (Python Package Index)</w:t>
      </w:r>
      <w:r>
        <w:t xml:space="preserve"> </w:t>
      </w:r>
      <w:hyperlink r:id="rId1460">
        <w:r>
          <w:rPr>
            <w:rStyle w:val="Hyperlink"/>
          </w:rPr>
          <w:t xml:space="preserve">https://pypi.org/pypi/cerebras-cloud-sdk/json</w:t>
        </w:r>
      </w:hyperlink>
      <w:r>
        <w:t xml:space="preserve"> </w:t>
      </w:r>
      <w:r>
        <w:t xml:space="preserve">accessed 2026-10-07</w:t>
      </w:r>
    </w:p>
  </w:footnote>
  <w:footnote w:id="1477">
    <w:p>
      <w:pPr>
        <w:pStyle w:val="FootnoteText"/>
      </w:pPr>
      <w:r>
        <w:rPr>
          <w:rStyle w:val="FootnoteReference"/>
        </w:rPr>
        <w:footnoteRef/>
      </w:r>
      <w:r>
        <w:t xml:space="preserve"> </w:t>
      </w:r>
      <w:r>
        <w:t xml:space="preserve">Verified fact — A4-S153: Cloud Console / Projects - Cerebras Inference docs (with Cerebras Privacy Policy) (Cerebras Systems)</w:t>
      </w:r>
      <w:r>
        <w:t xml:space="preserve"> </w:t>
      </w:r>
      <w:hyperlink r:id="rId1463">
        <w:r>
          <w:rPr>
            <w:rStyle w:val="Hyperlink"/>
          </w:rPr>
          <w:t xml:space="preserve">https://inference-docs.cerebras.ai/console/overview</w:t>
        </w:r>
      </w:hyperlink>
      <w:r>
        <w:t xml:space="preserve"> </w:t>
      </w:r>
      <w:r>
        <w:t xml:space="preserve">accessed 2026-10-07 [search-tool extract]</w:t>
      </w:r>
    </w:p>
  </w:footnote>
  <w:footnote w:id="1478">
    <w:p>
      <w:pPr>
        <w:pStyle w:val="FootnoteText"/>
      </w:pPr>
      <w:r>
        <w:rPr>
          <w:rStyle w:val="FootnoteReference"/>
        </w:rPr>
        <w:footnoteRef/>
      </w:r>
      <w:r>
        <w:t xml:space="preserve"> </w:t>
      </w:r>
      <w:r>
        <w:t xml:space="preserve">Verified fact — A4-S153: Cloud Console / Projects - Cerebras Inference docs (with Cerebras Privacy Policy) (Cerebras Systems)</w:t>
      </w:r>
      <w:r>
        <w:t xml:space="preserve"> </w:t>
      </w:r>
      <w:hyperlink r:id="rId1463">
        <w:r>
          <w:rPr>
            <w:rStyle w:val="Hyperlink"/>
          </w:rPr>
          <w:t xml:space="preserve">https://inference-docs.cerebras.ai/console/overview</w:t>
        </w:r>
      </w:hyperlink>
      <w:r>
        <w:t xml:space="preserve"> </w:t>
      </w:r>
      <w:r>
        <w:t xml:space="preserve">accessed 2026-10-07 [search-tool extract]; A4-S140: Cerebras Systems Accelerates European Expansion with 200MW of AI Compute Capacity by End of 2027 (8 Jul 2026) and Mikkeli, Finland release (31 Aug 2026)</w:t>
      </w:r>
      <w:r>
        <w:t xml:space="preserve"> </w:t>
      </w:r>
      <w:hyperlink r:id="rId1467">
        <w:r>
          <w:rPr>
            <w:rStyle w:val="Hyperlink"/>
          </w:rPr>
          <w:t xml:space="preserve">https://investors.cerebras.ai/news-releases/news-release-details/cerebras-systems-accelerates-european-expansion-200mw-ai-compute</w:t>
        </w:r>
      </w:hyperlink>
      <w:r>
        <w:t xml:space="preserve"> </w:t>
      </w:r>
      <w:r>
        <w:t xml:space="preserve">accessed 2026-10-07 [search-tool extract]</w:t>
      </w:r>
    </w:p>
  </w:footnote>
  <w:footnote w:id="1479">
    <w:p>
      <w:pPr>
        <w:pStyle w:val="FootnoteText"/>
      </w:pPr>
      <w:r>
        <w:rPr>
          <w:rStyle w:val="FootnoteReference"/>
        </w:rPr>
        <w:footnoteRef/>
      </w:r>
      <w:r>
        <w:t xml:space="preserve"> </w:t>
      </w:r>
      <w:r>
        <w:t xml:space="preserve">Verified fact — A4-S153: Cloud Console / Projects - Cerebras Inference docs (with Cerebras Privacy Policy) (Cerebras Systems)</w:t>
      </w:r>
      <w:r>
        <w:t xml:space="preserve"> </w:t>
      </w:r>
      <w:hyperlink r:id="rId1463">
        <w:r>
          <w:rPr>
            <w:rStyle w:val="Hyperlink"/>
          </w:rPr>
          <w:t xml:space="preserve">https://inference-docs.cerebras.ai/console/overview</w:t>
        </w:r>
      </w:hyperlink>
      <w:r>
        <w:t xml:space="preserve"> </w:t>
      </w:r>
      <w:r>
        <w:t xml:space="preserve">accessed 2026-10-07 [search-tool extract]; A4-S138: Cerebras Systems Trust Center (and Cerebras Inference blog posts on data retention)</w:t>
      </w:r>
      <w:r>
        <w:t xml:space="preserve"> </w:t>
      </w:r>
      <w:hyperlink r:id="rId1465">
        <w:r>
          <w:rPr>
            <w:rStyle w:val="Hyperlink"/>
          </w:rPr>
          <w:t xml:space="preserve">https://trust.cerebras.ai/</w:t>
        </w:r>
      </w:hyperlink>
      <w:r>
        <w:t xml:space="preserve"> </w:t>
      </w:r>
      <w:r>
        <w:t xml:space="preserve">accessed 2026-10-07 [search-tool extract]</w:t>
      </w:r>
    </w:p>
  </w:footnote>
  <w:footnote w:id="1480">
    <w:p>
      <w:pPr>
        <w:pStyle w:val="FootnoteText"/>
      </w:pPr>
      <w:r>
        <w:rPr>
          <w:rStyle w:val="FootnoteReference"/>
        </w:rPr>
        <w:footnoteRef/>
      </w:r>
      <w:r>
        <w:t xml:space="preserve"> </w:t>
      </w:r>
      <w:r>
        <w:t xml:space="preserve">Verified fact — A4-S154: Cerebras Systems Inc. Form 10-Q (quarter ended 30 June 2026) and related S-1/8-K filings (Cerebras Systems Inc. (SEC EDGAR))</w:t>
      </w:r>
      <w:r>
        <w:t xml:space="preserve"> </w:t>
      </w:r>
      <w:hyperlink r:id="rId1471">
        <w:r>
          <w:rPr>
            <w:rStyle w:val="Hyperlink"/>
          </w:rPr>
          <w:t xml:space="preserve">https://www.sec.gov/Archives/edgar/data/0002021728/000162828026056357/cbrs-20260630.htm</w:t>
        </w:r>
      </w:hyperlink>
      <w:r>
        <w:t xml:space="preserve"> </w:t>
      </w:r>
      <w:r>
        <w:t xml:space="preserve">accessed 2026-10-07 [search-tool extract]</w:t>
      </w:r>
    </w:p>
  </w:footnote>
  <w:footnote w:id="1482">
    <w:p>
      <w:pPr>
        <w:pStyle w:val="FootnoteText"/>
      </w:pPr>
      <w:r>
        <w:rPr>
          <w:rStyle w:val="FootnoteReference"/>
        </w:rPr>
        <w:footnoteRef/>
      </w:r>
      <w:r>
        <w:t xml:space="preserve"> </w:t>
      </w:r>
      <w:r>
        <w:t xml:space="preserve">Verified fact — A4-S087: lms CLI README (LM Studio)</w:t>
      </w:r>
      <w:r>
        <w:t xml:space="preserve"> </w:t>
      </w:r>
      <w:hyperlink r:id="rId1483">
        <w:r>
          <w:rPr>
            <w:rStyle w:val="Hyperlink"/>
          </w:rPr>
          <w:t xml:space="preserve">https://raw.githubusercontent.com/lmstudio-ai/lms/main/README.md</w:t>
        </w:r>
      </w:hyperlink>
      <w:r>
        <w:t xml:space="preserve"> </w:t>
      </w:r>
      <w:r>
        <w:t xml:space="preserve">accessed 2026-10-07</w:t>
      </w:r>
    </w:p>
  </w:footnote>
  <w:footnote w:id="1484">
    <w:p>
      <w:pPr>
        <w:pStyle w:val="FootnoteText"/>
      </w:pPr>
      <w:r>
        <w:rPr>
          <w:rStyle w:val="FootnoteReference"/>
        </w:rPr>
        <w:footnoteRef/>
      </w:r>
      <w:r>
        <w:t xml:space="preserve"> </w:t>
      </w:r>
      <w:r>
        <w:t xml:space="preserve">Verified fact — A4-S145: LM Studio is free for use at work (blog) and LM Studio App Terms of Service</w:t>
      </w:r>
      <w:r>
        <w:t xml:space="preserve"> </w:t>
      </w:r>
      <w:hyperlink r:id="rId1485">
        <w:r>
          <w:rPr>
            <w:rStyle w:val="Hyperlink"/>
          </w:rPr>
          <w:t xml:space="preserve">https://lmstudio.ai/blog/free-for-work</w:t>
        </w:r>
      </w:hyperlink>
      <w:r>
        <w:t xml:space="preserve"> </w:t>
      </w:r>
      <w:r>
        <w:t xml:space="preserve">accessed 2026-10-07 [search-tool extract]</w:t>
      </w:r>
    </w:p>
  </w:footnote>
  <w:footnote w:id="1486">
    <w:p>
      <w:pPr>
        <w:pStyle w:val="FootnoteText"/>
      </w:pPr>
      <w:r>
        <w:rPr>
          <w:rStyle w:val="FootnoteReference"/>
        </w:rPr>
        <w:footnoteRef/>
      </w:r>
      <w:r>
        <w:t xml:space="preserve"> </w:t>
      </w:r>
      <w:r>
        <w:t xml:space="preserve">Verified fact — A4-S087: lms CLI README (LM Studio)</w:t>
      </w:r>
      <w:r>
        <w:t xml:space="preserve"> </w:t>
      </w:r>
      <w:hyperlink r:id="rId1483">
        <w:r>
          <w:rPr>
            <w:rStyle w:val="Hyperlink"/>
          </w:rPr>
          <w:t xml:space="preserve">https://raw.githubusercontent.com/lmstudio-ai/lms/main/README.md</w:t>
        </w:r>
      </w:hyperlink>
      <w:r>
        <w:t xml:space="preserve"> </w:t>
      </w:r>
      <w:r>
        <w:t xml:space="preserve">accessed 2026-10-07</w:t>
      </w:r>
    </w:p>
  </w:footnote>
  <w:footnote w:id="1487">
    <w:p>
      <w:pPr>
        <w:pStyle w:val="FootnoteText"/>
      </w:pPr>
      <w:r>
        <w:rPr>
          <w:rStyle w:val="FootnoteReference"/>
        </w:rPr>
        <w:footnoteRef/>
      </w:r>
      <w:r>
        <w:t xml:space="preserve"> </w:t>
      </w:r>
      <w:r>
        <w:t xml:space="preserve">Verified fact — A4-S087: lms CLI README (LM Studio)</w:t>
      </w:r>
      <w:r>
        <w:t xml:space="preserve"> </w:t>
      </w:r>
      <w:hyperlink r:id="rId1483">
        <w:r>
          <w:rPr>
            <w:rStyle w:val="Hyperlink"/>
          </w:rPr>
          <w:t xml:space="preserve">https://raw.githubusercontent.com/lmstudio-ai/lms/main/README.md</w:t>
        </w:r>
      </w:hyperlink>
      <w:r>
        <w:t xml:space="preserve"> </w:t>
      </w:r>
      <w:r>
        <w:t xml:space="preserve">accessed 2026-10-07; A4-S016: PyPI JSON metadata: lmstudio (Python Package Index)</w:t>
      </w:r>
      <w:r>
        <w:t xml:space="preserve"> </w:t>
      </w:r>
      <w:hyperlink r:id="rId1488">
        <w:r>
          <w:rPr>
            <w:rStyle w:val="Hyperlink"/>
          </w:rPr>
          <w:t xml:space="preserve">https://pypi.org/pypi/lmstudio/json</w:t>
        </w:r>
      </w:hyperlink>
      <w:r>
        <w:t xml:space="preserve"> </w:t>
      </w:r>
      <w:r>
        <w:t xml:space="preserve">accessed 2026-10-07</w:t>
      </w:r>
    </w:p>
  </w:footnote>
  <w:footnote w:id="1489">
    <w:p>
      <w:pPr>
        <w:pStyle w:val="FootnoteText"/>
      </w:pPr>
      <w:r>
        <w:rPr>
          <w:rStyle w:val="FootnoteReference"/>
        </w:rPr>
        <w:footnoteRef/>
      </w:r>
      <w:r>
        <w:t xml:space="preserve"> </w:t>
      </w:r>
      <w:r>
        <w:t xml:space="preserve">Verified fact — A4-S016: PyPI JSON metadata: lmstudio (Python Package Index)</w:t>
      </w:r>
      <w:r>
        <w:t xml:space="preserve"> </w:t>
      </w:r>
      <w:hyperlink r:id="rId1488">
        <w:r>
          <w:rPr>
            <w:rStyle w:val="Hyperlink"/>
          </w:rPr>
          <w:t xml:space="preserve">https://pypi.org/pypi/lmstudio/json</w:t>
        </w:r>
      </w:hyperlink>
      <w:r>
        <w:t xml:space="preserve"> </w:t>
      </w:r>
      <w:r>
        <w:t xml:space="preserve">accessed 2026-10-07</w:t>
      </w:r>
    </w:p>
  </w:footnote>
  <w:footnote w:id="1490">
    <w:p>
      <w:pPr>
        <w:pStyle w:val="FootnoteText"/>
      </w:pPr>
      <w:r>
        <w:rPr>
          <w:rStyle w:val="FootnoteReference"/>
        </w:rPr>
        <w:footnoteRef/>
      </w:r>
      <w:r>
        <w:t xml:space="preserve"> </w:t>
      </w:r>
      <w:r>
        <w:t xml:space="preserve">Verified fact — A4-S145: LM Studio is free for use at work (blog) and LM Studio App Terms of Service</w:t>
      </w:r>
      <w:r>
        <w:t xml:space="preserve"> </w:t>
      </w:r>
      <w:hyperlink r:id="rId1485">
        <w:r>
          <w:rPr>
            <w:rStyle w:val="Hyperlink"/>
          </w:rPr>
          <w:t xml:space="preserve">https://lmstudio.ai/blog/free-for-work</w:t>
        </w:r>
      </w:hyperlink>
      <w:r>
        <w:t xml:space="preserve"> </w:t>
      </w:r>
      <w:r>
        <w:t xml:space="preserve">accessed 2026-10-07 [search-tool extract]</w:t>
      </w:r>
    </w:p>
  </w:footnote>
  <w:footnote w:id="1491">
    <w:p>
      <w:pPr>
        <w:pStyle w:val="FootnoteText"/>
      </w:pPr>
      <w:r>
        <w:rPr>
          <w:rStyle w:val="FootnoteReference"/>
        </w:rPr>
        <w:footnoteRef/>
      </w:r>
      <w:r>
        <w:t xml:space="preserve"> </w:t>
      </w:r>
      <w:r>
        <w:t xml:space="preserve">Verified fact — A4-S087: lms CLI README (LM Studio)</w:t>
      </w:r>
      <w:r>
        <w:t xml:space="preserve"> </w:t>
      </w:r>
      <w:hyperlink r:id="rId1483">
        <w:r>
          <w:rPr>
            <w:rStyle w:val="Hyperlink"/>
          </w:rPr>
          <w:t xml:space="preserve">https://raw.githubusercontent.com/lmstudio-ai/lms/main/README.md</w:t>
        </w:r>
      </w:hyperlink>
      <w:r>
        <w:t xml:space="preserve"> </w:t>
      </w:r>
      <w:r>
        <w:t xml:space="preserve">accessed 2026-10-07; A4-S088: lms LICENSE (LM Studio)</w:t>
      </w:r>
      <w:r>
        <w:t xml:space="preserve"> </w:t>
      </w:r>
      <w:hyperlink r:id="rId1492">
        <w:r>
          <w:rPr>
            <w:rStyle w:val="Hyperlink"/>
          </w:rPr>
          <w:t xml:space="preserve">https://raw.githubusercontent.com/lmstudio-ai/lms/main/LICENSE</w:t>
        </w:r>
      </w:hyperlink>
      <w:r>
        <w:t xml:space="preserve"> </w:t>
      </w:r>
      <w:r>
        <w:t xml:space="preserve">accessed 2026-10-07; A4-S145: LM Studio is free for use at work (blog) and LM Studio App Terms of Service</w:t>
      </w:r>
      <w:r>
        <w:t xml:space="preserve"> </w:t>
      </w:r>
      <w:hyperlink r:id="rId1485">
        <w:r>
          <w:rPr>
            <w:rStyle w:val="Hyperlink"/>
          </w:rPr>
          <w:t xml:space="preserve">https://lmstudio.ai/blog/free-for-work</w:t>
        </w:r>
      </w:hyperlink>
      <w:r>
        <w:t xml:space="preserve"> </w:t>
      </w:r>
      <w:r>
        <w:t xml:space="preserve">accessed 2026-10-07 [search-tool extract]; V1-S076: LM Studio is free for use at work; LM Studio App Terms of Service (LM Studio (Element Labs))</w:t>
      </w:r>
      <w:r>
        <w:t xml:space="preserve"> </w:t>
      </w:r>
      <w:hyperlink r:id="rId1485">
        <w:r>
          <w:rPr>
            <w:rStyle w:val="Hyperlink"/>
          </w:rPr>
          <w:t xml:space="preserve">https://lmstudio.ai/blog/free-for-work</w:t>
        </w:r>
      </w:hyperlink>
      <w:r>
        <w:t xml:space="preserve"> </w:t>
      </w:r>
      <w:r>
        <w:t xml:space="preserve">accessed 2026-10-08 [search-tool extract]</w:t>
      </w:r>
    </w:p>
  </w:footnote>
  <w:footnote w:id="1493">
    <w:p>
      <w:pPr>
        <w:pStyle w:val="FootnoteText"/>
      </w:pPr>
      <w:r>
        <w:rPr>
          <w:rStyle w:val="FootnoteReference"/>
        </w:rPr>
        <w:footnoteRef/>
      </w:r>
      <w:r>
        <w:t xml:space="preserve"> </w:t>
      </w:r>
      <w:r>
        <w:t xml:space="preserve">Verified fact — A4-S145: LM Studio is free for use at work (blog) and LM Studio App Terms of Service</w:t>
      </w:r>
      <w:r>
        <w:t xml:space="preserve"> </w:t>
      </w:r>
      <w:hyperlink r:id="rId1485">
        <w:r>
          <w:rPr>
            <w:rStyle w:val="Hyperlink"/>
          </w:rPr>
          <w:t xml:space="preserve">https://lmstudio.ai/blog/free-for-work</w:t>
        </w:r>
      </w:hyperlink>
      <w:r>
        <w:t xml:space="preserve"> </w:t>
      </w:r>
      <w:r>
        <w:t xml:space="preserve">accessed 2026-10-07 [search-tool extract]</w:t>
      </w:r>
    </w:p>
  </w:footnote>
  <w:footnote w:id="1494">
    <w:p>
      <w:pPr>
        <w:pStyle w:val="FootnoteText"/>
      </w:pPr>
      <w:r>
        <w:rPr>
          <w:rStyle w:val="FootnoteReference"/>
        </w:rPr>
        <w:footnoteRef/>
      </w:r>
      <w:r>
        <w:t xml:space="preserve"> </w:t>
      </w:r>
      <w:r>
        <w:t xml:space="preserve">Verified fact — A4-S145: LM Studio is free for use at work (blog) and LM Studio App Terms of Service</w:t>
      </w:r>
      <w:r>
        <w:t xml:space="preserve"> </w:t>
      </w:r>
      <w:hyperlink r:id="rId1485">
        <w:r>
          <w:rPr>
            <w:rStyle w:val="Hyperlink"/>
          </w:rPr>
          <w:t xml:space="preserve">https://lmstudio.ai/blog/free-for-work</w:t>
        </w:r>
      </w:hyperlink>
      <w:r>
        <w:t xml:space="preserve"> </w:t>
      </w:r>
      <w:r>
        <w:t xml:space="preserve">accessed 2026-10-07 [search-tool extract]</w:t>
      </w:r>
    </w:p>
  </w:footnote>
  <w:footnote w:id="1495">
    <w:p>
      <w:pPr>
        <w:pStyle w:val="FootnoteText"/>
      </w:pPr>
      <w:r>
        <w:rPr>
          <w:rStyle w:val="FootnoteReference"/>
        </w:rPr>
        <w:footnoteRef/>
      </w:r>
      <w:r>
        <w:t xml:space="preserve"> </w:t>
      </w:r>
      <w:r>
        <w:t xml:space="preserve">Verified fact — A4-S016: PyPI JSON metadata: lmstudio (Python Package Index)</w:t>
      </w:r>
      <w:r>
        <w:t xml:space="preserve"> </w:t>
      </w:r>
      <w:hyperlink r:id="rId1488">
        <w:r>
          <w:rPr>
            <w:rStyle w:val="Hyperlink"/>
          </w:rPr>
          <w:t xml:space="preserve">https://pypi.org/pypi/lmstudio/json</w:t>
        </w:r>
      </w:hyperlink>
      <w:r>
        <w:t xml:space="preserve"> </w:t>
      </w:r>
      <w:r>
        <w:t xml:space="preserve">accessed 2026-10-07</w:t>
      </w:r>
    </w:p>
  </w:footnote>
  <w:footnote w:id="1496">
    <w:p>
      <w:pPr>
        <w:pStyle w:val="FootnoteText"/>
      </w:pPr>
      <w:r>
        <w:rPr>
          <w:rStyle w:val="FootnoteReference"/>
        </w:rPr>
        <w:footnoteRef/>
      </w:r>
      <w:r>
        <w:t xml:space="preserve"> </w:t>
      </w:r>
      <w:r>
        <w:t xml:space="preserve">Verified fact — A4-S145: LM Studio is free for use at work (blog) and LM Studio App Terms of Service</w:t>
      </w:r>
      <w:r>
        <w:t xml:space="preserve"> </w:t>
      </w:r>
      <w:hyperlink r:id="rId1485">
        <w:r>
          <w:rPr>
            <w:rStyle w:val="Hyperlink"/>
          </w:rPr>
          <w:t xml:space="preserve">https://lmstudio.ai/blog/free-for-work</w:t>
        </w:r>
      </w:hyperlink>
      <w:r>
        <w:t xml:space="preserve"> </w:t>
      </w:r>
      <w:r>
        <w:t xml:space="preserve">accessed 2026-10-07 [search-tool extract]</w:t>
      </w:r>
    </w:p>
  </w:footnote>
  <w:footnote w:id="1499">
    <w:p>
      <w:pPr>
        <w:pStyle w:val="FootnoteText"/>
      </w:pPr>
      <w:r>
        <w:rPr>
          <w:rStyle w:val="FootnoteReference"/>
        </w:rPr>
        <w:footnoteRef/>
      </w:r>
      <w:r>
        <w:t xml:space="preserve"> </w:t>
      </w:r>
      <w:r>
        <w:t xml:space="preserve">Verified fact — A5-S001: Previewing GPT-5.6 Sol / GPT-5.6 Sol, Terra and Luna (with help-centre preview article and API changelog) (OpenAI)</w:t>
      </w:r>
      <w:r>
        <w:t xml:space="preserve"> </w:t>
      </w:r>
      <w:hyperlink r:id="rId1500">
        <w:r>
          <w:rPr>
            <w:rStyle w:val="Hyperlink"/>
          </w:rPr>
          <w:t xml:space="preserve">https://openai.com/index/previewing-gpt-5-6-sol/</w:t>
        </w:r>
      </w:hyperlink>
      <w:r>
        <w:t xml:space="preserve"> </w:t>
      </w:r>
      <w:r>
        <w:t xml:space="preserve">accessed 2026-10-07 [search-tool extract]; A5-S002: GPT-6 Astra: A new generation of intelligence (plus release notes, Introducing GPT-6 Sol and Luna, GPT-6.1 Sol, GPT-6 for everyone) (OpenAI)</w:t>
      </w:r>
      <w:r>
        <w:t xml:space="preserve"> </w:t>
      </w:r>
      <w:hyperlink r:id="rId1501">
        <w:r>
          <w:rPr>
            <w:rStyle w:val="Hyperlink"/>
          </w:rPr>
          <w:t xml:space="preserve">https://openai.com/index/gpt-6-astra/</w:t>
        </w:r>
      </w:hyperlink>
      <w:r>
        <w:t xml:space="preserve"> </w:t>
      </w:r>
      <w:r>
        <w:t xml:space="preserve">accessed 2026-10-07 [search-tool extract]; A5-S003: OpenAI announces rollout of GPT-6 Astra model (with Axios and OpenRouter results) (CNBC)</w:t>
      </w:r>
      <w:r>
        <w:t xml:space="preserve"> </w:t>
      </w:r>
      <w:hyperlink r:id="rId1502">
        <w:r>
          <w:rPr>
            <w:rStyle w:val="Hyperlink"/>
          </w:rPr>
          <w:t xml:space="preserve">https://www.cnbc.com/2026/09/03/open-ai-astra-gpt-6-cyber.html</w:t>
        </w:r>
      </w:hyperlink>
      <w:r>
        <w:t xml:space="preserve"> </w:t>
      </w:r>
      <w:r>
        <w:t xml:space="preserve">accessed 2026-10-07 [search-tool extract]; A5-S005: Introducing gpt-oss (and gpt-oss-safeguard; help-centre open-weight article) (OpenAI)</w:t>
      </w:r>
      <w:r>
        <w:t xml:space="preserve"> </w:t>
      </w:r>
      <w:hyperlink r:id="rId1503">
        <w:r>
          <w:rPr>
            <w:rStyle w:val="Hyperlink"/>
          </w:rPr>
          <w:t xml:space="preserve">https://openai.com/index/introducing-gpt-oss/</w:t>
        </w:r>
      </w:hyperlink>
      <w:r>
        <w:t xml:space="preserve"> </w:t>
      </w:r>
      <w:r>
        <w:t xml:space="preserve">accessed 2026-10-07 [search-tool extract]; A5-S008: OpenAI GPT-6 Astra / GPT-6 Sol and Luna generally available on Amazon Bedrock (AWS)</w:t>
      </w:r>
      <w:r>
        <w:t xml:space="preserve"> </w:t>
      </w:r>
      <w:hyperlink r:id="rId1504">
        <w:r>
          <w:rPr>
            <w:rStyle w:val="Hyperlink"/>
          </w:rPr>
          <w:t xml:space="preserve">https://aws.amazon.com/about-aws/whats-new/2026/09/openai-gpt-6-astra-on-amazon-bedrock/</w:t>
        </w:r>
      </w:hyperlink>
      <w:r>
        <w:t xml:space="preserve"> </w:t>
      </w:r>
      <w:r>
        <w:t xml:space="preserve">accessed 2026-10-07 [search-tool extract]; A5-S009: GPT-6 Astra, Sol, and Luna for production AI agents in Microsoft Foundry</w:t>
      </w:r>
      <w:r>
        <w:t xml:space="preserve"> </w:t>
      </w:r>
      <w:hyperlink r:id="rId1505">
        <w:r>
          <w:rPr>
            <w:rStyle w:val="Hyperlink"/>
          </w:rPr>
          <w:t xml:space="preserve">https://azure.microsoft.com/en-us/blog/gpt-6-astra-sol-and-luna-for-production-agents-in-microsoft-foundry/</w:t>
        </w:r>
      </w:hyperlink>
      <w:r>
        <w:t xml:space="preserve"> </w:t>
      </w:r>
      <w:r>
        <w:t xml:space="preserve">accessed 2026-10-07 [search-tool extract]; A5-S083: ChatGPT Release Notes (</w:t>
      </w:r>
      <w:r>
        <w:t xml:space="preserve">‘</w:t>
      </w:r>
      <w:r>
        <w:t xml:space="preserve">Introducing GPT-6 Astra</w:t>
      </w:r>
      <w:r>
        <w:t xml:space="preserve">’</w:t>
      </w:r>
      <w:r>
        <w:t xml:space="preserve">, 3 Sept 2026); Path to Astra (1 Sept 2026); Safety overview: GPT-6 Astra (OpenAI)</w:t>
      </w:r>
      <w:r>
        <w:t xml:space="preserve"> </w:t>
      </w:r>
      <w:hyperlink r:id="rId1506">
        <w:r>
          <w:rPr>
            <w:rStyle w:val="Hyperlink"/>
          </w:rPr>
          <w:t xml:space="preserve">https://help.openai.com/en/articles/6825453-chatgpt-release-notes</w:t>
        </w:r>
      </w:hyperlink>
      <w:r>
        <w:t xml:space="preserve"> </w:t>
      </w:r>
      <w:r>
        <w:t xml:space="preserve">accessed 2026-10-07 [search-tool extract]</w:t>
      </w:r>
    </w:p>
  </w:footnote>
  <w:footnote w:id="1507">
    <w:p>
      <w:pPr>
        <w:pStyle w:val="FootnoteText"/>
      </w:pPr>
      <w:r>
        <w:rPr>
          <w:rStyle w:val="FootnoteReference"/>
        </w:rPr>
        <w:footnoteRef/>
      </w:r>
      <w:r>
        <w:t xml:space="preserve"> </w:t>
      </w:r>
      <w:r>
        <w:t xml:space="preserve">Verified fact — A5-S002: GPT-6 Astra: A new generation of intelligence (plus release notes, Introducing GPT-6 Sol and Luna, GPT-6.1 Sol, GPT-6 for everyone) (OpenAI)</w:t>
      </w:r>
      <w:r>
        <w:t xml:space="preserve"> </w:t>
      </w:r>
      <w:hyperlink r:id="rId1501">
        <w:r>
          <w:rPr>
            <w:rStyle w:val="Hyperlink"/>
          </w:rPr>
          <w:t xml:space="preserve">https://openai.com/index/gpt-6-astra/</w:t>
        </w:r>
      </w:hyperlink>
      <w:r>
        <w:t xml:space="preserve"> </w:t>
      </w:r>
      <w:r>
        <w:t xml:space="preserve">accessed 2026-10-07 [search-tool extract]; A5-S005: Introducing gpt-oss (and gpt-oss-safeguard; help-centre open-weight article) (OpenAI)</w:t>
      </w:r>
      <w:r>
        <w:t xml:space="preserve"> </w:t>
      </w:r>
      <w:hyperlink r:id="rId1503">
        <w:r>
          <w:rPr>
            <w:rStyle w:val="Hyperlink"/>
          </w:rPr>
          <w:t xml:space="preserve">https://openai.com/index/introducing-gpt-oss/</w:t>
        </w:r>
      </w:hyperlink>
      <w:r>
        <w:t xml:space="preserve"> </w:t>
      </w:r>
      <w:r>
        <w:t xml:space="preserve">accessed 2026-10-07 [search-tool extract]</w:t>
      </w:r>
    </w:p>
  </w:footnote>
  <w:footnote w:id="1508">
    <w:p>
      <w:pPr>
        <w:pStyle w:val="FootnoteText"/>
      </w:pPr>
      <w:r>
        <w:rPr>
          <w:rStyle w:val="FootnoteReference"/>
        </w:rPr>
        <w:footnoteRef/>
      </w:r>
      <w:r>
        <w:t xml:space="preserve"> </w:t>
      </w:r>
      <w:r>
        <w:t xml:space="preserve">Verified fact — A5-S008: OpenAI GPT-6 Astra / GPT-6 Sol and Luna generally available on Amazon Bedrock (AWS)</w:t>
      </w:r>
      <w:r>
        <w:t xml:space="preserve"> </w:t>
      </w:r>
      <w:hyperlink r:id="rId1504">
        <w:r>
          <w:rPr>
            <w:rStyle w:val="Hyperlink"/>
          </w:rPr>
          <w:t xml:space="preserve">https://aws.amazon.com/about-aws/whats-new/2026/09/openai-gpt-6-astra-on-amazon-bedrock/</w:t>
        </w:r>
      </w:hyperlink>
      <w:r>
        <w:t xml:space="preserve"> </w:t>
      </w:r>
      <w:r>
        <w:t xml:space="preserve">accessed 2026-10-07 [search-tool extract]; A5-S009: GPT-6 Astra, Sol, and Luna for production AI agents in Microsoft Foundry</w:t>
      </w:r>
      <w:r>
        <w:t xml:space="preserve"> </w:t>
      </w:r>
      <w:hyperlink r:id="rId1505">
        <w:r>
          <w:rPr>
            <w:rStyle w:val="Hyperlink"/>
          </w:rPr>
          <w:t xml:space="preserve">https://azure.microsoft.com/en-us/blog/gpt-6-astra-sol-and-luna-for-production-agents-in-microsoft-foundry/</w:t>
        </w:r>
      </w:hyperlink>
      <w:r>
        <w:t xml:space="preserve"> </w:t>
      </w:r>
      <w:r>
        <w:t xml:space="preserve">accessed 2026-10-07 [search-tool extract]</w:t>
      </w:r>
    </w:p>
  </w:footnote>
  <w:footnote w:id="1509">
    <w:p>
      <w:pPr>
        <w:pStyle w:val="FootnoteText"/>
      </w:pPr>
      <w:r>
        <w:rPr>
          <w:rStyle w:val="FootnoteReference"/>
        </w:rPr>
        <w:footnoteRef/>
      </w:r>
      <w:r>
        <w:t xml:space="preserve"> </w:t>
      </w:r>
      <w:r>
        <w:t xml:space="preserve">Verified fact — A5-S006: Data controls in the OpenAI platform (with Enterprise privacy, EU/UK data residency announcements)</w:t>
      </w:r>
      <w:r>
        <w:t xml:space="preserve"> </w:t>
      </w:r>
      <w:hyperlink r:id="rId430">
        <w:r>
          <w:rPr>
            <w:rStyle w:val="Hyperlink"/>
          </w:rPr>
          <w:t xml:space="preserve">https://developers.openai.com/api/docs/guides/your-data</w:t>
        </w:r>
      </w:hyperlink>
      <w:r>
        <w:t xml:space="preserve"> </w:t>
      </w:r>
      <w:r>
        <w:t xml:space="preserve">accessed 2026-10-07 [search-tool extract]; V2-S079: Data controls in the OpenAI platform (with help article</w:t>
      </w:r>
      <w:r>
        <w:t xml:space="preserve"> </w:t>
      </w:r>
      <w:r>
        <w:t xml:space="preserve">‘</w:t>
      </w:r>
      <w:r>
        <w:t xml:space="preserve">Data residency for the OpenAI API</w:t>
      </w:r>
      <w:r>
        <w:t xml:space="preserve">’</w:t>
      </w:r>
      <w:r>
        <w:t xml:space="preserve">;</w:t>
      </w:r>
      <w:r>
        <w:t xml:space="preserve"> </w:t>
      </w:r>
      <w:r>
        <w:t xml:space="preserve">‘</w:t>
      </w:r>
      <w:r>
        <w:t xml:space="preserve">Expanding data residency access</w:t>
      </w:r>
      <w:r>
        <w:t xml:space="preserve">’</w:t>
      </w:r>
      <w:r>
        <w:t xml:space="preserve">)</w:t>
      </w:r>
      <w:r>
        <w:t xml:space="preserve"> </w:t>
      </w:r>
      <w:hyperlink r:id="rId430">
        <w:r>
          <w:rPr>
            <w:rStyle w:val="Hyperlink"/>
          </w:rPr>
          <w:t xml:space="preserve">https://developers.openai.com/api/docs/guides/your-data</w:t>
        </w:r>
      </w:hyperlink>
      <w:r>
        <w:t xml:space="preserve"> </w:t>
      </w:r>
      <w:r>
        <w:t xml:space="preserve">accessed 2026-10-08 [search-tool extract]</w:t>
      </w:r>
    </w:p>
  </w:footnote>
  <w:footnote w:id="1510">
    <w:p>
      <w:pPr>
        <w:pStyle w:val="FootnoteText"/>
      </w:pPr>
      <w:r>
        <w:rPr>
          <w:rStyle w:val="FootnoteReference"/>
        </w:rPr>
        <w:footnoteRef/>
      </w:r>
      <w:r>
        <w:t xml:space="preserve"> </w:t>
      </w:r>
      <w:r>
        <w:t xml:space="preserve">Verified fact — A5-S007: OpenAI Trust Portal (with Security and privacy at OpenAI; Enterprise privacy FAQ)</w:t>
      </w:r>
      <w:r>
        <w:t xml:space="preserve"> </w:t>
      </w:r>
      <w:hyperlink r:id="rId1511">
        <w:r>
          <w:rPr>
            <w:rStyle w:val="Hyperlink"/>
          </w:rPr>
          <w:t xml:space="preserve">https://trust.openai.com/</w:t>
        </w:r>
      </w:hyperlink>
      <w:r>
        <w:t xml:space="preserve"> </w:t>
      </w:r>
      <w:r>
        <w:t xml:space="preserve">accessed 2026-10-07 [search-tool extract]; V2-S062: OpenAI Trust Portal (with openai.com/security-and-privacy)</w:t>
      </w:r>
      <w:r>
        <w:t xml:space="preserve"> </w:t>
      </w:r>
      <w:hyperlink r:id="rId1511">
        <w:r>
          <w:rPr>
            <w:rStyle w:val="Hyperlink"/>
          </w:rPr>
          <w:t xml:space="preserve">https://trust.openai.com/</w:t>
        </w:r>
      </w:hyperlink>
      <w:r>
        <w:t xml:space="preserve"> </w:t>
      </w:r>
      <w:r>
        <w:t xml:space="preserve">accessed 2026-10-08 [search-tool extract]</w:t>
      </w:r>
    </w:p>
  </w:footnote>
  <w:footnote w:id="1512">
    <w:p>
      <w:pPr>
        <w:pStyle w:val="FootnoteText"/>
      </w:pPr>
      <w:r>
        <w:rPr>
          <w:rStyle w:val="FootnoteReference"/>
        </w:rPr>
        <w:footnoteRef/>
      </w:r>
      <w:r>
        <w:t xml:space="preserve"> </w:t>
      </w:r>
      <w:r>
        <w:t xml:space="preserve">Verified fact — B-L1-S001: Deprecations (OpenAI API docs)</w:t>
      </w:r>
      <w:r>
        <w:t xml:space="preserve"> </w:t>
      </w:r>
      <w:hyperlink r:id="rId1131">
        <w:r>
          <w:rPr>
            <w:rStyle w:val="Hyperlink"/>
          </w:rPr>
          <w:t xml:space="preserve">https://developers.openai.com/api/docs/deprecations</w:t>
        </w:r>
      </w:hyperlink>
      <w:r>
        <w:t xml:space="preserve"> </w:t>
      </w:r>
      <w:r>
        <w:t xml:space="preserve">accessed 2026-10-08 [search-tool extract]</w:t>
      </w:r>
    </w:p>
  </w:footnote>
  <w:footnote w:id="1513">
    <w:p>
      <w:pPr>
        <w:pStyle w:val="FootnoteText"/>
      </w:pPr>
      <w:r>
        <w:rPr>
          <w:rStyle w:val="FootnoteReference"/>
        </w:rPr>
        <w:footnoteRef/>
      </w:r>
      <w:r>
        <w:t xml:space="preserve"> </w:t>
      </w:r>
      <w:r>
        <w:t xml:space="preserve">Verified fact — A5-S003: OpenAI announces rollout of GPT-6 Astra model (with Axios and OpenRouter results) (CNBC)</w:t>
      </w:r>
      <w:r>
        <w:t xml:space="preserve"> </w:t>
      </w:r>
      <w:hyperlink r:id="rId1502">
        <w:r>
          <w:rPr>
            <w:rStyle w:val="Hyperlink"/>
          </w:rPr>
          <w:t xml:space="preserve">https://www.cnbc.com/2026/09/03/open-ai-astra-gpt-6-cyber.html</w:t>
        </w:r>
      </w:hyperlink>
      <w:r>
        <w:t xml:space="preserve"> </w:t>
      </w:r>
      <w:r>
        <w:t xml:space="preserve">accessed 2026-10-07 [search-tool extract]</w:t>
      </w:r>
    </w:p>
  </w:footnote>
  <w:footnote w:id="1514">
    <w:p>
      <w:pPr>
        <w:pStyle w:val="FootnoteText"/>
      </w:pPr>
      <w:r>
        <w:rPr>
          <w:rStyle w:val="FootnoteReference"/>
        </w:rPr>
        <w:footnoteRef/>
      </w:r>
      <w:r>
        <w:t xml:space="preserve"> </w:t>
      </w:r>
      <w:r>
        <w:t xml:space="preserve">Verified fact — A5-S002: GPT-6 Astra: A new generation of intelligence (plus release notes, Introducing GPT-6 Sol and Luna, GPT-6.1 Sol, GPT-6 for everyone) (OpenAI)</w:t>
      </w:r>
      <w:r>
        <w:t xml:space="preserve"> </w:t>
      </w:r>
      <w:hyperlink r:id="rId1501">
        <w:r>
          <w:rPr>
            <w:rStyle w:val="Hyperlink"/>
          </w:rPr>
          <w:t xml:space="preserve">https://openai.com/index/gpt-6-astra/</w:t>
        </w:r>
      </w:hyperlink>
      <w:r>
        <w:t xml:space="preserve"> </w:t>
      </w:r>
      <w:r>
        <w:t xml:space="preserve">accessed 2026-10-07 [search-tool extract]; A5-S003: OpenAI announces rollout of GPT-6 Astra model (with Axios and OpenRouter results) (CNBC)</w:t>
      </w:r>
      <w:r>
        <w:t xml:space="preserve"> </w:t>
      </w:r>
      <w:hyperlink r:id="rId1502">
        <w:r>
          <w:rPr>
            <w:rStyle w:val="Hyperlink"/>
          </w:rPr>
          <w:t xml:space="preserve">https://www.cnbc.com/2026/09/03/open-ai-astra-gpt-6-cyber.html</w:t>
        </w:r>
      </w:hyperlink>
      <w:r>
        <w:t xml:space="preserve"> </w:t>
      </w:r>
      <w:r>
        <w:t xml:space="preserve">accessed 2026-10-07 [search-tool extract]; A5-S008: OpenAI GPT-6 Astra / GPT-6 Sol and Luna generally available on Amazon Bedrock (AWS)</w:t>
      </w:r>
      <w:r>
        <w:t xml:space="preserve"> </w:t>
      </w:r>
      <w:hyperlink r:id="rId1504">
        <w:r>
          <w:rPr>
            <w:rStyle w:val="Hyperlink"/>
          </w:rPr>
          <w:t xml:space="preserve">https://aws.amazon.com/about-aws/whats-new/2026/09/openai-gpt-6-astra-on-amazon-bedrock/</w:t>
        </w:r>
      </w:hyperlink>
      <w:r>
        <w:t xml:space="preserve"> </w:t>
      </w:r>
      <w:r>
        <w:t xml:space="preserve">accessed 2026-10-07 [search-tool extract]</w:t>
      </w:r>
    </w:p>
  </w:footnote>
  <w:footnote w:id="1515">
    <w:p>
      <w:pPr>
        <w:pStyle w:val="FootnoteText"/>
      </w:pPr>
      <w:r>
        <w:rPr>
          <w:rStyle w:val="FootnoteReference"/>
        </w:rPr>
        <w:footnoteRef/>
      </w:r>
      <w:r>
        <w:t xml:space="preserve"> </w:t>
      </w:r>
      <w:r>
        <w:t xml:space="preserve">Verified fact — A5-S006: Data controls in the OpenAI platform (with Enterprise privacy, EU/UK data residency announcements)</w:t>
      </w:r>
      <w:r>
        <w:t xml:space="preserve"> </w:t>
      </w:r>
      <w:hyperlink r:id="rId430">
        <w:r>
          <w:rPr>
            <w:rStyle w:val="Hyperlink"/>
          </w:rPr>
          <w:t xml:space="preserve">https://developers.openai.com/api/docs/guides/your-data</w:t>
        </w:r>
      </w:hyperlink>
      <w:r>
        <w:t xml:space="preserve"> </w:t>
      </w:r>
      <w:r>
        <w:t xml:space="preserve">accessed 2026-10-07 [search-tool extract]; V2-S079: Data controls in the OpenAI platform (with help article</w:t>
      </w:r>
      <w:r>
        <w:t xml:space="preserve"> </w:t>
      </w:r>
      <w:r>
        <w:t xml:space="preserve">‘</w:t>
      </w:r>
      <w:r>
        <w:t xml:space="preserve">Data residency for the OpenAI API</w:t>
      </w:r>
      <w:r>
        <w:t xml:space="preserve">’</w:t>
      </w:r>
      <w:r>
        <w:t xml:space="preserve">;</w:t>
      </w:r>
      <w:r>
        <w:t xml:space="preserve"> </w:t>
      </w:r>
      <w:r>
        <w:t xml:space="preserve">‘</w:t>
      </w:r>
      <w:r>
        <w:t xml:space="preserve">Expanding data residency access</w:t>
      </w:r>
      <w:r>
        <w:t xml:space="preserve">’</w:t>
      </w:r>
      <w:r>
        <w:t xml:space="preserve">)</w:t>
      </w:r>
      <w:r>
        <w:t xml:space="preserve"> </w:t>
      </w:r>
      <w:hyperlink r:id="rId430">
        <w:r>
          <w:rPr>
            <w:rStyle w:val="Hyperlink"/>
          </w:rPr>
          <w:t xml:space="preserve">https://developers.openai.com/api/docs/guides/your-data</w:t>
        </w:r>
      </w:hyperlink>
      <w:r>
        <w:t xml:space="preserve"> </w:t>
      </w:r>
      <w:r>
        <w:t xml:space="preserve">accessed 2026-10-08 [search-tool extract]</w:t>
      </w:r>
    </w:p>
  </w:footnote>
  <w:footnote w:id="1516">
    <w:p>
      <w:pPr>
        <w:pStyle w:val="FootnoteText"/>
      </w:pPr>
      <w:r>
        <w:rPr>
          <w:rStyle w:val="FootnoteReference"/>
        </w:rPr>
        <w:footnoteRef/>
      </w:r>
      <w:r>
        <w:t xml:space="preserve"> </w:t>
      </w:r>
      <w:r>
        <w:t xml:space="preserve">Verified fact — A5-S008: OpenAI GPT-6 Astra / GPT-6 Sol and Luna generally available on Amazon Bedrock (AWS)</w:t>
      </w:r>
      <w:r>
        <w:t xml:space="preserve"> </w:t>
      </w:r>
      <w:hyperlink r:id="rId1504">
        <w:r>
          <w:rPr>
            <w:rStyle w:val="Hyperlink"/>
          </w:rPr>
          <w:t xml:space="preserve">https://aws.amazon.com/about-aws/whats-new/2026/09/openai-gpt-6-astra-on-amazon-bedrock/</w:t>
        </w:r>
      </w:hyperlink>
      <w:r>
        <w:t xml:space="preserve"> </w:t>
      </w:r>
      <w:r>
        <w:t xml:space="preserve">accessed 2026-10-07 [search-tool extract]</w:t>
      </w:r>
    </w:p>
  </w:footnote>
  <w:footnote w:id="1517">
    <w:p>
      <w:pPr>
        <w:pStyle w:val="FootnoteText"/>
      </w:pPr>
      <w:r>
        <w:rPr>
          <w:rStyle w:val="FootnoteReference"/>
        </w:rPr>
        <w:footnoteRef/>
      </w:r>
      <w:r>
        <w:t xml:space="preserve"> </w:t>
      </w:r>
      <w:r>
        <w:t xml:space="preserve">Verified fact — V2-S062: OpenAI Trust Portal (with openai.com/security-and-privacy)</w:t>
      </w:r>
      <w:r>
        <w:t xml:space="preserve"> </w:t>
      </w:r>
      <w:hyperlink r:id="rId1511">
        <w:r>
          <w:rPr>
            <w:rStyle w:val="Hyperlink"/>
          </w:rPr>
          <w:t xml:space="preserve">https://trust.openai.com/</w:t>
        </w:r>
      </w:hyperlink>
      <w:r>
        <w:t xml:space="preserve"> </w:t>
      </w:r>
      <w:r>
        <w:t xml:space="preserve">accessed 2026-10-08 [search-tool extract]</w:t>
      </w:r>
    </w:p>
  </w:footnote>
  <w:footnote w:id="1518">
    <w:p>
      <w:pPr>
        <w:pStyle w:val="FootnoteText"/>
      </w:pPr>
      <w:r>
        <w:rPr>
          <w:rStyle w:val="FootnoteReference"/>
        </w:rPr>
        <w:footnoteRef/>
      </w:r>
      <w:r>
        <w:t xml:space="preserve"> </w:t>
      </w:r>
      <w:r>
        <w:t xml:space="preserve">Verified fact — B-L1-S001: Deprecations (OpenAI API docs)</w:t>
      </w:r>
      <w:r>
        <w:t xml:space="preserve"> </w:t>
      </w:r>
      <w:hyperlink r:id="rId1131">
        <w:r>
          <w:rPr>
            <w:rStyle w:val="Hyperlink"/>
          </w:rPr>
          <w:t xml:space="preserve">https://developers.openai.com/api/docs/deprecations</w:t>
        </w:r>
      </w:hyperlink>
      <w:r>
        <w:t xml:space="preserve"> </w:t>
      </w:r>
      <w:r>
        <w:t xml:space="preserve">accessed 2026-10-08 [search-tool extract]</w:t>
      </w:r>
    </w:p>
  </w:footnote>
  <w:footnote w:id="1519">
    <w:p>
      <w:pPr>
        <w:pStyle w:val="FootnoteText"/>
      </w:pPr>
      <w:r>
        <w:rPr>
          <w:rStyle w:val="FootnoteReference"/>
        </w:rPr>
        <w:footnoteRef/>
      </w:r>
      <w:r>
        <w:t xml:space="preserve"> </w:t>
      </w:r>
      <w:r>
        <w:t xml:space="preserve">Verified fact — A5-S027: Generative AI pricing - Google Cloud (Gemini Enterprise Agent Platform, formerly Vertex AI)</w:t>
      </w:r>
      <w:r>
        <w:t xml:space="preserve"> </w:t>
      </w:r>
      <w:hyperlink r:id="rId1520">
        <w:r>
          <w:rPr>
            <w:rStyle w:val="Hyperlink"/>
          </w:rPr>
          <w:t xml:space="preserve">https://cloud.google.com/gemini-enterprise-agent-platform/generative-ai/pricing</w:t>
        </w:r>
      </w:hyperlink>
      <w:r>
        <w:t xml:space="preserve"> </w:t>
      </w:r>
      <w:r>
        <w:t xml:space="preserve">accessed 2026-10-07</w:t>
      </w:r>
    </w:p>
  </w:footnote>
  <w:footnote w:id="1522">
    <w:p>
      <w:pPr>
        <w:pStyle w:val="FootnoteText"/>
      </w:pPr>
      <w:r>
        <w:rPr>
          <w:rStyle w:val="FootnoteReference"/>
        </w:rPr>
        <w:footnoteRef/>
      </w:r>
      <w:r>
        <w:t xml:space="preserve"> </w:t>
      </w:r>
      <w:r>
        <w:t xml:space="preserve">Verified fact — A5-S074: Mistral Medium 3.5 model card; Introducing Mistral 3 (Large 3, Ministral 3); Mistral-Medium-3.5-128B (Hugging Face) (Mistral AI)</w:t>
      </w:r>
      <w:r>
        <w:t xml:space="preserve"> </w:t>
      </w:r>
      <w:hyperlink r:id="rId1523">
        <w:r>
          <w:rPr>
            <w:rStyle w:val="Hyperlink"/>
          </w:rPr>
          <w:t xml:space="preserve">https://docs.mistral.ai/models/model-cards/mistral-medium-3-5-26-04</w:t>
        </w:r>
      </w:hyperlink>
      <w:r>
        <w:t xml:space="preserve"> </w:t>
      </w:r>
      <w:r>
        <w:t xml:space="preserve">accessed 2026-10-07 [search-tool extract]; A5-S076: Introducing Mistral Large 4 (and Mistral changelog) (Mistral AI)</w:t>
      </w:r>
      <w:r>
        <w:t xml:space="preserve"> </w:t>
      </w:r>
      <w:hyperlink r:id="rId1524">
        <w:r>
          <w:rPr>
            <w:rStyle w:val="Hyperlink"/>
          </w:rPr>
          <w:t xml:space="preserve">https://mistral.ai/news/mistral-large-4/</w:t>
        </w:r>
      </w:hyperlink>
      <w:r>
        <w:t xml:space="preserve"> </w:t>
      </w:r>
      <w:r>
        <w:t xml:space="preserve">accessed 2026-10-07 [search-tool extract]; V2-S017: Mistral launches Mistral Large 4 (with VentureBeat, AI News, The Tribune) (SiliconANGLE)</w:t>
      </w:r>
      <w:r>
        <w:t xml:space="preserve"> </w:t>
      </w:r>
      <w:hyperlink r:id="rId1525">
        <w:r>
          <w:rPr>
            <w:rStyle w:val="Hyperlink"/>
          </w:rPr>
          <w:t xml:space="preserve">https://siliconangle.com/2026/10/06/mistral-launches-open-source-mistral-large-4-details-ai-roadmap/</w:t>
        </w:r>
      </w:hyperlink>
      <w:r>
        <w:t xml:space="preserve"> </w:t>
      </w:r>
      <w:r>
        <w:t xml:space="preserve">accessed 2026-10-08 [search-tool extract]; V2-S018: Mistral Medium 3.5 model card (with mistral.ai Vibe remote agents post, changelog) (Mistral AI)</w:t>
      </w:r>
      <w:r>
        <w:t xml:space="preserve"> </w:t>
      </w:r>
      <w:hyperlink r:id="rId1523">
        <w:r>
          <w:rPr>
            <w:rStyle w:val="Hyperlink"/>
          </w:rPr>
          <w:t xml:space="preserve">https://docs.mistral.ai/models/model-cards/mistral-medium-3-5-26-04</w:t>
        </w:r>
      </w:hyperlink>
      <w:r>
        <w:t xml:space="preserve"> </w:t>
      </w:r>
      <w:r>
        <w:t xml:space="preserve">accessed 2026-10-08 [search-tool extract]</w:t>
      </w:r>
    </w:p>
  </w:footnote>
  <w:footnote w:id="1526">
    <w:p>
      <w:pPr>
        <w:pStyle w:val="FootnoteText"/>
      </w:pPr>
      <w:r>
        <w:rPr>
          <w:rStyle w:val="FootnoteReference"/>
        </w:rPr>
        <w:footnoteRef/>
      </w:r>
      <w:r>
        <w:t xml:space="preserve"> </w:t>
      </w:r>
      <w:r>
        <w:t xml:space="preserve">Reported — A5-S038: LiteLLM 1.104.1 model_prices_and_context_window map (PyPI wheel) (BerriAI / LiteLLM (community-maintained))</w:t>
      </w:r>
      <w:r>
        <w:t xml:space="preserve"> </w:t>
      </w:r>
      <w:hyperlink r:id="rId1527">
        <w:r>
          <w:rPr>
            <w:rStyle w:val="Hyperlink"/>
          </w:rPr>
          <w:t xml:space="preserve">https://pypi.org/project/litellm/1.104.1/</w:t>
        </w:r>
      </w:hyperlink>
      <w:r>
        <w:t xml:space="preserve"> </w:t>
      </w:r>
      <w:r>
        <w:t xml:space="preserve">accessed 2026-10-07 [search-tool extract]</w:t>
      </w:r>
    </w:p>
  </w:footnote>
  <w:footnote w:id="1528">
    <w:p>
      <w:pPr>
        <w:pStyle w:val="FootnoteText"/>
      </w:pPr>
      <w:r>
        <w:rPr>
          <w:rStyle w:val="FootnoteReference"/>
        </w:rPr>
        <w:footnoteRef/>
      </w:r>
      <w:r>
        <w:t xml:space="preserve"> </w:t>
      </w:r>
      <w:r>
        <w:t xml:space="preserve">Verified fact — A5-S075: Mistral Help Centre: SOC 2 / ISO 27001; data storage location; ZDR; Regional inference docs; Trust Center (Mistral AI)</w:t>
      </w:r>
      <w:r>
        <w:t xml:space="preserve"> </w:t>
      </w:r>
      <w:hyperlink r:id="rId263">
        <w:r>
          <w:rPr>
            <w:rStyle w:val="Hyperlink"/>
          </w:rPr>
          <w:t xml:space="preserve">https://help.mistral.ai/en/articles/347638-do-you-have-soc-2-or-iso-27001-certification</w:t>
        </w:r>
      </w:hyperlink>
      <w:r>
        <w:t xml:space="preserve"> </w:t>
      </w:r>
      <w:r>
        <w:t xml:space="preserve">accessed 2026-10-07 [search-tool extract]</w:t>
      </w:r>
    </w:p>
  </w:footnote>
  <w:footnote w:id="1529">
    <w:p>
      <w:pPr>
        <w:pStyle w:val="FootnoteText"/>
      </w:pPr>
      <w:r>
        <w:rPr>
          <w:rStyle w:val="FootnoteReference"/>
        </w:rPr>
        <w:footnoteRef/>
      </w:r>
      <w:r>
        <w:t xml:space="preserve"> </w:t>
      </w:r>
      <w:r>
        <w:t xml:space="preserve">Verified fact — A5-S074: Mistral Medium 3.5 model card; Introducing Mistral 3 (Large 3, Ministral 3); Mistral-Medium-3.5-128B (Hugging Face) (Mistral AI)</w:t>
      </w:r>
      <w:r>
        <w:t xml:space="preserve"> </w:t>
      </w:r>
      <w:hyperlink r:id="rId1523">
        <w:r>
          <w:rPr>
            <w:rStyle w:val="Hyperlink"/>
          </w:rPr>
          <w:t xml:space="preserve">https://docs.mistral.ai/models/model-cards/mistral-medium-3-5-26-04</w:t>
        </w:r>
      </w:hyperlink>
      <w:r>
        <w:t xml:space="preserve"> </w:t>
      </w:r>
      <w:r>
        <w:t xml:space="preserve">accessed 2026-10-07 [search-tool extract]</w:t>
      </w:r>
    </w:p>
  </w:footnote>
  <w:footnote w:id="1530">
    <w:p>
      <w:pPr>
        <w:pStyle w:val="FootnoteText"/>
      </w:pPr>
      <w:r>
        <w:rPr>
          <w:rStyle w:val="FootnoteReference"/>
        </w:rPr>
        <w:footnoteRef/>
      </w:r>
      <w:r>
        <w:t xml:space="preserve"> </w:t>
      </w:r>
      <w:r>
        <w:t xml:space="preserve">Reported — A5-S027: Generative AI pricing - Google Cloud (Gemini Enterprise Agent Platform, formerly Vertex AI)</w:t>
      </w:r>
      <w:r>
        <w:t xml:space="preserve"> </w:t>
      </w:r>
      <w:hyperlink r:id="rId1520">
        <w:r>
          <w:rPr>
            <w:rStyle w:val="Hyperlink"/>
          </w:rPr>
          <w:t xml:space="preserve">https://cloud.google.com/gemini-enterprise-agent-platform/generative-ai/pricing</w:t>
        </w:r>
      </w:hyperlink>
      <w:r>
        <w:t xml:space="preserve"> </w:t>
      </w:r>
      <w:r>
        <w:t xml:space="preserve">accessed 2026-10-07; A5-S038: LiteLLM 1.104.1 model_prices_and_context_window map (PyPI wheel) (BerriAI / LiteLLM (community-maintained))</w:t>
      </w:r>
      <w:r>
        <w:t xml:space="preserve"> </w:t>
      </w:r>
      <w:hyperlink r:id="rId1527">
        <w:r>
          <w:rPr>
            <w:rStyle w:val="Hyperlink"/>
          </w:rPr>
          <w:t xml:space="preserve">https://pypi.org/project/litellm/1.104.1/</w:t>
        </w:r>
      </w:hyperlink>
      <w:r>
        <w:t xml:space="preserve"> </w:t>
      </w:r>
      <w:r>
        <w:t xml:space="preserve">accessed 2026-10-07 [search-tool extract]</w:t>
      </w:r>
    </w:p>
  </w:footnote>
  <w:footnote w:id="1531">
    <w:p>
      <w:pPr>
        <w:pStyle w:val="FootnoteText"/>
      </w:pPr>
      <w:r>
        <w:rPr>
          <w:rStyle w:val="FootnoteReference"/>
        </w:rPr>
        <w:footnoteRef/>
      </w:r>
      <w:r>
        <w:t xml:space="preserve"> </w:t>
      </w:r>
      <w:r>
        <w:t xml:space="preserve">Verified fact — B-L1-S002: Models overview: deprecated and retired models (Mistral Docs) (Mistral AI)</w:t>
      </w:r>
      <w:r>
        <w:t xml:space="preserve"> </w:t>
      </w:r>
      <w:hyperlink r:id="rId1532">
        <w:r>
          <w:rPr>
            <w:rStyle w:val="Hyperlink"/>
          </w:rPr>
          <w:t xml:space="preserve">https://docs.mistral.ai/models</w:t>
        </w:r>
      </w:hyperlink>
      <w:r>
        <w:t xml:space="preserve"> </w:t>
      </w:r>
      <w:r>
        <w:t xml:space="preserve">accessed 2026-10-08 [search-tool extract]</w:t>
      </w:r>
    </w:p>
  </w:footnote>
  <w:footnote w:id="1533">
    <w:p>
      <w:pPr>
        <w:pStyle w:val="FootnoteText"/>
      </w:pPr>
      <w:r>
        <w:rPr>
          <w:rStyle w:val="FootnoteReference"/>
        </w:rPr>
        <w:footnoteRef/>
      </w:r>
      <w:r>
        <w:t xml:space="preserve"> </w:t>
      </w:r>
      <w:r>
        <w:t xml:space="preserve">Verified fact — R-EU-GPAI-COP: General-Purpose AI Code of Practice (AI Act Articles 53 and 55) (see regulatory_facts.json); A8-S015: The General-Purpose AI Code of Practice (contents and signatory list) (European Commission)</w:t>
      </w:r>
      <w:r>
        <w:t xml:space="preserve"> </w:t>
      </w:r>
      <w:hyperlink r:id="rId1534">
        <w:r>
          <w:rPr>
            <w:rStyle w:val="Hyperlink"/>
          </w:rPr>
          <w:t xml:space="preserve">https://digital-strategy.ec.europa.eu/en/policies/contents-code-gpai</w:t>
        </w:r>
      </w:hyperlink>
      <w:r>
        <w:t xml:space="preserve"> </w:t>
      </w:r>
      <w:r>
        <w:t xml:space="preserve">accessed 2026-10-07 [search-tool extract]</w:t>
      </w:r>
    </w:p>
  </w:footnote>
  <w:footnote w:id="1535">
    <w:p>
      <w:pPr>
        <w:pStyle w:val="FootnoteText"/>
      </w:pPr>
      <w:r>
        <w:rPr>
          <w:rStyle w:val="FootnoteReference"/>
        </w:rPr>
        <w:footnoteRef/>
      </w:r>
      <w:r>
        <w:t xml:space="preserve"> </w:t>
      </w:r>
      <w:r>
        <w:t xml:space="preserve">Verified fact — A5-S076: Introducing Mistral Large 4 (and Mistral changelog) (Mistral AI)</w:t>
      </w:r>
      <w:r>
        <w:t xml:space="preserve"> </w:t>
      </w:r>
      <w:hyperlink r:id="rId1524">
        <w:r>
          <w:rPr>
            <w:rStyle w:val="Hyperlink"/>
          </w:rPr>
          <w:t xml:space="preserve">https://mistral.ai/news/mistral-large-4/</w:t>
        </w:r>
      </w:hyperlink>
      <w:r>
        <w:t xml:space="preserve"> </w:t>
      </w:r>
      <w:r>
        <w:t xml:space="preserve">accessed 2026-10-07 [search-tool extract]; V2-S017: Mistral launches Mistral Large 4 (with VentureBeat, AI News, The Tribune) (SiliconANGLE)</w:t>
      </w:r>
      <w:r>
        <w:t xml:space="preserve"> </w:t>
      </w:r>
      <w:hyperlink r:id="rId1525">
        <w:r>
          <w:rPr>
            <w:rStyle w:val="Hyperlink"/>
          </w:rPr>
          <w:t xml:space="preserve">https://siliconangle.com/2026/10/06/mistral-launches-open-source-mistral-large-4-details-ai-roadmap/</w:t>
        </w:r>
      </w:hyperlink>
      <w:r>
        <w:t xml:space="preserve"> </w:t>
      </w:r>
      <w:r>
        <w:t xml:space="preserve">accessed 2026-10-08 [search-tool extract]</w:t>
      </w:r>
    </w:p>
  </w:footnote>
  <w:footnote w:id="1536">
    <w:p>
      <w:pPr>
        <w:pStyle w:val="FootnoteText"/>
      </w:pPr>
      <w:r>
        <w:rPr>
          <w:rStyle w:val="FootnoteReference"/>
        </w:rPr>
        <w:footnoteRef/>
      </w:r>
      <w:r>
        <w:t xml:space="preserve"> </w:t>
      </w:r>
      <w:r>
        <w:t xml:space="preserve">Verified fact — A5-S074: Mistral Medium 3.5 model card; Introducing Mistral 3 (Large 3, Ministral 3); Mistral-Medium-3.5-128B (Hugging Face) (Mistral AI)</w:t>
      </w:r>
      <w:r>
        <w:t xml:space="preserve"> </w:t>
      </w:r>
      <w:hyperlink r:id="rId1523">
        <w:r>
          <w:rPr>
            <w:rStyle w:val="Hyperlink"/>
          </w:rPr>
          <w:t xml:space="preserve">https://docs.mistral.ai/models/model-cards/mistral-medium-3-5-26-04</w:t>
        </w:r>
      </w:hyperlink>
      <w:r>
        <w:t xml:space="preserve"> </w:t>
      </w:r>
      <w:r>
        <w:t xml:space="preserve">accessed 2026-10-07 [search-tool extract]; V2-S018: Mistral Medium 3.5 model card (with mistral.ai Vibe remote agents post, changelog) (Mistral AI)</w:t>
      </w:r>
      <w:r>
        <w:t xml:space="preserve"> </w:t>
      </w:r>
      <w:hyperlink r:id="rId1523">
        <w:r>
          <w:rPr>
            <w:rStyle w:val="Hyperlink"/>
          </w:rPr>
          <w:t xml:space="preserve">https://docs.mistral.ai/models/model-cards/mistral-medium-3-5-26-04</w:t>
        </w:r>
      </w:hyperlink>
      <w:r>
        <w:t xml:space="preserve"> </w:t>
      </w:r>
      <w:r>
        <w:t xml:space="preserve">accessed 2026-10-08 [search-tool extract]</w:t>
      </w:r>
    </w:p>
  </w:footnote>
  <w:footnote w:id="1537">
    <w:p>
      <w:pPr>
        <w:pStyle w:val="FootnoteText"/>
      </w:pPr>
      <w:r>
        <w:rPr>
          <w:rStyle w:val="FootnoteReference"/>
        </w:rPr>
        <w:footnoteRef/>
      </w:r>
      <w:r>
        <w:t xml:space="preserve"> </w:t>
      </w:r>
      <w:r>
        <w:t xml:space="preserve">Verified fact — A5-S075: Mistral Help Centre: SOC 2 / ISO 27001; data storage location; ZDR; Regional inference docs; Trust Center (Mistral AI)</w:t>
      </w:r>
      <w:r>
        <w:t xml:space="preserve"> </w:t>
      </w:r>
      <w:hyperlink r:id="rId263">
        <w:r>
          <w:rPr>
            <w:rStyle w:val="Hyperlink"/>
          </w:rPr>
          <w:t xml:space="preserve">https://help.mistral.ai/en/articles/347638-do-you-have-soc-2-or-iso-27001-certification</w:t>
        </w:r>
      </w:hyperlink>
      <w:r>
        <w:t xml:space="preserve"> </w:t>
      </w:r>
      <w:r>
        <w:t xml:space="preserve">accessed 2026-10-07 [search-tool extract]</w:t>
      </w:r>
    </w:p>
  </w:footnote>
  <w:footnote w:id="1538">
    <w:p>
      <w:pPr>
        <w:pStyle w:val="FootnoteText"/>
      </w:pPr>
      <w:r>
        <w:rPr>
          <w:rStyle w:val="FootnoteReference"/>
        </w:rPr>
        <w:footnoteRef/>
      </w:r>
      <w:r>
        <w:t xml:space="preserve"> </w:t>
      </w:r>
      <w:r>
        <w:t xml:space="preserve">Verified fact — B-L1-S002: Models overview: deprecated and retired models (Mistral Docs) (Mistral AI)</w:t>
      </w:r>
      <w:r>
        <w:t xml:space="preserve"> </w:t>
      </w:r>
      <w:hyperlink r:id="rId1532">
        <w:r>
          <w:rPr>
            <w:rStyle w:val="Hyperlink"/>
          </w:rPr>
          <w:t xml:space="preserve">https://docs.mistral.ai/models</w:t>
        </w:r>
      </w:hyperlink>
      <w:r>
        <w:t xml:space="preserve"> </w:t>
      </w:r>
      <w:r>
        <w:t xml:space="preserve">accessed 2026-10-08 [search-tool extract]</w:t>
      </w:r>
    </w:p>
  </w:footnote>
  <w:footnote w:id="1539">
    <w:p>
      <w:pPr>
        <w:pStyle w:val="FootnoteText"/>
      </w:pPr>
      <w:r>
        <w:rPr>
          <w:rStyle w:val="FootnoteReference"/>
        </w:rPr>
        <w:footnoteRef/>
      </w:r>
      <w:r>
        <w:t xml:space="preserve"> </w:t>
      </w:r>
      <w:r>
        <w:t xml:space="preserve">Reported — A5-S038: LiteLLM 1.104.1 model_prices_and_context_window map (PyPI wheel) (BerriAI / LiteLLM (community-maintained))</w:t>
      </w:r>
      <w:r>
        <w:t xml:space="preserve"> </w:t>
      </w:r>
      <w:hyperlink r:id="rId1527">
        <w:r>
          <w:rPr>
            <w:rStyle w:val="Hyperlink"/>
          </w:rPr>
          <w:t xml:space="preserve">https://pypi.org/project/litellm/1.104.1/</w:t>
        </w:r>
      </w:hyperlink>
      <w:r>
        <w:t xml:space="preserve"> </w:t>
      </w:r>
      <w:r>
        <w:t xml:space="preserve">accessed 2026-10-07 [search-tool extract]</w:t>
      </w:r>
    </w:p>
  </w:footnote>
  <w:footnote w:id="1541">
    <w:p>
      <w:pPr>
        <w:pStyle w:val="FootnoteText"/>
      </w:pPr>
      <w:r>
        <w:rPr>
          <w:rStyle w:val="FootnoteReference"/>
        </w:rPr>
        <w:footnoteRef/>
      </w:r>
      <w:r>
        <w:t xml:space="preserve"> </w:t>
      </w:r>
      <w:r>
        <w:t xml:space="preserve">Verified fact — A5-S010: Models overview - Claude API Docs (Anthropic)</w:t>
      </w:r>
      <w:r>
        <w:t xml:space="preserve"> </w:t>
      </w:r>
      <w:hyperlink r:id="rId1542">
        <w:r>
          <w:rPr>
            <w:rStyle w:val="Hyperlink"/>
          </w:rPr>
          <w:t xml:space="preserve">https://platform.claude.com/docs/en/models/overview</w:t>
        </w:r>
      </w:hyperlink>
      <w:r>
        <w:t xml:space="preserve"> </w:t>
      </w:r>
      <w:r>
        <w:t xml:space="preserve">accessed 2026-10-07; A5-S012: Anthropic Newsroom</w:t>
      </w:r>
      <w:r>
        <w:t xml:space="preserve"> </w:t>
      </w:r>
      <w:hyperlink r:id="rId1543">
        <w:r>
          <w:rPr>
            <w:rStyle w:val="Hyperlink"/>
          </w:rPr>
          <w:t xml:space="preserve">https://www.anthropic.com/news</w:t>
        </w:r>
      </w:hyperlink>
      <w:r>
        <w:t xml:space="preserve"> </w:t>
      </w:r>
      <w:r>
        <w:t xml:space="preserve">accessed 2026-10-07; A5-S016: Introducing Claude Fable 5.1 and Claude Mythos 5.1 (Anthropic)</w:t>
      </w:r>
      <w:r>
        <w:t xml:space="preserve"> </w:t>
      </w:r>
      <w:hyperlink r:id="rId1544">
        <w:r>
          <w:rPr>
            <w:rStyle w:val="Hyperlink"/>
          </w:rPr>
          <w:t xml:space="preserve">https://www.anthropic.com/claude-fable-and-mythos-5-1</w:t>
        </w:r>
      </w:hyperlink>
      <w:r>
        <w:t xml:space="preserve"> </w:t>
      </w:r>
      <w:r>
        <w:t xml:space="preserve">accessed 2026-10-07; A5-S019: Introducing Claude Opus 5.5 (Anthropic)</w:t>
      </w:r>
      <w:r>
        <w:t xml:space="preserve"> </w:t>
      </w:r>
      <w:hyperlink r:id="rId1545">
        <w:r>
          <w:rPr>
            <w:rStyle w:val="Hyperlink"/>
          </w:rPr>
          <w:t xml:space="preserve">https://www.anthropic.com/claude-opus-5-5</w:t>
        </w:r>
      </w:hyperlink>
      <w:r>
        <w:t xml:space="preserve"> </w:t>
      </w:r>
      <w:r>
        <w:t xml:space="preserve">accessed 2026-10-07; A5-S020: Introducing Claude Haiku 5.5 (Anthropic)</w:t>
      </w:r>
      <w:r>
        <w:t xml:space="preserve"> </w:t>
      </w:r>
      <w:hyperlink r:id="rId1546">
        <w:r>
          <w:rPr>
            <w:rStyle w:val="Hyperlink"/>
          </w:rPr>
          <w:t xml:space="preserve">https://www.anthropic.com/claude-haiku-5-5</w:t>
        </w:r>
      </w:hyperlink>
      <w:r>
        <w:t xml:space="preserve"> </w:t>
      </w:r>
      <w:r>
        <w:t xml:space="preserve">accessed 2026-10-07; V2-S066: Introducing Claude Fable 5.1 and Claude Mythos 5.1 (Anthropic)</w:t>
      </w:r>
      <w:r>
        <w:t xml:space="preserve"> </w:t>
      </w:r>
      <w:hyperlink r:id="rId1544">
        <w:r>
          <w:rPr>
            <w:rStyle w:val="Hyperlink"/>
          </w:rPr>
          <w:t xml:space="preserve">https://www.anthropic.com/claude-fable-and-mythos-5-1</w:t>
        </w:r>
      </w:hyperlink>
      <w:r>
        <w:t xml:space="preserve"> </w:t>
      </w:r>
      <w:r>
        <w:t xml:space="preserve">accessed 2026-10-08</w:t>
      </w:r>
    </w:p>
  </w:footnote>
  <w:footnote w:id="1547">
    <w:p>
      <w:pPr>
        <w:pStyle w:val="FootnoteText"/>
      </w:pPr>
      <w:r>
        <w:rPr>
          <w:rStyle w:val="FootnoteReference"/>
        </w:rPr>
        <w:footnoteRef/>
      </w:r>
      <w:r>
        <w:t xml:space="preserve"> </w:t>
      </w:r>
      <w:r>
        <w:t xml:space="preserve">Verified fact — A5-S010: Models overview - Claude API Docs (Anthropic)</w:t>
      </w:r>
      <w:r>
        <w:t xml:space="preserve"> </w:t>
      </w:r>
      <w:hyperlink r:id="rId1542">
        <w:r>
          <w:rPr>
            <w:rStyle w:val="Hyperlink"/>
          </w:rPr>
          <w:t xml:space="preserve">https://platform.claude.com/docs/en/models/overview</w:t>
        </w:r>
      </w:hyperlink>
      <w:r>
        <w:t xml:space="preserve"> </w:t>
      </w:r>
      <w:r>
        <w:t xml:space="preserve">accessed 2026-10-07</w:t>
      </w:r>
    </w:p>
  </w:footnote>
  <w:footnote w:id="1548">
    <w:p>
      <w:pPr>
        <w:pStyle w:val="FootnoteText"/>
      </w:pPr>
      <w:r>
        <w:rPr>
          <w:rStyle w:val="FootnoteReference"/>
        </w:rPr>
        <w:footnoteRef/>
      </w:r>
      <w:r>
        <w:t xml:space="preserve"> </w:t>
      </w:r>
      <w:r>
        <w:t xml:space="preserve">Verified fact — A5-S021: Trust Center - Anthropic (with help-centre article</w:t>
      </w:r>
      <w:r>
        <w:t xml:space="preserve"> </w:t>
      </w:r>
      <w:r>
        <w:t xml:space="preserve">‘</w:t>
      </w:r>
      <w:r>
        <w:t xml:space="preserve">What Certifications has Anthropic obtained?</w:t>
      </w:r>
      <w:r>
        <w:t xml:space="preserve">’</w:t>
      </w:r>
      <w:r>
        <w:t xml:space="preserve">)</w:t>
      </w:r>
      <w:r>
        <w:t xml:space="preserve"> </w:t>
      </w:r>
      <w:hyperlink r:id="rId1549">
        <w:r>
          <w:rPr>
            <w:rStyle w:val="Hyperlink"/>
          </w:rPr>
          <w:t xml:space="preserve">https://trust.anthropic.com/</w:t>
        </w:r>
      </w:hyperlink>
      <w:r>
        <w:t xml:space="preserve"> </w:t>
      </w:r>
      <w:r>
        <w:t xml:space="preserve">accessed 2026-10-07 [search-tool extract]; V2-S063: Trust Center - Anthropic (with</w:t>
      </w:r>
      <w:r>
        <w:t xml:space="preserve"> </w:t>
      </w:r>
      <w:r>
        <w:t xml:space="preserve">‘</w:t>
      </w:r>
      <w:r>
        <w:t xml:space="preserve">What Certifications has Anthropic obtained?</w:t>
      </w:r>
      <w:r>
        <w:t xml:space="preserve">’</w:t>
      </w:r>
      <w:r>
        <w:t xml:space="preserve"> </w:t>
      </w:r>
      <w:r>
        <w:t xml:space="preserve">help article; ISO 42001 announcement)</w:t>
      </w:r>
      <w:r>
        <w:t xml:space="preserve"> </w:t>
      </w:r>
      <w:hyperlink r:id="rId1549">
        <w:r>
          <w:rPr>
            <w:rStyle w:val="Hyperlink"/>
          </w:rPr>
          <w:t xml:space="preserve">https://trust.anthropic.com/</w:t>
        </w:r>
      </w:hyperlink>
      <w:r>
        <w:t xml:space="preserve"> </w:t>
      </w:r>
      <w:r>
        <w:t xml:space="preserve">accessed 2026-10-08 [search-tool extract]</w:t>
      </w:r>
    </w:p>
  </w:footnote>
  <w:footnote w:id="1550">
    <w:p>
      <w:pPr>
        <w:pStyle w:val="FootnoteText"/>
      </w:pPr>
      <w:r>
        <w:rPr>
          <w:rStyle w:val="FootnoteReference"/>
        </w:rPr>
        <w:footnoteRef/>
      </w:r>
      <w:r>
        <w:t xml:space="preserve"> </w:t>
      </w:r>
      <w:r>
        <w:t xml:space="preserve">Verified fact — A5-S013: Data residency - Claude Platform Docs (Anthropic)</w:t>
      </w:r>
      <w:r>
        <w:t xml:space="preserve"> </w:t>
      </w:r>
      <w:hyperlink r:id="rId1551">
        <w:r>
          <w:rPr>
            <w:rStyle w:val="Hyperlink"/>
          </w:rPr>
          <w:t xml:space="preserve">https://platform.claude.com/docs/en/manage-claude/data-residency</w:t>
        </w:r>
      </w:hyperlink>
      <w:r>
        <w:t xml:space="preserve"> </w:t>
      </w:r>
      <w:r>
        <w:t xml:space="preserve">accessed 2026-10-07; A5-S018: API and data retention - Claude Platform Docs (Anthropic)</w:t>
      </w:r>
      <w:r>
        <w:t xml:space="preserve"> </w:t>
      </w:r>
      <w:hyperlink r:id="rId1552">
        <w:r>
          <w:rPr>
            <w:rStyle w:val="Hyperlink"/>
          </w:rPr>
          <w:t xml:space="preserve">https://platform.claude.com/docs/en/manage-claude/api-and-data-retention</w:t>
        </w:r>
      </w:hyperlink>
      <w:r>
        <w:t xml:space="preserve"> </w:t>
      </w:r>
      <w:r>
        <w:t xml:space="preserve">accessed 2026-10-07</w:t>
      </w:r>
    </w:p>
  </w:footnote>
  <w:footnote w:id="1553">
    <w:p>
      <w:pPr>
        <w:pStyle w:val="FootnoteText"/>
      </w:pPr>
      <w:r>
        <w:rPr>
          <w:rStyle w:val="FootnoteReference"/>
        </w:rPr>
        <w:footnoteRef/>
      </w:r>
      <w:r>
        <w:t xml:space="preserve"> </w:t>
      </w:r>
      <w:r>
        <w:t xml:space="preserve">Verified fact — A5-S010: Models overview - Claude API Docs (Anthropic)</w:t>
      </w:r>
      <w:r>
        <w:t xml:space="preserve"> </w:t>
      </w:r>
      <w:hyperlink r:id="rId1542">
        <w:r>
          <w:rPr>
            <w:rStyle w:val="Hyperlink"/>
          </w:rPr>
          <w:t xml:space="preserve">https://platform.claude.com/docs/en/models/overview</w:t>
        </w:r>
      </w:hyperlink>
      <w:r>
        <w:t xml:space="preserve"> </w:t>
      </w:r>
      <w:r>
        <w:t xml:space="preserve">accessed 2026-10-07</w:t>
      </w:r>
    </w:p>
  </w:footnote>
  <w:footnote w:id="1554">
    <w:p>
      <w:pPr>
        <w:pStyle w:val="FootnoteText"/>
      </w:pPr>
      <w:r>
        <w:rPr>
          <w:rStyle w:val="FootnoteReference"/>
        </w:rPr>
        <w:footnoteRef/>
      </w:r>
      <w:r>
        <w:t xml:space="preserve"> </w:t>
      </w:r>
      <w:r>
        <w:t xml:space="preserve">Verified fact — A5-S013: Data residency - Claude Platform Docs (Anthropic)</w:t>
      </w:r>
      <w:r>
        <w:t xml:space="preserve"> </w:t>
      </w:r>
      <w:hyperlink r:id="rId1551">
        <w:r>
          <w:rPr>
            <w:rStyle w:val="Hyperlink"/>
          </w:rPr>
          <w:t xml:space="preserve">https://platform.claude.com/docs/en/manage-claude/data-residency</w:t>
        </w:r>
      </w:hyperlink>
      <w:r>
        <w:t xml:space="preserve"> </w:t>
      </w:r>
      <w:r>
        <w:t xml:space="preserve">accessed 2026-10-07; V2-S075: Data residency - Claude Platform Docs (Anthropic)</w:t>
      </w:r>
      <w:r>
        <w:t xml:space="preserve"> </w:t>
      </w:r>
      <w:hyperlink r:id="rId1555">
        <w:r>
          <w:rPr>
            <w:rStyle w:val="Hyperlink"/>
          </w:rPr>
          <w:t xml:space="preserve">https://platform.claude.com/docs/en/build-with-claude/data-residency</w:t>
        </w:r>
      </w:hyperlink>
      <w:r>
        <w:t xml:space="preserve"> </w:t>
      </w:r>
      <w:r>
        <w:t xml:space="preserve">accessed 2026-10-08; A5-S011: Pricing - Claude API Docs (Anthropic)</w:t>
      </w:r>
      <w:r>
        <w:t xml:space="preserve"> </w:t>
      </w:r>
      <w:hyperlink r:id="rId1556">
        <w:r>
          <w:rPr>
            <w:rStyle w:val="Hyperlink"/>
          </w:rPr>
          <w:t xml:space="preserve">https://platform.claude.com/docs/en/about-claude/pricing</w:t>
        </w:r>
      </w:hyperlink>
      <w:r>
        <w:t xml:space="preserve"> </w:t>
      </w:r>
      <w:r>
        <w:t xml:space="preserve">accessed 2026-10-07; A5-S027: Generative AI pricing - Google Cloud (Gemini Enterprise Agent Platform, formerly Vertex AI)</w:t>
      </w:r>
      <w:r>
        <w:t xml:space="preserve"> </w:t>
      </w:r>
      <w:hyperlink r:id="rId1520">
        <w:r>
          <w:rPr>
            <w:rStyle w:val="Hyperlink"/>
          </w:rPr>
          <w:t xml:space="preserve">https://cloud.google.com/gemini-enterprise-agent-platform/generative-ai/pricing</w:t>
        </w:r>
      </w:hyperlink>
      <w:r>
        <w:t xml:space="preserve"> </w:t>
      </w:r>
      <w:r>
        <w:t xml:space="preserve">accessed 2026-10-07</w:t>
      </w:r>
    </w:p>
  </w:footnote>
  <w:footnote w:id="1557">
    <w:p>
      <w:pPr>
        <w:pStyle w:val="FootnoteText"/>
      </w:pPr>
      <w:r>
        <w:rPr>
          <w:rStyle w:val="FootnoteReference"/>
        </w:rPr>
        <w:footnoteRef/>
      </w:r>
      <w:r>
        <w:t xml:space="preserve"> </w:t>
      </w:r>
      <w:r>
        <w:t xml:space="preserve">Verified fact — V2-S004: Claude Fable - Anthropic</w:t>
      </w:r>
      <w:r>
        <w:t xml:space="preserve"> </w:t>
      </w:r>
      <w:hyperlink r:id="rId1558">
        <w:r>
          <w:rPr>
            <w:rStyle w:val="Hyperlink"/>
          </w:rPr>
          <w:t xml:space="preserve">https://www.anthropic.com/claude/fable</w:t>
        </w:r>
      </w:hyperlink>
      <w:r>
        <w:t xml:space="preserve"> </w:t>
      </w:r>
      <w:r>
        <w:t xml:space="preserve">accessed 2026-10-08</w:t>
      </w:r>
    </w:p>
  </w:footnote>
  <w:footnote w:id="1559">
    <w:p>
      <w:pPr>
        <w:pStyle w:val="FootnoteText"/>
      </w:pPr>
      <w:r>
        <w:rPr>
          <w:rStyle w:val="FootnoteReference"/>
        </w:rPr>
        <w:footnoteRef/>
      </w:r>
      <w:r>
        <w:t xml:space="preserve"> </w:t>
      </w:r>
      <w:r>
        <w:t xml:space="preserve">Verified fact — A5-S023: Updates to Consumer Terms and Privacy Policy (Anthropic)</w:t>
      </w:r>
      <w:r>
        <w:t xml:space="preserve"> </w:t>
      </w:r>
      <w:hyperlink r:id="rId1560">
        <w:r>
          <w:rPr>
            <w:rStyle w:val="Hyperlink"/>
          </w:rPr>
          <w:t xml:space="preserve">https://www.anthropic.com/news/updates-to-our-consumer-terms</w:t>
        </w:r>
      </w:hyperlink>
      <w:r>
        <w:t xml:space="preserve"> </w:t>
      </w:r>
      <w:r>
        <w:t xml:space="preserve">accessed 2026-10-07; A5-S016: Introducing Claude Fable 5.1 and Claude Mythos 5.1 (Anthropic)</w:t>
      </w:r>
      <w:r>
        <w:t xml:space="preserve"> </w:t>
      </w:r>
      <w:hyperlink r:id="rId1544">
        <w:r>
          <w:rPr>
            <w:rStyle w:val="Hyperlink"/>
          </w:rPr>
          <w:t xml:space="preserve">https://www.anthropic.com/claude-fable-and-mythos-5-1</w:t>
        </w:r>
      </w:hyperlink>
      <w:r>
        <w:t xml:space="preserve"> </w:t>
      </w:r>
      <w:r>
        <w:t xml:space="preserve">accessed 2026-10-07</w:t>
      </w:r>
    </w:p>
  </w:footnote>
  <w:footnote w:id="1561">
    <w:p>
      <w:pPr>
        <w:pStyle w:val="FootnoteText"/>
      </w:pPr>
      <w:r>
        <w:rPr>
          <w:rStyle w:val="FootnoteReference"/>
        </w:rPr>
        <w:footnoteRef/>
      </w:r>
      <w:r>
        <w:t xml:space="preserve"> </w:t>
      </w:r>
      <w:r>
        <w:t xml:space="preserve">Verified fact — A5-S084: Anthropic PBC v. United States Department of War, No. 26-1049 (D.C. Cir., decided 25 Sept 2026) - opinion; with CNBC and Bloomberg coverage (US Court of Appeals for the D.C. Circuit)</w:t>
      </w:r>
      <w:r>
        <w:t xml:space="preserve"> </w:t>
      </w:r>
      <w:hyperlink r:id="rId1562">
        <w:r>
          <w:rPr>
            <w:rStyle w:val="Hyperlink"/>
          </w:rPr>
          <w:t xml:space="preserve">https://media.cadc.uscourts.gov/opinions/docs/2026/09/26-1049-2194984.pdf</w:t>
        </w:r>
      </w:hyperlink>
      <w:r>
        <w:t xml:space="preserve"> </w:t>
      </w:r>
      <w:r>
        <w:t xml:space="preserve">accessed 2026-10-07 [search-tool extract]; V2-S068: Judge blocks Pentagon blacklist of Anthropic as supply chain risk (with Justia order, Doc. 134, N.D. Cal. 3:26-cv-01996; Taft law bulletin; TechCrunch) (CNBC)</w:t>
      </w:r>
      <w:r>
        <w:t xml:space="preserve"> </w:t>
      </w:r>
      <w:hyperlink r:id="rId1563">
        <w:r>
          <w:rPr>
            <w:rStyle w:val="Hyperlink"/>
          </w:rPr>
          <w:t xml:space="preserve">https://www.cnbc.com/2026/08/28/judge-blocks-pentagon-blacklist--anthropic-.html</w:t>
        </w:r>
      </w:hyperlink>
      <w:r>
        <w:t xml:space="preserve"> </w:t>
      </w:r>
      <w:r>
        <w:t xml:space="preserve">accessed 2026-10-08 [search-tool extract]</w:t>
      </w:r>
    </w:p>
  </w:footnote>
  <w:footnote w:id="1564">
    <w:p>
      <w:pPr>
        <w:pStyle w:val="FootnoteText"/>
      </w:pPr>
      <w:r>
        <w:rPr>
          <w:rStyle w:val="FootnoteReference"/>
        </w:rPr>
        <w:footnoteRef/>
      </w:r>
      <w:r>
        <w:t xml:space="preserve"> </w:t>
      </w:r>
      <w:r>
        <w:t xml:space="preserve">Reported — V2-S005: D.C. Circuit Upholds Exclusion of Anthropic from DOW Supply Chain Under FASCSA (with Miller &amp; Chevalier, CCIA, ktslaw) (Holland &amp; Knight)</w:t>
      </w:r>
      <w:r>
        <w:t xml:space="preserve"> </w:t>
      </w:r>
      <w:hyperlink r:id="rId1565">
        <w:r>
          <w:rPr>
            <w:rStyle w:val="Hyperlink"/>
          </w:rPr>
          <w:t xml:space="preserve">https://www.hklaw.com/en/insights/publications/2026/09/dc-circuit-upholds-exclusion-of-anthropic-from-dow-supply-chain</w:t>
        </w:r>
      </w:hyperlink>
      <w:r>
        <w:t xml:space="preserve"> </w:t>
      </w:r>
      <w:r>
        <w:t xml:space="preserve">accessed 2026-10-08 [search-tool extract]</w:t>
      </w:r>
    </w:p>
  </w:footnote>
  <w:footnote w:id="1566">
    <w:p>
      <w:pPr>
        <w:pStyle w:val="FootnoteText"/>
      </w:pPr>
      <w:r>
        <w:rPr>
          <w:rStyle w:val="FootnoteReference"/>
        </w:rPr>
        <w:footnoteRef/>
      </w:r>
      <w:r>
        <w:t xml:space="preserve"> </w:t>
      </w:r>
      <w:r>
        <w:t xml:space="preserve">Verified fact — A5-S085: Anthropic Copyright Settlement website (Bartz v. Anthropic PBC, N.D. Cal. 4:24-cv-05417); Washington Post 21 July 2026; NPR (Court-appointed settlement administrator / Washington Post /)</w:t>
      </w:r>
      <w:r>
        <w:t xml:space="preserve"> </w:t>
      </w:r>
      <w:hyperlink r:id="rId1567">
        <w:r>
          <w:rPr>
            <w:rStyle w:val="Hyperlink"/>
          </w:rPr>
          <w:t xml:space="preserve">https://www.anthropiccopyrightsettlement.com/</w:t>
        </w:r>
      </w:hyperlink>
      <w:r>
        <w:t xml:space="preserve"> </w:t>
      </w:r>
      <w:r>
        <w:t xml:space="preserve">accessed 2026-10-07 [search-tool extract]</w:t>
      </w:r>
    </w:p>
  </w:footnote>
  <w:footnote w:id="1568">
    <w:p>
      <w:pPr>
        <w:pStyle w:val="FootnoteText"/>
      </w:pPr>
      <w:r>
        <w:rPr>
          <w:rStyle w:val="FootnoteReference"/>
        </w:rPr>
        <w:footnoteRef/>
      </w:r>
      <w:r>
        <w:t xml:space="preserve"> </w:t>
      </w:r>
      <w:r>
        <w:t xml:space="preserve">Reported — V2-S007: Bartz v. Anthropic Settlement Receives Final Approval (with Authors Guild, Jurist) (Authors Alliance)</w:t>
      </w:r>
      <w:r>
        <w:t xml:space="preserve"> </w:t>
      </w:r>
      <w:hyperlink r:id="rId1569">
        <w:r>
          <w:rPr>
            <w:rStyle w:val="Hyperlink"/>
          </w:rPr>
          <w:t xml:space="preserve">https://www.authorsalliance.org/2026/07/21/bartz-v-anthropic-settlement-receives-final-approval/</w:t>
        </w:r>
      </w:hyperlink>
      <w:r>
        <w:t xml:space="preserve"> </w:t>
      </w:r>
      <w:r>
        <w:t xml:space="preserve">accessed 2026-10-08 [search-tool extract]</w:t>
      </w:r>
    </w:p>
  </w:footnote>
  <w:footnote w:id="1570">
    <w:p>
      <w:pPr>
        <w:pStyle w:val="FootnoteText"/>
      </w:pPr>
      <w:r>
        <w:rPr>
          <w:rStyle w:val="FootnoteReference"/>
        </w:rPr>
        <w:footnoteRef/>
      </w:r>
      <w:r>
        <w:t xml:space="preserve"> </w:t>
      </w:r>
      <w:r>
        <w:t xml:space="preserve">Verified fact — A5-S010: Models overview - Claude API Docs (Anthropic)</w:t>
      </w:r>
      <w:r>
        <w:t xml:space="preserve"> </w:t>
      </w:r>
      <w:hyperlink r:id="rId1542">
        <w:r>
          <w:rPr>
            <w:rStyle w:val="Hyperlink"/>
          </w:rPr>
          <w:t xml:space="preserve">https://platform.claude.com/docs/en/models/overview</w:t>
        </w:r>
      </w:hyperlink>
      <w:r>
        <w:t xml:space="preserve"> </w:t>
      </w:r>
      <w:r>
        <w:t xml:space="preserve">accessed 2026-10-07</w:t>
      </w:r>
    </w:p>
  </w:footnote>
  <w:footnote w:id="1571">
    <w:p>
      <w:pPr>
        <w:pStyle w:val="FootnoteText"/>
      </w:pPr>
      <w:r>
        <w:rPr>
          <w:rStyle w:val="FootnoteReference"/>
        </w:rPr>
        <w:footnoteRef/>
      </w:r>
      <w:r>
        <w:t xml:space="preserve"> </w:t>
      </w:r>
      <w:r>
        <w:t xml:space="preserve">Verified fact — V2-S063: Trust Center - Anthropic (with</w:t>
      </w:r>
      <w:r>
        <w:t xml:space="preserve"> </w:t>
      </w:r>
      <w:r>
        <w:t xml:space="preserve">‘</w:t>
      </w:r>
      <w:r>
        <w:t xml:space="preserve">What Certifications has Anthropic obtained?</w:t>
      </w:r>
      <w:r>
        <w:t xml:space="preserve">’</w:t>
      </w:r>
      <w:r>
        <w:t xml:space="preserve"> </w:t>
      </w:r>
      <w:r>
        <w:t xml:space="preserve">help article; ISO 42001 announcement)</w:t>
      </w:r>
      <w:r>
        <w:t xml:space="preserve"> </w:t>
      </w:r>
      <w:hyperlink r:id="rId1549">
        <w:r>
          <w:rPr>
            <w:rStyle w:val="Hyperlink"/>
          </w:rPr>
          <w:t xml:space="preserve">https://trust.anthropic.com/</w:t>
        </w:r>
      </w:hyperlink>
      <w:r>
        <w:t xml:space="preserve"> </w:t>
      </w:r>
      <w:r>
        <w:t xml:space="preserve">accessed 2026-10-08 [search-tool extract]</w:t>
      </w:r>
    </w:p>
  </w:footnote>
  <w:footnote w:id="1573">
    <w:p>
      <w:pPr>
        <w:pStyle w:val="FootnoteText"/>
      </w:pPr>
      <w:r>
        <w:rPr>
          <w:rStyle w:val="FootnoteReference"/>
        </w:rPr>
        <w:footnoteRef/>
      </w:r>
      <w:r>
        <w:t xml:space="preserve"> </w:t>
      </w:r>
      <w:r>
        <w:t xml:space="preserve">Verified fact — A5-S034: Gemma 4: Byte for byte, the most capable open models (with Gemma releases page, Gemma 4 12B post) (Google)</w:t>
      </w:r>
      <w:r>
        <w:t xml:space="preserve"> </w:t>
      </w:r>
      <w:hyperlink r:id="rId1574">
        <w:r>
          <w:rPr>
            <w:rStyle w:val="Hyperlink"/>
          </w:rPr>
          <w:t xml:space="preserve">https://blog.google/innovation-and-ai/technology/developers-tools/gemma-4/</w:t>
        </w:r>
      </w:hyperlink>
      <w:r>
        <w:t xml:space="preserve"> </w:t>
      </w:r>
      <w:r>
        <w:t xml:space="preserve">accessed 2026-10-07 [search-tool extract]; A5-S035: google/gemma-4-31B-it and related Gemma 4 model cards - Hugging Face (Google (Hugging Face))</w:t>
      </w:r>
      <w:r>
        <w:t xml:space="preserve"> </w:t>
      </w:r>
      <w:hyperlink r:id="rId1575">
        <w:r>
          <w:rPr>
            <w:rStyle w:val="Hyperlink"/>
          </w:rPr>
          <w:t xml:space="preserve">https://huggingface.co/google/gemma-4-31B-it</w:t>
        </w:r>
      </w:hyperlink>
      <w:r>
        <w:t xml:space="preserve"> </w:t>
      </w:r>
      <w:r>
        <w:t xml:space="preserve">accessed 2026-10-07 [search-tool extract]; V2-S020: Gemma 4: Byte for byte, the most capable open models (with Gemma releases page, Gemma 4 model card, Introducing Gemma 4 12B) (Google)</w:t>
      </w:r>
      <w:r>
        <w:t xml:space="preserve"> </w:t>
      </w:r>
      <w:hyperlink r:id="rId1574">
        <w:r>
          <w:rPr>
            <w:rStyle w:val="Hyperlink"/>
          </w:rPr>
          <w:t xml:space="preserve">https://blog.google/innovation-and-ai/technology/developers-tools/gemma-4/</w:t>
        </w:r>
      </w:hyperlink>
      <w:r>
        <w:t xml:space="preserve"> </w:t>
      </w:r>
      <w:r>
        <w:t xml:space="preserve">accessed 2026-10-08 [search-tool extract]</w:t>
      </w:r>
    </w:p>
  </w:footnote>
  <w:footnote w:id="1576">
    <w:p>
      <w:pPr>
        <w:pStyle w:val="FootnoteText"/>
      </w:pPr>
      <w:r>
        <w:rPr>
          <w:rStyle w:val="FootnoteReference"/>
        </w:rPr>
        <w:footnoteRef/>
      </w:r>
      <w:r>
        <w:t xml:space="preserve"> </w:t>
      </w:r>
      <w:r>
        <w:t xml:space="preserve">Verified fact — A5-S034: Gemma 4: Byte for byte, the most capable open models (with Gemma releases page, Gemma 4 12B post) (Google)</w:t>
      </w:r>
      <w:r>
        <w:t xml:space="preserve"> </w:t>
      </w:r>
      <w:hyperlink r:id="rId1574">
        <w:r>
          <w:rPr>
            <w:rStyle w:val="Hyperlink"/>
          </w:rPr>
          <w:t xml:space="preserve">https://blog.google/innovation-and-ai/technology/developers-tools/gemma-4/</w:t>
        </w:r>
      </w:hyperlink>
      <w:r>
        <w:t xml:space="preserve"> </w:t>
      </w:r>
      <w:r>
        <w:t xml:space="preserve">accessed 2026-10-07 [search-tool extract]; V2-S020: Gemma 4: Byte for byte, the most capable open models (with Gemma releases page, Gemma 4 model card, Introducing Gemma 4 12B) (Google)</w:t>
      </w:r>
      <w:r>
        <w:t xml:space="preserve"> </w:t>
      </w:r>
      <w:hyperlink r:id="rId1574">
        <w:r>
          <w:rPr>
            <w:rStyle w:val="Hyperlink"/>
          </w:rPr>
          <w:t xml:space="preserve">https://blog.google/innovation-and-ai/technology/developers-tools/gemma-4/</w:t>
        </w:r>
      </w:hyperlink>
      <w:r>
        <w:t xml:space="preserve"> </w:t>
      </w:r>
      <w:r>
        <w:t xml:space="preserve">accessed 2026-10-08 [search-tool extract]</w:t>
      </w:r>
    </w:p>
  </w:footnote>
  <w:footnote w:id="1577">
    <w:p>
      <w:pPr>
        <w:pStyle w:val="FootnoteText"/>
      </w:pPr>
      <w:r>
        <w:rPr>
          <w:rStyle w:val="FootnoteReference"/>
        </w:rPr>
        <w:footnoteRef/>
      </w:r>
      <w:r>
        <w:t xml:space="preserve"> </w:t>
      </w:r>
      <w:r>
        <w:t xml:space="preserve">Reported — A5-S035: google/gemma-4-31B-it and related Gemma 4 model cards - Hugging Face (Google (Hugging Face))</w:t>
      </w:r>
      <w:r>
        <w:t xml:space="preserve"> </w:t>
      </w:r>
      <w:hyperlink r:id="rId1575">
        <w:r>
          <w:rPr>
            <w:rStyle w:val="Hyperlink"/>
          </w:rPr>
          <w:t xml:space="preserve">https://huggingface.co/google/gemma-4-31B-it</w:t>
        </w:r>
      </w:hyperlink>
      <w:r>
        <w:t xml:space="preserve"> </w:t>
      </w:r>
      <w:r>
        <w:t xml:space="preserve">accessed 2026-10-07 [search-tool extract]</w:t>
      </w:r>
    </w:p>
  </w:footnote>
  <w:footnote w:id="1578">
    <w:p>
      <w:pPr>
        <w:pStyle w:val="FootnoteText"/>
      </w:pPr>
      <w:r>
        <w:rPr>
          <w:rStyle w:val="FootnoteReference"/>
        </w:rPr>
        <w:footnoteRef/>
      </w:r>
      <w:r>
        <w:t xml:space="preserve"> </w:t>
      </w:r>
      <w:r>
        <w:t xml:space="preserve">Verified fact — A5-S027: Generative AI pricing - Google Cloud (Gemini Enterprise Agent Platform, formerly Vertex AI)</w:t>
      </w:r>
      <w:r>
        <w:t xml:space="preserve"> </w:t>
      </w:r>
      <w:hyperlink r:id="rId1520">
        <w:r>
          <w:rPr>
            <w:rStyle w:val="Hyperlink"/>
          </w:rPr>
          <w:t xml:space="preserve">https://cloud.google.com/gemini-enterprise-agent-platform/generative-ai/pricing</w:t>
        </w:r>
      </w:hyperlink>
      <w:r>
        <w:t xml:space="preserve"> </w:t>
      </w:r>
      <w:r>
        <w:t xml:space="preserve">accessed 2026-10-07</w:t>
      </w:r>
    </w:p>
  </w:footnote>
  <w:footnote w:id="1579">
    <w:p>
      <w:pPr>
        <w:pStyle w:val="FootnoteText"/>
      </w:pPr>
      <w:r>
        <w:rPr>
          <w:rStyle w:val="FootnoteReference"/>
        </w:rPr>
        <w:footnoteRef/>
      </w:r>
      <w:r>
        <w:t xml:space="preserve"> </w:t>
      </w:r>
      <w:r>
        <w:t xml:space="preserve">Reported — A5-S038: LiteLLM 1.104.1 model_prices_and_context_window map (PyPI wheel) (BerriAI / LiteLLM (community-maintained))</w:t>
      </w:r>
      <w:r>
        <w:t xml:space="preserve"> </w:t>
      </w:r>
      <w:hyperlink r:id="rId1527">
        <w:r>
          <w:rPr>
            <w:rStyle w:val="Hyperlink"/>
          </w:rPr>
          <w:t xml:space="preserve">https://pypi.org/project/litellm/1.104.1/</w:t>
        </w:r>
      </w:hyperlink>
      <w:r>
        <w:t xml:space="preserve"> </w:t>
      </w:r>
      <w:r>
        <w:t xml:space="preserve">accessed 2026-10-07 [search-tool extract]</w:t>
      </w:r>
    </w:p>
  </w:footnote>
  <w:footnote w:id="1580">
    <w:p>
      <w:pPr>
        <w:pStyle w:val="FootnoteText"/>
      </w:pPr>
      <w:r>
        <w:rPr>
          <w:rStyle w:val="FootnoteReference"/>
        </w:rPr>
        <w:footnoteRef/>
      </w:r>
      <w:r>
        <w:t xml:space="preserve"> </w:t>
      </w:r>
      <w:r>
        <w:t xml:space="preserve">Verified fact — A5-S034: Gemma 4: Byte for byte, the most capable open models (with Gemma releases page, Gemma 4 12B post) (Google)</w:t>
      </w:r>
      <w:r>
        <w:t xml:space="preserve"> </w:t>
      </w:r>
      <w:hyperlink r:id="rId1574">
        <w:r>
          <w:rPr>
            <w:rStyle w:val="Hyperlink"/>
          </w:rPr>
          <w:t xml:space="preserve">https://blog.google/innovation-and-ai/technology/developers-tools/gemma-4/</w:t>
        </w:r>
      </w:hyperlink>
      <w:r>
        <w:t xml:space="preserve"> </w:t>
      </w:r>
      <w:r>
        <w:t xml:space="preserve">accessed 2026-10-07 [search-tool extract]</w:t>
      </w:r>
    </w:p>
  </w:footnote>
  <w:footnote w:id="1581">
    <w:p>
      <w:pPr>
        <w:pStyle w:val="FootnoteText"/>
      </w:pPr>
      <w:r>
        <w:rPr>
          <w:rStyle w:val="FootnoteReference"/>
        </w:rPr>
        <w:footnoteRef/>
      </w:r>
      <w:r>
        <w:t xml:space="preserve"> </w:t>
      </w:r>
      <w:r>
        <w:t xml:space="preserve">Verified fact — A5-S034: Gemma 4: Byte for byte, the most capable open models (with Gemma releases page, Gemma 4 12B post) (Google)</w:t>
      </w:r>
      <w:r>
        <w:t xml:space="preserve"> </w:t>
      </w:r>
      <w:hyperlink r:id="rId1574">
        <w:r>
          <w:rPr>
            <w:rStyle w:val="Hyperlink"/>
          </w:rPr>
          <w:t xml:space="preserve">https://blog.google/innovation-and-ai/technology/developers-tools/gemma-4/</w:t>
        </w:r>
      </w:hyperlink>
      <w:r>
        <w:t xml:space="preserve"> </w:t>
      </w:r>
      <w:r>
        <w:t xml:space="preserve">accessed 2026-10-07 [search-tool extract]</w:t>
      </w:r>
    </w:p>
  </w:footnote>
  <w:footnote w:id="1582">
    <w:p>
      <w:pPr>
        <w:pStyle w:val="FootnoteText"/>
      </w:pPr>
      <w:r>
        <w:rPr>
          <w:rStyle w:val="FootnoteReference"/>
        </w:rPr>
        <w:footnoteRef/>
      </w:r>
      <w:r>
        <w:t xml:space="preserve"> </w:t>
      </w:r>
      <w:r>
        <w:t xml:space="preserve">Verified fact — A5-S034: Gemma 4: Byte for byte, the most capable open models (with Gemma releases page, Gemma 4 12B post) (Google)</w:t>
      </w:r>
      <w:r>
        <w:t xml:space="preserve"> </w:t>
      </w:r>
      <w:hyperlink r:id="rId1574">
        <w:r>
          <w:rPr>
            <w:rStyle w:val="Hyperlink"/>
          </w:rPr>
          <w:t xml:space="preserve">https://blog.google/innovation-and-ai/technology/developers-tools/gemma-4/</w:t>
        </w:r>
      </w:hyperlink>
      <w:r>
        <w:t xml:space="preserve"> </w:t>
      </w:r>
      <w:r>
        <w:t xml:space="preserve">accessed 2026-10-07 [search-tool extract]</w:t>
      </w:r>
    </w:p>
  </w:footnote>
  <w:footnote w:id="1584">
    <w:p>
      <w:pPr>
        <w:pStyle w:val="FootnoteText"/>
      </w:pPr>
      <w:r>
        <w:rPr>
          <w:rStyle w:val="FootnoteReference"/>
        </w:rPr>
        <w:footnoteRef/>
      </w:r>
      <w:r>
        <w:t xml:space="preserve"> </w:t>
      </w:r>
      <w:r>
        <w:t xml:space="preserve">Verified fact — A5-S027: Generative AI pricing - Google Cloud (Gemini Enterprise Agent Platform, formerly Vertex AI)</w:t>
      </w:r>
      <w:r>
        <w:t xml:space="preserve"> </w:t>
      </w:r>
      <w:hyperlink r:id="rId1520">
        <w:r>
          <w:rPr>
            <w:rStyle w:val="Hyperlink"/>
          </w:rPr>
          <w:t xml:space="preserve">https://cloud.google.com/gemini-enterprise-agent-platform/generative-ai/pricing</w:t>
        </w:r>
      </w:hyperlink>
      <w:r>
        <w:t xml:space="preserve"> </w:t>
      </w:r>
      <w:r>
        <w:t xml:space="preserve">accessed 2026-10-07; A5-S030: Gemini API Release notes (with Models, Deprecations,</w:t>
      </w:r>
      <w:r>
        <w:t xml:space="preserve"> </w:t>
      </w:r>
      <w:r>
        <w:t xml:space="preserve">‘</w:t>
      </w:r>
      <w:r>
        <w:t xml:space="preserve">What’s new in Gemini 3.8 Flash</w:t>
      </w:r>
      <w:r>
        <w:t xml:space="preserve">’</w:t>
      </w:r>
      <w:r>
        <w:t xml:space="preserve"> </w:t>
      </w:r>
      <w:r>
        <w:t xml:space="preserve">pages) (Google)</w:t>
      </w:r>
      <w:r>
        <w:t xml:space="preserve"> </w:t>
      </w:r>
      <w:hyperlink r:id="rId1585">
        <w:r>
          <w:rPr>
            <w:rStyle w:val="Hyperlink"/>
          </w:rPr>
          <w:t xml:space="preserve">https://ai.google.dev/gemini-api/docs/changelog</w:t>
        </w:r>
      </w:hyperlink>
      <w:r>
        <w:t xml:space="preserve"> </w:t>
      </w:r>
      <w:r>
        <w:t xml:space="preserve">accessed 2026-10-07 [search-tool extract]; A5-S031: Gemini 4 Argon: our next era of frontier intelligence (Google)</w:t>
      </w:r>
      <w:r>
        <w:t xml:space="preserve"> </w:t>
      </w:r>
      <w:hyperlink r:id="rId1586">
        <w:r>
          <w:rPr>
            <w:rStyle w:val="Hyperlink"/>
          </w:rPr>
          <w:t xml:space="preserve">https://blog.google/innovation-and-ai/models-and-research/gemini-models/gemini-4-argon/</w:t>
        </w:r>
      </w:hyperlink>
      <w:r>
        <w:t xml:space="preserve"> </w:t>
      </w:r>
      <w:r>
        <w:t xml:space="preserve">accessed 2026-10-07 [search-tool extract]; A5-S032: Gemini Developer API pricing (and Gemini 3.1 Pro preview model page) (Google)</w:t>
      </w:r>
      <w:r>
        <w:t xml:space="preserve"> </w:t>
      </w:r>
      <w:hyperlink r:id="rId409">
        <w:r>
          <w:rPr>
            <w:rStyle w:val="Hyperlink"/>
          </w:rPr>
          <w:t xml:space="preserve">https://ai.google.dev/gemini-api/docs/pricing</w:t>
        </w:r>
      </w:hyperlink>
      <w:r>
        <w:t xml:space="preserve"> </w:t>
      </w:r>
      <w:r>
        <w:t xml:space="preserve">accessed 2026-10-07 [search-tool extract]; V2-S009: Gemini 4 Argon: our next era of frontier intelligence (with deepmind.google cyber page, Fairwind Program page) (Google)</w:t>
      </w:r>
      <w:r>
        <w:t xml:space="preserve"> </w:t>
      </w:r>
      <w:hyperlink r:id="rId1586">
        <w:r>
          <w:rPr>
            <w:rStyle w:val="Hyperlink"/>
          </w:rPr>
          <w:t xml:space="preserve">https://blog.google/innovation-and-ai/models-and-research/gemini-models/gemini-4-argon/</w:t>
        </w:r>
      </w:hyperlink>
      <w:r>
        <w:t xml:space="preserve"> </w:t>
      </w:r>
      <w:r>
        <w:t xml:space="preserve">accessed 2026-10-08 [search-tool extract]; V2-S010: Gemini API release notes (with Gemini 3.8 Flash model page, Gemini 3.1 Pro preview model page, Gemini Enterprise release notes) (Google)</w:t>
      </w:r>
      <w:r>
        <w:t xml:space="preserve"> </w:t>
      </w:r>
      <w:hyperlink r:id="rId1585">
        <w:r>
          <w:rPr>
            <w:rStyle w:val="Hyperlink"/>
          </w:rPr>
          <w:t xml:space="preserve">https://ai.google.dev/gemini-api/docs/changelog</w:t>
        </w:r>
      </w:hyperlink>
      <w:r>
        <w:t xml:space="preserve"> </w:t>
      </w:r>
      <w:r>
        <w:t xml:space="preserve">accessed 2026-10-08 [search-tool extract]</w:t>
      </w:r>
    </w:p>
  </w:footnote>
  <w:footnote w:id="1587">
    <w:p>
      <w:pPr>
        <w:pStyle w:val="FootnoteText"/>
      </w:pPr>
      <w:r>
        <w:rPr>
          <w:rStyle w:val="FootnoteReference"/>
        </w:rPr>
        <w:footnoteRef/>
      </w:r>
      <w:r>
        <w:t xml:space="preserve"> </w:t>
      </w:r>
      <w:r>
        <w:t xml:space="preserve">Verified fact — A5-S030: Gemini API Release notes (with Models, Deprecations,</w:t>
      </w:r>
      <w:r>
        <w:t xml:space="preserve"> </w:t>
      </w:r>
      <w:r>
        <w:t xml:space="preserve">‘</w:t>
      </w:r>
      <w:r>
        <w:t xml:space="preserve">What’s new in Gemini 3.8 Flash</w:t>
      </w:r>
      <w:r>
        <w:t xml:space="preserve">’</w:t>
      </w:r>
      <w:r>
        <w:t xml:space="preserve"> </w:t>
      </w:r>
      <w:r>
        <w:t xml:space="preserve">pages) (Google)</w:t>
      </w:r>
      <w:r>
        <w:t xml:space="preserve"> </w:t>
      </w:r>
      <w:hyperlink r:id="rId1585">
        <w:r>
          <w:rPr>
            <w:rStyle w:val="Hyperlink"/>
          </w:rPr>
          <w:t xml:space="preserve">https://ai.google.dev/gemini-api/docs/changelog</w:t>
        </w:r>
      </w:hyperlink>
      <w:r>
        <w:t xml:space="preserve"> </w:t>
      </w:r>
      <w:r>
        <w:t xml:space="preserve">accessed 2026-10-07 [search-tool extract]; A5-S027: Generative AI pricing - Google Cloud (Gemini Enterprise Agent Platform, formerly Vertex AI)</w:t>
      </w:r>
      <w:r>
        <w:t xml:space="preserve"> </w:t>
      </w:r>
      <w:hyperlink r:id="rId1520">
        <w:r>
          <w:rPr>
            <w:rStyle w:val="Hyperlink"/>
          </w:rPr>
          <w:t xml:space="preserve">https://cloud.google.com/gemini-enterprise-agent-platform/generative-ai/pricing</w:t>
        </w:r>
      </w:hyperlink>
      <w:r>
        <w:t xml:space="preserve"> </w:t>
      </w:r>
      <w:r>
        <w:t xml:space="preserve">accessed 2026-10-07</w:t>
      </w:r>
    </w:p>
  </w:footnote>
  <w:footnote w:id="1588">
    <w:p>
      <w:pPr>
        <w:pStyle w:val="FootnoteText"/>
      </w:pPr>
      <w:r>
        <w:rPr>
          <w:rStyle w:val="FootnoteReference"/>
        </w:rPr>
        <w:footnoteRef/>
      </w:r>
      <w:r>
        <w:t xml:space="preserve"> </w:t>
      </w:r>
      <w:r>
        <w:t xml:space="preserve">Verified fact — A5-S028: ISO/IEC 42001 - Compliance | Google Cloud</w:t>
      </w:r>
      <w:r>
        <w:t xml:space="preserve"> </w:t>
      </w:r>
      <w:hyperlink r:id="rId1589">
        <w:r>
          <w:rPr>
            <w:rStyle w:val="Hyperlink"/>
          </w:rPr>
          <w:t xml:space="preserve">https://cloud.google.com/security/compliance/iso-42001</w:t>
        </w:r>
      </w:hyperlink>
      <w:r>
        <w:t xml:space="preserve"> </w:t>
      </w:r>
      <w:r>
        <w:t xml:space="preserve">accessed 2026-10-07; A5-S037: Certifications and security for Gemini products in Google Cloud (with SOC 2 compliance page)</w:t>
      </w:r>
      <w:r>
        <w:t xml:space="preserve"> </w:t>
      </w:r>
      <w:hyperlink r:id="rId1590">
        <w:r>
          <w:rPr>
            <w:rStyle w:val="Hyperlink"/>
          </w:rPr>
          <w:t xml:space="preserve">https://docs.cloud.google.com/gemini/docs/discover/certifications</w:t>
        </w:r>
      </w:hyperlink>
      <w:r>
        <w:t xml:space="preserve"> </w:t>
      </w:r>
      <w:r>
        <w:t xml:space="preserve">accessed 2026-10-07 [search-tool extract]</w:t>
      </w:r>
    </w:p>
  </w:footnote>
  <w:footnote w:id="1591">
    <w:p>
      <w:pPr>
        <w:pStyle w:val="FootnoteText"/>
      </w:pPr>
      <w:r>
        <w:rPr>
          <w:rStyle w:val="FootnoteReference"/>
        </w:rPr>
        <w:footnoteRef/>
      </w:r>
      <w:r>
        <w:t xml:space="preserve"> </w:t>
      </w:r>
      <w:r>
        <w:t xml:space="preserve">Verified fact — A5-S029: Google Cloud generative AI data residency guarantees for data stored at-rest</w:t>
      </w:r>
      <w:r>
        <w:t xml:space="preserve"> </w:t>
      </w:r>
      <w:hyperlink r:id="rId1592">
        <w:r>
          <w:rPr>
            <w:rStyle w:val="Hyperlink"/>
          </w:rPr>
          <w:t xml:space="preserve">https://cloud.google.com/blog/products/ai-machine-learning/google-cloud-generative-ai-data-residency-guarantees-for-data-stored-at-rest</w:t>
        </w:r>
      </w:hyperlink>
      <w:r>
        <w:t xml:space="preserve"> </w:t>
      </w:r>
      <w:r>
        <w:t xml:space="preserve">accessed 2026-10-07; A5-S033: Gemini API Additional Terms of Service (with ZDR and logs-policy pages; Vertex AI zero data retention page) (Google)</w:t>
      </w:r>
      <w:r>
        <w:t xml:space="preserve"> </w:t>
      </w:r>
      <w:hyperlink r:id="rId1593">
        <w:r>
          <w:rPr>
            <w:rStyle w:val="Hyperlink"/>
          </w:rPr>
          <w:t xml:space="preserve">https://ai.google.dev/gemini-api/terms</w:t>
        </w:r>
      </w:hyperlink>
      <w:r>
        <w:t xml:space="preserve"> </w:t>
      </w:r>
      <w:r>
        <w:t xml:space="preserve">accessed 2026-10-07 [search-tool extract]</w:t>
      </w:r>
    </w:p>
  </w:footnote>
  <w:footnote w:id="1594">
    <w:p>
      <w:pPr>
        <w:pStyle w:val="FootnoteText"/>
      </w:pPr>
      <w:r>
        <w:rPr>
          <w:rStyle w:val="FootnoteReference"/>
        </w:rPr>
        <w:footnoteRef/>
      </w:r>
      <w:r>
        <w:t xml:space="preserve"> </w:t>
      </w:r>
      <w:r>
        <w:t xml:space="preserve">Verified fact — B-L1-S003: Gemini 3.7 Flash model page and related lifecycle pages (Gemini Enterprise Agent Platform) (Google Cloud)</w:t>
      </w:r>
      <w:r>
        <w:t xml:space="preserve"> </w:t>
      </w:r>
      <w:hyperlink r:id="rId1595">
        <w:r>
          <w:rPr>
            <w:rStyle w:val="Hyperlink"/>
          </w:rPr>
          <w:t xml:space="preserve">https://docs.cloud.google.com/gemini-enterprise-agent-platform/models/gemini/3-7-flash</w:t>
        </w:r>
      </w:hyperlink>
      <w:r>
        <w:t xml:space="preserve"> </w:t>
      </w:r>
      <w:r>
        <w:t xml:space="preserve">accessed 2026-10-08 [search-tool extract]</w:t>
      </w:r>
    </w:p>
  </w:footnote>
  <w:footnote w:id="1596">
    <w:p>
      <w:pPr>
        <w:pStyle w:val="FootnoteText"/>
      </w:pPr>
      <w:r>
        <w:rPr>
          <w:rStyle w:val="FootnoteReference"/>
        </w:rPr>
        <w:footnoteRef/>
      </w:r>
      <w:r>
        <w:t xml:space="preserve"> </w:t>
      </w:r>
      <w:r>
        <w:t xml:space="preserve">Verified fact — A5-S032: Gemini Developer API pricing (and Gemini 3.1 Pro preview model page) (Google)</w:t>
      </w:r>
      <w:r>
        <w:t xml:space="preserve"> </w:t>
      </w:r>
      <w:hyperlink r:id="rId409">
        <w:r>
          <w:rPr>
            <w:rStyle w:val="Hyperlink"/>
          </w:rPr>
          <w:t xml:space="preserve">https://ai.google.dev/gemini-api/docs/pricing</w:t>
        </w:r>
      </w:hyperlink>
      <w:r>
        <w:t xml:space="preserve"> </w:t>
      </w:r>
      <w:r>
        <w:t xml:space="preserve">accessed 2026-10-07 [search-tool extract]</w:t>
      </w:r>
    </w:p>
  </w:footnote>
  <w:footnote w:id="1597">
    <w:p>
      <w:pPr>
        <w:pStyle w:val="FootnoteText"/>
      </w:pPr>
      <w:r>
        <w:rPr>
          <w:rStyle w:val="FootnoteReference"/>
        </w:rPr>
        <w:footnoteRef/>
      </w:r>
      <w:r>
        <w:t xml:space="preserve"> </w:t>
      </w:r>
      <w:r>
        <w:t xml:space="preserve">Reported — A5-S036: Google announces Gemini 4 Argon as its new frontier model (9to5Google)</w:t>
      </w:r>
      <w:r>
        <w:t xml:space="preserve"> </w:t>
      </w:r>
      <w:hyperlink r:id="rId1598">
        <w:r>
          <w:rPr>
            <w:rStyle w:val="Hyperlink"/>
          </w:rPr>
          <w:t xml:space="preserve">https://9to5google.com/2026/09/30/gemini-4-argon-announcement/</w:t>
        </w:r>
      </w:hyperlink>
      <w:r>
        <w:t xml:space="preserve"> </w:t>
      </w:r>
      <w:r>
        <w:t xml:space="preserve">accessed 2026-10-07 [search-tool extract]</w:t>
      </w:r>
    </w:p>
  </w:footnote>
  <w:footnote w:id="1599">
    <w:p>
      <w:pPr>
        <w:pStyle w:val="FootnoteText"/>
      </w:pPr>
      <w:r>
        <w:rPr>
          <w:rStyle w:val="FootnoteReference"/>
        </w:rPr>
        <w:footnoteRef/>
      </w:r>
      <w:r>
        <w:t xml:space="preserve"> </w:t>
      </w:r>
      <w:r>
        <w:t xml:space="preserve">Verified fact — B-L1-S003: Gemini 3.7 Flash model page and related lifecycle pages (Gemini Enterprise Agent Platform) (Google Cloud)</w:t>
      </w:r>
      <w:r>
        <w:t xml:space="preserve"> </w:t>
      </w:r>
      <w:hyperlink r:id="rId1595">
        <w:r>
          <w:rPr>
            <w:rStyle w:val="Hyperlink"/>
          </w:rPr>
          <w:t xml:space="preserve">https://docs.cloud.google.com/gemini-enterprise-agent-platform/models/gemini/3-7-flash</w:t>
        </w:r>
      </w:hyperlink>
      <w:r>
        <w:t xml:space="preserve"> </w:t>
      </w:r>
      <w:r>
        <w:t xml:space="preserve">accessed 2026-10-08 [search-tool extract]</w:t>
      </w:r>
    </w:p>
  </w:footnote>
  <w:footnote w:id="1600">
    <w:p>
      <w:pPr>
        <w:pStyle w:val="FootnoteText"/>
      </w:pPr>
      <w:r>
        <w:rPr>
          <w:rStyle w:val="FootnoteReference"/>
        </w:rPr>
        <w:footnoteRef/>
      </w:r>
      <w:r>
        <w:t xml:space="preserve"> </w:t>
      </w:r>
      <w:r>
        <w:t xml:space="preserve">Verified fact — A5-S027: Generative AI pricing - Google Cloud (Gemini Enterprise Agent Platform, formerly Vertex AI)</w:t>
      </w:r>
      <w:r>
        <w:t xml:space="preserve"> </w:t>
      </w:r>
      <w:hyperlink r:id="rId1520">
        <w:r>
          <w:rPr>
            <w:rStyle w:val="Hyperlink"/>
          </w:rPr>
          <w:t xml:space="preserve">https://cloud.google.com/gemini-enterprise-agent-platform/generative-ai/pricing</w:t>
        </w:r>
      </w:hyperlink>
      <w:r>
        <w:t xml:space="preserve"> </w:t>
      </w:r>
      <w:r>
        <w:t xml:space="preserve">accessed 2026-10-07; A5-S032: Gemini Developer API pricing (and Gemini 3.1 Pro preview model page) (Google)</w:t>
      </w:r>
      <w:r>
        <w:t xml:space="preserve"> </w:t>
      </w:r>
      <w:hyperlink r:id="rId409">
        <w:r>
          <w:rPr>
            <w:rStyle w:val="Hyperlink"/>
          </w:rPr>
          <w:t xml:space="preserve">https://ai.google.dev/gemini-api/docs/pricing</w:t>
        </w:r>
      </w:hyperlink>
      <w:r>
        <w:t xml:space="preserve"> </w:t>
      </w:r>
      <w:r>
        <w:t xml:space="preserve">accessed 2026-10-07 [search-tool extract]</w:t>
      </w:r>
    </w:p>
  </w:footnote>
  <w:footnote w:id="1601">
    <w:p>
      <w:pPr>
        <w:pStyle w:val="FootnoteText"/>
      </w:pPr>
      <w:r>
        <w:rPr>
          <w:rStyle w:val="FootnoteReference"/>
        </w:rPr>
        <w:footnoteRef/>
      </w:r>
      <w:r>
        <w:t xml:space="preserve"> </w:t>
      </w:r>
      <w:r>
        <w:t xml:space="preserve">Verified fact — A5-S033: Gemini API Additional Terms of Service (with ZDR and logs-policy pages; Vertex AI zero data retention page) (Google)</w:t>
      </w:r>
      <w:r>
        <w:t xml:space="preserve"> </w:t>
      </w:r>
      <w:hyperlink r:id="rId1593">
        <w:r>
          <w:rPr>
            <w:rStyle w:val="Hyperlink"/>
          </w:rPr>
          <w:t xml:space="preserve">https://ai.google.dev/gemini-api/terms</w:t>
        </w:r>
      </w:hyperlink>
      <w:r>
        <w:t xml:space="preserve"> </w:t>
      </w:r>
      <w:r>
        <w:t xml:space="preserve">accessed 2026-10-07 [search-tool extract]</w:t>
      </w:r>
    </w:p>
  </w:footnote>
  <w:footnote w:id="1602">
    <w:p>
      <w:pPr>
        <w:pStyle w:val="FootnoteText"/>
      </w:pPr>
      <w:r>
        <w:rPr>
          <w:rStyle w:val="FootnoteReference"/>
        </w:rPr>
        <w:footnoteRef/>
      </w:r>
      <w:r>
        <w:t xml:space="preserve"> </w:t>
      </w:r>
      <w:r>
        <w:t xml:space="preserve">Verified fact — A5-S027: Generative AI pricing - Google Cloud (Gemini Enterprise Agent Platform, formerly Vertex AI)</w:t>
      </w:r>
      <w:r>
        <w:t xml:space="preserve"> </w:t>
      </w:r>
      <w:hyperlink r:id="rId1520">
        <w:r>
          <w:rPr>
            <w:rStyle w:val="Hyperlink"/>
          </w:rPr>
          <w:t xml:space="preserve">https://cloud.google.com/gemini-enterprise-agent-platform/generative-ai/pricing</w:t>
        </w:r>
      </w:hyperlink>
      <w:r>
        <w:t xml:space="preserve"> </w:t>
      </w:r>
      <w:r>
        <w:t xml:space="preserve">accessed 2026-10-07; V2-S010: Gemini API release notes (with Gemini 3.8 Flash model page, Gemini 3.1 Pro preview model page, Gemini Enterprise release notes) (Google)</w:t>
      </w:r>
      <w:r>
        <w:t xml:space="preserve"> </w:t>
      </w:r>
      <w:hyperlink r:id="rId1585">
        <w:r>
          <w:rPr>
            <w:rStyle w:val="Hyperlink"/>
          </w:rPr>
          <w:t xml:space="preserve">https://ai.google.dev/gemini-api/docs/changelog</w:t>
        </w:r>
      </w:hyperlink>
      <w:r>
        <w:t xml:space="preserve"> </w:t>
      </w:r>
      <w:r>
        <w:t xml:space="preserve">accessed 2026-10-08 [search-tool extract]</w:t>
      </w:r>
    </w:p>
  </w:footnote>
  <w:footnote w:id="1603">
    <w:p>
      <w:pPr>
        <w:pStyle w:val="FootnoteText"/>
      </w:pPr>
      <w:r>
        <w:rPr>
          <w:rStyle w:val="FootnoteReference"/>
        </w:rPr>
        <w:footnoteRef/>
      </w:r>
      <w:r>
        <w:t xml:space="preserve"> </w:t>
      </w:r>
      <w:r>
        <w:t xml:space="preserve">Verified fact — A5-S031: Gemini 4 Argon: our next era of frontier intelligence (Google)</w:t>
      </w:r>
      <w:r>
        <w:t xml:space="preserve"> </w:t>
      </w:r>
      <w:hyperlink r:id="rId1586">
        <w:r>
          <w:rPr>
            <w:rStyle w:val="Hyperlink"/>
          </w:rPr>
          <w:t xml:space="preserve">https://blog.google/innovation-and-ai/models-and-research/gemini-models/gemini-4-argon/</w:t>
        </w:r>
      </w:hyperlink>
      <w:r>
        <w:t xml:space="preserve"> </w:t>
      </w:r>
      <w:r>
        <w:t xml:space="preserve">accessed 2026-10-07 [search-tool extract]</w:t>
      </w:r>
    </w:p>
  </w:footnote>
  <w:footnote w:id="1605">
    <w:p>
      <w:pPr>
        <w:pStyle w:val="FootnoteText"/>
      </w:pPr>
      <w:r>
        <w:rPr>
          <w:rStyle w:val="FootnoteReference"/>
        </w:rPr>
        <w:footnoteRef/>
      </w:r>
      <w:r>
        <w:t xml:space="preserve"> </w:t>
      </w:r>
      <w:r>
        <w:t xml:space="preserve">Verified fact — A5-S079: Introducing Grok 4.7 (21 September 2026) and Grok Models &amp; Pricing docs (xAI (SpaceXAI))</w:t>
      </w:r>
      <w:r>
        <w:t xml:space="preserve"> </w:t>
      </w:r>
      <w:hyperlink r:id="rId1606">
        <w:r>
          <w:rPr>
            <w:rStyle w:val="Hyperlink"/>
          </w:rPr>
          <w:t xml:space="preserve">https://x.ai/news/grok-4-7</w:t>
        </w:r>
      </w:hyperlink>
      <w:r>
        <w:t xml:space="preserve"> </w:t>
      </w:r>
      <w:r>
        <w:t xml:space="preserve">accessed 2026-10-07 [search-tool extract]; V2-S012: Grok 4.7 model page (with x.ai/news/grok-4-7, docs.x.ai pricing and release notes) (SpaceXAI (xAI))</w:t>
      </w:r>
      <w:r>
        <w:t xml:space="preserve"> </w:t>
      </w:r>
      <w:hyperlink r:id="rId1607">
        <w:r>
          <w:rPr>
            <w:rStyle w:val="Hyperlink"/>
          </w:rPr>
          <w:t xml:space="preserve">https://docs.x.ai/developers/grok-4-7</w:t>
        </w:r>
      </w:hyperlink>
      <w:r>
        <w:t xml:space="preserve"> </w:t>
      </w:r>
      <w:r>
        <w:t xml:space="preserve">accessed 2026-10-08 [search-tool extract]</w:t>
      </w:r>
    </w:p>
  </w:footnote>
  <w:footnote w:id="1608">
    <w:p>
      <w:pPr>
        <w:pStyle w:val="FootnoteText"/>
      </w:pPr>
      <w:r>
        <w:rPr>
          <w:rStyle w:val="FootnoteReference"/>
        </w:rPr>
        <w:footnoteRef/>
      </w:r>
      <w:r>
        <w:t xml:space="preserve"> </w:t>
      </w:r>
      <w:r>
        <w:t xml:space="preserve">Reported — A5-S038: LiteLLM 1.104.1 model_prices_and_context_window map (PyPI wheel) (BerriAI / LiteLLM (community-maintained))</w:t>
      </w:r>
      <w:r>
        <w:t xml:space="preserve"> </w:t>
      </w:r>
      <w:hyperlink r:id="rId1527">
        <w:r>
          <w:rPr>
            <w:rStyle w:val="Hyperlink"/>
          </w:rPr>
          <w:t xml:space="preserve">https://pypi.org/project/litellm/1.104.1/</w:t>
        </w:r>
      </w:hyperlink>
      <w:r>
        <w:t xml:space="preserve"> </w:t>
      </w:r>
      <w:r>
        <w:t xml:space="preserve">accessed 2026-10-07 [search-tool extract]</w:t>
      </w:r>
    </w:p>
  </w:footnote>
  <w:footnote w:id="1609">
    <w:p>
      <w:pPr>
        <w:pStyle w:val="FootnoteText"/>
      </w:pPr>
      <w:r>
        <w:rPr>
          <w:rStyle w:val="FootnoteReference"/>
        </w:rPr>
        <w:footnoteRef/>
      </w:r>
      <w:r>
        <w:t xml:space="preserve"> </w:t>
      </w:r>
      <w:r>
        <w:t xml:space="preserve">Verified fact — A5-S027: Generative AI pricing - Google Cloud (Gemini Enterprise Agent Platform, formerly Vertex AI)</w:t>
      </w:r>
      <w:r>
        <w:t xml:space="preserve"> </w:t>
      </w:r>
      <w:hyperlink r:id="rId1520">
        <w:r>
          <w:rPr>
            <w:rStyle w:val="Hyperlink"/>
          </w:rPr>
          <w:t xml:space="preserve">https://cloud.google.com/gemini-enterprise-agent-platform/generative-ai/pricing</w:t>
        </w:r>
      </w:hyperlink>
      <w:r>
        <w:t xml:space="preserve"> </w:t>
      </w:r>
      <w:r>
        <w:t xml:space="preserve">accessed 2026-10-07</w:t>
      </w:r>
    </w:p>
  </w:footnote>
  <w:footnote w:id="1610">
    <w:p>
      <w:pPr>
        <w:pStyle w:val="FootnoteText"/>
      </w:pPr>
      <w:r>
        <w:rPr>
          <w:rStyle w:val="FootnoteReference"/>
        </w:rPr>
        <w:footnoteRef/>
      </w:r>
      <w:r>
        <w:t xml:space="preserve"> </w:t>
      </w:r>
      <w:r>
        <w:t xml:space="preserve">Reported — A5-S038: LiteLLM 1.104.1 model_prices_and_context_window map (PyPI wheel) (BerriAI / LiteLLM (community-maintained))</w:t>
      </w:r>
      <w:r>
        <w:t xml:space="preserve"> </w:t>
      </w:r>
      <w:hyperlink r:id="rId1527">
        <w:r>
          <w:rPr>
            <w:rStyle w:val="Hyperlink"/>
          </w:rPr>
          <w:t xml:space="preserve">https://pypi.org/project/litellm/1.104.1/</w:t>
        </w:r>
      </w:hyperlink>
      <w:r>
        <w:t xml:space="preserve"> </w:t>
      </w:r>
      <w:r>
        <w:t xml:space="preserve">accessed 2026-10-07 [search-tool extract]</w:t>
      </w:r>
    </w:p>
  </w:footnote>
  <w:footnote w:id="1611">
    <w:p>
      <w:pPr>
        <w:pStyle w:val="FootnoteText"/>
      </w:pPr>
      <w:r>
        <w:rPr>
          <w:rStyle w:val="FootnoteReference"/>
        </w:rPr>
        <w:footnoteRef/>
      </w:r>
      <w:r>
        <w:t xml:space="preserve"> </w:t>
      </w:r>
      <w:r>
        <w:t xml:space="preserve">Verified fact — A5-S080: FAQ - API Security; Regional Endpoints; Enterprise Terms of Service (xAI/SpaceXAI) (xAI (SpaceXAI))</w:t>
      </w:r>
      <w:r>
        <w:t xml:space="preserve"> </w:t>
      </w:r>
      <w:hyperlink r:id="rId1612">
        <w:r>
          <w:rPr>
            <w:rStyle w:val="Hyperlink"/>
          </w:rPr>
          <w:t xml:space="preserve">https://docs.x.ai/developers/faq/security</w:t>
        </w:r>
      </w:hyperlink>
      <w:r>
        <w:t xml:space="preserve"> </w:t>
      </w:r>
      <w:r>
        <w:t xml:space="preserve">accessed 2026-10-07 [search-tool extract]</w:t>
      </w:r>
    </w:p>
  </w:footnote>
  <w:footnote w:id="1613">
    <w:p>
      <w:pPr>
        <w:pStyle w:val="FootnoteText"/>
      </w:pPr>
      <w:r>
        <w:rPr>
          <w:rStyle w:val="FootnoteReference"/>
        </w:rPr>
        <w:footnoteRef/>
      </w:r>
      <w:r>
        <w:t xml:space="preserve"> </w:t>
      </w:r>
      <w:r>
        <w:t xml:space="preserve">Verified fact — A5-S079: Introducing Grok 4.7 (21 September 2026) and Grok Models &amp; Pricing docs (xAI (SpaceXAI))</w:t>
      </w:r>
      <w:r>
        <w:t xml:space="preserve"> </w:t>
      </w:r>
      <w:hyperlink r:id="rId1606">
        <w:r>
          <w:rPr>
            <w:rStyle w:val="Hyperlink"/>
          </w:rPr>
          <w:t xml:space="preserve">https://x.ai/news/grok-4-7</w:t>
        </w:r>
      </w:hyperlink>
      <w:r>
        <w:t xml:space="preserve"> </w:t>
      </w:r>
      <w:r>
        <w:t xml:space="preserve">accessed 2026-10-07 [search-tool extract]; V2-S012: Grok 4.7 model page (with x.ai/news/grok-4-7, docs.x.ai pricing and release notes) (SpaceXAI (xAI))</w:t>
      </w:r>
      <w:r>
        <w:t xml:space="preserve"> </w:t>
      </w:r>
      <w:hyperlink r:id="rId1607">
        <w:r>
          <w:rPr>
            <w:rStyle w:val="Hyperlink"/>
          </w:rPr>
          <w:t xml:space="preserve">https://docs.x.ai/developers/grok-4-7</w:t>
        </w:r>
      </w:hyperlink>
      <w:r>
        <w:t xml:space="preserve"> </w:t>
      </w:r>
      <w:r>
        <w:t xml:space="preserve">accessed 2026-10-08 [search-tool extract]</w:t>
      </w:r>
    </w:p>
  </w:footnote>
  <w:footnote w:id="1614">
    <w:p>
      <w:pPr>
        <w:pStyle w:val="FootnoteText"/>
      </w:pPr>
      <w:r>
        <w:rPr>
          <w:rStyle w:val="FootnoteReference"/>
        </w:rPr>
        <w:footnoteRef/>
      </w:r>
      <w:r>
        <w:t xml:space="preserve"> </w:t>
      </w:r>
      <w:r>
        <w:t xml:space="preserve">Verified fact — V2-S011: xAI joins SpaceX (with TechCrunch 2 Feb 2026; Forbes/Euronews 4-5 Oct 2026 on SpaceXSI) (xAI / SpaceX)</w:t>
      </w:r>
      <w:r>
        <w:t xml:space="preserve"> </w:t>
      </w:r>
      <w:hyperlink r:id="rId1615">
        <w:r>
          <w:rPr>
            <w:rStyle w:val="Hyperlink"/>
          </w:rPr>
          <w:t xml:space="preserve">https://x.ai/news/xai-joins-spacex</w:t>
        </w:r>
      </w:hyperlink>
      <w:r>
        <w:t xml:space="preserve"> </w:t>
      </w:r>
      <w:r>
        <w:t xml:space="preserve">accessed 2026-10-08 [search-tool extract]</w:t>
      </w:r>
    </w:p>
  </w:footnote>
  <w:footnote w:id="1616">
    <w:p>
      <w:pPr>
        <w:pStyle w:val="FootnoteText"/>
      </w:pPr>
      <w:r>
        <w:rPr>
          <w:rStyle w:val="FootnoteReference"/>
        </w:rPr>
        <w:footnoteRef/>
      </w:r>
      <w:r>
        <w:t xml:space="preserve"> </w:t>
      </w:r>
      <w:r>
        <w:t xml:space="preserve">Reported — A5-S081: Musk’s xAI completes public shift to SpaceXAI branding (TechBriefly, 7 July 2026) and related coverage (TechBriefly / Teslarati / Digital Applied)</w:t>
      </w:r>
      <w:r>
        <w:t xml:space="preserve"> </w:t>
      </w:r>
      <w:hyperlink r:id="rId1617">
        <w:r>
          <w:rPr>
            <w:rStyle w:val="Hyperlink"/>
          </w:rPr>
          <w:t xml:space="preserve">https://techbriefly.com/2026/07/07/spacexai-rebrand/</w:t>
        </w:r>
      </w:hyperlink>
      <w:r>
        <w:t xml:space="preserve"> </w:t>
      </w:r>
      <w:r>
        <w:t xml:space="preserve">accessed 2026-10-07 [search-tool extract]</w:t>
      </w:r>
    </w:p>
  </w:footnote>
  <w:footnote w:id="1618">
    <w:p>
      <w:pPr>
        <w:pStyle w:val="FootnoteText"/>
      </w:pPr>
      <w:r>
        <w:rPr>
          <w:rStyle w:val="FootnoteReference"/>
        </w:rPr>
        <w:footnoteRef/>
      </w:r>
      <w:r>
        <w:t xml:space="preserve"> </w:t>
      </w:r>
      <w:r>
        <w:t xml:space="preserve">Verified fact — A5-S080: FAQ - API Security; Regional Endpoints; Enterprise Terms of Service (xAI/SpaceXAI) (xAI (SpaceXAI))</w:t>
      </w:r>
      <w:r>
        <w:t xml:space="preserve"> </w:t>
      </w:r>
      <w:hyperlink r:id="rId1612">
        <w:r>
          <w:rPr>
            <w:rStyle w:val="Hyperlink"/>
          </w:rPr>
          <w:t xml:space="preserve">https://docs.x.ai/developers/faq/security</w:t>
        </w:r>
      </w:hyperlink>
      <w:r>
        <w:t xml:space="preserve"> </w:t>
      </w:r>
      <w:r>
        <w:t xml:space="preserve">accessed 2026-10-07 [search-tool extract]</w:t>
      </w:r>
    </w:p>
  </w:footnote>
  <w:footnote w:id="1619">
    <w:p>
      <w:pPr>
        <w:pStyle w:val="FootnoteText"/>
      </w:pPr>
      <w:r>
        <w:rPr>
          <w:rStyle w:val="FootnoteReference"/>
        </w:rPr>
        <w:footnoteRef/>
      </w:r>
      <w:r>
        <w:t xml:space="preserve"> </w:t>
      </w:r>
      <w:r>
        <w:t xml:space="preserve">Verified fact — A5-S080: FAQ - API Security; Regional Endpoints; Enterprise Terms of Service (xAI/SpaceXAI) (xAI (SpaceXAI))</w:t>
      </w:r>
      <w:r>
        <w:t xml:space="preserve"> </w:t>
      </w:r>
      <w:hyperlink r:id="rId1612">
        <w:r>
          <w:rPr>
            <w:rStyle w:val="Hyperlink"/>
          </w:rPr>
          <w:t xml:space="preserve">https://docs.x.ai/developers/faq/security</w:t>
        </w:r>
      </w:hyperlink>
      <w:r>
        <w:t xml:space="preserve"> </w:t>
      </w:r>
      <w:r>
        <w:t xml:space="preserve">accessed 2026-10-07 [search-tool extract]</w:t>
      </w:r>
    </w:p>
  </w:footnote>
  <w:footnote w:id="1620">
    <w:p>
      <w:pPr>
        <w:pStyle w:val="FootnoteText"/>
      </w:pPr>
      <w:r>
        <w:rPr>
          <w:rStyle w:val="FootnoteReference"/>
        </w:rPr>
        <w:footnoteRef/>
      </w:r>
      <w:r>
        <w:t xml:space="preserve"> </w:t>
      </w:r>
      <w:r>
        <w:t xml:space="preserve">Verified fact — A5-S080: FAQ - API Security; Regional Endpoints; Enterprise Terms of Service (xAI/SpaceXAI) (xAI (SpaceXAI))</w:t>
      </w:r>
      <w:r>
        <w:t xml:space="preserve"> </w:t>
      </w:r>
      <w:hyperlink r:id="rId1612">
        <w:r>
          <w:rPr>
            <w:rStyle w:val="Hyperlink"/>
          </w:rPr>
          <w:t xml:space="preserve">https://docs.x.ai/developers/faq/security</w:t>
        </w:r>
      </w:hyperlink>
      <w:r>
        <w:t xml:space="preserve"> </w:t>
      </w:r>
      <w:r>
        <w:t xml:space="preserve">accessed 2026-10-07 [search-tool extract]</w:t>
      </w:r>
    </w:p>
  </w:footnote>
  <w:footnote w:id="1621">
    <w:p>
      <w:pPr>
        <w:pStyle w:val="FootnoteText"/>
      </w:pPr>
      <w:r>
        <w:rPr>
          <w:rStyle w:val="FootnoteReference"/>
        </w:rPr>
        <w:footnoteRef/>
      </w:r>
      <w:r>
        <w:t xml:space="preserve"> </w:t>
      </w:r>
      <w:r>
        <w:t xml:space="preserve">Verified fact — V2-S070: EU opens formal investigation into X over Grok sexually explicit images (The Record; with Anadolu)</w:t>
      </w:r>
      <w:r>
        <w:t xml:space="preserve"> </w:t>
      </w:r>
      <w:hyperlink r:id="rId1622">
        <w:r>
          <w:rPr>
            <w:rStyle w:val="Hyperlink"/>
          </w:rPr>
          <w:t xml:space="preserve">https://therecord.media/grok-sexually-explicit-images-eu-formal-investigation</w:t>
        </w:r>
      </w:hyperlink>
      <w:r>
        <w:t xml:space="preserve"> </w:t>
      </w:r>
      <w:r>
        <w:t xml:space="preserve">accessed 2026-10-08 [search-tool extract]</w:t>
      </w:r>
    </w:p>
  </w:footnote>
  <w:footnote w:id="1623">
    <w:p>
      <w:pPr>
        <w:pStyle w:val="FootnoteText"/>
      </w:pPr>
      <w:r>
        <w:rPr>
          <w:rStyle w:val="FootnoteReference"/>
        </w:rPr>
        <w:footnoteRef/>
      </w:r>
      <w:r>
        <w:t xml:space="preserve"> </w:t>
      </w:r>
      <w:r>
        <w:t xml:space="preserve">Reported — A5-S082: Elon Musk’s X probed by EU over sexually explicit images on Grok (CNBC, 26 Jan 2026) with CNN, Deadline (Ofcom) and Irish DPC coverage</w:t>
      </w:r>
      <w:r>
        <w:t xml:space="preserve"> </w:t>
      </w:r>
      <w:hyperlink r:id="rId1624">
        <w:r>
          <w:rPr>
            <w:rStyle w:val="Hyperlink"/>
          </w:rPr>
          <w:t xml:space="preserve">https://www.cnbc.com/2026/01/26/elon-musk-grok-eu-explicit-images-investigation.html</w:t>
        </w:r>
      </w:hyperlink>
      <w:r>
        <w:t xml:space="preserve"> </w:t>
      </w:r>
      <w:r>
        <w:t xml:space="preserve">accessed 2026-10-07 [search-tool extract]</w:t>
      </w:r>
    </w:p>
  </w:footnote>
  <w:footnote w:id="1625">
    <w:p>
      <w:pPr>
        <w:pStyle w:val="FootnoteText"/>
      </w:pPr>
      <w:r>
        <w:rPr>
          <w:rStyle w:val="FootnoteReference"/>
        </w:rPr>
        <w:footnoteRef/>
      </w:r>
      <w:r>
        <w:t xml:space="preserve"> </w:t>
      </w:r>
      <w:r>
        <w:t xml:space="preserve">Verified fact — R-EU-GPAI-COP: General-Purpose AI Code of Practice (AI Act Articles 53 and 55) (see regulatory_facts.json); A8-S015: The General-Purpose AI Code of Practice (contents and signatory list) (European Commission)</w:t>
      </w:r>
      <w:r>
        <w:t xml:space="preserve"> </w:t>
      </w:r>
      <w:hyperlink r:id="rId1534">
        <w:r>
          <w:rPr>
            <w:rStyle w:val="Hyperlink"/>
          </w:rPr>
          <w:t xml:space="preserve">https://digital-strategy.ec.europa.eu/en/policies/contents-code-gpai</w:t>
        </w:r>
      </w:hyperlink>
      <w:r>
        <w:t xml:space="preserve"> </w:t>
      </w:r>
      <w:r>
        <w:t xml:space="preserve">accessed 2026-10-07 [search-tool extract]</w:t>
      </w:r>
    </w:p>
  </w:footnote>
  <w:footnote w:id="1627">
    <w:p>
      <w:pPr>
        <w:pStyle w:val="FootnoteText"/>
      </w:pPr>
      <w:r>
        <w:rPr>
          <w:rStyle w:val="FootnoteReference"/>
        </w:rPr>
        <w:footnoteRef/>
      </w:r>
      <w:r>
        <w:t xml:space="preserve"> </w:t>
      </w:r>
      <w:r>
        <w:t xml:space="preserve">Verified fact — A5-S063: DeepSeek V4 Preview Release (24 April 2026) and deepseek-ai/DeepSeek-V4-Pro model card (MIT)</w:t>
      </w:r>
      <w:r>
        <w:t xml:space="preserve"> </w:t>
      </w:r>
      <w:hyperlink r:id="rId1628">
        <w:r>
          <w:rPr>
            <w:rStyle w:val="Hyperlink"/>
          </w:rPr>
          <w:t xml:space="preserve">https://api-docs.deepseek.com/news/news260424/</w:t>
        </w:r>
      </w:hyperlink>
      <w:r>
        <w:t xml:space="preserve"> </w:t>
      </w:r>
      <w:r>
        <w:t xml:space="preserve">accessed 2026-10-07 [search-tool extract]; A5-S064: DeepSeek-V4.1-Flash: Smarter, Faster, More Efficient (10 September 2026) and API Change Log</w:t>
      </w:r>
      <w:r>
        <w:t xml:space="preserve"> </w:t>
      </w:r>
      <w:hyperlink r:id="rId1629">
        <w:r>
          <w:rPr>
            <w:rStyle w:val="Hyperlink"/>
          </w:rPr>
          <w:t xml:space="preserve">https://api-docs.deepseek.com/news/news260910/</w:t>
        </w:r>
      </w:hyperlink>
      <w:r>
        <w:t xml:space="preserve"> </w:t>
      </w:r>
      <w:r>
        <w:t xml:space="preserve">accessed 2026-10-07 [search-tool extract]; A5-S065: DeepSeek Models &amp; Pricing</w:t>
      </w:r>
      <w:r>
        <w:t xml:space="preserve"> </w:t>
      </w:r>
      <w:hyperlink r:id="rId1630">
        <w:r>
          <w:rPr>
            <w:rStyle w:val="Hyperlink"/>
          </w:rPr>
          <w:t xml:space="preserve">https://api-docs.deepseek.com/quick_start/pricing/</w:t>
        </w:r>
      </w:hyperlink>
      <w:r>
        <w:t xml:space="preserve"> </w:t>
      </w:r>
      <w:r>
        <w:t xml:space="preserve">accessed 2026-10-07 [search-tool extract]; V2-S013: DeepSeek-V4.1-Flash: Smarter, Faster, More Efficient (with SiliconANGLE 10 Sep 2026, digitalapplied)</w:t>
      </w:r>
      <w:r>
        <w:t xml:space="preserve"> </w:t>
      </w:r>
      <w:hyperlink r:id="rId1629">
        <w:r>
          <w:rPr>
            <w:rStyle w:val="Hyperlink"/>
          </w:rPr>
          <w:t xml:space="preserve">https://api-docs.deepseek.com/news/news260910/</w:t>
        </w:r>
      </w:hyperlink>
      <w:r>
        <w:t xml:space="preserve"> </w:t>
      </w:r>
      <w:r>
        <w:t xml:space="preserve">accessed 2026-10-08 [search-tool extract]</w:t>
      </w:r>
    </w:p>
  </w:footnote>
  <w:footnote w:id="1631">
    <w:p>
      <w:pPr>
        <w:pStyle w:val="FootnoteText"/>
      </w:pPr>
      <w:r>
        <w:rPr>
          <w:rStyle w:val="FootnoteReference"/>
        </w:rPr>
        <w:footnoteRef/>
      </w:r>
      <w:r>
        <w:t xml:space="preserve"> </w:t>
      </w:r>
      <w:r>
        <w:t xml:space="preserve">Verified fact — A5-S063: DeepSeek V4 Preview Release (24 April 2026) and deepseek-ai/DeepSeek-V4-Pro model card (MIT)</w:t>
      </w:r>
      <w:r>
        <w:t xml:space="preserve"> </w:t>
      </w:r>
      <w:hyperlink r:id="rId1628">
        <w:r>
          <w:rPr>
            <w:rStyle w:val="Hyperlink"/>
          </w:rPr>
          <w:t xml:space="preserve">https://api-docs.deepseek.com/news/news260424/</w:t>
        </w:r>
      </w:hyperlink>
      <w:r>
        <w:t xml:space="preserve"> </w:t>
      </w:r>
      <w:r>
        <w:t xml:space="preserve">accessed 2026-10-07 [search-tool extract]</w:t>
      </w:r>
    </w:p>
  </w:footnote>
  <w:footnote w:id="1632">
    <w:p>
      <w:pPr>
        <w:pStyle w:val="FootnoteText"/>
      </w:pPr>
      <w:r>
        <w:rPr>
          <w:rStyle w:val="FootnoteReference"/>
        </w:rPr>
        <w:footnoteRef/>
      </w:r>
      <w:r>
        <w:t xml:space="preserve"> </w:t>
      </w:r>
      <w:r>
        <w:t xml:space="preserve">Verified fact — A5-S087: Introducing DeepSeek V4 Flash and V4 Pro in Microsoft Foundry; Foundry Models sold by Azure; Data, privacy, and security for Foundry Models sold by Azure; Bring</w:t>
      </w:r>
      <w:r>
        <w:t xml:space="preserve"> </w:t>
      </w:r>
      <w:hyperlink r:id="rId1633">
        <w:r>
          <w:rPr>
            <w:rStyle w:val="Hyperlink"/>
          </w:rPr>
          <w:t xml:space="preserve">https://techcommunity.microsoft.com/blog/azure-ai-foundry-blog/introducing-deepseek-v4-flash-and-v4-pro-in-microsoft-foundry/4515174</w:t>
        </w:r>
      </w:hyperlink>
      <w:r>
        <w:t xml:space="preserve"> </w:t>
      </w:r>
      <w:r>
        <w:t xml:space="preserve">accessed 2026-10-07 [search-tool extract]</w:t>
      </w:r>
    </w:p>
  </w:footnote>
  <w:footnote w:id="1634">
    <w:p>
      <w:pPr>
        <w:pStyle w:val="FootnoteText"/>
      </w:pPr>
      <w:r>
        <w:rPr>
          <w:rStyle w:val="FootnoteReference"/>
        </w:rPr>
        <w:footnoteRef/>
      </w:r>
      <w:r>
        <w:t xml:space="preserve"> </w:t>
      </w:r>
      <w:r>
        <w:t xml:space="preserve">Reported — A5-S039: SGLang README</w:t>
      </w:r>
      <w:r>
        <w:t xml:space="preserve"> </w:t>
      </w:r>
      <w:r>
        <w:t xml:space="preserve">‘</w:t>
      </w:r>
      <w:r>
        <w:t xml:space="preserve">News</w:t>
      </w:r>
      <w:r>
        <w:t xml:space="preserve">’</w:t>
      </w:r>
      <w:r>
        <w:t xml:space="preserve"> </w:t>
      </w:r>
      <w:r>
        <w:t xml:space="preserve">section (PyPI) (SGLang project (LMSYS))</w:t>
      </w:r>
      <w:r>
        <w:t xml:space="preserve"> </w:t>
      </w:r>
      <w:hyperlink r:id="rId1635">
        <w:r>
          <w:rPr>
            <w:rStyle w:val="Hyperlink"/>
          </w:rPr>
          <w:t xml:space="preserve">https://pypi.org/project/sglang/</w:t>
        </w:r>
      </w:hyperlink>
      <w:r>
        <w:t xml:space="preserve"> </w:t>
      </w:r>
      <w:r>
        <w:t xml:space="preserve">accessed 2026-10-07 [search-tool extract]; A5-S044: LMDeploy README supported models (PyPI) (InternLM / Shanghai AI Lab (LMDeploy project))</w:t>
      </w:r>
      <w:r>
        <w:t xml:space="preserve"> </w:t>
      </w:r>
      <w:hyperlink r:id="rId1636">
        <w:r>
          <w:rPr>
            <w:rStyle w:val="Hyperlink"/>
          </w:rPr>
          <w:t xml:space="preserve">https://pypi.org/project/lmdeploy/</w:t>
        </w:r>
      </w:hyperlink>
      <w:r>
        <w:t xml:space="preserve"> </w:t>
      </w:r>
      <w:r>
        <w:t xml:space="preserve">accessed 2026-10-07 [search-tool extract]; A5-S042: KTransformers README updates (PyPI) (kvcache-ai (KTransformers project))</w:t>
      </w:r>
      <w:r>
        <w:t xml:space="preserve"> </w:t>
      </w:r>
      <w:hyperlink r:id="rId1637">
        <w:r>
          <w:rPr>
            <w:rStyle w:val="Hyperlink"/>
          </w:rPr>
          <w:t xml:space="preserve">https://pypi.org/project/ktransformers/</w:t>
        </w:r>
      </w:hyperlink>
      <w:r>
        <w:t xml:space="preserve"> </w:t>
      </w:r>
      <w:r>
        <w:t xml:space="preserve">accessed 2026-10-07 [search-tool extract]</w:t>
      </w:r>
    </w:p>
  </w:footnote>
  <w:footnote w:id="1638">
    <w:p>
      <w:pPr>
        <w:pStyle w:val="FootnoteText"/>
      </w:pPr>
      <w:r>
        <w:rPr>
          <w:rStyle w:val="FootnoteReference"/>
        </w:rPr>
        <w:footnoteRef/>
      </w:r>
      <w:r>
        <w:t xml:space="preserve"> </w:t>
      </w:r>
      <w:r>
        <w:t xml:space="preserve">Verified fact — A5-S062: DeepSeek Privacy Policy; DeepSeek Open Platform Privacy Policy and Terms of Service</w:t>
      </w:r>
      <w:r>
        <w:t xml:space="preserve"> </w:t>
      </w:r>
      <w:hyperlink r:id="rId1639">
        <w:r>
          <w:rPr>
            <w:rStyle w:val="Hyperlink"/>
          </w:rPr>
          <w:t xml:space="preserve">https://cdn.deepseek.com/policies/en-US/deepseek-privacy-policy.html</w:t>
        </w:r>
      </w:hyperlink>
      <w:r>
        <w:t xml:space="preserve"> </w:t>
      </w:r>
      <w:r>
        <w:t xml:space="preserve">accessed 2026-10-07 [search-tool extract]</w:t>
      </w:r>
    </w:p>
  </w:footnote>
  <w:footnote w:id="1640">
    <w:p>
      <w:pPr>
        <w:pStyle w:val="FootnoteText"/>
      </w:pPr>
      <w:r>
        <w:rPr>
          <w:rStyle w:val="FootnoteReference"/>
        </w:rPr>
        <w:footnoteRef/>
      </w:r>
      <w:r>
        <w:t xml:space="preserve"> </w:t>
      </w:r>
      <w:r>
        <w:t xml:space="preserve">Verified fact — A5-S048: Provvedimento del 30 gennaio 2025 (10098477) (and press releases 10097450, 10096856) (Garante per la protezione dei dati personali (Italy))</w:t>
      </w:r>
      <w:r>
        <w:t xml:space="preserve"> </w:t>
      </w:r>
      <w:hyperlink r:id="rId1641">
        <w:r>
          <w:rPr>
            <w:rStyle w:val="Hyperlink"/>
          </w:rPr>
          <w:t xml:space="preserve">https://www.garanteprivacy.it/web/guest/home/docweb/-/docweb-display/docweb/10098477</w:t>
        </w:r>
      </w:hyperlink>
      <w:r>
        <w:t xml:space="preserve"> </w:t>
      </w:r>
      <w:r>
        <w:t xml:space="preserve">accessed 2026-10-07 [search-tool extract]; V2-S023: Generative AI and GDPR Enforcement in Europe: A Lot of Noise, One Fine, Zero Survivors (Cross-Border Data Forum)</w:t>
      </w:r>
      <w:r>
        <w:t xml:space="preserve"> </w:t>
      </w:r>
      <w:hyperlink r:id="rId1642">
        <w:r>
          <w:rPr>
            <w:rStyle w:val="Hyperlink"/>
          </w:rPr>
          <w:t xml:space="preserve">https://www.crossborderdataforum.org/generative-ai-and-gdpr-enforcement-in-europe-a-lot-of-noise-one-fine-zero-survivors/</w:t>
        </w:r>
      </w:hyperlink>
      <w:r>
        <w:t xml:space="preserve"> </w:t>
      </w:r>
      <w:r>
        <w:t xml:space="preserve">accessed 2026-10-08 [search-tool extract]</w:t>
      </w:r>
    </w:p>
  </w:footnote>
  <w:footnote w:id="1643">
    <w:p>
      <w:pPr>
        <w:pStyle w:val="FootnoteText"/>
      </w:pPr>
      <w:r>
        <w:rPr>
          <w:rStyle w:val="FootnoteReference"/>
        </w:rPr>
        <w:footnoteRef/>
      </w:r>
      <w:r>
        <w:t xml:space="preserve"> </w:t>
      </w:r>
      <w:r>
        <w:t xml:space="preserve">Verified fact — A5-S053: Gov’t confirms DeepSeek’s unauthorized data transfer abroad (Korea Times, 24 April 2025) and PIPC notice (The Korea Times / Personal Information Protection Commission)</w:t>
      </w:r>
      <w:r>
        <w:t xml:space="preserve"> </w:t>
      </w:r>
      <w:hyperlink r:id="rId1644">
        <w:r>
          <w:rPr>
            <w:rStyle w:val="Hyperlink"/>
          </w:rPr>
          <w:t xml:space="preserve">https://www.koreatimes.co.kr/amp/southkorea/globalcommunity/20250424/deepseek-transferred-korean-users-data-abroad-without-permission-govt</w:t>
        </w:r>
      </w:hyperlink>
      <w:r>
        <w:t xml:space="preserve"> </w:t>
      </w:r>
      <w:r>
        <w:t xml:space="preserve">accessed 2026-10-07 [search-tool extract]; A5-S058: Germany tells Apple, Google to remove DeepSeek from the country’s app stores (with BleepingComputer coverage) (TechCrunch)</w:t>
      </w:r>
      <w:r>
        <w:t xml:space="preserve"> </w:t>
      </w:r>
      <w:hyperlink r:id="rId1645">
        <w:r>
          <w:rPr>
            <w:rStyle w:val="Hyperlink"/>
          </w:rPr>
          <w:t xml:space="preserve">https://techcrunch.com/2025/06/27/germany-tells-apple-google-to-remove-deepseek-from-the-countrys-app-stores</w:t>
        </w:r>
      </w:hyperlink>
      <w:r>
        <w:t xml:space="preserve"> </w:t>
      </w:r>
      <w:r>
        <w:t xml:space="preserve">accessed 2026-10-07 [search-tool extract]</w:t>
      </w:r>
    </w:p>
  </w:footnote>
  <w:footnote w:id="1646">
    <w:p>
      <w:pPr>
        <w:pStyle w:val="FootnoteText"/>
      </w:pPr>
      <w:r>
        <w:rPr>
          <w:rStyle w:val="FootnoteReference"/>
        </w:rPr>
        <w:footnoteRef/>
      </w:r>
      <w:r>
        <w:t xml:space="preserve"> </w:t>
      </w:r>
      <w:r>
        <w:t xml:space="preserve">Verified fact — A5-S054: Direction 001-2025 on DeepSeek Products, Applications and Web Services (PSPF) (Australian Government, Department of Home Affairs (Protectiv)</w:t>
      </w:r>
      <w:r>
        <w:t xml:space="preserve"> </w:t>
      </w:r>
      <w:hyperlink r:id="rId1647">
        <w:r>
          <w:rPr>
            <w:rStyle w:val="Hyperlink"/>
          </w:rPr>
          <w:t xml:space="preserve">https://www.protectivesecurity.gov.au/publications-library/direction-001-2025-deepseek-products-applications-and-web-services</w:t>
        </w:r>
      </w:hyperlink>
      <w:r>
        <w:t xml:space="preserve"> </w:t>
      </w:r>
      <w:r>
        <w:t xml:space="preserve">accessed 2026-10-07 [search-tool extract]; A5-S059: Taiwan bans government agencies from using DeepSeek (AFP via Korea Times, 1 Feb 2025) and NSB inspection of five PRC AI models (Nov 2025) (The Korea Times (AFP) / Taiwan National Security Bureau repo)</w:t>
      </w:r>
      <w:r>
        <w:t xml:space="preserve"> </w:t>
      </w:r>
      <w:hyperlink r:id="rId1648">
        <w:r>
          <w:rPr>
            <w:rStyle w:val="Hyperlink"/>
          </w:rPr>
          <w:t xml:space="preserve">https://www.koreatimes.co.kr/amp/world/20250201/taiwan-bans-government-agencies-from-using-deepseek</w:t>
        </w:r>
      </w:hyperlink>
      <w:r>
        <w:t xml:space="preserve"> </w:t>
      </w:r>
      <w:r>
        <w:t xml:space="preserve">accessed 2026-10-07 [search-tool extract]; A5-S057: Cyber and Artificial Intelligence Provisions in the FY2026 National Defense Authorization Act (CRS IF13197, 7 April 2026) (Congressional Research Service)</w:t>
      </w:r>
      <w:r>
        <w:t xml:space="preserve"> </w:t>
      </w:r>
      <w:hyperlink r:id="rId1649">
        <w:r>
          <w:rPr>
            <w:rStyle w:val="Hyperlink"/>
          </w:rPr>
          <w:t xml:space="preserve">https://www.congress.gov/crs-product/IF13197</w:t>
        </w:r>
      </w:hyperlink>
      <w:r>
        <w:t xml:space="preserve"> </w:t>
      </w:r>
      <w:r>
        <w:t xml:space="preserve">accessed 2026-10-07 [search-tool extract]; A5-S056: New York, Texas, and Virginia Ban DeepSeek AI Over Security Concerns (with Fordham IPLJ and StateTech coverage) (National Law Review)</w:t>
      </w:r>
      <w:r>
        <w:t xml:space="preserve"> </w:t>
      </w:r>
      <w:hyperlink r:id="rId1650">
        <w:r>
          <w:rPr>
            <w:rStyle w:val="Hyperlink"/>
          </w:rPr>
          <w:t xml:space="preserve">https://natlawreview.com/article/three-states-ban-deepseek-use-state-devices-and-networks</w:t>
        </w:r>
      </w:hyperlink>
      <w:r>
        <w:t xml:space="preserve"> </w:t>
      </w:r>
      <w:r>
        <w:t xml:space="preserve">accessed 2026-10-07 [search-tool extract]; A5-S061: UK Parliament written question HL4479 (DeepSeek) and DWP Acceptable Use Policy (gov.uk) (UK Parliament / UK Government)</w:t>
      </w:r>
      <w:r>
        <w:t xml:space="preserve"> </w:t>
      </w:r>
      <w:hyperlink r:id="rId1651">
        <w:r>
          <w:rPr>
            <w:rStyle w:val="Hyperlink"/>
          </w:rPr>
          <w:t xml:space="preserve">https://questions-statements.parliament.uk/written-questions/detail/2025-01-28/HL4479/</w:t>
        </w:r>
      </w:hyperlink>
      <w:r>
        <w:t xml:space="preserve"> </w:t>
      </w:r>
      <w:r>
        <w:t xml:space="preserve">accessed 2026-10-07 [search-tool extract]; A5-S060: Lawmakers probe growing use of Chinese AI models in U.S. companies (CNBC, 8 July 2026); Axios 20 July 2026; CNBC 27 August 2026</w:t>
      </w:r>
      <w:r>
        <w:t xml:space="preserve"> </w:t>
      </w:r>
      <w:hyperlink r:id="rId1652">
        <w:r>
          <w:rPr>
            <w:rStyle w:val="Hyperlink"/>
          </w:rPr>
          <w:t xml:space="preserve">https://www.cnbc.com/2026/07/08/chinese-ai-models-probe-us-lawmakers.html</w:t>
        </w:r>
      </w:hyperlink>
      <w:r>
        <w:t xml:space="preserve"> </w:t>
      </w:r>
      <w:r>
        <w:t xml:space="preserve">accessed 2026-10-07 [search-tool extract]</w:t>
      </w:r>
    </w:p>
  </w:footnote>
  <w:footnote w:id="1653">
    <w:p>
      <w:pPr>
        <w:pStyle w:val="FootnoteText"/>
      </w:pPr>
      <w:r>
        <w:rPr>
          <w:rStyle w:val="FootnoteReference"/>
        </w:rPr>
        <w:footnoteRef/>
      </w:r>
      <w:r>
        <w:t xml:space="preserve"> </w:t>
      </w:r>
      <w:r>
        <w:t xml:space="preserve">Verified fact — A5-S049: CAISI Evaluation of DeepSeek AI Models Finds Shortcomings and Risks (30 Sept 2025; report PDF) (NIST Center for AI Standards and Innovation (US Department o)</w:t>
      </w:r>
      <w:r>
        <w:t xml:space="preserve"> </w:t>
      </w:r>
      <w:hyperlink r:id="rId1654">
        <w:r>
          <w:rPr>
            <w:rStyle w:val="Hyperlink"/>
          </w:rPr>
          <w:t xml:space="preserve">https://www.nist.gov/news-events/news/2025/09/caisi-evaluation-deepseek-ai-models-finds-shortcomings-and-risks</w:t>
        </w:r>
      </w:hyperlink>
      <w:r>
        <w:t xml:space="preserve"> </w:t>
      </w:r>
      <w:r>
        <w:t xml:space="preserve">accessed 2026-10-07 [search-tool extract]</w:t>
      </w:r>
    </w:p>
  </w:footnote>
  <w:footnote w:id="1655">
    <w:p>
      <w:pPr>
        <w:pStyle w:val="FootnoteText"/>
      </w:pPr>
      <w:r>
        <w:rPr>
          <w:rStyle w:val="FootnoteReference"/>
        </w:rPr>
        <w:footnoteRef/>
      </w:r>
      <w:r>
        <w:t xml:space="preserve"> </w:t>
      </w:r>
      <w:r>
        <w:t xml:space="preserve">Reported — A5-S038: LiteLLM 1.104.1 model_prices_and_context_window map (PyPI wheel) (BerriAI / LiteLLM (community-maintained))</w:t>
      </w:r>
      <w:r>
        <w:t xml:space="preserve"> </w:t>
      </w:r>
      <w:hyperlink r:id="rId1527">
        <w:r>
          <w:rPr>
            <w:rStyle w:val="Hyperlink"/>
          </w:rPr>
          <w:t xml:space="preserve">https://pypi.org/project/litellm/1.104.1/</w:t>
        </w:r>
      </w:hyperlink>
      <w:r>
        <w:t xml:space="preserve"> </w:t>
      </w:r>
      <w:r>
        <w:t xml:space="preserve">accessed 2026-10-07 [search-tool extract]</w:t>
      </w:r>
    </w:p>
  </w:footnote>
  <w:footnote w:id="1657">
    <w:p>
      <w:pPr>
        <w:pStyle w:val="FootnoteText"/>
      </w:pPr>
      <w:r>
        <w:rPr>
          <w:rStyle w:val="FootnoteReference"/>
        </w:rPr>
        <w:footnoteRef/>
      </w:r>
      <w:r>
        <w:t xml:space="preserve"> </w:t>
      </w:r>
      <w:r>
        <w:t xml:space="preserve">Verified fact — A5-S071: zai-org/GLM-5.3 and GLM-5.3-Flash (Hugging Face, licences) and Z.ai pricing</w:t>
      </w:r>
      <w:r>
        <w:t xml:space="preserve"> </w:t>
      </w:r>
      <w:hyperlink r:id="rId1658">
        <w:r>
          <w:rPr>
            <w:rStyle w:val="Hyperlink"/>
          </w:rPr>
          <w:t xml:space="preserve">https://huggingface.co/zai-org/GLM-5.3</w:t>
        </w:r>
      </w:hyperlink>
      <w:r>
        <w:t xml:space="preserve"> </w:t>
      </w:r>
      <w:r>
        <w:t xml:space="preserve">accessed 2026-10-07 [search-tool extract]; V2-S021: CAISI’s Assessment of Z.ai’s GLM-5.3 Cyber Capabilities (with UK AISI / CAISI Preliminary Assessment of Kimi K3, July 2026) (NIST CAISI)</w:t>
      </w:r>
      <w:r>
        <w:t xml:space="preserve"> </w:t>
      </w:r>
      <w:hyperlink r:id="rId1659">
        <w:r>
          <w:rPr>
            <w:rStyle w:val="Hyperlink"/>
          </w:rPr>
          <w:t xml:space="preserve">https://www.nist.gov/news-events/news/2026/09/caisis-assessment-zais-glm-53-cyber-capabilities</w:t>
        </w:r>
      </w:hyperlink>
      <w:r>
        <w:t xml:space="preserve"> </w:t>
      </w:r>
      <w:r>
        <w:t xml:space="preserve">accessed 2026-10-08 [search-tool extract]</w:t>
      </w:r>
    </w:p>
  </w:footnote>
  <w:footnote w:id="1660">
    <w:p>
      <w:pPr>
        <w:pStyle w:val="FootnoteText"/>
      </w:pPr>
      <w:r>
        <w:rPr>
          <w:rStyle w:val="FootnoteReference"/>
        </w:rPr>
        <w:footnoteRef/>
      </w:r>
      <w:r>
        <w:t xml:space="preserve"> </w:t>
      </w:r>
      <w:r>
        <w:t xml:space="preserve">Reported — V2-S016: Z.ai Releases GLM-5.3-Flash (with testingcatalog, digitalapplied</w:t>
      </w:r>
      <w:r>
        <w:t xml:space="preserve"> </w:t>
      </w:r>
      <w:r>
        <w:t xml:space="preserve">‘</w:t>
      </w:r>
      <w:r>
        <w:t xml:space="preserve">GLM-5.3’s Weights Are Out. The Licence Is Not MIT</w:t>
      </w:r>
      <w:r>
        <w:t xml:space="preserve">’</w:t>
      </w:r>
      <w:r>
        <w:t xml:space="preserve">) (MarkTechPost)</w:t>
      </w:r>
      <w:r>
        <w:t xml:space="preserve"> </w:t>
      </w:r>
      <w:hyperlink r:id="rId1661">
        <w:r>
          <w:rPr>
            <w:rStyle w:val="Hyperlink"/>
          </w:rPr>
          <w:t xml:space="preserve">https://www.marktechpost.com/2026/08/26/z-ai-releases-glm-5-3-flash-a-320b-a18b-natively-multimodal-moe-with-a-1m-token-context/</w:t>
        </w:r>
      </w:hyperlink>
      <w:r>
        <w:t xml:space="preserve"> </w:t>
      </w:r>
      <w:r>
        <w:t xml:space="preserve">accessed 2026-10-08 [search-tool extract]; A5-S038: LiteLLM 1.104.1 model_prices_and_context_window map (PyPI wheel) (BerriAI / LiteLLM (community-maintained))</w:t>
      </w:r>
      <w:r>
        <w:t xml:space="preserve"> </w:t>
      </w:r>
      <w:hyperlink r:id="rId1527">
        <w:r>
          <w:rPr>
            <w:rStyle w:val="Hyperlink"/>
          </w:rPr>
          <w:t xml:space="preserve">https://pypi.org/project/litellm/1.104.1/</w:t>
        </w:r>
      </w:hyperlink>
      <w:r>
        <w:t xml:space="preserve"> </w:t>
      </w:r>
      <w:r>
        <w:t xml:space="preserve">accessed 2026-10-07 [search-tool extract]; A5-S042: KTransformers README updates (PyPI) (kvcache-ai (KTransformers project))</w:t>
      </w:r>
      <w:r>
        <w:t xml:space="preserve"> </w:t>
      </w:r>
      <w:hyperlink r:id="rId1637">
        <w:r>
          <w:rPr>
            <w:rStyle w:val="Hyperlink"/>
          </w:rPr>
          <w:t xml:space="preserve">https://pypi.org/project/ktransformers/</w:t>
        </w:r>
      </w:hyperlink>
      <w:r>
        <w:t xml:space="preserve"> </w:t>
      </w:r>
      <w:r>
        <w:t xml:space="preserve">accessed 2026-10-07 [search-tool extract]</w:t>
      </w:r>
    </w:p>
  </w:footnote>
  <w:footnote w:id="1662">
    <w:p>
      <w:pPr>
        <w:pStyle w:val="FootnoteText"/>
      </w:pPr>
      <w:r>
        <w:rPr>
          <w:rStyle w:val="FootnoteReference"/>
        </w:rPr>
        <w:footnoteRef/>
      </w:r>
      <w:r>
        <w:t xml:space="preserve"> </w:t>
      </w:r>
      <w:r>
        <w:t xml:space="preserve">Verified fact — A5-S071: zai-org/GLM-5.3 and GLM-5.3-Flash (Hugging Face, licences) and Z.ai pricing</w:t>
      </w:r>
      <w:r>
        <w:t xml:space="preserve"> </w:t>
      </w:r>
      <w:hyperlink r:id="rId1658">
        <w:r>
          <w:rPr>
            <w:rStyle w:val="Hyperlink"/>
          </w:rPr>
          <w:t xml:space="preserve">https://huggingface.co/zai-org/GLM-5.3</w:t>
        </w:r>
      </w:hyperlink>
      <w:r>
        <w:t xml:space="preserve"> </w:t>
      </w:r>
      <w:r>
        <w:t xml:space="preserve">accessed 2026-10-07 [search-tool extract]</w:t>
      </w:r>
    </w:p>
  </w:footnote>
  <w:footnote w:id="1663">
    <w:p>
      <w:pPr>
        <w:pStyle w:val="FootnoteText"/>
      </w:pPr>
      <w:r>
        <w:rPr>
          <w:rStyle w:val="FootnoteReference"/>
        </w:rPr>
        <w:footnoteRef/>
      </w:r>
      <w:r>
        <w:t xml:space="preserve"> </w:t>
      </w:r>
      <w:r>
        <w:t xml:space="preserve">Reported — A5-S042: KTransformers README updates (PyPI) (kvcache-ai (KTransformers project))</w:t>
      </w:r>
      <w:r>
        <w:t xml:space="preserve"> </w:t>
      </w:r>
      <w:hyperlink r:id="rId1637">
        <w:r>
          <w:rPr>
            <w:rStyle w:val="Hyperlink"/>
          </w:rPr>
          <w:t xml:space="preserve">https://pypi.org/project/ktransformers/</w:t>
        </w:r>
      </w:hyperlink>
      <w:r>
        <w:t xml:space="preserve"> </w:t>
      </w:r>
      <w:r>
        <w:t xml:space="preserve">accessed 2026-10-07 [search-tool extract]</w:t>
      </w:r>
    </w:p>
  </w:footnote>
  <w:footnote w:id="1664">
    <w:p>
      <w:pPr>
        <w:pStyle w:val="FootnoteText"/>
      </w:pPr>
      <w:r>
        <w:rPr>
          <w:rStyle w:val="FootnoteReference"/>
        </w:rPr>
        <w:footnoteRef/>
      </w:r>
      <w:r>
        <w:t xml:space="preserve"> </w:t>
      </w:r>
      <w:r>
        <w:t xml:space="preserve">Verified fact — A5-S086: Introducing Kimi K3 on Amazon Bedrock; GLM 5.3 GA on Amazon Bedrock (Oct 2026); Bedrock model cards (GLM 5, DeepSeek, Qwen3) (AWS)</w:t>
      </w:r>
      <w:r>
        <w:t xml:space="preserve"> </w:t>
      </w:r>
      <w:hyperlink r:id="rId1665">
        <w:r>
          <w:rPr>
            <w:rStyle w:val="Hyperlink"/>
          </w:rPr>
          <w:t xml:space="preserve">https://aws.amazon.com/blogs/machine-learning/introducing-kimi-k3-on-amazon-bedrock/</w:t>
        </w:r>
      </w:hyperlink>
      <w:r>
        <w:t xml:space="preserve"> </w:t>
      </w:r>
      <w:r>
        <w:t xml:space="preserve">accessed 2026-10-07 [search-tool extract]; A5-S027: Generative AI pricing - Google Cloud (Gemini Enterprise Agent Platform, formerly Vertex AI)</w:t>
      </w:r>
      <w:r>
        <w:t xml:space="preserve"> </w:t>
      </w:r>
      <w:hyperlink r:id="rId1520">
        <w:r>
          <w:rPr>
            <w:rStyle w:val="Hyperlink"/>
          </w:rPr>
          <w:t xml:space="preserve">https://cloud.google.com/gemini-enterprise-agent-platform/generative-ai/pricing</w:t>
        </w:r>
      </w:hyperlink>
      <w:r>
        <w:t xml:space="preserve"> </w:t>
      </w:r>
      <w:r>
        <w:t xml:space="preserve">accessed 2026-10-07</w:t>
      </w:r>
    </w:p>
  </w:footnote>
  <w:footnote w:id="1666">
    <w:p>
      <w:pPr>
        <w:pStyle w:val="FootnoteText"/>
      </w:pPr>
      <w:r>
        <w:rPr>
          <w:rStyle w:val="FootnoteReference"/>
        </w:rPr>
        <w:footnoteRef/>
      </w:r>
      <w:r>
        <w:t xml:space="preserve"> </w:t>
      </w:r>
      <w:r>
        <w:t xml:space="preserve">Reported — A5-S038: LiteLLM 1.104.1 model_prices_and_context_window map (PyPI wheel) (BerriAI / LiteLLM (community-maintained))</w:t>
      </w:r>
      <w:r>
        <w:t xml:space="preserve"> </w:t>
      </w:r>
      <w:hyperlink r:id="rId1527">
        <w:r>
          <w:rPr>
            <w:rStyle w:val="Hyperlink"/>
          </w:rPr>
          <w:t xml:space="preserve">https://pypi.org/project/litellm/1.104.1/</w:t>
        </w:r>
      </w:hyperlink>
      <w:r>
        <w:t xml:space="preserve"> </w:t>
      </w:r>
      <w:r>
        <w:t xml:space="preserve">accessed 2026-10-07 [search-tool extract]</w:t>
      </w:r>
    </w:p>
  </w:footnote>
  <w:footnote w:id="1667">
    <w:p>
      <w:pPr>
        <w:pStyle w:val="FootnoteText"/>
      </w:pPr>
      <w:r>
        <w:rPr>
          <w:rStyle w:val="FootnoteReference"/>
        </w:rPr>
        <w:footnoteRef/>
      </w:r>
      <w:r>
        <w:t xml:space="preserve"> </w:t>
      </w:r>
      <w:r>
        <w:t xml:space="preserve">Verified fact — A5-S052: CAISI Assessment of Z.ai’s GLM-5.2 (July 2026) and CAISI’s Assessment of Z.ai’s GLM-5.3 Cyber Capabilities (September 2026) (NIST CAISI)</w:t>
      </w:r>
      <w:r>
        <w:t xml:space="preserve"> </w:t>
      </w:r>
      <w:hyperlink r:id="rId1668">
        <w:r>
          <w:rPr>
            <w:rStyle w:val="Hyperlink"/>
          </w:rPr>
          <w:t xml:space="preserve">https://www.nist.gov/news-events/news/2026/07/caisi-assessment-zais-glm-52</w:t>
        </w:r>
      </w:hyperlink>
      <w:r>
        <w:t xml:space="preserve"> </w:t>
      </w:r>
      <w:r>
        <w:t xml:space="preserve">accessed 2026-10-07 [search-tool extract]; V2-S021: CAISI’s Assessment of Z.ai’s GLM-5.3 Cyber Capabilities (with UK AISI / CAISI Preliminary Assessment of Kimi K3, July 2026) (NIST CAISI)</w:t>
      </w:r>
      <w:r>
        <w:t xml:space="preserve"> </w:t>
      </w:r>
      <w:hyperlink r:id="rId1659">
        <w:r>
          <w:rPr>
            <w:rStyle w:val="Hyperlink"/>
          </w:rPr>
          <w:t xml:space="preserve">https://www.nist.gov/news-events/news/2026/09/caisis-assessment-zais-glm-53-cyber-capabilities</w:t>
        </w:r>
      </w:hyperlink>
      <w:r>
        <w:t xml:space="preserve"> </w:t>
      </w:r>
      <w:r>
        <w:t xml:space="preserve">accessed 2026-10-08 [search-tool extract]</w:t>
      </w:r>
    </w:p>
  </w:footnote>
  <w:footnote w:id="1669">
    <w:p>
      <w:pPr>
        <w:pStyle w:val="FootnoteText"/>
      </w:pPr>
      <w:r>
        <w:rPr>
          <w:rStyle w:val="FootnoteReference"/>
        </w:rPr>
        <w:footnoteRef/>
      </w:r>
      <w:r>
        <w:t xml:space="preserve"> </w:t>
      </w:r>
      <w:r>
        <w:t xml:space="preserve">Verified fact — A5-S072: Addition of Entities to and Revision of Entry on the Entity List (90 FR 4619, 16 January 2025) (US Department of Commerce, Bureau of Industry and Security ()</w:t>
      </w:r>
      <w:r>
        <w:t xml:space="preserve"> </w:t>
      </w:r>
      <w:hyperlink r:id="rId1670">
        <w:r>
          <w:rPr>
            <w:rStyle w:val="Hyperlink"/>
          </w:rPr>
          <w:t xml:space="preserve">https://www.federalregister.gov/documents/2025/01/16/2025-00704/addition-of-entities-to-and-revision-of-entry-on-the-entity-list</w:t>
        </w:r>
      </w:hyperlink>
      <w:r>
        <w:t xml:space="preserve"> </w:t>
      </w:r>
      <w:r>
        <w:t xml:space="preserve">accessed 2026-10-07 [search-tool extract]</w:t>
      </w:r>
    </w:p>
  </w:footnote>
  <w:footnote w:id="1671">
    <w:p>
      <w:pPr>
        <w:pStyle w:val="FootnoteText"/>
      </w:pPr>
      <w:r>
        <w:rPr>
          <w:rStyle w:val="FootnoteReference"/>
        </w:rPr>
        <w:footnoteRef/>
      </w:r>
      <w:r>
        <w:t xml:space="preserve"> </w:t>
      </w:r>
      <w:r>
        <w:t xml:space="preserve">Verified fact — A5-S073: Z.ai Privacy Policy and API Data Processing Addendum (docs.z.ai) (Z.ai (Jingsheng Hengxing Technology Pte. Ltd.))</w:t>
      </w:r>
      <w:r>
        <w:t xml:space="preserve"> </w:t>
      </w:r>
      <w:hyperlink r:id="rId1672">
        <w:r>
          <w:rPr>
            <w:rStyle w:val="Hyperlink"/>
          </w:rPr>
          <w:t xml:space="preserve">https://docs.z.ai/legal-agreement/privacy-policy</w:t>
        </w:r>
      </w:hyperlink>
      <w:r>
        <w:t xml:space="preserve"> </w:t>
      </w:r>
      <w:r>
        <w:t xml:space="preserve">accessed 2026-10-07 [search-tool extract]</w:t>
      </w:r>
    </w:p>
  </w:footnote>
  <w:footnote w:id="1673">
    <w:p>
      <w:pPr>
        <w:pStyle w:val="FootnoteText"/>
      </w:pPr>
      <w:r>
        <w:rPr>
          <w:rStyle w:val="FootnoteReference"/>
        </w:rPr>
        <w:footnoteRef/>
      </w:r>
      <w:r>
        <w:t xml:space="preserve"> </w:t>
      </w:r>
      <w:r>
        <w:t xml:space="preserve">Verified fact — A5-S086: Introducing Kimi K3 on Amazon Bedrock; GLM 5.3 GA on Amazon Bedrock (Oct 2026); Bedrock model cards (GLM 5, DeepSeek, Qwen3) (AWS)</w:t>
      </w:r>
      <w:r>
        <w:t xml:space="preserve"> </w:t>
      </w:r>
      <w:hyperlink r:id="rId1665">
        <w:r>
          <w:rPr>
            <w:rStyle w:val="Hyperlink"/>
          </w:rPr>
          <w:t xml:space="preserve">https://aws.amazon.com/blogs/machine-learning/introducing-kimi-k3-on-amazon-bedrock/</w:t>
        </w:r>
      </w:hyperlink>
      <w:r>
        <w:t xml:space="preserve"> </w:t>
      </w:r>
      <w:r>
        <w:t xml:space="preserve">accessed 2026-10-07 [search-tool extract]; A5-S087: Introducing DeepSeek V4 Flash and V4 Pro in Microsoft Foundry; Foundry Models sold by Azure; Data, privacy, and security for Foundry Models sold by Azure; Bring</w:t>
      </w:r>
      <w:r>
        <w:t xml:space="preserve"> </w:t>
      </w:r>
      <w:hyperlink r:id="rId1633">
        <w:r>
          <w:rPr>
            <w:rStyle w:val="Hyperlink"/>
          </w:rPr>
          <w:t xml:space="preserve">https://techcommunity.microsoft.com/blog/azure-ai-foundry-blog/introducing-deepseek-v4-flash-and-v4-pro-in-microsoft-foundry/4515174</w:t>
        </w:r>
      </w:hyperlink>
      <w:r>
        <w:t xml:space="preserve"> </w:t>
      </w:r>
      <w:r>
        <w:t xml:space="preserve">accessed 2026-10-07 [search-tool extract]</w:t>
      </w:r>
    </w:p>
  </w:footnote>
  <w:footnote w:id="1674">
    <w:p>
      <w:pPr>
        <w:pStyle w:val="FootnoteText"/>
      </w:pPr>
      <w:r>
        <w:rPr>
          <w:rStyle w:val="FootnoteReference"/>
        </w:rPr>
        <w:footnoteRef/>
      </w:r>
      <w:r>
        <w:t xml:space="preserve"> </w:t>
      </w:r>
      <w:r>
        <w:t xml:space="preserve">Verified fact — A5-S052: CAISI Assessment of Z.ai’s GLM-5.2 (July 2026) and CAISI’s Assessment of Z.ai’s GLM-5.3 Cyber Capabilities (September 2026) (NIST CAISI)</w:t>
      </w:r>
      <w:r>
        <w:t xml:space="preserve"> </w:t>
      </w:r>
      <w:hyperlink r:id="rId1668">
        <w:r>
          <w:rPr>
            <w:rStyle w:val="Hyperlink"/>
          </w:rPr>
          <w:t xml:space="preserve">https://www.nist.gov/news-events/news/2026/07/caisi-assessment-zais-glm-52</w:t>
        </w:r>
      </w:hyperlink>
      <w:r>
        <w:t xml:space="preserve"> </w:t>
      </w:r>
      <w:r>
        <w:t xml:space="preserve">accessed 2026-10-07 [search-tool extract]</w:t>
      </w:r>
    </w:p>
  </w:footnote>
  <w:footnote w:id="1676">
    <w:p>
      <w:pPr>
        <w:pStyle w:val="FootnoteText"/>
      </w:pPr>
      <w:r>
        <w:rPr>
          <w:rStyle w:val="FootnoteReference"/>
        </w:rPr>
        <w:footnoteRef/>
      </w:r>
      <w:r>
        <w:t xml:space="preserve"> </w:t>
      </w:r>
      <w:r>
        <w:t xml:space="preserve">Verified fact — A5-S077: Introducing Muse Spark (Meta, April 2026); Introducing Muse Spark 1.1 / Meta Model API (ai.meta.com); Meta Connect 2026 recap</w:t>
      </w:r>
      <w:r>
        <w:t xml:space="preserve"> </w:t>
      </w:r>
      <w:hyperlink r:id="rId1677">
        <w:r>
          <w:rPr>
            <w:rStyle w:val="Hyperlink"/>
          </w:rPr>
          <w:t xml:space="preserve">https://about.fb.com/news/2026/04/introducing-muse-spark-meta-superintelligence-labs/</w:t>
        </w:r>
      </w:hyperlink>
      <w:r>
        <w:t xml:space="preserve"> </w:t>
      </w:r>
      <w:r>
        <w:t xml:space="preserve">accessed 2026-10-07 [search-tool extract]; A5-S078: meta-models/Muse-Glimmer-30B model card (Apache 2.0) and Llama 4 Community License Agreement (llama.com) (Meta)</w:t>
      </w:r>
      <w:r>
        <w:t xml:space="preserve"> </w:t>
      </w:r>
      <w:hyperlink r:id="rId1678">
        <w:r>
          <w:rPr>
            <w:rStyle w:val="Hyperlink"/>
          </w:rPr>
          <w:t xml:space="preserve">https://huggingface.co/meta-models/Muse-Glimmer-30B</w:t>
        </w:r>
      </w:hyperlink>
      <w:r>
        <w:t xml:space="preserve"> </w:t>
      </w:r>
      <w:r>
        <w:t xml:space="preserve">accessed 2026-10-07 [search-tool extract]; V2-S019: Meta Connect 2026: The end-to-end recap (with research.meta.ai</w:t>
      </w:r>
      <w:r>
        <w:t xml:space="preserve"> </w:t>
      </w:r>
      <w:r>
        <w:t xml:space="preserve">‘</w:t>
      </w:r>
      <w:r>
        <w:t xml:space="preserve">Introducing Muse Spark 1.3</w:t>
      </w:r>
      <w:r>
        <w:t xml:space="preserve">’</w:t>
      </w:r>
      <w:r>
        <w:t xml:space="preserve">)</w:t>
      </w:r>
      <w:r>
        <w:t xml:space="preserve"> </w:t>
      </w:r>
      <w:hyperlink r:id="rId1679">
        <w:r>
          <w:rPr>
            <w:rStyle w:val="Hyperlink"/>
          </w:rPr>
          <w:t xml:space="preserve">https://developers.meta.com/blog/meta-connect-recap/</w:t>
        </w:r>
      </w:hyperlink>
      <w:r>
        <w:t xml:space="preserve"> </w:t>
      </w:r>
      <w:r>
        <w:t xml:space="preserve">accessed 2026-10-08 [search-tool extract]; A5-S027: Generative AI pricing - Google Cloud (Gemini Enterprise Agent Platform, formerly Vertex AI)</w:t>
      </w:r>
      <w:r>
        <w:t xml:space="preserve"> </w:t>
      </w:r>
      <w:hyperlink r:id="rId1520">
        <w:r>
          <w:rPr>
            <w:rStyle w:val="Hyperlink"/>
          </w:rPr>
          <w:t xml:space="preserve">https://cloud.google.com/gemini-enterprise-agent-platform/generative-ai/pricing</w:t>
        </w:r>
      </w:hyperlink>
      <w:r>
        <w:t xml:space="preserve"> </w:t>
      </w:r>
      <w:r>
        <w:t xml:space="preserve">accessed 2026-10-07</w:t>
      </w:r>
    </w:p>
  </w:footnote>
  <w:footnote w:id="1680">
    <w:p>
      <w:pPr>
        <w:pStyle w:val="FootnoteText"/>
      </w:pPr>
      <w:r>
        <w:rPr>
          <w:rStyle w:val="FootnoteReference"/>
        </w:rPr>
        <w:footnoteRef/>
      </w:r>
      <w:r>
        <w:t xml:space="preserve"> </w:t>
      </w:r>
      <w:r>
        <w:t xml:space="preserve">Reported — A5-S038: LiteLLM 1.104.1 model_prices_and_context_window map (PyPI wheel) (BerriAI / LiteLLM (community-maintained))</w:t>
      </w:r>
      <w:r>
        <w:t xml:space="preserve"> </w:t>
      </w:r>
      <w:hyperlink r:id="rId1527">
        <w:r>
          <w:rPr>
            <w:rStyle w:val="Hyperlink"/>
          </w:rPr>
          <w:t xml:space="preserve">https://pypi.org/project/litellm/1.104.1/</w:t>
        </w:r>
      </w:hyperlink>
      <w:r>
        <w:t xml:space="preserve"> </w:t>
      </w:r>
      <w:r>
        <w:t xml:space="preserve">accessed 2026-10-07 [search-tool extract]; A5-S040: ms-swift README news (PyPI) (ModelScope / Alibaba (ms-swift project))</w:t>
      </w:r>
      <w:r>
        <w:t xml:space="preserve"> </w:t>
      </w:r>
      <w:hyperlink r:id="rId1681">
        <w:r>
          <w:rPr>
            <w:rStyle w:val="Hyperlink"/>
          </w:rPr>
          <w:t xml:space="preserve">https://pypi.org/project/ms-swift/</w:t>
        </w:r>
      </w:hyperlink>
      <w:r>
        <w:t xml:space="preserve"> </w:t>
      </w:r>
      <w:r>
        <w:t xml:space="preserve">accessed 2026-10-07 [search-tool extract]</w:t>
      </w:r>
    </w:p>
  </w:footnote>
  <w:footnote w:id="1682">
    <w:p>
      <w:pPr>
        <w:pStyle w:val="FootnoteText"/>
      </w:pPr>
      <w:r>
        <w:rPr>
          <w:rStyle w:val="FootnoteReference"/>
        </w:rPr>
        <w:footnoteRef/>
      </w:r>
      <w:r>
        <w:t xml:space="preserve"> </w:t>
      </w:r>
      <w:r>
        <w:t xml:space="preserve">Verified fact — A5-S027: Generative AI pricing - Google Cloud (Gemini Enterprise Agent Platform, formerly Vertex AI)</w:t>
      </w:r>
      <w:r>
        <w:t xml:space="preserve"> </w:t>
      </w:r>
      <w:hyperlink r:id="rId1520">
        <w:r>
          <w:rPr>
            <w:rStyle w:val="Hyperlink"/>
          </w:rPr>
          <w:t xml:space="preserve">https://cloud.google.com/gemini-enterprise-agent-platform/generative-ai/pricing</w:t>
        </w:r>
      </w:hyperlink>
      <w:r>
        <w:t xml:space="preserve"> </w:t>
      </w:r>
      <w:r>
        <w:t xml:space="preserve">accessed 2026-10-07</w:t>
      </w:r>
    </w:p>
  </w:footnote>
  <w:footnote w:id="1683">
    <w:p>
      <w:pPr>
        <w:pStyle w:val="FootnoteText"/>
      </w:pPr>
      <w:r>
        <w:rPr>
          <w:rStyle w:val="FootnoteReference"/>
        </w:rPr>
        <w:footnoteRef/>
      </w:r>
      <w:r>
        <w:t xml:space="preserve"> </w:t>
      </w:r>
      <w:r>
        <w:t xml:space="preserve">Reported — A5-S038: LiteLLM 1.104.1 model_prices_and_context_window map (PyPI wheel) (BerriAI / LiteLLM (community-maintained))</w:t>
      </w:r>
      <w:r>
        <w:t xml:space="preserve"> </w:t>
      </w:r>
      <w:hyperlink r:id="rId1527">
        <w:r>
          <w:rPr>
            <w:rStyle w:val="Hyperlink"/>
          </w:rPr>
          <w:t xml:space="preserve">https://pypi.org/project/litellm/1.104.1/</w:t>
        </w:r>
      </w:hyperlink>
      <w:r>
        <w:t xml:space="preserve"> </w:t>
      </w:r>
      <w:r>
        <w:t xml:space="preserve">accessed 2026-10-07 [search-tool extract]</w:t>
      </w:r>
    </w:p>
  </w:footnote>
  <w:footnote w:id="1684">
    <w:p>
      <w:pPr>
        <w:pStyle w:val="FootnoteText"/>
      </w:pPr>
      <w:r>
        <w:rPr>
          <w:rStyle w:val="FootnoteReference"/>
        </w:rPr>
        <w:footnoteRef/>
      </w:r>
      <w:r>
        <w:t xml:space="preserve"> </w:t>
      </w:r>
      <w:r>
        <w:t xml:space="preserve">Verified fact — A5-S078: meta-models/Muse-Glimmer-30B model card (Apache 2.0) and Llama 4 Community License Agreement (llama.com) (Meta)</w:t>
      </w:r>
      <w:r>
        <w:t xml:space="preserve"> </w:t>
      </w:r>
      <w:hyperlink r:id="rId1678">
        <w:r>
          <w:rPr>
            <w:rStyle w:val="Hyperlink"/>
          </w:rPr>
          <w:t xml:space="preserve">https://huggingface.co/meta-models/Muse-Glimmer-30B</w:t>
        </w:r>
      </w:hyperlink>
      <w:r>
        <w:t xml:space="preserve"> </w:t>
      </w:r>
      <w:r>
        <w:t xml:space="preserve">accessed 2026-10-07 [search-tool extract]</w:t>
      </w:r>
    </w:p>
  </w:footnote>
  <w:footnote w:id="1685">
    <w:p>
      <w:pPr>
        <w:pStyle w:val="FootnoteText"/>
      </w:pPr>
      <w:r>
        <w:rPr>
          <w:rStyle w:val="FootnoteReference"/>
        </w:rPr>
        <w:footnoteRef/>
      </w:r>
      <w:r>
        <w:t xml:space="preserve"> </w:t>
      </w:r>
      <w:r>
        <w:t xml:space="preserve">Reported — A5-S040: ms-swift README news (PyPI) (ModelScope / Alibaba (ms-swift project))</w:t>
      </w:r>
      <w:r>
        <w:t xml:space="preserve"> </w:t>
      </w:r>
      <w:hyperlink r:id="rId1681">
        <w:r>
          <w:rPr>
            <w:rStyle w:val="Hyperlink"/>
          </w:rPr>
          <w:t xml:space="preserve">https://pypi.org/project/ms-swift/</w:t>
        </w:r>
      </w:hyperlink>
      <w:r>
        <w:t xml:space="preserve"> </w:t>
      </w:r>
      <w:r>
        <w:t xml:space="preserve">accessed 2026-10-07 [search-tool extract]</w:t>
      </w:r>
    </w:p>
  </w:footnote>
  <w:footnote w:id="1686">
    <w:p>
      <w:pPr>
        <w:pStyle w:val="FootnoteText"/>
      </w:pPr>
      <w:r>
        <w:rPr>
          <w:rStyle w:val="FootnoteReference"/>
        </w:rPr>
        <w:footnoteRef/>
      </w:r>
      <w:r>
        <w:t xml:space="preserve"> </w:t>
      </w:r>
      <w:r>
        <w:t xml:space="preserve">Verified fact — V2-S019: Meta Connect 2026: The end-to-end recap (with research.meta.ai</w:t>
      </w:r>
      <w:r>
        <w:t xml:space="preserve"> </w:t>
      </w:r>
      <w:r>
        <w:t xml:space="preserve">‘</w:t>
      </w:r>
      <w:r>
        <w:t xml:space="preserve">Introducing Muse Spark 1.3</w:t>
      </w:r>
      <w:r>
        <w:t xml:space="preserve">’</w:t>
      </w:r>
      <w:r>
        <w:t xml:space="preserve">)</w:t>
      </w:r>
      <w:r>
        <w:t xml:space="preserve"> </w:t>
      </w:r>
      <w:hyperlink r:id="rId1679">
        <w:r>
          <w:rPr>
            <w:rStyle w:val="Hyperlink"/>
          </w:rPr>
          <w:t xml:space="preserve">https://developers.meta.com/blog/meta-connect-recap/</w:t>
        </w:r>
      </w:hyperlink>
      <w:r>
        <w:t xml:space="preserve"> </w:t>
      </w:r>
      <w:r>
        <w:t xml:space="preserve">accessed 2026-10-08 [search-tool extract]</w:t>
      </w:r>
    </w:p>
  </w:footnote>
  <w:footnote w:id="1687">
    <w:p>
      <w:pPr>
        <w:pStyle w:val="FootnoteText"/>
      </w:pPr>
      <w:r>
        <w:rPr>
          <w:rStyle w:val="FootnoteReference"/>
        </w:rPr>
        <w:footnoteRef/>
      </w:r>
      <w:r>
        <w:t xml:space="preserve"> </w:t>
      </w:r>
      <w:r>
        <w:t xml:space="preserve">Verified fact — A5-S077: Introducing Muse Spark (Meta, April 2026); Introducing Muse Spark 1.1 / Meta Model API (ai.meta.com); Meta Connect 2026 recap</w:t>
      </w:r>
      <w:r>
        <w:t xml:space="preserve"> </w:t>
      </w:r>
      <w:hyperlink r:id="rId1677">
        <w:r>
          <w:rPr>
            <w:rStyle w:val="Hyperlink"/>
          </w:rPr>
          <w:t xml:space="preserve">https://about.fb.com/news/2026/04/introducing-muse-spark-meta-superintelligence-labs/</w:t>
        </w:r>
      </w:hyperlink>
      <w:r>
        <w:t xml:space="preserve"> </w:t>
      </w:r>
      <w:r>
        <w:t xml:space="preserve">accessed 2026-10-07 [search-tool extract]</w:t>
      </w:r>
    </w:p>
  </w:footnote>
  <w:footnote w:id="1688">
    <w:p>
      <w:pPr>
        <w:pStyle w:val="FootnoteText"/>
      </w:pPr>
      <w:r>
        <w:rPr>
          <w:rStyle w:val="FootnoteReference"/>
        </w:rPr>
        <w:footnoteRef/>
      </w:r>
      <w:r>
        <w:t xml:space="preserve"> </w:t>
      </w:r>
      <w:r>
        <w:t xml:space="preserve">Reported — A5-S038: LiteLLM 1.104.1 model_prices_and_context_window map (PyPI wheel) (BerriAI / LiteLLM (community-maintained))</w:t>
      </w:r>
      <w:r>
        <w:t xml:space="preserve"> </w:t>
      </w:r>
      <w:hyperlink r:id="rId1527">
        <w:r>
          <w:rPr>
            <w:rStyle w:val="Hyperlink"/>
          </w:rPr>
          <w:t xml:space="preserve">https://pypi.org/project/litellm/1.104.1/</w:t>
        </w:r>
      </w:hyperlink>
      <w:r>
        <w:t xml:space="preserve"> </w:t>
      </w:r>
      <w:r>
        <w:t xml:space="preserve">accessed 2026-10-07 [search-tool extract]</w:t>
      </w:r>
    </w:p>
  </w:footnote>
  <w:footnote w:id="1689">
    <w:p>
      <w:pPr>
        <w:pStyle w:val="FootnoteText"/>
      </w:pPr>
      <w:r>
        <w:rPr>
          <w:rStyle w:val="FootnoteReference"/>
        </w:rPr>
        <w:footnoteRef/>
      </w:r>
      <w:r>
        <w:t xml:space="preserve"> </w:t>
      </w:r>
      <w:r>
        <w:t xml:space="preserve">Verified fact — A5-S047: Official vendor Python SDK metadata (openai, anthropic, google-genai, xai-sdk, mistralai, dashscope, zai-sdk, llama-api-client) via PyPI JSON API (PyPI (vendor-published package metadata))</w:t>
      </w:r>
      <w:r>
        <w:t xml:space="preserve"> </w:t>
      </w:r>
      <w:hyperlink r:id="rId1690">
        <w:r>
          <w:rPr>
            <w:rStyle w:val="Hyperlink"/>
          </w:rPr>
          <w:t xml:space="preserve">https://pypi.org/</w:t>
        </w:r>
      </w:hyperlink>
      <w:r>
        <w:t xml:space="preserve"> </w:t>
      </w:r>
      <w:r>
        <w:t xml:space="preserve">accessed 2026-10-07 [search-tool extract]</w:t>
      </w:r>
    </w:p>
  </w:footnote>
  <w:footnote w:id="1691">
    <w:p>
      <w:pPr>
        <w:pStyle w:val="FootnoteText"/>
      </w:pPr>
      <w:r>
        <w:rPr>
          <w:rStyle w:val="FootnoteReference"/>
        </w:rPr>
        <w:footnoteRef/>
      </w:r>
      <w:r>
        <w:t xml:space="preserve"> </w:t>
      </w:r>
      <w:r>
        <w:t xml:space="preserve">Reported — V2-S019: Meta Connect 2026: The end-to-end recap (with research.meta.ai</w:t>
      </w:r>
      <w:r>
        <w:t xml:space="preserve"> </w:t>
      </w:r>
      <w:r>
        <w:t xml:space="preserve">‘</w:t>
      </w:r>
      <w:r>
        <w:t xml:space="preserve">Introducing Muse Spark 1.3</w:t>
      </w:r>
      <w:r>
        <w:t xml:space="preserve">’</w:t>
      </w:r>
      <w:r>
        <w:t xml:space="preserve">)</w:t>
      </w:r>
      <w:r>
        <w:t xml:space="preserve"> </w:t>
      </w:r>
      <w:hyperlink r:id="rId1679">
        <w:r>
          <w:rPr>
            <w:rStyle w:val="Hyperlink"/>
          </w:rPr>
          <w:t xml:space="preserve">https://developers.meta.com/blog/meta-connect-recap/</w:t>
        </w:r>
      </w:hyperlink>
      <w:r>
        <w:t xml:space="preserve"> </w:t>
      </w:r>
      <w:r>
        <w:t xml:space="preserve">accessed 2026-10-08 [search-tool extract]</w:t>
      </w:r>
    </w:p>
  </w:footnote>
  <w:footnote w:id="1693">
    <w:p>
      <w:pPr>
        <w:pStyle w:val="FootnoteText"/>
      </w:pPr>
      <w:r>
        <w:rPr>
          <w:rStyle w:val="FootnoteReference"/>
        </w:rPr>
        <w:footnoteRef/>
      </w:r>
      <w:r>
        <w:t xml:space="preserve"> </w:t>
      </w:r>
      <w:r>
        <w:t xml:space="preserve">Verified fact — A5-S066: Alibaba Unveils Qwen3.8-27B and Releases Weights of Qwen3.8 Flagship Model (with Qwen/Qwen3.8-27B model card) (Alibaba Cloud)</w:t>
      </w:r>
      <w:r>
        <w:t xml:space="preserve"> </w:t>
      </w:r>
      <w:hyperlink r:id="rId1694">
        <w:r>
          <w:rPr>
            <w:rStyle w:val="Hyperlink"/>
          </w:rPr>
          <w:t xml:space="preserve">https://www.alibabacloud.com/blog/alibaba-unveils-qwen3-8-27b-and-releases-weights-of-qwen3-8-flagship-model_603463</w:t>
        </w:r>
      </w:hyperlink>
      <w:r>
        <w:t xml:space="preserve"> </w:t>
      </w:r>
      <w:r>
        <w:t xml:space="preserve">accessed 2026-10-07 [search-tool extract]; A5-S068: Alibaba Cloud Model Studio model pricing (qwen3.8-max, qwen3.8-flash) and Alizila Qwen3.8-Flash release</w:t>
      </w:r>
      <w:r>
        <w:t xml:space="preserve"> </w:t>
      </w:r>
      <w:hyperlink r:id="rId1695">
        <w:r>
          <w:rPr>
            <w:rStyle w:val="Hyperlink"/>
          </w:rPr>
          <w:t xml:space="preserve">https://www.alibabacloud.com/help/en/model-studio/model-pricing</w:t>
        </w:r>
      </w:hyperlink>
      <w:r>
        <w:t xml:space="preserve"> </w:t>
      </w:r>
      <w:r>
        <w:t xml:space="preserve">accessed 2026-10-07 [search-tool extract]</w:t>
      </w:r>
    </w:p>
  </w:footnote>
  <w:footnote w:id="1696">
    <w:p>
      <w:pPr>
        <w:pStyle w:val="FootnoteText"/>
      </w:pPr>
      <w:r>
        <w:rPr>
          <w:rStyle w:val="FootnoteReference"/>
        </w:rPr>
        <w:footnoteRef/>
      </w:r>
      <w:r>
        <w:t xml:space="preserve"> </w:t>
      </w:r>
      <w:r>
        <w:t xml:space="preserve">Reported — V2-S014: Alibaba’s AI model Qwen3.8-Max made widely accessible ahead of open-weights release (with Quartz, MarkTechPost 3 Aug 2026, The Decoder, DeepLearning.AI The Batc (South China Morning Post)</w:t>
      </w:r>
      <w:r>
        <w:t xml:space="preserve"> </w:t>
      </w:r>
      <w:hyperlink r:id="rId1697">
        <w:r>
          <w:rPr>
            <w:rStyle w:val="Hyperlink"/>
          </w:rPr>
          <w:t xml:space="preserve">https://www.scmp.com/tech/article/3362738/alibabas-ai-model-qwen38-max-made-widely-accessible-ahead-open-weights-release</w:t>
        </w:r>
      </w:hyperlink>
      <w:r>
        <w:t xml:space="preserve"> </w:t>
      </w:r>
      <w:r>
        <w:t xml:space="preserve">accessed 2026-10-08 [search-tool extract]; A5-S038: LiteLLM 1.104.1 model_prices_and_context_window map (PyPI wheel) (BerriAI / LiteLLM (community-maintained))</w:t>
      </w:r>
      <w:r>
        <w:t xml:space="preserve"> </w:t>
      </w:r>
      <w:hyperlink r:id="rId1527">
        <w:r>
          <w:rPr>
            <w:rStyle w:val="Hyperlink"/>
          </w:rPr>
          <w:t xml:space="preserve">https://pypi.org/project/litellm/1.104.1/</w:t>
        </w:r>
      </w:hyperlink>
      <w:r>
        <w:t xml:space="preserve"> </w:t>
      </w:r>
      <w:r>
        <w:t xml:space="preserve">accessed 2026-10-07 [search-tool extract]; A5-S040: ms-swift README news (PyPI) (ModelScope / Alibaba (ms-swift project))</w:t>
      </w:r>
      <w:r>
        <w:t xml:space="preserve"> </w:t>
      </w:r>
      <w:hyperlink r:id="rId1681">
        <w:r>
          <w:rPr>
            <w:rStyle w:val="Hyperlink"/>
          </w:rPr>
          <w:t xml:space="preserve">https://pypi.org/project/ms-swift/</w:t>
        </w:r>
      </w:hyperlink>
      <w:r>
        <w:t xml:space="preserve"> </w:t>
      </w:r>
      <w:r>
        <w:t xml:space="preserve">accessed 2026-10-07 [search-tool extract]</w:t>
      </w:r>
    </w:p>
  </w:footnote>
  <w:footnote w:id="1698">
    <w:p>
      <w:pPr>
        <w:pStyle w:val="FootnoteText"/>
      </w:pPr>
      <w:r>
        <w:rPr>
          <w:rStyle w:val="FootnoteReference"/>
        </w:rPr>
        <w:footnoteRef/>
      </w:r>
      <w:r>
        <w:t xml:space="preserve"> </w:t>
      </w:r>
      <w:r>
        <w:t xml:space="preserve">Verified fact — A5-S066: Alibaba Unveils Qwen3.8-27B and Releases Weights of Qwen3.8 Flagship Model (with Qwen/Qwen3.8-27B model card) (Alibaba Cloud)</w:t>
      </w:r>
      <w:r>
        <w:t xml:space="preserve"> </w:t>
      </w:r>
      <w:hyperlink r:id="rId1694">
        <w:r>
          <w:rPr>
            <w:rStyle w:val="Hyperlink"/>
          </w:rPr>
          <w:t xml:space="preserve">https://www.alibabacloud.com/blog/alibaba-unveils-qwen3-8-27b-and-releases-weights-of-qwen3-8-flagship-model_603463</w:t>
        </w:r>
      </w:hyperlink>
      <w:r>
        <w:t xml:space="preserve"> </w:t>
      </w:r>
      <w:r>
        <w:t xml:space="preserve">accessed 2026-10-07 [search-tool extract]</w:t>
      </w:r>
    </w:p>
  </w:footnote>
  <w:footnote w:id="1699">
    <w:p>
      <w:pPr>
        <w:pStyle w:val="FootnoteText"/>
      </w:pPr>
      <w:r>
        <w:rPr>
          <w:rStyle w:val="FootnoteReference"/>
        </w:rPr>
        <w:footnoteRef/>
      </w:r>
      <w:r>
        <w:t xml:space="preserve"> </w:t>
      </w:r>
      <w:r>
        <w:t xml:space="preserve">Reported — A5-S041: Xinference README latest-release notes (PyPI) (Xorbits (xinference project))</w:t>
      </w:r>
      <w:r>
        <w:t xml:space="preserve"> </w:t>
      </w:r>
      <w:hyperlink r:id="rId1700">
        <w:r>
          <w:rPr>
            <w:rStyle w:val="Hyperlink"/>
          </w:rPr>
          <w:t xml:space="preserve">https://pypi.org/project/xinference/</w:t>
        </w:r>
      </w:hyperlink>
      <w:r>
        <w:t xml:space="preserve"> </w:t>
      </w:r>
      <w:r>
        <w:t xml:space="preserve">accessed 2026-10-07 [search-tool extract]</w:t>
      </w:r>
    </w:p>
  </w:footnote>
  <w:footnote w:id="1701">
    <w:p>
      <w:pPr>
        <w:pStyle w:val="FootnoteText"/>
      </w:pPr>
      <w:r>
        <w:rPr>
          <w:rStyle w:val="FootnoteReference"/>
        </w:rPr>
        <w:footnoteRef/>
      </w:r>
      <w:r>
        <w:t xml:space="preserve"> </w:t>
      </w:r>
      <w:r>
        <w:t xml:space="preserve">Verified fact — A5-S067: Regions and endpoints; FAQ - Alibaba Cloud Model Studio</w:t>
      </w:r>
      <w:r>
        <w:t xml:space="preserve"> </w:t>
      </w:r>
      <w:hyperlink r:id="rId1702">
        <w:r>
          <w:rPr>
            <w:rStyle w:val="Hyperlink"/>
          </w:rPr>
          <w:t xml:space="preserve">https://www.alibabacloud.com/help/en/model-studio/regions</w:t>
        </w:r>
      </w:hyperlink>
      <w:r>
        <w:t xml:space="preserve"> </w:t>
      </w:r>
      <w:r>
        <w:t xml:space="preserve">accessed 2026-10-07 [search-tool extract]</w:t>
      </w:r>
    </w:p>
  </w:footnote>
  <w:footnote w:id="1703">
    <w:p>
      <w:pPr>
        <w:pStyle w:val="FootnoteText"/>
      </w:pPr>
      <w:r>
        <w:rPr>
          <w:rStyle w:val="FootnoteReference"/>
        </w:rPr>
        <w:footnoteRef/>
      </w:r>
      <w:r>
        <w:t xml:space="preserve"> </w:t>
      </w:r>
      <w:r>
        <w:t xml:space="preserve">Verified fact — A5-S066: Alibaba Unveils Qwen3.8-27B and Releases Weights of Qwen3.8 Flagship Model (with Qwen/Qwen3.8-27B model card) (Alibaba Cloud)</w:t>
      </w:r>
      <w:r>
        <w:t xml:space="preserve"> </w:t>
      </w:r>
      <w:hyperlink r:id="rId1694">
        <w:r>
          <w:rPr>
            <w:rStyle w:val="Hyperlink"/>
          </w:rPr>
          <w:t xml:space="preserve">https://www.alibabacloud.com/blog/alibaba-unveils-qwen3-8-27b-and-releases-weights-of-qwen3-8-flagship-model_603463</w:t>
        </w:r>
      </w:hyperlink>
      <w:r>
        <w:t xml:space="preserve"> </w:t>
      </w:r>
      <w:r>
        <w:t xml:space="preserve">accessed 2026-10-07 [search-tool extract]</w:t>
      </w:r>
    </w:p>
  </w:footnote>
  <w:footnote w:id="1704">
    <w:p>
      <w:pPr>
        <w:pStyle w:val="FootnoteText"/>
      </w:pPr>
      <w:r>
        <w:rPr>
          <w:rStyle w:val="FootnoteReference"/>
        </w:rPr>
        <w:footnoteRef/>
      </w:r>
      <w:r>
        <w:t xml:space="preserve"> </w:t>
      </w:r>
      <w:r>
        <w:t xml:space="preserve">Verified fact — A5-S086: Introducing Kimi K3 on Amazon Bedrock; GLM 5.3 GA on Amazon Bedrock (Oct 2026); Bedrock model cards (GLM 5, DeepSeek, Qwen3) (AWS)</w:t>
      </w:r>
      <w:r>
        <w:t xml:space="preserve"> </w:t>
      </w:r>
      <w:hyperlink r:id="rId1665">
        <w:r>
          <w:rPr>
            <w:rStyle w:val="Hyperlink"/>
          </w:rPr>
          <w:t xml:space="preserve">https://aws.amazon.com/blogs/machine-learning/introducing-kimi-k3-on-amazon-bedrock/</w:t>
        </w:r>
      </w:hyperlink>
      <w:r>
        <w:t xml:space="preserve"> </w:t>
      </w:r>
      <w:r>
        <w:t xml:space="preserve">accessed 2026-10-07 [search-tool extract]; A5-S027: Generative AI pricing - Google Cloud (Gemini Enterprise Agent Platform, formerly Vertex AI)</w:t>
      </w:r>
      <w:r>
        <w:t xml:space="preserve"> </w:t>
      </w:r>
      <w:hyperlink r:id="rId1520">
        <w:r>
          <w:rPr>
            <w:rStyle w:val="Hyperlink"/>
          </w:rPr>
          <w:t xml:space="preserve">https://cloud.google.com/gemini-enterprise-agent-platform/generative-ai/pricing</w:t>
        </w:r>
      </w:hyperlink>
      <w:r>
        <w:t xml:space="preserve"> </w:t>
      </w:r>
      <w:r>
        <w:t xml:space="preserve">accessed 2026-10-07</w:t>
      </w:r>
    </w:p>
  </w:footnote>
  <w:footnote w:id="1705">
    <w:p>
      <w:pPr>
        <w:pStyle w:val="FootnoteText"/>
      </w:pPr>
      <w:r>
        <w:rPr>
          <w:rStyle w:val="FootnoteReference"/>
        </w:rPr>
        <w:footnoteRef/>
      </w:r>
      <w:r>
        <w:t xml:space="preserve"> </w:t>
      </w:r>
      <w:r>
        <w:t xml:space="preserve">Reported — V2-S014: Alibaba’s AI model Qwen3.8-Max made widely accessible ahead of open-weights release (with Quartz, MarkTechPost 3 Aug 2026, The Decoder, DeepLearning.AI The Batc (South China Morning Post)</w:t>
      </w:r>
      <w:r>
        <w:t xml:space="preserve"> </w:t>
      </w:r>
      <w:hyperlink r:id="rId1697">
        <w:r>
          <w:rPr>
            <w:rStyle w:val="Hyperlink"/>
          </w:rPr>
          <w:t xml:space="preserve">https://www.scmp.com/tech/article/3362738/alibabas-ai-model-qwen38-max-made-widely-accessible-ahead-open-weights-release</w:t>
        </w:r>
      </w:hyperlink>
      <w:r>
        <w:t xml:space="preserve"> </w:t>
      </w:r>
      <w:r>
        <w:t xml:space="preserve">accessed 2026-10-08 [search-tool extract]</w:t>
      </w:r>
    </w:p>
  </w:footnote>
  <w:footnote w:id="1706">
    <w:p>
      <w:pPr>
        <w:pStyle w:val="FootnoteText"/>
      </w:pPr>
      <w:r>
        <w:rPr>
          <w:rStyle w:val="FootnoteReference"/>
        </w:rPr>
        <w:footnoteRef/>
      </w:r>
      <w:r>
        <w:t xml:space="preserve"> </w:t>
      </w:r>
      <w:r>
        <w:t xml:space="preserve">Verified fact — A5-S059: Taiwan bans government agencies from using DeepSeek (AFP via Korea Times, 1 Feb 2025) and NSB inspection of five PRC AI models (Nov 2025) (The Korea Times (AFP) / Taiwan National Security Bureau repo)</w:t>
      </w:r>
      <w:r>
        <w:t xml:space="preserve"> </w:t>
      </w:r>
      <w:hyperlink r:id="rId1648">
        <w:r>
          <w:rPr>
            <w:rStyle w:val="Hyperlink"/>
          </w:rPr>
          <w:t xml:space="preserve">https://www.koreatimes.co.kr/amp/world/20250201/taiwan-bans-government-agencies-from-using-deepseek</w:t>
        </w:r>
      </w:hyperlink>
      <w:r>
        <w:t xml:space="preserve"> </w:t>
      </w:r>
      <w:r>
        <w:t xml:space="preserve">accessed 2026-10-07 [search-tool extract]; A5-S051: UK AISI / CAISI Preliminary Assessment of Kimi K3’s Cyber Capabilities (July 2026); CAISI Evaluation of Kimi K2 Thinking (Dec 2025) (NIST CAISI and UK AI Security Institute)</w:t>
      </w:r>
      <w:r>
        <w:t xml:space="preserve"> </w:t>
      </w:r>
      <w:hyperlink r:id="rId1707">
        <w:r>
          <w:rPr>
            <w:rStyle w:val="Hyperlink"/>
          </w:rPr>
          <w:t xml:space="preserve">https://www.nist.gov/news-events/news/2026/07/uk-aisi-caisi-preliminary-assessment-kimi-k3s-cyber-capabilities</w:t>
        </w:r>
      </w:hyperlink>
      <w:r>
        <w:t xml:space="preserve"> </w:t>
      </w:r>
      <w:r>
        <w:t xml:space="preserve">accessed 2026-10-07 [search-tool extract]</w:t>
      </w:r>
    </w:p>
  </w:footnote>
  <w:footnote w:id="1708">
    <w:p>
      <w:pPr>
        <w:pStyle w:val="FootnoteText"/>
      </w:pPr>
      <w:r>
        <w:rPr>
          <w:rStyle w:val="FootnoteReference"/>
        </w:rPr>
        <w:footnoteRef/>
      </w:r>
      <w:r>
        <w:t xml:space="preserve"> </w:t>
      </w:r>
      <w:r>
        <w:t xml:space="preserve">Reported — A5-S060: Lawmakers probe growing use of Chinese AI models in U.S. companies (CNBC, 8 July 2026); Axios 20 July 2026; CNBC 27 August 2026</w:t>
      </w:r>
      <w:r>
        <w:t xml:space="preserve"> </w:t>
      </w:r>
      <w:hyperlink r:id="rId1652">
        <w:r>
          <w:rPr>
            <w:rStyle w:val="Hyperlink"/>
          </w:rPr>
          <w:t xml:space="preserve">https://www.cnbc.com/2026/07/08/chinese-ai-models-probe-us-lawmakers.html</w:t>
        </w:r>
      </w:hyperlink>
      <w:r>
        <w:t xml:space="preserve"> </w:t>
      </w:r>
      <w:r>
        <w:t xml:space="preserve">accessed 2026-10-07 [search-tool extract]</w:t>
      </w:r>
    </w:p>
  </w:footnote>
  <w:footnote w:id="1710">
    <w:p>
      <w:pPr>
        <w:pStyle w:val="FootnoteText"/>
      </w:pPr>
      <w:r>
        <w:rPr>
          <w:rStyle w:val="FootnoteReference"/>
        </w:rPr>
        <w:footnoteRef/>
      </w:r>
      <w:r>
        <w:t xml:space="preserve"> </w:t>
      </w:r>
      <w:r>
        <w:t xml:space="preserve">Verified fact — A5-S069: Kimi K3 Tech Blog; Kimi K3 API quickstart and pricing; moonshotai/Kimi-K3 LICENSE (Hugging Face) (Moonshot AI)</w:t>
      </w:r>
      <w:r>
        <w:t xml:space="preserve"> </w:t>
      </w:r>
      <w:hyperlink r:id="rId1711">
        <w:r>
          <w:rPr>
            <w:rStyle w:val="Hyperlink"/>
          </w:rPr>
          <w:t xml:space="preserve">https://www.kimi.com/en/blog/kimi-k3</w:t>
        </w:r>
      </w:hyperlink>
      <w:r>
        <w:t xml:space="preserve"> </w:t>
      </w:r>
      <w:r>
        <w:t xml:space="preserve">accessed 2026-10-07 [search-tool extract]</w:t>
      </w:r>
    </w:p>
  </w:footnote>
  <w:footnote w:id="1712">
    <w:p>
      <w:pPr>
        <w:pStyle w:val="FootnoteText"/>
      </w:pPr>
      <w:r>
        <w:rPr>
          <w:rStyle w:val="FootnoteReference"/>
        </w:rPr>
        <w:footnoteRef/>
      </w:r>
      <w:r>
        <w:t xml:space="preserve"> </w:t>
      </w:r>
      <w:r>
        <w:t xml:space="preserve">Reported — V2-S015: Kimi K3 coverage (aiweekly, morphllm, Hugging Face community blog, cryptobriefing, ayautomate) (Various (secondary))</w:t>
      </w:r>
      <w:r>
        <w:t xml:space="preserve"> </w:t>
      </w:r>
      <w:hyperlink r:id="rId1713">
        <w:r>
          <w:rPr>
            <w:rStyle w:val="Hyperlink"/>
          </w:rPr>
          <w:t xml:space="preserve">https://huggingface.co/moonshotai/Kimi-K3</w:t>
        </w:r>
      </w:hyperlink>
      <w:r>
        <w:t xml:space="preserve"> </w:t>
      </w:r>
      <w:r>
        <w:t xml:space="preserve">accessed 2026-10-08 [search-tool extract]; A5-S038: LiteLLM 1.104.1 model_prices_and_context_window map (PyPI wheel) (BerriAI / LiteLLM (community-maintained))</w:t>
      </w:r>
      <w:r>
        <w:t xml:space="preserve"> </w:t>
      </w:r>
      <w:hyperlink r:id="rId1527">
        <w:r>
          <w:rPr>
            <w:rStyle w:val="Hyperlink"/>
          </w:rPr>
          <w:t xml:space="preserve">https://pypi.org/project/litellm/1.104.1/</w:t>
        </w:r>
      </w:hyperlink>
      <w:r>
        <w:t xml:space="preserve"> </w:t>
      </w:r>
      <w:r>
        <w:t xml:space="preserve">accessed 2026-10-07 [search-tool extract]</w:t>
      </w:r>
    </w:p>
  </w:footnote>
  <w:footnote w:id="1714">
    <w:p>
      <w:pPr>
        <w:pStyle w:val="FootnoteText"/>
      </w:pPr>
      <w:r>
        <w:rPr>
          <w:rStyle w:val="FootnoteReference"/>
        </w:rPr>
        <w:footnoteRef/>
      </w:r>
      <w:r>
        <w:t xml:space="preserve"> </w:t>
      </w:r>
      <w:r>
        <w:t xml:space="preserve">Verified fact — A5-S069: Kimi K3 Tech Blog; Kimi K3 API quickstart and pricing; moonshotai/Kimi-K3 LICENSE (Hugging Face) (Moonshot AI)</w:t>
      </w:r>
      <w:r>
        <w:t xml:space="preserve"> </w:t>
      </w:r>
      <w:hyperlink r:id="rId1711">
        <w:r>
          <w:rPr>
            <w:rStyle w:val="Hyperlink"/>
          </w:rPr>
          <w:t xml:space="preserve">https://www.kimi.com/en/blog/kimi-k3</w:t>
        </w:r>
      </w:hyperlink>
      <w:r>
        <w:t xml:space="preserve"> </w:t>
      </w:r>
      <w:r>
        <w:t xml:space="preserve">accessed 2026-10-07 [search-tool extract]</w:t>
      </w:r>
    </w:p>
  </w:footnote>
  <w:footnote w:id="1715">
    <w:p>
      <w:pPr>
        <w:pStyle w:val="FootnoteText"/>
      </w:pPr>
      <w:r>
        <w:rPr>
          <w:rStyle w:val="FootnoteReference"/>
        </w:rPr>
        <w:footnoteRef/>
      </w:r>
      <w:r>
        <w:t xml:space="preserve"> </w:t>
      </w:r>
      <w:r>
        <w:t xml:space="preserve">Verified fact — A5-S086: Introducing Kimi K3 on Amazon Bedrock; GLM 5.3 GA on Amazon Bedrock (Oct 2026); Bedrock model cards (GLM 5, DeepSeek, Qwen3) (AWS)</w:t>
      </w:r>
      <w:r>
        <w:t xml:space="preserve"> </w:t>
      </w:r>
      <w:hyperlink r:id="rId1665">
        <w:r>
          <w:rPr>
            <w:rStyle w:val="Hyperlink"/>
          </w:rPr>
          <w:t xml:space="preserve">https://aws.amazon.com/blogs/machine-learning/introducing-kimi-k3-on-amazon-bedrock/</w:t>
        </w:r>
      </w:hyperlink>
      <w:r>
        <w:t xml:space="preserve"> </w:t>
      </w:r>
      <w:r>
        <w:t xml:space="preserve">accessed 2026-10-07 [search-tool extract]; A5-S087: Introducing DeepSeek V4 Flash and V4 Pro in Microsoft Foundry; Foundry Models sold by Azure; Data, privacy, and security for Foundry Models sold by Azure; Bring</w:t>
      </w:r>
      <w:r>
        <w:t xml:space="preserve"> </w:t>
      </w:r>
      <w:hyperlink r:id="rId1633">
        <w:r>
          <w:rPr>
            <w:rStyle w:val="Hyperlink"/>
          </w:rPr>
          <w:t xml:space="preserve">https://techcommunity.microsoft.com/blog/azure-ai-foundry-blog/introducing-deepseek-v4-flash-and-v4-pro-in-microsoft-foundry/4515174</w:t>
        </w:r>
      </w:hyperlink>
      <w:r>
        <w:t xml:space="preserve"> </w:t>
      </w:r>
      <w:r>
        <w:t xml:space="preserve">accessed 2026-10-07 [search-tool extract]</w:t>
      </w:r>
    </w:p>
  </w:footnote>
  <w:footnote w:id="1716">
    <w:p>
      <w:pPr>
        <w:pStyle w:val="FootnoteText"/>
      </w:pPr>
      <w:r>
        <w:rPr>
          <w:rStyle w:val="FootnoteReference"/>
        </w:rPr>
        <w:footnoteRef/>
      </w:r>
      <w:r>
        <w:t xml:space="preserve"> </w:t>
      </w:r>
      <w:r>
        <w:t xml:space="preserve">Verified fact — A5-S070: Kimi OpenPlatform Privacy Policy; Kimi API Data Security and Privacy Protection (Moonshot AI)</w:t>
      </w:r>
      <w:r>
        <w:t xml:space="preserve"> </w:t>
      </w:r>
      <w:hyperlink r:id="rId1717">
        <w:r>
          <w:rPr>
            <w:rStyle w:val="Hyperlink"/>
          </w:rPr>
          <w:t xml:space="preserve">https://platform.kimi.ai/docs/agreement/userprivacy</w:t>
        </w:r>
      </w:hyperlink>
      <w:r>
        <w:t xml:space="preserve"> </w:t>
      </w:r>
      <w:r>
        <w:t xml:space="preserve">accessed 2026-10-07 [search-tool extract]</w:t>
      </w:r>
    </w:p>
  </w:footnote>
  <w:footnote w:id="1718">
    <w:p>
      <w:pPr>
        <w:pStyle w:val="FootnoteText"/>
      </w:pPr>
      <w:r>
        <w:rPr>
          <w:rStyle w:val="FootnoteReference"/>
        </w:rPr>
        <w:footnoteRef/>
      </w:r>
      <w:r>
        <w:t xml:space="preserve"> </w:t>
      </w:r>
      <w:r>
        <w:t xml:space="preserve">Verified fact — A5-S086: Introducing Kimi K3 on Amazon Bedrock; GLM 5.3 GA on Amazon Bedrock (Oct 2026); Bedrock model cards (GLM 5, DeepSeek, Qwen3) (AWS)</w:t>
      </w:r>
      <w:r>
        <w:t xml:space="preserve"> </w:t>
      </w:r>
      <w:hyperlink r:id="rId1665">
        <w:r>
          <w:rPr>
            <w:rStyle w:val="Hyperlink"/>
          </w:rPr>
          <w:t xml:space="preserve">https://aws.amazon.com/blogs/machine-learning/introducing-kimi-k3-on-amazon-bedrock/</w:t>
        </w:r>
      </w:hyperlink>
      <w:r>
        <w:t xml:space="preserve"> </w:t>
      </w:r>
      <w:r>
        <w:t xml:space="preserve">accessed 2026-10-07 [search-tool extract]; A5-S087: Introducing DeepSeek V4 Flash and V4 Pro in Microsoft Foundry; Foundry Models sold by Azure; Data, privacy, and security for Foundry Models sold by Azure; Bring</w:t>
      </w:r>
      <w:r>
        <w:t xml:space="preserve"> </w:t>
      </w:r>
      <w:hyperlink r:id="rId1633">
        <w:r>
          <w:rPr>
            <w:rStyle w:val="Hyperlink"/>
          </w:rPr>
          <w:t xml:space="preserve">https://techcommunity.microsoft.com/blog/azure-ai-foundry-blog/introducing-deepseek-v4-flash-and-v4-pro-in-microsoft-foundry/4515174</w:t>
        </w:r>
      </w:hyperlink>
      <w:r>
        <w:t xml:space="preserve"> </w:t>
      </w:r>
      <w:r>
        <w:t xml:space="preserve">accessed 2026-10-07 [search-tool extract]</w:t>
      </w:r>
    </w:p>
  </w:footnote>
  <w:footnote w:id="1719">
    <w:p>
      <w:pPr>
        <w:pStyle w:val="FootnoteText"/>
      </w:pPr>
      <w:r>
        <w:rPr>
          <w:rStyle w:val="FootnoteReference"/>
        </w:rPr>
        <w:footnoteRef/>
      </w:r>
      <w:r>
        <w:t xml:space="preserve"> </w:t>
      </w:r>
      <w:r>
        <w:t xml:space="preserve">Verified fact — A5-S069: Kimi K3 Tech Blog; Kimi K3 API quickstart and pricing; moonshotai/Kimi-K3 LICENSE (Hugging Face) (Moonshot AI)</w:t>
      </w:r>
      <w:r>
        <w:t xml:space="preserve"> </w:t>
      </w:r>
      <w:hyperlink r:id="rId1711">
        <w:r>
          <w:rPr>
            <w:rStyle w:val="Hyperlink"/>
          </w:rPr>
          <w:t xml:space="preserve">https://www.kimi.com/en/blog/kimi-k3</w:t>
        </w:r>
      </w:hyperlink>
      <w:r>
        <w:t xml:space="preserve"> </w:t>
      </w:r>
      <w:r>
        <w:t xml:space="preserve">accessed 2026-10-07 [search-tool extract]</w:t>
      </w:r>
    </w:p>
  </w:footnote>
  <w:footnote w:id="1720">
    <w:p>
      <w:pPr>
        <w:pStyle w:val="FootnoteText"/>
      </w:pPr>
      <w:r>
        <w:rPr>
          <w:rStyle w:val="FootnoteReference"/>
        </w:rPr>
        <w:footnoteRef/>
      </w:r>
      <w:r>
        <w:t xml:space="preserve"> </w:t>
      </w:r>
      <w:r>
        <w:t xml:space="preserve">Reported — V2-S015: Kimi K3 coverage (aiweekly, morphllm, Hugging Face community blog, cryptobriefing, ayautomate) (Various (secondary))</w:t>
      </w:r>
      <w:r>
        <w:t xml:space="preserve"> </w:t>
      </w:r>
      <w:hyperlink r:id="rId1713">
        <w:r>
          <w:rPr>
            <w:rStyle w:val="Hyperlink"/>
          </w:rPr>
          <w:t xml:space="preserve">https://huggingface.co/moonshotai/Kimi-K3</w:t>
        </w:r>
      </w:hyperlink>
      <w:r>
        <w:t xml:space="preserve"> </w:t>
      </w:r>
      <w:r>
        <w:t xml:space="preserve">accessed 2026-10-08 [search-tool extract]</w:t>
      </w:r>
    </w:p>
  </w:footnote>
  <w:footnote w:id="1721">
    <w:p>
      <w:pPr>
        <w:pStyle w:val="FootnoteText"/>
      </w:pPr>
      <w:r>
        <w:rPr>
          <w:rStyle w:val="FootnoteReference"/>
        </w:rPr>
        <w:footnoteRef/>
      </w:r>
      <w:r>
        <w:t xml:space="preserve"> </w:t>
      </w:r>
      <w:r>
        <w:t xml:space="preserve">Verified fact — A5-S051: UK AISI / CAISI Preliminary Assessment of Kimi K3’s Cyber Capabilities (July 2026); CAISI Evaluation of Kimi K2 Thinking (Dec 2025) (NIST CAISI and UK AI Security Institute)</w:t>
      </w:r>
      <w:r>
        <w:t xml:space="preserve"> </w:t>
      </w:r>
      <w:hyperlink r:id="rId1707">
        <w:r>
          <w:rPr>
            <w:rStyle w:val="Hyperlink"/>
          </w:rPr>
          <w:t xml:space="preserve">https://www.nist.gov/news-events/news/2026/07/uk-aisi-caisi-preliminary-assessment-kimi-k3s-cyber-capabilities</w:t>
        </w:r>
      </w:hyperlink>
      <w:r>
        <w:t xml:space="preserve"> </w:t>
      </w:r>
      <w:r>
        <w:t xml:space="preserve">accessed 2026-10-07 [search-tool extract]; V2-S021: CAISI’s Assessment of Z.ai’s GLM-5.3 Cyber Capabilities (with UK AISI / CAISI Preliminary Assessment of Kimi K3, July 2026) (NIST CAISI)</w:t>
      </w:r>
      <w:r>
        <w:t xml:space="preserve"> </w:t>
      </w:r>
      <w:hyperlink r:id="rId1659">
        <w:r>
          <w:rPr>
            <w:rStyle w:val="Hyperlink"/>
          </w:rPr>
          <w:t xml:space="preserve">https://www.nist.gov/news-events/news/2026/09/caisis-assessment-zais-glm-53-cyber-capabilities</w:t>
        </w:r>
      </w:hyperlink>
      <w:r>
        <w:t xml:space="preserve"> </w:t>
      </w:r>
      <w:r>
        <w:t xml:space="preserve">accessed 2026-10-08 [search-tool extract]</w:t>
      </w:r>
    </w:p>
  </w:footnote>
  <w:footnote w:id="1722">
    <w:p>
      <w:pPr>
        <w:pStyle w:val="FootnoteText"/>
      </w:pPr>
      <w:r>
        <w:rPr>
          <w:rStyle w:val="FootnoteReference"/>
        </w:rPr>
        <w:footnoteRef/>
      </w:r>
      <w:r>
        <w:t xml:space="preserve"> </w:t>
      </w:r>
      <w:r>
        <w:t xml:space="preserve">Verified fact — A5-S046: Detecting and preventing distillation attacks (Anthropic)</w:t>
      </w:r>
      <w:r>
        <w:t xml:space="preserve"> </w:t>
      </w:r>
      <w:hyperlink r:id="rId1723">
        <w:r>
          <w:rPr>
            <w:rStyle w:val="Hyperlink"/>
          </w:rPr>
          <w:t xml:space="preserve">https://www.anthropic.com/news/detecting-and-preventing-distillation-attacks</w:t>
        </w:r>
      </w:hyperlink>
      <w:r>
        <w:t xml:space="preserve"> </w:t>
      </w:r>
      <w:r>
        <w:t xml:space="preserve">accessed 2026-10-07; V2-S022: Detecting and preventing distillation attacks (Anthropic)</w:t>
      </w:r>
      <w:r>
        <w:t xml:space="preserve"> </w:t>
      </w:r>
      <w:hyperlink r:id="rId1723">
        <w:r>
          <w:rPr>
            <w:rStyle w:val="Hyperlink"/>
          </w:rPr>
          <w:t xml:space="preserve">https://www.anthropic.com/news/detecting-and-preventing-distillation-attacks</w:t>
        </w:r>
      </w:hyperlink>
      <w:r>
        <w:t xml:space="preserve"> </w:t>
      </w:r>
      <w:r>
        <w:t xml:space="preserve">accessed 2026-10-08 [search-tool extract]</w:t>
      </w:r>
    </w:p>
  </w:footnote>
  <w:footnote w:id="1726">
    <w:p>
      <w:pPr>
        <w:pStyle w:val="FootnoteText"/>
      </w:pPr>
      <w:r>
        <w:rPr>
          <w:rStyle w:val="FootnoteReference"/>
        </w:rPr>
        <w:footnoteRef/>
      </w:r>
      <w:r>
        <w:t xml:space="preserve"> </w:t>
      </w:r>
      <w:r>
        <w:t xml:space="preserve">Verified fact — A6-S015: LiteLLM docs: MCP Overview, Agent Gateway (A2A), Caching, Budgets/Rate Limits, v1.89.0 release notes (BerriAI (LiteLLM))</w:t>
      </w:r>
      <w:r>
        <w:t xml:space="preserve"> </w:t>
      </w:r>
      <w:hyperlink r:id="rId1727">
        <w:r>
          <w:rPr>
            <w:rStyle w:val="Hyperlink"/>
          </w:rPr>
          <w:t xml:space="preserve">https://docs.litellm.ai/docs/mcp</w:t>
        </w:r>
      </w:hyperlink>
      <w:r>
        <w:t xml:space="preserve"> </w:t>
      </w:r>
      <w:r>
        <w:t xml:space="preserve">accessed 2026-10-07 [search-tool extract]</w:t>
      </w:r>
    </w:p>
  </w:footnote>
  <w:footnote w:id="1728">
    <w:p>
      <w:pPr>
        <w:pStyle w:val="FootnoteText"/>
      </w:pPr>
      <w:r>
        <w:rPr>
          <w:rStyle w:val="FootnoteReference"/>
        </w:rPr>
        <w:footnoteRef/>
      </w:r>
      <w:r>
        <w:t xml:space="preserve"> </w:t>
      </w:r>
      <w:r>
        <w:t xml:space="preserve">Verified fact — A6-S007: LiteLLM pricing / Enterprise / Audit Logs docs (BerriAI (LiteLLM))</w:t>
      </w:r>
      <w:r>
        <w:t xml:space="preserve"> </w:t>
      </w:r>
      <w:hyperlink r:id="rId1729">
        <w:r>
          <w:rPr>
            <w:rStyle w:val="Hyperlink"/>
          </w:rPr>
          <w:t xml:space="preserve">https://www.litellm.ai/pricing</w:t>
        </w:r>
      </w:hyperlink>
      <w:r>
        <w:t xml:space="preserve"> </w:t>
      </w:r>
      <w:r>
        <w:t xml:space="preserve">accessed 2026-10-07 [search-tool extract]; A6-S051: LiteLLM README (GitHub) (BerriAI (LiteLLM))</w:t>
      </w:r>
      <w:r>
        <w:t xml:space="preserve"> </w:t>
      </w:r>
      <w:hyperlink r:id="rId1730">
        <w:r>
          <w:rPr>
            <w:rStyle w:val="Hyperlink"/>
          </w:rPr>
          <w:t xml:space="preserve">https://raw.githubusercontent.com/BerriAI/litellm/main/README.md</w:t>
        </w:r>
      </w:hyperlink>
      <w:r>
        <w:t xml:space="preserve"> </w:t>
      </w:r>
      <w:r>
        <w:t xml:space="preserve">accessed 2026-10-07</w:t>
      </w:r>
    </w:p>
  </w:footnote>
  <w:footnote w:id="1731">
    <w:p>
      <w:pPr>
        <w:pStyle w:val="FootnoteText"/>
      </w:pPr>
      <w:r>
        <w:rPr>
          <w:rStyle w:val="FootnoteReference"/>
        </w:rPr>
        <w:footnoteRef/>
      </w:r>
      <w:r>
        <w:t xml:space="preserve"> </w:t>
      </w:r>
      <w:r>
        <w:t xml:space="preserve">Verified fact — A6-S108: Our Updated SOC 2 Type 2 Report Is Available; LiteLLM + Vanta: SOC 2 Type 2 and ISO 27001 Recertification; Data Privacy and Security; Trust Center (BerriAI (LiteLLM))</w:t>
      </w:r>
      <w:r>
        <w:t xml:space="preserve"> </w:t>
      </w:r>
      <w:hyperlink r:id="rId1732">
        <w:r>
          <w:rPr>
            <w:rStyle w:val="Hyperlink"/>
          </w:rPr>
          <w:t xml:space="preserve">https://docs.litellm.ai/blog/soc2-type-2-report</w:t>
        </w:r>
      </w:hyperlink>
      <w:r>
        <w:t xml:space="preserve"> </w:t>
      </w:r>
      <w:r>
        <w:t xml:space="preserve">accessed 2026-10-07 [search-tool extract]</w:t>
      </w:r>
    </w:p>
  </w:footnote>
  <w:footnote w:id="1733">
    <w:p>
      <w:pPr>
        <w:pStyle w:val="FootnoteText"/>
      </w:pPr>
      <w:r>
        <w:rPr>
          <w:rStyle w:val="FootnoteReference"/>
        </w:rPr>
        <w:footnoteRef/>
      </w:r>
      <w:r>
        <w:t xml:space="preserve"> </w:t>
      </w:r>
      <w:r>
        <w:t xml:space="preserve">Verified fact — A6-S008: Security Update: Suspected Supply Chain Incident (and Security Townhall Updates) (BerriAI (LiteLLM))</w:t>
      </w:r>
      <w:r>
        <w:t xml:space="preserve"> </w:t>
      </w:r>
      <w:hyperlink r:id="rId1734">
        <w:r>
          <w:rPr>
            <w:rStyle w:val="Hyperlink"/>
          </w:rPr>
          <w:t xml:space="preserve">https://docs.litellm.ai/blog/security-update-march-2026</w:t>
        </w:r>
      </w:hyperlink>
      <w:r>
        <w:t xml:space="preserve"> </w:t>
      </w:r>
      <w:r>
        <w:t xml:space="preserve">accessed 2026-10-07 [search-tool extract]; A6-S009: v1.83.0 - Official Release (Post Supply Chain Incident) (BerriAI (LiteLLM))</w:t>
      </w:r>
      <w:r>
        <w:t xml:space="preserve"> </w:t>
      </w:r>
      <w:hyperlink r:id="rId1735">
        <w:r>
          <w:rPr>
            <w:rStyle w:val="Hyperlink"/>
          </w:rPr>
          <w:t xml:space="preserve">https://docs.litellm.ai/release_notes/v1.83.0/v1-83-0</w:t>
        </w:r>
      </w:hyperlink>
      <w:r>
        <w:t xml:space="preserve"> </w:t>
      </w:r>
      <w:r>
        <w:t xml:space="preserve">accessed 2026-10-07 [search-tool extract]</w:t>
      </w:r>
    </w:p>
  </w:footnote>
  <w:footnote w:id="1736">
    <w:p>
      <w:pPr>
        <w:pStyle w:val="FootnoteText"/>
      </w:pPr>
      <w:r>
        <w:rPr>
          <w:rStyle w:val="FootnoteReference"/>
        </w:rPr>
        <w:footnoteRef/>
      </w:r>
      <w:r>
        <w:t xml:space="preserve"> </w:t>
      </w:r>
      <w:r>
        <w:t xml:space="preserve">Verified fact — A6-S007: LiteLLM pricing / Enterprise / Audit Logs docs (BerriAI (LiteLLM))</w:t>
      </w:r>
      <w:r>
        <w:t xml:space="preserve"> </w:t>
      </w:r>
      <w:hyperlink r:id="rId1729">
        <w:r>
          <w:rPr>
            <w:rStyle w:val="Hyperlink"/>
          </w:rPr>
          <w:t xml:space="preserve">https://www.litellm.ai/pricing</w:t>
        </w:r>
      </w:hyperlink>
      <w:r>
        <w:t xml:space="preserve"> </w:t>
      </w:r>
      <w:r>
        <w:t xml:space="preserve">accessed 2026-10-07 [search-tool extract]; A6-S022: Guidance for Multi-Provider Generative AI Gateway on AWS; Implementing resilience patterns with Amazon Bedrock and LLM gateway (Amazon Web Services)</w:t>
      </w:r>
      <w:r>
        <w:t xml:space="preserve"> </w:t>
      </w:r>
      <w:hyperlink r:id="rId1737">
        <w:r>
          <w:rPr>
            <w:rStyle w:val="Hyperlink"/>
          </w:rPr>
          <w:t xml:space="preserve">https://aws.amazon.com/solutions/guidance/multi-provider-generative-ai-gateway-on-aws/</w:t>
        </w:r>
      </w:hyperlink>
      <w:r>
        <w:t xml:space="preserve"> </w:t>
      </w:r>
      <w:r>
        <w:t xml:space="preserve">accessed 2026-10-07 [search-tool extract]; A6-S051: LiteLLM README (GitHub) (BerriAI (LiteLLM))</w:t>
      </w:r>
      <w:r>
        <w:t xml:space="preserve"> </w:t>
      </w:r>
      <w:hyperlink r:id="rId1730">
        <w:r>
          <w:rPr>
            <w:rStyle w:val="Hyperlink"/>
          </w:rPr>
          <w:t xml:space="preserve">https://raw.githubusercontent.com/BerriAI/litellm/main/README.md</w:t>
        </w:r>
      </w:hyperlink>
      <w:r>
        <w:t xml:space="preserve"> </w:t>
      </w:r>
      <w:r>
        <w:t xml:space="preserve">accessed 2026-10-07</w:t>
      </w:r>
    </w:p>
  </w:footnote>
  <w:footnote w:id="1738">
    <w:p>
      <w:pPr>
        <w:pStyle w:val="FootnoteText"/>
      </w:pPr>
      <w:r>
        <w:rPr>
          <w:rStyle w:val="FootnoteReference"/>
        </w:rPr>
        <w:footnoteRef/>
      </w:r>
      <w:r>
        <w:t xml:space="preserve"> </w:t>
      </w:r>
      <w:r>
        <w:t xml:space="preserve">Verified fact — A6-S015: LiteLLM docs: MCP Overview, Agent Gateway (A2A), Caching, Budgets/Rate Limits, v1.89.0 release notes (BerriAI (LiteLLM))</w:t>
      </w:r>
      <w:r>
        <w:t xml:space="preserve"> </w:t>
      </w:r>
      <w:hyperlink r:id="rId1727">
        <w:r>
          <w:rPr>
            <w:rStyle w:val="Hyperlink"/>
          </w:rPr>
          <w:t xml:space="preserve">https://docs.litellm.ai/docs/mcp</w:t>
        </w:r>
      </w:hyperlink>
      <w:r>
        <w:t xml:space="preserve"> </w:t>
      </w:r>
      <w:r>
        <w:t xml:space="preserve">accessed 2026-10-07 [search-tool extract]; A6-S022: Guidance for Multi-Provider Generative AI Gateway on AWS; Implementing resilience patterns with Amazon Bedrock and LLM gateway (Amazon Web Services)</w:t>
      </w:r>
      <w:r>
        <w:t xml:space="preserve"> </w:t>
      </w:r>
      <w:hyperlink r:id="rId1737">
        <w:r>
          <w:rPr>
            <w:rStyle w:val="Hyperlink"/>
          </w:rPr>
          <w:t xml:space="preserve">https://aws.amazon.com/solutions/guidance/multi-provider-generative-ai-gateway-on-aws/</w:t>
        </w:r>
      </w:hyperlink>
      <w:r>
        <w:t xml:space="preserve"> </w:t>
      </w:r>
      <w:r>
        <w:t xml:space="preserve">accessed 2026-10-07 [search-tool extract]</w:t>
      </w:r>
    </w:p>
  </w:footnote>
  <w:footnote w:id="1739">
    <w:p>
      <w:pPr>
        <w:pStyle w:val="FootnoteText"/>
      </w:pPr>
      <w:r>
        <w:rPr>
          <w:rStyle w:val="FootnoteReference"/>
        </w:rPr>
        <w:footnoteRef/>
      </w:r>
      <w:r>
        <w:t xml:space="preserve"> </w:t>
      </w:r>
      <w:r>
        <w:t xml:space="preserve">Verified fact — A6-S001: litellm - PyPI JSON metadata (Python Package Index)</w:t>
      </w:r>
      <w:r>
        <w:t xml:space="preserve"> </w:t>
      </w:r>
      <w:hyperlink r:id="rId1740">
        <w:r>
          <w:rPr>
            <w:rStyle w:val="Hyperlink"/>
          </w:rPr>
          <w:t xml:space="preserve">https://pypi.org/pypi/litellm/json</w:t>
        </w:r>
      </w:hyperlink>
      <w:r>
        <w:t xml:space="preserve"> </w:t>
      </w:r>
      <w:r>
        <w:t xml:space="preserve">accessed 2026-10-07</w:t>
      </w:r>
    </w:p>
  </w:footnote>
  <w:footnote w:id="1741">
    <w:p>
      <w:pPr>
        <w:pStyle w:val="FootnoteText"/>
      </w:pPr>
      <w:r>
        <w:rPr>
          <w:rStyle w:val="FootnoteReference"/>
        </w:rPr>
        <w:footnoteRef/>
      </w:r>
      <w:r>
        <w:t xml:space="preserve"> </w:t>
      </w:r>
      <w:r>
        <w:t xml:space="preserve">Verified fact — A6-S008: Security Update: Suspected Supply Chain Incident (and Security Townhall Updates) (BerriAI (LiteLLM))</w:t>
      </w:r>
      <w:r>
        <w:t xml:space="preserve"> </w:t>
      </w:r>
      <w:hyperlink r:id="rId1734">
        <w:r>
          <w:rPr>
            <w:rStyle w:val="Hyperlink"/>
          </w:rPr>
          <w:t xml:space="preserve">https://docs.litellm.ai/blog/security-update-march-2026</w:t>
        </w:r>
      </w:hyperlink>
      <w:r>
        <w:t xml:space="preserve"> </w:t>
      </w:r>
      <w:r>
        <w:t xml:space="preserve">accessed 2026-10-07 [search-tool extract]; A6-S015: LiteLLM docs: MCP Overview, Agent Gateway (A2A), Caching, Budgets/Rate Limits, v1.89.0 release notes (BerriAI (LiteLLM))</w:t>
      </w:r>
      <w:r>
        <w:t xml:space="preserve"> </w:t>
      </w:r>
      <w:hyperlink r:id="rId1727">
        <w:r>
          <w:rPr>
            <w:rStyle w:val="Hyperlink"/>
          </w:rPr>
          <w:t xml:space="preserve">https://docs.litellm.ai/docs/mcp</w:t>
        </w:r>
      </w:hyperlink>
      <w:r>
        <w:t xml:space="preserve"> </w:t>
      </w:r>
      <w:r>
        <w:t xml:space="preserve">accessed 2026-10-07 [search-tool extract]</w:t>
      </w:r>
    </w:p>
  </w:footnote>
  <w:footnote w:id="1742">
    <w:p>
      <w:pPr>
        <w:pStyle w:val="FootnoteText"/>
      </w:pPr>
      <w:r>
        <w:rPr>
          <w:rStyle w:val="FootnoteReference"/>
        </w:rPr>
        <w:footnoteRef/>
      </w:r>
      <w:r>
        <w:t xml:space="preserve"> </w:t>
      </w:r>
      <w:r>
        <w:t xml:space="preserve">Verified fact — A6-S007: LiteLLM pricing / Enterprise / Audit Logs docs (BerriAI (LiteLLM))</w:t>
      </w:r>
      <w:r>
        <w:t xml:space="preserve"> </w:t>
      </w:r>
      <w:hyperlink r:id="rId1729">
        <w:r>
          <w:rPr>
            <w:rStyle w:val="Hyperlink"/>
          </w:rPr>
          <w:t xml:space="preserve">https://www.litellm.ai/pricing</w:t>
        </w:r>
      </w:hyperlink>
      <w:r>
        <w:t xml:space="preserve"> </w:t>
      </w:r>
      <w:r>
        <w:t xml:space="preserve">accessed 2026-10-07 [search-tool extract]; A6-S015: LiteLLM docs: MCP Overview, Agent Gateway (A2A), Caching, Budgets/Rate Limits, v1.89.0 release notes (BerriAI (LiteLLM))</w:t>
      </w:r>
      <w:r>
        <w:t xml:space="preserve"> </w:t>
      </w:r>
      <w:hyperlink r:id="rId1727">
        <w:r>
          <w:rPr>
            <w:rStyle w:val="Hyperlink"/>
          </w:rPr>
          <w:t xml:space="preserve">https://docs.litellm.ai/docs/mcp</w:t>
        </w:r>
      </w:hyperlink>
      <w:r>
        <w:t xml:space="preserve"> </w:t>
      </w:r>
      <w:r>
        <w:t xml:space="preserve">accessed 2026-10-07 [search-tool extract]</w:t>
      </w:r>
    </w:p>
  </w:footnote>
  <w:footnote w:id="1743">
    <w:p>
      <w:pPr>
        <w:pStyle w:val="FootnoteText"/>
      </w:pPr>
      <w:r>
        <w:rPr>
          <w:rStyle w:val="FootnoteReference"/>
        </w:rPr>
        <w:footnoteRef/>
      </w:r>
      <w:r>
        <w:t xml:space="preserve"> </w:t>
      </w:r>
      <w:r>
        <w:t xml:space="preserve">Verified fact — A6-S001: litellm - PyPI JSON metadata (Python Package Index)</w:t>
      </w:r>
      <w:r>
        <w:t xml:space="preserve"> </w:t>
      </w:r>
      <w:hyperlink r:id="rId1740">
        <w:r>
          <w:rPr>
            <w:rStyle w:val="Hyperlink"/>
          </w:rPr>
          <w:t xml:space="preserve">https://pypi.org/pypi/litellm/json</w:t>
        </w:r>
      </w:hyperlink>
      <w:r>
        <w:t xml:space="preserve"> </w:t>
      </w:r>
      <w:r>
        <w:t xml:space="preserve">accessed 2026-10-07; A6-S002: litellm-enterprise - PyPI JSON metadata (Python Package Index)</w:t>
      </w:r>
      <w:r>
        <w:t xml:space="preserve"> </w:t>
      </w:r>
      <w:hyperlink r:id="rId1744">
        <w:r>
          <w:rPr>
            <w:rStyle w:val="Hyperlink"/>
          </w:rPr>
          <w:t xml:space="preserve">https://pypi.org/pypi/litellm-enterprise/json</w:t>
        </w:r>
      </w:hyperlink>
      <w:r>
        <w:t xml:space="preserve"> </w:t>
      </w:r>
      <w:r>
        <w:t xml:space="preserve">accessed 2026-10-07</w:t>
      </w:r>
    </w:p>
  </w:footnote>
  <w:footnote w:id="1745">
    <w:p>
      <w:pPr>
        <w:pStyle w:val="FootnoteText"/>
      </w:pPr>
      <w:r>
        <w:rPr>
          <w:rStyle w:val="FootnoteReference"/>
        </w:rPr>
        <w:footnoteRef/>
      </w:r>
      <w:r>
        <w:t xml:space="preserve"> </w:t>
      </w:r>
      <w:r>
        <w:t xml:space="preserve">Verified fact — A6-S015: LiteLLM docs: MCP Overview, Agent Gateway (A2A), Caching, Budgets/Rate Limits, v1.89.0 release notes (BerriAI (LiteLLM))</w:t>
      </w:r>
      <w:r>
        <w:t xml:space="preserve"> </w:t>
      </w:r>
      <w:hyperlink r:id="rId1727">
        <w:r>
          <w:rPr>
            <w:rStyle w:val="Hyperlink"/>
          </w:rPr>
          <w:t xml:space="preserve">https://docs.litellm.ai/docs/mcp</w:t>
        </w:r>
      </w:hyperlink>
      <w:r>
        <w:t xml:space="preserve"> </w:t>
      </w:r>
      <w:r>
        <w:t xml:space="preserve">accessed 2026-10-07 [search-tool extract]; A6-S051: LiteLLM README (GitHub) (BerriAI (LiteLLM))</w:t>
      </w:r>
      <w:r>
        <w:t xml:space="preserve"> </w:t>
      </w:r>
      <w:hyperlink r:id="rId1730">
        <w:r>
          <w:rPr>
            <w:rStyle w:val="Hyperlink"/>
          </w:rPr>
          <w:t xml:space="preserve">https://raw.githubusercontent.com/BerriAI/litellm/main/README.md</w:t>
        </w:r>
      </w:hyperlink>
      <w:r>
        <w:t xml:space="preserve"> </w:t>
      </w:r>
      <w:r>
        <w:t xml:space="preserve">accessed 2026-10-07</w:t>
      </w:r>
    </w:p>
  </w:footnote>
  <w:footnote w:id="1746">
    <w:p>
      <w:pPr>
        <w:pStyle w:val="FootnoteText"/>
      </w:pPr>
      <w:r>
        <w:rPr>
          <w:rStyle w:val="FootnoteReference"/>
        </w:rPr>
        <w:footnoteRef/>
      </w:r>
      <w:r>
        <w:t xml:space="preserve"> </w:t>
      </w:r>
      <w:r>
        <w:t xml:space="preserve">Verified fact — A6-S015: LiteLLM docs: MCP Overview, Agent Gateway (A2A), Caching, Budgets/Rate Limits, v1.89.0 release notes (BerriAI (LiteLLM))</w:t>
      </w:r>
      <w:r>
        <w:t xml:space="preserve"> </w:t>
      </w:r>
      <w:hyperlink r:id="rId1727">
        <w:r>
          <w:rPr>
            <w:rStyle w:val="Hyperlink"/>
          </w:rPr>
          <w:t xml:space="preserve">https://docs.litellm.ai/docs/mcp</w:t>
        </w:r>
      </w:hyperlink>
      <w:r>
        <w:t xml:space="preserve"> </w:t>
      </w:r>
      <w:r>
        <w:t xml:space="preserve">accessed 2026-10-07 [search-tool extract]; A6-S022: Guidance for Multi-Provider Generative AI Gateway on AWS; Implementing resilience patterns with Amazon Bedrock and LLM gateway (Amazon Web Services)</w:t>
      </w:r>
      <w:r>
        <w:t xml:space="preserve"> </w:t>
      </w:r>
      <w:hyperlink r:id="rId1737">
        <w:r>
          <w:rPr>
            <w:rStyle w:val="Hyperlink"/>
          </w:rPr>
          <w:t xml:space="preserve">https://aws.amazon.com/solutions/guidance/multi-provider-generative-ai-gateway-on-aws/</w:t>
        </w:r>
      </w:hyperlink>
      <w:r>
        <w:t xml:space="preserve"> </w:t>
      </w:r>
      <w:r>
        <w:t xml:space="preserve">accessed 2026-10-07 [search-tool extract]</w:t>
      </w:r>
    </w:p>
  </w:footnote>
  <w:footnote w:id="1747">
    <w:p>
      <w:pPr>
        <w:pStyle w:val="FootnoteText"/>
      </w:pPr>
      <w:r>
        <w:rPr>
          <w:rStyle w:val="FootnoteReference"/>
        </w:rPr>
        <w:footnoteRef/>
      </w:r>
      <w:r>
        <w:t xml:space="preserve"> </w:t>
      </w:r>
      <w:r>
        <w:t xml:space="preserve">Verified fact — A6-S015: LiteLLM docs: MCP Overview, Agent Gateway (A2A), Caching, Budgets/Rate Limits, v1.89.0 release notes (BerriAI (LiteLLM))</w:t>
      </w:r>
      <w:r>
        <w:t xml:space="preserve"> </w:t>
      </w:r>
      <w:hyperlink r:id="rId1727">
        <w:r>
          <w:rPr>
            <w:rStyle w:val="Hyperlink"/>
          </w:rPr>
          <w:t xml:space="preserve">https://docs.litellm.ai/docs/mcp</w:t>
        </w:r>
      </w:hyperlink>
      <w:r>
        <w:t xml:space="preserve"> </w:t>
      </w:r>
      <w:r>
        <w:t xml:space="preserve">accessed 2026-10-07 [search-tool extract]</w:t>
      </w:r>
    </w:p>
  </w:footnote>
  <w:footnote w:id="1748">
    <w:p>
      <w:pPr>
        <w:pStyle w:val="FootnoteText"/>
      </w:pPr>
      <w:r>
        <w:rPr>
          <w:rStyle w:val="FootnoteReference"/>
        </w:rPr>
        <w:footnoteRef/>
      </w:r>
      <w:r>
        <w:t xml:space="preserve"> </w:t>
      </w:r>
      <w:r>
        <w:t xml:space="preserve">Verified fact — A6-S001: litellm - PyPI JSON metadata (Python Package Index)</w:t>
      </w:r>
      <w:r>
        <w:t xml:space="preserve"> </w:t>
      </w:r>
      <w:hyperlink r:id="rId1740">
        <w:r>
          <w:rPr>
            <w:rStyle w:val="Hyperlink"/>
          </w:rPr>
          <w:t xml:space="preserve">https://pypi.org/pypi/litellm/json</w:t>
        </w:r>
      </w:hyperlink>
      <w:r>
        <w:t xml:space="preserve"> </w:t>
      </w:r>
      <w:r>
        <w:t xml:space="preserve">accessed 2026-10-07; A6-S015: LiteLLM docs: MCP Overview, Agent Gateway (A2A), Caching, Budgets/Rate Limits, v1.89.0 release notes (BerriAI (LiteLLM))</w:t>
      </w:r>
      <w:r>
        <w:t xml:space="preserve"> </w:t>
      </w:r>
      <w:hyperlink r:id="rId1727">
        <w:r>
          <w:rPr>
            <w:rStyle w:val="Hyperlink"/>
          </w:rPr>
          <w:t xml:space="preserve">https://docs.litellm.ai/docs/mcp</w:t>
        </w:r>
      </w:hyperlink>
      <w:r>
        <w:t xml:space="preserve"> </w:t>
      </w:r>
      <w:r>
        <w:t xml:space="preserve">accessed 2026-10-07 [search-tool extract]</w:t>
      </w:r>
    </w:p>
  </w:footnote>
  <w:footnote w:id="1749">
    <w:p>
      <w:pPr>
        <w:pStyle w:val="FootnoteText"/>
      </w:pPr>
      <w:r>
        <w:rPr>
          <w:rStyle w:val="FootnoteReference"/>
        </w:rPr>
        <w:footnoteRef/>
      </w:r>
      <w:r>
        <w:t xml:space="preserve"> </w:t>
      </w:r>
      <w:r>
        <w:t xml:space="preserve">Verified fact — A6-S008: Security Update: Suspected Supply Chain Incident (and Security Townhall Updates) (BerriAI (LiteLLM))</w:t>
      </w:r>
      <w:r>
        <w:t xml:space="preserve"> </w:t>
      </w:r>
      <w:hyperlink r:id="rId1734">
        <w:r>
          <w:rPr>
            <w:rStyle w:val="Hyperlink"/>
          </w:rPr>
          <w:t xml:space="preserve">https://docs.litellm.ai/blog/security-update-march-2026</w:t>
        </w:r>
      </w:hyperlink>
      <w:r>
        <w:t xml:space="preserve"> </w:t>
      </w:r>
      <w:r>
        <w:t xml:space="preserve">accessed 2026-10-07 [search-tool extract]; A6-S009: v1.83.0 - Official Release (Post Supply Chain Incident) (BerriAI (LiteLLM))</w:t>
      </w:r>
      <w:r>
        <w:t xml:space="preserve"> </w:t>
      </w:r>
      <w:hyperlink r:id="rId1735">
        <w:r>
          <w:rPr>
            <w:rStyle w:val="Hyperlink"/>
          </w:rPr>
          <w:t xml:space="preserve">https://docs.litellm.ai/release_notes/v1.83.0/v1-83-0</w:t>
        </w:r>
      </w:hyperlink>
      <w:r>
        <w:t xml:space="preserve"> </w:t>
      </w:r>
      <w:r>
        <w:t xml:space="preserve">accessed 2026-10-07 [search-tool extract]; V2-S027: LiteLLM PyPI supply chain attack (with NetSPI, Comet, Snyk/Datadog reporting) (FutureSearch)</w:t>
      </w:r>
      <w:r>
        <w:t xml:space="preserve"> </w:t>
      </w:r>
      <w:hyperlink r:id="rId1750">
        <w:r>
          <w:rPr>
            <w:rStyle w:val="Hyperlink"/>
          </w:rPr>
          <w:t xml:space="preserve">https://futuresearch.ai/blog/litellm-pypi-supply-chain-attack/</w:t>
        </w:r>
      </w:hyperlink>
      <w:r>
        <w:t xml:space="preserve"> </w:t>
      </w:r>
      <w:r>
        <w:t xml:space="preserve">accessed 2026-10-08 [search-tool extract]; V2-S028: PyPI JSON API: litellm, guardrails-ai, presidio-analyzer, nemoguardrails, llamafirewall, langfuse, promptfoo, modelscan, picklescan, fickling, safetensors, mode</w:t>
      </w:r>
      <w:r>
        <w:t xml:space="preserve"> </w:t>
      </w:r>
      <w:hyperlink r:id="rId1740">
        <w:r>
          <w:rPr>
            <w:rStyle w:val="Hyperlink"/>
          </w:rPr>
          <w:t xml:space="preserve">https://pypi.org/pypi/litellm/json</w:t>
        </w:r>
      </w:hyperlink>
      <w:r>
        <w:t xml:space="preserve"> </w:t>
      </w:r>
      <w:r>
        <w:t xml:space="preserve">accessed 2026-10-08 [search-tool extract]</w:t>
      </w:r>
    </w:p>
  </w:footnote>
  <w:footnote w:id="1751">
    <w:p>
      <w:pPr>
        <w:pStyle w:val="FootnoteText"/>
      </w:pPr>
      <w:r>
        <w:rPr>
          <w:rStyle w:val="FootnoteReference"/>
        </w:rPr>
        <w:footnoteRef/>
      </w:r>
      <w:r>
        <w:t xml:space="preserve"> </w:t>
      </w:r>
      <w:r>
        <w:t xml:space="preserve">Verified fact — A6-S015: LiteLLM docs: MCP Overview, Agent Gateway (A2A), Caching, Budgets/Rate Limits, v1.89.0 release notes (BerriAI (LiteLLM))</w:t>
      </w:r>
      <w:r>
        <w:t xml:space="preserve"> </w:t>
      </w:r>
      <w:hyperlink r:id="rId1727">
        <w:r>
          <w:rPr>
            <w:rStyle w:val="Hyperlink"/>
          </w:rPr>
          <w:t xml:space="preserve">https://docs.litellm.ai/docs/mcp</w:t>
        </w:r>
      </w:hyperlink>
      <w:r>
        <w:t xml:space="preserve"> </w:t>
      </w:r>
      <w:r>
        <w:t xml:space="preserve">accessed 2026-10-07 [search-tool extract]</w:t>
      </w:r>
    </w:p>
  </w:footnote>
  <w:footnote w:id="1752">
    <w:p>
      <w:pPr>
        <w:pStyle w:val="FootnoteText"/>
      </w:pPr>
      <w:r>
        <w:rPr>
          <w:rStyle w:val="FootnoteReference"/>
        </w:rPr>
        <w:footnoteRef/>
      </w:r>
      <w:r>
        <w:t xml:space="preserve"> </w:t>
      </w:r>
      <w:r>
        <w:t xml:space="preserve">Verified fact — A6-S007: LiteLLM pricing / Enterprise / Audit Logs docs (BerriAI (LiteLLM))</w:t>
      </w:r>
      <w:r>
        <w:t xml:space="preserve"> </w:t>
      </w:r>
      <w:hyperlink r:id="rId1729">
        <w:r>
          <w:rPr>
            <w:rStyle w:val="Hyperlink"/>
          </w:rPr>
          <w:t xml:space="preserve">https://www.litellm.ai/pricing</w:t>
        </w:r>
      </w:hyperlink>
      <w:r>
        <w:t xml:space="preserve"> </w:t>
      </w:r>
      <w:r>
        <w:t xml:space="preserve">accessed 2026-10-07 [search-tool extract]</w:t>
      </w:r>
    </w:p>
  </w:footnote>
  <w:footnote w:id="1753">
    <w:p>
      <w:pPr>
        <w:pStyle w:val="FootnoteText"/>
      </w:pPr>
      <w:r>
        <w:rPr>
          <w:rStyle w:val="FootnoteReference"/>
        </w:rPr>
        <w:footnoteRef/>
      </w:r>
      <w:r>
        <w:t xml:space="preserve"> </w:t>
      </w:r>
      <w:r>
        <w:t xml:space="preserve">Verified fact — A6-S108: Our Updated SOC 2 Type 2 Report Is Available; LiteLLM + Vanta: SOC 2 Type 2 and ISO 27001 Recertification; Data Privacy and Security; Trust Center (BerriAI (LiteLLM))</w:t>
      </w:r>
      <w:r>
        <w:t xml:space="preserve"> </w:t>
      </w:r>
      <w:hyperlink r:id="rId1732">
        <w:r>
          <w:rPr>
            <w:rStyle w:val="Hyperlink"/>
          </w:rPr>
          <w:t xml:space="preserve">https://docs.litellm.ai/blog/soc2-type-2-report</w:t>
        </w:r>
      </w:hyperlink>
      <w:r>
        <w:t xml:space="preserve"> </w:t>
      </w:r>
      <w:r>
        <w:t xml:space="preserve">accessed 2026-10-07 [search-tool extract]</w:t>
      </w:r>
    </w:p>
  </w:footnote>
  <w:footnote w:id="1755">
    <w:p>
      <w:pPr>
        <w:pStyle w:val="FootnoteText"/>
      </w:pPr>
      <w:r>
        <w:rPr>
          <w:rStyle w:val="FootnoteReference"/>
        </w:rPr>
        <w:footnoteRef/>
      </w:r>
      <w:r>
        <w:t xml:space="preserve"> </w:t>
      </w:r>
      <w:r>
        <w:t xml:space="preserve">Verified fact — A6-S016: Kong AI Gateway 2.0 Is Now GA — And It’s Already Moving Faster (Kong Inc.)</w:t>
      </w:r>
      <w:r>
        <w:t xml:space="preserve"> </w:t>
      </w:r>
      <w:hyperlink r:id="rId1756">
        <w:r>
          <w:rPr>
            <w:rStyle w:val="Hyperlink"/>
          </w:rPr>
          <w:t xml:space="preserve">https://konghq.com/blog/product-releases/kong-ai-gateway-2-0-ga</w:t>
        </w:r>
      </w:hyperlink>
      <w:r>
        <w:t xml:space="preserve"> </w:t>
      </w:r>
      <w:r>
        <w:t xml:space="preserve">accessed 2026-10-07 [search-tool extract]; A6-S017: Kong AI Gateway changelog; Kong Gateway changelog; AI Proxy Advanced plugin docs (Kong Inc.)</w:t>
      </w:r>
      <w:r>
        <w:t xml:space="preserve"> </w:t>
      </w:r>
      <w:hyperlink r:id="rId1757">
        <w:r>
          <w:rPr>
            <w:rStyle w:val="Hyperlink"/>
          </w:rPr>
          <w:t xml:space="preserve">https://developer.konghq.com/ai-gateway/changelog/</w:t>
        </w:r>
      </w:hyperlink>
      <w:r>
        <w:t xml:space="preserve"> </w:t>
      </w:r>
      <w:r>
        <w:t xml:space="preserve">accessed 2026-10-07 [search-tool extract]</w:t>
      </w:r>
    </w:p>
  </w:footnote>
  <w:footnote w:id="1758">
    <w:p>
      <w:pPr>
        <w:pStyle w:val="FootnoteText"/>
      </w:pPr>
      <w:r>
        <w:rPr>
          <w:rStyle w:val="FootnoteReference"/>
        </w:rPr>
        <w:footnoteRef/>
      </w:r>
      <w:r>
        <w:t xml:space="preserve"> </w:t>
      </w:r>
      <w:r>
        <w:t xml:space="preserve">Verified fact — A6-S109: Kong Trust Center - Resources; Trust and Compliance at Kong (Kong Inc.)</w:t>
      </w:r>
      <w:r>
        <w:t xml:space="preserve"> </w:t>
      </w:r>
      <w:hyperlink r:id="rId1759">
        <w:r>
          <w:rPr>
            <w:rStyle w:val="Hyperlink"/>
          </w:rPr>
          <w:t xml:space="preserve">https://trust.konghq.com/resources</w:t>
        </w:r>
      </w:hyperlink>
      <w:r>
        <w:t xml:space="preserve"> </w:t>
      </w:r>
      <w:r>
        <w:t xml:space="preserve">accessed 2026-10-07 [search-tool extract]</w:t>
      </w:r>
    </w:p>
  </w:footnote>
  <w:footnote w:id="1760">
    <w:p>
      <w:pPr>
        <w:pStyle w:val="FootnoteText"/>
      </w:pPr>
      <w:r>
        <w:rPr>
          <w:rStyle w:val="FootnoteReference"/>
        </w:rPr>
        <w:footnoteRef/>
      </w:r>
      <w:r>
        <w:t xml:space="preserve"> </w:t>
      </w:r>
      <w:r>
        <w:t xml:space="preserve">Verified fact — A6-S018: Kong startup program page (compliance claims, deployment modes) (Kong Inc.)</w:t>
      </w:r>
      <w:r>
        <w:t xml:space="preserve"> </w:t>
      </w:r>
      <w:hyperlink r:id="rId1761">
        <w:r>
          <w:rPr>
            <w:rStyle w:val="Hyperlink"/>
          </w:rPr>
          <w:t xml:space="preserve">https://konghq.com/solutions/startup-program</w:t>
        </w:r>
      </w:hyperlink>
      <w:r>
        <w:t xml:space="preserve"> </w:t>
      </w:r>
      <w:r>
        <w:t xml:space="preserve">accessed 2026-10-07 [search-tool extract]</w:t>
      </w:r>
    </w:p>
  </w:footnote>
  <w:footnote w:id="1762">
    <w:p>
      <w:pPr>
        <w:pStyle w:val="FootnoteText"/>
      </w:pPr>
      <w:r>
        <w:rPr>
          <w:rStyle w:val="FootnoteReference"/>
        </w:rPr>
        <w:footnoteRef/>
      </w:r>
      <w:r>
        <w:t xml:space="preserve"> </w:t>
      </w:r>
      <w:r>
        <w:t xml:space="preserve">Verified fact — A6-S017: Kong AI Gateway changelog; Kong Gateway changelog; AI Proxy Advanced plugin docs (Kong Inc.)</w:t>
      </w:r>
      <w:r>
        <w:t xml:space="preserve"> </w:t>
      </w:r>
      <w:hyperlink r:id="rId1757">
        <w:r>
          <w:rPr>
            <w:rStyle w:val="Hyperlink"/>
          </w:rPr>
          <w:t xml:space="preserve">https://developer.konghq.com/ai-gateway/changelog/</w:t>
        </w:r>
      </w:hyperlink>
      <w:r>
        <w:t xml:space="preserve"> </w:t>
      </w:r>
      <w:r>
        <w:t xml:space="preserve">accessed 2026-10-07 [search-tool extract]; A6-S016: Kong AI Gateway 2.0 Is Now GA — And It’s Already Moving Faster (Kong Inc.)</w:t>
      </w:r>
      <w:r>
        <w:t xml:space="preserve"> </w:t>
      </w:r>
      <w:hyperlink r:id="rId1756">
        <w:r>
          <w:rPr>
            <w:rStyle w:val="Hyperlink"/>
          </w:rPr>
          <w:t xml:space="preserve">https://konghq.com/blog/product-releases/kong-ai-gateway-2-0-ga</w:t>
        </w:r>
      </w:hyperlink>
      <w:r>
        <w:t xml:space="preserve"> </w:t>
      </w:r>
      <w:r>
        <w:t xml:space="preserve">accessed 2026-10-07 [search-tool extract]</w:t>
      </w:r>
    </w:p>
  </w:footnote>
  <w:footnote w:id="1763">
    <w:p>
      <w:pPr>
        <w:pStyle w:val="FootnoteText"/>
      </w:pPr>
      <w:r>
        <w:rPr>
          <w:rStyle w:val="FootnoteReference"/>
        </w:rPr>
        <w:footnoteRef/>
      </w:r>
      <w:r>
        <w:t xml:space="preserve"> </w:t>
      </w:r>
      <w:r>
        <w:t xml:space="preserve">Verified fact — A6-S016: Kong AI Gateway 2.0 Is Now GA — And It’s Already Moving Faster (Kong Inc.)</w:t>
      </w:r>
      <w:r>
        <w:t xml:space="preserve"> </w:t>
      </w:r>
      <w:hyperlink r:id="rId1756">
        <w:r>
          <w:rPr>
            <w:rStyle w:val="Hyperlink"/>
          </w:rPr>
          <w:t xml:space="preserve">https://konghq.com/blog/product-releases/kong-ai-gateway-2-0-ga</w:t>
        </w:r>
      </w:hyperlink>
      <w:r>
        <w:t xml:space="preserve"> </w:t>
      </w:r>
      <w:r>
        <w:t xml:space="preserve">accessed 2026-10-07 [search-tool extract]; A6-S017: Kong AI Gateway changelog; Kong Gateway changelog; AI Proxy Advanced plugin docs (Kong Inc.)</w:t>
      </w:r>
      <w:r>
        <w:t xml:space="preserve"> </w:t>
      </w:r>
      <w:hyperlink r:id="rId1757">
        <w:r>
          <w:rPr>
            <w:rStyle w:val="Hyperlink"/>
          </w:rPr>
          <w:t xml:space="preserve">https://developer.konghq.com/ai-gateway/changelog/</w:t>
        </w:r>
      </w:hyperlink>
      <w:r>
        <w:t xml:space="preserve"> </w:t>
      </w:r>
      <w:r>
        <w:t xml:space="preserve">accessed 2026-10-07 [search-tool extract]; V2-S034: Kong AI Gateway 2.0 Is Now GA (with Kong press release 30 Sep 2026 on AI Gateway 2.2 GA)</w:t>
      </w:r>
      <w:r>
        <w:t xml:space="preserve"> </w:t>
      </w:r>
      <w:hyperlink r:id="rId1756">
        <w:r>
          <w:rPr>
            <w:rStyle w:val="Hyperlink"/>
          </w:rPr>
          <w:t xml:space="preserve">https://konghq.com/blog/product-releases/kong-ai-gateway-2-0-ga</w:t>
        </w:r>
      </w:hyperlink>
      <w:r>
        <w:t xml:space="preserve"> </w:t>
      </w:r>
      <w:r>
        <w:t xml:space="preserve">accessed 2026-10-08 [search-tool extract]</w:t>
      </w:r>
    </w:p>
  </w:footnote>
  <w:footnote w:id="1764">
    <w:p>
      <w:pPr>
        <w:pStyle w:val="FootnoteText"/>
      </w:pPr>
      <w:r>
        <w:rPr>
          <w:rStyle w:val="FootnoteReference"/>
        </w:rPr>
        <w:footnoteRef/>
      </w:r>
      <w:r>
        <w:t xml:space="preserve"> </w:t>
      </w:r>
      <w:r>
        <w:t xml:space="preserve">Verified fact — A6-S017: Kong AI Gateway changelog; Kong Gateway changelog; AI Proxy Advanced plugin docs (Kong Inc.)</w:t>
      </w:r>
      <w:r>
        <w:t xml:space="preserve"> </w:t>
      </w:r>
      <w:hyperlink r:id="rId1757">
        <w:r>
          <w:rPr>
            <w:rStyle w:val="Hyperlink"/>
          </w:rPr>
          <w:t xml:space="preserve">https://developer.konghq.com/ai-gateway/changelog/</w:t>
        </w:r>
      </w:hyperlink>
      <w:r>
        <w:t xml:space="preserve"> </w:t>
      </w:r>
      <w:r>
        <w:t xml:space="preserve">accessed 2026-10-07 [search-tool extract]; A6-S018: Kong startup program page (compliance claims, deployment modes) (Kong Inc.)</w:t>
      </w:r>
      <w:r>
        <w:t xml:space="preserve"> </w:t>
      </w:r>
      <w:hyperlink r:id="rId1761">
        <w:r>
          <w:rPr>
            <w:rStyle w:val="Hyperlink"/>
          </w:rPr>
          <w:t xml:space="preserve">https://konghq.com/solutions/startup-program</w:t>
        </w:r>
      </w:hyperlink>
      <w:r>
        <w:t xml:space="preserve"> </w:t>
      </w:r>
      <w:r>
        <w:t xml:space="preserve">accessed 2026-10-07 [search-tool extract]</w:t>
      </w:r>
    </w:p>
  </w:footnote>
  <w:footnote w:id="1765">
    <w:p>
      <w:pPr>
        <w:pStyle w:val="FootnoteText"/>
      </w:pPr>
      <w:r>
        <w:rPr>
          <w:rStyle w:val="FootnoteReference"/>
        </w:rPr>
        <w:footnoteRef/>
      </w:r>
      <w:r>
        <w:t xml:space="preserve"> </w:t>
      </w:r>
      <w:r>
        <w:t xml:space="preserve">Verified fact — A6-S017: Kong AI Gateway changelog; Kong Gateway changelog; AI Proxy Advanced plugin docs (Kong Inc.)</w:t>
      </w:r>
      <w:r>
        <w:t xml:space="preserve"> </w:t>
      </w:r>
      <w:hyperlink r:id="rId1757">
        <w:r>
          <w:rPr>
            <w:rStyle w:val="Hyperlink"/>
          </w:rPr>
          <w:t xml:space="preserve">https://developer.konghq.com/ai-gateway/changelog/</w:t>
        </w:r>
      </w:hyperlink>
      <w:r>
        <w:t xml:space="preserve"> </w:t>
      </w:r>
      <w:r>
        <w:t xml:space="preserve">accessed 2026-10-07 [search-tool extract]</w:t>
      </w:r>
    </w:p>
  </w:footnote>
  <w:footnote w:id="1766">
    <w:p>
      <w:pPr>
        <w:pStyle w:val="FootnoteText"/>
      </w:pPr>
      <w:r>
        <w:rPr>
          <w:rStyle w:val="FootnoteReference"/>
        </w:rPr>
        <w:footnoteRef/>
      </w:r>
      <w:r>
        <w:t xml:space="preserve"> </w:t>
      </w:r>
      <w:r>
        <w:t xml:space="preserve">Verified fact — A6-S016: Kong AI Gateway 2.0 Is Now GA — And It’s Already Moving Faster (Kong Inc.)</w:t>
      </w:r>
      <w:r>
        <w:t xml:space="preserve"> </w:t>
      </w:r>
      <w:hyperlink r:id="rId1756">
        <w:r>
          <w:rPr>
            <w:rStyle w:val="Hyperlink"/>
          </w:rPr>
          <w:t xml:space="preserve">https://konghq.com/blog/product-releases/kong-ai-gateway-2-0-ga</w:t>
        </w:r>
      </w:hyperlink>
      <w:r>
        <w:t xml:space="preserve"> </w:t>
      </w:r>
      <w:r>
        <w:t xml:space="preserve">accessed 2026-10-07 [search-tool extract]; A6-S017: Kong AI Gateway changelog; Kong Gateway changelog; AI Proxy Advanced plugin docs (Kong Inc.)</w:t>
      </w:r>
      <w:r>
        <w:t xml:space="preserve"> </w:t>
      </w:r>
      <w:hyperlink r:id="rId1757">
        <w:r>
          <w:rPr>
            <w:rStyle w:val="Hyperlink"/>
          </w:rPr>
          <w:t xml:space="preserve">https://developer.konghq.com/ai-gateway/changelog/</w:t>
        </w:r>
      </w:hyperlink>
      <w:r>
        <w:t xml:space="preserve"> </w:t>
      </w:r>
      <w:r>
        <w:t xml:space="preserve">accessed 2026-10-07 [search-tool extract]</w:t>
      </w:r>
    </w:p>
  </w:footnote>
  <w:footnote w:id="1767">
    <w:p>
      <w:pPr>
        <w:pStyle w:val="FootnoteText"/>
      </w:pPr>
      <w:r>
        <w:rPr>
          <w:rStyle w:val="FootnoteReference"/>
        </w:rPr>
        <w:footnoteRef/>
      </w:r>
      <w:r>
        <w:t xml:space="preserve"> </w:t>
      </w:r>
      <w:r>
        <w:t xml:space="preserve">Verified fact — A6-S016: Kong AI Gateway 2.0 Is Now GA — And It’s Already Moving Faster (Kong Inc.)</w:t>
      </w:r>
      <w:r>
        <w:t xml:space="preserve"> </w:t>
      </w:r>
      <w:hyperlink r:id="rId1756">
        <w:r>
          <w:rPr>
            <w:rStyle w:val="Hyperlink"/>
          </w:rPr>
          <w:t xml:space="preserve">https://konghq.com/blog/product-releases/kong-ai-gateway-2-0-ga</w:t>
        </w:r>
      </w:hyperlink>
      <w:r>
        <w:t xml:space="preserve"> </w:t>
      </w:r>
      <w:r>
        <w:t xml:space="preserve">accessed 2026-10-07 [search-tool extract]</w:t>
      </w:r>
    </w:p>
  </w:footnote>
  <w:footnote w:id="1768">
    <w:p>
      <w:pPr>
        <w:pStyle w:val="FootnoteText"/>
      </w:pPr>
      <w:r>
        <w:rPr>
          <w:rStyle w:val="FootnoteReference"/>
        </w:rPr>
        <w:footnoteRef/>
      </w:r>
      <w:r>
        <w:t xml:space="preserve"> </w:t>
      </w:r>
      <w:r>
        <w:t xml:space="preserve">Verified fact — A6-S109: Kong Trust Center - Resources; Trust and Compliance at Kong (Kong Inc.)</w:t>
      </w:r>
      <w:r>
        <w:t xml:space="preserve"> </w:t>
      </w:r>
      <w:hyperlink r:id="rId1759">
        <w:r>
          <w:rPr>
            <w:rStyle w:val="Hyperlink"/>
          </w:rPr>
          <w:t xml:space="preserve">https://trust.konghq.com/resources</w:t>
        </w:r>
      </w:hyperlink>
      <w:r>
        <w:t xml:space="preserve"> </w:t>
      </w:r>
      <w:r>
        <w:t xml:space="preserve">accessed 2026-10-07 [search-tool extract]</w:t>
      </w:r>
    </w:p>
  </w:footnote>
  <w:footnote w:id="1769">
    <w:p>
      <w:pPr>
        <w:pStyle w:val="FootnoteText"/>
      </w:pPr>
      <w:r>
        <w:rPr>
          <w:rStyle w:val="FootnoteReference"/>
        </w:rPr>
        <w:footnoteRef/>
      </w:r>
      <w:r>
        <w:t xml:space="preserve"> </w:t>
      </w:r>
      <w:r>
        <w:t xml:space="preserve">Verified fact — A6-S017: Kong AI Gateway changelog; Kong Gateway changelog; AI Proxy Advanced plugin docs (Kong Inc.)</w:t>
      </w:r>
      <w:r>
        <w:t xml:space="preserve"> </w:t>
      </w:r>
      <w:hyperlink r:id="rId1757">
        <w:r>
          <w:rPr>
            <w:rStyle w:val="Hyperlink"/>
          </w:rPr>
          <w:t xml:space="preserve">https://developer.konghq.com/ai-gateway/changelog/</w:t>
        </w:r>
      </w:hyperlink>
      <w:r>
        <w:t xml:space="preserve"> </w:t>
      </w:r>
      <w:r>
        <w:t xml:space="preserve">accessed 2026-10-07 [search-tool extract]; A6-S016: Kong AI Gateway 2.0 Is Now GA — And It’s Already Moving Faster (Kong Inc.)</w:t>
      </w:r>
      <w:r>
        <w:t xml:space="preserve"> </w:t>
      </w:r>
      <w:hyperlink r:id="rId1756">
        <w:r>
          <w:rPr>
            <w:rStyle w:val="Hyperlink"/>
          </w:rPr>
          <w:t xml:space="preserve">https://konghq.com/blog/product-releases/kong-ai-gateway-2-0-ga</w:t>
        </w:r>
      </w:hyperlink>
      <w:r>
        <w:t xml:space="preserve"> </w:t>
      </w:r>
      <w:r>
        <w:t xml:space="preserve">accessed 2026-10-07 [search-tool extract]</w:t>
      </w:r>
    </w:p>
  </w:footnote>
  <w:footnote w:id="1770">
    <w:p>
      <w:pPr>
        <w:pStyle w:val="FootnoteText"/>
      </w:pPr>
      <w:r>
        <w:rPr>
          <w:rStyle w:val="FootnoteReference"/>
        </w:rPr>
        <w:footnoteRef/>
      </w:r>
      <w:r>
        <w:t xml:space="preserve"> </w:t>
      </w:r>
      <w:r>
        <w:t xml:space="preserve">Verified fact — B-REVA-S004: Konnect platform authentication and authorization (Kong Inc.)</w:t>
      </w:r>
      <w:r>
        <w:t xml:space="preserve"> </w:t>
      </w:r>
      <w:hyperlink r:id="rId1771">
        <w:r>
          <w:rPr>
            <w:rStyle w:val="Hyperlink"/>
          </w:rPr>
          <w:t xml:space="preserve">https://developer.konghq.com/konnect-platform/authentication/</w:t>
        </w:r>
      </w:hyperlink>
      <w:r>
        <w:t xml:space="preserve"> </w:t>
      </w:r>
      <w:r>
        <w:t xml:space="preserve">accessed 2026-10-08 [search-tool extract]</w:t>
      </w:r>
    </w:p>
  </w:footnote>
  <w:footnote w:id="1772">
    <w:p>
      <w:pPr>
        <w:pStyle w:val="FootnoteText"/>
      </w:pPr>
      <w:r>
        <w:rPr>
          <w:rStyle w:val="FootnoteReference"/>
        </w:rPr>
        <w:footnoteRef/>
      </w:r>
      <w:r>
        <w:t xml:space="preserve"> </w:t>
      </w:r>
      <w:r>
        <w:t xml:space="preserve">Verified fact — A6-S016: Kong AI Gateway 2.0 Is Now GA — And It’s Already Moving Faster (Kong Inc.)</w:t>
      </w:r>
      <w:r>
        <w:t xml:space="preserve"> </w:t>
      </w:r>
      <w:hyperlink r:id="rId1756">
        <w:r>
          <w:rPr>
            <w:rStyle w:val="Hyperlink"/>
          </w:rPr>
          <w:t xml:space="preserve">https://konghq.com/blog/product-releases/kong-ai-gateway-2-0-ga</w:t>
        </w:r>
      </w:hyperlink>
      <w:r>
        <w:t xml:space="preserve"> </w:t>
      </w:r>
      <w:r>
        <w:t xml:space="preserve">accessed 2026-10-07 [search-tool extract]; A6-S017: Kong AI Gateway changelog; Kong Gateway changelog; AI Proxy Advanced plugin docs (Kong Inc.)</w:t>
      </w:r>
      <w:r>
        <w:t xml:space="preserve"> </w:t>
      </w:r>
      <w:hyperlink r:id="rId1757">
        <w:r>
          <w:rPr>
            <w:rStyle w:val="Hyperlink"/>
          </w:rPr>
          <w:t xml:space="preserve">https://developer.konghq.com/ai-gateway/changelog/</w:t>
        </w:r>
      </w:hyperlink>
      <w:r>
        <w:t xml:space="preserve"> </w:t>
      </w:r>
      <w:r>
        <w:t xml:space="preserve">accessed 2026-10-07 [search-tool extract]</w:t>
      </w:r>
    </w:p>
  </w:footnote>
  <w:footnote w:id="1773">
    <w:p>
      <w:pPr>
        <w:pStyle w:val="FootnoteText"/>
      </w:pPr>
      <w:r>
        <w:rPr>
          <w:rStyle w:val="FootnoteReference"/>
        </w:rPr>
        <w:footnoteRef/>
      </w:r>
      <w:r>
        <w:t xml:space="preserve"> </w:t>
      </w:r>
      <w:r>
        <w:t xml:space="preserve">Verified fact — A6-S017: Kong AI Gateway changelog; Kong Gateway changelog; AI Proxy Advanced plugin docs (Kong Inc.)</w:t>
      </w:r>
      <w:r>
        <w:t xml:space="preserve"> </w:t>
      </w:r>
      <w:hyperlink r:id="rId1757">
        <w:r>
          <w:rPr>
            <w:rStyle w:val="Hyperlink"/>
          </w:rPr>
          <w:t xml:space="preserve">https://developer.konghq.com/ai-gateway/changelog/</w:t>
        </w:r>
      </w:hyperlink>
      <w:r>
        <w:t xml:space="preserve"> </w:t>
      </w:r>
      <w:r>
        <w:t xml:space="preserve">accessed 2026-10-07 [search-tool extract]</w:t>
      </w:r>
    </w:p>
  </w:footnote>
  <w:footnote w:id="1774">
    <w:p>
      <w:pPr>
        <w:pStyle w:val="FootnoteText"/>
      </w:pPr>
      <w:r>
        <w:rPr>
          <w:rStyle w:val="FootnoteReference"/>
        </w:rPr>
        <w:footnoteRef/>
      </w:r>
      <w:r>
        <w:t xml:space="preserve"> </w:t>
      </w:r>
      <w:r>
        <w:t xml:space="preserve">Verified fact — A6-S017: Kong AI Gateway changelog; Kong Gateway changelog; AI Proxy Advanced plugin docs (Kong Inc.)</w:t>
      </w:r>
      <w:r>
        <w:t xml:space="preserve"> </w:t>
      </w:r>
      <w:hyperlink r:id="rId1757">
        <w:r>
          <w:rPr>
            <w:rStyle w:val="Hyperlink"/>
          </w:rPr>
          <w:t xml:space="preserve">https://developer.konghq.com/ai-gateway/changelog/</w:t>
        </w:r>
      </w:hyperlink>
      <w:r>
        <w:t xml:space="preserve"> </w:t>
      </w:r>
      <w:r>
        <w:t xml:space="preserve">accessed 2026-10-07 [search-tool extract]; A6-S018: Kong startup program page (compliance claims, deployment modes) (Kong Inc.)</w:t>
      </w:r>
      <w:r>
        <w:t xml:space="preserve"> </w:t>
      </w:r>
      <w:hyperlink r:id="rId1761">
        <w:r>
          <w:rPr>
            <w:rStyle w:val="Hyperlink"/>
          </w:rPr>
          <w:t xml:space="preserve">https://konghq.com/solutions/startup-program</w:t>
        </w:r>
      </w:hyperlink>
      <w:r>
        <w:t xml:space="preserve"> </w:t>
      </w:r>
      <w:r>
        <w:t xml:space="preserve">accessed 2026-10-07 [search-tool extract]</w:t>
      </w:r>
    </w:p>
  </w:footnote>
  <w:footnote w:id="1776">
    <w:p>
      <w:pPr>
        <w:pStyle w:val="FootnoteText"/>
      </w:pPr>
      <w:r>
        <w:rPr>
          <w:rStyle w:val="FootnoteReference"/>
        </w:rPr>
        <w:footnoteRef/>
      </w:r>
      <w:r>
        <w:t xml:space="preserve"> </w:t>
      </w:r>
      <w:r>
        <w:t xml:space="preserve">Verified fact — A6-S024: Apigee AI solutions: gateway to enterprise-ready AI (Google Cloud)</w:t>
      </w:r>
      <w:r>
        <w:t xml:space="preserve"> </w:t>
      </w:r>
      <w:hyperlink r:id="rId1777">
        <w:r>
          <w:rPr>
            <w:rStyle w:val="Hyperlink"/>
          </w:rPr>
          <w:t xml:space="preserve">https://cloud.google.com/solutions/apigee-ai</w:t>
        </w:r>
      </w:hyperlink>
      <w:r>
        <w:t xml:space="preserve"> </w:t>
      </w:r>
      <w:r>
        <w:t xml:space="preserve">accessed 2026-10-07; A6-S023: Apigee docs: AI gateway capabilities; semantic caching tutorial; MCP support for Apigee (Google Cloud)</w:t>
      </w:r>
      <w:r>
        <w:t xml:space="preserve"> </w:t>
      </w:r>
      <w:hyperlink r:id="rId1778">
        <w:r>
          <w:rPr>
            <w:rStyle w:val="Hyperlink"/>
          </w:rPr>
          <w:t xml:space="preserve">https://docs.cloud.google.com/apigee/docs/api-platform/get-started/ai-capabilities</w:t>
        </w:r>
      </w:hyperlink>
      <w:r>
        <w:t xml:space="preserve"> </w:t>
      </w:r>
      <w:r>
        <w:t xml:space="preserve">accessed 2026-10-07 [search-tool extract]</w:t>
      </w:r>
    </w:p>
  </w:footnote>
  <w:footnote w:id="1779">
    <w:p>
      <w:pPr>
        <w:pStyle w:val="FootnoteText"/>
      </w:pPr>
      <w:r>
        <w:rPr>
          <w:rStyle w:val="FootnoteReference"/>
        </w:rPr>
        <w:footnoteRef/>
      </w:r>
      <w:r>
        <w:t xml:space="preserve"> </w:t>
      </w:r>
      <w:r>
        <w:t xml:space="preserve">Verified fact — A6-S070: SOC 2 compliance (services in scope) (Google Cloud)</w:t>
      </w:r>
      <w:r>
        <w:t xml:space="preserve"> </w:t>
      </w:r>
      <w:hyperlink r:id="rId1780">
        <w:r>
          <w:rPr>
            <w:rStyle w:val="Hyperlink"/>
          </w:rPr>
          <w:t xml:space="preserve">https://cloud.google.com/security/compliance/soc-2</w:t>
        </w:r>
      </w:hyperlink>
      <w:r>
        <w:t xml:space="preserve"> </w:t>
      </w:r>
      <w:r>
        <w:t xml:space="preserve">accessed 2026-10-07; A6-S071: ISO/IEC 27001 compliance (services in scope) (Google Cloud)</w:t>
      </w:r>
      <w:r>
        <w:t xml:space="preserve"> </w:t>
      </w:r>
      <w:hyperlink r:id="rId1781">
        <w:r>
          <w:rPr>
            <w:rStyle w:val="Hyperlink"/>
          </w:rPr>
          <w:t xml:space="preserve">https://cloud.google.com/security/compliance/iso-27001</w:t>
        </w:r>
      </w:hyperlink>
      <w:r>
        <w:t xml:space="preserve"> </w:t>
      </w:r>
      <w:r>
        <w:t xml:space="preserve">accessed 2026-10-07</w:t>
      </w:r>
    </w:p>
  </w:footnote>
  <w:footnote w:id="1782">
    <w:p>
      <w:pPr>
        <w:pStyle w:val="FootnoteText"/>
      </w:pPr>
      <w:r>
        <w:rPr>
          <w:rStyle w:val="FootnoteReference"/>
        </w:rPr>
        <w:footnoteRef/>
      </w:r>
      <w:r>
        <w:t xml:space="preserve"> </w:t>
      </w:r>
      <w:r>
        <w:t xml:space="preserve">Verified fact — A6-S069: Apigee Pricing (Google Cloud)</w:t>
      </w:r>
      <w:r>
        <w:t xml:space="preserve"> </w:t>
      </w:r>
      <w:hyperlink r:id="rId1783">
        <w:r>
          <w:rPr>
            <w:rStyle w:val="Hyperlink"/>
          </w:rPr>
          <w:t xml:space="preserve">https://cloud.google.com/apigee/pricing</w:t>
        </w:r>
      </w:hyperlink>
      <w:r>
        <w:t xml:space="preserve"> </w:t>
      </w:r>
      <w:r>
        <w:t xml:space="preserve">accessed 2026-10-07; A6-S025: Apigee release notes (all; hybrid) (Google Cloud)</w:t>
      </w:r>
      <w:r>
        <w:t xml:space="preserve"> </w:t>
      </w:r>
      <w:hyperlink r:id="rId1784">
        <w:r>
          <w:rPr>
            <w:rStyle w:val="Hyperlink"/>
          </w:rPr>
          <w:t xml:space="preserve">https://docs.cloud.google.com/apigee/docs/release-notes</w:t>
        </w:r>
      </w:hyperlink>
      <w:r>
        <w:t xml:space="preserve"> </w:t>
      </w:r>
      <w:r>
        <w:t xml:space="preserve">accessed 2026-10-07 [search-tool extract]</w:t>
      </w:r>
    </w:p>
  </w:footnote>
  <w:footnote w:id="1785">
    <w:p>
      <w:pPr>
        <w:pStyle w:val="FootnoteText"/>
      </w:pPr>
      <w:r>
        <w:rPr>
          <w:rStyle w:val="FootnoteReference"/>
        </w:rPr>
        <w:footnoteRef/>
      </w:r>
      <w:r>
        <w:t xml:space="preserve"> </w:t>
      </w:r>
      <w:r>
        <w:t xml:space="preserve">Verified fact — A6-S024: Apigee AI solutions: gateway to enterprise-ready AI (Google Cloud)</w:t>
      </w:r>
      <w:r>
        <w:t xml:space="preserve"> </w:t>
      </w:r>
      <w:hyperlink r:id="rId1777">
        <w:r>
          <w:rPr>
            <w:rStyle w:val="Hyperlink"/>
          </w:rPr>
          <w:t xml:space="preserve">https://cloud.google.com/solutions/apigee-ai</w:t>
        </w:r>
      </w:hyperlink>
      <w:r>
        <w:t xml:space="preserve"> </w:t>
      </w:r>
      <w:r>
        <w:t xml:space="preserve">accessed 2026-10-07</w:t>
      </w:r>
    </w:p>
  </w:footnote>
  <w:footnote w:id="1786">
    <w:p>
      <w:pPr>
        <w:pStyle w:val="FootnoteText"/>
      </w:pPr>
      <w:r>
        <w:rPr>
          <w:rStyle w:val="FootnoteReference"/>
        </w:rPr>
        <w:footnoteRef/>
      </w:r>
      <w:r>
        <w:t xml:space="preserve"> </w:t>
      </w:r>
      <w:r>
        <w:t xml:space="preserve">Verified fact — A6-S023: Apigee docs: AI gateway capabilities; semantic caching tutorial; MCP support for Apigee (Google Cloud)</w:t>
      </w:r>
      <w:r>
        <w:t xml:space="preserve"> </w:t>
      </w:r>
      <w:hyperlink r:id="rId1778">
        <w:r>
          <w:rPr>
            <w:rStyle w:val="Hyperlink"/>
          </w:rPr>
          <w:t xml:space="preserve">https://docs.cloud.google.com/apigee/docs/api-platform/get-started/ai-capabilities</w:t>
        </w:r>
      </w:hyperlink>
      <w:r>
        <w:t xml:space="preserve"> </w:t>
      </w:r>
      <w:r>
        <w:t xml:space="preserve">accessed 2026-10-07 [search-tool extract]; A6-S025: Apigee release notes (all; hybrid) (Google Cloud)</w:t>
      </w:r>
      <w:r>
        <w:t xml:space="preserve"> </w:t>
      </w:r>
      <w:hyperlink r:id="rId1784">
        <w:r>
          <w:rPr>
            <w:rStyle w:val="Hyperlink"/>
          </w:rPr>
          <w:t xml:space="preserve">https://docs.cloud.google.com/apigee/docs/release-notes</w:t>
        </w:r>
      </w:hyperlink>
      <w:r>
        <w:t xml:space="preserve"> </w:t>
      </w:r>
      <w:r>
        <w:t xml:space="preserve">accessed 2026-10-07 [search-tool extract]</w:t>
      </w:r>
    </w:p>
  </w:footnote>
  <w:footnote w:id="1787">
    <w:p>
      <w:pPr>
        <w:pStyle w:val="FootnoteText"/>
      </w:pPr>
      <w:r>
        <w:rPr>
          <w:rStyle w:val="FootnoteReference"/>
        </w:rPr>
        <w:footnoteRef/>
      </w:r>
      <w:r>
        <w:t xml:space="preserve"> </w:t>
      </w:r>
      <w:r>
        <w:t xml:space="preserve">Verified fact — A6-S069: Apigee Pricing (Google Cloud)</w:t>
      </w:r>
      <w:r>
        <w:t xml:space="preserve"> </w:t>
      </w:r>
      <w:hyperlink r:id="rId1783">
        <w:r>
          <w:rPr>
            <w:rStyle w:val="Hyperlink"/>
          </w:rPr>
          <w:t xml:space="preserve">https://cloud.google.com/apigee/pricing</w:t>
        </w:r>
      </w:hyperlink>
      <w:r>
        <w:t xml:space="preserve"> </w:t>
      </w:r>
      <w:r>
        <w:t xml:space="preserve">accessed 2026-10-07</w:t>
      </w:r>
    </w:p>
  </w:footnote>
  <w:footnote w:id="1788">
    <w:p>
      <w:pPr>
        <w:pStyle w:val="FootnoteText"/>
      </w:pPr>
      <w:r>
        <w:rPr>
          <w:rStyle w:val="FootnoteReference"/>
        </w:rPr>
        <w:footnoteRef/>
      </w:r>
      <w:r>
        <w:t xml:space="preserve"> </w:t>
      </w:r>
      <w:r>
        <w:t xml:space="preserve">Verified fact — A6-S024: Apigee AI solutions: gateway to enterprise-ready AI (Google Cloud)</w:t>
      </w:r>
      <w:r>
        <w:t xml:space="preserve"> </w:t>
      </w:r>
      <w:hyperlink r:id="rId1777">
        <w:r>
          <w:rPr>
            <w:rStyle w:val="Hyperlink"/>
          </w:rPr>
          <w:t xml:space="preserve">https://cloud.google.com/solutions/apigee-ai</w:t>
        </w:r>
      </w:hyperlink>
      <w:r>
        <w:t xml:space="preserve"> </w:t>
      </w:r>
      <w:r>
        <w:t xml:space="preserve">accessed 2026-10-07</w:t>
      </w:r>
    </w:p>
  </w:footnote>
  <w:footnote w:id="1789">
    <w:p>
      <w:pPr>
        <w:pStyle w:val="FootnoteText"/>
      </w:pPr>
      <w:r>
        <w:rPr>
          <w:rStyle w:val="FootnoteReference"/>
        </w:rPr>
        <w:footnoteRef/>
      </w:r>
      <w:r>
        <w:t xml:space="preserve"> </w:t>
      </w:r>
      <w:r>
        <w:t xml:space="preserve">Verified fact — A6-S024: Apigee AI solutions: gateway to enterprise-ready AI (Google Cloud)</w:t>
      </w:r>
      <w:r>
        <w:t xml:space="preserve"> </w:t>
      </w:r>
      <w:hyperlink r:id="rId1777">
        <w:r>
          <w:rPr>
            <w:rStyle w:val="Hyperlink"/>
          </w:rPr>
          <w:t xml:space="preserve">https://cloud.google.com/solutions/apigee-ai</w:t>
        </w:r>
      </w:hyperlink>
      <w:r>
        <w:t xml:space="preserve"> </w:t>
      </w:r>
      <w:r>
        <w:t xml:space="preserve">accessed 2026-10-07; A6-S023: Apigee docs: AI gateway capabilities; semantic caching tutorial; MCP support for Apigee (Google Cloud)</w:t>
      </w:r>
      <w:r>
        <w:t xml:space="preserve"> </w:t>
      </w:r>
      <w:hyperlink r:id="rId1778">
        <w:r>
          <w:rPr>
            <w:rStyle w:val="Hyperlink"/>
          </w:rPr>
          <w:t xml:space="preserve">https://docs.cloud.google.com/apigee/docs/api-platform/get-started/ai-capabilities</w:t>
        </w:r>
      </w:hyperlink>
      <w:r>
        <w:t xml:space="preserve"> </w:t>
      </w:r>
      <w:r>
        <w:t xml:space="preserve">accessed 2026-10-07 [search-tool extract]; A6-S025: Apigee release notes (all; hybrid) (Google Cloud)</w:t>
      </w:r>
      <w:r>
        <w:t xml:space="preserve"> </w:t>
      </w:r>
      <w:hyperlink r:id="rId1784">
        <w:r>
          <w:rPr>
            <w:rStyle w:val="Hyperlink"/>
          </w:rPr>
          <w:t xml:space="preserve">https://docs.cloud.google.com/apigee/docs/release-notes</w:t>
        </w:r>
      </w:hyperlink>
      <w:r>
        <w:t xml:space="preserve"> </w:t>
      </w:r>
      <w:r>
        <w:t xml:space="preserve">accessed 2026-10-07 [search-tool extract]</w:t>
      </w:r>
    </w:p>
  </w:footnote>
  <w:footnote w:id="1790">
    <w:p>
      <w:pPr>
        <w:pStyle w:val="FootnoteText"/>
      </w:pPr>
      <w:r>
        <w:rPr>
          <w:rStyle w:val="FootnoteReference"/>
        </w:rPr>
        <w:footnoteRef/>
      </w:r>
      <w:r>
        <w:t xml:space="preserve"> </w:t>
      </w:r>
      <w:r>
        <w:t xml:space="preserve">Verified fact — A6-S070: SOC 2 compliance (services in scope) (Google Cloud)</w:t>
      </w:r>
      <w:r>
        <w:t xml:space="preserve"> </w:t>
      </w:r>
      <w:hyperlink r:id="rId1780">
        <w:r>
          <w:rPr>
            <w:rStyle w:val="Hyperlink"/>
          </w:rPr>
          <w:t xml:space="preserve">https://cloud.google.com/security/compliance/soc-2</w:t>
        </w:r>
      </w:hyperlink>
      <w:r>
        <w:t xml:space="preserve"> </w:t>
      </w:r>
      <w:r>
        <w:t xml:space="preserve">accessed 2026-10-07; A6-S071: ISO/IEC 27001 compliance (services in scope) (Google Cloud)</w:t>
      </w:r>
      <w:r>
        <w:t xml:space="preserve"> </w:t>
      </w:r>
      <w:hyperlink r:id="rId1781">
        <w:r>
          <w:rPr>
            <w:rStyle w:val="Hyperlink"/>
          </w:rPr>
          <w:t xml:space="preserve">https://cloud.google.com/security/compliance/iso-27001</w:t>
        </w:r>
      </w:hyperlink>
      <w:r>
        <w:t xml:space="preserve"> </w:t>
      </w:r>
      <w:r>
        <w:t xml:space="preserve">accessed 2026-10-07</w:t>
      </w:r>
    </w:p>
  </w:footnote>
  <w:footnote w:id="1791">
    <w:p>
      <w:pPr>
        <w:pStyle w:val="FootnoteText"/>
      </w:pPr>
      <w:r>
        <w:rPr>
          <w:rStyle w:val="FootnoteReference"/>
        </w:rPr>
        <w:footnoteRef/>
      </w:r>
      <w:r>
        <w:t xml:space="preserve"> </w:t>
      </w:r>
      <w:r>
        <w:t xml:space="preserve">Verified fact — A6-S025: Apigee release notes (all; hybrid) (Google Cloud)</w:t>
      </w:r>
      <w:r>
        <w:t xml:space="preserve"> </w:t>
      </w:r>
      <w:hyperlink r:id="rId1784">
        <w:r>
          <w:rPr>
            <w:rStyle w:val="Hyperlink"/>
          </w:rPr>
          <w:t xml:space="preserve">https://docs.cloud.google.com/apigee/docs/release-notes</w:t>
        </w:r>
      </w:hyperlink>
      <w:r>
        <w:t xml:space="preserve"> </w:t>
      </w:r>
      <w:r>
        <w:t xml:space="preserve">accessed 2026-10-07 [search-tool extract]</w:t>
      </w:r>
    </w:p>
  </w:footnote>
  <w:footnote w:id="1792">
    <w:p>
      <w:pPr>
        <w:pStyle w:val="FootnoteText"/>
      </w:pPr>
      <w:r>
        <w:rPr>
          <w:rStyle w:val="FootnoteReference"/>
        </w:rPr>
        <w:footnoteRef/>
      </w:r>
      <w:r>
        <w:t xml:space="preserve"> </w:t>
      </w:r>
      <w:r>
        <w:t xml:space="preserve">Verified fact — A6-S024: Apigee AI solutions: gateway to enterprise-ready AI (Google Cloud)</w:t>
      </w:r>
      <w:r>
        <w:t xml:space="preserve"> </w:t>
      </w:r>
      <w:hyperlink r:id="rId1777">
        <w:r>
          <w:rPr>
            <w:rStyle w:val="Hyperlink"/>
          </w:rPr>
          <w:t xml:space="preserve">https://cloud.google.com/solutions/apigee-ai</w:t>
        </w:r>
      </w:hyperlink>
      <w:r>
        <w:t xml:space="preserve"> </w:t>
      </w:r>
      <w:r>
        <w:t xml:space="preserve">accessed 2026-10-07</w:t>
      </w:r>
    </w:p>
  </w:footnote>
  <w:footnote w:id="1793">
    <w:p>
      <w:pPr>
        <w:pStyle w:val="FootnoteText"/>
      </w:pPr>
      <w:r>
        <w:rPr>
          <w:rStyle w:val="FootnoteReference"/>
        </w:rPr>
        <w:footnoteRef/>
      </w:r>
      <w:r>
        <w:t xml:space="preserve"> </w:t>
      </w:r>
      <w:r>
        <w:t xml:space="preserve">Verified fact — A6-S024: Apigee AI solutions: gateway to enterprise-ready AI (Google Cloud)</w:t>
      </w:r>
      <w:r>
        <w:t xml:space="preserve"> </w:t>
      </w:r>
      <w:hyperlink r:id="rId1777">
        <w:r>
          <w:rPr>
            <w:rStyle w:val="Hyperlink"/>
          </w:rPr>
          <w:t xml:space="preserve">https://cloud.google.com/solutions/apigee-ai</w:t>
        </w:r>
      </w:hyperlink>
      <w:r>
        <w:t xml:space="preserve"> </w:t>
      </w:r>
      <w:r>
        <w:t xml:space="preserve">accessed 2026-10-07</w:t>
      </w:r>
    </w:p>
  </w:footnote>
  <w:footnote w:id="1794">
    <w:p>
      <w:pPr>
        <w:pStyle w:val="FootnoteText"/>
      </w:pPr>
      <w:r>
        <w:rPr>
          <w:rStyle w:val="FootnoteReference"/>
        </w:rPr>
        <w:footnoteRef/>
      </w:r>
      <w:r>
        <w:t xml:space="preserve"> </w:t>
      </w:r>
      <w:r>
        <w:t xml:space="preserve">Verified fact — A6-S069: Apigee Pricing (Google Cloud)</w:t>
      </w:r>
      <w:r>
        <w:t xml:space="preserve"> </w:t>
      </w:r>
      <w:hyperlink r:id="rId1783">
        <w:r>
          <w:rPr>
            <w:rStyle w:val="Hyperlink"/>
          </w:rPr>
          <w:t xml:space="preserve">https://cloud.google.com/apigee/pricing</w:t>
        </w:r>
      </w:hyperlink>
      <w:r>
        <w:t xml:space="preserve"> </w:t>
      </w:r>
      <w:r>
        <w:t xml:space="preserve">accessed 2026-10-07</w:t>
      </w:r>
    </w:p>
  </w:footnote>
  <w:footnote w:id="1795">
    <w:p>
      <w:pPr>
        <w:pStyle w:val="FootnoteText"/>
      </w:pPr>
      <w:r>
        <w:rPr>
          <w:rStyle w:val="FootnoteReference"/>
        </w:rPr>
        <w:footnoteRef/>
      </w:r>
      <w:r>
        <w:t xml:space="preserve"> </w:t>
      </w:r>
      <w:r>
        <w:t xml:space="preserve">Verified fact — A6-S025: Apigee release notes (all; hybrid) (Google Cloud)</w:t>
      </w:r>
      <w:r>
        <w:t xml:space="preserve"> </w:t>
      </w:r>
      <w:hyperlink r:id="rId1784">
        <w:r>
          <w:rPr>
            <w:rStyle w:val="Hyperlink"/>
          </w:rPr>
          <w:t xml:space="preserve">https://docs.cloud.google.com/apigee/docs/release-notes</w:t>
        </w:r>
      </w:hyperlink>
      <w:r>
        <w:t xml:space="preserve"> </w:t>
      </w:r>
      <w:r>
        <w:t xml:space="preserve">accessed 2026-10-07 [search-tool extract]</w:t>
      </w:r>
    </w:p>
  </w:footnote>
  <w:footnote w:id="1797">
    <w:p>
      <w:pPr>
        <w:pStyle w:val="FootnoteText"/>
      </w:pPr>
      <w:r>
        <w:rPr>
          <w:rStyle w:val="FootnoteReference"/>
        </w:rPr>
        <w:footnoteRef/>
      </w:r>
      <w:r>
        <w:t xml:space="preserve"> </w:t>
      </w:r>
      <w:r>
        <w:t xml:space="preserve">Verified fact — A6-S049: Portkey AI Gateway README (GitHub) (Portkey (Palo Alto Networks))</w:t>
      </w:r>
      <w:r>
        <w:t xml:space="preserve"> </w:t>
      </w:r>
      <w:hyperlink r:id="rId1798">
        <w:r>
          <w:rPr>
            <w:rStyle w:val="Hyperlink"/>
          </w:rPr>
          <w:t xml:space="preserve">https://raw.githubusercontent.com/Portkey-AI/gateway/main/README.md</w:t>
        </w:r>
      </w:hyperlink>
      <w:r>
        <w:t xml:space="preserve"> </w:t>
      </w:r>
      <w:r>
        <w:t xml:space="preserve">accessed 2026-10-07; A6-S014: What is Portkey? - Portkey (Prisma AIRS AI Gateway) Docs (Portkey (Palo Alto Networks))</w:t>
      </w:r>
      <w:r>
        <w:t xml:space="preserve"> </w:t>
      </w:r>
      <w:hyperlink r:id="rId1799">
        <w:r>
          <w:rPr>
            <w:rStyle w:val="Hyperlink"/>
          </w:rPr>
          <w:t xml:space="preserve">https://portkey.ai/docs/introduction/what-is-portkey</w:t>
        </w:r>
      </w:hyperlink>
      <w:r>
        <w:t xml:space="preserve"> </w:t>
      </w:r>
      <w:r>
        <w:t xml:space="preserve">accessed 2026-10-07 [search-tool extract]</w:t>
      </w:r>
    </w:p>
  </w:footnote>
  <w:footnote w:id="1800">
    <w:p>
      <w:pPr>
        <w:pStyle w:val="FootnoteText"/>
      </w:pPr>
      <w:r>
        <w:rPr>
          <w:rStyle w:val="FootnoteReference"/>
        </w:rPr>
        <w:footnoteRef/>
      </w:r>
      <w:r>
        <w:t xml:space="preserve"> </w:t>
      </w:r>
      <w:r>
        <w:t xml:space="preserve">Verified fact — A6-S013: Portkey pricing and Feature Comparison docs (Portkey (Palo Alto Networks))</w:t>
      </w:r>
      <w:r>
        <w:t xml:space="preserve"> </w:t>
      </w:r>
      <w:hyperlink r:id="rId1801">
        <w:r>
          <w:rPr>
            <w:rStyle w:val="Hyperlink"/>
          </w:rPr>
          <w:t xml:space="preserve">https://portkey.ai/pricing</w:t>
        </w:r>
      </w:hyperlink>
      <w:r>
        <w:t xml:space="preserve"> </w:t>
      </w:r>
      <w:r>
        <w:t xml:space="preserve">accessed 2026-10-07 [search-tool extract]</w:t>
      </w:r>
    </w:p>
  </w:footnote>
  <w:footnote w:id="1802">
    <w:p>
      <w:pPr>
        <w:pStyle w:val="FootnoteText"/>
      </w:pPr>
      <w:r>
        <w:rPr>
          <w:rStyle w:val="FootnoteReference"/>
        </w:rPr>
        <w:footnoteRef/>
      </w:r>
      <w:r>
        <w:t xml:space="preserve"> </w:t>
      </w:r>
      <w:r>
        <w:t xml:space="preserve">Verified fact — A6-S013: Portkey pricing and Feature Comparison docs (Portkey (Palo Alto Networks))</w:t>
      </w:r>
      <w:r>
        <w:t xml:space="preserve"> </w:t>
      </w:r>
      <w:hyperlink r:id="rId1801">
        <w:r>
          <w:rPr>
            <w:rStyle w:val="Hyperlink"/>
          </w:rPr>
          <w:t xml:space="preserve">https://portkey.ai/pricing</w:t>
        </w:r>
      </w:hyperlink>
      <w:r>
        <w:t xml:space="preserve"> </w:t>
      </w:r>
      <w:r>
        <w:t xml:space="preserve">accessed 2026-10-07 [search-tool extract]; A6-S049: Portkey AI Gateway README (GitHub) (Portkey (Palo Alto Networks))</w:t>
      </w:r>
      <w:r>
        <w:t xml:space="preserve"> </w:t>
      </w:r>
      <w:hyperlink r:id="rId1798">
        <w:r>
          <w:rPr>
            <w:rStyle w:val="Hyperlink"/>
          </w:rPr>
          <w:t xml:space="preserve">https://raw.githubusercontent.com/Portkey-AI/gateway/main/README.md</w:t>
        </w:r>
      </w:hyperlink>
      <w:r>
        <w:t xml:space="preserve"> </w:t>
      </w:r>
      <w:r>
        <w:t xml:space="preserve">accessed 2026-10-07</w:t>
      </w:r>
    </w:p>
  </w:footnote>
  <w:footnote w:id="1803">
    <w:p>
      <w:pPr>
        <w:pStyle w:val="FootnoteText"/>
      </w:pPr>
      <w:r>
        <w:rPr>
          <w:rStyle w:val="FootnoteReference"/>
        </w:rPr>
        <w:footnoteRef/>
      </w:r>
      <w:r>
        <w:t xml:space="preserve"> </w:t>
      </w:r>
      <w:r>
        <w:t xml:space="preserve">Verified fact — A6-S049: Portkey AI Gateway README (GitHub) (Portkey (Palo Alto Networks))</w:t>
      </w:r>
      <w:r>
        <w:t xml:space="preserve"> </w:t>
      </w:r>
      <w:hyperlink r:id="rId1798">
        <w:r>
          <w:rPr>
            <w:rStyle w:val="Hyperlink"/>
          </w:rPr>
          <w:t xml:space="preserve">https://raw.githubusercontent.com/Portkey-AI/gateway/main/README.md</w:t>
        </w:r>
      </w:hyperlink>
      <w:r>
        <w:t xml:space="preserve"> </w:t>
      </w:r>
      <w:r>
        <w:t xml:space="preserve">accessed 2026-10-07</w:t>
      </w:r>
    </w:p>
  </w:footnote>
  <w:footnote w:id="1804">
    <w:p>
      <w:pPr>
        <w:pStyle w:val="FootnoteText"/>
      </w:pPr>
      <w:r>
        <w:rPr>
          <w:rStyle w:val="FootnoteReference"/>
        </w:rPr>
        <w:footnoteRef/>
      </w:r>
      <w:r>
        <w:t xml:space="preserve"> </w:t>
      </w:r>
      <w:r>
        <w:t xml:space="preserve">Verified fact — V2-S048: Announcing the General Availability of Prisma AIRS AI Gateway (with Calcalist/SDxCentral on Koi completion) (Palo Alto Networks)</w:t>
      </w:r>
      <w:r>
        <w:t xml:space="preserve"> </w:t>
      </w:r>
      <w:hyperlink r:id="rId1805">
        <w:r>
          <w:rPr>
            <w:rStyle w:val="Hyperlink"/>
          </w:rPr>
          <w:t xml:space="preserve">https://www.paloaltonetworks.com/blog/2026/07/announcing-general-availability-of-prisma-airs-ai-gateway/</w:t>
        </w:r>
      </w:hyperlink>
      <w:r>
        <w:t xml:space="preserve"> </w:t>
      </w:r>
      <w:r>
        <w:t xml:space="preserve">accessed 2026-10-08 [search-tool extract]</w:t>
      </w:r>
    </w:p>
  </w:footnote>
  <w:footnote w:id="1806">
    <w:p>
      <w:pPr>
        <w:pStyle w:val="FootnoteText"/>
      </w:pPr>
      <w:r>
        <w:rPr>
          <w:rStyle w:val="FootnoteReference"/>
        </w:rPr>
        <w:footnoteRef/>
      </w:r>
      <w:r>
        <w:t xml:space="preserve"> </w:t>
      </w:r>
      <w:r>
        <w:t xml:space="preserve">Verified fact — A6-S049: Portkey AI Gateway README (GitHub) (Portkey (Palo Alto Networks))</w:t>
      </w:r>
      <w:r>
        <w:t xml:space="preserve"> </w:t>
      </w:r>
      <w:hyperlink r:id="rId1798">
        <w:r>
          <w:rPr>
            <w:rStyle w:val="Hyperlink"/>
          </w:rPr>
          <w:t xml:space="preserve">https://raw.githubusercontent.com/Portkey-AI/gateway/main/README.md</w:t>
        </w:r>
      </w:hyperlink>
      <w:r>
        <w:t xml:space="preserve"> </w:t>
      </w:r>
      <w:r>
        <w:t xml:space="preserve">accessed 2026-10-07</w:t>
      </w:r>
    </w:p>
  </w:footnote>
  <w:footnote w:id="1807">
    <w:p>
      <w:pPr>
        <w:pStyle w:val="FootnoteText"/>
      </w:pPr>
      <w:r>
        <w:rPr>
          <w:rStyle w:val="FootnoteReference"/>
        </w:rPr>
        <w:footnoteRef/>
      </w:r>
      <w:r>
        <w:t xml:space="preserve"> </w:t>
      </w:r>
      <w:r>
        <w:t xml:space="preserve">Verified fact — A6-S013: Portkey pricing and Feature Comparison docs (Portkey (Palo Alto Networks))</w:t>
      </w:r>
      <w:r>
        <w:t xml:space="preserve"> </w:t>
      </w:r>
      <w:hyperlink r:id="rId1801">
        <w:r>
          <w:rPr>
            <w:rStyle w:val="Hyperlink"/>
          </w:rPr>
          <w:t xml:space="preserve">https://portkey.ai/pricing</w:t>
        </w:r>
      </w:hyperlink>
      <w:r>
        <w:t xml:space="preserve"> </w:t>
      </w:r>
      <w:r>
        <w:t xml:space="preserve">accessed 2026-10-07 [search-tool extract]</w:t>
      </w:r>
    </w:p>
  </w:footnote>
  <w:footnote w:id="1808">
    <w:p>
      <w:pPr>
        <w:pStyle w:val="FootnoteText"/>
      </w:pPr>
      <w:r>
        <w:rPr>
          <w:rStyle w:val="FootnoteReference"/>
        </w:rPr>
        <w:footnoteRef/>
      </w:r>
      <w:r>
        <w:t xml:space="preserve"> </w:t>
      </w:r>
      <w:r>
        <w:t xml:space="preserve">Verified fact — A6-S050: Portkey AI Gateway LICENSE (Portkey (Palo Alto Networks))</w:t>
      </w:r>
      <w:r>
        <w:t xml:space="preserve"> </w:t>
      </w:r>
      <w:hyperlink r:id="rId1809">
        <w:r>
          <w:rPr>
            <w:rStyle w:val="Hyperlink"/>
          </w:rPr>
          <w:t xml:space="preserve">https://raw.githubusercontent.com/Portkey-AI/gateway/main/LICENSE</w:t>
        </w:r>
      </w:hyperlink>
      <w:r>
        <w:t xml:space="preserve"> </w:t>
      </w:r>
      <w:r>
        <w:t xml:space="preserve">accessed 2026-10-07; A6-S011: Palo Alto Networks Completes Acquisition of Portkey to Secure AI Agents (and 30 Apr 2026 announcement)</w:t>
      </w:r>
      <w:r>
        <w:t xml:space="preserve"> </w:t>
      </w:r>
      <w:hyperlink r:id="rId1810">
        <w:r>
          <w:rPr>
            <w:rStyle w:val="Hyperlink"/>
          </w:rPr>
          <w:t xml:space="preserve">https://www.paloaltonetworks.com/company/press/2026/palo-alto-networks-completes-acquisition-of-portkey-to-secure-ai-agents</w:t>
        </w:r>
      </w:hyperlink>
      <w:r>
        <w:t xml:space="preserve"> </w:t>
      </w:r>
      <w:r>
        <w:t xml:space="preserve">accessed 2026-10-07 [search-tool extract]</w:t>
      </w:r>
    </w:p>
  </w:footnote>
  <w:footnote w:id="1811">
    <w:p>
      <w:pPr>
        <w:pStyle w:val="FootnoteText"/>
      </w:pPr>
      <w:r>
        <w:rPr>
          <w:rStyle w:val="FootnoteReference"/>
        </w:rPr>
        <w:footnoteRef/>
      </w:r>
      <w:r>
        <w:t xml:space="preserve"> </w:t>
      </w:r>
      <w:r>
        <w:t xml:space="preserve">Verified fact — A6-S049: Portkey AI Gateway README (GitHub) (Portkey (Palo Alto Networks))</w:t>
      </w:r>
      <w:r>
        <w:t xml:space="preserve"> </w:t>
      </w:r>
      <w:hyperlink r:id="rId1798">
        <w:r>
          <w:rPr>
            <w:rStyle w:val="Hyperlink"/>
          </w:rPr>
          <w:t xml:space="preserve">https://raw.githubusercontent.com/Portkey-AI/gateway/main/README.md</w:t>
        </w:r>
      </w:hyperlink>
      <w:r>
        <w:t xml:space="preserve"> </w:t>
      </w:r>
      <w:r>
        <w:t xml:space="preserve">accessed 2026-10-07; A6-S011: Palo Alto Networks Completes Acquisition of Portkey to Secure AI Agents (and 30 Apr 2026 announcement)</w:t>
      </w:r>
      <w:r>
        <w:t xml:space="preserve"> </w:t>
      </w:r>
      <w:hyperlink r:id="rId1810">
        <w:r>
          <w:rPr>
            <w:rStyle w:val="Hyperlink"/>
          </w:rPr>
          <w:t xml:space="preserve">https://www.paloaltonetworks.com/company/press/2026/palo-alto-networks-completes-acquisition-of-portkey-to-secure-ai-agents</w:t>
        </w:r>
      </w:hyperlink>
      <w:r>
        <w:t xml:space="preserve"> </w:t>
      </w:r>
      <w:r>
        <w:t xml:space="preserve">accessed 2026-10-07 [search-tool extract]; A6-S014: What is Portkey? - Portkey (Prisma AIRS AI Gateway) Docs (Portkey (Palo Alto Networks))</w:t>
      </w:r>
      <w:r>
        <w:t xml:space="preserve"> </w:t>
      </w:r>
      <w:hyperlink r:id="rId1799">
        <w:r>
          <w:rPr>
            <w:rStyle w:val="Hyperlink"/>
          </w:rPr>
          <w:t xml:space="preserve">https://portkey.ai/docs/introduction/what-is-portkey</w:t>
        </w:r>
      </w:hyperlink>
      <w:r>
        <w:t xml:space="preserve"> </w:t>
      </w:r>
      <w:r>
        <w:t xml:space="preserve">accessed 2026-10-07 [search-tool extract]</w:t>
      </w:r>
    </w:p>
  </w:footnote>
  <w:footnote w:id="1812">
    <w:p>
      <w:pPr>
        <w:pStyle w:val="FootnoteText"/>
      </w:pPr>
      <w:r>
        <w:rPr>
          <w:rStyle w:val="FootnoteReference"/>
        </w:rPr>
        <w:footnoteRef/>
      </w:r>
      <w:r>
        <w:t xml:space="preserve"> </w:t>
      </w:r>
      <w:r>
        <w:t xml:space="preserve">Verified fact — A6-S049: Portkey AI Gateway README (GitHub) (Portkey (Palo Alto Networks))</w:t>
      </w:r>
      <w:r>
        <w:t xml:space="preserve"> </w:t>
      </w:r>
      <w:hyperlink r:id="rId1798">
        <w:r>
          <w:rPr>
            <w:rStyle w:val="Hyperlink"/>
          </w:rPr>
          <w:t xml:space="preserve">https://raw.githubusercontent.com/Portkey-AI/gateway/main/README.md</w:t>
        </w:r>
      </w:hyperlink>
      <w:r>
        <w:t xml:space="preserve"> </w:t>
      </w:r>
      <w:r>
        <w:t xml:space="preserve">accessed 2026-10-07</w:t>
      </w:r>
    </w:p>
  </w:footnote>
  <w:footnote w:id="1813">
    <w:p>
      <w:pPr>
        <w:pStyle w:val="FootnoteText"/>
      </w:pPr>
      <w:r>
        <w:rPr>
          <w:rStyle w:val="FootnoteReference"/>
        </w:rPr>
        <w:footnoteRef/>
      </w:r>
      <w:r>
        <w:t xml:space="preserve"> </w:t>
      </w:r>
      <w:r>
        <w:t xml:space="preserve">Verified fact — A6-S049: Portkey AI Gateway README (GitHub) (Portkey (Palo Alto Networks))</w:t>
      </w:r>
      <w:r>
        <w:t xml:space="preserve"> </w:t>
      </w:r>
      <w:hyperlink r:id="rId1798">
        <w:r>
          <w:rPr>
            <w:rStyle w:val="Hyperlink"/>
          </w:rPr>
          <w:t xml:space="preserve">https://raw.githubusercontent.com/Portkey-AI/gateway/main/README.md</w:t>
        </w:r>
      </w:hyperlink>
      <w:r>
        <w:t xml:space="preserve"> </w:t>
      </w:r>
      <w:r>
        <w:t xml:space="preserve">accessed 2026-10-07; A6-S050: Portkey AI Gateway LICENSE (Portkey (Palo Alto Networks))</w:t>
      </w:r>
      <w:r>
        <w:t xml:space="preserve"> </w:t>
      </w:r>
      <w:hyperlink r:id="rId1809">
        <w:r>
          <w:rPr>
            <w:rStyle w:val="Hyperlink"/>
          </w:rPr>
          <w:t xml:space="preserve">https://raw.githubusercontent.com/Portkey-AI/gateway/main/LICENSE</w:t>
        </w:r>
      </w:hyperlink>
      <w:r>
        <w:t xml:space="preserve"> </w:t>
      </w:r>
      <w:r>
        <w:t xml:space="preserve">accessed 2026-10-07</w:t>
      </w:r>
    </w:p>
  </w:footnote>
  <w:footnote w:id="1814">
    <w:p>
      <w:pPr>
        <w:pStyle w:val="FootnoteText"/>
      </w:pPr>
      <w:r>
        <w:rPr>
          <w:rStyle w:val="FootnoteReference"/>
        </w:rPr>
        <w:footnoteRef/>
      </w:r>
      <w:r>
        <w:t xml:space="preserve"> </w:t>
      </w:r>
      <w:r>
        <w:t xml:space="preserve">Verified fact — A6-S011: Palo Alto Networks Completes Acquisition of Portkey to Secure AI Agents (and 30 Apr 2026 announcement)</w:t>
      </w:r>
      <w:r>
        <w:t xml:space="preserve"> </w:t>
      </w:r>
      <w:hyperlink r:id="rId1810">
        <w:r>
          <w:rPr>
            <w:rStyle w:val="Hyperlink"/>
          </w:rPr>
          <w:t xml:space="preserve">https://www.paloaltonetworks.com/company/press/2026/palo-alto-networks-completes-acquisition-of-portkey-to-secure-ai-agents</w:t>
        </w:r>
      </w:hyperlink>
      <w:r>
        <w:t xml:space="preserve"> </w:t>
      </w:r>
      <w:r>
        <w:t xml:space="preserve">accessed 2026-10-07 [search-tool extract]</w:t>
      </w:r>
    </w:p>
  </w:footnote>
  <w:footnote w:id="1815">
    <w:p>
      <w:pPr>
        <w:pStyle w:val="FootnoteText"/>
      </w:pPr>
      <w:r>
        <w:rPr>
          <w:rStyle w:val="FootnoteReference"/>
        </w:rPr>
        <w:footnoteRef/>
      </w:r>
      <w:r>
        <w:t xml:space="preserve"> </w:t>
      </w:r>
      <w:r>
        <w:t xml:space="preserve">Verified fact — A6-S012: Palo Alto Networks Inc - Form 10-K - FY2026 (fiscal year ended 31 July 2026) (US SEC EDGAR / Palo Alto Networks)</w:t>
      </w:r>
      <w:r>
        <w:t xml:space="preserve"> </w:t>
      </w:r>
      <w:hyperlink r:id="rId1816">
        <w:r>
          <w:rPr>
            <w:rStyle w:val="Hyperlink"/>
          </w:rPr>
          <w:t xml:space="preserve">https://www.sec.gov/Archives/edgar/data/0001327567/000132756726000023/panw-20260731.htm</w:t>
        </w:r>
      </w:hyperlink>
      <w:r>
        <w:t xml:space="preserve"> </w:t>
      </w:r>
      <w:r>
        <w:t xml:space="preserve">accessed 2026-10-07 [search-tool extract]; V2-S025: Palo Alto Networks Completes Acquisition of Portkey to Secure AI Agents (with PANW FY2026 10-K and 10-Q, SDxCentral)</w:t>
      </w:r>
      <w:r>
        <w:t xml:space="preserve"> </w:t>
      </w:r>
      <w:hyperlink r:id="rId1810">
        <w:r>
          <w:rPr>
            <w:rStyle w:val="Hyperlink"/>
          </w:rPr>
          <w:t xml:space="preserve">https://www.paloaltonetworks.com/company/press/2026/palo-alto-networks-completes-acquisition-of-portkey-to-secure-ai-agents</w:t>
        </w:r>
      </w:hyperlink>
      <w:r>
        <w:t xml:space="preserve"> </w:t>
      </w:r>
      <w:r>
        <w:t xml:space="preserve">accessed 2026-10-08 [search-tool extract]</w:t>
      </w:r>
    </w:p>
  </w:footnote>
  <w:footnote w:id="1817">
    <w:p>
      <w:pPr>
        <w:pStyle w:val="FootnoteText"/>
      </w:pPr>
      <w:r>
        <w:rPr>
          <w:rStyle w:val="FootnoteReference"/>
        </w:rPr>
        <w:footnoteRef/>
      </w:r>
      <w:r>
        <w:t xml:space="preserve"> </w:t>
      </w:r>
      <w:r>
        <w:t xml:space="preserve">Verified fact — A6-S011: Palo Alto Networks Completes Acquisition of Portkey to Secure AI Agents (and 30 Apr 2026 announcement)</w:t>
      </w:r>
      <w:r>
        <w:t xml:space="preserve"> </w:t>
      </w:r>
      <w:hyperlink r:id="rId1810">
        <w:r>
          <w:rPr>
            <w:rStyle w:val="Hyperlink"/>
          </w:rPr>
          <w:t xml:space="preserve">https://www.paloaltonetworks.com/company/press/2026/palo-alto-networks-completes-acquisition-of-portkey-to-secure-ai-agents</w:t>
        </w:r>
      </w:hyperlink>
      <w:r>
        <w:t xml:space="preserve"> </w:t>
      </w:r>
      <w:r>
        <w:t xml:space="preserve">accessed 2026-10-07 [search-tool extract]</w:t>
      </w:r>
    </w:p>
  </w:footnote>
  <w:footnote w:id="1818">
    <w:p>
      <w:pPr>
        <w:pStyle w:val="FootnoteText"/>
      </w:pPr>
      <w:r>
        <w:rPr>
          <w:rStyle w:val="FootnoteReference"/>
        </w:rPr>
        <w:footnoteRef/>
      </w:r>
      <w:r>
        <w:t xml:space="preserve"> </w:t>
      </w:r>
      <w:r>
        <w:t xml:space="preserve">Verified fact — A6-S013: Portkey pricing and Feature Comparison docs (Portkey (Palo Alto Networks))</w:t>
      </w:r>
      <w:r>
        <w:t xml:space="preserve"> </w:t>
      </w:r>
      <w:hyperlink r:id="rId1801">
        <w:r>
          <w:rPr>
            <w:rStyle w:val="Hyperlink"/>
          </w:rPr>
          <w:t xml:space="preserve">https://portkey.ai/pricing</w:t>
        </w:r>
      </w:hyperlink>
      <w:r>
        <w:t xml:space="preserve"> </w:t>
      </w:r>
      <w:r>
        <w:t xml:space="preserve">accessed 2026-10-07 [search-tool extract]</w:t>
      </w:r>
    </w:p>
  </w:footnote>
  <w:footnote w:id="1819">
    <w:p>
      <w:pPr>
        <w:pStyle w:val="FootnoteText"/>
      </w:pPr>
      <w:r>
        <w:rPr>
          <w:rStyle w:val="FootnoteReference"/>
        </w:rPr>
        <w:footnoteRef/>
      </w:r>
      <w:r>
        <w:t xml:space="preserve"> </w:t>
      </w:r>
      <w:r>
        <w:t xml:space="preserve">Verified fact — A6-S049: Portkey AI Gateway README (GitHub) (Portkey (Palo Alto Networks))</w:t>
      </w:r>
      <w:r>
        <w:t xml:space="preserve"> </w:t>
      </w:r>
      <w:hyperlink r:id="rId1798">
        <w:r>
          <w:rPr>
            <w:rStyle w:val="Hyperlink"/>
          </w:rPr>
          <w:t xml:space="preserve">https://raw.githubusercontent.com/Portkey-AI/gateway/main/README.md</w:t>
        </w:r>
      </w:hyperlink>
      <w:r>
        <w:t xml:space="preserve"> </w:t>
      </w:r>
      <w:r>
        <w:t xml:space="preserve">accessed 2026-10-07; A6-S013: Portkey pricing and Feature Comparison docs (Portkey (Palo Alto Networks))</w:t>
      </w:r>
      <w:r>
        <w:t xml:space="preserve"> </w:t>
      </w:r>
      <w:hyperlink r:id="rId1801">
        <w:r>
          <w:rPr>
            <w:rStyle w:val="Hyperlink"/>
          </w:rPr>
          <w:t xml:space="preserve">https://portkey.ai/pricing</w:t>
        </w:r>
      </w:hyperlink>
      <w:r>
        <w:t xml:space="preserve"> </w:t>
      </w:r>
      <w:r>
        <w:t xml:space="preserve">accessed 2026-10-07 [search-tool extract]</w:t>
      </w:r>
    </w:p>
  </w:footnote>
  <w:footnote w:id="1820">
    <w:p>
      <w:pPr>
        <w:pStyle w:val="FootnoteText"/>
      </w:pPr>
      <w:r>
        <w:rPr>
          <w:rStyle w:val="FootnoteReference"/>
        </w:rPr>
        <w:footnoteRef/>
      </w:r>
      <w:r>
        <w:t xml:space="preserve"> </w:t>
      </w:r>
      <w:r>
        <w:t xml:space="preserve">Verified fact — B-C1-S001: Precise RBAC for AI innovation - Role-based access control (plus SSO docs) (Portkey (Palo Alto Networks))</w:t>
      </w:r>
      <w:r>
        <w:t xml:space="preserve"> </w:t>
      </w:r>
      <w:hyperlink r:id="rId1821">
        <w:r>
          <w:rPr>
            <w:rStyle w:val="Hyperlink"/>
          </w:rPr>
          <w:t xml:space="preserve">https://portkey.ai/for/rbac</w:t>
        </w:r>
      </w:hyperlink>
      <w:r>
        <w:t xml:space="preserve"> </w:t>
      </w:r>
      <w:r>
        <w:t xml:space="preserve">accessed 2026-10-08 [search-tool extract]; B-C1-S002: Organisation-wide Audit logs (Portkey (Palo Alto Networks))</w:t>
      </w:r>
      <w:r>
        <w:t xml:space="preserve"> </w:t>
      </w:r>
      <w:hyperlink r:id="rId1822">
        <w:r>
          <w:rPr>
            <w:rStyle w:val="Hyperlink"/>
          </w:rPr>
          <w:t xml:space="preserve">https://portkey.ai/for/org-wide-audit-logs</w:t>
        </w:r>
      </w:hyperlink>
      <w:r>
        <w:t xml:space="preserve"> </w:t>
      </w:r>
      <w:r>
        <w:t xml:space="preserve">accessed 2026-10-08 [search-tool extract]</w:t>
      </w:r>
    </w:p>
  </w:footnote>
  <w:footnote w:id="1823">
    <w:p>
      <w:pPr>
        <w:pStyle w:val="FootnoteText"/>
      </w:pPr>
      <w:r>
        <w:rPr>
          <w:rStyle w:val="FootnoteReference"/>
        </w:rPr>
        <w:footnoteRef/>
      </w:r>
      <w:r>
        <w:t xml:space="preserve"> </w:t>
      </w:r>
      <w:r>
        <w:t xml:space="preserve">Verified fact — A6-S013: Portkey pricing and Feature Comparison docs (Portkey (Palo Alto Networks))</w:t>
      </w:r>
      <w:r>
        <w:t xml:space="preserve"> </w:t>
      </w:r>
      <w:hyperlink r:id="rId1801">
        <w:r>
          <w:rPr>
            <w:rStyle w:val="Hyperlink"/>
          </w:rPr>
          <w:t xml:space="preserve">https://portkey.ai/pricing</w:t>
        </w:r>
      </w:hyperlink>
      <w:r>
        <w:t xml:space="preserve"> </w:t>
      </w:r>
      <w:r>
        <w:t xml:space="preserve">accessed 2026-10-07 [search-tool extract]</w:t>
      </w:r>
    </w:p>
  </w:footnote>
  <w:footnote w:id="1825">
    <w:p>
      <w:pPr>
        <w:pStyle w:val="FootnoteText"/>
      </w:pPr>
      <w:r>
        <w:rPr>
          <w:rStyle w:val="FootnoteReference"/>
        </w:rPr>
        <w:footnoteRef/>
      </w:r>
      <w:r>
        <w:t xml:space="preserve"> </w:t>
      </w:r>
      <w:r>
        <w:t xml:space="preserve">Verified fact — A6-S061: agentgateway README (GitHub) (agentgateway project (Linux Foundation))</w:t>
      </w:r>
      <w:r>
        <w:t xml:space="preserve"> </w:t>
      </w:r>
      <w:hyperlink r:id="rId1826">
        <w:r>
          <w:rPr>
            <w:rStyle w:val="Hyperlink"/>
          </w:rPr>
          <w:t xml:space="preserve">https://raw.githubusercontent.com/agentgateway/agentgateway/main/README.md</w:t>
        </w:r>
      </w:hyperlink>
      <w:r>
        <w:t xml:space="preserve"> </w:t>
      </w:r>
      <w:r>
        <w:t xml:space="preserve">accessed 2026-10-07</w:t>
      </w:r>
    </w:p>
  </w:footnote>
  <w:footnote w:id="1827">
    <w:p>
      <w:pPr>
        <w:pStyle w:val="FootnoteText"/>
      </w:pPr>
      <w:r>
        <w:rPr>
          <w:rStyle w:val="FootnoteReference"/>
        </w:rPr>
        <w:footnoteRef/>
      </w:r>
      <w:r>
        <w:t xml:space="preserve"> </w:t>
      </w:r>
      <w:r>
        <w:t xml:space="preserve">Verified fact — A6-S061: agentgateway README (GitHub) (agentgateway project (Linux Foundation))</w:t>
      </w:r>
      <w:r>
        <w:t xml:space="preserve"> </w:t>
      </w:r>
      <w:hyperlink r:id="rId1826">
        <w:r>
          <w:rPr>
            <w:rStyle w:val="Hyperlink"/>
          </w:rPr>
          <w:t xml:space="preserve">https://raw.githubusercontent.com/agentgateway/agentgateway/main/README.md</w:t>
        </w:r>
      </w:hyperlink>
      <w:r>
        <w:t xml:space="preserve"> </w:t>
      </w:r>
      <w:r>
        <w:t xml:space="preserve">accessed 2026-10-07; B-C1-S010: Solo.io Launches Solo Enterprise for agentgateway and Solo Labs for MCP</w:t>
      </w:r>
      <w:r>
        <w:t xml:space="preserve"> </w:t>
      </w:r>
      <w:hyperlink r:id="rId1828">
        <w:r>
          <w:rPr>
            <w:rStyle w:val="Hyperlink"/>
          </w:rPr>
          <w:t xml:space="preserve">https://www.solo.io/press-releases/enterprise-agentgateway-mcp-labs</w:t>
        </w:r>
      </w:hyperlink>
      <w:r>
        <w:t xml:space="preserve"> </w:t>
      </w:r>
      <w:r>
        <w:t xml:space="preserve">accessed 2026-10-08 [search-tool extract]</w:t>
      </w:r>
    </w:p>
  </w:footnote>
  <w:footnote w:id="1829">
    <w:p>
      <w:pPr>
        <w:pStyle w:val="FootnoteText"/>
      </w:pPr>
      <w:r>
        <w:rPr>
          <w:rStyle w:val="FootnoteReference"/>
        </w:rPr>
        <w:footnoteRef/>
      </w:r>
      <w:r>
        <w:t xml:space="preserve"> </w:t>
      </w:r>
      <w:r>
        <w:t xml:space="preserve">Verified fact — A6-S061: agentgateway README (GitHub) (agentgateway project (Linux Foundation))</w:t>
      </w:r>
      <w:r>
        <w:t xml:space="preserve"> </w:t>
      </w:r>
      <w:hyperlink r:id="rId1826">
        <w:r>
          <w:rPr>
            <w:rStyle w:val="Hyperlink"/>
          </w:rPr>
          <w:t xml:space="preserve">https://raw.githubusercontent.com/agentgateway/agentgateway/main/README.md</w:t>
        </w:r>
      </w:hyperlink>
      <w:r>
        <w:t xml:space="preserve"> </w:t>
      </w:r>
      <w:r>
        <w:t xml:space="preserve">accessed 2026-10-07</w:t>
      </w:r>
    </w:p>
  </w:footnote>
  <w:footnote w:id="1830">
    <w:p>
      <w:pPr>
        <w:pStyle w:val="FootnoteText"/>
      </w:pPr>
      <w:r>
        <w:rPr>
          <w:rStyle w:val="FootnoteReference"/>
        </w:rPr>
        <w:footnoteRef/>
      </w:r>
      <w:r>
        <w:t xml:space="preserve"> </w:t>
      </w:r>
      <w:r>
        <w:t xml:space="preserve">Verified fact — B-C1-S010: Solo.io Launches Solo Enterprise for agentgateway and Solo Labs for MCP</w:t>
      </w:r>
      <w:r>
        <w:t xml:space="preserve"> </w:t>
      </w:r>
      <w:hyperlink r:id="rId1828">
        <w:r>
          <w:rPr>
            <w:rStyle w:val="Hyperlink"/>
          </w:rPr>
          <w:t xml:space="preserve">https://www.solo.io/press-releases/enterprise-agentgateway-mcp-labs</w:t>
        </w:r>
      </w:hyperlink>
      <w:r>
        <w:t xml:space="preserve"> </w:t>
      </w:r>
      <w:r>
        <w:t xml:space="preserve">accessed 2026-10-08 [search-tool extract]</w:t>
      </w:r>
    </w:p>
  </w:footnote>
  <w:footnote w:id="1831">
    <w:p>
      <w:pPr>
        <w:pStyle w:val="FootnoteText"/>
      </w:pPr>
      <w:r>
        <w:rPr>
          <w:rStyle w:val="FootnoteReference"/>
        </w:rPr>
        <w:footnoteRef/>
      </w:r>
      <w:r>
        <w:t xml:space="preserve"> </w:t>
      </w:r>
      <w:r>
        <w:t xml:space="preserve">Verified fact — A6-S061: agentgateway README (GitHub) (agentgateway project (Linux Foundation))</w:t>
      </w:r>
      <w:r>
        <w:t xml:space="preserve"> </w:t>
      </w:r>
      <w:hyperlink r:id="rId1826">
        <w:r>
          <w:rPr>
            <w:rStyle w:val="Hyperlink"/>
          </w:rPr>
          <w:t xml:space="preserve">https://raw.githubusercontent.com/agentgateway/agentgateway/main/README.md</w:t>
        </w:r>
      </w:hyperlink>
      <w:r>
        <w:t xml:space="preserve"> </w:t>
      </w:r>
      <w:r>
        <w:t xml:space="preserve">accessed 2026-10-07; B-C1-S009: Linux Foundation Welcomes Agentgateway Project (The Linux Foundation)</w:t>
      </w:r>
      <w:r>
        <w:t xml:space="preserve"> </w:t>
      </w:r>
      <w:hyperlink r:id="rId1832">
        <w:r>
          <w:rPr>
            <w:rStyle w:val="Hyperlink"/>
          </w:rPr>
          <w:t xml:space="preserve">https://www.linuxfoundation.org/press/linux-foundation-welcomes-agentgateway-project-to-accelerate-ai-agent-adoption-while-maintaining-security-observability-and-governance</w:t>
        </w:r>
      </w:hyperlink>
      <w:r>
        <w:t xml:space="preserve"> </w:t>
      </w:r>
      <w:r>
        <w:t xml:space="preserve">accessed 2026-10-08 [search-tool extract]</w:t>
      </w:r>
    </w:p>
  </w:footnote>
  <w:footnote w:id="1833">
    <w:p>
      <w:pPr>
        <w:pStyle w:val="FootnoteText"/>
      </w:pPr>
      <w:r>
        <w:rPr>
          <w:rStyle w:val="FootnoteReference"/>
        </w:rPr>
        <w:footnoteRef/>
      </w:r>
      <w:r>
        <w:t xml:space="preserve"> </w:t>
      </w:r>
      <w:r>
        <w:t xml:space="preserve">Verified fact — A6-S062: Go module proxy: github.com/agentgateway/agentgateway</w:t>
      </w:r>
      <w:r>
        <w:t xml:space="preserve"> </w:t>
      </w:r>
      <w:r>
        <w:t xml:space="preserve">@latest</w:t>
      </w:r>
      <w:r>
        <w:t xml:space="preserve"> </w:t>
      </w:r>
      <w:r>
        <w:t xml:space="preserve">(Go module proxy (proxy.golang.org))</w:t>
      </w:r>
      <w:r>
        <w:t xml:space="preserve"> </w:t>
      </w:r>
      <w:hyperlink r:id="rId1834">
        <w:r>
          <w:rPr>
            <w:rStyle w:val="Hyperlink"/>
          </w:rPr>
          <w:t xml:space="preserve">https://proxy.golang.org/github.com/agentgateway/agentgateway/@latest</w:t>
        </w:r>
      </w:hyperlink>
      <w:r>
        <w:t xml:space="preserve"> </w:t>
      </w:r>
      <w:r>
        <w:t xml:space="preserve">accessed 2026-10-07; B-C1-S009: Linux Foundation Welcomes Agentgateway Project (The Linux Foundation)</w:t>
      </w:r>
      <w:r>
        <w:t xml:space="preserve"> </w:t>
      </w:r>
      <w:hyperlink r:id="rId1832">
        <w:r>
          <w:rPr>
            <w:rStyle w:val="Hyperlink"/>
          </w:rPr>
          <w:t xml:space="preserve">https://www.linuxfoundation.org/press/linux-foundation-welcomes-agentgateway-project-to-accelerate-ai-agent-adoption-while-maintaining-security-observability-and-governance</w:t>
        </w:r>
      </w:hyperlink>
      <w:r>
        <w:t xml:space="preserve"> </w:t>
      </w:r>
      <w:r>
        <w:t xml:space="preserve">accessed 2026-10-08 [search-tool extract]</w:t>
      </w:r>
    </w:p>
  </w:footnote>
  <w:footnote w:id="1835">
    <w:p>
      <w:pPr>
        <w:pStyle w:val="FootnoteText"/>
      </w:pPr>
      <w:r>
        <w:rPr>
          <w:rStyle w:val="FootnoteReference"/>
        </w:rPr>
        <w:footnoteRef/>
      </w:r>
      <w:r>
        <w:t xml:space="preserve"> </w:t>
      </w:r>
      <w:r>
        <w:t xml:space="preserve">Verified fact — A6-S061: agentgateway README (GitHub) (agentgateway project (Linux Foundation))</w:t>
      </w:r>
      <w:r>
        <w:t xml:space="preserve"> </w:t>
      </w:r>
      <w:hyperlink r:id="rId1826">
        <w:r>
          <w:rPr>
            <w:rStyle w:val="Hyperlink"/>
          </w:rPr>
          <w:t xml:space="preserve">https://raw.githubusercontent.com/agentgateway/agentgateway/main/README.md</w:t>
        </w:r>
      </w:hyperlink>
      <w:r>
        <w:t xml:space="preserve"> </w:t>
      </w:r>
      <w:r>
        <w:t xml:space="preserve">accessed 2026-10-07</w:t>
      </w:r>
    </w:p>
  </w:footnote>
  <w:footnote w:id="1836">
    <w:p>
      <w:pPr>
        <w:pStyle w:val="FootnoteText"/>
      </w:pPr>
      <w:r>
        <w:rPr>
          <w:rStyle w:val="FootnoteReference"/>
        </w:rPr>
        <w:footnoteRef/>
      </w:r>
      <w:r>
        <w:t xml:space="preserve"> </w:t>
      </w:r>
      <w:r>
        <w:t xml:space="preserve">Verified fact — A6-S061: agentgateway README (GitHub) (agentgateway project (Linux Foundation))</w:t>
      </w:r>
      <w:r>
        <w:t xml:space="preserve"> </w:t>
      </w:r>
      <w:hyperlink r:id="rId1826">
        <w:r>
          <w:rPr>
            <w:rStyle w:val="Hyperlink"/>
          </w:rPr>
          <w:t xml:space="preserve">https://raw.githubusercontent.com/agentgateway/agentgateway/main/README.md</w:t>
        </w:r>
      </w:hyperlink>
      <w:r>
        <w:t xml:space="preserve"> </w:t>
      </w:r>
      <w:r>
        <w:t xml:space="preserve">accessed 2026-10-07; B-C1-S009: Linux Foundation Welcomes Agentgateway Project (The Linux Foundation)</w:t>
      </w:r>
      <w:r>
        <w:t xml:space="preserve"> </w:t>
      </w:r>
      <w:hyperlink r:id="rId1832">
        <w:r>
          <w:rPr>
            <w:rStyle w:val="Hyperlink"/>
          </w:rPr>
          <w:t xml:space="preserve">https://www.linuxfoundation.org/press/linux-foundation-welcomes-agentgateway-project-to-accelerate-ai-agent-adoption-while-maintaining-security-observability-and-governance</w:t>
        </w:r>
      </w:hyperlink>
      <w:r>
        <w:t xml:space="preserve"> </w:t>
      </w:r>
      <w:r>
        <w:t xml:space="preserve">accessed 2026-10-08 [search-tool extract]</w:t>
      </w:r>
    </w:p>
  </w:footnote>
  <w:footnote w:id="1837">
    <w:p>
      <w:pPr>
        <w:pStyle w:val="FootnoteText"/>
      </w:pPr>
      <w:r>
        <w:rPr>
          <w:rStyle w:val="FootnoteReference"/>
        </w:rPr>
        <w:footnoteRef/>
      </w:r>
      <w:r>
        <w:t xml:space="preserve"> </w:t>
      </w:r>
      <w:r>
        <w:t xml:space="preserve">Verified fact — A6-S061: agentgateway README (GitHub) (agentgateway project (Linux Foundation))</w:t>
      </w:r>
      <w:r>
        <w:t xml:space="preserve"> </w:t>
      </w:r>
      <w:hyperlink r:id="rId1826">
        <w:r>
          <w:rPr>
            <w:rStyle w:val="Hyperlink"/>
          </w:rPr>
          <w:t xml:space="preserve">https://raw.githubusercontent.com/agentgateway/agentgateway/main/README.md</w:t>
        </w:r>
      </w:hyperlink>
      <w:r>
        <w:t xml:space="preserve"> </w:t>
      </w:r>
      <w:r>
        <w:t xml:space="preserve">accessed 2026-10-07</w:t>
      </w:r>
    </w:p>
  </w:footnote>
  <w:footnote w:id="1838">
    <w:p>
      <w:pPr>
        <w:pStyle w:val="FootnoteText"/>
      </w:pPr>
      <w:r>
        <w:rPr>
          <w:rStyle w:val="FootnoteReference"/>
        </w:rPr>
        <w:footnoteRef/>
      </w:r>
      <w:r>
        <w:t xml:space="preserve"> </w:t>
      </w:r>
      <w:r>
        <w:t xml:space="preserve">Verified fact — A6-S061: agentgateway README (GitHub) (agentgateway project (Linux Foundation))</w:t>
      </w:r>
      <w:r>
        <w:t xml:space="preserve"> </w:t>
      </w:r>
      <w:hyperlink r:id="rId1826">
        <w:r>
          <w:rPr>
            <w:rStyle w:val="Hyperlink"/>
          </w:rPr>
          <w:t xml:space="preserve">https://raw.githubusercontent.com/agentgateway/agentgateway/main/README.md</w:t>
        </w:r>
      </w:hyperlink>
      <w:r>
        <w:t xml:space="preserve"> </w:t>
      </w:r>
      <w:r>
        <w:t xml:space="preserve">accessed 2026-10-07; B-C1-S009: Linux Foundation Welcomes Agentgateway Project (The Linux Foundation)</w:t>
      </w:r>
      <w:r>
        <w:t xml:space="preserve"> </w:t>
      </w:r>
      <w:hyperlink r:id="rId1832">
        <w:r>
          <w:rPr>
            <w:rStyle w:val="Hyperlink"/>
          </w:rPr>
          <w:t xml:space="preserve">https://www.linuxfoundation.org/press/linux-foundation-welcomes-agentgateway-project-to-accelerate-ai-agent-adoption-while-maintaining-security-observability-and-governance</w:t>
        </w:r>
      </w:hyperlink>
      <w:r>
        <w:t xml:space="preserve"> </w:t>
      </w:r>
      <w:r>
        <w:t xml:space="preserve">accessed 2026-10-08 [search-tool extract]</w:t>
      </w:r>
    </w:p>
  </w:footnote>
  <w:footnote w:id="1839">
    <w:p>
      <w:pPr>
        <w:pStyle w:val="FootnoteText"/>
      </w:pPr>
      <w:r>
        <w:rPr>
          <w:rStyle w:val="FootnoteReference"/>
        </w:rPr>
        <w:footnoteRef/>
      </w:r>
      <w:r>
        <w:t xml:space="preserve"> </w:t>
      </w:r>
      <w:r>
        <w:t xml:space="preserve">Verified fact — A6-S061: agentgateway README (GitHub) (agentgateway project (Linux Foundation))</w:t>
      </w:r>
      <w:r>
        <w:t xml:space="preserve"> </w:t>
      </w:r>
      <w:hyperlink r:id="rId1826">
        <w:r>
          <w:rPr>
            <w:rStyle w:val="Hyperlink"/>
          </w:rPr>
          <w:t xml:space="preserve">https://raw.githubusercontent.com/agentgateway/agentgateway/main/README.md</w:t>
        </w:r>
      </w:hyperlink>
      <w:r>
        <w:t xml:space="preserve"> </w:t>
      </w:r>
      <w:r>
        <w:t xml:space="preserve">accessed 2026-10-07</w:t>
      </w:r>
    </w:p>
  </w:footnote>
  <w:footnote w:id="1840">
    <w:p>
      <w:pPr>
        <w:pStyle w:val="FootnoteText"/>
      </w:pPr>
      <w:r>
        <w:rPr>
          <w:rStyle w:val="FootnoteReference"/>
        </w:rPr>
        <w:footnoteRef/>
      </w:r>
      <w:r>
        <w:t xml:space="preserve"> </w:t>
      </w:r>
      <w:r>
        <w:t xml:space="preserve">Verified fact — B-C1-S010: Solo.io Launches Solo Enterprise for agentgateway and Solo Labs for MCP</w:t>
      </w:r>
      <w:r>
        <w:t xml:space="preserve"> </w:t>
      </w:r>
      <w:hyperlink r:id="rId1828">
        <w:r>
          <w:rPr>
            <w:rStyle w:val="Hyperlink"/>
          </w:rPr>
          <w:t xml:space="preserve">https://www.solo.io/press-releases/enterprise-agentgateway-mcp-labs</w:t>
        </w:r>
      </w:hyperlink>
      <w:r>
        <w:t xml:space="preserve"> </w:t>
      </w:r>
      <w:r>
        <w:t xml:space="preserve">accessed 2026-10-08 [search-tool extract]</w:t>
      </w:r>
    </w:p>
  </w:footnote>
  <w:footnote w:id="1841">
    <w:p>
      <w:pPr>
        <w:pStyle w:val="FootnoteText"/>
      </w:pPr>
      <w:r>
        <w:rPr>
          <w:rStyle w:val="FootnoteReference"/>
        </w:rPr>
        <w:footnoteRef/>
      </w:r>
      <w:r>
        <w:t xml:space="preserve"> </w:t>
      </w:r>
      <w:r>
        <w:t xml:space="preserve">Verified fact — B-C1-S009: Linux Foundation Welcomes Agentgateway Project (The Linux Foundation)</w:t>
      </w:r>
      <w:r>
        <w:t xml:space="preserve"> </w:t>
      </w:r>
      <w:hyperlink r:id="rId1832">
        <w:r>
          <w:rPr>
            <w:rStyle w:val="Hyperlink"/>
          </w:rPr>
          <w:t xml:space="preserve">https://www.linuxfoundation.org/press/linux-foundation-welcomes-agentgateway-project-to-accelerate-ai-agent-adoption-while-maintaining-security-observability-and-governance</w:t>
        </w:r>
      </w:hyperlink>
      <w:r>
        <w:t xml:space="preserve"> </w:t>
      </w:r>
      <w:r>
        <w:t xml:space="preserve">accessed 2026-10-08 [search-tool extract]</w:t>
      </w:r>
    </w:p>
  </w:footnote>
  <w:footnote w:id="1843">
    <w:p>
      <w:pPr>
        <w:pStyle w:val="FootnoteText"/>
      </w:pPr>
      <w:r>
        <w:rPr>
          <w:rStyle w:val="FootnoteReference"/>
        </w:rPr>
        <w:footnoteRef/>
      </w:r>
      <w:r>
        <w:t xml:space="preserve"> </w:t>
      </w:r>
      <w:r>
        <w:t xml:space="preserve">Verified fact — A6-S053: AI gateway capabilities in Azure API Management (Microsoft Learn source, ms.date 29 May 2026)</w:t>
      </w:r>
      <w:r>
        <w:t xml:space="preserve"> </w:t>
      </w:r>
      <w:hyperlink r:id="rId1844">
        <w:r>
          <w:rPr>
            <w:rStyle w:val="Hyperlink"/>
          </w:rPr>
          <w:t xml:space="preserve">https://raw.githubusercontent.com/MicrosoftDocs/azure-docs/main/articles/api-management/genai-gateway-capabilities.md</w:t>
        </w:r>
      </w:hyperlink>
      <w:r>
        <w:t xml:space="preserve"> </w:t>
      </w:r>
      <w:r>
        <w:t xml:space="preserve">accessed 2026-10-07; A6-S020: Azure API Management AI gateway docs and Tech Community announcements (AI Gateway tier preview; Build 2026 updates) (Microsoft)</w:t>
      </w:r>
      <w:r>
        <w:t xml:space="preserve"> </w:t>
      </w:r>
      <w:hyperlink r:id="rId1845">
        <w:r>
          <w:rPr>
            <w:rStyle w:val="Hyperlink"/>
          </w:rPr>
          <w:t xml:space="preserve">https://learn.microsoft.com/en-us/azure/api-management/ai-gateway-overview</w:t>
        </w:r>
      </w:hyperlink>
      <w:r>
        <w:t xml:space="preserve"> </w:t>
      </w:r>
      <w:r>
        <w:t xml:space="preserve">accessed 2026-10-07 [search-tool extract]</w:t>
      </w:r>
    </w:p>
  </w:footnote>
  <w:footnote w:id="1846">
    <w:p>
      <w:pPr>
        <w:pStyle w:val="FootnoteText"/>
      </w:pPr>
      <w:r>
        <w:rPr>
          <w:rStyle w:val="FootnoteReference"/>
        </w:rPr>
        <w:footnoteRef/>
      </w:r>
      <w:r>
        <w:t xml:space="preserve"> </w:t>
      </w:r>
      <w:r>
        <w:t xml:space="preserve">Verified fact — A6-S020: Azure API Management AI gateway docs and Tech Community announcements (AI Gateway tier preview; Build 2026 updates) (Microsoft)</w:t>
      </w:r>
      <w:r>
        <w:t xml:space="preserve"> </w:t>
      </w:r>
      <w:hyperlink r:id="rId1845">
        <w:r>
          <w:rPr>
            <w:rStyle w:val="Hyperlink"/>
          </w:rPr>
          <w:t xml:space="preserve">https://learn.microsoft.com/en-us/azure/api-management/ai-gateway-overview</w:t>
        </w:r>
      </w:hyperlink>
      <w:r>
        <w:t xml:space="preserve"> </w:t>
      </w:r>
      <w:r>
        <w:t xml:space="preserve">accessed 2026-10-07 [search-tool extract]; A6-S053: AI gateway capabilities in Azure API Management (Microsoft Learn source, ms.date 29 May 2026)</w:t>
      </w:r>
      <w:r>
        <w:t xml:space="preserve"> </w:t>
      </w:r>
      <w:hyperlink r:id="rId1844">
        <w:r>
          <w:rPr>
            <w:rStyle w:val="Hyperlink"/>
          </w:rPr>
          <w:t xml:space="preserve">https://raw.githubusercontent.com/MicrosoftDocs/azure-docs/main/articles/api-management/genai-gateway-capabilities.md</w:t>
        </w:r>
      </w:hyperlink>
      <w:r>
        <w:t xml:space="preserve"> </w:t>
      </w:r>
      <w:r>
        <w:t xml:space="preserve">accessed 2026-10-07</w:t>
      </w:r>
    </w:p>
  </w:footnote>
  <w:footnote w:id="1847">
    <w:p>
      <w:pPr>
        <w:pStyle w:val="FootnoteText"/>
      </w:pPr>
      <w:r>
        <w:rPr>
          <w:rStyle w:val="FootnoteReference"/>
        </w:rPr>
        <w:footnoteRef/>
      </w:r>
      <w:r>
        <w:t xml:space="preserve"> </w:t>
      </w:r>
      <w:r>
        <w:t xml:space="preserve">Verified fact — A6-S056: Azure services in FedRAMP and DoD audit scope (Microsoft Learn source)</w:t>
      </w:r>
      <w:r>
        <w:t xml:space="preserve"> </w:t>
      </w:r>
      <w:hyperlink r:id="rId1848">
        <w:r>
          <w:rPr>
            <w:rStyle w:val="Hyperlink"/>
          </w:rPr>
          <w:t xml:space="preserve">https://raw.githubusercontent.com/MicrosoftDocs/azure-docs/main/articles/azure-government/compliance/azure-services-in-fedramp-auditscope.md</w:t>
        </w:r>
      </w:hyperlink>
      <w:r>
        <w:t xml:space="preserve"> </w:t>
      </w:r>
      <w:r>
        <w:t xml:space="preserve">accessed 2026-10-07</w:t>
      </w:r>
    </w:p>
  </w:footnote>
  <w:footnote w:id="1849">
    <w:p>
      <w:pPr>
        <w:pStyle w:val="FootnoteText"/>
      </w:pPr>
      <w:r>
        <w:rPr>
          <w:rStyle w:val="FootnoteReference"/>
        </w:rPr>
        <w:footnoteRef/>
      </w:r>
      <w:r>
        <w:t xml:space="preserve"> </w:t>
      </w:r>
      <w:r>
        <w:t xml:space="preserve">Verified fact — B-C1-S007: ISO/IEC 27001 - Azure Compliance (Microsoft)</w:t>
      </w:r>
      <w:r>
        <w:t xml:space="preserve"> </w:t>
      </w:r>
      <w:hyperlink r:id="rId1850">
        <w:r>
          <w:rPr>
            <w:rStyle w:val="Hyperlink"/>
          </w:rPr>
          <w:t xml:space="preserve">https://learn.microsoft.com/en-us/azure/compliance/offerings/offering-iso-27001</w:t>
        </w:r>
      </w:hyperlink>
      <w:r>
        <w:t xml:space="preserve"> </w:t>
      </w:r>
      <w:r>
        <w:t xml:space="preserve">accessed 2026-10-08 [search-tool extract]; B-C1-S008: System and Organization Controls (SOC) 2 Type 2 - Azure Compliance (Microsoft)</w:t>
      </w:r>
      <w:r>
        <w:t xml:space="preserve"> </w:t>
      </w:r>
      <w:hyperlink r:id="rId1851">
        <w:r>
          <w:rPr>
            <w:rStyle w:val="Hyperlink"/>
          </w:rPr>
          <w:t xml:space="preserve">https://learn.microsoft.com/en-us/azure/compliance/offerings/offering-soc-2</w:t>
        </w:r>
      </w:hyperlink>
      <w:r>
        <w:t xml:space="preserve"> </w:t>
      </w:r>
      <w:r>
        <w:t xml:space="preserve">accessed 2026-10-08 [search-tool extract]</w:t>
      </w:r>
    </w:p>
  </w:footnote>
  <w:footnote w:id="1852">
    <w:p>
      <w:pPr>
        <w:pStyle w:val="FootnoteText"/>
      </w:pPr>
      <w:r>
        <w:rPr>
          <w:rStyle w:val="FootnoteReference"/>
        </w:rPr>
        <w:footnoteRef/>
      </w:r>
      <w:r>
        <w:t xml:space="preserve"> </w:t>
      </w:r>
      <w:r>
        <w:t xml:space="preserve">Verified fact — A6-S053: AI gateway capabilities in Azure API Management (Microsoft Learn source, ms.date 29 May 2026)</w:t>
      </w:r>
      <w:r>
        <w:t xml:space="preserve"> </w:t>
      </w:r>
      <w:hyperlink r:id="rId1844">
        <w:r>
          <w:rPr>
            <w:rStyle w:val="Hyperlink"/>
          </w:rPr>
          <w:t xml:space="preserve">https://raw.githubusercontent.com/MicrosoftDocs/azure-docs/main/articles/api-management/genai-gateway-capabilities.md</w:t>
        </w:r>
      </w:hyperlink>
      <w:r>
        <w:t xml:space="preserve"> </w:t>
      </w:r>
      <w:r>
        <w:t xml:space="preserve">accessed 2026-10-07; A6-S020: Azure API Management AI gateway docs and Tech Community announcements (AI Gateway tier preview; Build 2026 updates) (Microsoft)</w:t>
      </w:r>
      <w:r>
        <w:t xml:space="preserve"> </w:t>
      </w:r>
      <w:hyperlink r:id="rId1845">
        <w:r>
          <w:rPr>
            <w:rStyle w:val="Hyperlink"/>
          </w:rPr>
          <w:t xml:space="preserve">https://learn.microsoft.com/en-us/azure/api-management/ai-gateway-overview</w:t>
        </w:r>
      </w:hyperlink>
      <w:r>
        <w:t xml:space="preserve"> </w:t>
      </w:r>
      <w:r>
        <w:t xml:space="preserve">accessed 2026-10-07 [search-tool extract]</w:t>
      </w:r>
    </w:p>
  </w:footnote>
  <w:footnote w:id="1853">
    <w:p>
      <w:pPr>
        <w:pStyle w:val="FootnoteText"/>
      </w:pPr>
      <w:r>
        <w:rPr>
          <w:rStyle w:val="FootnoteReference"/>
        </w:rPr>
        <w:footnoteRef/>
      </w:r>
      <w:r>
        <w:t xml:space="preserve"> </w:t>
      </w:r>
      <w:r>
        <w:t xml:space="preserve">Verified fact — A6-S053: AI gateway capabilities in Azure API Management (Microsoft Learn source, ms.date 29 May 2026)</w:t>
      </w:r>
      <w:r>
        <w:t xml:space="preserve"> </w:t>
      </w:r>
      <w:hyperlink r:id="rId1844">
        <w:r>
          <w:rPr>
            <w:rStyle w:val="Hyperlink"/>
          </w:rPr>
          <w:t xml:space="preserve">https://raw.githubusercontent.com/MicrosoftDocs/azure-docs/main/articles/api-management/genai-gateway-capabilities.md</w:t>
        </w:r>
      </w:hyperlink>
      <w:r>
        <w:t xml:space="preserve"> </w:t>
      </w:r>
      <w:r>
        <w:t xml:space="preserve">accessed 2026-10-07</w:t>
      </w:r>
    </w:p>
  </w:footnote>
  <w:footnote w:id="1854">
    <w:p>
      <w:pPr>
        <w:pStyle w:val="FootnoteText"/>
      </w:pPr>
      <w:r>
        <w:rPr>
          <w:rStyle w:val="FootnoteReference"/>
        </w:rPr>
        <w:footnoteRef/>
      </w:r>
      <w:r>
        <w:t xml:space="preserve"> </w:t>
      </w:r>
      <w:r>
        <w:t xml:space="preserve">Verified fact — A6-S020: Azure API Management AI gateway docs and Tech Community announcements (AI Gateway tier preview; Build 2026 updates) (Microsoft)</w:t>
      </w:r>
      <w:r>
        <w:t xml:space="preserve"> </w:t>
      </w:r>
      <w:hyperlink r:id="rId1845">
        <w:r>
          <w:rPr>
            <w:rStyle w:val="Hyperlink"/>
          </w:rPr>
          <w:t xml:space="preserve">https://learn.microsoft.com/en-us/azure/api-management/ai-gateway-overview</w:t>
        </w:r>
      </w:hyperlink>
      <w:r>
        <w:t xml:space="preserve"> </w:t>
      </w:r>
      <w:r>
        <w:t xml:space="preserve">accessed 2026-10-07 [search-tool extract]; A6-S053: AI gateway capabilities in Azure API Management (Microsoft Learn source, ms.date 29 May 2026)</w:t>
      </w:r>
      <w:r>
        <w:t xml:space="preserve"> </w:t>
      </w:r>
      <w:hyperlink r:id="rId1844">
        <w:r>
          <w:rPr>
            <w:rStyle w:val="Hyperlink"/>
          </w:rPr>
          <w:t xml:space="preserve">https://raw.githubusercontent.com/MicrosoftDocs/azure-docs/main/articles/api-management/genai-gateway-capabilities.md</w:t>
        </w:r>
      </w:hyperlink>
      <w:r>
        <w:t xml:space="preserve"> </w:t>
      </w:r>
      <w:r>
        <w:t xml:space="preserve">accessed 2026-10-07</w:t>
      </w:r>
    </w:p>
  </w:footnote>
  <w:footnote w:id="1855">
    <w:p>
      <w:pPr>
        <w:pStyle w:val="FootnoteText"/>
      </w:pPr>
      <w:r>
        <w:rPr>
          <w:rStyle w:val="FootnoteReference"/>
        </w:rPr>
        <w:footnoteRef/>
      </w:r>
      <w:r>
        <w:t xml:space="preserve"> </w:t>
      </w:r>
      <w:r>
        <w:t xml:space="preserve">Verified fact — A6-S020: Azure API Management AI gateway docs and Tech Community announcements (AI Gateway tier preview; Build 2026 updates) (Microsoft)</w:t>
      </w:r>
      <w:r>
        <w:t xml:space="preserve"> </w:t>
      </w:r>
      <w:hyperlink r:id="rId1845">
        <w:r>
          <w:rPr>
            <w:rStyle w:val="Hyperlink"/>
          </w:rPr>
          <w:t xml:space="preserve">https://learn.microsoft.com/en-us/azure/api-management/ai-gateway-overview</w:t>
        </w:r>
      </w:hyperlink>
      <w:r>
        <w:t xml:space="preserve"> </w:t>
      </w:r>
      <w:r>
        <w:t xml:space="preserve">accessed 2026-10-07 [search-tool extract]</w:t>
      </w:r>
    </w:p>
  </w:footnote>
  <w:footnote w:id="1856">
    <w:p>
      <w:pPr>
        <w:pStyle w:val="FootnoteText"/>
      </w:pPr>
      <w:r>
        <w:rPr>
          <w:rStyle w:val="FootnoteReference"/>
        </w:rPr>
        <w:footnoteRef/>
      </w:r>
      <w:r>
        <w:t xml:space="preserve"> </w:t>
      </w:r>
      <w:r>
        <w:t xml:space="preserve">Verified fact — A6-S053: AI gateway capabilities in Azure API Management (Microsoft Learn source, ms.date 29 May 2026)</w:t>
      </w:r>
      <w:r>
        <w:t xml:space="preserve"> </w:t>
      </w:r>
      <w:hyperlink r:id="rId1844">
        <w:r>
          <w:rPr>
            <w:rStyle w:val="Hyperlink"/>
          </w:rPr>
          <w:t xml:space="preserve">https://raw.githubusercontent.com/MicrosoftDocs/azure-docs/main/articles/api-management/genai-gateway-capabilities.md</w:t>
        </w:r>
      </w:hyperlink>
      <w:r>
        <w:t xml:space="preserve"> </w:t>
      </w:r>
      <w:r>
        <w:t xml:space="preserve">accessed 2026-10-07</w:t>
      </w:r>
    </w:p>
  </w:footnote>
  <w:footnote w:id="1857">
    <w:p>
      <w:pPr>
        <w:pStyle w:val="FootnoteText"/>
      </w:pPr>
      <w:r>
        <w:rPr>
          <w:rStyle w:val="FootnoteReference"/>
        </w:rPr>
        <w:footnoteRef/>
      </w:r>
      <w:r>
        <w:t xml:space="preserve"> </w:t>
      </w:r>
      <w:r>
        <w:t xml:space="preserve">Verified fact — A6-S053: AI gateway capabilities in Azure API Management (Microsoft Learn source, ms.date 29 May 2026)</w:t>
      </w:r>
      <w:r>
        <w:t xml:space="preserve"> </w:t>
      </w:r>
      <w:hyperlink r:id="rId1844">
        <w:r>
          <w:rPr>
            <w:rStyle w:val="Hyperlink"/>
          </w:rPr>
          <w:t xml:space="preserve">https://raw.githubusercontent.com/MicrosoftDocs/azure-docs/main/articles/api-management/genai-gateway-capabilities.md</w:t>
        </w:r>
      </w:hyperlink>
      <w:r>
        <w:t xml:space="preserve"> </w:t>
      </w:r>
      <w:r>
        <w:t xml:space="preserve">accessed 2026-10-07; A6-S020: Azure API Management AI gateway docs and Tech Community announcements (AI Gateway tier preview; Build 2026 updates) (Microsoft)</w:t>
      </w:r>
      <w:r>
        <w:t xml:space="preserve"> </w:t>
      </w:r>
      <w:hyperlink r:id="rId1845">
        <w:r>
          <w:rPr>
            <w:rStyle w:val="Hyperlink"/>
          </w:rPr>
          <w:t xml:space="preserve">https://learn.microsoft.com/en-us/azure/api-management/ai-gateway-overview</w:t>
        </w:r>
      </w:hyperlink>
      <w:r>
        <w:t xml:space="preserve"> </w:t>
      </w:r>
      <w:r>
        <w:t xml:space="preserve">accessed 2026-10-07 [search-tool extract]</w:t>
      </w:r>
    </w:p>
  </w:footnote>
  <w:footnote w:id="1858">
    <w:p>
      <w:pPr>
        <w:pStyle w:val="FootnoteText"/>
      </w:pPr>
      <w:r>
        <w:rPr>
          <w:rStyle w:val="FootnoteReference"/>
        </w:rPr>
        <w:footnoteRef/>
      </w:r>
      <w:r>
        <w:t xml:space="preserve"> </w:t>
      </w:r>
      <w:r>
        <w:t xml:space="preserve">Verified fact — A6-S053: AI gateway capabilities in Azure API Management (Microsoft Learn source, ms.date 29 May 2026)</w:t>
      </w:r>
      <w:r>
        <w:t xml:space="preserve"> </w:t>
      </w:r>
      <w:hyperlink r:id="rId1844">
        <w:r>
          <w:rPr>
            <w:rStyle w:val="Hyperlink"/>
          </w:rPr>
          <w:t xml:space="preserve">https://raw.githubusercontent.com/MicrosoftDocs/azure-docs/main/articles/api-management/genai-gateway-capabilities.md</w:t>
        </w:r>
      </w:hyperlink>
      <w:r>
        <w:t xml:space="preserve"> </w:t>
      </w:r>
      <w:r>
        <w:t xml:space="preserve">accessed 2026-10-07</w:t>
      </w:r>
    </w:p>
  </w:footnote>
  <w:footnote w:id="1859">
    <w:p>
      <w:pPr>
        <w:pStyle w:val="FootnoteText"/>
      </w:pPr>
      <w:r>
        <w:rPr>
          <w:rStyle w:val="FootnoteReference"/>
        </w:rPr>
        <w:footnoteRef/>
      </w:r>
      <w:r>
        <w:t xml:space="preserve"> </w:t>
      </w:r>
      <w:r>
        <w:t xml:space="preserve">Verified fact — A6-S020: Azure API Management AI gateway docs and Tech Community announcements (AI Gateway tier preview; Build 2026 updates) (Microsoft)</w:t>
      </w:r>
      <w:r>
        <w:t xml:space="preserve"> </w:t>
      </w:r>
      <w:hyperlink r:id="rId1845">
        <w:r>
          <w:rPr>
            <w:rStyle w:val="Hyperlink"/>
          </w:rPr>
          <w:t xml:space="preserve">https://learn.microsoft.com/en-us/azure/api-management/ai-gateway-overview</w:t>
        </w:r>
      </w:hyperlink>
      <w:r>
        <w:t xml:space="preserve"> </w:t>
      </w:r>
      <w:r>
        <w:t xml:space="preserve">accessed 2026-10-07 [search-tool extract]</w:t>
      </w:r>
    </w:p>
  </w:footnote>
  <w:footnote w:id="1860">
    <w:p>
      <w:pPr>
        <w:pStyle w:val="FootnoteText"/>
      </w:pPr>
      <w:r>
        <w:rPr>
          <w:rStyle w:val="FootnoteReference"/>
        </w:rPr>
        <w:footnoteRef/>
      </w:r>
      <w:r>
        <w:t xml:space="preserve"> </w:t>
      </w:r>
      <w:r>
        <w:t xml:space="preserve">Verified fact — A6-S056: Azure services in FedRAMP and DoD audit scope (Microsoft Learn source)</w:t>
      </w:r>
      <w:r>
        <w:t xml:space="preserve"> </w:t>
      </w:r>
      <w:hyperlink r:id="rId1848">
        <w:r>
          <w:rPr>
            <w:rStyle w:val="Hyperlink"/>
          </w:rPr>
          <w:t xml:space="preserve">https://raw.githubusercontent.com/MicrosoftDocs/azure-docs/main/articles/azure-government/compliance/azure-services-in-fedramp-auditscope.md</w:t>
        </w:r>
      </w:hyperlink>
      <w:r>
        <w:t xml:space="preserve"> </w:t>
      </w:r>
      <w:r>
        <w:t xml:space="preserve">accessed 2026-10-07</w:t>
      </w:r>
    </w:p>
  </w:footnote>
  <w:footnote w:id="1861">
    <w:p>
      <w:pPr>
        <w:pStyle w:val="FootnoteText"/>
      </w:pPr>
      <w:r>
        <w:rPr>
          <w:rStyle w:val="FootnoteReference"/>
        </w:rPr>
        <w:footnoteRef/>
      </w:r>
      <w:r>
        <w:t xml:space="preserve"> </w:t>
      </w:r>
      <w:r>
        <w:t xml:space="preserve">Verified fact — A6-S020: Azure API Management AI gateway docs and Tech Community announcements (AI Gateway tier preview; Build 2026 updates) (Microsoft)</w:t>
      </w:r>
      <w:r>
        <w:t xml:space="preserve"> </w:t>
      </w:r>
      <w:hyperlink r:id="rId1845">
        <w:r>
          <w:rPr>
            <w:rStyle w:val="Hyperlink"/>
          </w:rPr>
          <w:t xml:space="preserve">https://learn.microsoft.com/en-us/azure/api-management/ai-gateway-overview</w:t>
        </w:r>
      </w:hyperlink>
      <w:r>
        <w:t xml:space="preserve"> </w:t>
      </w:r>
      <w:r>
        <w:t xml:space="preserve">accessed 2026-10-07 [search-tool extract]; V2-S073: AI Gateway tier (preview) overview - Azure API Management (with Tech Community</w:t>
      </w:r>
      <w:r>
        <w:t xml:space="preserve"> </w:t>
      </w:r>
      <w:r>
        <w:t xml:space="preserve">‘</w:t>
      </w:r>
      <w:r>
        <w:t xml:space="preserve">AI Gateway tier of API Management now in public preview</w:t>
      </w:r>
      <w:r>
        <w:t xml:space="preserve">’</w:t>
      </w:r>
      <w:r>
        <w:t xml:space="preserve">) (Microsoft)</w:t>
      </w:r>
      <w:r>
        <w:t xml:space="preserve"> </w:t>
      </w:r>
      <w:hyperlink r:id="rId1845">
        <w:r>
          <w:rPr>
            <w:rStyle w:val="Hyperlink"/>
          </w:rPr>
          <w:t xml:space="preserve">https://learn.microsoft.com/en-us/azure/api-management/ai-gateway-overview</w:t>
        </w:r>
      </w:hyperlink>
      <w:r>
        <w:t xml:space="preserve"> </w:t>
      </w:r>
      <w:r>
        <w:t xml:space="preserve">accessed 2026-10-08 [search-tool extract]</w:t>
      </w:r>
    </w:p>
  </w:footnote>
  <w:footnote w:id="1862">
    <w:p>
      <w:pPr>
        <w:pStyle w:val="FootnoteText"/>
      </w:pPr>
      <w:r>
        <w:rPr>
          <w:rStyle w:val="FootnoteReference"/>
        </w:rPr>
        <w:footnoteRef/>
      </w:r>
      <w:r>
        <w:t xml:space="preserve"> </w:t>
      </w:r>
      <w:r>
        <w:t xml:space="preserve">Verified fact — A6-S053: AI gateway capabilities in Azure API Management (Microsoft Learn source, ms.date 29 May 2026)</w:t>
      </w:r>
      <w:r>
        <w:t xml:space="preserve"> </w:t>
      </w:r>
      <w:hyperlink r:id="rId1844">
        <w:r>
          <w:rPr>
            <w:rStyle w:val="Hyperlink"/>
          </w:rPr>
          <w:t xml:space="preserve">https://raw.githubusercontent.com/MicrosoftDocs/azure-docs/main/articles/api-management/genai-gateway-capabilities.md</w:t>
        </w:r>
      </w:hyperlink>
      <w:r>
        <w:t xml:space="preserve"> </w:t>
      </w:r>
      <w:r>
        <w:t xml:space="preserve">accessed 2026-10-07</w:t>
      </w:r>
    </w:p>
  </w:footnote>
  <w:footnote w:id="1864">
    <w:p>
      <w:pPr>
        <w:pStyle w:val="FootnoteText"/>
      </w:pPr>
      <w:r>
        <w:rPr>
          <w:rStyle w:val="FootnoteReference"/>
        </w:rPr>
        <w:footnoteRef/>
      </w:r>
      <w:r>
        <w:t xml:space="preserve"> </w:t>
      </w:r>
      <w:r>
        <w:t xml:space="preserve">Verified fact — A6-S074: AWS API model: Amazon Bedrock AgentCore control plane (botocore service-2.json) (Amazon Web Services (via boto/botocore))</w:t>
      </w:r>
      <w:r>
        <w:t xml:space="preserve"> </w:t>
      </w:r>
      <w:hyperlink r:id="rId883">
        <w:r>
          <w:rPr>
            <w:rStyle w:val="Hyperlink"/>
          </w:rPr>
          <w:t xml:space="preserve">https://raw.githubusercontent.com/boto/botocore/develop/botocore/data/bedrock-agentcore-control/2023-06-05/service-2.json</w:t>
        </w:r>
      </w:hyperlink>
      <w:r>
        <w:t xml:space="preserve"> </w:t>
      </w:r>
      <w:r>
        <w:t xml:space="preserve">accessed 2026-10-07; A6-S105: AgentCore Gateway: Inference targets; Inference connector/provider targets; Add rate limits to a gateway (Amazon Web Services)</w:t>
      </w:r>
      <w:r>
        <w:t xml:space="preserve"> </w:t>
      </w:r>
      <w:hyperlink r:id="rId890">
        <w:r>
          <w:rPr>
            <w:rStyle w:val="Hyperlink"/>
          </w:rPr>
          <w:t xml:space="preserve">https://docs.aws.amazon.com/bedrock-agentcore/latest/devguide/gateway-targets-inference.html</w:t>
        </w:r>
      </w:hyperlink>
      <w:r>
        <w:t xml:space="preserve"> </w:t>
      </w:r>
      <w:r>
        <w:t xml:space="preserve">accessed 2026-10-07 [search-tool extract]</w:t>
      </w:r>
    </w:p>
  </w:footnote>
  <w:footnote w:id="1865">
    <w:p>
      <w:pPr>
        <w:pStyle w:val="FootnoteText"/>
      </w:pPr>
      <w:r>
        <w:rPr>
          <w:rStyle w:val="FootnoteReference"/>
        </w:rPr>
        <w:footnoteRef/>
      </w:r>
      <w:r>
        <w:t xml:space="preserve"> </w:t>
      </w:r>
      <w:r>
        <w:t xml:space="preserve">Verified fact — A6-S074: AWS API model: Amazon Bedrock AgentCore control plane (botocore service-2.json) (Amazon Web Services (via boto/botocore))</w:t>
      </w:r>
      <w:r>
        <w:t xml:space="preserve"> </w:t>
      </w:r>
      <w:hyperlink r:id="rId883">
        <w:r>
          <w:rPr>
            <w:rStyle w:val="Hyperlink"/>
          </w:rPr>
          <w:t xml:space="preserve">https://raw.githubusercontent.com/boto/botocore/develop/botocore/data/bedrock-agentcore-control/2023-06-05/service-2.json</w:t>
        </w:r>
      </w:hyperlink>
      <w:r>
        <w:t xml:space="preserve"> </w:t>
      </w:r>
      <w:r>
        <w:t xml:space="preserve">accessed 2026-10-07</w:t>
      </w:r>
    </w:p>
  </w:footnote>
  <w:footnote w:id="1866">
    <w:p>
      <w:pPr>
        <w:pStyle w:val="FootnoteText"/>
      </w:pPr>
      <w:r>
        <w:rPr>
          <w:rStyle w:val="FootnoteReference"/>
        </w:rPr>
        <w:footnoteRef/>
      </w:r>
      <w:r>
        <w:t xml:space="preserve"> </w:t>
      </w:r>
      <w:r>
        <w:t xml:space="preserve">Verified fact — B-C1-S004: Release notes for Amazon Bedrock AgentCore (Amazon Web Services)</w:t>
      </w:r>
      <w:r>
        <w:t xml:space="preserve"> </w:t>
      </w:r>
      <w:hyperlink r:id="rId766">
        <w:r>
          <w:rPr>
            <w:rStyle w:val="Hyperlink"/>
          </w:rPr>
          <w:t xml:space="preserve">https://docs.aws.amazon.com/bedrock-agentcore/latest/devguide/release-notes.html</w:t>
        </w:r>
      </w:hyperlink>
      <w:r>
        <w:t xml:space="preserve"> </w:t>
      </w:r>
      <w:r>
        <w:t xml:space="preserve">accessed 2026-10-08 [search-tool extract]; B-C1-S005: AWS Services in Scope by Compliance Program - SOC (Amazon Web Services)</w:t>
      </w:r>
      <w:r>
        <w:t xml:space="preserve"> </w:t>
      </w:r>
      <w:hyperlink r:id="rId882">
        <w:r>
          <w:rPr>
            <w:rStyle w:val="Hyperlink"/>
          </w:rPr>
          <w:t xml:space="preserve">https://aws.amazon.com/compliance/services-in-scope/SOC/</w:t>
        </w:r>
      </w:hyperlink>
      <w:r>
        <w:t xml:space="preserve"> </w:t>
      </w:r>
      <w:r>
        <w:t xml:space="preserve">accessed 2026-10-08 [search-tool extract]; B-C1-S006: Amazon Bedrock AgentCore FAQs (Amazon Web Services)</w:t>
      </w:r>
      <w:r>
        <w:t xml:space="preserve"> </w:t>
      </w:r>
      <w:hyperlink r:id="rId1867">
        <w:r>
          <w:rPr>
            <w:rStyle w:val="Hyperlink"/>
          </w:rPr>
          <w:t xml:space="preserve">https://aws.amazon.com/bedrock/agentcore/faqs/</w:t>
        </w:r>
      </w:hyperlink>
      <w:r>
        <w:t xml:space="preserve"> </w:t>
      </w:r>
      <w:r>
        <w:t xml:space="preserve">accessed 2026-10-08 [search-tool extract]</w:t>
      </w:r>
    </w:p>
  </w:footnote>
  <w:footnote w:id="1868">
    <w:p>
      <w:pPr>
        <w:pStyle w:val="FootnoteText"/>
      </w:pPr>
      <w:r>
        <w:rPr>
          <w:rStyle w:val="FootnoteReference"/>
        </w:rPr>
        <w:footnoteRef/>
      </w:r>
      <w:r>
        <w:t xml:space="preserve"> </w:t>
      </w:r>
      <w:r>
        <w:t xml:space="preserve">Verified fact — A6-S074: AWS API model: Amazon Bedrock AgentCore control plane (botocore service-2.json) (Amazon Web Services (via boto/botocore))</w:t>
      </w:r>
      <w:r>
        <w:t xml:space="preserve"> </w:t>
      </w:r>
      <w:hyperlink r:id="rId883">
        <w:r>
          <w:rPr>
            <w:rStyle w:val="Hyperlink"/>
          </w:rPr>
          <w:t xml:space="preserve">https://raw.githubusercontent.com/boto/botocore/develop/botocore/data/bedrock-agentcore-control/2023-06-05/service-2.json</w:t>
        </w:r>
      </w:hyperlink>
      <w:r>
        <w:t xml:space="preserve"> </w:t>
      </w:r>
      <w:r>
        <w:t xml:space="preserve">accessed 2026-10-07</w:t>
      </w:r>
    </w:p>
  </w:footnote>
  <w:footnote w:id="1869">
    <w:p>
      <w:pPr>
        <w:pStyle w:val="FootnoteText"/>
      </w:pPr>
      <w:r>
        <w:rPr>
          <w:rStyle w:val="FootnoteReference"/>
        </w:rPr>
        <w:footnoteRef/>
      </w:r>
      <w:r>
        <w:t xml:space="preserve"> </w:t>
      </w:r>
      <w:r>
        <w:t xml:space="preserve">Verified fact — A6-S021: Amazon Bedrock AgentCore Pricing; AgentCore GA announcement (Oct 2025); AgentCore Gateway docs (Amazon Web Services)</w:t>
      </w:r>
      <w:r>
        <w:t xml:space="preserve"> </w:t>
      </w:r>
      <w:hyperlink r:id="rId764">
        <w:r>
          <w:rPr>
            <w:rStyle w:val="Hyperlink"/>
          </w:rPr>
          <w:t xml:space="preserve">https://aws.amazon.com/bedrock/agentcore/pricing/</w:t>
        </w:r>
      </w:hyperlink>
      <w:r>
        <w:t xml:space="preserve"> </w:t>
      </w:r>
      <w:r>
        <w:t xml:space="preserve">accessed 2026-10-07 [search-tool extract]; A6-S026: Policy in Amazon Bedrock AgentCore is now generally available; AgentCore Policy docs; Why Policy in AgentCore chose Cedar (Amazon Web Services)</w:t>
      </w:r>
      <w:r>
        <w:t xml:space="preserve"> </w:t>
      </w:r>
      <w:hyperlink r:id="rId880">
        <w:r>
          <w:rPr>
            <w:rStyle w:val="Hyperlink"/>
          </w:rPr>
          <w:t xml:space="preserve">https://aws.amazon.com/about-aws/whats-new/2026/03/policy-amazon-bedrock-agentcore-generally-available/</w:t>
        </w:r>
      </w:hyperlink>
      <w:r>
        <w:t xml:space="preserve"> </w:t>
      </w:r>
      <w:r>
        <w:t xml:space="preserve">accessed 2026-10-07 [search-tool extract]</w:t>
      </w:r>
    </w:p>
  </w:footnote>
  <w:footnote w:id="1870">
    <w:p>
      <w:pPr>
        <w:pStyle w:val="FootnoteText"/>
      </w:pPr>
      <w:r>
        <w:rPr>
          <w:rStyle w:val="FootnoteReference"/>
        </w:rPr>
        <w:footnoteRef/>
      </w:r>
      <w:r>
        <w:t xml:space="preserve"> </w:t>
      </w:r>
      <w:r>
        <w:t xml:space="preserve">Verified fact — A6-S016: Kong AI Gateway 2.0 Is Now GA — And It’s Already Moving Faster (Kong Inc.)</w:t>
      </w:r>
      <w:r>
        <w:t xml:space="preserve"> </w:t>
      </w:r>
      <w:hyperlink r:id="rId1756">
        <w:r>
          <w:rPr>
            <w:rStyle w:val="Hyperlink"/>
          </w:rPr>
          <w:t xml:space="preserve">https://konghq.com/blog/product-releases/kong-ai-gateway-2-0-ga</w:t>
        </w:r>
      </w:hyperlink>
      <w:r>
        <w:t xml:space="preserve"> </w:t>
      </w:r>
      <w:r>
        <w:t xml:space="preserve">accessed 2026-10-07 [search-tool extract]; A6-S058: What’s new in Microsoft Entra Agent ID (Microsoft Learn source)</w:t>
      </w:r>
      <w:r>
        <w:t xml:space="preserve"> </w:t>
      </w:r>
      <w:hyperlink r:id="rId1871">
        <w:r>
          <w:rPr>
            <w:rStyle w:val="Hyperlink"/>
          </w:rPr>
          <w:t xml:space="preserve">https://raw.githubusercontent.com/MicrosoftDocs/entra-docs/main/docs/agent-id/whats-new-agent-id.md</w:t>
        </w:r>
      </w:hyperlink>
      <w:r>
        <w:t xml:space="preserve"> </w:t>
      </w:r>
      <w:r>
        <w:t xml:space="preserve">accessed 2026-10-07</w:t>
      </w:r>
    </w:p>
  </w:footnote>
  <w:footnote w:id="1872">
    <w:p>
      <w:pPr>
        <w:pStyle w:val="FootnoteText"/>
      </w:pPr>
      <w:r>
        <w:rPr>
          <w:rStyle w:val="FootnoteReference"/>
        </w:rPr>
        <w:footnoteRef/>
      </w:r>
      <w:r>
        <w:t xml:space="preserve"> </w:t>
      </w:r>
      <w:r>
        <w:t xml:space="preserve">Verified fact — A6-S021: Amazon Bedrock AgentCore Pricing; AgentCore GA announcement (Oct 2025); AgentCore Gateway docs (Amazon Web Services)</w:t>
      </w:r>
      <w:r>
        <w:t xml:space="preserve"> </w:t>
      </w:r>
      <w:hyperlink r:id="rId764">
        <w:r>
          <w:rPr>
            <w:rStyle w:val="Hyperlink"/>
          </w:rPr>
          <w:t xml:space="preserve">https://aws.amazon.com/bedrock/agentcore/pricing/</w:t>
        </w:r>
      </w:hyperlink>
      <w:r>
        <w:t xml:space="preserve"> </w:t>
      </w:r>
      <w:r>
        <w:t xml:space="preserve">accessed 2026-10-07 [search-tool extract]; A6-S106: Announcing temporal policies and rate limiting in Amazon Bedrock AgentCore (Amazon Web Services)</w:t>
      </w:r>
      <w:r>
        <w:t xml:space="preserve"> </w:t>
      </w:r>
      <w:hyperlink r:id="rId1873">
        <w:r>
          <w:rPr>
            <w:rStyle w:val="Hyperlink"/>
          </w:rPr>
          <w:t xml:space="preserve">https://aws.amazon.com/about-aws/whats-new/2026/08/temporal-policies-agentcore/</w:t>
        </w:r>
      </w:hyperlink>
      <w:r>
        <w:t xml:space="preserve"> </w:t>
      </w:r>
      <w:r>
        <w:t xml:space="preserve">accessed 2026-10-07 [search-tool extract]</w:t>
      </w:r>
    </w:p>
  </w:footnote>
  <w:footnote w:id="1874">
    <w:p>
      <w:pPr>
        <w:pStyle w:val="FootnoteText"/>
      </w:pPr>
      <w:r>
        <w:rPr>
          <w:rStyle w:val="FootnoteReference"/>
        </w:rPr>
        <w:footnoteRef/>
      </w:r>
      <w:r>
        <w:t xml:space="preserve"> </w:t>
      </w:r>
      <w:r>
        <w:t xml:space="preserve">Verified fact — A6-S021: Amazon Bedrock AgentCore Pricing; AgentCore GA announcement (Oct 2025); AgentCore Gateway docs (Amazon Web Services)</w:t>
      </w:r>
      <w:r>
        <w:t xml:space="preserve"> </w:t>
      </w:r>
      <w:hyperlink r:id="rId764">
        <w:r>
          <w:rPr>
            <w:rStyle w:val="Hyperlink"/>
          </w:rPr>
          <w:t xml:space="preserve">https://aws.amazon.com/bedrock/agentcore/pricing/</w:t>
        </w:r>
      </w:hyperlink>
      <w:r>
        <w:t xml:space="preserve"> </w:t>
      </w:r>
      <w:r>
        <w:t xml:space="preserve">accessed 2026-10-07 [search-tool extract]</w:t>
      </w:r>
    </w:p>
  </w:footnote>
  <w:footnote w:id="1875">
    <w:p>
      <w:pPr>
        <w:pStyle w:val="FootnoteText"/>
      </w:pPr>
      <w:r>
        <w:rPr>
          <w:rStyle w:val="FootnoteReference"/>
        </w:rPr>
        <w:footnoteRef/>
      </w:r>
      <w:r>
        <w:t xml:space="preserve"> </w:t>
      </w:r>
      <w:r>
        <w:t xml:space="preserve">Verified fact — A6-S074: AWS API model: Amazon Bedrock AgentCore control plane (botocore service-2.json) (Amazon Web Services (via boto/botocore))</w:t>
      </w:r>
      <w:r>
        <w:t xml:space="preserve"> </w:t>
      </w:r>
      <w:hyperlink r:id="rId883">
        <w:r>
          <w:rPr>
            <w:rStyle w:val="Hyperlink"/>
          </w:rPr>
          <w:t xml:space="preserve">https://raw.githubusercontent.com/boto/botocore/develop/botocore/data/bedrock-agentcore-control/2023-06-05/service-2.json</w:t>
        </w:r>
      </w:hyperlink>
      <w:r>
        <w:t xml:space="preserve"> </w:t>
      </w:r>
      <w:r>
        <w:t xml:space="preserve">accessed 2026-10-07</w:t>
      </w:r>
    </w:p>
  </w:footnote>
  <w:footnote w:id="1876">
    <w:p>
      <w:pPr>
        <w:pStyle w:val="FootnoteText"/>
      </w:pPr>
      <w:r>
        <w:rPr>
          <w:rStyle w:val="FootnoteReference"/>
        </w:rPr>
        <w:footnoteRef/>
      </w:r>
      <w:r>
        <w:t xml:space="preserve"> </w:t>
      </w:r>
      <w:r>
        <w:t xml:space="preserve">Verified fact — A6-S021: Amazon Bedrock AgentCore Pricing; AgentCore GA announcement (Oct 2025); AgentCore Gateway docs (Amazon Web Services)</w:t>
      </w:r>
      <w:r>
        <w:t xml:space="preserve"> </w:t>
      </w:r>
      <w:hyperlink r:id="rId764">
        <w:r>
          <w:rPr>
            <w:rStyle w:val="Hyperlink"/>
          </w:rPr>
          <w:t xml:space="preserve">https://aws.amazon.com/bedrock/agentcore/pricing/</w:t>
        </w:r>
      </w:hyperlink>
      <w:r>
        <w:t xml:space="preserve"> </w:t>
      </w:r>
      <w:r>
        <w:t xml:space="preserve">accessed 2026-10-07 [search-tool extract]; A6-S074: AWS API model: Amazon Bedrock AgentCore control plane (botocore service-2.json) (Amazon Web Services (via boto/botocore))</w:t>
      </w:r>
      <w:r>
        <w:t xml:space="preserve"> </w:t>
      </w:r>
      <w:hyperlink r:id="rId883">
        <w:r>
          <w:rPr>
            <w:rStyle w:val="Hyperlink"/>
          </w:rPr>
          <w:t xml:space="preserve">https://raw.githubusercontent.com/boto/botocore/develop/botocore/data/bedrock-agentcore-control/2023-06-05/service-2.json</w:t>
        </w:r>
      </w:hyperlink>
      <w:r>
        <w:t xml:space="preserve"> </w:t>
      </w:r>
      <w:r>
        <w:t xml:space="preserve">accessed 2026-10-07; A6-S105: AgentCore Gateway: Inference targets; Inference connector/provider targets; Add rate limits to a gateway (Amazon Web Services)</w:t>
      </w:r>
      <w:r>
        <w:t xml:space="preserve"> </w:t>
      </w:r>
      <w:hyperlink r:id="rId890">
        <w:r>
          <w:rPr>
            <w:rStyle w:val="Hyperlink"/>
          </w:rPr>
          <w:t xml:space="preserve">https://docs.aws.amazon.com/bedrock-agentcore/latest/devguide/gateway-targets-inference.html</w:t>
        </w:r>
      </w:hyperlink>
      <w:r>
        <w:t xml:space="preserve"> </w:t>
      </w:r>
      <w:r>
        <w:t xml:space="preserve">accessed 2026-10-07 [search-tool extract]; A6-S026: Policy in Amazon Bedrock AgentCore is now generally available; AgentCore Policy docs; Why Policy in AgentCore chose Cedar (Amazon Web Services)</w:t>
      </w:r>
      <w:r>
        <w:t xml:space="preserve"> </w:t>
      </w:r>
      <w:hyperlink r:id="rId880">
        <w:r>
          <w:rPr>
            <w:rStyle w:val="Hyperlink"/>
          </w:rPr>
          <w:t xml:space="preserve">https://aws.amazon.com/about-aws/whats-new/2026/03/policy-amazon-bedrock-agentcore-generally-available/</w:t>
        </w:r>
      </w:hyperlink>
      <w:r>
        <w:t xml:space="preserve"> </w:t>
      </w:r>
      <w:r>
        <w:t xml:space="preserve">accessed 2026-10-07 [search-tool extract]</w:t>
      </w:r>
    </w:p>
  </w:footnote>
  <w:footnote w:id="1877">
    <w:p>
      <w:pPr>
        <w:pStyle w:val="FootnoteText"/>
      </w:pPr>
      <w:r>
        <w:rPr>
          <w:rStyle w:val="FootnoteReference"/>
        </w:rPr>
        <w:footnoteRef/>
      </w:r>
      <w:r>
        <w:t xml:space="preserve"> </w:t>
      </w:r>
      <w:r>
        <w:t xml:space="preserve">Verified fact — A6-S026: Policy in Amazon Bedrock AgentCore is now generally available; AgentCore Policy docs; Why Policy in AgentCore chose Cedar (Amazon Web Services)</w:t>
      </w:r>
      <w:r>
        <w:t xml:space="preserve"> </w:t>
      </w:r>
      <w:hyperlink r:id="rId880">
        <w:r>
          <w:rPr>
            <w:rStyle w:val="Hyperlink"/>
          </w:rPr>
          <w:t xml:space="preserve">https://aws.amazon.com/about-aws/whats-new/2026/03/policy-amazon-bedrock-agentcore-generally-available/</w:t>
        </w:r>
      </w:hyperlink>
      <w:r>
        <w:t xml:space="preserve"> </w:t>
      </w:r>
      <w:r>
        <w:t xml:space="preserve">accessed 2026-10-07 [search-tool extract]</w:t>
      </w:r>
    </w:p>
  </w:footnote>
  <w:footnote w:id="1878">
    <w:p>
      <w:pPr>
        <w:pStyle w:val="FootnoteText"/>
      </w:pPr>
      <w:r>
        <w:rPr>
          <w:rStyle w:val="FootnoteReference"/>
        </w:rPr>
        <w:footnoteRef/>
      </w:r>
      <w:r>
        <w:t xml:space="preserve"> </w:t>
      </w:r>
      <w:r>
        <w:t xml:space="preserve">Verified fact — A6-S021: Amazon Bedrock AgentCore Pricing; AgentCore GA announcement (Oct 2025); AgentCore Gateway docs (Amazon Web Services)</w:t>
      </w:r>
      <w:r>
        <w:t xml:space="preserve"> </w:t>
      </w:r>
      <w:hyperlink r:id="rId764">
        <w:r>
          <w:rPr>
            <w:rStyle w:val="Hyperlink"/>
          </w:rPr>
          <w:t xml:space="preserve">https://aws.amazon.com/bedrock/agentcore/pricing/</w:t>
        </w:r>
      </w:hyperlink>
      <w:r>
        <w:t xml:space="preserve"> </w:t>
      </w:r>
      <w:r>
        <w:t xml:space="preserve">accessed 2026-10-07 [search-tool extract]</w:t>
      </w:r>
    </w:p>
  </w:footnote>
  <w:footnote w:id="1879">
    <w:p>
      <w:pPr>
        <w:pStyle w:val="FootnoteText"/>
      </w:pPr>
      <w:r>
        <w:rPr>
          <w:rStyle w:val="FootnoteReference"/>
        </w:rPr>
        <w:footnoteRef/>
      </w:r>
      <w:r>
        <w:t xml:space="preserve"> </w:t>
      </w:r>
      <w:r>
        <w:t xml:space="preserve">Verified fact — A6-S021: Amazon Bedrock AgentCore Pricing; AgentCore GA announcement (Oct 2025); AgentCore Gateway docs (Amazon Web Services)</w:t>
      </w:r>
      <w:r>
        <w:t xml:space="preserve"> </w:t>
      </w:r>
      <w:hyperlink r:id="rId764">
        <w:r>
          <w:rPr>
            <w:rStyle w:val="Hyperlink"/>
          </w:rPr>
          <w:t xml:space="preserve">https://aws.amazon.com/bedrock/agentcore/pricing/</w:t>
        </w:r>
      </w:hyperlink>
      <w:r>
        <w:t xml:space="preserve"> </w:t>
      </w:r>
      <w:r>
        <w:t xml:space="preserve">accessed 2026-10-07 [search-tool extract]</w:t>
      </w:r>
    </w:p>
  </w:footnote>
  <w:footnote w:id="1880">
    <w:p>
      <w:pPr>
        <w:pStyle w:val="FootnoteText"/>
      </w:pPr>
      <w:r>
        <w:rPr>
          <w:rStyle w:val="FootnoteReference"/>
        </w:rPr>
        <w:footnoteRef/>
      </w:r>
      <w:r>
        <w:t xml:space="preserve"> </w:t>
      </w:r>
      <w:r>
        <w:t xml:space="preserve">Verified fact — A6-S105: AgentCore Gateway: Inference targets; Inference connector/provider targets; Add rate limits to a gateway (Amazon Web Services)</w:t>
      </w:r>
      <w:r>
        <w:t xml:space="preserve"> </w:t>
      </w:r>
      <w:hyperlink r:id="rId890">
        <w:r>
          <w:rPr>
            <w:rStyle w:val="Hyperlink"/>
          </w:rPr>
          <w:t xml:space="preserve">https://docs.aws.amazon.com/bedrock-agentcore/latest/devguide/gateway-targets-inference.html</w:t>
        </w:r>
      </w:hyperlink>
      <w:r>
        <w:t xml:space="preserve"> </w:t>
      </w:r>
      <w:r>
        <w:t xml:space="preserve">accessed 2026-10-07 [search-tool extract]; A6-S106: Announcing temporal policies and rate limiting in Amazon Bedrock AgentCore (Amazon Web Services)</w:t>
      </w:r>
      <w:r>
        <w:t xml:space="preserve"> </w:t>
      </w:r>
      <w:hyperlink r:id="rId1873">
        <w:r>
          <w:rPr>
            <w:rStyle w:val="Hyperlink"/>
          </w:rPr>
          <w:t xml:space="preserve">https://aws.amazon.com/about-aws/whats-new/2026/08/temporal-policies-agentcore/</w:t>
        </w:r>
      </w:hyperlink>
      <w:r>
        <w:t xml:space="preserve"> </w:t>
      </w:r>
      <w:r>
        <w:t xml:space="preserve">accessed 2026-10-07 [search-tool extract]</w:t>
      </w:r>
    </w:p>
  </w:footnote>
  <w:footnote w:id="1881">
    <w:p>
      <w:pPr>
        <w:pStyle w:val="FootnoteText"/>
      </w:pPr>
      <w:r>
        <w:rPr>
          <w:rStyle w:val="FootnoteReference"/>
        </w:rPr>
        <w:footnoteRef/>
      </w:r>
      <w:r>
        <w:t xml:space="preserve"> </w:t>
      </w:r>
      <w:r>
        <w:t xml:space="preserve">Verified fact — A6-S074: AWS API model: Amazon Bedrock AgentCore control plane (botocore service-2.json) (Amazon Web Services (via boto/botocore))</w:t>
      </w:r>
      <w:r>
        <w:t xml:space="preserve"> </w:t>
      </w:r>
      <w:hyperlink r:id="rId883">
        <w:r>
          <w:rPr>
            <w:rStyle w:val="Hyperlink"/>
          </w:rPr>
          <w:t xml:space="preserve">https://raw.githubusercontent.com/boto/botocore/develop/botocore/data/bedrock-agentcore-control/2023-06-05/service-2.json</w:t>
        </w:r>
      </w:hyperlink>
      <w:r>
        <w:t xml:space="preserve"> </w:t>
      </w:r>
      <w:r>
        <w:t xml:space="preserve">accessed 2026-10-07</w:t>
      </w:r>
    </w:p>
  </w:footnote>
  <w:footnote w:id="1882">
    <w:p>
      <w:pPr>
        <w:pStyle w:val="FootnoteText"/>
      </w:pPr>
      <w:r>
        <w:rPr>
          <w:rStyle w:val="FootnoteReference"/>
        </w:rPr>
        <w:footnoteRef/>
      </w:r>
      <w:r>
        <w:t xml:space="preserve"> </w:t>
      </w:r>
      <w:r>
        <w:t xml:space="preserve">Verified fact — A6-S074: AWS API model: Amazon Bedrock AgentCore control plane (botocore service-2.json) (Amazon Web Services (via boto/botocore))</w:t>
      </w:r>
      <w:r>
        <w:t xml:space="preserve"> </w:t>
      </w:r>
      <w:hyperlink r:id="rId883">
        <w:r>
          <w:rPr>
            <w:rStyle w:val="Hyperlink"/>
          </w:rPr>
          <w:t xml:space="preserve">https://raw.githubusercontent.com/boto/botocore/develop/botocore/data/bedrock-agentcore-control/2023-06-05/service-2.json</w:t>
        </w:r>
      </w:hyperlink>
      <w:r>
        <w:t xml:space="preserve"> </w:t>
      </w:r>
      <w:r>
        <w:t xml:space="preserve">accessed 2026-10-07</w:t>
      </w:r>
    </w:p>
  </w:footnote>
  <w:footnote w:id="1883">
    <w:p>
      <w:pPr>
        <w:pStyle w:val="FootnoteText"/>
      </w:pPr>
      <w:r>
        <w:rPr>
          <w:rStyle w:val="FootnoteReference"/>
        </w:rPr>
        <w:footnoteRef/>
      </w:r>
      <w:r>
        <w:t xml:space="preserve"> </w:t>
      </w:r>
      <w:r>
        <w:t xml:space="preserve">Verified fact — A6-S022: Guidance for Multi-Provider Generative AI Gateway on AWS; Implementing resilience patterns with Amazon Bedrock and LLM gateway (Amazon Web Services)</w:t>
      </w:r>
      <w:r>
        <w:t xml:space="preserve"> </w:t>
      </w:r>
      <w:hyperlink r:id="rId1737">
        <w:r>
          <w:rPr>
            <w:rStyle w:val="Hyperlink"/>
          </w:rPr>
          <w:t xml:space="preserve">https://aws.amazon.com/solutions/guidance/multi-provider-generative-ai-gateway-on-aws/</w:t>
        </w:r>
      </w:hyperlink>
      <w:r>
        <w:t xml:space="preserve"> </w:t>
      </w:r>
      <w:r>
        <w:t xml:space="preserve">accessed 2026-10-07 [search-tool extract]</w:t>
      </w:r>
    </w:p>
  </w:footnote>
  <w:footnote w:id="1885">
    <w:p>
      <w:pPr>
        <w:pStyle w:val="FootnoteText"/>
      </w:pPr>
      <w:r>
        <w:rPr>
          <w:rStyle w:val="FootnoteReference"/>
        </w:rPr>
        <w:footnoteRef/>
      </w:r>
      <w:r>
        <w:t xml:space="preserve"> </w:t>
      </w:r>
      <w:r>
        <w:t xml:space="preserve">Verified fact — A6-S063: Envoy AI Gateway / Agent Router README (GitHub) (Envoy AI Gateway project (Agentic AI Foundation))</w:t>
      </w:r>
      <w:r>
        <w:t xml:space="preserve"> </w:t>
      </w:r>
      <w:hyperlink r:id="rId1886">
        <w:r>
          <w:rPr>
            <w:rStyle w:val="Hyperlink"/>
          </w:rPr>
          <w:t xml:space="preserve">https://raw.githubusercontent.com/envoyproxy/ai-gateway/main/README.md</w:t>
        </w:r>
      </w:hyperlink>
      <w:r>
        <w:t xml:space="preserve"> </w:t>
      </w:r>
      <w:r>
        <w:t xml:space="preserve">accessed 2026-10-07</w:t>
      </w:r>
    </w:p>
  </w:footnote>
  <w:footnote w:id="1887">
    <w:p>
      <w:pPr>
        <w:pStyle w:val="FootnoteText"/>
      </w:pPr>
      <w:r>
        <w:rPr>
          <w:rStyle w:val="FootnoteReference"/>
        </w:rPr>
        <w:footnoteRef/>
      </w:r>
      <w:r>
        <w:t xml:space="preserve"> </w:t>
      </w:r>
      <w:r>
        <w:t xml:space="preserve">Verified fact — A6-S063: Envoy AI Gateway / Agent Router README (GitHub) (Envoy AI Gateway project (Agentic AI Foundation))</w:t>
      </w:r>
      <w:r>
        <w:t xml:space="preserve"> </w:t>
      </w:r>
      <w:hyperlink r:id="rId1886">
        <w:r>
          <w:rPr>
            <w:rStyle w:val="Hyperlink"/>
          </w:rPr>
          <w:t xml:space="preserve">https://raw.githubusercontent.com/envoyproxy/ai-gateway/main/README.md</w:t>
        </w:r>
      </w:hyperlink>
      <w:r>
        <w:t xml:space="preserve"> </w:t>
      </w:r>
      <w:r>
        <w:t xml:space="preserve">accessed 2026-10-07</w:t>
      </w:r>
    </w:p>
  </w:footnote>
  <w:footnote w:id="1888">
    <w:p>
      <w:pPr>
        <w:pStyle w:val="FootnoteText"/>
      </w:pPr>
      <w:r>
        <w:rPr>
          <w:rStyle w:val="FootnoteReference"/>
        </w:rPr>
        <w:footnoteRef/>
      </w:r>
      <w:r>
        <w:t xml:space="preserve"> </w:t>
      </w:r>
      <w:r>
        <w:t xml:space="preserve">Verified fact — A6-S063: Envoy AI Gateway / Agent Router README (GitHub) (Envoy AI Gateway project (Agentic AI Foundation))</w:t>
      </w:r>
      <w:r>
        <w:t xml:space="preserve"> </w:t>
      </w:r>
      <w:hyperlink r:id="rId1886">
        <w:r>
          <w:rPr>
            <w:rStyle w:val="Hyperlink"/>
          </w:rPr>
          <w:t xml:space="preserve">https://raw.githubusercontent.com/envoyproxy/ai-gateway/main/README.md</w:t>
        </w:r>
      </w:hyperlink>
      <w:r>
        <w:t xml:space="preserve"> </w:t>
      </w:r>
      <w:r>
        <w:t xml:space="preserve">accessed 2026-10-07</w:t>
      </w:r>
    </w:p>
  </w:footnote>
  <w:footnote w:id="1889">
    <w:p>
      <w:pPr>
        <w:pStyle w:val="FootnoteText"/>
      </w:pPr>
      <w:r>
        <w:rPr>
          <w:rStyle w:val="FootnoteReference"/>
        </w:rPr>
        <w:footnoteRef/>
      </w:r>
      <w:r>
        <w:t xml:space="preserve"> </w:t>
      </w:r>
      <w:r>
        <w:t xml:space="preserve">Verified fact — A6-S063: Envoy AI Gateway / Agent Router README (GitHub) (Envoy AI Gateway project (Agentic AI Foundation))</w:t>
      </w:r>
      <w:r>
        <w:t xml:space="preserve"> </w:t>
      </w:r>
      <w:hyperlink r:id="rId1886">
        <w:r>
          <w:rPr>
            <w:rStyle w:val="Hyperlink"/>
          </w:rPr>
          <w:t xml:space="preserve">https://raw.githubusercontent.com/envoyproxy/ai-gateway/main/README.md</w:t>
        </w:r>
      </w:hyperlink>
      <w:r>
        <w:t xml:space="preserve"> </w:t>
      </w:r>
      <w:r>
        <w:t xml:space="preserve">accessed 2026-10-07</w:t>
      </w:r>
    </w:p>
  </w:footnote>
  <w:footnote w:id="1890">
    <w:p>
      <w:pPr>
        <w:pStyle w:val="FootnoteText"/>
      </w:pPr>
      <w:r>
        <w:rPr>
          <w:rStyle w:val="FootnoteReference"/>
        </w:rPr>
        <w:footnoteRef/>
      </w:r>
      <w:r>
        <w:t xml:space="preserve"> </w:t>
      </w:r>
      <w:r>
        <w:t xml:space="preserve">Verified fact — A6-S063: Envoy AI Gateway / Agent Router README (GitHub) (Envoy AI Gateway project (Agentic AI Foundation))</w:t>
      </w:r>
      <w:r>
        <w:t xml:space="preserve"> </w:t>
      </w:r>
      <w:hyperlink r:id="rId1886">
        <w:r>
          <w:rPr>
            <w:rStyle w:val="Hyperlink"/>
          </w:rPr>
          <w:t xml:space="preserve">https://raw.githubusercontent.com/envoyproxy/ai-gateway/main/README.md</w:t>
        </w:r>
      </w:hyperlink>
      <w:r>
        <w:t xml:space="preserve"> </w:t>
      </w:r>
      <w:r>
        <w:t xml:space="preserve">accessed 2026-10-07</w:t>
      </w:r>
    </w:p>
  </w:footnote>
  <w:footnote w:id="1891">
    <w:p>
      <w:pPr>
        <w:pStyle w:val="FootnoteText"/>
      </w:pPr>
      <w:r>
        <w:rPr>
          <w:rStyle w:val="FootnoteReference"/>
        </w:rPr>
        <w:footnoteRef/>
      </w:r>
      <w:r>
        <w:t xml:space="preserve"> </w:t>
      </w:r>
      <w:r>
        <w:t xml:space="preserve">Verified fact — A6-S064: Go module proxy: github.com/envoyproxy/ai-gateway</w:t>
      </w:r>
      <w:r>
        <w:t xml:space="preserve"> </w:t>
      </w:r>
      <w:r>
        <w:t xml:space="preserve">@latest</w:t>
      </w:r>
      <w:r>
        <w:t xml:space="preserve"> </w:t>
      </w:r>
      <w:r>
        <w:t xml:space="preserve">(Go module proxy (proxy.golang.org))</w:t>
      </w:r>
      <w:r>
        <w:t xml:space="preserve"> </w:t>
      </w:r>
      <w:hyperlink r:id="rId1892">
        <w:r>
          <w:rPr>
            <w:rStyle w:val="Hyperlink"/>
          </w:rPr>
          <w:t xml:space="preserve">https://proxy.golang.org/github.com/envoyproxy/ai-gateway/@latest</w:t>
        </w:r>
      </w:hyperlink>
      <w:r>
        <w:t xml:space="preserve"> </w:t>
      </w:r>
      <w:r>
        <w:t xml:space="preserve">accessed 2026-10-07; V2-S029: Agent Router (formerly Envoy AI Gateway) README (Agent Router project (Agentic AI Foundation))</w:t>
      </w:r>
      <w:r>
        <w:t xml:space="preserve"> </w:t>
      </w:r>
      <w:hyperlink r:id="rId1886">
        <w:r>
          <w:rPr>
            <w:rStyle w:val="Hyperlink"/>
          </w:rPr>
          <w:t xml:space="preserve">https://raw.githubusercontent.com/envoyproxy/ai-gateway/main/README.md</w:t>
        </w:r>
      </w:hyperlink>
      <w:r>
        <w:t xml:space="preserve"> </w:t>
      </w:r>
      <w:r>
        <w:t xml:space="preserve">accessed 2026-10-08</w:t>
      </w:r>
    </w:p>
  </w:footnote>
  <w:footnote w:id="1893">
    <w:p>
      <w:pPr>
        <w:pStyle w:val="FootnoteText"/>
      </w:pPr>
      <w:r>
        <w:rPr>
          <w:rStyle w:val="FootnoteReference"/>
        </w:rPr>
        <w:footnoteRef/>
      </w:r>
      <w:r>
        <w:t xml:space="preserve"> </w:t>
      </w:r>
      <w:r>
        <w:t xml:space="preserve">Verified fact — A6-S063: Envoy AI Gateway / Agent Router README (GitHub) (Envoy AI Gateway project (Agentic AI Foundation))</w:t>
      </w:r>
      <w:r>
        <w:t xml:space="preserve"> </w:t>
      </w:r>
      <w:hyperlink r:id="rId1886">
        <w:r>
          <w:rPr>
            <w:rStyle w:val="Hyperlink"/>
          </w:rPr>
          <w:t xml:space="preserve">https://raw.githubusercontent.com/envoyproxy/ai-gateway/main/README.md</w:t>
        </w:r>
      </w:hyperlink>
      <w:r>
        <w:t xml:space="preserve"> </w:t>
      </w:r>
      <w:r>
        <w:t xml:space="preserve">accessed 2026-10-07</w:t>
      </w:r>
    </w:p>
  </w:footnote>
  <w:footnote w:id="1894">
    <w:p>
      <w:pPr>
        <w:pStyle w:val="FootnoteText"/>
      </w:pPr>
      <w:r>
        <w:rPr>
          <w:rStyle w:val="FootnoteReference"/>
        </w:rPr>
        <w:footnoteRef/>
      </w:r>
      <w:r>
        <w:t xml:space="preserve"> </w:t>
      </w:r>
      <w:r>
        <w:t xml:space="preserve">Verified fact — A6-S063: Envoy AI Gateway / Agent Router README (GitHub) (Envoy AI Gateway project (Agentic AI Foundation))</w:t>
      </w:r>
      <w:r>
        <w:t xml:space="preserve"> </w:t>
      </w:r>
      <w:hyperlink r:id="rId1886">
        <w:r>
          <w:rPr>
            <w:rStyle w:val="Hyperlink"/>
          </w:rPr>
          <w:t xml:space="preserve">https://raw.githubusercontent.com/envoyproxy/ai-gateway/main/README.md</w:t>
        </w:r>
      </w:hyperlink>
      <w:r>
        <w:t xml:space="preserve"> </w:t>
      </w:r>
      <w:r>
        <w:t xml:space="preserve">accessed 2026-10-07</w:t>
      </w:r>
    </w:p>
  </w:footnote>
  <w:footnote w:id="1895">
    <w:p>
      <w:pPr>
        <w:pStyle w:val="FootnoteText"/>
      </w:pPr>
      <w:r>
        <w:rPr>
          <w:rStyle w:val="FootnoteReference"/>
        </w:rPr>
        <w:footnoteRef/>
      </w:r>
      <w:r>
        <w:t xml:space="preserve"> </w:t>
      </w:r>
      <w:r>
        <w:t xml:space="preserve">Verified fact — A6-S063: Envoy AI Gateway / Agent Router README (GitHub) (Envoy AI Gateway project (Agentic AI Foundation))</w:t>
      </w:r>
      <w:r>
        <w:t xml:space="preserve"> </w:t>
      </w:r>
      <w:hyperlink r:id="rId1886">
        <w:r>
          <w:rPr>
            <w:rStyle w:val="Hyperlink"/>
          </w:rPr>
          <w:t xml:space="preserve">https://raw.githubusercontent.com/envoyproxy/ai-gateway/main/README.md</w:t>
        </w:r>
      </w:hyperlink>
      <w:r>
        <w:t xml:space="preserve"> </w:t>
      </w:r>
      <w:r>
        <w:t xml:space="preserve">accessed 2026-10-07</w:t>
      </w:r>
    </w:p>
  </w:footnote>
  <w:footnote w:id="1896">
    <w:p>
      <w:pPr>
        <w:pStyle w:val="FootnoteText"/>
      </w:pPr>
      <w:r>
        <w:rPr>
          <w:rStyle w:val="FootnoteReference"/>
        </w:rPr>
        <w:footnoteRef/>
      </w:r>
      <w:r>
        <w:t xml:space="preserve"> </w:t>
      </w:r>
      <w:r>
        <w:t xml:space="preserve">Verified fact — A6-S063: Envoy AI Gateway / Agent Router README (GitHub) (Envoy AI Gateway project (Agentic AI Foundation))</w:t>
      </w:r>
      <w:r>
        <w:t xml:space="preserve"> </w:t>
      </w:r>
      <w:hyperlink r:id="rId1886">
        <w:r>
          <w:rPr>
            <w:rStyle w:val="Hyperlink"/>
          </w:rPr>
          <w:t xml:space="preserve">https://raw.githubusercontent.com/envoyproxy/ai-gateway/main/README.md</w:t>
        </w:r>
      </w:hyperlink>
      <w:r>
        <w:t xml:space="preserve"> </w:t>
      </w:r>
      <w:r>
        <w:t xml:space="preserve">accessed 2026-10-07</w:t>
      </w:r>
    </w:p>
  </w:footnote>
  <w:footnote w:id="1897">
    <w:p>
      <w:pPr>
        <w:pStyle w:val="FootnoteText"/>
      </w:pPr>
      <w:r>
        <w:rPr>
          <w:rStyle w:val="FootnoteReference"/>
        </w:rPr>
        <w:footnoteRef/>
      </w:r>
      <w:r>
        <w:t xml:space="preserve"> </w:t>
      </w:r>
      <w:r>
        <w:t xml:space="preserve">Verified fact — A6-S063: Envoy AI Gateway / Agent Router README (GitHub) (Envoy AI Gateway project (Agentic AI Foundation))</w:t>
      </w:r>
      <w:r>
        <w:t xml:space="preserve"> </w:t>
      </w:r>
      <w:hyperlink r:id="rId1886">
        <w:r>
          <w:rPr>
            <w:rStyle w:val="Hyperlink"/>
          </w:rPr>
          <w:t xml:space="preserve">https://raw.githubusercontent.com/envoyproxy/ai-gateway/main/README.md</w:t>
        </w:r>
      </w:hyperlink>
      <w:r>
        <w:t xml:space="preserve"> </w:t>
      </w:r>
      <w:r>
        <w:t xml:space="preserve">accessed 2026-10-07</w:t>
      </w:r>
    </w:p>
  </w:footnote>
  <w:footnote w:id="1898">
    <w:p>
      <w:pPr>
        <w:pStyle w:val="FootnoteText"/>
      </w:pPr>
      <w:r>
        <w:rPr>
          <w:rStyle w:val="FootnoteReference"/>
        </w:rPr>
        <w:footnoteRef/>
      </w:r>
      <w:r>
        <w:t xml:space="preserve"> </w:t>
      </w:r>
      <w:r>
        <w:t xml:space="preserve">Verified fact — A6-S063: Envoy AI Gateway / Agent Router README (GitHub) (Envoy AI Gateway project (Agentic AI Foundation))</w:t>
      </w:r>
      <w:r>
        <w:t xml:space="preserve"> </w:t>
      </w:r>
      <w:hyperlink r:id="rId1886">
        <w:r>
          <w:rPr>
            <w:rStyle w:val="Hyperlink"/>
          </w:rPr>
          <w:t xml:space="preserve">https://raw.githubusercontent.com/envoyproxy/ai-gateway/main/README.md</w:t>
        </w:r>
      </w:hyperlink>
      <w:r>
        <w:t xml:space="preserve"> </w:t>
      </w:r>
      <w:r>
        <w:t xml:space="preserve">accessed 2026-10-07</w:t>
      </w:r>
    </w:p>
  </w:footnote>
  <w:footnote w:id="1899">
    <w:p>
      <w:pPr>
        <w:pStyle w:val="FootnoteText"/>
      </w:pPr>
      <w:r>
        <w:rPr>
          <w:rStyle w:val="FootnoteReference"/>
        </w:rPr>
        <w:footnoteRef/>
      </w:r>
      <w:r>
        <w:t xml:space="preserve"> </w:t>
      </w:r>
      <w:r>
        <w:t xml:space="preserve">Verified fact — A6-S063: Envoy AI Gateway / Agent Router README (GitHub) (Envoy AI Gateway project (Agentic AI Foundation))</w:t>
      </w:r>
      <w:r>
        <w:t xml:space="preserve"> </w:t>
      </w:r>
      <w:hyperlink r:id="rId1886">
        <w:r>
          <w:rPr>
            <w:rStyle w:val="Hyperlink"/>
          </w:rPr>
          <w:t xml:space="preserve">https://raw.githubusercontent.com/envoyproxy/ai-gateway/main/README.md</w:t>
        </w:r>
      </w:hyperlink>
      <w:r>
        <w:t xml:space="preserve"> </w:t>
      </w:r>
      <w:r>
        <w:t xml:space="preserve">accessed 2026-10-07; V2-S029: Agent Router (formerly Envoy AI Gateway) README (Agent Router project (Agentic AI Foundation))</w:t>
      </w:r>
      <w:r>
        <w:t xml:space="preserve"> </w:t>
      </w:r>
      <w:hyperlink r:id="rId1886">
        <w:r>
          <w:rPr>
            <w:rStyle w:val="Hyperlink"/>
          </w:rPr>
          <w:t xml:space="preserve">https://raw.githubusercontent.com/envoyproxy/ai-gateway/main/README.md</w:t>
        </w:r>
      </w:hyperlink>
      <w:r>
        <w:t xml:space="preserve"> </w:t>
      </w:r>
      <w:r>
        <w:t xml:space="preserve">accessed 2026-10-08</w:t>
      </w:r>
    </w:p>
  </w:footnote>
  <w:footnote w:id="1900">
    <w:p>
      <w:pPr>
        <w:pStyle w:val="FootnoteText"/>
      </w:pPr>
      <w:r>
        <w:rPr>
          <w:rStyle w:val="FootnoteReference"/>
        </w:rPr>
        <w:footnoteRef/>
      </w:r>
      <w:r>
        <w:t xml:space="preserve"> </w:t>
      </w:r>
      <w:r>
        <w:t xml:space="preserve">Verified fact — A6-S063: Envoy AI Gateway / Agent Router README (GitHub) (Envoy AI Gateway project (Agentic AI Foundation))</w:t>
      </w:r>
      <w:r>
        <w:t xml:space="preserve"> </w:t>
      </w:r>
      <w:hyperlink r:id="rId1886">
        <w:r>
          <w:rPr>
            <w:rStyle w:val="Hyperlink"/>
          </w:rPr>
          <w:t xml:space="preserve">https://raw.githubusercontent.com/envoyproxy/ai-gateway/main/README.md</w:t>
        </w:r>
      </w:hyperlink>
      <w:r>
        <w:t xml:space="preserve"> </w:t>
      </w:r>
      <w:r>
        <w:t xml:space="preserve">accessed 2026-10-07</w:t>
      </w:r>
    </w:p>
  </w:footnote>
  <w:footnote w:id="1902">
    <w:p>
      <w:pPr>
        <w:pStyle w:val="FootnoteText"/>
      </w:pPr>
      <w:r>
        <w:rPr>
          <w:rStyle w:val="FootnoteReference"/>
        </w:rPr>
        <w:footnoteRef/>
      </w:r>
      <w:r>
        <w:t xml:space="preserve"> </w:t>
      </w:r>
      <w:r>
        <w:t xml:space="preserve">Verified fact — A6-S019: Cloudflare AI Gateway docs: Pricing, Features, Changelog; Cloudflare blog spend limits (Cloudflare, Inc.)</w:t>
      </w:r>
      <w:r>
        <w:t xml:space="preserve"> </w:t>
      </w:r>
      <w:hyperlink r:id="rId1903">
        <w:r>
          <w:rPr>
            <w:rStyle w:val="Hyperlink"/>
          </w:rPr>
          <w:t xml:space="preserve">https://developers.cloudflare.com/ai-gateway/reference/pricing/</w:t>
        </w:r>
      </w:hyperlink>
      <w:r>
        <w:t xml:space="preserve"> </w:t>
      </w:r>
      <w:r>
        <w:t xml:space="preserve">accessed 2026-10-07 [search-tool extract]; A6-S052: Cloudflare AI Gateway docs: Pricing (source mdx) (Cloudflare, Inc.)</w:t>
      </w:r>
      <w:r>
        <w:t xml:space="preserve"> </w:t>
      </w:r>
      <w:hyperlink r:id="rId1904">
        <w:r>
          <w:rPr>
            <w:rStyle w:val="Hyperlink"/>
          </w:rPr>
          <w:t xml:space="preserve">https://raw.githubusercontent.com/cloudflare/cloudflare-docs/production/src/content/docs/ai-gateway/reference/pricing.mdx</w:t>
        </w:r>
      </w:hyperlink>
      <w:r>
        <w:t xml:space="preserve"> </w:t>
      </w:r>
      <w:r>
        <w:t xml:space="preserve">accessed 2026-10-07</w:t>
      </w:r>
    </w:p>
  </w:footnote>
  <w:footnote w:id="1905">
    <w:p>
      <w:pPr>
        <w:pStyle w:val="FootnoteText"/>
      </w:pPr>
      <w:r>
        <w:rPr>
          <w:rStyle w:val="FootnoteReference"/>
        </w:rPr>
        <w:footnoteRef/>
      </w:r>
      <w:r>
        <w:t xml:space="preserve"> </w:t>
      </w:r>
      <w:r>
        <w:t xml:space="preserve">Verified fact — A6-S019: Cloudflare AI Gateway docs: Pricing, Features, Changelog; Cloudflare blog spend limits (Cloudflare, Inc.)</w:t>
      </w:r>
      <w:r>
        <w:t xml:space="preserve"> </w:t>
      </w:r>
      <w:hyperlink r:id="rId1903">
        <w:r>
          <w:rPr>
            <w:rStyle w:val="Hyperlink"/>
          </w:rPr>
          <w:t xml:space="preserve">https://developers.cloudflare.com/ai-gateway/reference/pricing/</w:t>
        </w:r>
      </w:hyperlink>
      <w:r>
        <w:t xml:space="preserve"> </w:t>
      </w:r>
      <w:r>
        <w:t xml:space="preserve">accessed 2026-10-07 [search-tool extract]</w:t>
      </w:r>
    </w:p>
  </w:footnote>
  <w:footnote w:id="1906">
    <w:p>
      <w:pPr>
        <w:pStyle w:val="FootnoteText"/>
      </w:pPr>
      <w:r>
        <w:rPr>
          <w:rStyle w:val="FootnoteReference"/>
        </w:rPr>
        <w:footnoteRef/>
      </w:r>
      <w:r>
        <w:t xml:space="preserve"> </w:t>
      </w:r>
      <w:r>
        <w:t xml:space="preserve">Verified fact — A6-S110: Cloudflare Trust Hub: SOC 2 FAQs; ISO Certifications FAQs; GDPR FAQs (Cloudflare, Inc.)</w:t>
      </w:r>
      <w:r>
        <w:t xml:space="preserve"> </w:t>
      </w:r>
      <w:hyperlink r:id="rId1907">
        <w:r>
          <w:rPr>
            <w:rStyle w:val="Hyperlink"/>
          </w:rPr>
          <w:t xml:space="preserve">https://www.cloudflare.com/trust-hub/compliance-resources/soc-2/</w:t>
        </w:r>
      </w:hyperlink>
      <w:r>
        <w:t xml:space="preserve"> </w:t>
      </w:r>
      <w:r>
        <w:t xml:space="preserve">accessed 2026-10-07 [search-tool extract]</w:t>
      </w:r>
    </w:p>
  </w:footnote>
  <w:footnote w:id="1908">
    <w:p>
      <w:pPr>
        <w:pStyle w:val="FootnoteText"/>
      </w:pPr>
      <w:r>
        <w:rPr>
          <w:rStyle w:val="FootnoteReference"/>
        </w:rPr>
        <w:footnoteRef/>
      </w:r>
      <w:r>
        <w:t xml:space="preserve"> </w:t>
      </w:r>
      <w:r>
        <w:t xml:space="preserve">Verified fact — A6-S052: Cloudflare AI Gateway docs: Pricing (source mdx) (Cloudflare, Inc.)</w:t>
      </w:r>
      <w:r>
        <w:t xml:space="preserve"> </w:t>
      </w:r>
      <w:hyperlink r:id="rId1904">
        <w:r>
          <w:rPr>
            <w:rStyle w:val="Hyperlink"/>
          </w:rPr>
          <w:t xml:space="preserve">https://raw.githubusercontent.com/cloudflare/cloudflare-docs/production/src/content/docs/ai-gateway/reference/pricing.mdx</w:t>
        </w:r>
      </w:hyperlink>
      <w:r>
        <w:t xml:space="preserve"> </w:t>
      </w:r>
      <w:r>
        <w:t xml:space="preserve">accessed 2026-10-07</w:t>
      </w:r>
    </w:p>
  </w:footnote>
  <w:footnote w:id="1909">
    <w:p>
      <w:pPr>
        <w:pStyle w:val="FootnoteText"/>
      </w:pPr>
      <w:r>
        <w:rPr>
          <w:rStyle w:val="FootnoteReference"/>
        </w:rPr>
        <w:footnoteRef/>
      </w:r>
      <w:r>
        <w:t xml:space="preserve"> </w:t>
      </w:r>
      <w:r>
        <w:t xml:space="preserve">Verified fact — A6-S052: Cloudflare AI Gateway docs: Pricing (source mdx) (Cloudflare, Inc.)</w:t>
      </w:r>
      <w:r>
        <w:t xml:space="preserve"> </w:t>
      </w:r>
      <w:hyperlink r:id="rId1904">
        <w:r>
          <w:rPr>
            <w:rStyle w:val="Hyperlink"/>
          </w:rPr>
          <w:t xml:space="preserve">https://raw.githubusercontent.com/cloudflare/cloudflare-docs/production/src/content/docs/ai-gateway/reference/pricing.mdx</w:t>
        </w:r>
      </w:hyperlink>
      <w:r>
        <w:t xml:space="preserve"> </w:t>
      </w:r>
      <w:r>
        <w:t xml:space="preserve">accessed 2026-10-07; A6-S019: Cloudflare AI Gateway docs: Pricing, Features, Changelog; Cloudflare blog spend limits (Cloudflare, Inc.)</w:t>
      </w:r>
      <w:r>
        <w:t xml:space="preserve"> </w:t>
      </w:r>
      <w:hyperlink r:id="rId1903">
        <w:r>
          <w:rPr>
            <w:rStyle w:val="Hyperlink"/>
          </w:rPr>
          <w:t xml:space="preserve">https://developers.cloudflare.com/ai-gateway/reference/pricing/</w:t>
        </w:r>
      </w:hyperlink>
      <w:r>
        <w:t xml:space="preserve"> </w:t>
      </w:r>
      <w:r>
        <w:t xml:space="preserve">accessed 2026-10-07 [search-tool extract]</w:t>
      </w:r>
    </w:p>
  </w:footnote>
  <w:footnote w:id="1910">
    <w:p>
      <w:pPr>
        <w:pStyle w:val="FootnoteText"/>
      </w:pPr>
      <w:r>
        <w:rPr>
          <w:rStyle w:val="FootnoteReference"/>
        </w:rPr>
        <w:footnoteRef/>
      </w:r>
      <w:r>
        <w:t xml:space="preserve"> </w:t>
      </w:r>
      <w:r>
        <w:t xml:space="preserve">Verified fact — A6-S019: Cloudflare AI Gateway docs: Pricing, Features, Changelog; Cloudflare blog spend limits (Cloudflare, Inc.)</w:t>
      </w:r>
      <w:r>
        <w:t xml:space="preserve"> </w:t>
      </w:r>
      <w:hyperlink r:id="rId1903">
        <w:r>
          <w:rPr>
            <w:rStyle w:val="Hyperlink"/>
          </w:rPr>
          <w:t xml:space="preserve">https://developers.cloudflare.com/ai-gateway/reference/pricing/</w:t>
        </w:r>
      </w:hyperlink>
      <w:r>
        <w:t xml:space="preserve"> </w:t>
      </w:r>
      <w:r>
        <w:t xml:space="preserve">accessed 2026-10-07 [search-tool extract]; V2-S074: Pricing - Cloudflare AI Gateway docs (with AI Gateway changelog 2026-09-01; Cloudflare observability blog)</w:t>
      </w:r>
      <w:r>
        <w:t xml:space="preserve"> </w:t>
      </w:r>
      <w:hyperlink r:id="rId1903">
        <w:r>
          <w:rPr>
            <w:rStyle w:val="Hyperlink"/>
          </w:rPr>
          <w:t xml:space="preserve">https://developers.cloudflare.com/ai-gateway/reference/pricing/</w:t>
        </w:r>
      </w:hyperlink>
      <w:r>
        <w:t xml:space="preserve"> </w:t>
      </w:r>
      <w:r>
        <w:t xml:space="preserve">accessed 2026-10-08 [search-tool extract]</w:t>
      </w:r>
    </w:p>
  </w:footnote>
  <w:footnote w:id="1911">
    <w:p>
      <w:pPr>
        <w:pStyle w:val="FootnoteText"/>
      </w:pPr>
      <w:r>
        <w:rPr>
          <w:rStyle w:val="FootnoteReference"/>
        </w:rPr>
        <w:footnoteRef/>
      </w:r>
      <w:r>
        <w:t xml:space="preserve"> </w:t>
      </w:r>
      <w:r>
        <w:t xml:space="preserve">Verified fact — A6-S052: Cloudflare AI Gateway docs: Pricing (source mdx) (Cloudflare, Inc.)</w:t>
      </w:r>
      <w:r>
        <w:t xml:space="preserve"> </w:t>
      </w:r>
      <w:hyperlink r:id="rId1904">
        <w:r>
          <w:rPr>
            <w:rStyle w:val="Hyperlink"/>
          </w:rPr>
          <w:t xml:space="preserve">https://raw.githubusercontent.com/cloudflare/cloudflare-docs/production/src/content/docs/ai-gateway/reference/pricing.mdx</w:t>
        </w:r>
      </w:hyperlink>
      <w:r>
        <w:t xml:space="preserve"> </w:t>
      </w:r>
      <w:r>
        <w:t xml:space="preserve">accessed 2026-10-07; V2-S074: Pricing - Cloudflare AI Gateway docs (with AI Gateway changelog 2026-09-01; Cloudflare observability blog)</w:t>
      </w:r>
      <w:r>
        <w:t xml:space="preserve"> </w:t>
      </w:r>
      <w:hyperlink r:id="rId1903">
        <w:r>
          <w:rPr>
            <w:rStyle w:val="Hyperlink"/>
          </w:rPr>
          <w:t xml:space="preserve">https://developers.cloudflare.com/ai-gateway/reference/pricing/</w:t>
        </w:r>
      </w:hyperlink>
      <w:r>
        <w:t xml:space="preserve"> </w:t>
      </w:r>
      <w:r>
        <w:t xml:space="preserve">accessed 2026-10-08 [search-tool extract]</w:t>
      </w:r>
    </w:p>
  </w:footnote>
  <w:footnote w:id="1912">
    <w:p>
      <w:pPr>
        <w:pStyle w:val="FootnoteText"/>
      </w:pPr>
      <w:r>
        <w:rPr>
          <w:rStyle w:val="FootnoteReference"/>
        </w:rPr>
        <w:footnoteRef/>
      </w:r>
      <w:r>
        <w:t xml:space="preserve"> </w:t>
      </w:r>
      <w:r>
        <w:t xml:space="preserve">Verified fact — A6-S052: Cloudflare AI Gateway docs: Pricing (source mdx) (Cloudflare, Inc.)</w:t>
      </w:r>
      <w:r>
        <w:t xml:space="preserve"> </w:t>
      </w:r>
      <w:hyperlink r:id="rId1904">
        <w:r>
          <w:rPr>
            <w:rStyle w:val="Hyperlink"/>
          </w:rPr>
          <w:t xml:space="preserve">https://raw.githubusercontent.com/cloudflare/cloudflare-docs/production/src/content/docs/ai-gateway/reference/pricing.mdx</w:t>
        </w:r>
      </w:hyperlink>
      <w:r>
        <w:t xml:space="preserve"> </w:t>
      </w:r>
      <w:r>
        <w:t xml:space="preserve">accessed 2026-10-07</w:t>
      </w:r>
    </w:p>
  </w:footnote>
  <w:footnote w:id="1913">
    <w:p>
      <w:pPr>
        <w:pStyle w:val="FootnoteText"/>
      </w:pPr>
      <w:r>
        <w:rPr>
          <w:rStyle w:val="FootnoteReference"/>
        </w:rPr>
        <w:footnoteRef/>
      </w:r>
      <w:r>
        <w:t xml:space="preserve"> </w:t>
      </w:r>
      <w:r>
        <w:t xml:space="preserve">Verified fact — A6-S019: Cloudflare AI Gateway docs: Pricing, Features, Changelog; Cloudflare blog spend limits (Cloudflare, Inc.)</w:t>
      </w:r>
      <w:r>
        <w:t xml:space="preserve"> </w:t>
      </w:r>
      <w:hyperlink r:id="rId1903">
        <w:r>
          <w:rPr>
            <w:rStyle w:val="Hyperlink"/>
          </w:rPr>
          <w:t xml:space="preserve">https://developers.cloudflare.com/ai-gateway/reference/pricing/</w:t>
        </w:r>
      </w:hyperlink>
      <w:r>
        <w:t xml:space="preserve"> </w:t>
      </w:r>
      <w:r>
        <w:t xml:space="preserve">accessed 2026-10-07 [search-tool extract]; A6-S052: Cloudflare AI Gateway docs: Pricing (source mdx) (Cloudflare, Inc.)</w:t>
      </w:r>
      <w:r>
        <w:t xml:space="preserve"> </w:t>
      </w:r>
      <w:hyperlink r:id="rId1904">
        <w:r>
          <w:rPr>
            <w:rStyle w:val="Hyperlink"/>
          </w:rPr>
          <w:t xml:space="preserve">https://raw.githubusercontent.com/cloudflare/cloudflare-docs/production/src/content/docs/ai-gateway/reference/pricing.mdx</w:t>
        </w:r>
      </w:hyperlink>
      <w:r>
        <w:t xml:space="preserve"> </w:t>
      </w:r>
      <w:r>
        <w:t xml:space="preserve">accessed 2026-10-07</w:t>
      </w:r>
    </w:p>
  </w:footnote>
  <w:footnote w:id="1914">
    <w:p>
      <w:pPr>
        <w:pStyle w:val="FootnoteText"/>
      </w:pPr>
      <w:r>
        <w:rPr>
          <w:rStyle w:val="FootnoteReference"/>
        </w:rPr>
        <w:footnoteRef/>
      </w:r>
      <w:r>
        <w:t xml:space="preserve"> </w:t>
      </w:r>
      <w:r>
        <w:t xml:space="preserve">Verified fact — A6-S052: Cloudflare AI Gateway docs: Pricing (source mdx) (Cloudflare, Inc.)</w:t>
      </w:r>
      <w:r>
        <w:t xml:space="preserve"> </w:t>
      </w:r>
      <w:hyperlink r:id="rId1904">
        <w:r>
          <w:rPr>
            <w:rStyle w:val="Hyperlink"/>
          </w:rPr>
          <w:t xml:space="preserve">https://raw.githubusercontent.com/cloudflare/cloudflare-docs/production/src/content/docs/ai-gateway/reference/pricing.mdx</w:t>
        </w:r>
      </w:hyperlink>
      <w:r>
        <w:t xml:space="preserve"> </w:t>
      </w:r>
      <w:r>
        <w:t xml:space="preserve">accessed 2026-10-07</w:t>
      </w:r>
    </w:p>
  </w:footnote>
  <w:footnote w:id="1915">
    <w:p>
      <w:pPr>
        <w:pStyle w:val="FootnoteText"/>
      </w:pPr>
      <w:r>
        <w:rPr>
          <w:rStyle w:val="FootnoteReference"/>
        </w:rPr>
        <w:footnoteRef/>
      </w:r>
      <w:r>
        <w:t xml:space="preserve"> </w:t>
      </w:r>
      <w:r>
        <w:t xml:space="preserve">Verified fact — A6-S052: Cloudflare AI Gateway docs: Pricing (source mdx) (Cloudflare, Inc.)</w:t>
      </w:r>
      <w:r>
        <w:t xml:space="preserve"> </w:t>
      </w:r>
      <w:hyperlink r:id="rId1904">
        <w:r>
          <w:rPr>
            <w:rStyle w:val="Hyperlink"/>
          </w:rPr>
          <w:t xml:space="preserve">https://raw.githubusercontent.com/cloudflare/cloudflare-docs/production/src/content/docs/ai-gateway/reference/pricing.mdx</w:t>
        </w:r>
      </w:hyperlink>
      <w:r>
        <w:t xml:space="preserve"> </w:t>
      </w:r>
      <w:r>
        <w:t xml:space="preserve">accessed 2026-10-07</w:t>
      </w:r>
    </w:p>
  </w:footnote>
  <w:footnote w:id="1916">
    <w:p>
      <w:pPr>
        <w:pStyle w:val="FootnoteText"/>
      </w:pPr>
      <w:r>
        <w:rPr>
          <w:rStyle w:val="FootnoteReference"/>
        </w:rPr>
        <w:footnoteRef/>
      </w:r>
      <w:r>
        <w:t xml:space="preserve"> </w:t>
      </w:r>
      <w:r>
        <w:t xml:space="preserve">Verified fact — A6-S110: Cloudflare Trust Hub: SOC 2 FAQs; ISO Certifications FAQs; GDPR FAQs (Cloudflare, Inc.)</w:t>
      </w:r>
      <w:r>
        <w:t xml:space="preserve"> </w:t>
      </w:r>
      <w:hyperlink r:id="rId1907">
        <w:r>
          <w:rPr>
            <w:rStyle w:val="Hyperlink"/>
          </w:rPr>
          <w:t xml:space="preserve">https://www.cloudflare.com/trust-hub/compliance-resources/soc-2/</w:t>
        </w:r>
      </w:hyperlink>
      <w:r>
        <w:t xml:space="preserve"> </w:t>
      </w:r>
      <w:r>
        <w:t xml:space="preserve">accessed 2026-10-07 [search-tool extract]</w:t>
      </w:r>
    </w:p>
  </w:footnote>
  <w:footnote w:id="1917">
    <w:p>
      <w:pPr>
        <w:pStyle w:val="FootnoteText"/>
      </w:pPr>
      <w:r>
        <w:rPr>
          <w:rStyle w:val="FootnoteReference"/>
        </w:rPr>
        <w:footnoteRef/>
      </w:r>
      <w:r>
        <w:t xml:space="preserve"> </w:t>
      </w:r>
      <w:r>
        <w:t xml:space="preserve">Verified fact — A6-S052: Cloudflare AI Gateway docs: Pricing (source mdx) (Cloudflare, Inc.)</w:t>
      </w:r>
      <w:r>
        <w:t xml:space="preserve"> </w:t>
      </w:r>
      <w:hyperlink r:id="rId1904">
        <w:r>
          <w:rPr>
            <w:rStyle w:val="Hyperlink"/>
          </w:rPr>
          <w:t xml:space="preserve">https://raw.githubusercontent.com/cloudflare/cloudflare-docs/production/src/content/docs/ai-gateway/reference/pricing.mdx</w:t>
        </w:r>
      </w:hyperlink>
      <w:r>
        <w:t xml:space="preserve"> </w:t>
      </w:r>
      <w:r>
        <w:t xml:space="preserve">accessed 2026-10-07</w:t>
      </w:r>
    </w:p>
  </w:footnote>
  <w:footnote w:id="1918">
    <w:p>
      <w:pPr>
        <w:pStyle w:val="FootnoteText"/>
      </w:pPr>
      <w:r>
        <w:rPr>
          <w:rStyle w:val="FootnoteReference"/>
        </w:rPr>
        <w:footnoteRef/>
      </w:r>
      <w:r>
        <w:t xml:space="preserve"> </w:t>
      </w:r>
      <w:r>
        <w:t xml:space="preserve">Verified fact — A6-S110: Cloudflare Trust Hub: SOC 2 FAQs; ISO Certifications FAQs; GDPR FAQs (Cloudflare, Inc.)</w:t>
      </w:r>
      <w:r>
        <w:t xml:space="preserve"> </w:t>
      </w:r>
      <w:hyperlink r:id="rId1907">
        <w:r>
          <w:rPr>
            <w:rStyle w:val="Hyperlink"/>
          </w:rPr>
          <w:t xml:space="preserve">https://www.cloudflare.com/trust-hub/compliance-resources/soc-2/</w:t>
        </w:r>
      </w:hyperlink>
      <w:r>
        <w:t xml:space="preserve"> </w:t>
      </w:r>
      <w:r>
        <w:t xml:space="preserve">accessed 2026-10-07 [search-tool extract]</w:t>
      </w:r>
    </w:p>
  </w:footnote>
  <w:footnote w:id="1919">
    <w:p>
      <w:pPr>
        <w:pStyle w:val="FootnoteText"/>
      </w:pPr>
      <w:r>
        <w:rPr>
          <w:rStyle w:val="FootnoteReference"/>
        </w:rPr>
        <w:footnoteRef/>
      </w:r>
      <w:r>
        <w:t xml:space="preserve"> </w:t>
      </w:r>
      <w:r>
        <w:t xml:space="preserve">Verified fact — A6-S052: Cloudflare AI Gateway docs: Pricing (source mdx) (Cloudflare, Inc.)</w:t>
      </w:r>
      <w:r>
        <w:t xml:space="preserve"> </w:t>
      </w:r>
      <w:hyperlink r:id="rId1904">
        <w:r>
          <w:rPr>
            <w:rStyle w:val="Hyperlink"/>
          </w:rPr>
          <w:t xml:space="preserve">https://raw.githubusercontent.com/cloudflare/cloudflare-docs/production/src/content/docs/ai-gateway/reference/pricing.mdx</w:t>
        </w:r>
      </w:hyperlink>
      <w:r>
        <w:t xml:space="preserve"> </w:t>
      </w:r>
      <w:r>
        <w:t xml:space="preserve">accessed 2026-10-07; V2-S074: Pricing - Cloudflare AI Gateway docs (with AI Gateway changelog 2026-09-01; Cloudflare observability blog)</w:t>
      </w:r>
      <w:r>
        <w:t xml:space="preserve"> </w:t>
      </w:r>
      <w:hyperlink r:id="rId1903">
        <w:r>
          <w:rPr>
            <w:rStyle w:val="Hyperlink"/>
          </w:rPr>
          <w:t xml:space="preserve">https://developers.cloudflare.com/ai-gateway/reference/pricing/</w:t>
        </w:r>
      </w:hyperlink>
      <w:r>
        <w:t xml:space="preserve"> </w:t>
      </w:r>
      <w:r>
        <w:t xml:space="preserve">accessed 2026-10-08 [search-tool extract]</w:t>
      </w:r>
    </w:p>
  </w:footnote>
  <w:footnote w:id="1922">
    <w:p>
      <w:pPr>
        <w:pStyle w:val="FootnoteText"/>
      </w:pPr>
      <w:r>
        <w:rPr>
          <w:rStyle w:val="FootnoteReference"/>
        </w:rPr>
        <w:footnoteRef/>
      </w:r>
      <w:r>
        <w:t xml:space="preserve"> </w:t>
      </w:r>
      <w:r>
        <w:t xml:space="preserve">Verified fact — A6-S027: NeMo Guardrails Release Notes; IORails engine feature support; Guardrail Catalog (NVIDIA)</w:t>
      </w:r>
      <w:r>
        <w:t xml:space="preserve"> </w:t>
      </w:r>
      <w:hyperlink r:id="rId1923">
        <w:r>
          <w:rPr>
            <w:rStyle w:val="Hyperlink"/>
          </w:rPr>
          <w:t xml:space="preserve">https://docs.nvidia.com/nemo/guardrails/latest/about/release-notes.html</w:t>
        </w:r>
      </w:hyperlink>
      <w:r>
        <w:t xml:space="preserve"> </w:t>
      </w:r>
      <w:r>
        <w:t xml:space="preserve">accessed 2026-10-07 [search-tool extract]; A6-S036: NeMo Guardrails CHANGELOG.md (NVIDIA)</w:t>
      </w:r>
      <w:r>
        <w:t xml:space="preserve"> </w:t>
      </w:r>
      <w:hyperlink r:id="rId1924">
        <w:r>
          <w:rPr>
            <w:rStyle w:val="Hyperlink"/>
          </w:rPr>
          <w:t xml:space="preserve">https://raw.githubusercontent.com/NVIDIA-NeMo/Guardrails/develop/CHANGELOG.md</w:t>
        </w:r>
      </w:hyperlink>
      <w:r>
        <w:t xml:space="preserve"> </w:t>
      </w:r>
      <w:r>
        <w:t xml:space="preserve">accessed 2026-10-07</w:t>
      </w:r>
    </w:p>
  </w:footnote>
  <w:footnote w:id="1925">
    <w:p>
      <w:pPr>
        <w:pStyle w:val="FootnoteText"/>
      </w:pPr>
      <w:r>
        <w:rPr>
          <w:rStyle w:val="FootnoteReference"/>
        </w:rPr>
        <w:footnoteRef/>
      </w:r>
      <w:r>
        <w:t xml:space="preserve"> </w:t>
      </w:r>
      <w:r>
        <w:t xml:space="preserve">Verified fact — A6-S036: NeMo Guardrails CHANGELOG.md (NVIDIA)</w:t>
      </w:r>
      <w:r>
        <w:t xml:space="preserve"> </w:t>
      </w:r>
      <w:hyperlink r:id="rId1924">
        <w:r>
          <w:rPr>
            <w:rStyle w:val="Hyperlink"/>
          </w:rPr>
          <w:t xml:space="preserve">https://raw.githubusercontent.com/NVIDIA-NeMo/Guardrails/develop/CHANGELOG.md</w:t>
        </w:r>
      </w:hyperlink>
      <w:r>
        <w:t xml:space="preserve"> </w:t>
      </w:r>
      <w:r>
        <w:t xml:space="preserve">accessed 2026-10-07; A6-S111: About Guardrails - NVIDIA NeMo Microservices (25.11.0); NVIDIA Releases NIM Microservices to Safeguard Applications for Agentic AI; NGC Helm chart</w:t>
      </w:r>
      <w:r>
        <w:t xml:space="preserve"> </w:t>
      </w:r>
      <w:hyperlink r:id="rId1926">
        <w:r>
          <w:rPr>
            <w:rStyle w:val="Hyperlink"/>
          </w:rPr>
          <w:t xml:space="preserve">https://docs.nvidia.com/nemo/microservices/25.11.0/guardrails/index.html</w:t>
        </w:r>
      </w:hyperlink>
      <w:r>
        <w:t xml:space="preserve"> </w:t>
      </w:r>
      <w:r>
        <w:t xml:space="preserve">accessed 2026-10-07 [search-tool extract]</w:t>
      </w:r>
    </w:p>
  </w:footnote>
  <w:footnote w:id="1927">
    <w:p>
      <w:pPr>
        <w:pStyle w:val="FootnoteText"/>
      </w:pPr>
      <w:r>
        <w:rPr>
          <w:rStyle w:val="FootnoteReference"/>
        </w:rPr>
        <w:footnoteRef/>
      </w:r>
      <w:r>
        <w:t xml:space="preserve"> </w:t>
      </w:r>
      <w:r>
        <w:t xml:space="preserve">Verified fact — A6-S036: NeMo Guardrails CHANGELOG.md (NVIDIA)</w:t>
      </w:r>
      <w:r>
        <w:t xml:space="preserve"> </w:t>
      </w:r>
      <w:hyperlink r:id="rId1924">
        <w:r>
          <w:rPr>
            <w:rStyle w:val="Hyperlink"/>
          </w:rPr>
          <w:t xml:space="preserve">https://raw.githubusercontent.com/NVIDIA-NeMo/Guardrails/develop/CHANGELOG.md</w:t>
        </w:r>
      </w:hyperlink>
      <w:r>
        <w:t xml:space="preserve"> </w:t>
      </w:r>
      <w:r>
        <w:t xml:space="preserve">accessed 2026-10-07</w:t>
      </w:r>
    </w:p>
  </w:footnote>
  <w:footnote w:id="1928">
    <w:p>
      <w:pPr>
        <w:pStyle w:val="FootnoteText"/>
      </w:pPr>
      <w:r>
        <w:rPr>
          <w:rStyle w:val="FootnoteReference"/>
        </w:rPr>
        <w:footnoteRef/>
      </w:r>
      <w:r>
        <w:t xml:space="preserve"> </w:t>
      </w:r>
      <w:r>
        <w:t xml:space="preserve">Verified fact — A6-S036: NeMo Guardrails CHANGELOG.md (NVIDIA)</w:t>
      </w:r>
      <w:r>
        <w:t xml:space="preserve"> </w:t>
      </w:r>
      <w:hyperlink r:id="rId1924">
        <w:r>
          <w:rPr>
            <w:rStyle w:val="Hyperlink"/>
          </w:rPr>
          <w:t xml:space="preserve">https://raw.githubusercontent.com/NVIDIA-NeMo/Guardrails/develop/CHANGELOG.md</w:t>
        </w:r>
      </w:hyperlink>
      <w:r>
        <w:t xml:space="preserve"> </w:t>
      </w:r>
      <w:r>
        <w:t xml:space="preserve">accessed 2026-10-07; A6-S111: About Guardrails - NVIDIA NeMo Microservices (25.11.0); NVIDIA Releases NIM Microservices to Safeguard Applications for Agentic AI; NGC Helm chart</w:t>
      </w:r>
      <w:r>
        <w:t xml:space="preserve"> </w:t>
      </w:r>
      <w:hyperlink r:id="rId1926">
        <w:r>
          <w:rPr>
            <w:rStyle w:val="Hyperlink"/>
          </w:rPr>
          <w:t xml:space="preserve">https://docs.nvidia.com/nemo/microservices/25.11.0/guardrails/index.html</w:t>
        </w:r>
      </w:hyperlink>
      <w:r>
        <w:t xml:space="preserve"> </w:t>
      </w:r>
      <w:r>
        <w:t xml:space="preserve">accessed 2026-10-07 [search-tool extract]</w:t>
      </w:r>
    </w:p>
  </w:footnote>
  <w:footnote w:id="1929">
    <w:p>
      <w:pPr>
        <w:pStyle w:val="FootnoteText"/>
      </w:pPr>
      <w:r>
        <w:rPr>
          <w:rStyle w:val="FootnoteReference"/>
        </w:rPr>
        <w:footnoteRef/>
      </w:r>
      <w:r>
        <w:t xml:space="preserve"> </w:t>
      </w:r>
      <w:r>
        <w:t xml:space="preserve">Verified fact — A6-S017: Kong AI Gateway changelog; Kong Gateway changelog; AI Proxy Advanced plugin docs (Kong Inc.)</w:t>
      </w:r>
      <w:r>
        <w:t xml:space="preserve"> </w:t>
      </w:r>
      <w:hyperlink r:id="rId1757">
        <w:r>
          <w:rPr>
            <w:rStyle w:val="Hyperlink"/>
          </w:rPr>
          <w:t xml:space="preserve">https://developer.konghq.com/ai-gateway/changelog/</w:t>
        </w:r>
      </w:hyperlink>
      <w:r>
        <w:t xml:space="preserve"> </w:t>
      </w:r>
      <w:r>
        <w:t xml:space="preserve">accessed 2026-10-07 [search-tool extract]; A6-S036: NeMo Guardrails CHANGELOG.md (NVIDIA)</w:t>
      </w:r>
      <w:r>
        <w:t xml:space="preserve"> </w:t>
      </w:r>
      <w:hyperlink r:id="rId1924">
        <w:r>
          <w:rPr>
            <w:rStyle w:val="Hyperlink"/>
          </w:rPr>
          <w:t xml:space="preserve">https://raw.githubusercontent.com/NVIDIA-NeMo/Guardrails/develop/CHANGELOG.md</w:t>
        </w:r>
      </w:hyperlink>
      <w:r>
        <w:t xml:space="preserve"> </w:t>
      </w:r>
      <w:r>
        <w:t xml:space="preserve">accessed 2026-10-07</w:t>
      </w:r>
    </w:p>
  </w:footnote>
  <w:footnote w:id="1930">
    <w:p>
      <w:pPr>
        <w:pStyle w:val="FootnoteText"/>
      </w:pPr>
      <w:r>
        <w:rPr>
          <w:rStyle w:val="FootnoteReference"/>
        </w:rPr>
        <w:footnoteRef/>
      </w:r>
      <w:r>
        <w:t xml:space="preserve"> </w:t>
      </w:r>
      <w:r>
        <w:t xml:space="preserve">Verified fact — A6-S003: nemoguardrails - PyPI JSON metadata (Python Package Index)</w:t>
      </w:r>
      <w:r>
        <w:t xml:space="preserve"> </w:t>
      </w:r>
      <w:hyperlink r:id="rId1931">
        <w:r>
          <w:rPr>
            <w:rStyle w:val="Hyperlink"/>
          </w:rPr>
          <w:t xml:space="preserve">https://pypi.org/pypi/nemoguardrails/json</w:t>
        </w:r>
      </w:hyperlink>
      <w:r>
        <w:t xml:space="preserve"> </w:t>
      </w:r>
      <w:r>
        <w:t xml:space="preserve">accessed 2026-10-07; A6-S036: NeMo Guardrails CHANGELOG.md (NVIDIA)</w:t>
      </w:r>
      <w:r>
        <w:t xml:space="preserve"> </w:t>
      </w:r>
      <w:hyperlink r:id="rId1924">
        <w:r>
          <w:rPr>
            <w:rStyle w:val="Hyperlink"/>
          </w:rPr>
          <w:t xml:space="preserve">https://raw.githubusercontent.com/NVIDIA-NeMo/Guardrails/develop/CHANGELOG.md</w:t>
        </w:r>
      </w:hyperlink>
      <w:r>
        <w:t xml:space="preserve"> </w:t>
      </w:r>
      <w:r>
        <w:t xml:space="preserve">accessed 2026-10-07</w:t>
      </w:r>
    </w:p>
  </w:footnote>
  <w:footnote w:id="1932">
    <w:p>
      <w:pPr>
        <w:pStyle w:val="FootnoteText"/>
      </w:pPr>
      <w:r>
        <w:rPr>
          <w:rStyle w:val="FootnoteReference"/>
        </w:rPr>
        <w:footnoteRef/>
      </w:r>
      <w:r>
        <w:t xml:space="preserve"> </w:t>
      </w:r>
      <w:r>
        <w:t xml:space="preserve">Verified fact — A6-S112: Pricing - NVIDIA Enterprise Licensing Guide</w:t>
      </w:r>
      <w:r>
        <w:t xml:space="preserve"> </w:t>
      </w:r>
      <w:hyperlink r:id="rId1933">
        <w:r>
          <w:rPr>
            <w:rStyle w:val="Hyperlink"/>
          </w:rPr>
          <w:t xml:space="preserve">https://docs.nvidia.com/ai-enterprise/planning-resource/licensing-guide/latest/pricing.html</w:t>
        </w:r>
      </w:hyperlink>
      <w:r>
        <w:t xml:space="preserve"> </w:t>
      </w:r>
      <w:r>
        <w:t xml:space="preserve">accessed 2026-10-07 [search-tool extract]; A6-S003: nemoguardrails - PyPI JSON metadata (Python Package Index)</w:t>
      </w:r>
      <w:r>
        <w:t xml:space="preserve"> </w:t>
      </w:r>
      <w:hyperlink r:id="rId1931">
        <w:r>
          <w:rPr>
            <w:rStyle w:val="Hyperlink"/>
          </w:rPr>
          <w:t xml:space="preserve">https://pypi.org/pypi/nemoguardrails/json</w:t>
        </w:r>
      </w:hyperlink>
      <w:r>
        <w:t xml:space="preserve"> </w:t>
      </w:r>
      <w:r>
        <w:t xml:space="preserve">accessed 2026-10-07</w:t>
      </w:r>
    </w:p>
  </w:footnote>
  <w:footnote w:id="1934">
    <w:p>
      <w:pPr>
        <w:pStyle w:val="FootnoteText"/>
      </w:pPr>
      <w:r>
        <w:rPr>
          <w:rStyle w:val="FootnoteReference"/>
        </w:rPr>
        <w:footnoteRef/>
      </w:r>
      <w:r>
        <w:t xml:space="preserve"> </w:t>
      </w:r>
      <w:r>
        <w:t xml:space="preserve">Verified fact — A6-S003: nemoguardrails - PyPI JSON metadata (Python Package Index)</w:t>
      </w:r>
      <w:r>
        <w:t xml:space="preserve"> </w:t>
      </w:r>
      <w:hyperlink r:id="rId1931">
        <w:r>
          <w:rPr>
            <w:rStyle w:val="Hyperlink"/>
          </w:rPr>
          <w:t xml:space="preserve">https://pypi.org/pypi/nemoguardrails/json</w:t>
        </w:r>
      </w:hyperlink>
      <w:r>
        <w:t xml:space="preserve"> </w:t>
      </w:r>
      <w:r>
        <w:t xml:space="preserve">accessed 2026-10-07; A6-S036: NeMo Guardrails CHANGELOG.md (NVIDIA)</w:t>
      </w:r>
      <w:r>
        <w:t xml:space="preserve"> </w:t>
      </w:r>
      <w:hyperlink r:id="rId1924">
        <w:r>
          <w:rPr>
            <w:rStyle w:val="Hyperlink"/>
          </w:rPr>
          <w:t xml:space="preserve">https://raw.githubusercontent.com/NVIDIA-NeMo/Guardrails/develop/CHANGELOG.md</w:t>
        </w:r>
      </w:hyperlink>
      <w:r>
        <w:t xml:space="preserve"> </w:t>
      </w:r>
      <w:r>
        <w:t xml:space="preserve">accessed 2026-10-07</w:t>
      </w:r>
    </w:p>
  </w:footnote>
  <w:footnote w:id="1935">
    <w:p>
      <w:pPr>
        <w:pStyle w:val="FootnoteText"/>
      </w:pPr>
      <w:r>
        <w:rPr>
          <w:rStyle w:val="FootnoteReference"/>
        </w:rPr>
        <w:footnoteRef/>
      </w:r>
      <w:r>
        <w:t xml:space="preserve"> </w:t>
      </w:r>
      <w:r>
        <w:t xml:space="preserve">Verified fact — A6-S036: NeMo Guardrails CHANGELOG.md (NVIDIA)</w:t>
      </w:r>
      <w:r>
        <w:t xml:space="preserve"> </w:t>
      </w:r>
      <w:hyperlink r:id="rId1924">
        <w:r>
          <w:rPr>
            <w:rStyle w:val="Hyperlink"/>
          </w:rPr>
          <w:t xml:space="preserve">https://raw.githubusercontent.com/NVIDIA-NeMo/Guardrails/develop/CHANGELOG.md</w:t>
        </w:r>
      </w:hyperlink>
      <w:r>
        <w:t xml:space="preserve"> </w:t>
      </w:r>
      <w:r>
        <w:t xml:space="preserve">accessed 2026-10-07; A6-S027: NeMo Guardrails Release Notes; IORails engine feature support; Guardrail Catalog (NVIDIA)</w:t>
      </w:r>
      <w:r>
        <w:t xml:space="preserve"> </w:t>
      </w:r>
      <w:hyperlink r:id="rId1923">
        <w:r>
          <w:rPr>
            <w:rStyle w:val="Hyperlink"/>
          </w:rPr>
          <w:t xml:space="preserve">https://docs.nvidia.com/nemo/guardrails/latest/about/release-notes.html</w:t>
        </w:r>
      </w:hyperlink>
      <w:r>
        <w:t xml:space="preserve"> </w:t>
      </w:r>
      <w:r>
        <w:t xml:space="preserve">accessed 2026-10-07 [search-tool extract]</w:t>
      </w:r>
    </w:p>
  </w:footnote>
  <w:footnote w:id="1936">
    <w:p>
      <w:pPr>
        <w:pStyle w:val="FootnoteText"/>
      </w:pPr>
      <w:r>
        <w:rPr>
          <w:rStyle w:val="FootnoteReference"/>
        </w:rPr>
        <w:footnoteRef/>
      </w:r>
      <w:r>
        <w:t xml:space="preserve"> </w:t>
      </w:r>
      <w:r>
        <w:t xml:space="preserve">Verified fact — A6-S027: NeMo Guardrails Release Notes; IORails engine feature support; Guardrail Catalog (NVIDIA)</w:t>
      </w:r>
      <w:r>
        <w:t xml:space="preserve"> </w:t>
      </w:r>
      <w:hyperlink r:id="rId1923">
        <w:r>
          <w:rPr>
            <w:rStyle w:val="Hyperlink"/>
          </w:rPr>
          <w:t xml:space="preserve">https://docs.nvidia.com/nemo/guardrails/latest/about/release-notes.html</w:t>
        </w:r>
      </w:hyperlink>
      <w:r>
        <w:t xml:space="preserve"> </w:t>
      </w:r>
      <w:r>
        <w:t xml:space="preserve">accessed 2026-10-07 [search-tool extract]; A6-S036: NeMo Guardrails CHANGELOG.md (NVIDIA)</w:t>
      </w:r>
      <w:r>
        <w:t xml:space="preserve"> </w:t>
      </w:r>
      <w:hyperlink r:id="rId1924">
        <w:r>
          <w:rPr>
            <w:rStyle w:val="Hyperlink"/>
          </w:rPr>
          <w:t xml:space="preserve">https://raw.githubusercontent.com/NVIDIA-NeMo/Guardrails/develop/CHANGELOG.md</w:t>
        </w:r>
      </w:hyperlink>
      <w:r>
        <w:t xml:space="preserve"> </w:t>
      </w:r>
      <w:r>
        <w:t xml:space="preserve">accessed 2026-10-07</w:t>
      </w:r>
    </w:p>
  </w:footnote>
  <w:footnote w:id="1937">
    <w:p>
      <w:pPr>
        <w:pStyle w:val="FootnoteText"/>
      </w:pPr>
      <w:r>
        <w:rPr>
          <w:rStyle w:val="FootnoteReference"/>
        </w:rPr>
        <w:footnoteRef/>
      </w:r>
      <w:r>
        <w:t xml:space="preserve"> </w:t>
      </w:r>
      <w:r>
        <w:t xml:space="preserve">Verified fact — A6-S036: NeMo Guardrails CHANGELOG.md (NVIDIA)</w:t>
      </w:r>
      <w:r>
        <w:t xml:space="preserve"> </w:t>
      </w:r>
      <w:hyperlink r:id="rId1924">
        <w:r>
          <w:rPr>
            <w:rStyle w:val="Hyperlink"/>
          </w:rPr>
          <w:t xml:space="preserve">https://raw.githubusercontent.com/NVIDIA-NeMo/Guardrails/develop/CHANGELOG.md</w:t>
        </w:r>
      </w:hyperlink>
      <w:r>
        <w:t xml:space="preserve"> </w:t>
      </w:r>
      <w:r>
        <w:t xml:space="preserve">accessed 2026-10-07</w:t>
      </w:r>
    </w:p>
  </w:footnote>
  <w:footnote w:id="1938">
    <w:p>
      <w:pPr>
        <w:pStyle w:val="FootnoteText"/>
      </w:pPr>
      <w:r>
        <w:rPr>
          <w:rStyle w:val="FootnoteReference"/>
        </w:rPr>
        <w:footnoteRef/>
      </w:r>
      <w:r>
        <w:t xml:space="preserve"> </w:t>
      </w:r>
      <w:r>
        <w:t xml:space="preserve">Verified fact — A6-S111: About Guardrails - NVIDIA NeMo Microservices (25.11.0); NVIDIA Releases NIM Microservices to Safeguard Applications for Agentic AI; NGC Helm chart</w:t>
      </w:r>
      <w:r>
        <w:t xml:space="preserve"> </w:t>
      </w:r>
      <w:hyperlink r:id="rId1926">
        <w:r>
          <w:rPr>
            <w:rStyle w:val="Hyperlink"/>
          </w:rPr>
          <w:t xml:space="preserve">https://docs.nvidia.com/nemo/microservices/25.11.0/guardrails/index.html</w:t>
        </w:r>
      </w:hyperlink>
      <w:r>
        <w:t xml:space="preserve"> </w:t>
      </w:r>
      <w:r>
        <w:t xml:space="preserve">accessed 2026-10-07 [search-tool extract]; A6-S112: Pricing - NVIDIA Enterprise Licensing Guide</w:t>
      </w:r>
      <w:r>
        <w:t xml:space="preserve"> </w:t>
      </w:r>
      <w:hyperlink r:id="rId1933">
        <w:r>
          <w:rPr>
            <w:rStyle w:val="Hyperlink"/>
          </w:rPr>
          <w:t xml:space="preserve">https://docs.nvidia.com/ai-enterprise/planning-resource/licensing-guide/latest/pricing.html</w:t>
        </w:r>
      </w:hyperlink>
      <w:r>
        <w:t xml:space="preserve"> </w:t>
      </w:r>
      <w:r>
        <w:t xml:space="preserve">accessed 2026-10-07 [search-tool extract]</w:t>
      </w:r>
    </w:p>
  </w:footnote>
  <w:footnote w:id="1939">
    <w:p>
      <w:pPr>
        <w:pStyle w:val="FootnoteText"/>
      </w:pPr>
      <w:r>
        <w:rPr>
          <w:rStyle w:val="FootnoteReference"/>
        </w:rPr>
        <w:footnoteRef/>
      </w:r>
      <w:r>
        <w:t xml:space="preserve"> </w:t>
      </w:r>
      <w:r>
        <w:t xml:space="preserve">Verified fact — A6-S003: nemoguardrails - PyPI JSON metadata (Python Package Index)</w:t>
      </w:r>
      <w:r>
        <w:t xml:space="preserve"> </w:t>
      </w:r>
      <w:hyperlink r:id="rId1931">
        <w:r>
          <w:rPr>
            <w:rStyle w:val="Hyperlink"/>
          </w:rPr>
          <w:t xml:space="preserve">https://pypi.org/pypi/nemoguardrails/json</w:t>
        </w:r>
      </w:hyperlink>
      <w:r>
        <w:t xml:space="preserve"> </w:t>
      </w:r>
      <w:r>
        <w:t xml:space="preserve">accessed 2026-10-07; A6-S036: NeMo Guardrails CHANGELOG.md (NVIDIA)</w:t>
      </w:r>
      <w:r>
        <w:t xml:space="preserve"> </w:t>
      </w:r>
      <w:hyperlink r:id="rId1924">
        <w:r>
          <w:rPr>
            <w:rStyle w:val="Hyperlink"/>
          </w:rPr>
          <w:t xml:space="preserve">https://raw.githubusercontent.com/NVIDIA-NeMo/Guardrails/develop/CHANGELOG.md</w:t>
        </w:r>
      </w:hyperlink>
      <w:r>
        <w:t xml:space="preserve"> </w:t>
      </w:r>
      <w:r>
        <w:t xml:space="preserve">accessed 2026-10-07</w:t>
      </w:r>
    </w:p>
  </w:footnote>
  <w:footnote w:id="1940">
    <w:p>
      <w:pPr>
        <w:pStyle w:val="FootnoteText"/>
      </w:pPr>
      <w:r>
        <w:rPr>
          <w:rStyle w:val="FootnoteReference"/>
        </w:rPr>
        <w:footnoteRef/>
      </w:r>
      <w:r>
        <w:t xml:space="preserve"> </w:t>
      </w:r>
      <w:r>
        <w:t xml:space="preserve">Verified fact — A6-S027: NeMo Guardrails Release Notes; IORails engine feature support; Guardrail Catalog (NVIDIA)</w:t>
      </w:r>
      <w:r>
        <w:t xml:space="preserve"> </w:t>
      </w:r>
      <w:hyperlink r:id="rId1923">
        <w:r>
          <w:rPr>
            <w:rStyle w:val="Hyperlink"/>
          </w:rPr>
          <w:t xml:space="preserve">https://docs.nvidia.com/nemo/guardrails/latest/about/release-notes.html</w:t>
        </w:r>
      </w:hyperlink>
      <w:r>
        <w:t xml:space="preserve"> </w:t>
      </w:r>
      <w:r>
        <w:t xml:space="preserve">accessed 2026-10-07 [search-tool extract]; A6-S036: NeMo Guardrails CHANGELOG.md (NVIDIA)</w:t>
      </w:r>
      <w:r>
        <w:t xml:space="preserve"> </w:t>
      </w:r>
      <w:hyperlink r:id="rId1924">
        <w:r>
          <w:rPr>
            <w:rStyle w:val="Hyperlink"/>
          </w:rPr>
          <w:t xml:space="preserve">https://raw.githubusercontent.com/NVIDIA-NeMo/Guardrails/develop/CHANGELOG.md</w:t>
        </w:r>
      </w:hyperlink>
      <w:r>
        <w:t xml:space="preserve"> </w:t>
      </w:r>
      <w:r>
        <w:t xml:space="preserve">accessed 2026-10-07</w:t>
      </w:r>
    </w:p>
  </w:footnote>
  <w:footnote w:id="1941">
    <w:p>
      <w:pPr>
        <w:pStyle w:val="FootnoteText"/>
      </w:pPr>
      <w:r>
        <w:rPr>
          <w:rStyle w:val="FootnoteReference"/>
        </w:rPr>
        <w:footnoteRef/>
      </w:r>
      <w:r>
        <w:t xml:space="preserve"> </w:t>
      </w:r>
      <w:r>
        <w:t xml:space="preserve">Verified fact — A6-S111: About Guardrails - NVIDIA NeMo Microservices (25.11.0); NVIDIA Releases NIM Microservices to Safeguard Applications for Agentic AI; NGC Helm chart</w:t>
      </w:r>
      <w:r>
        <w:t xml:space="preserve"> </w:t>
      </w:r>
      <w:hyperlink r:id="rId1926">
        <w:r>
          <w:rPr>
            <w:rStyle w:val="Hyperlink"/>
          </w:rPr>
          <w:t xml:space="preserve">https://docs.nvidia.com/nemo/microservices/25.11.0/guardrails/index.html</w:t>
        </w:r>
      </w:hyperlink>
      <w:r>
        <w:t xml:space="preserve"> </w:t>
      </w:r>
      <w:r>
        <w:t xml:space="preserve">accessed 2026-10-07 [search-tool extract]</w:t>
      </w:r>
    </w:p>
  </w:footnote>
  <w:footnote w:id="1943">
    <w:p>
      <w:pPr>
        <w:pStyle w:val="FootnoteText"/>
      </w:pPr>
      <w:r>
        <w:rPr>
          <w:rStyle w:val="FootnoteReference"/>
        </w:rPr>
        <w:footnoteRef/>
      </w:r>
      <w:r>
        <w:t xml:space="preserve"> </w:t>
      </w:r>
      <w:r>
        <w:t xml:space="preserve">Verified fact — A6-S072: AWS API model: Amazon Bedrock control plane (botocore service-2.json) - guardrail shapes (Amazon Web Services (via boto/botocore))</w:t>
      </w:r>
      <w:r>
        <w:t xml:space="preserve"> </w:t>
      </w:r>
      <w:hyperlink r:id="rId1944">
        <w:r>
          <w:rPr>
            <w:rStyle w:val="Hyperlink"/>
          </w:rPr>
          <w:t xml:space="preserve">https://raw.githubusercontent.com/boto/botocore/develop/botocore/data/bedrock/2023-04-20/service-2.json</w:t>
        </w:r>
      </w:hyperlink>
      <w:r>
        <w:t xml:space="preserve"> </w:t>
      </w:r>
      <w:r>
        <w:t xml:space="preserve">accessed 2026-10-07; A6-S073: AWS API model: Amazon Bedrock runtime (botocore service-2.json) - ApplyGuardrail (Amazon Web Services (via boto/botocore))</w:t>
      </w:r>
      <w:r>
        <w:t xml:space="preserve"> </w:t>
      </w:r>
      <w:hyperlink r:id="rId1945">
        <w:r>
          <w:rPr>
            <w:rStyle w:val="Hyperlink"/>
          </w:rPr>
          <w:t xml:space="preserve">https://raw.githubusercontent.com/boto/botocore/develop/botocore/data/bedrock-runtime/2023-09-30/service-2.json</w:t>
        </w:r>
      </w:hyperlink>
      <w:r>
        <w:t xml:space="preserve"> </w:t>
      </w:r>
      <w:r>
        <w:t xml:space="preserve">accessed 2026-10-07</w:t>
      </w:r>
    </w:p>
  </w:footnote>
  <w:footnote w:id="1946">
    <w:p>
      <w:pPr>
        <w:pStyle w:val="FootnoteText"/>
      </w:pPr>
      <w:r>
        <w:rPr>
          <w:rStyle w:val="FootnoteReference"/>
        </w:rPr>
        <w:footnoteRef/>
      </w:r>
      <w:r>
        <w:t xml:space="preserve"> </w:t>
      </w:r>
      <w:r>
        <w:t xml:space="preserve">Verified fact — B-C2-S001: AWS Services in Scope by Compliance Program - SOC (Amazon Bedrock) (Amazon Web Services)</w:t>
      </w:r>
      <w:r>
        <w:t xml:space="preserve"> </w:t>
      </w:r>
      <w:hyperlink r:id="rId882">
        <w:r>
          <w:rPr>
            <w:rStyle w:val="Hyperlink"/>
          </w:rPr>
          <w:t xml:space="preserve">https://aws.amazon.com/compliance/services-in-scope/SOC/</w:t>
        </w:r>
      </w:hyperlink>
      <w:r>
        <w:t xml:space="preserve"> </w:t>
      </w:r>
      <w:r>
        <w:t xml:space="preserve">accessed 2026-10-08 [search-tool extract]; B-C2-S002: ISO Certified - AWS (Amazon Web Services)</w:t>
      </w:r>
      <w:r>
        <w:t xml:space="preserve"> </w:t>
      </w:r>
      <w:hyperlink r:id="rId1947">
        <w:r>
          <w:rPr>
            <w:rStyle w:val="Hyperlink"/>
          </w:rPr>
          <w:t xml:space="preserve">https://aws.amazon.com/compliance/iso-certified/</w:t>
        </w:r>
      </w:hyperlink>
      <w:r>
        <w:t xml:space="preserve"> </w:t>
      </w:r>
      <w:r>
        <w:t xml:space="preserve">accessed 2026-10-08 [search-tool extract]</w:t>
      </w:r>
    </w:p>
  </w:footnote>
  <w:footnote w:id="1948">
    <w:p>
      <w:pPr>
        <w:pStyle w:val="FootnoteText"/>
      </w:pPr>
      <w:r>
        <w:rPr>
          <w:rStyle w:val="FootnoteReference"/>
        </w:rPr>
        <w:footnoteRef/>
      </w:r>
      <w:r>
        <w:t xml:space="preserve"> </w:t>
      </w:r>
      <w:r>
        <w:t xml:space="preserve">Verified fact — A6-S072: AWS API model: Amazon Bedrock control plane (botocore service-2.json) - guardrail shapes (Amazon Web Services (via boto/botocore))</w:t>
      </w:r>
      <w:r>
        <w:t xml:space="preserve"> </w:t>
      </w:r>
      <w:hyperlink r:id="rId1944">
        <w:r>
          <w:rPr>
            <w:rStyle w:val="Hyperlink"/>
          </w:rPr>
          <w:t xml:space="preserve">https://raw.githubusercontent.com/boto/botocore/develop/botocore/data/bedrock/2023-04-20/service-2.json</w:t>
        </w:r>
      </w:hyperlink>
      <w:r>
        <w:t xml:space="preserve"> </w:t>
      </w:r>
      <w:r>
        <w:t xml:space="preserve">accessed 2026-10-07</w:t>
      </w:r>
    </w:p>
  </w:footnote>
  <w:footnote w:id="1949">
    <w:p>
      <w:pPr>
        <w:pStyle w:val="FootnoteText"/>
      </w:pPr>
      <w:r>
        <w:rPr>
          <w:rStyle w:val="FootnoteReference"/>
        </w:rPr>
        <w:footnoteRef/>
      </w:r>
      <w:r>
        <w:t xml:space="preserve"> </w:t>
      </w:r>
      <w:r>
        <w:t xml:space="preserve">Verified fact — A6-S072: AWS API model: Amazon Bedrock control plane (botocore service-2.json) - guardrail shapes (Amazon Web Services (via boto/botocore))</w:t>
      </w:r>
      <w:r>
        <w:t xml:space="preserve"> </w:t>
      </w:r>
      <w:hyperlink r:id="rId1944">
        <w:r>
          <w:rPr>
            <w:rStyle w:val="Hyperlink"/>
          </w:rPr>
          <w:t xml:space="preserve">https://raw.githubusercontent.com/boto/botocore/develop/botocore/data/bedrock/2023-04-20/service-2.json</w:t>
        </w:r>
      </w:hyperlink>
      <w:r>
        <w:t xml:space="preserve"> </w:t>
      </w:r>
      <w:r>
        <w:t xml:space="preserve">accessed 2026-10-07</w:t>
      </w:r>
    </w:p>
  </w:footnote>
  <w:footnote w:id="1950">
    <w:p>
      <w:pPr>
        <w:pStyle w:val="FootnoteText"/>
      </w:pPr>
      <w:r>
        <w:rPr>
          <w:rStyle w:val="FootnoteReference"/>
        </w:rPr>
        <w:footnoteRef/>
      </w:r>
      <w:r>
        <w:t xml:space="preserve"> </w:t>
      </w:r>
      <w:r>
        <w:t xml:space="preserve">Verified fact — A6-S017: Kong AI Gateway changelog; Kong Gateway changelog; AI Proxy Advanced plugin docs (Kong Inc.)</w:t>
      </w:r>
      <w:r>
        <w:t xml:space="preserve"> </w:t>
      </w:r>
      <w:hyperlink r:id="rId1757">
        <w:r>
          <w:rPr>
            <w:rStyle w:val="Hyperlink"/>
          </w:rPr>
          <w:t xml:space="preserve">https://developer.konghq.com/ai-gateway/changelog/</w:t>
        </w:r>
      </w:hyperlink>
      <w:r>
        <w:t xml:space="preserve"> </w:t>
      </w:r>
      <w:r>
        <w:t xml:space="preserve">accessed 2026-10-07 [search-tool extract]; A6-S022: Guidance for Multi-Provider Generative AI Gateway on AWS; Implementing resilience patterns with Amazon Bedrock and LLM gateway (Amazon Web Services)</w:t>
      </w:r>
      <w:r>
        <w:t xml:space="preserve"> </w:t>
      </w:r>
      <w:hyperlink r:id="rId1737">
        <w:r>
          <w:rPr>
            <w:rStyle w:val="Hyperlink"/>
          </w:rPr>
          <w:t xml:space="preserve">https://aws.amazon.com/solutions/guidance/multi-provider-generative-ai-gateway-on-aws/</w:t>
        </w:r>
      </w:hyperlink>
      <w:r>
        <w:t xml:space="preserve"> </w:t>
      </w:r>
      <w:r>
        <w:t xml:space="preserve">accessed 2026-10-07 [search-tool extract]</w:t>
      </w:r>
    </w:p>
  </w:footnote>
  <w:footnote w:id="1951">
    <w:p>
      <w:pPr>
        <w:pStyle w:val="FootnoteText"/>
      </w:pPr>
      <w:r>
        <w:rPr>
          <w:rStyle w:val="FootnoteReference"/>
        </w:rPr>
        <w:footnoteRef/>
      </w:r>
      <w:r>
        <w:t xml:space="preserve"> </w:t>
      </w:r>
      <w:r>
        <w:t xml:space="preserve">Verified fact — A6-S101: Amazon Bedrock Pricing (Guardrails); Guardrails reduces pricing by up to 85% (Dec 2024); Safeguard tiers (June 2025) (Amazon Web Services)</w:t>
      </w:r>
      <w:r>
        <w:t xml:space="preserve"> </w:t>
      </w:r>
      <w:hyperlink r:id="rId1952">
        <w:r>
          <w:rPr>
            <w:rStyle w:val="Hyperlink"/>
          </w:rPr>
          <w:t xml:space="preserve">https://aws.amazon.com/bedrock/pricing/</w:t>
        </w:r>
      </w:hyperlink>
      <w:r>
        <w:t xml:space="preserve"> </w:t>
      </w:r>
      <w:r>
        <w:t xml:space="preserve">accessed 2026-10-07 [search-tool extract]</w:t>
      </w:r>
    </w:p>
  </w:footnote>
  <w:footnote w:id="1953">
    <w:p>
      <w:pPr>
        <w:pStyle w:val="FootnoteText"/>
      </w:pPr>
      <w:r>
        <w:rPr>
          <w:rStyle w:val="FootnoteReference"/>
        </w:rPr>
        <w:footnoteRef/>
      </w:r>
      <w:r>
        <w:t xml:space="preserve"> </w:t>
      </w:r>
      <w:r>
        <w:t xml:space="preserve">Verified fact — A6-S072: AWS API model: Amazon Bedrock control plane (botocore service-2.json) - guardrail shapes (Amazon Web Services (via boto/botocore))</w:t>
      </w:r>
      <w:r>
        <w:t xml:space="preserve"> </w:t>
      </w:r>
      <w:hyperlink r:id="rId1944">
        <w:r>
          <w:rPr>
            <w:rStyle w:val="Hyperlink"/>
          </w:rPr>
          <w:t xml:space="preserve">https://raw.githubusercontent.com/boto/botocore/develop/botocore/data/bedrock/2023-04-20/service-2.json</w:t>
        </w:r>
      </w:hyperlink>
      <w:r>
        <w:t xml:space="preserve"> </w:t>
      </w:r>
      <w:r>
        <w:t xml:space="preserve">accessed 2026-10-07</w:t>
      </w:r>
    </w:p>
  </w:footnote>
  <w:footnote w:id="1954">
    <w:p>
      <w:pPr>
        <w:pStyle w:val="FootnoteText"/>
      </w:pPr>
      <w:r>
        <w:rPr>
          <w:rStyle w:val="FootnoteReference"/>
        </w:rPr>
        <w:footnoteRef/>
      </w:r>
      <w:r>
        <w:t xml:space="preserve"> </w:t>
      </w:r>
      <w:r>
        <w:t xml:space="preserve">Verified fact — A6-S072: AWS API model: Amazon Bedrock control plane (botocore service-2.json) - guardrail shapes (Amazon Web Services (via boto/botocore))</w:t>
      </w:r>
      <w:r>
        <w:t xml:space="preserve"> </w:t>
      </w:r>
      <w:hyperlink r:id="rId1944">
        <w:r>
          <w:rPr>
            <w:rStyle w:val="Hyperlink"/>
          </w:rPr>
          <w:t xml:space="preserve">https://raw.githubusercontent.com/boto/botocore/develop/botocore/data/bedrock/2023-04-20/service-2.json</w:t>
        </w:r>
      </w:hyperlink>
      <w:r>
        <w:t xml:space="preserve"> </w:t>
      </w:r>
      <w:r>
        <w:t xml:space="preserve">accessed 2026-10-07; A6-S073: AWS API model: Amazon Bedrock runtime (botocore service-2.json) - ApplyGuardrail (Amazon Web Services (via boto/botocore))</w:t>
      </w:r>
      <w:r>
        <w:t xml:space="preserve"> </w:t>
      </w:r>
      <w:hyperlink r:id="rId1945">
        <w:r>
          <w:rPr>
            <w:rStyle w:val="Hyperlink"/>
          </w:rPr>
          <w:t xml:space="preserve">https://raw.githubusercontent.com/boto/botocore/develop/botocore/data/bedrock-runtime/2023-09-30/service-2.json</w:t>
        </w:r>
      </w:hyperlink>
      <w:r>
        <w:t xml:space="preserve"> </w:t>
      </w:r>
      <w:r>
        <w:t xml:space="preserve">accessed 2026-10-07</w:t>
      </w:r>
    </w:p>
  </w:footnote>
  <w:footnote w:id="1955">
    <w:p>
      <w:pPr>
        <w:pStyle w:val="FootnoteText"/>
      </w:pPr>
      <w:r>
        <w:rPr>
          <w:rStyle w:val="FootnoteReference"/>
        </w:rPr>
        <w:footnoteRef/>
      </w:r>
      <w:r>
        <w:t xml:space="preserve"> </w:t>
      </w:r>
      <w:r>
        <w:t xml:space="preserve">Verified fact — A6-S072: AWS API model: Amazon Bedrock control plane (botocore service-2.json) - guardrail shapes (Amazon Web Services (via boto/botocore))</w:t>
      </w:r>
      <w:r>
        <w:t xml:space="preserve"> </w:t>
      </w:r>
      <w:hyperlink r:id="rId1944">
        <w:r>
          <w:rPr>
            <w:rStyle w:val="Hyperlink"/>
          </w:rPr>
          <w:t xml:space="preserve">https://raw.githubusercontent.com/boto/botocore/develop/botocore/data/bedrock/2023-04-20/service-2.json</w:t>
        </w:r>
      </w:hyperlink>
      <w:r>
        <w:t xml:space="preserve"> </w:t>
      </w:r>
      <w:r>
        <w:t xml:space="preserve">accessed 2026-10-07</w:t>
      </w:r>
    </w:p>
  </w:footnote>
  <w:footnote w:id="1956">
    <w:p>
      <w:pPr>
        <w:pStyle w:val="FootnoteText"/>
      </w:pPr>
      <w:r>
        <w:rPr>
          <w:rStyle w:val="FootnoteReference"/>
        </w:rPr>
        <w:footnoteRef/>
      </w:r>
      <w:r>
        <w:t xml:space="preserve"> </w:t>
      </w:r>
      <w:r>
        <w:t xml:space="preserve">Verified fact — A6-S073: AWS API model: Amazon Bedrock runtime (botocore service-2.json) - ApplyGuardrail (Amazon Web Services (via boto/botocore))</w:t>
      </w:r>
      <w:r>
        <w:t xml:space="preserve"> </w:t>
      </w:r>
      <w:hyperlink r:id="rId1945">
        <w:r>
          <w:rPr>
            <w:rStyle w:val="Hyperlink"/>
          </w:rPr>
          <w:t xml:space="preserve">https://raw.githubusercontent.com/boto/botocore/develop/botocore/data/bedrock-runtime/2023-09-30/service-2.json</w:t>
        </w:r>
      </w:hyperlink>
      <w:r>
        <w:t xml:space="preserve"> </w:t>
      </w:r>
      <w:r>
        <w:t xml:space="preserve">accessed 2026-10-07</w:t>
      </w:r>
    </w:p>
  </w:footnote>
  <w:footnote w:id="1957">
    <w:p>
      <w:pPr>
        <w:pStyle w:val="FootnoteText"/>
      </w:pPr>
      <w:r>
        <w:rPr>
          <w:rStyle w:val="FootnoteReference"/>
        </w:rPr>
        <w:footnoteRef/>
      </w:r>
      <w:r>
        <w:t xml:space="preserve"> </w:t>
      </w:r>
      <w:r>
        <w:t xml:space="preserve">Verified fact — A6-S072: AWS API model: Amazon Bedrock control plane (botocore service-2.json) - guardrail shapes (Amazon Web Services (via boto/botocore))</w:t>
      </w:r>
      <w:r>
        <w:t xml:space="preserve"> </w:t>
      </w:r>
      <w:hyperlink r:id="rId1944">
        <w:r>
          <w:rPr>
            <w:rStyle w:val="Hyperlink"/>
          </w:rPr>
          <w:t xml:space="preserve">https://raw.githubusercontent.com/boto/botocore/develop/botocore/data/bedrock/2023-04-20/service-2.json</w:t>
        </w:r>
      </w:hyperlink>
      <w:r>
        <w:t xml:space="preserve"> </w:t>
      </w:r>
      <w:r>
        <w:t xml:space="preserve">accessed 2026-10-07</w:t>
      </w:r>
    </w:p>
  </w:footnote>
  <w:footnote w:id="1958">
    <w:p>
      <w:pPr>
        <w:pStyle w:val="FootnoteText"/>
      </w:pPr>
      <w:r>
        <w:rPr>
          <w:rStyle w:val="FootnoteReference"/>
        </w:rPr>
        <w:footnoteRef/>
      </w:r>
      <w:r>
        <w:t xml:space="preserve"> </w:t>
      </w:r>
      <w:r>
        <w:t xml:space="preserve">Verified fact — A6-S072: AWS API model: Amazon Bedrock control plane (botocore service-2.json) - guardrail shapes (Amazon Web Services (via boto/botocore))</w:t>
      </w:r>
      <w:r>
        <w:t xml:space="preserve"> </w:t>
      </w:r>
      <w:hyperlink r:id="rId1944">
        <w:r>
          <w:rPr>
            <w:rStyle w:val="Hyperlink"/>
          </w:rPr>
          <w:t xml:space="preserve">https://raw.githubusercontent.com/boto/botocore/develop/botocore/data/bedrock/2023-04-20/service-2.json</w:t>
        </w:r>
      </w:hyperlink>
      <w:r>
        <w:t xml:space="preserve"> </w:t>
      </w:r>
      <w:r>
        <w:t xml:space="preserve">accessed 2026-10-07; A6-S101: Amazon Bedrock Pricing (Guardrails); Guardrails reduces pricing by up to 85% (Dec 2024); Safeguard tiers (June 2025) (Amazon Web Services)</w:t>
      </w:r>
      <w:r>
        <w:t xml:space="preserve"> </w:t>
      </w:r>
      <w:hyperlink r:id="rId1952">
        <w:r>
          <w:rPr>
            <w:rStyle w:val="Hyperlink"/>
          </w:rPr>
          <w:t xml:space="preserve">https://aws.amazon.com/bedrock/pricing/</w:t>
        </w:r>
      </w:hyperlink>
      <w:r>
        <w:t xml:space="preserve"> </w:t>
      </w:r>
      <w:r>
        <w:t xml:space="preserve">accessed 2026-10-07 [search-tool extract]</w:t>
      </w:r>
    </w:p>
  </w:footnote>
  <w:footnote w:id="1959">
    <w:p>
      <w:pPr>
        <w:pStyle w:val="FootnoteText"/>
      </w:pPr>
      <w:r>
        <w:rPr>
          <w:rStyle w:val="FootnoteReference"/>
        </w:rPr>
        <w:footnoteRef/>
      </w:r>
      <w:r>
        <w:t xml:space="preserve"> </w:t>
      </w:r>
      <w:r>
        <w:t xml:space="preserve">Verified fact — A6-S101: Amazon Bedrock Pricing (Guardrails); Guardrails reduces pricing by up to 85% (Dec 2024); Safeguard tiers (June 2025) (Amazon Web Services)</w:t>
      </w:r>
      <w:r>
        <w:t xml:space="preserve"> </w:t>
      </w:r>
      <w:hyperlink r:id="rId1952">
        <w:r>
          <w:rPr>
            <w:rStyle w:val="Hyperlink"/>
          </w:rPr>
          <w:t xml:space="preserve">https://aws.amazon.com/bedrock/pricing/</w:t>
        </w:r>
      </w:hyperlink>
      <w:r>
        <w:t xml:space="preserve"> </w:t>
      </w:r>
      <w:r>
        <w:t xml:space="preserve">accessed 2026-10-07 [search-tool extract]</w:t>
      </w:r>
    </w:p>
  </w:footnote>
  <w:footnote w:id="1960">
    <w:p>
      <w:pPr>
        <w:pStyle w:val="FootnoteText"/>
      </w:pPr>
      <w:r>
        <w:rPr>
          <w:rStyle w:val="FootnoteReference"/>
        </w:rPr>
        <w:footnoteRef/>
      </w:r>
      <w:r>
        <w:t xml:space="preserve"> </w:t>
      </w:r>
      <w:r>
        <w:t xml:space="preserve">Verified fact — A6-S072: AWS API model: Amazon Bedrock control plane (botocore service-2.json) - guardrail shapes (Amazon Web Services (via boto/botocore))</w:t>
      </w:r>
      <w:r>
        <w:t xml:space="preserve"> </w:t>
      </w:r>
      <w:hyperlink r:id="rId1944">
        <w:r>
          <w:rPr>
            <w:rStyle w:val="Hyperlink"/>
          </w:rPr>
          <w:t xml:space="preserve">https://raw.githubusercontent.com/boto/botocore/develop/botocore/data/bedrock/2023-04-20/service-2.json</w:t>
        </w:r>
      </w:hyperlink>
      <w:r>
        <w:t xml:space="preserve"> </w:t>
      </w:r>
      <w:r>
        <w:t xml:space="preserve">accessed 2026-10-07</w:t>
      </w:r>
    </w:p>
  </w:footnote>
  <w:footnote w:id="1962">
    <w:p>
      <w:pPr>
        <w:pStyle w:val="FootnoteText"/>
      </w:pPr>
      <w:r>
        <w:rPr>
          <w:rStyle w:val="FootnoteReference"/>
        </w:rPr>
        <w:footnoteRef/>
      </w:r>
      <w:r>
        <w:t xml:space="preserve"> </w:t>
      </w:r>
      <w:r>
        <w:t xml:space="preserve">Verified fact — A6-S067: Model Armor product page (incl. pricing) (Google Cloud)</w:t>
      </w:r>
      <w:r>
        <w:t xml:space="preserve"> </w:t>
      </w:r>
      <w:hyperlink r:id="rId1963">
        <w:r>
          <w:rPr>
            <w:rStyle w:val="Hyperlink"/>
          </w:rPr>
          <w:t xml:space="preserve">https://cloud.google.com/security/products/model-armor</w:t>
        </w:r>
      </w:hyperlink>
      <w:r>
        <w:t xml:space="preserve"> </w:t>
      </w:r>
      <w:r>
        <w:t xml:space="preserve">accessed 2026-10-07</w:t>
      </w:r>
    </w:p>
  </w:footnote>
  <w:footnote w:id="1964">
    <w:p>
      <w:pPr>
        <w:pStyle w:val="FootnoteText"/>
      </w:pPr>
      <w:r>
        <w:rPr>
          <w:rStyle w:val="FootnoteReference"/>
        </w:rPr>
        <w:footnoteRef/>
      </w:r>
      <w:r>
        <w:t xml:space="preserve"> </w:t>
      </w:r>
      <w:r>
        <w:t xml:space="preserve">Verified fact — A6-S070: SOC 2 compliance (services in scope) (Google Cloud)</w:t>
      </w:r>
      <w:r>
        <w:t xml:space="preserve"> </w:t>
      </w:r>
      <w:hyperlink r:id="rId1780">
        <w:r>
          <w:rPr>
            <w:rStyle w:val="Hyperlink"/>
          </w:rPr>
          <w:t xml:space="preserve">https://cloud.google.com/security/compliance/soc-2</w:t>
        </w:r>
      </w:hyperlink>
      <w:r>
        <w:t xml:space="preserve"> </w:t>
      </w:r>
      <w:r>
        <w:t xml:space="preserve">accessed 2026-10-07; A6-S071: ISO/IEC 27001 compliance (services in scope) (Google Cloud)</w:t>
      </w:r>
      <w:r>
        <w:t xml:space="preserve"> </w:t>
      </w:r>
      <w:hyperlink r:id="rId1781">
        <w:r>
          <w:rPr>
            <w:rStyle w:val="Hyperlink"/>
          </w:rPr>
          <w:t xml:space="preserve">https://cloud.google.com/security/compliance/iso-27001</w:t>
        </w:r>
      </w:hyperlink>
      <w:r>
        <w:t xml:space="preserve"> </w:t>
      </w:r>
      <w:r>
        <w:t xml:space="preserve">accessed 2026-10-07</w:t>
      </w:r>
    </w:p>
  </w:footnote>
  <w:footnote w:id="1965">
    <w:p>
      <w:pPr>
        <w:pStyle w:val="FootnoteText"/>
      </w:pPr>
      <w:r>
        <w:rPr>
          <w:rStyle w:val="FootnoteReference"/>
        </w:rPr>
        <w:footnoteRef/>
      </w:r>
      <w:r>
        <w:t xml:space="preserve"> </w:t>
      </w:r>
      <w:r>
        <w:t xml:space="preserve">Verified fact — B-C2-S003: Model Armor: Data residency and endpoints (Google Cloud)</w:t>
      </w:r>
      <w:r>
        <w:t xml:space="preserve"> </w:t>
      </w:r>
      <w:hyperlink r:id="rId1966">
        <w:r>
          <w:rPr>
            <w:rStyle w:val="Hyperlink"/>
          </w:rPr>
          <w:t xml:space="preserve">https://docs.cloud.google.com/model-armor/data-residency</w:t>
        </w:r>
      </w:hyperlink>
      <w:r>
        <w:t xml:space="preserve"> </w:t>
      </w:r>
      <w:r>
        <w:t xml:space="preserve">accessed 2026-10-08 [search-tool extract]; B-C2-S004: Model Armor locations (Google Cloud)</w:t>
      </w:r>
      <w:r>
        <w:t xml:space="preserve"> </w:t>
      </w:r>
      <w:hyperlink r:id="rId1967">
        <w:r>
          <w:rPr>
            <w:rStyle w:val="Hyperlink"/>
          </w:rPr>
          <w:t xml:space="preserve">https://docs.cloud.google.com/model-armor/locations</w:t>
        </w:r>
      </w:hyperlink>
      <w:r>
        <w:t xml:space="preserve"> </w:t>
      </w:r>
      <w:r>
        <w:t xml:space="preserve">accessed 2026-10-08 [search-tool extract]</w:t>
      </w:r>
    </w:p>
  </w:footnote>
  <w:footnote w:id="1968">
    <w:p>
      <w:pPr>
        <w:pStyle w:val="FootnoteText"/>
      </w:pPr>
      <w:r>
        <w:rPr>
          <w:rStyle w:val="FootnoteReference"/>
        </w:rPr>
        <w:footnoteRef/>
      </w:r>
      <w:r>
        <w:t xml:space="preserve"> </w:t>
      </w:r>
      <w:r>
        <w:t xml:space="preserve">Verified fact — A6-S067: Model Armor product page (incl. pricing) (Google Cloud)</w:t>
      </w:r>
      <w:r>
        <w:t xml:space="preserve"> </w:t>
      </w:r>
      <w:hyperlink r:id="rId1963">
        <w:r>
          <w:rPr>
            <w:rStyle w:val="Hyperlink"/>
          </w:rPr>
          <w:t xml:space="preserve">https://cloud.google.com/security/products/model-armor</w:t>
        </w:r>
      </w:hyperlink>
      <w:r>
        <w:t xml:space="preserve"> </w:t>
      </w:r>
      <w:r>
        <w:t xml:space="preserve">accessed 2026-10-07</w:t>
      </w:r>
    </w:p>
  </w:footnote>
  <w:footnote w:id="1969">
    <w:p>
      <w:pPr>
        <w:pStyle w:val="FootnoteText"/>
      </w:pPr>
      <w:r>
        <w:rPr>
          <w:rStyle w:val="FootnoteReference"/>
        </w:rPr>
        <w:footnoteRef/>
      </w:r>
      <w:r>
        <w:t xml:space="preserve"> </w:t>
      </w:r>
      <w:r>
        <w:t xml:space="preserve">Verified fact — B-C2-S005: Model Armor release notes (Google Cloud)</w:t>
      </w:r>
      <w:r>
        <w:t xml:space="preserve"> </w:t>
      </w:r>
      <w:hyperlink r:id="rId1970">
        <w:r>
          <w:rPr>
            <w:rStyle w:val="Hyperlink"/>
          </w:rPr>
          <w:t xml:space="preserve">https://docs.cloud.google.com/model-armor/release-notes</w:t>
        </w:r>
      </w:hyperlink>
      <w:r>
        <w:t xml:space="preserve"> </w:t>
      </w:r>
      <w:r>
        <w:t xml:space="preserve">accessed 2026-10-08 [search-tool extract]</w:t>
      </w:r>
    </w:p>
  </w:footnote>
  <w:footnote w:id="1971">
    <w:p>
      <w:pPr>
        <w:pStyle w:val="FootnoteText"/>
      </w:pPr>
      <w:r>
        <w:rPr>
          <w:rStyle w:val="FootnoteReference"/>
        </w:rPr>
        <w:footnoteRef/>
      </w:r>
      <w:r>
        <w:t xml:space="preserve"> </w:t>
      </w:r>
      <w:r>
        <w:t xml:space="preserve">Verified fact — A6-S067: Model Armor product page (incl. pricing) (Google Cloud)</w:t>
      </w:r>
      <w:r>
        <w:t xml:space="preserve"> </w:t>
      </w:r>
      <w:hyperlink r:id="rId1963">
        <w:r>
          <w:rPr>
            <w:rStyle w:val="Hyperlink"/>
          </w:rPr>
          <w:t xml:space="preserve">https://cloud.google.com/security/products/model-armor</w:t>
        </w:r>
      </w:hyperlink>
      <w:r>
        <w:t xml:space="preserve"> </w:t>
      </w:r>
      <w:r>
        <w:t xml:space="preserve">accessed 2026-10-07</w:t>
      </w:r>
    </w:p>
  </w:footnote>
  <w:footnote w:id="1972">
    <w:p>
      <w:pPr>
        <w:pStyle w:val="FootnoteText"/>
      </w:pPr>
      <w:r>
        <w:rPr>
          <w:rStyle w:val="FootnoteReference"/>
        </w:rPr>
        <w:footnoteRef/>
      </w:r>
      <w:r>
        <w:t xml:space="preserve"> </w:t>
      </w:r>
      <w:r>
        <w:t xml:space="preserve">Verified fact — A6-S067: Model Armor product page (incl. pricing) (Google Cloud)</w:t>
      </w:r>
      <w:r>
        <w:t xml:space="preserve"> </w:t>
      </w:r>
      <w:hyperlink r:id="rId1963">
        <w:r>
          <w:rPr>
            <w:rStyle w:val="Hyperlink"/>
          </w:rPr>
          <w:t xml:space="preserve">https://cloud.google.com/security/products/model-armor</w:t>
        </w:r>
      </w:hyperlink>
      <w:r>
        <w:t xml:space="preserve"> </w:t>
      </w:r>
      <w:r>
        <w:t xml:space="preserve">accessed 2026-10-07</w:t>
      </w:r>
    </w:p>
  </w:footnote>
  <w:footnote w:id="1973">
    <w:p>
      <w:pPr>
        <w:pStyle w:val="FootnoteText"/>
      </w:pPr>
      <w:r>
        <w:rPr>
          <w:rStyle w:val="FootnoteReference"/>
        </w:rPr>
        <w:footnoteRef/>
      </w:r>
      <w:r>
        <w:t xml:space="preserve"> </w:t>
      </w:r>
      <w:r>
        <w:t xml:space="preserve">Verified fact — A6-S067: Model Armor product page (incl. pricing) (Google Cloud)</w:t>
      </w:r>
      <w:r>
        <w:t xml:space="preserve"> </w:t>
      </w:r>
      <w:hyperlink r:id="rId1963">
        <w:r>
          <w:rPr>
            <w:rStyle w:val="Hyperlink"/>
          </w:rPr>
          <w:t xml:space="preserve">https://cloud.google.com/security/products/model-armor</w:t>
        </w:r>
      </w:hyperlink>
      <w:r>
        <w:t xml:space="preserve"> </w:t>
      </w:r>
      <w:r>
        <w:t xml:space="preserve">accessed 2026-10-07</w:t>
      </w:r>
    </w:p>
  </w:footnote>
  <w:footnote w:id="1974">
    <w:p>
      <w:pPr>
        <w:pStyle w:val="FootnoteText"/>
      </w:pPr>
      <w:r>
        <w:rPr>
          <w:rStyle w:val="FootnoteReference"/>
        </w:rPr>
        <w:footnoteRef/>
      </w:r>
      <w:r>
        <w:t xml:space="preserve"> </w:t>
      </w:r>
      <w:r>
        <w:t xml:space="preserve">Verified fact — B-C2-S003: Model Armor: Data residency and endpoints (Google Cloud)</w:t>
      </w:r>
      <w:r>
        <w:t xml:space="preserve"> </w:t>
      </w:r>
      <w:hyperlink r:id="rId1966">
        <w:r>
          <w:rPr>
            <w:rStyle w:val="Hyperlink"/>
          </w:rPr>
          <w:t xml:space="preserve">https://docs.cloud.google.com/model-armor/data-residency</w:t>
        </w:r>
      </w:hyperlink>
      <w:r>
        <w:t xml:space="preserve"> </w:t>
      </w:r>
      <w:r>
        <w:t xml:space="preserve">accessed 2026-10-08 [search-tool extract]; B-C2-S004: Model Armor locations (Google Cloud)</w:t>
      </w:r>
      <w:r>
        <w:t xml:space="preserve"> </w:t>
      </w:r>
      <w:hyperlink r:id="rId1967">
        <w:r>
          <w:rPr>
            <w:rStyle w:val="Hyperlink"/>
          </w:rPr>
          <w:t xml:space="preserve">https://docs.cloud.google.com/model-armor/locations</w:t>
        </w:r>
      </w:hyperlink>
      <w:r>
        <w:t xml:space="preserve"> </w:t>
      </w:r>
      <w:r>
        <w:t xml:space="preserve">accessed 2026-10-08 [search-tool extract]</w:t>
      </w:r>
    </w:p>
  </w:footnote>
  <w:footnote w:id="1975">
    <w:p>
      <w:pPr>
        <w:pStyle w:val="FootnoteText"/>
      </w:pPr>
      <w:r>
        <w:rPr>
          <w:rStyle w:val="FootnoteReference"/>
        </w:rPr>
        <w:footnoteRef/>
      </w:r>
      <w:r>
        <w:t xml:space="preserve"> </w:t>
      </w:r>
      <w:r>
        <w:t xml:space="preserve">Verified fact — A6-S067: Model Armor product page (incl. pricing) (Google Cloud)</w:t>
      </w:r>
      <w:r>
        <w:t xml:space="preserve"> </w:t>
      </w:r>
      <w:hyperlink r:id="rId1963">
        <w:r>
          <w:rPr>
            <w:rStyle w:val="Hyperlink"/>
          </w:rPr>
          <w:t xml:space="preserve">https://cloud.google.com/security/products/model-armor</w:t>
        </w:r>
      </w:hyperlink>
      <w:r>
        <w:t xml:space="preserve"> </w:t>
      </w:r>
      <w:r>
        <w:t xml:space="preserve">accessed 2026-10-07</w:t>
      </w:r>
    </w:p>
  </w:footnote>
  <w:footnote w:id="1976">
    <w:p>
      <w:pPr>
        <w:pStyle w:val="FootnoteText"/>
      </w:pPr>
      <w:r>
        <w:rPr>
          <w:rStyle w:val="FootnoteReference"/>
        </w:rPr>
        <w:footnoteRef/>
      </w:r>
      <w:r>
        <w:t xml:space="preserve"> </w:t>
      </w:r>
      <w:r>
        <w:t xml:space="preserve">Verified fact — A6-S070: SOC 2 compliance (services in scope) (Google Cloud)</w:t>
      </w:r>
      <w:r>
        <w:t xml:space="preserve"> </w:t>
      </w:r>
      <w:hyperlink r:id="rId1780">
        <w:r>
          <w:rPr>
            <w:rStyle w:val="Hyperlink"/>
          </w:rPr>
          <w:t xml:space="preserve">https://cloud.google.com/security/compliance/soc-2</w:t>
        </w:r>
      </w:hyperlink>
      <w:r>
        <w:t xml:space="preserve"> </w:t>
      </w:r>
      <w:r>
        <w:t xml:space="preserve">accessed 2026-10-07; A6-S071: ISO/IEC 27001 compliance (services in scope) (Google Cloud)</w:t>
      </w:r>
      <w:r>
        <w:t xml:space="preserve"> </w:t>
      </w:r>
      <w:hyperlink r:id="rId1781">
        <w:r>
          <w:rPr>
            <w:rStyle w:val="Hyperlink"/>
          </w:rPr>
          <w:t xml:space="preserve">https://cloud.google.com/security/compliance/iso-27001</w:t>
        </w:r>
      </w:hyperlink>
      <w:r>
        <w:t xml:space="preserve"> </w:t>
      </w:r>
      <w:r>
        <w:t xml:space="preserve">accessed 2026-10-07</w:t>
      </w:r>
    </w:p>
  </w:footnote>
  <w:footnote w:id="1977">
    <w:p>
      <w:pPr>
        <w:pStyle w:val="FootnoteText"/>
      </w:pPr>
      <w:r>
        <w:rPr>
          <w:rStyle w:val="FootnoteReference"/>
        </w:rPr>
        <w:footnoteRef/>
      </w:r>
      <w:r>
        <w:t xml:space="preserve"> </w:t>
      </w:r>
      <w:r>
        <w:t xml:space="preserve">Verified fact — B-C2-S003: Model Armor: Data residency and endpoints (Google Cloud)</w:t>
      </w:r>
      <w:r>
        <w:t xml:space="preserve"> </w:t>
      </w:r>
      <w:hyperlink r:id="rId1966">
        <w:r>
          <w:rPr>
            <w:rStyle w:val="Hyperlink"/>
          </w:rPr>
          <w:t xml:space="preserve">https://docs.cloud.google.com/model-armor/data-residency</w:t>
        </w:r>
      </w:hyperlink>
      <w:r>
        <w:t xml:space="preserve"> </w:t>
      </w:r>
      <w:r>
        <w:t xml:space="preserve">accessed 2026-10-08 [search-tool extract]; B-C2-S005: Model Armor release notes (Google Cloud)</w:t>
      </w:r>
      <w:r>
        <w:t xml:space="preserve"> </w:t>
      </w:r>
      <w:hyperlink r:id="rId1970">
        <w:r>
          <w:rPr>
            <w:rStyle w:val="Hyperlink"/>
          </w:rPr>
          <w:t xml:space="preserve">https://docs.cloud.google.com/model-armor/release-notes</w:t>
        </w:r>
      </w:hyperlink>
      <w:r>
        <w:t xml:space="preserve"> </w:t>
      </w:r>
      <w:r>
        <w:t xml:space="preserve">accessed 2026-10-08 [search-tool extract]</w:t>
      </w:r>
    </w:p>
  </w:footnote>
  <w:footnote w:id="1978">
    <w:p>
      <w:pPr>
        <w:pStyle w:val="FootnoteText"/>
      </w:pPr>
      <w:r>
        <w:rPr>
          <w:rStyle w:val="FootnoteReference"/>
        </w:rPr>
        <w:footnoteRef/>
      </w:r>
      <w:r>
        <w:t xml:space="preserve"> </w:t>
      </w:r>
      <w:r>
        <w:t xml:space="preserve">Verified fact — A6-S067: Model Armor product page (incl. pricing) (Google Cloud)</w:t>
      </w:r>
      <w:r>
        <w:t xml:space="preserve"> </w:t>
      </w:r>
      <w:hyperlink r:id="rId1963">
        <w:r>
          <w:rPr>
            <w:rStyle w:val="Hyperlink"/>
          </w:rPr>
          <w:t xml:space="preserve">https://cloud.google.com/security/products/model-armor</w:t>
        </w:r>
      </w:hyperlink>
      <w:r>
        <w:t xml:space="preserve"> </w:t>
      </w:r>
      <w:r>
        <w:t xml:space="preserve">accessed 2026-10-07</w:t>
      </w:r>
    </w:p>
  </w:footnote>
  <w:footnote w:id="1980">
    <w:p>
      <w:pPr>
        <w:pStyle w:val="FootnoteText"/>
      </w:pPr>
      <w:r>
        <w:rPr>
          <w:rStyle w:val="FootnoteReference"/>
        </w:rPr>
        <w:footnoteRef/>
      </w:r>
      <w:r>
        <w:t xml:space="preserve"> </w:t>
      </w:r>
      <w:r>
        <w:t xml:space="preserve">Verified fact — A6-S054: What is Azure AI Content Safety? (Microsoft Learn source)</w:t>
      </w:r>
      <w:r>
        <w:t xml:space="preserve"> </w:t>
      </w:r>
      <w:hyperlink r:id="rId1981">
        <w:r>
          <w:rPr>
            <w:rStyle w:val="Hyperlink"/>
          </w:rPr>
          <w:t xml:space="preserve">https://raw.githubusercontent.com/MicrosoftDocs/azure-ai-docs/main/articles/ai-services/content-safety/overview.md</w:t>
        </w:r>
      </w:hyperlink>
      <w:r>
        <w:t xml:space="preserve"> </w:t>
      </w:r>
      <w:r>
        <w:t xml:space="preserve">accessed 2026-10-07; A6-S055: What’s new in Azure AI Content Safety? (Microsoft Learn source)</w:t>
      </w:r>
      <w:r>
        <w:t xml:space="preserve"> </w:t>
      </w:r>
      <w:hyperlink r:id="rId1982">
        <w:r>
          <w:rPr>
            <w:rStyle w:val="Hyperlink"/>
          </w:rPr>
          <w:t xml:space="preserve">https://raw.githubusercontent.com/MicrosoftDocs/azure-ai-docs/main/articles/ai-services/content-safety/whats-new.md</w:t>
        </w:r>
      </w:hyperlink>
      <w:r>
        <w:t xml:space="preserve"> </w:t>
      </w:r>
      <w:r>
        <w:t xml:space="preserve">accessed 2026-10-07</w:t>
      </w:r>
    </w:p>
  </w:footnote>
  <w:footnote w:id="1983">
    <w:p>
      <w:pPr>
        <w:pStyle w:val="FootnoteText"/>
      </w:pPr>
      <w:r>
        <w:rPr>
          <w:rStyle w:val="FootnoteReference"/>
        </w:rPr>
        <w:footnoteRef/>
      </w:r>
      <w:r>
        <w:t xml:space="preserve"> </w:t>
      </w:r>
      <w:r>
        <w:t xml:space="preserve">Verified fact — B-C1-S007: ISO/IEC 27001 - Azure Compliance (Microsoft)</w:t>
      </w:r>
      <w:r>
        <w:t xml:space="preserve"> </w:t>
      </w:r>
      <w:hyperlink r:id="rId1850">
        <w:r>
          <w:rPr>
            <w:rStyle w:val="Hyperlink"/>
          </w:rPr>
          <w:t xml:space="preserve">https://learn.microsoft.com/en-us/azure/compliance/offerings/offering-iso-27001</w:t>
        </w:r>
      </w:hyperlink>
      <w:r>
        <w:t xml:space="preserve"> </w:t>
      </w:r>
      <w:r>
        <w:t xml:space="preserve">accessed 2026-10-08 [search-tool extract]; B-C1-S008: System and Organization Controls (SOC) 2 Type 2 - Azure Compliance (Microsoft)</w:t>
      </w:r>
      <w:r>
        <w:t xml:space="preserve"> </w:t>
      </w:r>
      <w:hyperlink r:id="rId1851">
        <w:r>
          <w:rPr>
            <w:rStyle w:val="Hyperlink"/>
          </w:rPr>
          <w:t xml:space="preserve">https://learn.microsoft.com/en-us/azure/compliance/offerings/offering-soc-2</w:t>
        </w:r>
      </w:hyperlink>
      <w:r>
        <w:t xml:space="preserve"> </w:t>
      </w:r>
      <w:r>
        <w:t xml:space="preserve">accessed 2026-10-08 [search-tool extract]</w:t>
      </w:r>
    </w:p>
  </w:footnote>
  <w:footnote w:id="1984">
    <w:p>
      <w:pPr>
        <w:pStyle w:val="FootnoteText"/>
      </w:pPr>
      <w:r>
        <w:rPr>
          <w:rStyle w:val="FootnoteReference"/>
        </w:rPr>
        <w:footnoteRef/>
      </w:r>
      <w:r>
        <w:t xml:space="preserve"> </w:t>
      </w:r>
      <w:r>
        <w:t xml:space="preserve">Verified fact — A6-S054: What is Azure AI Content Safety? (Microsoft Learn source)</w:t>
      </w:r>
      <w:r>
        <w:t xml:space="preserve"> </w:t>
      </w:r>
      <w:hyperlink r:id="rId1981">
        <w:r>
          <w:rPr>
            <w:rStyle w:val="Hyperlink"/>
          </w:rPr>
          <w:t xml:space="preserve">https://raw.githubusercontent.com/MicrosoftDocs/azure-ai-docs/main/articles/ai-services/content-safety/overview.md</w:t>
        </w:r>
      </w:hyperlink>
      <w:r>
        <w:t xml:space="preserve"> </w:t>
      </w:r>
      <w:r>
        <w:t xml:space="preserve">accessed 2026-10-07</w:t>
      </w:r>
    </w:p>
  </w:footnote>
  <w:footnote w:id="1985">
    <w:p>
      <w:pPr>
        <w:pStyle w:val="FootnoteText"/>
      </w:pPr>
      <w:r>
        <w:rPr>
          <w:rStyle w:val="FootnoteReference"/>
        </w:rPr>
        <w:footnoteRef/>
      </w:r>
      <w:r>
        <w:t xml:space="preserve"> </w:t>
      </w:r>
      <w:r>
        <w:t xml:space="preserve">Verified fact — A6-S054: What is Azure AI Content Safety? (Microsoft Learn source)</w:t>
      </w:r>
      <w:r>
        <w:t xml:space="preserve"> </w:t>
      </w:r>
      <w:hyperlink r:id="rId1981">
        <w:r>
          <w:rPr>
            <w:rStyle w:val="Hyperlink"/>
          </w:rPr>
          <w:t xml:space="preserve">https://raw.githubusercontent.com/MicrosoftDocs/azure-ai-docs/main/articles/ai-services/content-safety/overview.md</w:t>
        </w:r>
      </w:hyperlink>
      <w:r>
        <w:t xml:space="preserve"> </w:t>
      </w:r>
      <w:r>
        <w:t xml:space="preserve">accessed 2026-10-07</w:t>
      </w:r>
    </w:p>
  </w:footnote>
  <w:footnote w:id="1986">
    <w:p>
      <w:pPr>
        <w:pStyle w:val="FootnoteText"/>
      </w:pPr>
      <w:r>
        <w:rPr>
          <w:rStyle w:val="FootnoteReference"/>
        </w:rPr>
        <w:footnoteRef/>
      </w:r>
      <w:r>
        <w:t xml:space="preserve"> </w:t>
      </w:r>
      <w:r>
        <w:t xml:space="preserve">Verified fact — A6-S053: AI gateway capabilities in Azure API Management (Microsoft Learn source, ms.date 29 May 2026)</w:t>
      </w:r>
      <w:r>
        <w:t xml:space="preserve"> </w:t>
      </w:r>
      <w:hyperlink r:id="rId1844">
        <w:r>
          <w:rPr>
            <w:rStyle w:val="Hyperlink"/>
          </w:rPr>
          <w:t xml:space="preserve">https://raw.githubusercontent.com/MicrosoftDocs/azure-docs/main/articles/api-management/genai-gateway-capabilities.md</w:t>
        </w:r>
      </w:hyperlink>
      <w:r>
        <w:t xml:space="preserve"> </w:t>
      </w:r>
      <w:r>
        <w:t xml:space="preserve">accessed 2026-10-07; A6-S103: Guardrails and controls overview in Microsoft Foundry</w:t>
      </w:r>
      <w:r>
        <w:t xml:space="preserve"> </w:t>
      </w:r>
      <w:hyperlink r:id="rId1987">
        <w:r>
          <w:rPr>
            <w:rStyle w:val="Hyperlink"/>
          </w:rPr>
          <w:t xml:space="preserve">https://learn.microsoft.com/en-us/azure/foundry/guardrails/guardrails-overview</w:t>
        </w:r>
      </w:hyperlink>
      <w:r>
        <w:t xml:space="preserve"> </w:t>
      </w:r>
      <w:r>
        <w:t xml:space="preserve">accessed 2026-10-07 [search-tool extract]</w:t>
      </w:r>
    </w:p>
  </w:footnote>
  <w:footnote w:id="1988">
    <w:p>
      <w:pPr>
        <w:pStyle w:val="FootnoteText"/>
      </w:pPr>
      <w:r>
        <w:rPr>
          <w:rStyle w:val="FootnoteReference"/>
        </w:rPr>
        <w:footnoteRef/>
      </w:r>
      <w:r>
        <w:t xml:space="preserve"> </w:t>
      </w:r>
      <w:r>
        <w:t xml:space="preserve">Verified fact — A6-S054: What is Azure AI Content Safety? (Microsoft Learn source)</w:t>
      </w:r>
      <w:r>
        <w:t xml:space="preserve"> </w:t>
      </w:r>
      <w:hyperlink r:id="rId1981">
        <w:r>
          <w:rPr>
            <w:rStyle w:val="Hyperlink"/>
          </w:rPr>
          <w:t xml:space="preserve">https://raw.githubusercontent.com/MicrosoftDocs/azure-ai-docs/main/articles/ai-services/content-safety/overview.md</w:t>
        </w:r>
      </w:hyperlink>
      <w:r>
        <w:t xml:space="preserve"> </w:t>
      </w:r>
      <w:r>
        <w:t xml:space="preserve">accessed 2026-10-07; A6-S055: What’s new in Azure AI Content Safety? (Microsoft Learn source)</w:t>
      </w:r>
      <w:r>
        <w:t xml:space="preserve"> </w:t>
      </w:r>
      <w:hyperlink r:id="rId1982">
        <w:r>
          <w:rPr>
            <w:rStyle w:val="Hyperlink"/>
          </w:rPr>
          <w:t xml:space="preserve">https://raw.githubusercontent.com/MicrosoftDocs/azure-ai-docs/main/articles/ai-services/content-safety/whats-new.md</w:t>
        </w:r>
      </w:hyperlink>
      <w:r>
        <w:t xml:space="preserve"> </w:t>
      </w:r>
      <w:r>
        <w:t xml:space="preserve">accessed 2026-10-07</w:t>
      </w:r>
    </w:p>
  </w:footnote>
  <w:footnote w:id="1989">
    <w:p>
      <w:pPr>
        <w:pStyle w:val="FootnoteText"/>
      </w:pPr>
      <w:r>
        <w:rPr>
          <w:rStyle w:val="FootnoteReference"/>
        </w:rPr>
        <w:footnoteRef/>
      </w:r>
      <w:r>
        <w:t xml:space="preserve"> </w:t>
      </w:r>
      <w:r>
        <w:t xml:space="preserve">Verified fact — A6-S102: Content Safety in Foundry Control Plane - Pricing; Azure AI Content Safety FAQ (Microsoft)</w:t>
      </w:r>
      <w:r>
        <w:t xml:space="preserve"> </w:t>
      </w:r>
      <w:hyperlink r:id="rId1990">
        <w:r>
          <w:rPr>
            <w:rStyle w:val="Hyperlink"/>
          </w:rPr>
          <w:t xml:space="preserve">https://azure.microsoft.com/en-us/pricing/details/content-safety/</w:t>
        </w:r>
      </w:hyperlink>
      <w:r>
        <w:t xml:space="preserve"> </w:t>
      </w:r>
      <w:r>
        <w:t xml:space="preserve">accessed 2026-10-07 [search-tool extract]</w:t>
      </w:r>
    </w:p>
  </w:footnote>
  <w:footnote w:id="1991">
    <w:p>
      <w:pPr>
        <w:pStyle w:val="FootnoteText"/>
      </w:pPr>
      <w:r>
        <w:rPr>
          <w:rStyle w:val="FootnoteReference"/>
        </w:rPr>
        <w:footnoteRef/>
      </w:r>
      <w:r>
        <w:t xml:space="preserve"> </w:t>
      </w:r>
      <w:r>
        <w:t xml:space="preserve">Verified fact — A6-S054: What is Azure AI Content Safety? (Microsoft Learn source)</w:t>
      </w:r>
      <w:r>
        <w:t xml:space="preserve"> </w:t>
      </w:r>
      <w:hyperlink r:id="rId1981">
        <w:r>
          <w:rPr>
            <w:rStyle w:val="Hyperlink"/>
          </w:rPr>
          <w:t xml:space="preserve">https://raw.githubusercontent.com/MicrosoftDocs/azure-ai-docs/main/articles/ai-services/content-safety/overview.md</w:t>
        </w:r>
      </w:hyperlink>
      <w:r>
        <w:t xml:space="preserve"> </w:t>
      </w:r>
      <w:r>
        <w:t xml:space="preserve">accessed 2026-10-07</w:t>
      </w:r>
    </w:p>
  </w:footnote>
  <w:footnote w:id="1992">
    <w:p>
      <w:pPr>
        <w:pStyle w:val="FootnoteText"/>
      </w:pPr>
      <w:r>
        <w:rPr>
          <w:rStyle w:val="FootnoteReference"/>
        </w:rPr>
        <w:footnoteRef/>
      </w:r>
      <w:r>
        <w:t xml:space="preserve"> </w:t>
      </w:r>
      <w:r>
        <w:t xml:space="preserve">Verified fact — A6-S054: What is Azure AI Content Safety? (Microsoft Learn source)</w:t>
      </w:r>
      <w:r>
        <w:t xml:space="preserve"> </w:t>
      </w:r>
      <w:hyperlink r:id="rId1981">
        <w:r>
          <w:rPr>
            <w:rStyle w:val="Hyperlink"/>
          </w:rPr>
          <w:t xml:space="preserve">https://raw.githubusercontent.com/MicrosoftDocs/azure-ai-docs/main/articles/ai-services/content-safety/overview.md</w:t>
        </w:r>
      </w:hyperlink>
      <w:r>
        <w:t xml:space="preserve"> </w:t>
      </w:r>
      <w:r>
        <w:t xml:space="preserve">accessed 2026-10-07; A6-S055: What’s new in Azure AI Content Safety? (Microsoft Learn source)</w:t>
      </w:r>
      <w:r>
        <w:t xml:space="preserve"> </w:t>
      </w:r>
      <w:hyperlink r:id="rId1982">
        <w:r>
          <w:rPr>
            <w:rStyle w:val="Hyperlink"/>
          </w:rPr>
          <w:t xml:space="preserve">https://raw.githubusercontent.com/MicrosoftDocs/azure-ai-docs/main/articles/ai-services/content-safety/whats-new.md</w:t>
        </w:r>
      </w:hyperlink>
      <w:r>
        <w:t xml:space="preserve"> </w:t>
      </w:r>
      <w:r>
        <w:t xml:space="preserve">accessed 2026-10-07; A6-S020: Azure API Management AI gateway docs and Tech Community announcements (AI Gateway tier preview; Build 2026 updates) (Microsoft)</w:t>
      </w:r>
      <w:r>
        <w:t xml:space="preserve"> </w:t>
      </w:r>
      <w:hyperlink r:id="rId1845">
        <w:r>
          <w:rPr>
            <w:rStyle w:val="Hyperlink"/>
          </w:rPr>
          <w:t xml:space="preserve">https://learn.microsoft.com/en-us/azure/api-management/ai-gateway-overview</w:t>
        </w:r>
      </w:hyperlink>
      <w:r>
        <w:t xml:space="preserve"> </w:t>
      </w:r>
      <w:r>
        <w:t xml:space="preserve">accessed 2026-10-07 [search-tool extract]</w:t>
      </w:r>
    </w:p>
  </w:footnote>
  <w:footnote w:id="1993">
    <w:p>
      <w:pPr>
        <w:pStyle w:val="FootnoteText"/>
      </w:pPr>
      <w:r>
        <w:rPr>
          <w:rStyle w:val="FootnoteReference"/>
        </w:rPr>
        <w:footnoteRef/>
      </w:r>
      <w:r>
        <w:t xml:space="preserve"> </w:t>
      </w:r>
      <w:r>
        <w:t xml:space="preserve">Verified fact — A6-S055: What’s new in Azure AI Content Safety? (Microsoft Learn source)</w:t>
      </w:r>
      <w:r>
        <w:t xml:space="preserve"> </w:t>
      </w:r>
      <w:hyperlink r:id="rId1982">
        <w:r>
          <w:rPr>
            <w:rStyle w:val="Hyperlink"/>
          </w:rPr>
          <w:t xml:space="preserve">https://raw.githubusercontent.com/MicrosoftDocs/azure-ai-docs/main/articles/ai-services/content-safety/whats-new.md</w:t>
        </w:r>
      </w:hyperlink>
      <w:r>
        <w:t xml:space="preserve"> </w:t>
      </w:r>
      <w:r>
        <w:t xml:space="preserve">accessed 2026-10-07; A6-S054: What is Azure AI Content Safety? (Microsoft Learn source)</w:t>
      </w:r>
      <w:r>
        <w:t xml:space="preserve"> </w:t>
      </w:r>
      <w:hyperlink r:id="rId1981">
        <w:r>
          <w:rPr>
            <w:rStyle w:val="Hyperlink"/>
          </w:rPr>
          <w:t xml:space="preserve">https://raw.githubusercontent.com/MicrosoftDocs/azure-ai-docs/main/articles/ai-services/content-safety/overview.md</w:t>
        </w:r>
      </w:hyperlink>
      <w:r>
        <w:t xml:space="preserve"> </w:t>
      </w:r>
      <w:r>
        <w:t xml:space="preserve">accessed 2026-10-07</w:t>
      </w:r>
    </w:p>
  </w:footnote>
  <w:footnote w:id="1994">
    <w:p>
      <w:pPr>
        <w:pStyle w:val="FootnoteText"/>
      </w:pPr>
      <w:r>
        <w:rPr>
          <w:rStyle w:val="FootnoteReference"/>
        </w:rPr>
        <w:footnoteRef/>
      </w:r>
      <w:r>
        <w:t xml:space="preserve"> </w:t>
      </w:r>
      <w:r>
        <w:t xml:space="preserve">Verified fact — A6-S020: Azure API Management AI gateway docs and Tech Community announcements (AI Gateway tier preview; Build 2026 updates) (Microsoft)</w:t>
      </w:r>
      <w:r>
        <w:t xml:space="preserve"> </w:t>
      </w:r>
      <w:hyperlink r:id="rId1845">
        <w:r>
          <w:rPr>
            <w:rStyle w:val="Hyperlink"/>
          </w:rPr>
          <w:t xml:space="preserve">https://learn.microsoft.com/en-us/azure/api-management/ai-gateway-overview</w:t>
        </w:r>
      </w:hyperlink>
      <w:r>
        <w:t xml:space="preserve"> </w:t>
      </w:r>
      <w:r>
        <w:t xml:space="preserve">accessed 2026-10-07 [search-tool extract]</w:t>
      </w:r>
    </w:p>
  </w:footnote>
  <w:footnote w:id="1995">
    <w:p>
      <w:pPr>
        <w:pStyle w:val="FootnoteText"/>
      </w:pPr>
      <w:r>
        <w:rPr>
          <w:rStyle w:val="FootnoteReference"/>
        </w:rPr>
        <w:footnoteRef/>
      </w:r>
      <w:r>
        <w:t xml:space="preserve"> </w:t>
      </w:r>
      <w:r>
        <w:t xml:space="preserve">Verified fact — A6-S054: What is Azure AI Content Safety? (Microsoft Learn source)</w:t>
      </w:r>
      <w:r>
        <w:t xml:space="preserve"> </w:t>
      </w:r>
      <w:hyperlink r:id="rId1981">
        <w:r>
          <w:rPr>
            <w:rStyle w:val="Hyperlink"/>
          </w:rPr>
          <w:t xml:space="preserve">https://raw.githubusercontent.com/MicrosoftDocs/azure-ai-docs/main/articles/ai-services/content-safety/overview.md</w:t>
        </w:r>
      </w:hyperlink>
      <w:r>
        <w:t xml:space="preserve"> </w:t>
      </w:r>
      <w:r>
        <w:t xml:space="preserve">accessed 2026-10-07</w:t>
      </w:r>
    </w:p>
  </w:footnote>
  <w:footnote w:id="1996">
    <w:p>
      <w:pPr>
        <w:pStyle w:val="FootnoteText"/>
      </w:pPr>
      <w:r>
        <w:rPr>
          <w:rStyle w:val="FootnoteReference"/>
        </w:rPr>
        <w:footnoteRef/>
      </w:r>
      <w:r>
        <w:t xml:space="preserve"> </w:t>
      </w:r>
      <w:r>
        <w:t xml:space="preserve">Verified fact — A6-S054: What is Azure AI Content Safety? (Microsoft Learn source)</w:t>
      </w:r>
      <w:r>
        <w:t xml:space="preserve"> </w:t>
      </w:r>
      <w:hyperlink r:id="rId1981">
        <w:r>
          <w:rPr>
            <w:rStyle w:val="Hyperlink"/>
          </w:rPr>
          <w:t xml:space="preserve">https://raw.githubusercontent.com/MicrosoftDocs/azure-ai-docs/main/articles/ai-services/content-safety/overview.md</w:t>
        </w:r>
      </w:hyperlink>
      <w:r>
        <w:t xml:space="preserve"> </w:t>
      </w:r>
      <w:r>
        <w:t xml:space="preserve">accessed 2026-10-07; A6-S055: What’s new in Azure AI Content Safety? (Microsoft Learn source)</w:t>
      </w:r>
      <w:r>
        <w:t xml:space="preserve"> </w:t>
      </w:r>
      <w:hyperlink r:id="rId1982">
        <w:r>
          <w:rPr>
            <w:rStyle w:val="Hyperlink"/>
          </w:rPr>
          <w:t xml:space="preserve">https://raw.githubusercontent.com/MicrosoftDocs/azure-ai-docs/main/articles/ai-services/content-safety/whats-new.md</w:t>
        </w:r>
      </w:hyperlink>
      <w:r>
        <w:t xml:space="preserve"> </w:t>
      </w:r>
      <w:r>
        <w:t xml:space="preserve">accessed 2026-10-07</w:t>
      </w:r>
    </w:p>
  </w:footnote>
  <w:footnote w:id="1997">
    <w:p>
      <w:pPr>
        <w:pStyle w:val="FootnoteText"/>
      </w:pPr>
      <w:r>
        <w:rPr>
          <w:rStyle w:val="FootnoteReference"/>
        </w:rPr>
        <w:footnoteRef/>
      </w:r>
      <w:r>
        <w:t xml:space="preserve"> </w:t>
      </w:r>
      <w:r>
        <w:t xml:space="preserve">Verified fact — A6-S102: Content Safety in Foundry Control Plane - Pricing; Azure AI Content Safety FAQ (Microsoft)</w:t>
      </w:r>
      <w:r>
        <w:t xml:space="preserve"> </w:t>
      </w:r>
      <w:hyperlink r:id="rId1990">
        <w:r>
          <w:rPr>
            <w:rStyle w:val="Hyperlink"/>
          </w:rPr>
          <w:t xml:space="preserve">https://azure.microsoft.com/en-us/pricing/details/content-safety/</w:t>
        </w:r>
      </w:hyperlink>
      <w:r>
        <w:t xml:space="preserve"> </w:t>
      </w:r>
      <w:r>
        <w:t xml:space="preserve">accessed 2026-10-07 [search-tool extract]</w:t>
      </w:r>
    </w:p>
  </w:footnote>
  <w:footnote w:id="1998">
    <w:p>
      <w:pPr>
        <w:pStyle w:val="FootnoteText"/>
      </w:pPr>
      <w:r>
        <w:rPr>
          <w:rStyle w:val="FootnoteReference"/>
        </w:rPr>
        <w:footnoteRef/>
      </w:r>
      <w:r>
        <w:t xml:space="preserve"> </w:t>
      </w:r>
      <w:r>
        <w:t xml:space="preserve">Verified fact — A6-S103: Guardrails and controls overview in Microsoft Foundry</w:t>
      </w:r>
      <w:r>
        <w:t xml:space="preserve"> </w:t>
      </w:r>
      <w:hyperlink r:id="rId1987">
        <w:r>
          <w:rPr>
            <w:rStyle w:val="Hyperlink"/>
          </w:rPr>
          <w:t xml:space="preserve">https://learn.microsoft.com/en-us/azure/foundry/guardrails/guardrails-overview</w:t>
        </w:r>
      </w:hyperlink>
      <w:r>
        <w:t xml:space="preserve"> </w:t>
      </w:r>
      <w:r>
        <w:t xml:space="preserve">accessed 2026-10-07 [search-tool extract]</w:t>
      </w:r>
    </w:p>
  </w:footnote>
  <w:footnote w:id="2000">
    <w:p>
      <w:pPr>
        <w:pStyle w:val="FootnoteText"/>
      </w:pPr>
      <w:r>
        <w:rPr>
          <w:rStyle w:val="FootnoteReference"/>
        </w:rPr>
        <w:footnoteRef/>
      </w:r>
      <w:r>
        <w:t xml:space="preserve"> </w:t>
      </w:r>
      <w:r>
        <w:t xml:space="preserve">Verified fact — A6-S030: meta-llama/Llama-Guard-4-12B model card and LICENSE (Hugging Face); Llama Prompt Guard 2 model cards (Meta (via Hugging Face))</w:t>
      </w:r>
      <w:r>
        <w:t xml:space="preserve"> </w:t>
      </w:r>
      <w:hyperlink r:id="rId2001">
        <w:r>
          <w:rPr>
            <w:rStyle w:val="Hyperlink"/>
          </w:rPr>
          <w:t xml:space="preserve">https://huggingface.co/meta-llama/Llama-Guard-4-12B</w:t>
        </w:r>
      </w:hyperlink>
      <w:r>
        <w:t xml:space="preserve"> </w:t>
      </w:r>
      <w:r>
        <w:t xml:space="preserve">accessed 2026-10-07 [search-tool extract]; A6-S039: LlamaFirewall README (GitHub) (Meta)</w:t>
      </w:r>
      <w:r>
        <w:t xml:space="preserve"> </w:t>
      </w:r>
      <w:hyperlink r:id="rId2002">
        <w:r>
          <w:rPr>
            <w:rStyle w:val="Hyperlink"/>
          </w:rPr>
          <w:t xml:space="preserve">https://raw.githubusercontent.com/meta-llama/PurpleLlama/main/LlamaFirewall/README.md</w:t>
        </w:r>
      </w:hyperlink>
      <w:r>
        <w:t xml:space="preserve"> </w:t>
      </w:r>
      <w:r>
        <w:t xml:space="preserve">accessed 2026-10-07</w:t>
      </w:r>
    </w:p>
  </w:footnote>
  <w:footnote w:id="2003">
    <w:p>
      <w:pPr>
        <w:pStyle w:val="FootnoteText"/>
      </w:pPr>
      <w:r>
        <w:rPr>
          <w:rStyle w:val="FootnoteReference"/>
        </w:rPr>
        <w:footnoteRef/>
      </w:r>
      <w:r>
        <w:t xml:space="preserve"> </w:t>
      </w:r>
      <w:r>
        <w:t xml:space="preserve">Verified fact — A6-S030: meta-llama/Llama-Guard-4-12B model card and LICENSE (Hugging Face); Llama Prompt Guard 2 model cards (Meta (via Hugging Face))</w:t>
      </w:r>
      <w:r>
        <w:t xml:space="preserve"> </w:t>
      </w:r>
      <w:hyperlink r:id="rId2001">
        <w:r>
          <w:rPr>
            <w:rStyle w:val="Hyperlink"/>
          </w:rPr>
          <w:t xml:space="preserve">https://huggingface.co/meta-llama/Llama-Guard-4-12B</w:t>
        </w:r>
      </w:hyperlink>
      <w:r>
        <w:t xml:space="preserve"> </w:t>
      </w:r>
      <w:r>
        <w:t xml:space="preserve">accessed 2026-10-07 [search-tool extract]</w:t>
      </w:r>
    </w:p>
  </w:footnote>
  <w:footnote w:id="2004">
    <w:p>
      <w:pPr>
        <w:pStyle w:val="FootnoteText"/>
      </w:pPr>
      <w:r>
        <w:rPr>
          <w:rStyle w:val="FootnoteReference"/>
        </w:rPr>
        <w:footnoteRef/>
      </w:r>
      <w:r>
        <w:t xml:space="preserve"> </w:t>
      </w:r>
      <w:r>
        <w:t xml:space="preserve">Reported — A6-S031: Sharing new open source protection tools and advancements in AI privacy and security; Llama Protections page (Meta)</w:t>
      </w:r>
      <w:r>
        <w:t xml:space="preserve"> </w:t>
      </w:r>
      <w:hyperlink r:id="rId2005">
        <w:r>
          <w:rPr>
            <w:rStyle w:val="Hyperlink"/>
          </w:rPr>
          <w:t xml:space="preserve">https://ai.meta.com/blog/ai-defenders-program-llama-protection-tools/</w:t>
        </w:r>
      </w:hyperlink>
      <w:r>
        <w:t xml:space="preserve"> </w:t>
      </w:r>
      <w:r>
        <w:t xml:space="preserve">accessed 2026-10-07 [search-tool extract]</w:t>
      </w:r>
    </w:p>
  </w:footnote>
  <w:footnote w:id="2006">
    <w:p>
      <w:pPr>
        <w:pStyle w:val="FootnoteText"/>
      </w:pPr>
      <w:r>
        <w:rPr>
          <w:rStyle w:val="FootnoteReference"/>
        </w:rPr>
        <w:footnoteRef/>
      </w:r>
      <w:r>
        <w:t xml:space="preserve"> </w:t>
      </w:r>
      <w:r>
        <w:t xml:space="preserve">Verified fact — A6-S030: meta-llama/Llama-Guard-4-12B model card and LICENSE (Hugging Face); Llama Prompt Guard 2 model cards (Meta (via Hugging Face))</w:t>
      </w:r>
      <w:r>
        <w:t xml:space="preserve"> </w:t>
      </w:r>
      <w:hyperlink r:id="rId2001">
        <w:r>
          <w:rPr>
            <w:rStyle w:val="Hyperlink"/>
          </w:rPr>
          <w:t xml:space="preserve">https://huggingface.co/meta-llama/Llama-Guard-4-12B</w:t>
        </w:r>
      </w:hyperlink>
      <w:r>
        <w:t xml:space="preserve"> </w:t>
      </w:r>
      <w:r>
        <w:t xml:space="preserve">accessed 2026-10-07 [search-tool extract]; A6-S006: llamafirewall - PyPI JSON metadata (Python Package Index)</w:t>
      </w:r>
      <w:r>
        <w:t xml:space="preserve"> </w:t>
      </w:r>
      <w:hyperlink r:id="rId2007">
        <w:r>
          <w:rPr>
            <w:rStyle w:val="Hyperlink"/>
          </w:rPr>
          <w:t xml:space="preserve">https://pypi.org/pypi/llamafirewall/json</w:t>
        </w:r>
      </w:hyperlink>
      <w:r>
        <w:t xml:space="preserve"> </w:t>
      </w:r>
      <w:r>
        <w:t xml:space="preserve">accessed 2026-10-07</w:t>
      </w:r>
    </w:p>
  </w:footnote>
  <w:footnote w:id="2008">
    <w:p>
      <w:pPr>
        <w:pStyle w:val="FootnoteText"/>
      </w:pPr>
      <w:r>
        <w:rPr>
          <w:rStyle w:val="FootnoteReference"/>
        </w:rPr>
        <w:footnoteRef/>
      </w:r>
      <w:r>
        <w:t xml:space="preserve"> </w:t>
      </w:r>
      <w:r>
        <w:t xml:space="preserve">Verified fact — A6-S030: meta-llama/Llama-Guard-4-12B model card and LICENSE (Hugging Face); Llama Prompt Guard 2 model cards (Meta (via Hugging Face))</w:t>
      </w:r>
      <w:r>
        <w:t xml:space="preserve"> </w:t>
      </w:r>
      <w:hyperlink r:id="rId2001">
        <w:r>
          <w:rPr>
            <w:rStyle w:val="Hyperlink"/>
          </w:rPr>
          <w:t xml:space="preserve">https://huggingface.co/meta-llama/Llama-Guard-4-12B</w:t>
        </w:r>
      </w:hyperlink>
      <w:r>
        <w:t xml:space="preserve"> </w:t>
      </w:r>
      <w:r>
        <w:t xml:space="preserve">accessed 2026-10-07 [search-tool extract]</w:t>
      </w:r>
    </w:p>
  </w:footnote>
  <w:footnote w:id="2009">
    <w:p>
      <w:pPr>
        <w:pStyle w:val="FootnoteText"/>
      </w:pPr>
      <w:r>
        <w:rPr>
          <w:rStyle w:val="FootnoteReference"/>
        </w:rPr>
        <w:footnoteRef/>
      </w:r>
      <w:r>
        <w:t xml:space="preserve"> </w:t>
      </w:r>
      <w:r>
        <w:t xml:space="preserve">Verified fact — A6-S052: Cloudflare AI Gateway docs: Pricing (source mdx) (Cloudflare, Inc.)</w:t>
      </w:r>
      <w:r>
        <w:t xml:space="preserve"> </w:t>
      </w:r>
      <w:hyperlink r:id="rId1904">
        <w:r>
          <w:rPr>
            <w:rStyle w:val="Hyperlink"/>
          </w:rPr>
          <w:t xml:space="preserve">https://raw.githubusercontent.com/cloudflare/cloudflare-docs/production/src/content/docs/ai-gateway/reference/pricing.mdx</w:t>
        </w:r>
      </w:hyperlink>
      <w:r>
        <w:t xml:space="preserve"> </w:t>
      </w:r>
      <w:r>
        <w:t xml:space="preserve">accessed 2026-10-07; A6-S029: Guardrails AI docs: Validators; Remote Validation Inference; Deploying Guardrails (Guardrails AI (Harvey))</w:t>
      </w:r>
      <w:r>
        <w:t xml:space="preserve"> </w:t>
      </w:r>
      <w:hyperlink r:id="rId2010">
        <w:r>
          <w:rPr>
            <w:rStyle w:val="Hyperlink"/>
          </w:rPr>
          <w:t xml:space="preserve">https://guardrailsai.com/guardrails/docs/concepts/validators</w:t>
        </w:r>
      </w:hyperlink>
      <w:r>
        <w:t xml:space="preserve"> </w:t>
      </w:r>
      <w:r>
        <w:t xml:space="preserve">accessed 2026-10-07 [search-tool extract]; A6-S030: meta-llama/Llama-Guard-4-12B model card and LICENSE (Hugging Face); Llama Prompt Guard 2 model cards (Meta (via Hugging Face))</w:t>
      </w:r>
      <w:r>
        <w:t xml:space="preserve"> </w:t>
      </w:r>
      <w:hyperlink r:id="rId2001">
        <w:r>
          <w:rPr>
            <w:rStyle w:val="Hyperlink"/>
          </w:rPr>
          <w:t xml:space="preserve">https://huggingface.co/meta-llama/Llama-Guard-4-12B</w:t>
        </w:r>
      </w:hyperlink>
      <w:r>
        <w:t xml:space="preserve"> </w:t>
      </w:r>
      <w:r>
        <w:t xml:space="preserve">accessed 2026-10-07 [search-tool extract]</w:t>
      </w:r>
    </w:p>
  </w:footnote>
  <w:footnote w:id="2011">
    <w:p>
      <w:pPr>
        <w:pStyle w:val="FootnoteText"/>
      </w:pPr>
      <w:r>
        <w:rPr>
          <w:rStyle w:val="FootnoteReference"/>
        </w:rPr>
        <w:footnoteRef/>
      </w:r>
      <w:r>
        <w:t xml:space="preserve"> </w:t>
      </w:r>
      <w:r>
        <w:t xml:space="preserve">Verified fact — A6-S006: llamafirewall - PyPI JSON metadata (Python Package Index)</w:t>
      </w:r>
      <w:r>
        <w:t xml:space="preserve"> </w:t>
      </w:r>
      <w:hyperlink r:id="rId2007">
        <w:r>
          <w:rPr>
            <w:rStyle w:val="Hyperlink"/>
          </w:rPr>
          <w:t xml:space="preserve">https://pypi.org/pypi/llamafirewall/json</w:t>
        </w:r>
      </w:hyperlink>
      <w:r>
        <w:t xml:space="preserve"> </w:t>
      </w:r>
      <w:r>
        <w:t xml:space="preserve">accessed 2026-10-07; A6-S107: Llama Guard 4 model card; Llama Prompt Guard 2 model card; Llama Protections (Meta)</w:t>
      </w:r>
      <w:r>
        <w:t xml:space="preserve"> </w:t>
      </w:r>
      <w:hyperlink r:id="rId2012">
        <w:r>
          <w:rPr>
            <w:rStyle w:val="Hyperlink"/>
          </w:rPr>
          <w:t xml:space="preserve">https://developer.meta.com/ai/docs/model-cards-and-prompt-formats/llama-guard-4/</w:t>
        </w:r>
      </w:hyperlink>
      <w:r>
        <w:t xml:space="preserve"> </w:t>
      </w:r>
      <w:r>
        <w:t xml:space="preserve">accessed 2026-10-07 [search-tool extract]</w:t>
      </w:r>
    </w:p>
  </w:footnote>
  <w:footnote w:id="2013">
    <w:p>
      <w:pPr>
        <w:pStyle w:val="FootnoteText"/>
      </w:pPr>
      <w:r>
        <w:rPr>
          <w:rStyle w:val="FootnoteReference"/>
        </w:rPr>
        <w:footnoteRef/>
      </w:r>
      <w:r>
        <w:t xml:space="preserve"> </w:t>
      </w:r>
      <w:r>
        <w:t xml:space="preserve">Verified fact — A6-S030: meta-llama/Llama-Guard-4-12B model card and LICENSE (Hugging Face); Llama Prompt Guard 2 model cards (Meta (via Hugging Face))</w:t>
      </w:r>
      <w:r>
        <w:t xml:space="preserve"> </w:t>
      </w:r>
      <w:hyperlink r:id="rId2001">
        <w:r>
          <w:rPr>
            <w:rStyle w:val="Hyperlink"/>
          </w:rPr>
          <w:t xml:space="preserve">https://huggingface.co/meta-llama/Llama-Guard-4-12B</w:t>
        </w:r>
      </w:hyperlink>
      <w:r>
        <w:t xml:space="preserve"> </w:t>
      </w:r>
      <w:r>
        <w:t xml:space="preserve">accessed 2026-10-07 [search-tool extract]</w:t>
      </w:r>
    </w:p>
  </w:footnote>
  <w:footnote w:id="2014">
    <w:p>
      <w:pPr>
        <w:pStyle w:val="FootnoteText"/>
      </w:pPr>
      <w:r>
        <w:rPr>
          <w:rStyle w:val="FootnoteReference"/>
        </w:rPr>
        <w:footnoteRef/>
      </w:r>
      <w:r>
        <w:t xml:space="preserve"> </w:t>
      </w:r>
      <w:r>
        <w:t xml:space="preserve">Verified fact — A6-S030: meta-llama/Llama-Guard-4-12B model card and LICENSE (Hugging Face); Llama Prompt Guard 2 model cards (Meta (via Hugging Face))</w:t>
      </w:r>
      <w:r>
        <w:t xml:space="preserve"> </w:t>
      </w:r>
      <w:hyperlink r:id="rId2001">
        <w:r>
          <w:rPr>
            <w:rStyle w:val="Hyperlink"/>
          </w:rPr>
          <w:t xml:space="preserve">https://huggingface.co/meta-llama/Llama-Guard-4-12B</w:t>
        </w:r>
      </w:hyperlink>
      <w:r>
        <w:t xml:space="preserve"> </w:t>
      </w:r>
      <w:r>
        <w:t xml:space="preserve">accessed 2026-10-07 [search-tool extract]; A6-S038: PurpleLlama README (GitHub) (Meta)</w:t>
      </w:r>
      <w:r>
        <w:t xml:space="preserve"> </w:t>
      </w:r>
      <w:hyperlink r:id="rId2015">
        <w:r>
          <w:rPr>
            <w:rStyle w:val="Hyperlink"/>
          </w:rPr>
          <w:t xml:space="preserve">https://raw.githubusercontent.com/meta-llama/PurpleLlama/main/README.md</w:t>
        </w:r>
      </w:hyperlink>
      <w:r>
        <w:t xml:space="preserve"> </w:t>
      </w:r>
      <w:r>
        <w:t xml:space="preserve">accessed 2026-10-07</w:t>
      </w:r>
    </w:p>
  </w:footnote>
  <w:footnote w:id="2016">
    <w:p>
      <w:pPr>
        <w:pStyle w:val="FootnoteText"/>
      </w:pPr>
      <w:r>
        <w:rPr>
          <w:rStyle w:val="FootnoteReference"/>
        </w:rPr>
        <w:footnoteRef/>
      </w:r>
      <w:r>
        <w:t xml:space="preserve"> </w:t>
      </w:r>
      <w:r>
        <w:t xml:space="preserve">Verified fact — A6-S030: meta-llama/Llama-Guard-4-12B model card and LICENSE (Hugging Face); Llama Prompt Guard 2 model cards (Meta (via Hugging Face))</w:t>
      </w:r>
      <w:r>
        <w:t xml:space="preserve"> </w:t>
      </w:r>
      <w:hyperlink r:id="rId2001">
        <w:r>
          <w:rPr>
            <w:rStyle w:val="Hyperlink"/>
          </w:rPr>
          <w:t xml:space="preserve">https://huggingface.co/meta-llama/Llama-Guard-4-12B</w:t>
        </w:r>
      </w:hyperlink>
      <w:r>
        <w:t xml:space="preserve"> </w:t>
      </w:r>
      <w:r>
        <w:t xml:space="preserve">accessed 2026-10-07 [search-tool extract]; A6-S039: LlamaFirewall README (GitHub) (Meta)</w:t>
      </w:r>
      <w:r>
        <w:t xml:space="preserve"> </w:t>
      </w:r>
      <w:hyperlink r:id="rId2002">
        <w:r>
          <w:rPr>
            <w:rStyle w:val="Hyperlink"/>
          </w:rPr>
          <w:t xml:space="preserve">https://raw.githubusercontent.com/meta-llama/PurpleLlama/main/LlamaFirewall/README.md</w:t>
        </w:r>
      </w:hyperlink>
      <w:r>
        <w:t xml:space="preserve"> </w:t>
      </w:r>
      <w:r>
        <w:t xml:space="preserve">accessed 2026-10-07; A6-S038: PurpleLlama README (GitHub) (Meta)</w:t>
      </w:r>
      <w:r>
        <w:t xml:space="preserve"> </w:t>
      </w:r>
      <w:hyperlink r:id="rId2015">
        <w:r>
          <w:rPr>
            <w:rStyle w:val="Hyperlink"/>
          </w:rPr>
          <w:t xml:space="preserve">https://raw.githubusercontent.com/meta-llama/PurpleLlama/main/README.md</w:t>
        </w:r>
      </w:hyperlink>
      <w:r>
        <w:t xml:space="preserve"> </w:t>
      </w:r>
      <w:r>
        <w:t xml:space="preserve">accessed 2026-10-07</w:t>
      </w:r>
    </w:p>
  </w:footnote>
  <w:footnote w:id="2017">
    <w:p>
      <w:pPr>
        <w:pStyle w:val="FootnoteText"/>
      </w:pPr>
      <w:r>
        <w:rPr>
          <w:rStyle w:val="FootnoteReference"/>
        </w:rPr>
        <w:footnoteRef/>
      </w:r>
      <w:r>
        <w:t xml:space="preserve"> </w:t>
      </w:r>
      <w:r>
        <w:t xml:space="preserve">Verified fact — A6-S030: meta-llama/Llama-Guard-4-12B model card and LICENSE (Hugging Face); Llama Prompt Guard 2 model cards (Meta (via Hugging Face))</w:t>
      </w:r>
      <w:r>
        <w:t xml:space="preserve"> </w:t>
      </w:r>
      <w:hyperlink r:id="rId2001">
        <w:r>
          <w:rPr>
            <w:rStyle w:val="Hyperlink"/>
          </w:rPr>
          <w:t xml:space="preserve">https://huggingface.co/meta-llama/Llama-Guard-4-12B</w:t>
        </w:r>
      </w:hyperlink>
      <w:r>
        <w:t xml:space="preserve"> </w:t>
      </w:r>
      <w:r>
        <w:t xml:space="preserve">accessed 2026-10-07 [search-tool extract]</w:t>
      </w:r>
    </w:p>
  </w:footnote>
  <w:footnote w:id="2018">
    <w:p>
      <w:pPr>
        <w:pStyle w:val="FootnoteText"/>
      </w:pPr>
      <w:r>
        <w:rPr>
          <w:rStyle w:val="FootnoteReference"/>
        </w:rPr>
        <w:footnoteRef/>
      </w:r>
      <w:r>
        <w:t xml:space="preserve"> </w:t>
      </w:r>
      <w:r>
        <w:t xml:space="preserve">Verified fact — A6-S039: LlamaFirewall README (GitHub) (Meta)</w:t>
      </w:r>
      <w:r>
        <w:t xml:space="preserve"> </w:t>
      </w:r>
      <w:hyperlink r:id="rId2002">
        <w:r>
          <w:rPr>
            <w:rStyle w:val="Hyperlink"/>
          </w:rPr>
          <w:t xml:space="preserve">https://raw.githubusercontent.com/meta-llama/PurpleLlama/main/LlamaFirewall/README.md</w:t>
        </w:r>
      </w:hyperlink>
      <w:r>
        <w:t xml:space="preserve"> </w:t>
      </w:r>
      <w:r>
        <w:t xml:space="preserve">accessed 2026-10-07</w:t>
      </w:r>
    </w:p>
  </w:footnote>
  <w:footnote w:id="2019">
    <w:p>
      <w:pPr>
        <w:pStyle w:val="FootnoteText"/>
      </w:pPr>
      <w:r>
        <w:rPr>
          <w:rStyle w:val="FootnoteReference"/>
        </w:rPr>
        <w:footnoteRef/>
      </w:r>
      <w:r>
        <w:t xml:space="preserve"> </w:t>
      </w:r>
      <w:r>
        <w:t xml:space="preserve">Verified fact — A6-S052: Cloudflare AI Gateway docs: Pricing (source mdx) (Cloudflare, Inc.)</w:t>
      </w:r>
      <w:r>
        <w:t xml:space="preserve"> </w:t>
      </w:r>
      <w:hyperlink r:id="rId1904">
        <w:r>
          <w:rPr>
            <w:rStyle w:val="Hyperlink"/>
          </w:rPr>
          <w:t xml:space="preserve">https://raw.githubusercontent.com/cloudflare/cloudflare-docs/production/src/content/docs/ai-gateway/reference/pricing.mdx</w:t>
        </w:r>
      </w:hyperlink>
      <w:r>
        <w:t xml:space="preserve"> </w:t>
      </w:r>
      <w:r>
        <w:t xml:space="preserve">accessed 2026-10-07; A6-S029: Guardrails AI docs: Validators; Remote Validation Inference; Deploying Guardrails (Guardrails AI (Harvey))</w:t>
      </w:r>
      <w:r>
        <w:t xml:space="preserve"> </w:t>
      </w:r>
      <w:hyperlink r:id="rId2010">
        <w:r>
          <w:rPr>
            <w:rStyle w:val="Hyperlink"/>
          </w:rPr>
          <w:t xml:space="preserve">https://guardrailsai.com/guardrails/docs/concepts/validators</w:t>
        </w:r>
      </w:hyperlink>
      <w:r>
        <w:t xml:space="preserve"> </w:t>
      </w:r>
      <w:r>
        <w:t xml:space="preserve">accessed 2026-10-07 [search-tool extract]</w:t>
      </w:r>
    </w:p>
  </w:footnote>
  <w:footnote w:id="2020">
    <w:p>
      <w:pPr>
        <w:pStyle w:val="FootnoteText"/>
      </w:pPr>
      <w:r>
        <w:rPr>
          <w:rStyle w:val="FootnoteReference"/>
        </w:rPr>
        <w:footnoteRef/>
      </w:r>
      <w:r>
        <w:t xml:space="preserve"> </w:t>
      </w:r>
      <w:r>
        <w:t xml:space="preserve">Verified fact — A6-S006: llamafirewall - PyPI JSON metadata (Python Package Index)</w:t>
      </w:r>
      <w:r>
        <w:t xml:space="preserve"> </w:t>
      </w:r>
      <w:hyperlink r:id="rId2007">
        <w:r>
          <w:rPr>
            <w:rStyle w:val="Hyperlink"/>
          </w:rPr>
          <w:t xml:space="preserve">https://pypi.org/pypi/llamafirewall/json</w:t>
        </w:r>
      </w:hyperlink>
      <w:r>
        <w:t xml:space="preserve"> </w:t>
      </w:r>
      <w:r>
        <w:t xml:space="preserve">accessed 2026-10-07; A6-S030: meta-llama/Llama-Guard-4-12B model card and LICENSE (Hugging Face); Llama Prompt Guard 2 model cards (Meta (via Hugging Face))</w:t>
      </w:r>
      <w:r>
        <w:t xml:space="preserve"> </w:t>
      </w:r>
      <w:hyperlink r:id="rId2001">
        <w:r>
          <w:rPr>
            <w:rStyle w:val="Hyperlink"/>
          </w:rPr>
          <w:t xml:space="preserve">https://huggingface.co/meta-llama/Llama-Guard-4-12B</w:t>
        </w:r>
      </w:hyperlink>
      <w:r>
        <w:t xml:space="preserve"> </w:t>
      </w:r>
      <w:r>
        <w:t xml:space="preserve">accessed 2026-10-07 [search-tool extract]; A6-S107: Llama Guard 4 model card; Llama Prompt Guard 2 model card; Llama Protections (Meta)</w:t>
      </w:r>
      <w:r>
        <w:t xml:space="preserve"> </w:t>
      </w:r>
      <w:hyperlink r:id="rId2012">
        <w:r>
          <w:rPr>
            <w:rStyle w:val="Hyperlink"/>
          </w:rPr>
          <w:t xml:space="preserve">https://developer.meta.com/ai/docs/model-cards-and-prompt-formats/llama-guard-4/</w:t>
        </w:r>
      </w:hyperlink>
      <w:r>
        <w:t xml:space="preserve"> </w:t>
      </w:r>
      <w:r>
        <w:t xml:space="preserve">accessed 2026-10-07 [search-tool extract]</w:t>
      </w:r>
    </w:p>
  </w:footnote>
  <w:footnote w:id="2021">
    <w:p>
      <w:pPr>
        <w:pStyle w:val="FootnoteText"/>
      </w:pPr>
      <w:r>
        <w:rPr>
          <w:rStyle w:val="FootnoteReference"/>
        </w:rPr>
        <w:footnoteRef/>
      </w:r>
      <w:r>
        <w:t xml:space="preserve"> </w:t>
      </w:r>
      <w:r>
        <w:t xml:space="preserve">Verified fact — A6-S030: meta-llama/Llama-Guard-4-12B model card and LICENSE (Hugging Face); Llama Prompt Guard 2 model cards (Meta (via Hugging Face))</w:t>
      </w:r>
      <w:r>
        <w:t xml:space="preserve"> </w:t>
      </w:r>
      <w:hyperlink r:id="rId2001">
        <w:r>
          <w:rPr>
            <w:rStyle w:val="Hyperlink"/>
          </w:rPr>
          <w:t xml:space="preserve">https://huggingface.co/meta-llama/Llama-Guard-4-12B</w:t>
        </w:r>
      </w:hyperlink>
      <w:r>
        <w:t xml:space="preserve"> </w:t>
      </w:r>
      <w:r>
        <w:t xml:space="preserve">accessed 2026-10-07 [search-tool extract]; A6-S038: PurpleLlama README (GitHub) (Meta)</w:t>
      </w:r>
      <w:r>
        <w:t xml:space="preserve"> </w:t>
      </w:r>
      <w:hyperlink r:id="rId2015">
        <w:r>
          <w:rPr>
            <w:rStyle w:val="Hyperlink"/>
          </w:rPr>
          <w:t xml:space="preserve">https://raw.githubusercontent.com/meta-llama/PurpleLlama/main/README.md</w:t>
        </w:r>
      </w:hyperlink>
      <w:r>
        <w:t xml:space="preserve"> </w:t>
      </w:r>
      <w:r>
        <w:t xml:space="preserve">accessed 2026-10-07</w:t>
      </w:r>
    </w:p>
  </w:footnote>
  <w:footnote w:id="2022">
    <w:p>
      <w:pPr>
        <w:pStyle w:val="FootnoteText"/>
      </w:pPr>
      <w:r>
        <w:rPr>
          <w:rStyle w:val="FootnoteReference"/>
        </w:rPr>
        <w:footnoteRef/>
      </w:r>
      <w:r>
        <w:t xml:space="preserve"> </w:t>
      </w:r>
      <w:r>
        <w:t xml:space="preserve">Reported — A6-S031: Sharing new open source protection tools and advancements in AI privacy and security; Llama Protections page (Meta)</w:t>
      </w:r>
      <w:r>
        <w:t xml:space="preserve"> </w:t>
      </w:r>
      <w:hyperlink r:id="rId2005">
        <w:r>
          <w:rPr>
            <w:rStyle w:val="Hyperlink"/>
          </w:rPr>
          <w:t xml:space="preserve">https://ai.meta.com/blog/ai-defenders-program-llama-protection-tools/</w:t>
        </w:r>
      </w:hyperlink>
      <w:r>
        <w:t xml:space="preserve"> </w:t>
      </w:r>
      <w:r>
        <w:t xml:space="preserve">accessed 2026-10-07 [search-tool extract]</w:t>
      </w:r>
    </w:p>
  </w:footnote>
  <w:footnote w:id="2024">
    <w:p>
      <w:pPr>
        <w:pStyle w:val="FootnoteText"/>
      </w:pPr>
      <w:r>
        <w:rPr>
          <w:rStyle w:val="FootnoteReference"/>
        </w:rPr>
        <w:footnoteRef/>
      </w:r>
      <w:r>
        <w:t xml:space="preserve"> </w:t>
      </w:r>
      <w:r>
        <w:t xml:space="preserve">Verified fact — A6-S037: Guardrails AI README (GitHub) (Guardrails AI (Harvey))</w:t>
      </w:r>
      <w:r>
        <w:t xml:space="preserve"> </w:t>
      </w:r>
      <w:hyperlink r:id="rId2025">
        <w:r>
          <w:rPr>
            <w:rStyle w:val="Hyperlink"/>
          </w:rPr>
          <w:t xml:space="preserve">https://raw.githubusercontent.com/guardrails-ai/guardrails/main/README.md</w:t>
        </w:r>
      </w:hyperlink>
      <w:r>
        <w:t xml:space="preserve"> </w:t>
      </w:r>
      <w:r>
        <w:t xml:space="preserve">accessed 2026-10-07; A6-S029: Guardrails AI docs: Validators; Remote Validation Inference; Deploying Guardrails (Guardrails AI (Harvey))</w:t>
      </w:r>
      <w:r>
        <w:t xml:space="preserve"> </w:t>
      </w:r>
      <w:hyperlink r:id="rId2010">
        <w:r>
          <w:rPr>
            <w:rStyle w:val="Hyperlink"/>
          </w:rPr>
          <w:t xml:space="preserve">https://guardrailsai.com/guardrails/docs/concepts/validators</w:t>
        </w:r>
      </w:hyperlink>
      <w:r>
        <w:t xml:space="preserve"> </w:t>
      </w:r>
      <w:r>
        <w:t xml:space="preserve">accessed 2026-10-07 [search-tool extract]</w:t>
      </w:r>
    </w:p>
  </w:footnote>
  <w:footnote w:id="2026">
    <w:p>
      <w:pPr>
        <w:pStyle w:val="FootnoteText"/>
      </w:pPr>
      <w:r>
        <w:rPr>
          <w:rStyle w:val="FootnoteReference"/>
        </w:rPr>
        <w:footnoteRef/>
      </w:r>
      <w:r>
        <w:t xml:space="preserve"> </w:t>
      </w:r>
      <w:r>
        <w:t xml:space="preserve">Reported — A6-S028: Guardrails AI Joins Harvey</w:t>
      </w:r>
      <w:r>
        <w:t xml:space="preserve"> </w:t>
      </w:r>
      <w:hyperlink r:id="rId2027">
        <w:r>
          <w:rPr>
            <w:rStyle w:val="Hyperlink"/>
          </w:rPr>
          <w:t xml:space="preserve">https://www.harvey.ai/blog/guardrails-ai-joins-harvey</w:t>
        </w:r>
      </w:hyperlink>
      <w:r>
        <w:t xml:space="preserve"> </w:t>
      </w:r>
      <w:r>
        <w:t xml:space="preserve">accessed 2026-10-07 [search-tool extract]</w:t>
      </w:r>
    </w:p>
  </w:footnote>
  <w:footnote w:id="2028">
    <w:p>
      <w:pPr>
        <w:pStyle w:val="FootnoteText"/>
      </w:pPr>
      <w:r>
        <w:rPr>
          <w:rStyle w:val="FootnoteReference"/>
        </w:rPr>
        <w:footnoteRef/>
      </w:r>
      <w:r>
        <w:t xml:space="preserve"> </w:t>
      </w:r>
      <w:r>
        <w:t xml:space="preserve">Verified fact — A6-S037: Guardrails AI README (GitHub) (Guardrails AI (Harvey))</w:t>
      </w:r>
      <w:r>
        <w:t xml:space="preserve"> </w:t>
      </w:r>
      <w:hyperlink r:id="rId2025">
        <w:r>
          <w:rPr>
            <w:rStyle w:val="Hyperlink"/>
          </w:rPr>
          <w:t xml:space="preserve">https://raw.githubusercontent.com/guardrails-ai/guardrails/main/README.md</w:t>
        </w:r>
      </w:hyperlink>
      <w:r>
        <w:t xml:space="preserve"> </w:t>
      </w:r>
      <w:r>
        <w:t xml:space="preserve">accessed 2026-10-07</w:t>
      </w:r>
    </w:p>
  </w:footnote>
  <w:footnote w:id="2029">
    <w:p>
      <w:pPr>
        <w:pStyle w:val="FootnoteText"/>
      </w:pPr>
      <w:r>
        <w:rPr>
          <w:rStyle w:val="FootnoteReference"/>
        </w:rPr>
        <w:footnoteRef/>
      </w:r>
      <w:r>
        <w:t xml:space="preserve"> </w:t>
      </w:r>
      <w:r>
        <w:t xml:space="preserve">Verified fact — A6-S037: Guardrails AI README (GitHub) (Guardrails AI (Harvey))</w:t>
      </w:r>
      <w:r>
        <w:t xml:space="preserve"> </w:t>
      </w:r>
      <w:hyperlink r:id="rId2025">
        <w:r>
          <w:rPr>
            <w:rStyle w:val="Hyperlink"/>
          </w:rPr>
          <w:t xml:space="preserve">https://raw.githubusercontent.com/guardrails-ai/guardrails/main/README.md</w:t>
        </w:r>
      </w:hyperlink>
      <w:r>
        <w:t xml:space="preserve"> </w:t>
      </w:r>
      <w:r>
        <w:t xml:space="preserve">accessed 2026-10-07</w:t>
      </w:r>
    </w:p>
  </w:footnote>
  <w:footnote w:id="2030">
    <w:p>
      <w:pPr>
        <w:pStyle w:val="FootnoteText"/>
      </w:pPr>
      <w:r>
        <w:rPr>
          <w:rStyle w:val="FootnoteReference"/>
        </w:rPr>
        <w:footnoteRef/>
      </w:r>
      <w:r>
        <w:t xml:space="preserve"> </w:t>
      </w:r>
      <w:r>
        <w:t xml:space="preserve">Verified fact — A6-S029: Guardrails AI docs: Validators; Remote Validation Inference; Deploying Guardrails (Guardrails AI (Harvey))</w:t>
      </w:r>
      <w:r>
        <w:t xml:space="preserve"> </w:t>
      </w:r>
      <w:hyperlink r:id="rId2010">
        <w:r>
          <w:rPr>
            <w:rStyle w:val="Hyperlink"/>
          </w:rPr>
          <w:t xml:space="preserve">https://guardrailsai.com/guardrails/docs/concepts/validators</w:t>
        </w:r>
      </w:hyperlink>
      <w:r>
        <w:t xml:space="preserve"> </w:t>
      </w:r>
      <w:r>
        <w:t xml:space="preserve">accessed 2026-10-07 [search-tool extract]; A6-S028: Guardrails AI Joins Harvey</w:t>
      </w:r>
      <w:r>
        <w:t xml:space="preserve"> </w:t>
      </w:r>
      <w:hyperlink r:id="rId2027">
        <w:r>
          <w:rPr>
            <w:rStyle w:val="Hyperlink"/>
          </w:rPr>
          <w:t xml:space="preserve">https://www.harvey.ai/blog/guardrails-ai-joins-harvey</w:t>
        </w:r>
      </w:hyperlink>
      <w:r>
        <w:t xml:space="preserve"> </w:t>
      </w:r>
      <w:r>
        <w:t xml:space="preserve">accessed 2026-10-07 [search-tool extract]</w:t>
      </w:r>
    </w:p>
  </w:footnote>
  <w:footnote w:id="2031">
    <w:p>
      <w:pPr>
        <w:pStyle w:val="FootnoteText"/>
      </w:pPr>
      <w:r>
        <w:rPr>
          <w:rStyle w:val="FootnoteReference"/>
        </w:rPr>
        <w:footnoteRef/>
      </w:r>
      <w:r>
        <w:t xml:space="preserve"> </w:t>
      </w:r>
      <w:r>
        <w:t xml:space="preserve">Verified fact — A6-S004: guardrails-ai - PyPI JSON metadata (Python Package Index)</w:t>
      </w:r>
      <w:r>
        <w:t xml:space="preserve"> </w:t>
      </w:r>
      <w:hyperlink r:id="rId2032">
        <w:r>
          <w:rPr>
            <w:rStyle w:val="Hyperlink"/>
          </w:rPr>
          <w:t xml:space="preserve">https://pypi.org/pypi/guardrails-ai/json</w:t>
        </w:r>
      </w:hyperlink>
      <w:r>
        <w:t xml:space="preserve"> </w:t>
      </w:r>
      <w:r>
        <w:t xml:space="preserve">accessed 2026-10-07; A6-S028: Guardrails AI Joins Harvey</w:t>
      </w:r>
      <w:r>
        <w:t xml:space="preserve"> </w:t>
      </w:r>
      <w:hyperlink r:id="rId2027">
        <w:r>
          <w:rPr>
            <w:rStyle w:val="Hyperlink"/>
          </w:rPr>
          <w:t xml:space="preserve">https://www.harvey.ai/blog/guardrails-ai-joins-harvey</w:t>
        </w:r>
      </w:hyperlink>
      <w:r>
        <w:t xml:space="preserve"> </w:t>
      </w:r>
      <w:r>
        <w:t xml:space="preserve">accessed 2026-10-07 [search-tool extract]; A6-S037: Guardrails AI README (GitHub) (Guardrails AI (Harvey))</w:t>
      </w:r>
      <w:r>
        <w:t xml:space="preserve"> </w:t>
      </w:r>
      <w:hyperlink r:id="rId2025">
        <w:r>
          <w:rPr>
            <w:rStyle w:val="Hyperlink"/>
          </w:rPr>
          <w:t xml:space="preserve">https://raw.githubusercontent.com/guardrails-ai/guardrails/main/README.md</w:t>
        </w:r>
      </w:hyperlink>
      <w:r>
        <w:t xml:space="preserve"> </w:t>
      </w:r>
      <w:r>
        <w:t xml:space="preserve">accessed 2026-10-07</w:t>
      </w:r>
    </w:p>
  </w:footnote>
  <w:footnote w:id="2033">
    <w:p>
      <w:pPr>
        <w:pStyle w:val="FootnoteText"/>
      </w:pPr>
      <w:r>
        <w:rPr>
          <w:rStyle w:val="FootnoteReference"/>
        </w:rPr>
        <w:footnoteRef/>
      </w:r>
      <w:r>
        <w:t xml:space="preserve"> </w:t>
      </w:r>
      <w:r>
        <w:t xml:space="preserve">Verified fact — A6-S004: guardrails-ai - PyPI JSON metadata (Python Package Index)</w:t>
      </w:r>
      <w:r>
        <w:t xml:space="preserve"> </w:t>
      </w:r>
      <w:hyperlink r:id="rId2032">
        <w:r>
          <w:rPr>
            <w:rStyle w:val="Hyperlink"/>
          </w:rPr>
          <w:t xml:space="preserve">https://pypi.org/pypi/guardrails-ai/json</w:t>
        </w:r>
      </w:hyperlink>
      <w:r>
        <w:t xml:space="preserve"> </w:t>
      </w:r>
      <w:r>
        <w:t xml:space="preserve">accessed 2026-10-07</w:t>
      </w:r>
    </w:p>
  </w:footnote>
  <w:footnote w:id="2034">
    <w:p>
      <w:pPr>
        <w:pStyle w:val="FootnoteText"/>
      </w:pPr>
      <w:r>
        <w:rPr>
          <w:rStyle w:val="FootnoteReference"/>
        </w:rPr>
        <w:footnoteRef/>
      </w:r>
      <w:r>
        <w:t xml:space="preserve"> </w:t>
      </w:r>
      <w:r>
        <w:t xml:space="preserve">Verified fact — A6-S004: guardrails-ai - PyPI JSON metadata (Python Package Index)</w:t>
      </w:r>
      <w:r>
        <w:t xml:space="preserve"> </w:t>
      </w:r>
      <w:hyperlink r:id="rId2032">
        <w:r>
          <w:rPr>
            <w:rStyle w:val="Hyperlink"/>
          </w:rPr>
          <w:t xml:space="preserve">https://pypi.org/pypi/guardrails-ai/json</w:t>
        </w:r>
      </w:hyperlink>
      <w:r>
        <w:t xml:space="preserve"> </w:t>
      </w:r>
      <w:r>
        <w:t xml:space="preserve">accessed 2026-10-07; A6-S028: Guardrails AI Joins Harvey</w:t>
      </w:r>
      <w:r>
        <w:t xml:space="preserve"> </w:t>
      </w:r>
      <w:hyperlink r:id="rId2027">
        <w:r>
          <w:rPr>
            <w:rStyle w:val="Hyperlink"/>
          </w:rPr>
          <w:t xml:space="preserve">https://www.harvey.ai/blog/guardrails-ai-joins-harvey</w:t>
        </w:r>
      </w:hyperlink>
      <w:r>
        <w:t xml:space="preserve"> </w:t>
      </w:r>
      <w:r>
        <w:t xml:space="preserve">accessed 2026-10-07 [search-tool extract]</w:t>
      </w:r>
    </w:p>
  </w:footnote>
  <w:footnote w:id="2035">
    <w:p>
      <w:pPr>
        <w:pStyle w:val="FootnoteText"/>
      </w:pPr>
      <w:r>
        <w:rPr>
          <w:rStyle w:val="FootnoteReference"/>
        </w:rPr>
        <w:footnoteRef/>
      </w:r>
      <w:r>
        <w:t xml:space="preserve"> </w:t>
      </w:r>
      <w:r>
        <w:t xml:space="preserve">Verified fact — A6-S037: Guardrails AI README (GitHub) (Guardrails AI (Harvey))</w:t>
      </w:r>
      <w:r>
        <w:t xml:space="preserve"> </w:t>
      </w:r>
      <w:hyperlink r:id="rId2025">
        <w:r>
          <w:rPr>
            <w:rStyle w:val="Hyperlink"/>
          </w:rPr>
          <w:t xml:space="preserve">https://raw.githubusercontent.com/guardrails-ai/guardrails/main/README.md</w:t>
        </w:r>
      </w:hyperlink>
      <w:r>
        <w:t xml:space="preserve"> </w:t>
      </w:r>
      <w:r>
        <w:t xml:space="preserve">accessed 2026-10-07; A6-S029: Guardrails AI docs: Validators; Remote Validation Inference; Deploying Guardrails (Guardrails AI (Harvey))</w:t>
      </w:r>
      <w:r>
        <w:t xml:space="preserve"> </w:t>
      </w:r>
      <w:hyperlink r:id="rId2010">
        <w:r>
          <w:rPr>
            <w:rStyle w:val="Hyperlink"/>
          </w:rPr>
          <w:t xml:space="preserve">https://guardrailsai.com/guardrails/docs/concepts/validators</w:t>
        </w:r>
      </w:hyperlink>
      <w:r>
        <w:t xml:space="preserve"> </w:t>
      </w:r>
      <w:r>
        <w:t xml:space="preserve">accessed 2026-10-07 [search-tool extract]; A6-S004: guardrails-ai - PyPI JSON metadata (Python Package Index)</w:t>
      </w:r>
      <w:r>
        <w:t xml:space="preserve"> </w:t>
      </w:r>
      <w:hyperlink r:id="rId2032">
        <w:r>
          <w:rPr>
            <w:rStyle w:val="Hyperlink"/>
          </w:rPr>
          <w:t xml:space="preserve">https://pypi.org/pypi/guardrails-ai/json</w:t>
        </w:r>
      </w:hyperlink>
      <w:r>
        <w:t xml:space="preserve"> </w:t>
      </w:r>
      <w:r>
        <w:t xml:space="preserve">accessed 2026-10-07</w:t>
      </w:r>
    </w:p>
  </w:footnote>
  <w:footnote w:id="2036">
    <w:p>
      <w:pPr>
        <w:pStyle w:val="FootnoteText"/>
      </w:pPr>
      <w:r>
        <w:rPr>
          <w:rStyle w:val="FootnoteReference"/>
        </w:rPr>
        <w:footnoteRef/>
      </w:r>
      <w:r>
        <w:t xml:space="preserve"> </w:t>
      </w:r>
      <w:r>
        <w:t xml:space="preserve">Verified fact — A6-S037: Guardrails AI README (GitHub) (Guardrails AI (Harvey))</w:t>
      </w:r>
      <w:r>
        <w:t xml:space="preserve"> </w:t>
      </w:r>
      <w:hyperlink r:id="rId2025">
        <w:r>
          <w:rPr>
            <w:rStyle w:val="Hyperlink"/>
          </w:rPr>
          <w:t xml:space="preserve">https://raw.githubusercontent.com/guardrails-ai/guardrails/main/README.md</w:t>
        </w:r>
      </w:hyperlink>
      <w:r>
        <w:t xml:space="preserve"> </w:t>
      </w:r>
      <w:r>
        <w:t xml:space="preserve">accessed 2026-10-07</w:t>
      </w:r>
    </w:p>
  </w:footnote>
  <w:footnote w:id="2037">
    <w:p>
      <w:pPr>
        <w:pStyle w:val="FootnoteText"/>
      </w:pPr>
      <w:r>
        <w:rPr>
          <w:rStyle w:val="FootnoteReference"/>
        </w:rPr>
        <w:footnoteRef/>
      </w:r>
      <w:r>
        <w:t xml:space="preserve"> </w:t>
      </w:r>
      <w:r>
        <w:t xml:space="preserve">Verified fact — A6-S004: guardrails-ai - PyPI JSON metadata (Python Package Index)</w:t>
      </w:r>
      <w:r>
        <w:t xml:space="preserve"> </w:t>
      </w:r>
      <w:hyperlink r:id="rId2032">
        <w:r>
          <w:rPr>
            <w:rStyle w:val="Hyperlink"/>
          </w:rPr>
          <w:t xml:space="preserve">https://pypi.org/pypi/guardrails-ai/json</w:t>
        </w:r>
      </w:hyperlink>
      <w:r>
        <w:t xml:space="preserve"> </w:t>
      </w:r>
      <w:r>
        <w:t xml:space="preserve">accessed 2026-10-07</w:t>
      </w:r>
    </w:p>
  </w:footnote>
  <w:footnote w:id="2038">
    <w:p>
      <w:pPr>
        <w:pStyle w:val="FootnoteText"/>
      </w:pPr>
      <w:r>
        <w:rPr>
          <w:rStyle w:val="FootnoteReference"/>
        </w:rPr>
        <w:footnoteRef/>
      </w:r>
      <w:r>
        <w:t xml:space="preserve"> </w:t>
      </w:r>
      <w:r>
        <w:t xml:space="preserve">Verified fact — A6-S028: Guardrails AI Joins Harvey</w:t>
      </w:r>
      <w:r>
        <w:t xml:space="preserve"> </w:t>
      </w:r>
      <w:hyperlink r:id="rId2027">
        <w:r>
          <w:rPr>
            <w:rStyle w:val="Hyperlink"/>
          </w:rPr>
          <w:t xml:space="preserve">https://www.harvey.ai/blog/guardrails-ai-joins-harvey</w:t>
        </w:r>
      </w:hyperlink>
      <w:r>
        <w:t xml:space="preserve"> </w:t>
      </w:r>
      <w:r>
        <w:t xml:space="preserve">accessed 2026-10-07 [search-tool extract]; V2-S026: Guardrails AI Joins Harvey (with Artificial Lawyer 9 Sep 2026, The Next Web, unite.ai)</w:t>
      </w:r>
      <w:r>
        <w:t xml:space="preserve"> </w:t>
      </w:r>
      <w:hyperlink r:id="rId2027">
        <w:r>
          <w:rPr>
            <w:rStyle w:val="Hyperlink"/>
          </w:rPr>
          <w:t xml:space="preserve">https://www.harvey.ai/blog/guardrails-ai-joins-harvey</w:t>
        </w:r>
      </w:hyperlink>
      <w:r>
        <w:t xml:space="preserve"> </w:t>
      </w:r>
      <w:r>
        <w:t xml:space="preserve">accessed 2026-10-08 [search-tool extract]</w:t>
      </w:r>
    </w:p>
  </w:footnote>
  <w:footnote w:id="2039">
    <w:p>
      <w:pPr>
        <w:pStyle w:val="FootnoteText"/>
      </w:pPr>
      <w:r>
        <w:rPr>
          <w:rStyle w:val="FootnoteReference"/>
        </w:rPr>
        <w:footnoteRef/>
      </w:r>
      <w:r>
        <w:t xml:space="preserve"> </w:t>
      </w:r>
      <w:r>
        <w:t xml:space="preserve">Verified fact — V2-S071: Guardrails HUB_UPDATE.md (Guardrails AI (Harvey))</w:t>
      </w:r>
      <w:r>
        <w:t xml:space="preserve"> </w:t>
      </w:r>
      <w:hyperlink r:id="rId2040">
        <w:r>
          <w:rPr>
            <w:rStyle w:val="Hyperlink"/>
          </w:rPr>
          <w:t xml:space="preserve">https://raw.githubusercontent.com/guardrails-ai/guardrails/main/HUB_UPDATE.md</w:t>
        </w:r>
      </w:hyperlink>
      <w:r>
        <w:t xml:space="preserve"> </w:t>
      </w:r>
      <w:r>
        <w:t xml:space="preserve">accessed 2026-10-08; V2-S072: Guardrails 0.11 migration guide (with beri.net article) (Guardrails AI (Harvey))</w:t>
      </w:r>
      <w:r>
        <w:t xml:space="preserve"> </w:t>
      </w:r>
      <w:hyperlink r:id="rId2041">
        <w:r>
          <w:rPr>
            <w:rStyle w:val="Hyperlink"/>
          </w:rPr>
          <w:t xml:space="preserve">https://guardrailsai.com/guardrails/docs/migration-guides/0-11-migration</w:t>
        </w:r>
      </w:hyperlink>
      <w:r>
        <w:t xml:space="preserve"> </w:t>
      </w:r>
      <w:r>
        <w:t xml:space="preserve">accessed 2026-10-08 [search-tool extract]</w:t>
      </w:r>
    </w:p>
  </w:footnote>
  <w:footnote w:id="2042">
    <w:p>
      <w:pPr>
        <w:pStyle w:val="FootnoteText"/>
      </w:pPr>
      <w:r>
        <w:rPr>
          <w:rStyle w:val="FootnoteReference"/>
        </w:rPr>
        <w:footnoteRef/>
      </w:r>
      <w:r>
        <w:t xml:space="preserve"> </w:t>
      </w:r>
      <w:r>
        <w:t xml:space="preserve">Verified fact — A6-S004: guardrails-ai - PyPI JSON metadata (Python Package Index)</w:t>
      </w:r>
      <w:r>
        <w:t xml:space="preserve"> </w:t>
      </w:r>
      <w:hyperlink r:id="rId2032">
        <w:r>
          <w:rPr>
            <w:rStyle w:val="Hyperlink"/>
          </w:rPr>
          <w:t xml:space="preserve">https://pypi.org/pypi/guardrails-ai/json</w:t>
        </w:r>
      </w:hyperlink>
      <w:r>
        <w:t xml:space="preserve"> </w:t>
      </w:r>
      <w:r>
        <w:t xml:space="preserve">accessed 2026-10-07</w:t>
      </w:r>
    </w:p>
  </w:footnote>
  <w:footnote w:id="2045">
    <w:p>
      <w:pPr>
        <w:pStyle w:val="FootnoteText"/>
      </w:pPr>
      <w:r>
        <w:rPr>
          <w:rStyle w:val="FootnoteReference"/>
        </w:rPr>
        <w:footnoteRef/>
      </w:r>
      <w:r>
        <w:t xml:space="preserve"> </w:t>
      </w:r>
      <w:r>
        <w:t xml:space="preserve">Verified fact — A6-S068: Presidio README (GitHub, data-privacy-stack) (Presidio / Data Privacy Stack)</w:t>
      </w:r>
      <w:r>
        <w:t xml:space="preserve"> </w:t>
      </w:r>
      <w:hyperlink r:id="rId2046">
        <w:r>
          <w:rPr>
            <w:rStyle w:val="Hyperlink"/>
          </w:rPr>
          <w:t xml:space="preserve">https://raw.githubusercontent.com/data-privacy-stack/presidio/main/README.MD</w:t>
        </w:r>
      </w:hyperlink>
      <w:r>
        <w:t xml:space="preserve"> </w:t>
      </w:r>
      <w:r>
        <w:t xml:space="preserve">accessed 2026-10-07; A6-S040: Presidio has transitioned to a community-owned project (project_transition.md) (Presidio / Data Privacy Stack)</w:t>
      </w:r>
      <w:r>
        <w:t xml:space="preserve"> </w:t>
      </w:r>
      <w:hyperlink r:id="rId2047">
        <w:r>
          <w:rPr>
            <w:rStyle w:val="Hyperlink"/>
          </w:rPr>
          <w:t xml:space="preserve">https://raw.githubusercontent.com/data-privacy-stack/presidio/main/docs/project_transition.md</w:t>
        </w:r>
      </w:hyperlink>
      <w:r>
        <w:t xml:space="preserve"> </w:t>
      </w:r>
      <w:r>
        <w:t xml:space="preserve">accessed 2026-10-07; A6-S041: Presidio CHANGELOG.md (Presidio / Data Privacy Stack)</w:t>
      </w:r>
      <w:r>
        <w:t xml:space="preserve"> </w:t>
      </w:r>
      <w:hyperlink r:id="rId2048">
        <w:r>
          <w:rPr>
            <w:rStyle w:val="Hyperlink"/>
          </w:rPr>
          <w:t xml:space="preserve">https://raw.githubusercontent.com/data-privacy-stack/presidio/main/CHANGELOG.md</w:t>
        </w:r>
      </w:hyperlink>
      <w:r>
        <w:t xml:space="preserve"> </w:t>
      </w:r>
      <w:r>
        <w:t xml:space="preserve">accessed 2026-10-07</w:t>
      </w:r>
    </w:p>
  </w:footnote>
  <w:footnote w:id="2049">
    <w:p>
      <w:pPr>
        <w:pStyle w:val="FootnoteText"/>
      </w:pPr>
      <w:r>
        <w:rPr>
          <w:rStyle w:val="FootnoteReference"/>
        </w:rPr>
        <w:footnoteRef/>
      </w:r>
      <w:r>
        <w:t xml:space="preserve"> </w:t>
      </w:r>
      <w:r>
        <w:t xml:space="preserve">Verified fact — A6-S005: presidio-analyzer - PyPI JSON metadata (Python Package Index)</w:t>
      </w:r>
      <w:r>
        <w:t xml:space="preserve"> </w:t>
      </w:r>
      <w:hyperlink r:id="rId2050">
        <w:r>
          <w:rPr>
            <w:rStyle w:val="Hyperlink"/>
          </w:rPr>
          <w:t xml:space="preserve">https://pypi.org/pypi/presidio-analyzer/json</w:t>
        </w:r>
      </w:hyperlink>
      <w:r>
        <w:t xml:space="preserve"> </w:t>
      </w:r>
      <w:r>
        <w:t xml:space="preserve">accessed 2026-10-07; V2-S028: PyPI JSON API: litellm, guardrails-ai, presidio-analyzer, nemoguardrails, llamafirewall, langfuse, promptfoo, modelscan, picklescan, fickling, safetensors, mode</w:t>
      </w:r>
      <w:r>
        <w:t xml:space="preserve"> </w:t>
      </w:r>
      <w:hyperlink r:id="rId1740">
        <w:r>
          <w:rPr>
            <w:rStyle w:val="Hyperlink"/>
          </w:rPr>
          <w:t xml:space="preserve">https://pypi.org/pypi/litellm/json</w:t>
        </w:r>
      </w:hyperlink>
      <w:r>
        <w:t xml:space="preserve"> </w:t>
      </w:r>
      <w:r>
        <w:t xml:space="preserve">accessed 2026-10-08 [search-tool extract]</w:t>
      </w:r>
    </w:p>
  </w:footnote>
  <w:footnote w:id="2051">
    <w:p>
      <w:pPr>
        <w:pStyle w:val="FootnoteText"/>
      </w:pPr>
      <w:r>
        <w:rPr>
          <w:rStyle w:val="FootnoteReference"/>
        </w:rPr>
        <w:footnoteRef/>
      </w:r>
      <w:r>
        <w:t xml:space="preserve"> </w:t>
      </w:r>
      <w:r>
        <w:t xml:space="preserve">Verified fact — A6-S040: Presidio has transitioned to a community-owned project (project_transition.md) (Presidio / Data Privacy Stack)</w:t>
      </w:r>
      <w:r>
        <w:t xml:space="preserve"> </w:t>
      </w:r>
      <w:hyperlink r:id="rId2047">
        <w:r>
          <w:rPr>
            <w:rStyle w:val="Hyperlink"/>
          </w:rPr>
          <w:t xml:space="preserve">https://raw.githubusercontent.com/data-privacy-stack/presidio/main/docs/project_transition.md</w:t>
        </w:r>
      </w:hyperlink>
      <w:r>
        <w:t xml:space="preserve"> </w:t>
      </w:r>
      <w:r>
        <w:t xml:space="preserve">accessed 2026-10-07; V2-S030: Presidio has transitioned to a community-owned project (Presidio / Data Privacy Stack)</w:t>
      </w:r>
      <w:r>
        <w:t xml:space="preserve"> </w:t>
      </w:r>
      <w:hyperlink r:id="rId2047">
        <w:r>
          <w:rPr>
            <w:rStyle w:val="Hyperlink"/>
          </w:rPr>
          <w:t xml:space="preserve">https://raw.githubusercontent.com/data-privacy-stack/presidio/main/docs/project_transition.md</w:t>
        </w:r>
      </w:hyperlink>
      <w:r>
        <w:t xml:space="preserve"> </w:t>
      </w:r>
      <w:r>
        <w:t xml:space="preserve">accessed 2026-10-08</w:t>
      </w:r>
    </w:p>
  </w:footnote>
  <w:footnote w:id="2052">
    <w:p>
      <w:pPr>
        <w:pStyle w:val="FootnoteText"/>
      </w:pPr>
      <w:r>
        <w:rPr>
          <w:rStyle w:val="FootnoteReference"/>
        </w:rPr>
        <w:footnoteRef/>
      </w:r>
      <w:r>
        <w:t xml:space="preserve"> </w:t>
      </w:r>
      <w:r>
        <w:t xml:space="preserve">Verified fact — B-C3-S001: Presidio Security Policy (SECURITY.md) (Data Privacy Stack (Presidio project))</w:t>
      </w:r>
      <w:r>
        <w:t xml:space="preserve"> </w:t>
      </w:r>
      <w:hyperlink r:id="rId2053">
        <w:r>
          <w:rPr>
            <w:rStyle w:val="Hyperlink"/>
          </w:rPr>
          <w:t xml:space="preserve">https://raw.githubusercontent.com/data-privacy-stack/presidio/main/SECURITY.md</w:t>
        </w:r>
      </w:hyperlink>
      <w:r>
        <w:t xml:space="preserve"> </w:t>
      </w:r>
      <w:r>
        <w:t xml:space="preserve">accessed 2026-10-08</w:t>
      </w:r>
    </w:p>
  </w:footnote>
  <w:footnote w:id="2054">
    <w:p>
      <w:pPr>
        <w:pStyle w:val="FootnoteText"/>
      </w:pPr>
      <w:r>
        <w:rPr>
          <w:rStyle w:val="FootnoteReference"/>
        </w:rPr>
        <w:footnoteRef/>
      </w:r>
      <w:r>
        <w:t xml:space="preserve"> </w:t>
      </w:r>
      <w:r>
        <w:t xml:space="preserve">Verified fact — A6-S068: Presidio README (GitHub, data-privacy-stack) (Presidio / Data Privacy Stack)</w:t>
      </w:r>
      <w:r>
        <w:t xml:space="preserve"> </w:t>
      </w:r>
      <w:hyperlink r:id="rId2046">
        <w:r>
          <w:rPr>
            <w:rStyle w:val="Hyperlink"/>
          </w:rPr>
          <w:t xml:space="preserve">https://raw.githubusercontent.com/data-privacy-stack/presidio/main/README.MD</w:t>
        </w:r>
      </w:hyperlink>
      <w:r>
        <w:t xml:space="preserve"> </w:t>
      </w:r>
      <w:r>
        <w:t xml:space="preserve">accessed 2026-10-07</w:t>
      </w:r>
    </w:p>
  </w:footnote>
  <w:footnote w:id="2055">
    <w:p>
      <w:pPr>
        <w:pStyle w:val="FootnoteText"/>
      </w:pPr>
      <w:r>
        <w:rPr>
          <w:rStyle w:val="FootnoteReference"/>
        </w:rPr>
        <w:footnoteRef/>
      </w:r>
      <w:r>
        <w:t xml:space="preserve"> </w:t>
      </w:r>
      <w:r>
        <w:t xml:space="preserve">Verified fact — A6-S040: Presidio has transitioned to a community-owned project (project_transition.md) (Presidio / Data Privacy Stack)</w:t>
      </w:r>
      <w:r>
        <w:t xml:space="preserve"> </w:t>
      </w:r>
      <w:hyperlink r:id="rId2047">
        <w:r>
          <w:rPr>
            <w:rStyle w:val="Hyperlink"/>
          </w:rPr>
          <w:t xml:space="preserve">https://raw.githubusercontent.com/data-privacy-stack/presidio/main/docs/project_transition.md</w:t>
        </w:r>
      </w:hyperlink>
      <w:r>
        <w:t xml:space="preserve"> </w:t>
      </w:r>
      <w:r>
        <w:t xml:space="preserve">accessed 2026-10-07</w:t>
      </w:r>
    </w:p>
  </w:footnote>
  <w:footnote w:id="2056">
    <w:p>
      <w:pPr>
        <w:pStyle w:val="FootnoteText"/>
      </w:pPr>
      <w:r>
        <w:rPr>
          <w:rStyle w:val="FootnoteReference"/>
        </w:rPr>
        <w:footnoteRef/>
      </w:r>
      <w:r>
        <w:t xml:space="preserve"> </w:t>
      </w:r>
      <w:r>
        <w:t xml:space="preserve">Verified fact — A6-S040: Presidio has transitioned to a community-owned project (project_transition.md) (Presidio / Data Privacy Stack)</w:t>
      </w:r>
      <w:r>
        <w:t xml:space="preserve"> </w:t>
      </w:r>
      <w:hyperlink r:id="rId2047">
        <w:r>
          <w:rPr>
            <w:rStyle w:val="Hyperlink"/>
          </w:rPr>
          <w:t xml:space="preserve">https://raw.githubusercontent.com/data-privacy-stack/presidio/main/docs/project_transition.md</w:t>
        </w:r>
      </w:hyperlink>
      <w:r>
        <w:t xml:space="preserve"> </w:t>
      </w:r>
      <w:r>
        <w:t xml:space="preserve">accessed 2026-10-07; A6-S041: Presidio CHANGELOG.md (Presidio / Data Privacy Stack)</w:t>
      </w:r>
      <w:r>
        <w:t xml:space="preserve"> </w:t>
      </w:r>
      <w:hyperlink r:id="rId2048">
        <w:r>
          <w:rPr>
            <w:rStyle w:val="Hyperlink"/>
          </w:rPr>
          <w:t xml:space="preserve">https://raw.githubusercontent.com/data-privacy-stack/presidio/main/CHANGELOG.md</w:t>
        </w:r>
      </w:hyperlink>
      <w:r>
        <w:t xml:space="preserve"> </w:t>
      </w:r>
      <w:r>
        <w:t xml:space="preserve">accessed 2026-10-07</w:t>
      </w:r>
    </w:p>
  </w:footnote>
  <w:footnote w:id="2058">
    <w:p>
      <w:pPr>
        <w:pStyle w:val="FootnoteText"/>
      </w:pPr>
      <w:r>
        <w:rPr>
          <w:rStyle w:val="FootnoteReference"/>
        </w:rPr>
        <w:footnoteRef/>
      </w:r>
      <w:r>
        <w:t xml:space="preserve"> </w:t>
      </w:r>
      <w:r>
        <w:t xml:space="preserve">Verified fact — A6-S066: Sensitive Data Protection product page (Google Cloud)</w:t>
      </w:r>
      <w:r>
        <w:t xml:space="preserve"> </w:t>
      </w:r>
      <w:hyperlink r:id="rId2059">
        <w:r>
          <w:rPr>
            <w:rStyle w:val="Hyperlink"/>
          </w:rPr>
          <w:t xml:space="preserve">https://cloud.google.com/security/products/sensitive-data-protection</w:t>
        </w:r>
      </w:hyperlink>
      <w:r>
        <w:t xml:space="preserve"> </w:t>
      </w:r>
      <w:r>
        <w:t xml:space="preserve">accessed 2026-10-07; A6-S065: Sensitive Data Protection pricing (Google Cloud)</w:t>
      </w:r>
      <w:r>
        <w:t xml:space="preserve"> </w:t>
      </w:r>
      <w:hyperlink r:id="rId2060">
        <w:r>
          <w:rPr>
            <w:rStyle w:val="Hyperlink"/>
          </w:rPr>
          <w:t xml:space="preserve">https://cloud.google.com/sensitive-data-protection/pricing</w:t>
        </w:r>
      </w:hyperlink>
      <w:r>
        <w:t xml:space="preserve"> </w:t>
      </w:r>
      <w:r>
        <w:t xml:space="preserve">accessed 2026-10-07; A6-S067: Model Armor product page (incl. pricing) (Google Cloud)</w:t>
      </w:r>
      <w:r>
        <w:t xml:space="preserve"> </w:t>
      </w:r>
      <w:hyperlink r:id="rId1963">
        <w:r>
          <w:rPr>
            <w:rStyle w:val="Hyperlink"/>
          </w:rPr>
          <w:t xml:space="preserve">https://cloud.google.com/security/products/model-armor</w:t>
        </w:r>
      </w:hyperlink>
      <w:r>
        <w:t xml:space="preserve"> </w:t>
      </w:r>
      <w:r>
        <w:t xml:space="preserve">accessed 2026-10-07</w:t>
      </w:r>
    </w:p>
  </w:footnote>
  <w:footnote w:id="2061">
    <w:p>
      <w:pPr>
        <w:pStyle w:val="FootnoteText"/>
      </w:pPr>
      <w:r>
        <w:rPr>
          <w:rStyle w:val="FootnoteReference"/>
        </w:rPr>
        <w:footnoteRef/>
      </w:r>
      <w:r>
        <w:t xml:space="preserve"> </w:t>
      </w:r>
      <w:r>
        <w:t xml:space="preserve">Verified fact — A6-S070: SOC 2 compliance (services in scope) (Google Cloud)</w:t>
      </w:r>
      <w:r>
        <w:t xml:space="preserve"> </w:t>
      </w:r>
      <w:hyperlink r:id="rId1780">
        <w:r>
          <w:rPr>
            <w:rStyle w:val="Hyperlink"/>
          </w:rPr>
          <w:t xml:space="preserve">https://cloud.google.com/security/compliance/soc-2</w:t>
        </w:r>
      </w:hyperlink>
      <w:r>
        <w:t xml:space="preserve"> </w:t>
      </w:r>
      <w:r>
        <w:t xml:space="preserve">accessed 2026-10-07; A6-S071: ISO/IEC 27001 compliance (services in scope) (Google Cloud)</w:t>
      </w:r>
      <w:r>
        <w:t xml:space="preserve"> </w:t>
      </w:r>
      <w:hyperlink r:id="rId1781">
        <w:r>
          <w:rPr>
            <w:rStyle w:val="Hyperlink"/>
          </w:rPr>
          <w:t xml:space="preserve">https://cloud.google.com/security/compliance/iso-27001</w:t>
        </w:r>
      </w:hyperlink>
      <w:r>
        <w:t xml:space="preserve"> </w:t>
      </w:r>
      <w:r>
        <w:t xml:space="preserve">accessed 2026-10-07</w:t>
      </w:r>
    </w:p>
  </w:footnote>
  <w:footnote w:id="2062">
    <w:p>
      <w:pPr>
        <w:pStyle w:val="FootnoteText"/>
      </w:pPr>
      <w:r>
        <w:rPr>
          <w:rStyle w:val="FootnoteReference"/>
        </w:rPr>
        <w:footnoteRef/>
      </w:r>
      <w:r>
        <w:t xml:space="preserve"> </w:t>
      </w:r>
      <w:r>
        <w:t xml:space="preserve">Verified fact — B-C3-S002: De-identify and re-identify sensitive data (Sensitive Data Protection) (Google Cloud)</w:t>
      </w:r>
      <w:r>
        <w:t xml:space="preserve"> </w:t>
      </w:r>
      <w:hyperlink r:id="rId2063">
        <w:r>
          <w:rPr>
            <w:rStyle w:val="Hyperlink"/>
          </w:rPr>
          <w:t xml:space="preserve">https://docs.cloud.google.com/sensitive-data-protection/docs/inspect-sensitive-text-de-identify</w:t>
        </w:r>
      </w:hyperlink>
      <w:r>
        <w:t xml:space="preserve"> </w:t>
      </w:r>
      <w:r>
        <w:t xml:space="preserve">accessed 2026-10-08 [search-tool extract]</w:t>
      </w:r>
    </w:p>
  </w:footnote>
  <w:footnote w:id="2064">
    <w:p>
      <w:pPr>
        <w:pStyle w:val="FootnoteText"/>
      </w:pPr>
      <w:r>
        <w:rPr>
          <w:rStyle w:val="FootnoteReference"/>
        </w:rPr>
        <w:footnoteRef/>
      </w:r>
      <w:r>
        <w:t xml:space="preserve"> </w:t>
      </w:r>
      <w:r>
        <w:t xml:space="preserve">Verified fact — A6-S065: Sensitive Data Protection pricing (Google Cloud)</w:t>
      </w:r>
      <w:r>
        <w:t xml:space="preserve"> </w:t>
      </w:r>
      <w:hyperlink r:id="rId2060">
        <w:r>
          <w:rPr>
            <w:rStyle w:val="Hyperlink"/>
          </w:rPr>
          <w:t xml:space="preserve">https://cloud.google.com/sensitive-data-protection/pricing</w:t>
        </w:r>
      </w:hyperlink>
      <w:r>
        <w:t xml:space="preserve"> </w:t>
      </w:r>
      <w:r>
        <w:t xml:space="preserve">accessed 2026-10-07</w:t>
      </w:r>
    </w:p>
  </w:footnote>
  <w:footnote w:id="2065">
    <w:p>
      <w:pPr>
        <w:pStyle w:val="FootnoteText"/>
      </w:pPr>
      <w:r>
        <w:rPr>
          <w:rStyle w:val="FootnoteReference"/>
        </w:rPr>
        <w:footnoteRef/>
      </w:r>
      <w:r>
        <w:t xml:space="preserve"> </w:t>
      </w:r>
      <w:r>
        <w:t xml:space="preserve">Verified fact — A6-S066: Sensitive Data Protection product page (Google Cloud)</w:t>
      </w:r>
      <w:r>
        <w:t xml:space="preserve"> </w:t>
      </w:r>
      <w:hyperlink r:id="rId2059">
        <w:r>
          <w:rPr>
            <w:rStyle w:val="Hyperlink"/>
          </w:rPr>
          <w:t xml:space="preserve">https://cloud.google.com/security/products/sensitive-data-protection</w:t>
        </w:r>
      </w:hyperlink>
      <w:r>
        <w:t xml:space="preserve"> </w:t>
      </w:r>
      <w:r>
        <w:t xml:space="preserve">accessed 2026-10-07</w:t>
      </w:r>
    </w:p>
  </w:footnote>
  <w:footnote w:id="2066">
    <w:p>
      <w:pPr>
        <w:pStyle w:val="FootnoteText"/>
      </w:pPr>
      <w:r>
        <w:rPr>
          <w:rStyle w:val="FootnoteReference"/>
        </w:rPr>
        <w:footnoteRef/>
      </w:r>
      <w:r>
        <w:t xml:space="preserve"> </w:t>
      </w:r>
      <w:r>
        <w:t xml:space="preserve">Verified fact — A6-S066: Sensitive Data Protection product page (Google Cloud)</w:t>
      </w:r>
      <w:r>
        <w:t xml:space="preserve"> </w:t>
      </w:r>
      <w:hyperlink r:id="rId2059">
        <w:r>
          <w:rPr>
            <w:rStyle w:val="Hyperlink"/>
          </w:rPr>
          <w:t xml:space="preserve">https://cloud.google.com/security/products/sensitive-data-protection</w:t>
        </w:r>
      </w:hyperlink>
      <w:r>
        <w:t xml:space="preserve"> </w:t>
      </w:r>
      <w:r>
        <w:t xml:space="preserve">accessed 2026-10-07</w:t>
      </w:r>
    </w:p>
  </w:footnote>
  <w:footnote w:id="2068">
    <w:p>
      <w:pPr>
        <w:pStyle w:val="FootnoteText"/>
      </w:pPr>
      <w:r>
        <w:rPr>
          <w:rStyle w:val="FootnoteReference"/>
        </w:rPr>
        <w:footnoteRef/>
      </w:r>
      <w:r>
        <w:t xml:space="preserve"> </w:t>
      </w:r>
      <w:r>
        <w:t xml:space="preserve">Verified fact — A6-S090: What’s new in Microsoft Purview</w:t>
      </w:r>
      <w:r>
        <w:t xml:space="preserve"> </w:t>
      </w:r>
      <w:hyperlink r:id="rId2069">
        <w:r>
          <w:rPr>
            <w:rStyle w:val="Hyperlink"/>
          </w:rPr>
          <w:t xml:space="preserve">https://learn.microsoft.com/en-us/purview/whats-new</w:t>
        </w:r>
      </w:hyperlink>
      <w:r>
        <w:t xml:space="preserve"> </w:t>
      </w:r>
      <w:r>
        <w:t xml:space="preserve">accessed 2026-10-07 [search-tool extract]; A6-S091: Considerations for deploying Microsoft Purview DSPM for AI; Get started with DSPM (classic); Purview for Microsoft Foundry</w:t>
      </w:r>
      <w:r>
        <w:t xml:space="preserve"> </w:t>
      </w:r>
      <w:hyperlink r:id="rId2070">
        <w:r>
          <w:rPr>
            <w:rStyle w:val="Hyperlink"/>
          </w:rPr>
          <w:t xml:space="preserve">https://learn.microsoft.com/en-us/purview/dspm-for-ai-considerations</w:t>
        </w:r>
      </w:hyperlink>
      <w:r>
        <w:t xml:space="preserve"> </w:t>
      </w:r>
      <w:r>
        <w:t xml:space="preserve">accessed 2026-10-07 [search-tool extract]; V2-S036: What’s new in Microsoft Purview (with DSPM task mapping page; Tech Community</w:t>
      </w:r>
      <w:r>
        <w:t xml:space="preserve"> </w:t>
      </w:r>
      <w:r>
        <w:t xml:space="preserve">‘</w:t>
      </w:r>
      <w:r>
        <w:t xml:space="preserve">Beyond Visibility: the new Microsoft Purview DSPM experience</w:t>
      </w:r>
      <w:r>
        <w:t xml:space="preserve">’</w:t>
      </w:r>
      <w:r>
        <w:t xml:space="preserve">)</w:t>
      </w:r>
      <w:r>
        <w:t xml:space="preserve"> </w:t>
      </w:r>
      <w:hyperlink r:id="rId2069">
        <w:r>
          <w:rPr>
            <w:rStyle w:val="Hyperlink"/>
          </w:rPr>
          <w:t xml:space="preserve">https://learn.microsoft.com/en-us/purview/whats-new</w:t>
        </w:r>
      </w:hyperlink>
      <w:r>
        <w:t xml:space="preserve"> </w:t>
      </w:r>
      <w:r>
        <w:t xml:space="preserve">accessed 2026-10-08 [search-tool extract]</w:t>
      </w:r>
    </w:p>
  </w:footnote>
  <w:footnote w:id="2071">
    <w:p>
      <w:pPr>
        <w:pStyle w:val="FootnoteText"/>
      </w:pPr>
      <w:r>
        <w:rPr>
          <w:rStyle w:val="FootnoteReference"/>
        </w:rPr>
        <w:footnoteRef/>
      </w:r>
      <w:r>
        <w:t xml:space="preserve"> </w:t>
      </w:r>
      <w:r>
        <w:t xml:space="preserve">Verified fact — B-C4-S008: ISO/IEC 27001 and SOC 2 Type 2 offering pages (Microsoft Compliance)</w:t>
      </w:r>
      <w:r>
        <w:t xml:space="preserve"> </w:t>
      </w:r>
      <w:hyperlink r:id="rId2072">
        <w:r>
          <w:rPr>
            <w:rStyle w:val="Hyperlink"/>
          </w:rPr>
          <w:t xml:space="preserve">https://learn.microsoft.com/en-us/compliance/regulatory/offering-iso-27001</w:t>
        </w:r>
      </w:hyperlink>
      <w:r>
        <w:t xml:space="preserve"> </w:t>
      </w:r>
      <w:r>
        <w:t xml:space="preserve">accessed 2026-10-08 [search-tool extract]; A6-S056: Azure services in FedRAMP and DoD audit scope (Microsoft Learn source)</w:t>
      </w:r>
      <w:r>
        <w:t xml:space="preserve"> </w:t>
      </w:r>
      <w:hyperlink r:id="rId1848">
        <w:r>
          <w:rPr>
            <w:rStyle w:val="Hyperlink"/>
          </w:rPr>
          <w:t xml:space="preserve">https://raw.githubusercontent.com/MicrosoftDocs/azure-docs/main/articles/azure-government/compliance/azure-services-in-fedramp-auditscope.md</w:t>
        </w:r>
      </w:hyperlink>
      <w:r>
        <w:t xml:space="preserve"> </w:t>
      </w:r>
      <w:r>
        <w:t xml:space="preserve">accessed 2026-10-07</w:t>
      </w:r>
    </w:p>
  </w:footnote>
  <w:footnote w:id="2073">
    <w:p>
      <w:pPr>
        <w:pStyle w:val="FootnoteText"/>
      </w:pPr>
      <w:r>
        <w:rPr>
          <w:rStyle w:val="FootnoteReference"/>
        </w:rPr>
        <w:footnoteRef/>
      </w:r>
      <w:r>
        <w:t xml:space="preserve"> </w:t>
      </w:r>
      <w:r>
        <w:t xml:space="preserve">Verified fact — A6-S091: Considerations for deploying Microsoft Purview DSPM for AI; Get started with DSPM (classic); Purview for Microsoft Foundry</w:t>
      </w:r>
      <w:r>
        <w:t xml:space="preserve"> </w:t>
      </w:r>
      <w:hyperlink r:id="rId2070">
        <w:r>
          <w:rPr>
            <w:rStyle w:val="Hyperlink"/>
          </w:rPr>
          <w:t xml:space="preserve">https://learn.microsoft.com/en-us/purview/dspm-for-ai-considerations</w:t>
        </w:r>
      </w:hyperlink>
      <w:r>
        <w:t xml:space="preserve"> </w:t>
      </w:r>
      <w:r>
        <w:t xml:space="preserve">accessed 2026-10-07 [search-tool extract]</w:t>
      </w:r>
    </w:p>
  </w:footnote>
  <w:footnote w:id="2074">
    <w:p>
      <w:pPr>
        <w:pStyle w:val="FootnoteText"/>
      </w:pPr>
      <w:r>
        <w:rPr>
          <w:rStyle w:val="FootnoteReference"/>
        </w:rPr>
        <w:footnoteRef/>
      </w:r>
      <w:r>
        <w:t xml:space="preserve"> </w:t>
      </w:r>
      <w:r>
        <w:t xml:space="preserve">Reported — A6-S092: DSPM for AI with Business Premium Add-On - Microsoft Q&amp;A (Microsoft Q&amp;A (community forum))</w:t>
      </w:r>
      <w:r>
        <w:t xml:space="preserve"> </w:t>
      </w:r>
      <w:hyperlink r:id="rId2075">
        <w:r>
          <w:rPr>
            <w:rStyle w:val="Hyperlink"/>
          </w:rPr>
          <w:t xml:space="preserve">https://learn.microsoft.com/en-us/answers/questions/5813926/dspm-for-ai-with-business-premium-add-on</w:t>
        </w:r>
      </w:hyperlink>
      <w:r>
        <w:t xml:space="preserve"> </w:t>
      </w:r>
      <w:r>
        <w:t xml:space="preserve">accessed 2026-10-07 [search-tool extract]</w:t>
      </w:r>
    </w:p>
  </w:footnote>
  <w:footnote w:id="2076">
    <w:p>
      <w:pPr>
        <w:pStyle w:val="FootnoteText"/>
      </w:pPr>
      <w:r>
        <w:rPr>
          <w:rStyle w:val="FootnoteReference"/>
        </w:rPr>
        <w:footnoteRef/>
      </w:r>
      <w:r>
        <w:t xml:space="preserve"> </w:t>
      </w:r>
      <w:r>
        <w:t xml:space="preserve">Verified fact — V2-S036: What’s new in Microsoft Purview (with DSPM task mapping page; Tech Community</w:t>
      </w:r>
      <w:r>
        <w:t xml:space="preserve"> </w:t>
      </w:r>
      <w:r>
        <w:t xml:space="preserve">‘</w:t>
      </w:r>
      <w:r>
        <w:t xml:space="preserve">Beyond Visibility: the new Microsoft Purview DSPM experience</w:t>
      </w:r>
      <w:r>
        <w:t xml:space="preserve">’</w:t>
      </w:r>
      <w:r>
        <w:t xml:space="preserve">)</w:t>
      </w:r>
      <w:r>
        <w:t xml:space="preserve"> </w:t>
      </w:r>
      <w:hyperlink r:id="rId2069">
        <w:r>
          <w:rPr>
            <w:rStyle w:val="Hyperlink"/>
          </w:rPr>
          <w:t xml:space="preserve">https://learn.microsoft.com/en-us/purview/whats-new</w:t>
        </w:r>
      </w:hyperlink>
      <w:r>
        <w:t xml:space="preserve"> </w:t>
      </w:r>
      <w:r>
        <w:t xml:space="preserve">accessed 2026-10-08 [search-tool extract]</w:t>
      </w:r>
    </w:p>
  </w:footnote>
  <w:footnote w:id="2078">
    <w:p>
      <w:pPr>
        <w:pStyle w:val="FootnoteText"/>
      </w:pPr>
      <w:r>
        <w:rPr>
          <w:rStyle w:val="FootnoteReference"/>
        </w:rPr>
        <w:footnoteRef/>
      </w:r>
      <w:r>
        <w:t xml:space="preserve"> </w:t>
      </w:r>
      <w:r>
        <w:t xml:space="preserve">Verified fact — A6-S081: skyflow - PyPI JSON metadata (Python Package Index)</w:t>
      </w:r>
      <w:r>
        <w:t xml:space="preserve"> </w:t>
      </w:r>
      <w:hyperlink r:id="rId2079">
        <w:r>
          <w:rPr>
            <w:rStyle w:val="Hyperlink"/>
          </w:rPr>
          <w:t xml:space="preserve">https://pypi.org/pypi/skyflow/json</w:t>
        </w:r>
      </w:hyperlink>
      <w:r>
        <w:t xml:space="preserve"> </w:t>
      </w:r>
      <w:r>
        <w:t xml:space="preserve">accessed 2026-10-07; A6-S095: Skyflow GDPR Compliance; Data Privacy Vault; LLM Privacy Vault; SOC 2 solution pages; Why Skyflow (docs)</w:t>
      </w:r>
      <w:r>
        <w:t xml:space="preserve"> </w:t>
      </w:r>
      <w:hyperlink r:id="rId2080">
        <w:r>
          <w:rPr>
            <w:rStyle w:val="Hyperlink"/>
          </w:rPr>
          <w:t xml:space="preserve">https://www.skyflow.com/gdpr-compliance</w:t>
        </w:r>
      </w:hyperlink>
      <w:r>
        <w:t xml:space="preserve"> </w:t>
      </w:r>
      <w:r>
        <w:t xml:space="preserve">accessed 2026-10-07 [search-tool extract]</w:t>
      </w:r>
    </w:p>
  </w:footnote>
  <w:footnote w:id="2081">
    <w:p>
      <w:pPr>
        <w:pStyle w:val="FootnoteText"/>
      </w:pPr>
      <w:r>
        <w:rPr>
          <w:rStyle w:val="FootnoteReference"/>
        </w:rPr>
        <w:footnoteRef/>
      </w:r>
      <w:r>
        <w:t xml:space="preserve"> </w:t>
      </w:r>
      <w:r>
        <w:t xml:space="preserve">Verified fact — A6-S095: Skyflow GDPR Compliance; Data Privacy Vault; LLM Privacy Vault; SOC 2 solution pages; Why Skyflow (docs)</w:t>
      </w:r>
      <w:r>
        <w:t xml:space="preserve"> </w:t>
      </w:r>
      <w:hyperlink r:id="rId2080">
        <w:r>
          <w:rPr>
            <w:rStyle w:val="Hyperlink"/>
          </w:rPr>
          <w:t xml:space="preserve">https://www.skyflow.com/gdpr-compliance</w:t>
        </w:r>
      </w:hyperlink>
      <w:r>
        <w:t xml:space="preserve"> </w:t>
      </w:r>
      <w:r>
        <w:t xml:space="preserve">accessed 2026-10-07 [search-tool extract]</w:t>
      </w:r>
    </w:p>
  </w:footnote>
  <w:footnote w:id="2082">
    <w:p>
      <w:pPr>
        <w:pStyle w:val="FootnoteText"/>
      </w:pPr>
      <w:r>
        <w:rPr>
          <w:rStyle w:val="FootnoteReference"/>
        </w:rPr>
        <w:footnoteRef/>
      </w:r>
      <w:r>
        <w:t xml:space="preserve"> </w:t>
      </w:r>
      <w:r>
        <w:t xml:space="preserve">Verified fact — A6-S095: Skyflow GDPR Compliance; Data Privacy Vault; LLM Privacy Vault; SOC 2 solution pages; Why Skyflow (docs)</w:t>
      </w:r>
      <w:r>
        <w:t xml:space="preserve"> </w:t>
      </w:r>
      <w:hyperlink r:id="rId2080">
        <w:r>
          <w:rPr>
            <w:rStyle w:val="Hyperlink"/>
          </w:rPr>
          <w:t xml:space="preserve">https://www.skyflow.com/gdpr-compliance</w:t>
        </w:r>
      </w:hyperlink>
      <w:r>
        <w:t xml:space="preserve"> </w:t>
      </w:r>
      <w:r>
        <w:t xml:space="preserve">accessed 2026-10-07 [search-tool extract]</w:t>
      </w:r>
    </w:p>
  </w:footnote>
  <w:footnote w:id="2083">
    <w:p>
      <w:pPr>
        <w:pStyle w:val="FootnoteText"/>
      </w:pPr>
      <w:r>
        <w:rPr>
          <w:rStyle w:val="FootnoteReference"/>
        </w:rPr>
        <w:footnoteRef/>
      </w:r>
      <w:r>
        <w:t xml:space="preserve"> </w:t>
      </w:r>
      <w:r>
        <w:t xml:space="preserve">Verified fact — B-C3-S005: Skyflow Security (trust page) and certification posts</w:t>
      </w:r>
      <w:r>
        <w:t xml:space="preserve"> </w:t>
      </w:r>
      <w:hyperlink r:id="rId2084">
        <w:r>
          <w:rPr>
            <w:rStyle w:val="Hyperlink"/>
          </w:rPr>
          <w:t xml:space="preserve">https://www.skyflow.com/security</w:t>
        </w:r>
      </w:hyperlink>
      <w:r>
        <w:t xml:space="preserve"> </w:t>
      </w:r>
      <w:r>
        <w:t xml:space="preserve">accessed 2026-10-08 [search-tool extract]</w:t>
      </w:r>
    </w:p>
  </w:footnote>
  <w:footnote w:id="2085">
    <w:p>
      <w:pPr>
        <w:pStyle w:val="FootnoteText"/>
      </w:pPr>
      <w:r>
        <w:rPr>
          <w:rStyle w:val="FootnoteReference"/>
        </w:rPr>
        <w:footnoteRef/>
      </w:r>
      <w:r>
        <w:t xml:space="preserve"> </w:t>
      </w:r>
      <w:r>
        <w:t xml:space="preserve">Verified fact — A6-S081: skyflow - PyPI JSON metadata (Python Package Index)</w:t>
      </w:r>
      <w:r>
        <w:t xml:space="preserve"> </w:t>
      </w:r>
      <w:hyperlink r:id="rId2079">
        <w:r>
          <w:rPr>
            <w:rStyle w:val="Hyperlink"/>
          </w:rPr>
          <w:t xml:space="preserve">https://pypi.org/pypi/skyflow/json</w:t>
        </w:r>
      </w:hyperlink>
      <w:r>
        <w:t xml:space="preserve"> </w:t>
      </w:r>
      <w:r>
        <w:t xml:space="preserve">accessed 2026-10-07</w:t>
      </w:r>
    </w:p>
  </w:footnote>
  <w:footnote w:id="2086">
    <w:p>
      <w:pPr>
        <w:pStyle w:val="FootnoteText"/>
      </w:pPr>
      <w:r>
        <w:rPr>
          <w:rStyle w:val="FootnoteReference"/>
        </w:rPr>
        <w:footnoteRef/>
      </w:r>
      <w:r>
        <w:t xml:space="preserve"> </w:t>
      </w:r>
      <w:r>
        <w:t xml:space="preserve">Verified fact — A6-S096: Skyflow Raises $30 Million led by Khosla Ventures for Data Privacy in AI and Global Data Residency (Business Wire press release) (Skyflow (via Business Wire))</w:t>
      </w:r>
      <w:r>
        <w:t xml:space="preserve"> </w:t>
      </w:r>
      <w:hyperlink r:id="rId2087">
        <w:r>
          <w:rPr>
            <w:rStyle w:val="Hyperlink"/>
          </w:rPr>
          <w:t xml:space="preserve">https://www.businesswire.com/news/home/20240328765469/en/Skyflow-Raises-$30-Million-led-by-Khosla-Ventures-for-Data-Privacy-in-AI-and-Global-Data-Residency</w:t>
        </w:r>
      </w:hyperlink>
      <w:r>
        <w:t xml:space="preserve"> </w:t>
      </w:r>
      <w:r>
        <w:t xml:space="preserve">accessed 2026-10-07 [search-tool extract]</w:t>
      </w:r>
    </w:p>
  </w:footnote>
  <w:footnote w:id="2088">
    <w:p>
      <w:pPr>
        <w:pStyle w:val="FootnoteText"/>
      </w:pPr>
      <w:r>
        <w:rPr>
          <w:rStyle w:val="FootnoteReference"/>
        </w:rPr>
        <w:footnoteRef/>
      </w:r>
      <w:r>
        <w:t xml:space="preserve"> </w:t>
      </w:r>
      <w:r>
        <w:t xml:space="preserve">Verified fact — B-C3-S005: Skyflow Security (trust page) and certification posts</w:t>
      </w:r>
      <w:r>
        <w:t xml:space="preserve"> </w:t>
      </w:r>
      <w:hyperlink r:id="rId2084">
        <w:r>
          <w:rPr>
            <w:rStyle w:val="Hyperlink"/>
          </w:rPr>
          <w:t xml:space="preserve">https://www.skyflow.com/security</w:t>
        </w:r>
      </w:hyperlink>
      <w:r>
        <w:t xml:space="preserve"> </w:t>
      </w:r>
      <w:r>
        <w:t xml:space="preserve">accessed 2026-10-08 [search-tool extract]</w:t>
      </w:r>
    </w:p>
  </w:footnote>
  <w:footnote w:id="2090">
    <w:p>
      <w:pPr>
        <w:pStyle w:val="FootnoteText"/>
      </w:pPr>
      <w:r>
        <w:rPr>
          <w:rStyle w:val="FootnoteReference"/>
        </w:rPr>
        <w:footnoteRef/>
      </w:r>
      <w:r>
        <w:t xml:space="preserve"> </w:t>
      </w:r>
      <w:r>
        <w:t xml:space="preserve">Verified fact — A6-S082: protegrity-developer-python - PyPI JSON metadata (Python Package Index)</w:t>
      </w:r>
      <w:r>
        <w:t xml:space="preserve"> </w:t>
      </w:r>
      <w:hyperlink r:id="rId2091">
        <w:r>
          <w:rPr>
            <w:rStyle w:val="Hyperlink"/>
          </w:rPr>
          <w:t xml:space="preserve">https://pypi.org/pypi/protegrity-developer-python/json</w:t>
        </w:r>
      </w:hyperlink>
      <w:r>
        <w:t xml:space="preserve"> </w:t>
      </w:r>
      <w:r>
        <w:t xml:space="preserve">accessed 2026-10-07; B-C3-S004: Policy Management and Enterprise Security Administrator (ESA) documentation 10.1 (Protegrity)</w:t>
      </w:r>
      <w:r>
        <w:t xml:space="preserve"> </w:t>
      </w:r>
      <w:hyperlink r:id="rId2092">
        <w:r>
          <w:rPr>
            <w:rStyle w:val="Hyperlink"/>
          </w:rPr>
          <w:t xml:space="preserve">https://docs.protegrity.com/10.1/docs/pmg/_print/</w:t>
        </w:r>
      </w:hyperlink>
      <w:r>
        <w:t xml:space="preserve"> </w:t>
      </w:r>
      <w:r>
        <w:t xml:space="preserve">accessed 2026-10-08 [search-tool extract]</w:t>
      </w:r>
    </w:p>
  </w:footnote>
  <w:footnote w:id="2093">
    <w:p>
      <w:pPr>
        <w:pStyle w:val="FootnoteText"/>
      </w:pPr>
      <w:r>
        <w:rPr>
          <w:rStyle w:val="FootnoteReference"/>
        </w:rPr>
        <w:footnoteRef/>
      </w:r>
      <w:r>
        <w:t xml:space="preserve"> </w:t>
      </w:r>
      <w:r>
        <w:t xml:space="preserve">Verified fact — A6-S093: Protegrity AI Team Edition to Secure Agentic Workflows; AI Team Edition docs (Tech Preview); Protegrity Expands Team (April 2026)</w:t>
      </w:r>
      <w:r>
        <w:t xml:space="preserve"> </w:t>
      </w:r>
      <w:hyperlink r:id="rId2094">
        <w:r>
          <w:rPr>
            <w:rStyle w:val="Hyperlink"/>
          </w:rPr>
          <w:t xml:space="preserve">https://www.protegrity.com/news/protegrity-ai-team-edition-to-secure-agentic-workflows</w:t>
        </w:r>
      </w:hyperlink>
      <w:r>
        <w:t xml:space="preserve"> </w:t>
      </w:r>
      <w:r>
        <w:t xml:space="preserve">accessed 2026-10-07 [search-tool extract]</w:t>
      </w:r>
    </w:p>
  </w:footnote>
  <w:footnote w:id="2095">
    <w:p>
      <w:pPr>
        <w:pStyle w:val="FootnoteText"/>
      </w:pPr>
      <w:r>
        <w:rPr>
          <w:rStyle w:val="FootnoteReference"/>
        </w:rPr>
        <w:footnoteRef/>
      </w:r>
      <w:r>
        <w:t xml:space="preserve"> </w:t>
      </w:r>
      <w:r>
        <w:t xml:space="preserve">Verified fact — B-C3-S004: Policy Management and Enterprise Security Administrator (ESA) documentation 10.1 (Protegrity)</w:t>
      </w:r>
      <w:r>
        <w:t xml:space="preserve"> </w:t>
      </w:r>
      <w:hyperlink r:id="rId2092">
        <w:r>
          <w:rPr>
            <w:rStyle w:val="Hyperlink"/>
          </w:rPr>
          <w:t xml:space="preserve">https://docs.protegrity.com/10.1/docs/pmg/_print/</w:t>
        </w:r>
      </w:hyperlink>
      <w:r>
        <w:t xml:space="preserve"> </w:t>
      </w:r>
      <w:r>
        <w:t xml:space="preserve">accessed 2026-10-08 [search-tool extract]</w:t>
      </w:r>
    </w:p>
  </w:footnote>
  <w:footnote w:id="2096">
    <w:p>
      <w:pPr>
        <w:pStyle w:val="FootnoteText"/>
      </w:pPr>
      <w:r>
        <w:rPr>
          <w:rStyle w:val="FootnoteReference"/>
        </w:rPr>
        <w:footnoteRef/>
      </w:r>
      <w:r>
        <w:t xml:space="preserve"> </w:t>
      </w:r>
      <w:r>
        <w:t xml:space="preserve">Verified fact — A6-S093: Protegrity AI Team Edition to Secure Agentic Workflows; AI Team Edition docs (Tech Preview); Protegrity Expands Team (April 2026)</w:t>
      </w:r>
      <w:r>
        <w:t xml:space="preserve"> </w:t>
      </w:r>
      <w:hyperlink r:id="rId2094">
        <w:r>
          <w:rPr>
            <w:rStyle w:val="Hyperlink"/>
          </w:rPr>
          <w:t xml:space="preserve">https://www.protegrity.com/news/protegrity-ai-team-edition-to-secure-agentic-workflows</w:t>
        </w:r>
      </w:hyperlink>
      <w:r>
        <w:t xml:space="preserve"> </w:t>
      </w:r>
      <w:r>
        <w:t xml:space="preserve">accessed 2026-10-07 [search-tool extract]</w:t>
      </w:r>
    </w:p>
  </w:footnote>
  <w:footnote w:id="2097">
    <w:p>
      <w:pPr>
        <w:pStyle w:val="FootnoteText"/>
      </w:pPr>
      <w:r>
        <w:rPr>
          <w:rStyle w:val="FootnoteReference"/>
        </w:rPr>
        <w:footnoteRef/>
      </w:r>
      <w:r>
        <w:t xml:space="preserve"> </w:t>
      </w:r>
      <w:r>
        <w:t xml:space="preserve">Verified fact — A6-S094: Protegrity Awarded ISO 27001:2013 Certification</w:t>
      </w:r>
      <w:r>
        <w:t xml:space="preserve"> </w:t>
      </w:r>
      <w:hyperlink r:id="rId2098">
        <w:r>
          <w:rPr>
            <w:rStyle w:val="Hyperlink"/>
          </w:rPr>
          <w:t xml:space="preserve">https://www.protegrity.com/news/protegrity-awarded-iso-270012013-certification</w:t>
        </w:r>
      </w:hyperlink>
      <w:r>
        <w:t xml:space="preserve"> </w:t>
      </w:r>
      <w:r>
        <w:t xml:space="preserve">accessed 2026-10-07 [search-tool extract]; B-C3-S003: Protegrity compliance pages (cheat sheet; news; AI Enterprise Edition)</w:t>
      </w:r>
      <w:r>
        <w:t xml:space="preserve"> </w:t>
      </w:r>
      <w:hyperlink r:id="rId2099">
        <w:r>
          <w:rPr>
            <w:rStyle w:val="Hyperlink"/>
          </w:rPr>
          <w:t xml:space="preserve">https://www.protegrity.com/blog/compliance-cheat-sheet-gdpr-vs-cpra-vs-hipaa-vs-soc/</w:t>
        </w:r>
      </w:hyperlink>
      <w:r>
        <w:t xml:space="preserve"> </w:t>
      </w:r>
      <w:r>
        <w:t xml:space="preserve">accessed 2026-10-08 [search-tool extract]</w:t>
      </w:r>
    </w:p>
  </w:footnote>
  <w:footnote w:id="2102">
    <w:p>
      <w:pPr>
        <w:pStyle w:val="FootnoteText"/>
      </w:pPr>
      <w:r>
        <w:rPr>
          <w:rStyle w:val="FootnoteReference"/>
        </w:rPr>
        <w:footnoteRef/>
      </w:r>
      <w:r>
        <w:t xml:space="preserve"> </w:t>
      </w:r>
      <w:r>
        <w:t xml:space="preserve">Verified fact — A6-S046: Open Policy Agent README (GitHub) (Open Policy Agent project (CNCF))</w:t>
      </w:r>
      <w:r>
        <w:t xml:space="preserve"> </w:t>
      </w:r>
      <w:hyperlink r:id="rId2103">
        <w:r>
          <w:rPr>
            <w:rStyle w:val="Hyperlink"/>
          </w:rPr>
          <w:t xml:space="preserve">https://raw.githubusercontent.com/open-policy-agent/opa/main/README.md</w:t>
        </w:r>
      </w:hyperlink>
      <w:r>
        <w:t xml:space="preserve"> </w:t>
      </w:r>
      <w:r>
        <w:t xml:space="preserve">accessed 2026-10-07; A6-S048: Go module proxy: github.com/open-policy-agent/opa</w:t>
      </w:r>
      <w:r>
        <w:t xml:space="preserve"> </w:t>
      </w:r>
      <w:r>
        <w:t xml:space="preserve">@latest</w:t>
      </w:r>
      <w:r>
        <w:t xml:space="preserve"> </w:t>
      </w:r>
      <w:r>
        <w:t xml:space="preserve">(Go module proxy (proxy.golang.org))</w:t>
      </w:r>
      <w:r>
        <w:t xml:space="preserve"> </w:t>
      </w:r>
      <w:hyperlink r:id="rId2104">
        <w:r>
          <w:rPr>
            <w:rStyle w:val="Hyperlink"/>
          </w:rPr>
          <w:t xml:space="preserve">https://proxy.golang.org/github.com/open-policy-agent/opa/@latest</w:t>
        </w:r>
      </w:hyperlink>
      <w:r>
        <w:t xml:space="preserve"> </w:t>
      </w:r>
      <w:r>
        <w:t xml:space="preserve">accessed 2026-10-07; A6-S088: Open Policy Agent LICENSE (Open Policy Agent project)</w:t>
      </w:r>
      <w:r>
        <w:t xml:space="preserve"> </w:t>
      </w:r>
      <w:hyperlink r:id="rId2105">
        <w:r>
          <w:rPr>
            <w:rStyle w:val="Hyperlink"/>
          </w:rPr>
          <w:t xml:space="preserve">https://raw.githubusercontent.com/open-policy-agent/opa/main/LICENSE</w:t>
        </w:r>
      </w:hyperlink>
      <w:r>
        <w:t xml:space="preserve"> </w:t>
      </w:r>
      <w:r>
        <w:t xml:space="preserve">accessed 2026-10-07</w:t>
      </w:r>
    </w:p>
  </w:footnote>
  <w:footnote w:id="2106">
    <w:p>
      <w:pPr>
        <w:pStyle w:val="FootnoteText"/>
      </w:pPr>
      <w:r>
        <w:rPr>
          <w:rStyle w:val="FootnoteReference"/>
        </w:rPr>
        <w:footnoteRef/>
      </w:r>
      <w:r>
        <w:t xml:space="preserve"> </w:t>
      </w:r>
      <w:r>
        <w:t xml:space="preserve">Verified fact — A6-S046: Open Policy Agent README (GitHub) (Open Policy Agent project (CNCF))</w:t>
      </w:r>
      <w:r>
        <w:t xml:space="preserve"> </w:t>
      </w:r>
      <w:hyperlink r:id="rId2103">
        <w:r>
          <w:rPr>
            <w:rStyle w:val="Hyperlink"/>
          </w:rPr>
          <w:t xml:space="preserve">https://raw.githubusercontent.com/open-policy-agent/opa/main/README.md</w:t>
        </w:r>
      </w:hyperlink>
      <w:r>
        <w:t xml:space="preserve"> </w:t>
      </w:r>
      <w:r>
        <w:t xml:space="preserve">accessed 2026-10-07</w:t>
      </w:r>
    </w:p>
  </w:footnote>
  <w:footnote w:id="2107">
    <w:p>
      <w:pPr>
        <w:pStyle w:val="FootnoteText"/>
      </w:pPr>
      <w:r>
        <w:rPr>
          <w:rStyle w:val="FootnoteReference"/>
        </w:rPr>
        <w:footnoteRef/>
      </w:r>
      <w:r>
        <w:t xml:space="preserve"> </w:t>
      </w:r>
      <w:r>
        <w:t xml:space="preserve">Verified fact — A6-S046: Open Policy Agent README (GitHub) (Open Policy Agent project (CNCF))</w:t>
      </w:r>
      <w:r>
        <w:t xml:space="preserve"> </w:t>
      </w:r>
      <w:hyperlink r:id="rId2103">
        <w:r>
          <w:rPr>
            <w:rStyle w:val="Hyperlink"/>
          </w:rPr>
          <w:t xml:space="preserve">https://raw.githubusercontent.com/open-policy-agent/opa/main/README.md</w:t>
        </w:r>
      </w:hyperlink>
      <w:r>
        <w:t xml:space="preserve"> </w:t>
      </w:r>
      <w:r>
        <w:t xml:space="preserve">accessed 2026-10-07; B-C4-S001: OPA Security Policy (SECURITY.md) (Open Policy Agent project (CNCF))</w:t>
      </w:r>
      <w:r>
        <w:t xml:space="preserve"> </w:t>
      </w:r>
      <w:hyperlink r:id="rId2108">
        <w:r>
          <w:rPr>
            <w:rStyle w:val="Hyperlink"/>
          </w:rPr>
          <w:t xml:space="preserve">https://raw.githubusercontent.com/open-policy-agent/opa/main/SECURITY.md</w:t>
        </w:r>
      </w:hyperlink>
      <w:r>
        <w:t xml:space="preserve"> </w:t>
      </w:r>
      <w:r>
        <w:t xml:space="preserve">accessed 2026-10-08</w:t>
      </w:r>
    </w:p>
  </w:footnote>
  <w:footnote w:id="2110">
    <w:p>
      <w:pPr>
        <w:pStyle w:val="FootnoteText"/>
      </w:pPr>
      <w:r>
        <w:rPr>
          <w:rStyle w:val="FootnoteReference"/>
        </w:rPr>
        <w:footnoteRef/>
      </w:r>
      <w:r>
        <w:t xml:space="preserve"> </w:t>
      </w:r>
      <w:r>
        <w:t xml:space="preserve">Verified fact — A6-S087: SPIRE README (GitHub) (SPIFFE project (CNCF))</w:t>
      </w:r>
      <w:r>
        <w:t xml:space="preserve"> </w:t>
      </w:r>
      <w:hyperlink r:id="rId2111">
        <w:r>
          <w:rPr>
            <w:rStyle w:val="Hyperlink"/>
          </w:rPr>
          <w:t xml:space="preserve">https://raw.githubusercontent.com/spiffe/spire/main/README.md</w:t>
        </w:r>
      </w:hyperlink>
      <w:r>
        <w:t xml:space="preserve"> </w:t>
      </w:r>
      <w:r>
        <w:t xml:space="preserve">accessed 2026-10-07; A6-S042: SPIRE CHANGELOG.md (SPIFFE project (CNCF))</w:t>
      </w:r>
      <w:r>
        <w:t xml:space="preserve"> </w:t>
      </w:r>
      <w:hyperlink r:id="rId2112">
        <w:r>
          <w:rPr>
            <w:rStyle w:val="Hyperlink"/>
          </w:rPr>
          <w:t xml:space="preserve">https://raw.githubusercontent.com/spiffe/spire/main/CHANGELOG.md</w:t>
        </w:r>
      </w:hyperlink>
      <w:r>
        <w:t xml:space="preserve"> </w:t>
      </w:r>
      <w:r>
        <w:t xml:space="preserve">accessed 2026-10-07; A6-S043: Go module proxy: github.com/spiffe/spire</w:t>
      </w:r>
      <w:r>
        <w:t xml:space="preserve"> </w:t>
      </w:r>
      <w:r>
        <w:t xml:space="preserve">@latest</w:t>
      </w:r>
      <w:r>
        <w:t xml:space="preserve"> </w:t>
      </w:r>
      <w:r>
        <w:t xml:space="preserve">(Go module proxy (proxy.golang.org))</w:t>
      </w:r>
      <w:r>
        <w:t xml:space="preserve"> </w:t>
      </w:r>
      <w:hyperlink r:id="rId2113">
        <w:r>
          <w:rPr>
            <w:rStyle w:val="Hyperlink"/>
          </w:rPr>
          <w:t xml:space="preserve">https://proxy.golang.org/github.com/spiffe/spire/@latest</w:t>
        </w:r>
      </w:hyperlink>
      <w:r>
        <w:t xml:space="preserve"> </w:t>
      </w:r>
      <w:r>
        <w:t xml:space="preserve">accessed 2026-10-07; A6-S089: SPIRE LICENSE (SPIFFE project)</w:t>
      </w:r>
      <w:r>
        <w:t xml:space="preserve"> </w:t>
      </w:r>
      <w:hyperlink r:id="rId2114">
        <w:r>
          <w:rPr>
            <w:rStyle w:val="Hyperlink"/>
          </w:rPr>
          <w:t xml:space="preserve">https://raw.githubusercontent.com/spiffe/spire/main/LICENSE</w:t>
        </w:r>
      </w:hyperlink>
      <w:r>
        <w:t xml:space="preserve"> </w:t>
      </w:r>
      <w:r>
        <w:t xml:space="preserve">accessed 2026-10-07</w:t>
      </w:r>
    </w:p>
  </w:footnote>
  <w:footnote w:id="2115">
    <w:p>
      <w:pPr>
        <w:pStyle w:val="FootnoteText"/>
      </w:pPr>
      <w:r>
        <w:rPr>
          <w:rStyle w:val="FootnoteReference"/>
        </w:rPr>
        <w:footnoteRef/>
      </w:r>
      <w:r>
        <w:t xml:space="preserve"> </w:t>
      </w:r>
      <w:r>
        <w:t xml:space="preserve">Verified fact — A6-S087: SPIRE README (GitHub) (SPIFFE project (CNCF))</w:t>
      </w:r>
      <w:r>
        <w:t xml:space="preserve"> </w:t>
      </w:r>
      <w:hyperlink r:id="rId2111">
        <w:r>
          <w:rPr>
            <w:rStyle w:val="Hyperlink"/>
          </w:rPr>
          <w:t xml:space="preserve">https://raw.githubusercontent.com/spiffe/spire/main/README.md</w:t>
        </w:r>
      </w:hyperlink>
      <w:r>
        <w:t xml:space="preserve"> </w:t>
      </w:r>
      <w:r>
        <w:t xml:space="preserve">accessed 2026-10-07</w:t>
      </w:r>
    </w:p>
  </w:footnote>
  <w:footnote w:id="2116">
    <w:p>
      <w:pPr>
        <w:pStyle w:val="FootnoteText"/>
      </w:pPr>
      <w:r>
        <w:rPr>
          <w:rStyle w:val="FootnoteReference"/>
        </w:rPr>
        <w:footnoteRef/>
      </w:r>
      <w:r>
        <w:t xml:space="preserve"> </w:t>
      </w:r>
      <w:r>
        <w:t xml:space="preserve">Verified fact — B-C4-S002: SPIRE Security Policy (SECURITY.md) (SPIFFE project (CNCF))</w:t>
      </w:r>
      <w:r>
        <w:t xml:space="preserve"> </w:t>
      </w:r>
      <w:hyperlink r:id="rId2117">
        <w:r>
          <w:rPr>
            <w:rStyle w:val="Hyperlink"/>
          </w:rPr>
          <w:t xml:space="preserve">https://raw.githubusercontent.com/spiffe/spire/main/SECURITY.md</w:t>
        </w:r>
      </w:hyperlink>
      <w:r>
        <w:t xml:space="preserve"> </w:t>
      </w:r>
      <w:r>
        <w:t xml:space="preserve">accessed 2026-10-08</w:t>
      </w:r>
    </w:p>
  </w:footnote>
  <w:footnote w:id="2118">
    <w:p>
      <w:pPr>
        <w:pStyle w:val="FootnoteText"/>
      </w:pPr>
      <w:r>
        <w:rPr>
          <w:rStyle w:val="FootnoteReference"/>
        </w:rPr>
        <w:footnoteRef/>
      </w:r>
      <w:r>
        <w:t xml:space="preserve"> </w:t>
      </w:r>
      <w:r>
        <w:t xml:space="preserve">Verified fact — A6-S087: SPIRE README (GitHub) (SPIFFE project (CNCF))</w:t>
      </w:r>
      <w:r>
        <w:t xml:space="preserve"> </w:t>
      </w:r>
      <w:hyperlink r:id="rId2111">
        <w:r>
          <w:rPr>
            <w:rStyle w:val="Hyperlink"/>
          </w:rPr>
          <w:t xml:space="preserve">https://raw.githubusercontent.com/spiffe/spire/main/README.md</w:t>
        </w:r>
      </w:hyperlink>
      <w:r>
        <w:t xml:space="preserve"> </w:t>
      </w:r>
      <w:r>
        <w:t xml:space="preserve">accessed 2026-10-07</w:t>
      </w:r>
    </w:p>
  </w:footnote>
  <w:footnote w:id="2120">
    <w:p>
      <w:pPr>
        <w:pStyle w:val="FootnoteText"/>
      </w:pPr>
      <w:r>
        <w:rPr>
          <w:rStyle w:val="FootnoteReference"/>
        </w:rPr>
        <w:footnoteRef/>
      </w:r>
      <w:r>
        <w:t xml:space="preserve"> </w:t>
      </w:r>
      <w:r>
        <w:t xml:space="preserve">Verified fact — B-C1-S005: AWS Services in Scope by Compliance Program - SOC (Amazon Web Services)</w:t>
      </w:r>
      <w:r>
        <w:t xml:space="preserve"> </w:t>
      </w:r>
      <w:hyperlink r:id="rId882">
        <w:r>
          <w:rPr>
            <w:rStyle w:val="Hyperlink"/>
          </w:rPr>
          <w:t xml:space="preserve">https://aws.amazon.com/compliance/services-in-scope/SOC/</w:t>
        </w:r>
      </w:hyperlink>
      <w:r>
        <w:t xml:space="preserve"> </w:t>
      </w:r>
      <w:r>
        <w:t xml:space="preserve">accessed 2026-10-08 [search-tool extract]; B-C1-S006: Amazon Bedrock AgentCore FAQs (Amazon Web Services)</w:t>
      </w:r>
      <w:r>
        <w:t xml:space="preserve"> </w:t>
      </w:r>
      <w:hyperlink r:id="rId1867">
        <w:r>
          <w:rPr>
            <w:rStyle w:val="Hyperlink"/>
          </w:rPr>
          <w:t xml:space="preserve">https://aws.amazon.com/bedrock/agentcore/faqs/</w:t>
        </w:r>
      </w:hyperlink>
      <w:r>
        <w:t xml:space="preserve"> </w:t>
      </w:r>
      <w:r>
        <w:t xml:space="preserve">accessed 2026-10-08 [search-tool extract]; B-L4-S002: Compliance validation for Amazon Bedrock AgentCore (Amazon Web Services)</w:t>
      </w:r>
      <w:r>
        <w:t xml:space="preserve"> </w:t>
      </w:r>
      <w:hyperlink r:id="rId757">
        <w:r>
          <w:rPr>
            <w:rStyle w:val="Hyperlink"/>
          </w:rPr>
          <w:t xml:space="preserve">https://docs.aws.amazon.com/bedrock-agentcore/latest/devguide/compliance-validation.html</w:t>
        </w:r>
      </w:hyperlink>
      <w:r>
        <w:t xml:space="preserve"> </w:t>
      </w:r>
      <w:r>
        <w:t xml:space="preserve">accessed 2026-10-08 [search-tool extract]</w:t>
      </w:r>
    </w:p>
  </w:footnote>
  <w:footnote w:id="2121">
    <w:p>
      <w:pPr>
        <w:pStyle w:val="FootnoteText"/>
      </w:pPr>
      <w:r>
        <w:rPr>
          <w:rStyle w:val="FootnoteReference"/>
        </w:rPr>
        <w:footnoteRef/>
      </w:r>
      <w:r>
        <w:t xml:space="preserve"> </w:t>
      </w:r>
      <w:r>
        <w:t xml:space="preserve">Verified fact — A6-S044: Cedar CHANGELOG.md (cedar-policy crate) (Cedar project)</w:t>
      </w:r>
      <w:r>
        <w:t xml:space="preserve"> </w:t>
      </w:r>
      <w:hyperlink r:id="rId2122">
        <w:r>
          <w:rPr>
            <w:rStyle w:val="Hyperlink"/>
          </w:rPr>
          <w:t xml:space="preserve">https://raw.githubusercontent.com/cedar-policy/cedar/main/cedar-policy/CHANGELOG.md</w:t>
        </w:r>
      </w:hyperlink>
      <w:r>
        <w:t xml:space="preserve"> </w:t>
      </w:r>
      <w:r>
        <w:t xml:space="preserve">accessed 2026-10-07; A6-S045: Cedar README (GitHub) (Cedar project)</w:t>
      </w:r>
      <w:r>
        <w:t xml:space="preserve"> </w:t>
      </w:r>
      <w:hyperlink r:id="rId887">
        <w:r>
          <w:rPr>
            <w:rStyle w:val="Hyperlink"/>
          </w:rPr>
          <w:t xml:space="preserve">https://raw.githubusercontent.com/cedar-policy/cedar/main/README.md</w:t>
        </w:r>
      </w:hyperlink>
      <w:r>
        <w:t xml:space="preserve"> </w:t>
      </w:r>
      <w:r>
        <w:t xml:space="preserve">accessed 2026-10-07; A6-S026: Policy in Amazon Bedrock AgentCore is now generally available; AgentCore Policy docs; Why Policy in AgentCore chose Cedar (Amazon Web Services)</w:t>
      </w:r>
      <w:r>
        <w:t xml:space="preserve"> </w:t>
      </w:r>
      <w:hyperlink r:id="rId880">
        <w:r>
          <w:rPr>
            <w:rStyle w:val="Hyperlink"/>
          </w:rPr>
          <w:t xml:space="preserve">https://aws.amazon.com/about-aws/whats-new/2026/03/policy-amazon-bedrock-agentcore-generally-available/</w:t>
        </w:r>
      </w:hyperlink>
      <w:r>
        <w:t xml:space="preserve"> </w:t>
      </w:r>
      <w:r>
        <w:t xml:space="preserve">accessed 2026-10-07 [search-tool extract]; A6-S104: Amazon Verified Permissions now supports policy store aliases and named policies and policy templates; Cedar 4 FAQ; differences from Cedar (Amazon Web Services)</w:t>
      </w:r>
      <w:r>
        <w:t xml:space="preserve"> </w:t>
      </w:r>
      <w:hyperlink r:id="rId2123">
        <w:r>
          <w:rPr>
            <w:rStyle w:val="Hyperlink"/>
          </w:rPr>
          <w:t xml:space="preserve">https://aws.amazon.com/about-aws/whats-new/2026/04/amazon-verified-permissions-policy-store/</w:t>
        </w:r>
      </w:hyperlink>
      <w:r>
        <w:t xml:space="preserve"> </w:t>
      </w:r>
      <w:r>
        <w:t xml:space="preserve">accessed 2026-10-07 [search-tool extract]; V2-S033: Policy in Amazon Bedrock AgentCore is now generally available (with AgentCore policy authoring guide and FAQ) (Amazon Web Services)</w:t>
      </w:r>
      <w:r>
        <w:t xml:space="preserve"> </w:t>
      </w:r>
      <w:hyperlink r:id="rId880">
        <w:r>
          <w:rPr>
            <w:rStyle w:val="Hyperlink"/>
          </w:rPr>
          <w:t xml:space="preserve">https://aws.amazon.com/about-aws/whats-new/2026/03/policy-amazon-bedrock-agentcore-generally-available/</w:t>
        </w:r>
      </w:hyperlink>
      <w:r>
        <w:t xml:space="preserve"> </w:t>
      </w:r>
      <w:r>
        <w:t xml:space="preserve">accessed 2026-10-08 [search-tool extract]</w:t>
      </w:r>
    </w:p>
  </w:footnote>
  <w:footnote w:id="2124">
    <w:p>
      <w:pPr>
        <w:pStyle w:val="FootnoteText"/>
      </w:pPr>
      <w:r>
        <w:rPr>
          <w:rStyle w:val="FootnoteReference"/>
        </w:rPr>
        <w:footnoteRef/>
      </w:r>
      <w:r>
        <w:t xml:space="preserve"> </w:t>
      </w:r>
      <w:r>
        <w:t xml:space="preserve">Verified fact — A6-S026: Policy in Amazon Bedrock AgentCore is now generally available; AgentCore Policy docs; Why Policy in AgentCore chose Cedar (Amazon Web Services)</w:t>
      </w:r>
      <w:r>
        <w:t xml:space="preserve"> </w:t>
      </w:r>
      <w:hyperlink r:id="rId880">
        <w:r>
          <w:rPr>
            <w:rStyle w:val="Hyperlink"/>
          </w:rPr>
          <w:t xml:space="preserve">https://aws.amazon.com/about-aws/whats-new/2026/03/policy-amazon-bedrock-agentcore-generally-available/</w:t>
        </w:r>
      </w:hyperlink>
      <w:r>
        <w:t xml:space="preserve"> </w:t>
      </w:r>
      <w:r>
        <w:t xml:space="preserve">accessed 2026-10-07 [search-tool extract]</w:t>
      </w:r>
    </w:p>
  </w:footnote>
  <w:footnote w:id="2125">
    <w:p>
      <w:pPr>
        <w:pStyle w:val="FootnoteText"/>
      </w:pPr>
      <w:r>
        <w:rPr>
          <w:rStyle w:val="FootnoteReference"/>
        </w:rPr>
        <w:footnoteRef/>
      </w:r>
      <w:r>
        <w:t xml:space="preserve"> </w:t>
      </w:r>
      <w:r>
        <w:t xml:space="preserve">Verified fact — A6-S045: Cedar README (GitHub) (Cedar project)</w:t>
      </w:r>
      <w:r>
        <w:t xml:space="preserve"> </w:t>
      </w:r>
      <w:hyperlink r:id="rId887">
        <w:r>
          <w:rPr>
            <w:rStyle w:val="Hyperlink"/>
          </w:rPr>
          <w:t xml:space="preserve">https://raw.githubusercontent.com/cedar-policy/cedar/main/README.md</w:t>
        </w:r>
      </w:hyperlink>
      <w:r>
        <w:t xml:space="preserve"> </w:t>
      </w:r>
      <w:r>
        <w:t xml:space="preserve">accessed 2026-10-07</w:t>
      </w:r>
    </w:p>
  </w:footnote>
  <w:footnote w:id="2126">
    <w:p>
      <w:pPr>
        <w:pStyle w:val="FootnoteText"/>
      </w:pPr>
      <w:r>
        <w:rPr>
          <w:rStyle w:val="FootnoteReference"/>
        </w:rPr>
        <w:footnoteRef/>
      </w:r>
      <w:r>
        <w:t xml:space="preserve"> </w:t>
      </w:r>
      <w:r>
        <w:t xml:space="preserve">Verified fact — A6-S021: Amazon Bedrock AgentCore Pricing; AgentCore GA announcement (Oct 2025); AgentCore Gateway docs (Amazon Web Services)</w:t>
      </w:r>
      <w:r>
        <w:t xml:space="preserve"> </w:t>
      </w:r>
      <w:hyperlink r:id="rId764">
        <w:r>
          <w:rPr>
            <w:rStyle w:val="Hyperlink"/>
          </w:rPr>
          <w:t xml:space="preserve">https://aws.amazon.com/bedrock/agentcore/pricing/</w:t>
        </w:r>
      </w:hyperlink>
      <w:r>
        <w:t xml:space="preserve"> </w:t>
      </w:r>
      <w:r>
        <w:t xml:space="preserve">accessed 2026-10-07 [search-tool extract]</w:t>
      </w:r>
    </w:p>
  </w:footnote>
  <w:footnote w:id="2127">
    <w:p>
      <w:pPr>
        <w:pStyle w:val="FootnoteText"/>
      </w:pPr>
      <w:r>
        <w:rPr>
          <w:rStyle w:val="FootnoteReference"/>
        </w:rPr>
        <w:footnoteRef/>
      </w:r>
      <w:r>
        <w:t xml:space="preserve"> </w:t>
      </w:r>
      <w:r>
        <w:t xml:space="preserve">Verified fact — B-C4-S003: Cedar Security Policy (SECURITY.md) (Cedar project)</w:t>
      </w:r>
      <w:r>
        <w:t xml:space="preserve"> </w:t>
      </w:r>
      <w:hyperlink r:id="rId2128">
        <w:r>
          <w:rPr>
            <w:rStyle w:val="Hyperlink"/>
          </w:rPr>
          <w:t xml:space="preserve">https://raw.githubusercontent.com/cedar-policy/cedar/main/SECURITY.md</w:t>
        </w:r>
      </w:hyperlink>
      <w:r>
        <w:t xml:space="preserve"> </w:t>
      </w:r>
      <w:r>
        <w:t xml:space="preserve">accessed 2026-10-08</w:t>
      </w:r>
    </w:p>
  </w:footnote>
  <w:footnote w:id="2129">
    <w:p>
      <w:pPr>
        <w:pStyle w:val="FootnoteText"/>
      </w:pPr>
      <w:r>
        <w:rPr>
          <w:rStyle w:val="FootnoteReference"/>
        </w:rPr>
        <w:footnoteRef/>
      </w:r>
      <w:r>
        <w:t xml:space="preserve"> </w:t>
      </w:r>
      <w:r>
        <w:t xml:space="preserve">Verified fact — A6-S026: Policy in Amazon Bedrock AgentCore is now generally available; AgentCore Policy docs; Why Policy in AgentCore chose Cedar (Amazon Web Services)</w:t>
      </w:r>
      <w:r>
        <w:t xml:space="preserve"> </w:t>
      </w:r>
      <w:hyperlink r:id="rId880">
        <w:r>
          <w:rPr>
            <w:rStyle w:val="Hyperlink"/>
          </w:rPr>
          <w:t xml:space="preserve">https://aws.amazon.com/about-aws/whats-new/2026/03/policy-amazon-bedrock-agentcore-generally-available/</w:t>
        </w:r>
      </w:hyperlink>
      <w:r>
        <w:t xml:space="preserve"> </w:t>
      </w:r>
      <w:r>
        <w:t xml:space="preserve">accessed 2026-10-07 [search-tool extract]</w:t>
      </w:r>
    </w:p>
  </w:footnote>
  <w:footnote w:id="2130">
    <w:p>
      <w:pPr>
        <w:pStyle w:val="FootnoteText"/>
      </w:pPr>
      <w:r>
        <w:rPr>
          <w:rStyle w:val="FootnoteReference"/>
        </w:rPr>
        <w:footnoteRef/>
      </w:r>
      <w:r>
        <w:t xml:space="preserve"> </w:t>
      </w:r>
      <w:r>
        <w:t xml:space="preserve">Verified fact — A6-S026: Policy in Amazon Bedrock AgentCore is now generally available; AgentCore Policy docs; Why Policy in AgentCore chose Cedar (Amazon Web Services)</w:t>
      </w:r>
      <w:r>
        <w:t xml:space="preserve"> </w:t>
      </w:r>
      <w:hyperlink r:id="rId880">
        <w:r>
          <w:rPr>
            <w:rStyle w:val="Hyperlink"/>
          </w:rPr>
          <w:t xml:space="preserve">https://aws.amazon.com/about-aws/whats-new/2026/03/policy-amazon-bedrock-agentcore-generally-available/</w:t>
        </w:r>
      </w:hyperlink>
      <w:r>
        <w:t xml:space="preserve"> </w:t>
      </w:r>
      <w:r>
        <w:t xml:space="preserve">accessed 2026-10-07 [search-tool extract]</w:t>
      </w:r>
    </w:p>
  </w:footnote>
  <w:footnote w:id="2131">
    <w:p>
      <w:pPr>
        <w:pStyle w:val="FootnoteText"/>
      </w:pPr>
      <w:r>
        <w:rPr>
          <w:rStyle w:val="FootnoteReference"/>
        </w:rPr>
        <w:footnoteRef/>
      </w:r>
      <w:r>
        <w:t xml:space="preserve"> </w:t>
      </w:r>
      <w:r>
        <w:t xml:space="preserve">Verified fact — A6-S104: Amazon Verified Permissions now supports policy store aliases and named policies and policy templates; Cedar 4 FAQ; differences from Cedar (Amazon Web Services)</w:t>
      </w:r>
      <w:r>
        <w:t xml:space="preserve"> </w:t>
      </w:r>
      <w:hyperlink r:id="rId2123">
        <w:r>
          <w:rPr>
            <w:rStyle w:val="Hyperlink"/>
          </w:rPr>
          <w:t xml:space="preserve">https://aws.amazon.com/about-aws/whats-new/2026/04/amazon-verified-permissions-policy-store/</w:t>
        </w:r>
      </w:hyperlink>
      <w:r>
        <w:t xml:space="preserve"> </w:t>
      </w:r>
      <w:r>
        <w:t xml:space="preserve">accessed 2026-10-07 [search-tool extract]</w:t>
      </w:r>
    </w:p>
  </w:footnote>
  <w:footnote w:id="2132">
    <w:p>
      <w:pPr>
        <w:pStyle w:val="FootnoteText"/>
      </w:pPr>
      <w:r>
        <w:rPr>
          <w:rStyle w:val="FootnoteReference"/>
        </w:rPr>
        <w:footnoteRef/>
      </w:r>
      <w:r>
        <w:t xml:space="preserve"> </w:t>
      </w:r>
      <w:r>
        <w:t xml:space="preserve">Verified fact — B-C1-S005: AWS Services in Scope by Compliance Program - SOC (Amazon Web Services)</w:t>
      </w:r>
      <w:r>
        <w:t xml:space="preserve"> </w:t>
      </w:r>
      <w:hyperlink r:id="rId882">
        <w:r>
          <w:rPr>
            <w:rStyle w:val="Hyperlink"/>
          </w:rPr>
          <w:t xml:space="preserve">https://aws.amazon.com/compliance/services-in-scope/SOC/</w:t>
        </w:r>
      </w:hyperlink>
      <w:r>
        <w:t xml:space="preserve"> </w:t>
      </w:r>
      <w:r>
        <w:t xml:space="preserve">accessed 2026-10-08 [search-tool extract]; B-C1-S006: Amazon Bedrock AgentCore FAQs (Amazon Web Services)</w:t>
      </w:r>
      <w:r>
        <w:t xml:space="preserve"> </w:t>
      </w:r>
      <w:hyperlink r:id="rId1867">
        <w:r>
          <w:rPr>
            <w:rStyle w:val="Hyperlink"/>
          </w:rPr>
          <w:t xml:space="preserve">https://aws.amazon.com/bedrock/agentcore/faqs/</w:t>
        </w:r>
      </w:hyperlink>
      <w:r>
        <w:t xml:space="preserve"> </w:t>
      </w:r>
      <w:r>
        <w:t xml:space="preserve">accessed 2026-10-08 [search-tool extract]; B-L4-S002: Compliance validation for Amazon Bedrock AgentCore (Amazon Web Services)</w:t>
      </w:r>
      <w:r>
        <w:t xml:space="preserve"> </w:t>
      </w:r>
      <w:hyperlink r:id="rId757">
        <w:r>
          <w:rPr>
            <w:rStyle w:val="Hyperlink"/>
          </w:rPr>
          <w:t xml:space="preserve">https://docs.aws.amazon.com/bedrock-agentcore/latest/devguide/compliance-validation.html</w:t>
        </w:r>
      </w:hyperlink>
      <w:r>
        <w:t xml:space="preserve"> </w:t>
      </w:r>
      <w:r>
        <w:t xml:space="preserve">accessed 2026-10-08 [search-tool extract]</w:t>
      </w:r>
    </w:p>
  </w:footnote>
  <w:footnote w:id="2134">
    <w:p>
      <w:pPr>
        <w:pStyle w:val="FootnoteText"/>
      </w:pPr>
      <w:r>
        <w:rPr>
          <w:rStyle w:val="FootnoteReference"/>
        </w:rPr>
        <w:footnoteRef/>
      </w:r>
      <w:r>
        <w:t xml:space="preserve"> </w:t>
      </w:r>
      <w:r>
        <w:t xml:space="preserve">Verified fact — B-C4-S007: Okta help: AI agents (add manually; configure; update) and access certifications for AI agents (Okta, Inc.)</w:t>
      </w:r>
      <w:r>
        <w:t xml:space="preserve"> </w:t>
      </w:r>
      <w:hyperlink r:id="rId2135">
        <w:r>
          <w:rPr>
            <w:rStyle w:val="Hyperlink"/>
          </w:rPr>
          <w:t xml:space="preserve">https://help.okta.com/OIE/en-us/content/topics/ai-agents/ai-agent-add-manually.htm</w:t>
        </w:r>
      </w:hyperlink>
      <w:r>
        <w:t xml:space="preserve"> </w:t>
      </w:r>
      <w:r>
        <w:t xml:space="preserve">accessed 2026-10-08 [search-tool extract]; B-REVB-S001: Okta for AI Agents (help home), AI agent administrators, View Agent Gateway activity, and System Log API docs (Okta, Inc.)</w:t>
      </w:r>
      <w:r>
        <w:t xml:space="preserve"> </w:t>
      </w:r>
      <w:hyperlink r:id="rId2136">
        <w:r>
          <w:rPr>
            <w:rStyle w:val="Hyperlink"/>
          </w:rPr>
          <w:t xml:space="preserve">https://help.okta.com/oie/en-us/content/topics/ai-agents/ai-agents-home.htm</w:t>
        </w:r>
      </w:hyperlink>
      <w:r>
        <w:t xml:space="preserve"> </w:t>
      </w:r>
      <w:r>
        <w:t xml:space="preserve">accessed 2026-10-08 [search-tool extract]</w:t>
      </w:r>
    </w:p>
  </w:footnote>
  <w:footnote w:id="2137">
    <w:p>
      <w:pPr>
        <w:pStyle w:val="FootnoteText"/>
      </w:pPr>
      <w:r>
        <w:rPr>
          <w:rStyle w:val="FootnoteReference"/>
        </w:rPr>
        <w:footnoteRef/>
      </w:r>
      <w:r>
        <w:t xml:space="preserve"> </w:t>
      </w:r>
      <w:r>
        <w:t xml:space="preserve">Verified fact — A6-S097: Auth0 for AI Agents is Now Generally Available (GA); Auth0 May 2026 product innovations (Auth0 (Okta))</w:t>
      </w:r>
      <w:r>
        <w:t xml:space="preserve"> </w:t>
      </w:r>
      <w:hyperlink r:id="rId2138">
        <w:r>
          <w:rPr>
            <w:rStyle w:val="Hyperlink"/>
          </w:rPr>
          <w:t xml:space="preserve">https://auth0.com/blog/auth0-for-ai-agents-generally-available/</w:t>
        </w:r>
      </w:hyperlink>
      <w:r>
        <w:t xml:space="preserve"> </w:t>
      </w:r>
      <w:r>
        <w:t xml:space="preserve">accessed 2026-10-07 [search-tool extract]; A6-S100: Okta for AI Agents is Now Generally Available; Okta announces new blueprint for the secure agentic enterprise (Okta, Inc.)</w:t>
      </w:r>
      <w:r>
        <w:t xml:space="preserve"> </w:t>
      </w:r>
      <w:hyperlink r:id="rId2139">
        <w:r>
          <w:rPr>
            <w:rStyle w:val="Hyperlink"/>
          </w:rPr>
          <w:t xml:space="preserve">https://www.okta.com/blog/ai/okta-for-ai-agents-general-availability/</w:t>
        </w:r>
      </w:hyperlink>
      <w:r>
        <w:t xml:space="preserve"> </w:t>
      </w:r>
      <w:r>
        <w:t xml:space="preserve">accessed 2026-10-07 [search-tool extract]; A6-S099: Okta brings first-class identity to AI agents with Agent SSO; Okta Introduces Agent SSO for Cross App Access (XAA) (Okta, Inc.)</w:t>
      </w:r>
      <w:r>
        <w:t xml:space="preserve"> </w:t>
      </w:r>
      <w:hyperlink r:id="rId2140">
        <w:r>
          <w:rPr>
            <w:rStyle w:val="Hyperlink"/>
          </w:rPr>
          <w:t xml:space="preserve">https://www.okta.com/newsroom/press-releases/okta-brings-first-class-identity-to-ai-agents-with-agent-sso/</w:t>
        </w:r>
      </w:hyperlink>
      <w:r>
        <w:t xml:space="preserve"> </w:t>
      </w:r>
      <w:r>
        <w:t xml:space="preserve">accessed 2026-10-07 [search-tool extract]; V2-S035: Okta brings first-class identity to AI agents with Agent SSO (with Okta support article, OIE release notes, Oktane 2026 release)</w:t>
      </w:r>
      <w:r>
        <w:t xml:space="preserve"> </w:t>
      </w:r>
      <w:hyperlink r:id="rId2140">
        <w:r>
          <w:rPr>
            <w:rStyle w:val="Hyperlink"/>
          </w:rPr>
          <w:t xml:space="preserve">https://www.okta.com/newsroom/press-releases/okta-brings-first-class-identity-to-ai-agents-with-agent-sso/</w:t>
        </w:r>
      </w:hyperlink>
      <w:r>
        <w:t xml:space="preserve"> </w:t>
      </w:r>
      <w:r>
        <w:t xml:space="preserve">accessed 2026-10-08 [search-tool extract]</w:t>
      </w:r>
    </w:p>
  </w:footnote>
  <w:footnote w:id="2141">
    <w:p>
      <w:pPr>
        <w:pStyle w:val="FootnoteText"/>
      </w:pPr>
      <w:r>
        <w:rPr>
          <w:rStyle w:val="FootnoteReference"/>
        </w:rPr>
        <w:footnoteRef/>
      </w:r>
      <w:r>
        <w:t xml:space="preserve"> </w:t>
      </w:r>
      <w:r>
        <w:t xml:space="preserve">Verified fact — A6-S079: MCP ext-auth: Enterprise-Managed Authorization specification (Stable) (Model Context Protocol project)</w:t>
      </w:r>
      <w:r>
        <w:t xml:space="preserve"> </w:t>
      </w:r>
      <w:hyperlink r:id="rId2142">
        <w:r>
          <w:rPr>
            <w:rStyle w:val="Hyperlink"/>
          </w:rPr>
          <w:t xml:space="preserve">https://raw.githubusercontent.com/modelcontextprotocol/ext-auth/main/specification/stable/enterprise-managed-authorization.mdx</w:t>
        </w:r>
      </w:hyperlink>
      <w:r>
        <w:t xml:space="preserve"> </w:t>
      </w:r>
      <w:r>
        <w:t xml:space="preserve">accessed 2026-10-07; A6-S076: auth0-ai - PyPI JSON metadata (Python Package Index)</w:t>
      </w:r>
      <w:r>
        <w:t xml:space="preserve"> </w:t>
      </w:r>
      <w:hyperlink r:id="rId2143">
        <w:r>
          <w:rPr>
            <w:rStyle w:val="Hyperlink"/>
          </w:rPr>
          <w:t xml:space="preserve">https://pypi.org/pypi/auth0-ai/json</w:t>
        </w:r>
      </w:hyperlink>
      <w:r>
        <w:t xml:space="preserve"> </w:t>
      </w:r>
      <w:r>
        <w:t xml:space="preserve">accessed 2026-10-07</w:t>
      </w:r>
    </w:p>
  </w:footnote>
  <w:footnote w:id="2144">
    <w:p>
      <w:pPr>
        <w:pStyle w:val="FootnoteText"/>
      </w:pPr>
      <w:r>
        <w:rPr>
          <w:rStyle w:val="FootnoteReference"/>
        </w:rPr>
        <w:footnoteRef/>
      </w:r>
      <w:r>
        <w:t xml:space="preserve"> </w:t>
      </w:r>
      <w:r>
        <w:t xml:space="preserve">Verified fact — B-C4-S007: Okta help: AI agents (add manually; configure; update) and access certifications for AI agents (Okta, Inc.)</w:t>
      </w:r>
      <w:r>
        <w:t xml:space="preserve"> </w:t>
      </w:r>
      <w:hyperlink r:id="rId2135">
        <w:r>
          <w:rPr>
            <w:rStyle w:val="Hyperlink"/>
          </w:rPr>
          <w:t xml:space="preserve">https://help.okta.com/OIE/en-us/content/topics/ai-agents/ai-agent-add-manually.htm</w:t>
        </w:r>
      </w:hyperlink>
      <w:r>
        <w:t xml:space="preserve"> </w:t>
      </w:r>
      <w:r>
        <w:t xml:space="preserve">accessed 2026-10-08 [search-tool extract]</w:t>
      </w:r>
    </w:p>
  </w:footnote>
  <w:footnote w:id="2145">
    <w:p>
      <w:pPr>
        <w:pStyle w:val="FootnoteText"/>
      </w:pPr>
      <w:r>
        <w:rPr>
          <w:rStyle w:val="FootnoteReference"/>
        </w:rPr>
        <w:footnoteRef/>
      </w:r>
      <w:r>
        <w:t xml:space="preserve"> </w:t>
      </w:r>
      <w:r>
        <w:t xml:space="preserve">Verified fact — A6-S099: Okta brings first-class identity to AI agents with Agent SSO; Okta Introduces Agent SSO for Cross App Access (XAA) (Okta, Inc.)</w:t>
      </w:r>
      <w:r>
        <w:t xml:space="preserve"> </w:t>
      </w:r>
      <w:hyperlink r:id="rId2140">
        <w:r>
          <w:rPr>
            <w:rStyle w:val="Hyperlink"/>
          </w:rPr>
          <w:t xml:space="preserve">https://www.okta.com/newsroom/press-releases/okta-brings-first-class-identity-to-ai-agents-with-agent-sso/</w:t>
        </w:r>
      </w:hyperlink>
      <w:r>
        <w:t xml:space="preserve"> </w:t>
      </w:r>
      <w:r>
        <w:t xml:space="preserve">accessed 2026-10-07 [search-tool extract]</w:t>
      </w:r>
    </w:p>
  </w:footnote>
  <w:footnote w:id="2146">
    <w:p>
      <w:pPr>
        <w:pStyle w:val="FootnoteText"/>
      </w:pPr>
      <w:r>
        <w:rPr>
          <w:rStyle w:val="FootnoteReference"/>
        </w:rPr>
        <w:footnoteRef/>
      </w:r>
      <w:r>
        <w:t xml:space="preserve"> </w:t>
      </w:r>
      <w:r>
        <w:t xml:space="preserve">Verified fact — B-C4-S006: Okta Security Trust Center (with Okta Sustainability Report 2025) (Okta, Inc.)</w:t>
      </w:r>
      <w:r>
        <w:t xml:space="preserve"> </w:t>
      </w:r>
      <w:hyperlink r:id="rId2147">
        <w:r>
          <w:rPr>
            <w:rStyle w:val="Hyperlink"/>
          </w:rPr>
          <w:t xml:space="preserve">https://security.okta.com/</w:t>
        </w:r>
      </w:hyperlink>
      <w:r>
        <w:t xml:space="preserve"> </w:t>
      </w:r>
      <w:r>
        <w:t xml:space="preserve">accessed 2026-10-08 [search-tool extract]</w:t>
      </w:r>
    </w:p>
  </w:footnote>
  <w:footnote w:id="2148">
    <w:p>
      <w:pPr>
        <w:pStyle w:val="FootnoteText"/>
      </w:pPr>
      <w:r>
        <w:rPr>
          <w:rStyle w:val="FootnoteReference"/>
        </w:rPr>
        <w:footnoteRef/>
      </w:r>
      <w:r>
        <w:t xml:space="preserve"> </w:t>
      </w:r>
      <w:r>
        <w:t xml:space="preserve">Verified fact — A6-S078: Auth0 AI for JavaScript README (GitHub) (Auth0 (Okta))</w:t>
      </w:r>
      <w:r>
        <w:t xml:space="preserve"> </w:t>
      </w:r>
      <w:hyperlink r:id="rId2149">
        <w:r>
          <w:rPr>
            <w:rStyle w:val="Hyperlink"/>
          </w:rPr>
          <w:t xml:space="preserve">https://raw.githubusercontent.com/auth0/auth0-ai-js/main/README.md</w:t>
        </w:r>
      </w:hyperlink>
      <w:r>
        <w:t xml:space="preserve"> </w:t>
      </w:r>
      <w:r>
        <w:t xml:space="preserve">accessed 2026-10-07; A6-S077:</w:t>
      </w:r>
      <w:r>
        <w:t xml:space="preserve"> </w:t>
      </w:r>
      <w:r>
        <w:t xml:space="preserve">@auth0/ai</w:t>
      </w:r>
      <w:r>
        <w:t xml:space="preserve"> </w:t>
      </w:r>
      <w:r>
        <w:t xml:space="preserve">- npm registry metadata</w:t>
      </w:r>
      <w:r>
        <w:t xml:space="preserve"> </w:t>
      </w:r>
      <w:hyperlink r:id="rId2150">
        <w:r>
          <w:rPr>
            <w:rStyle w:val="Hyperlink"/>
          </w:rPr>
          <w:t xml:space="preserve">https://registry.npmjs.org/@auth0/ai</w:t>
        </w:r>
      </w:hyperlink>
      <w:r>
        <w:t xml:space="preserve"> </w:t>
      </w:r>
      <w:r>
        <w:t xml:space="preserve">accessed 2026-10-07</w:t>
      </w:r>
    </w:p>
  </w:footnote>
  <w:footnote w:id="2151">
    <w:p>
      <w:pPr>
        <w:pStyle w:val="FootnoteText"/>
      </w:pPr>
      <w:r>
        <w:rPr>
          <w:rStyle w:val="FootnoteReference"/>
        </w:rPr>
        <w:footnoteRef/>
      </w:r>
      <w:r>
        <w:t xml:space="preserve"> </w:t>
      </w:r>
      <w:r>
        <w:t xml:space="preserve">Verified fact — A6-S100: Okta for AI Agents is Now Generally Available; Okta announces new blueprint for the secure agentic enterprise (Okta, Inc.)</w:t>
      </w:r>
      <w:r>
        <w:t xml:space="preserve"> </w:t>
      </w:r>
      <w:hyperlink r:id="rId2139">
        <w:r>
          <w:rPr>
            <w:rStyle w:val="Hyperlink"/>
          </w:rPr>
          <w:t xml:space="preserve">https://www.okta.com/blog/ai/okta-for-ai-agents-general-availability/</w:t>
        </w:r>
      </w:hyperlink>
      <w:r>
        <w:t xml:space="preserve"> </w:t>
      </w:r>
      <w:r>
        <w:t xml:space="preserve">accessed 2026-10-07 [search-tool extract]</w:t>
      </w:r>
    </w:p>
  </w:footnote>
  <w:footnote w:id="2152">
    <w:p>
      <w:pPr>
        <w:pStyle w:val="FootnoteText"/>
      </w:pPr>
      <w:r>
        <w:rPr>
          <w:rStyle w:val="FootnoteReference"/>
        </w:rPr>
        <w:footnoteRef/>
      </w:r>
      <w:r>
        <w:t xml:space="preserve"> </w:t>
      </w:r>
      <w:r>
        <w:t xml:space="preserve">Verified fact — B-REVB-S001: Okta for AI Agents (help home), AI agent administrators, View Agent Gateway activity, and System Log API docs (Okta, Inc.)</w:t>
      </w:r>
      <w:r>
        <w:t xml:space="preserve"> </w:t>
      </w:r>
      <w:hyperlink r:id="rId2136">
        <w:r>
          <w:rPr>
            <w:rStyle w:val="Hyperlink"/>
          </w:rPr>
          <w:t xml:space="preserve">https://help.okta.com/oie/en-us/content/topics/ai-agents/ai-agents-home.htm</w:t>
        </w:r>
      </w:hyperlink>
      <w:r>
        <w:t xml:space="preserve"> </w:t>
      </w:r>
      <w:r>
        <w:t xml:space="preserve">accessed 2026-10-08 [search-tool extract]</w:t>
      </w:r>
    </w:p>
  </w:footnote>
  <w:footnote w:id="2153">
    <w:p>
      <w:pPr>
        <w:pStyle w:val="FootnoteText"/>
      </w:pPr>
      <w:r>
        <w:rPr>
          <w:rStyle w:val="FootnoteReference"/>
        </w:rPr>
        <w:footnoteRef/>
      </w:r>
      <w:r>
        <w:t xml:space="preserve"> </w:t>
      </w:r>
      <w:r>
        <w:t xml:space="preserve">Verified fact — B-REVB-S001: Okta for AI Agents (help home), AI agent administrators, View Agent Gateway activity, and System Log API docs (Okta, Inc.)</w:t>
      </w:r>
      <w:r>
        <w:t xml:space="preserve"> </w:t>
      </w:r>
      <w:hyperlink r:id="rId2136">
        <w:r>
          <w:rPr>
            <w:rStyle w:val="Hyperlink"/>
          </w:rPr>
          <w:t xml:space="preserve">https://help.okta.com/oie/en-us/content/topics/ai-agents/ai-agents-home.htm</w:t>
        </w:r>
      </w:hyperlink>
      <w:r>
        <w:t xml:space="preserve"> </w:t>
      </w:r>
      <w:r>
        <w:t xml:space="preserve">accessed 2026-10-08 [search-tool extract]</w:t>
      </w:r>
    </w:p>
  </w:footnote>
  <w:footnote w:id="2155">
    <w:p>
      <w:pPr>
        <w:pStyle w:val="FootnoteText"/>
      </w:pPr>
      <w:r>
        <w:rPr>
          <w:rStyle w:val="FootnoteReference"/>
        </w:rPr>
        <w:footnoteRef/>
      </w:r>
      <w:r>
        <w:t xml:space="preserve"> </w:t>
      </w:r>
      <w:r>
        <w:t xml:space="preserve">Verified fact — A6-S057: What is Microsoft Entra Agent ID? (Microsoft Learn source)</w:t>
      </w:r>
      <w:r>
        <w:t xml:space="preserve"> </w:t>
      </w:r>
      <w:hyperlink r:id="rId2156">
        <w:r>
          <w:rPr>
            <w:rStyle w:val="Hyperlink"/>
          </w:rPr>
          <w:t xml:space="preserve">https://raw.githubusercontent.com/MicrosoftDocs/entra-docs/main/docs/agent-id/what-is-microsoft-entra-agent-id.md</w:t>
        </w:r>
      </w:hyperlink>
      <w:r>
        <w:t xml:space="preserve"> </w:t>
      </w:r>
      <w:r>
        <w:t xml:space="preserve">accessed 2026-10-07; A6-S058: What’s new in Microsoft Entra Agent ID (Microsoft Learn source)</w:t>
      </w:r>
      <w:r>
        <w:t xml:space="preserve"> </w:t>
      </w:r>
      <w:hyperlink r:id="rId1871">
        <w:r>
          <w:rPr>
            <w:rStyle w:val="Hyperlink"/>
          </w:rPr>
          <w:t xml:space="preserve">https://raw.githubusercontent.com/MicrosoftDocs/entra-docs/main/docs/agent-id/whats-new-agent-id.md</w:t>
        </w:r>
      </w:hyperlink>
      <w:r>
        <w:t xml:space="preserve"> </w:t>
      </w:r>
      <w:r>
        <w:t xml:space="preserve">accessed 2026-10-07; A6-S060: Authentication protocols for agents (Microsoft Learn source)</w:t>
      </w:r>
      <w:r>
        <w:t xml:space="preserve"> </w:t>
      </w:r>
      <w:hyperlink r:id="rId2157">
        <w:r>
          <w:rPr>
            <w:rStyle w:val="Hyperlink"/>
          </w:rPr>
          <w:t xml:space="preserve">https://raw.githubusercontent.com/MicrosoftDocs/entra-docs/main/docs/agent-id/agent-oauth-protocols.md</w:t>
        </w:r>
      </w:hyperlink>
      <w:r>
        <w:t xml:space="preserve"> </w:t>
      </w:r>
      <w:r>
        <w:t xml:space="preserve">accessed 2026-10-07</w:t>
      </w:r>
    </w:p>
  </w:footnote>
  <w:footnote w:id="2158">
    <w:p>
      <w:pPr>
        <w:pStyle w:val="FootnoteText"/>
      </w:pPr>
      <w:r>
        <w:rPr>
          <w:rStyle w:val="FootnoteReference"/>
        </w:rPr>
        <w:footnoteRef/>
      </w:r>
      <w:r>
        <w:t xml:space="preserve"> </w:t>
      </w:r>
      <w:r>
        <w:t xml:space="preserve">Verified fact — V2-S032: Microsoft Entra releases and announcements (with What’s new in Entra Agent ID; Entra blog</w:t>
      </w:r>
      <w:r>
        <w:t xml:space="preserve"> </w:t>
      </w:r>
      <w:r>
        <w:t xml:space="preserve">‘</w:t>
      </w:r>
      <w:r>
        <w:t xml:space="preserve">Build AI agents for production with secure identities from day one</w:t>
      </w:r>
      <w:r>
        <w:t xml:space="preserve">’</w:t>
      </w:r>
      <w:r>
        <w:t xml:space="preserve">;</w:t>
      </w:r>
      <w:r>
        <w:t xml:space="preserve"> </w:t>
      </w:r>
      <w:hyperlink r:id="rId2159">
        <w:r>
          <w:rPr>
            <w:rStyle w:val="Hyperlink"/>
          </w:rPr>
          <w:t xml:space="preserve">https://learn.microsoft.com/en-us/entra/fundamentals/whats-new</w:t>
        </w:r>
      </w:hyperlink>
      <w:r>
        <w:t xml:space="preserve"> </w:t>
      </w:r>
      <w:r>
        <w:t xml:space="preserve">accessed 2026-10-08 [search-tool extract]</w:t>
      </w:r>
    </w:p>
  </w:footnote>
  <w:footnote w:id="2160">
    <w:p>
      <w:pPr>
        <w:pStyle w:val="FootnoteText"/>
      </w:pPr>
      <w:r>
        <w:rPr>
          <w:rStyle w:val="FootnoteReference"/>
        </w:rPr>
        <w:footnoteRef/>
      </w:r>
      <w:r>
        <w:t xml:space="preserve"> </w:t>
      </w:r>
      <w:r>
        <w:t xml:space="preserve">Verified fact — A6-S057: What is Microsoft Entra Agent ID? (Microsoft Learn source)</w:t>
      </w:r>
      <w:r>
        <w:t xml:space="preserve"> </w:t>
      </w:r>
      <w:hyperlink r:id="rId2156">
        <w:r>
          <w:rPr>
            <w:rStyle w:val="Hyperlink"/>
          </w:rPr>
          <w:t xml:space="preserve">https://raw.githubusercontent.com/MicrosoftDocs/entra-docs/main/docs/agent-id/what-is-microsoft-entra-agent-id.md</w:t>
        </w:r>
      </w:hyperlink>
      <w:r>
        <w:t xml:space="preserve"> </w:t>
      </w:r>
      <w:r>
        <w:t xml:space="preserve">accessed 2026-10-07; A6-S058: What’s new in Microsoft Entra Agent ID (Microsoft Learn source)</w:t>
      </w:r>
      <w:r>
        <w:t xml:space="preserve"> </w:t>
      </w:r>
      <w:hyperlink r:id="rId1871">
        <w:r>
          <w:rPr>
            <w:rStyle w:val="Hyperlink"/>
          </w:rPr>
          <w:t xml:space="preserve">https://raw.githubusercontent.com/MicrosoftDocs/entra-docs/main/docs/agent-id/whats-new-agent-id.md</w:t>
        </w:r>
      </w:hyperlink>
      <w:r>
        <w:t xml:space="preserve"> </w:t>
      </w:r>
      <w:r>
        <w:t xml:space="preserve">accessed 2026-10-07</w:t>
      </w:r>
    </w:p>
  </w:footnote>
  <w:footnote w:id="2161">
    <w:p>
      <w:pPr>
        <w:pStyle w:val="FootnoteText"/>
      </w:pPr>
      <w:r>
        <w:rPr>
          <w:rStyle w:val="FootnoteReference"/>
        </w:rPr>
        <w:footnoteRef/>
      </w:r>
      <w:r>
        <w:t xml:space="preserve"> </w:t>
      </w:r>
      <w:r>
        <w:t xml:space="preserve">Verified fact — A6-S060: Authentication protocols for agents (Microsoft Learn source)</w:t>
      </w:r>
      <w:r>
        <w:t xml:space="preserve"> </w:t>
      </w:r>
      <w:hyperlink r:id="rId2157">
        <w:r>
          <w:rPr>
            <w:rStyle w:val="Hyperlink"/>
          </w:rPr>
          <w:t xml:space="preserve">https://raw.githubusercontent.com/MicrosoftDocs/entra-docs/main/docs/agent-id/agent-oauth-protocols.md</w:t>
        </w:r>
      </w:hyperlink>
      <w:r>
        <w:t xml:space="preserve"> </w:t>
      </w:r>
      <w:r>
        <w:t xml:space="preserve">accessed 2026-10-07</w:t>
      </w:r>
    </w:p>
  </w:footnote>
  <w:footnote w:id="2162">
    <w:p>
      <w:pPr>
        <w:pStyle w:val="FootnoteText"/>
      </w:pPr>
      <w:r>
        <w:rPr>
          <w:rStyle w:val="FootnoteReference"/>
        </w:rPr>
        <w:footnoteRef/>
      </w:r>
      <w:r>
        <w:t xml:space="preserve"> </w:t>
      </w:r>
      <w:r>
        <w:t xml:space="preserve">Verified fact — B-C4-S008: ISO/IEC 27001 and SOC 2 Type 2 offering pages (Microsoft Compliance)</w:t>
      </w:r>
      <w:r>
        <w:t xml:space="preserve"> </w:t>
      </w:r>
      <w:hyperlink r:id="rId2072">
        <w:r>
          <w:rPr>
            <w:rStyle w:val="Hyperlink"/>
          </w:rPr>
          <w:t xml:space="preserve">https://learn.microsoft.com/en-us/compliance/regulatory/offering-iso-27001</w:t>
        </w:r>
      </w:hyperlink>
      <w:r>
        <w:t xml:space="preserve"> </w:t>
      </w:r>
      <w:r>
        <w:t xml:space="preserve">accessed 2026-10-08 [search-tool extract]; A6-S056: Azure services in FedRAMP and DoD audit scope (Microsoft Learn source)</w:t>
      </w:r>
      <w:r>
        <w:t xml:space="preserve"> </w:t>
      </w:r>
      <w:hyperlink r:id="rId1848">
        <w:r>
          <w:rPr>
            <w:rStyle w:val="Hyperlink"/>
          </w:rPr>
          <w:t xml:space="preserve">https://raw.githubusercontent.com/MicrosoftDocs/azure-docs/main/articles/azure-government/compliance/azure-services-in-fedramp-auditscope.md</w:t>
        </w:r>
      </w:hyperlink>
      <w:r>
        <w:t xml:space="preserve"> </w:t>
      </w:r>
      <w:r>
        <w:t xml:space="preserve">accessed 2026-10-07</w:t>
      </w:r>
    </w:p>
  </w:footnote>
  <w:footnote w:id="2163">
    <w:p>
      <w:pPr>
        <w:pStyle w:val="FootnoteText"/>
      </w:pPr>
      <w:r>
        <w:rPr>
          <w:rStyle w:val="FootnoteReference"/>
        </w:rPr>
        <w:footnoteRef/>
      </w:r>
      <w:r>
        <w:t xml:space="preserve"> </w:t>
      </w:r>
      <w:r>
        <w:t xml:space="preserve">Verified fact — A6-S059: Microsoft Entra Agent ID licensing (include file)</w:t>
      </w:r>
      <w:r>
        <w:t xml:space="preserve"> </w:t>
      </w:r>
      <w:hyperlink r:id="rId2164">
        <w:r>
          <w:rPr>
            <w:rStyle w:val="Hyperlink"/>
          </w:rPr>
          <w:t xml:space="preserve">https://raw.githubusercontent.com/MicrosoftDocs/entra-docs/main/docs/includes/licensing-agent-id.md</w:t>
        </w:r>
      </w:hyperlink>
      <w:r>
        <w:t xml:space="preserve"> </w:t>
      </w:r>
      <w:r>
        <w:t xml:space="preserve">accessed 2026-10-07; V2-S032: Microsoft Entra releases and announcements (with What’s new in Entra Agent ID; Entra blog</w:t>
      </w:r>
      <w:r>
        <w:t xml:space="preserve"> </w:t>
      </w:r>
      <w:r>
        <w:t xml:space="preserve">‘</w:t>
      </w:r>
      <w:r>
        <w:t xml:space="preserve">Build AI agents for production with secure identities from day one</w:t>
      </w:r>
      <w:r>
        <w:t xml:space="preserve">’</w:t>
      </w:r>
      <w:r>
        <w:t xml:space="preserve">;</w:t>
      </w:r>
      <w:r>
        <w:t xml:space="preserve"> </w:t>
      </w:r>
      <w:hyperlink r:id="rId2159">
        <w:r>
          <w:rPr>
            <w:rStyle w:val="Hyperlink"/>
          </w:rPr>
          <w:t xml:space="preserve">https://learn.microsoft.com/en-us/entra/fundamentals/whats-new</w:t>
        </w:r>
      </w:hyperlink>
      <w:r>
        <w:t xml:space="preserve"> </w:t>
      </w:r>
      <w:r>
        <w:t xml:space="preserve">accessed 2026-10-08 [search-tool extract]</w:t>
      </w:r>
    </w:p>
  </w:footnote>
  <w:footnote w:id="2165">
    <w:p>
      <w:pPr>
        <w:pStyle w:val="FootnoteText"/>
      </w:pPr>
      <w:r>
        <w:rPr>
          <w:rStyle w:val="FootnoteReference"/>
        </w:rPr>
        <w:footnoteRef/>
      </w:r>
      <w:r>
        <w:t xml:space="preserve"> </w:t>
      </w:r>
      <w:r>
        <w:t xml:space="preserve">Verified fact — A6-S057: What is Microsoft Entra Agent ID? (Microsoft Learn source)</w:t>
      </w:r>
      <w:r>
        <w:t xml:space="preserve"> </w:t>
      </w:r>
      <w:hyperlink r:id="rId2156">
        <w:r>
          <w:rPr>
            <w:rStyle w:val="Hyperlink"/>
          </w:rPr>
          <w:t xml:space="preserve">https://raw.githubusercontent.com/MicrosoftDocs/entra-docs/main/docs/agent-id/what-is-microsoft-entra-agent-id.md</w:t>
        </w:r>
      </w:hyperlink>
      <w:r>
        <w:t xml:space="preserve"> </w:t>
      </w:r>
      <w:r>
        <w:t xml:space="preserve">accessed 2026-10-07</w:t>
      </w:r>
    </w:p>
  </w:footnote>
  <w:footnote w:id="2166">
    <w:p>
      <w:pPr>
        <w:pStyle w:val="FootnoteText"/>
      </w:pPr>
      <w:r>
        <w:rPr>
          <w:rStyle w:val="FootnoteReference"/>
        </w:rPr>
        <w:footnoteRef/>
      </w:r>
      <w:r>
        <w:t xml:space="preserve"> </w:t>
      </w:r>
      <w:r>
        <w:t xml:space="preserve">Verified fact — A6-S058: What’s new in Microsoft Entra Agent ID (Microsoft Learn source)</w:t>
      </w:r>
      <w:r>
        <w:t xml:space="preserve"> </w:t>
      </w:r>
      <w:hyperlink r:id="rId1871">
        <w:r>
          <w:rPr>
            <w:rStyle w:val="Hyperlink"/>
          </w:rPr>
          <w:t xml:space="preserve">https://raw.githubusercontent.com/MicrosoftDocs/entra-docs/main/docs/agent-id/whats-new-agent-id.md</w:t>
        </w:r>
      </w:hyperlink>
      <w:r>
        <w:t xml:space="preserve"> </w:t>
      </w:r>
      <w:r>
        <w:t xml:space="preserve">accessed 2026-10-07</w:t>
      </w:r>
    </w:p>
  </w:footnote>
  <w:footnote w:id="2168">
    <w:p>
      <w:pPr>
        <w:pStyle w:val="FootnoteText"/>
      </w:pPr>
      <w:r>
        <w:rPr>
          <w:rStyle w:val="FootnoteReference"/>
        </w:rPr>
        <w:footnoteRef/>
      </w:r>
      <w:r>
        <w:t xml:space="preserve"> </w:t>
      </w:r>
      <w:r>
        <w:t xml:space="preserve">Verified fact — A6-S033: MCP specification 2026-07-28: Authorization (Model Context Protocol project)</w:t>
      </w:r>
      <w:r>
        <w:t xml:space="preserve"> </w:t>
      </w:r>
      <w:hyperlink r:id="rId845">
        <w:r>
          <w:rPr>
            <w:rStyle w:val="Hyperlink"/>
          </w:rPr>
          <w:t xml:space="preserve">https://raw.githubusercontent.com/modelcontextprotocol/modelcontextprotocol/main/docs/specification/2026-07-28/basic/authorization/index.mdx</w:t>
        </w:r>
      </w:hyperlink>
      <w:r>
        <w:t xml:space="preserve"> </w:t>
      </w:r>
      <w:r>
        <w:t xml:space="preserve">accessed 2026-10-07; A6-S034: MCP specification 2026-07-28: Authorization security considerations (Model Context Protocol project)</w:t>
      </w:r>
      <w:r>
        <w:t xml:space="preserve"> </w:t>
      </w:r>
      <w:hyperlink r:id="rId857">
        <w:r>
          <w:rPr>
            <w:rStyle w:val="Hyperlink"/>
          </w:rPr>
          <w:t xml:space="preserve">https://raw.githubusercontent.com/modelcontextprotocol/modelcontextprotocol/main/docs/specification/2026-07-28/basic/authorization/security-considerations.mdx</w:t>
        </w:r>
      </w:hyperlink>
      <w:r>
        <w:t xml:space="preserve"> </w:t>
      </w:r>
      <w:r>
        <w:t xml:space="preserve">accessed 2026-10-07; A6-S032: MCP specification 2026-07-28: Key Changes (changelog) (Model Context Protocol project (Agentic AI Foundation))</w:t>
      </w:r>
      <w:r>
        <w:t xml:space="preserve"> </w:t>
      </w:r>
      <w:hyperlink r:id="rId856">
        <w:r>
          <w:rPr>
            <w:rStyle w:val="Hyperlink"/>
          </w:rPr>
          <w:t xml:space="preserve">https://raw.githubusercontent.com/modelcontextprotocol/modelcontextprotocol/main/docs/specification/2026-07-28/changelog.mdx</w:t>
        </w:r>
      </w:hyperlink>
      <w:r>
        <w:t xml:space="preserve"> </w:t>
      </w:r>
      <w:r>
        <w:t xml:space="preserve">accessed 2026-10-07; A6-S035: MCP extension: Enterprise-Managed Authorization (overview) (Model Context Protocol project)</w:t>
      </w:r>
      <w:r>
        <w:t xml:space="preserve"> </w:t>
      </w:r>
      <w:hyperlink r:id="rId2169">
        <w:r>
          <w:rPr>
            <w:rStyle w:val="Hyperlink"/>
          </w:rPr>
          <w:t xml:space="preserve">https://raw.githubusercontent.com/modelcontextprotocol/modelcontextprotocol/main/docs/extensions/auth/enterprise-managed-authorization.mdx</w:t>
        </w:r>
      </w:hyperlink>
      <w:r>
        <w:t xml:space="preserve"> </w:t>
      </w:r>
      <w:r>
        <w:t xml:space="preserve">accessed 2026-10-07; A6-S079: MCP ext-auth: Enterprise-Managed Authorization specification (Stable) (Model Context Protocol project)</w:t>
      </w:r>
      <w:r>
        <w:t xml:space="preserve"> </w:t>
      </w:r>
      <w:hyperlink r:id="rId2142">
        <w:r>
          <w:rPr>
            <w:rStyle w:val="Hyperlink"/>
          </w:rPr>
          <w:t xml:space="preserve">https://raw.githubusercontent.com/modelcontextprotocol/ext-auth/main/specification/stable/enterprise-managed-authorization.mdx</w:t>
        </w:r>
      </w:hyperlink>
      <w:r>
        <w:t xml:space="preserve"> </w:t>
      </w:r>
      <w:r>
        <w:t xml:space="preserve">accessed 2026-10-07</w:t>
      </w:r>
    </w:p>
  </w:footnote>
  <w:footnote w:id="2170">
    <w:p>
      <w:pPr>
        <w:pStyle w:val="FootnoteText"/>
      </w:pPr>
      <w:r>
        <w:rPr>
          <w:rStyle w:val="FootnoteReference"/>
        </w:rPr>
        <w:footnoteRef/>
      </w:r>
      <w:r>
        <w:t xml:space="preserve"> </w:t>
      </w:r>
      <w:r>
        <w:t xml:space="preserve">Verified fact — A6-S034: MCP specification 2026-07-28: Authorization security considerations (Model Context Protocol project)</w:t>
      </w:r>
      <w:r>
        <w:t xml:space="preserve"> </w:t>
      </w:r>
      <w:hyperlink r:id="rId857">
        <w:r>
          <w:rPr>
            <w:rStyle w:val="Hyperlink"/>
          </w:rPr>
          <w:t xml:space="preserve">https://raw.githubusercontent.com/modelcontextprotocol/modelcontextprotocol/main/docs/specification/2026-07-28/basic/authorization/security-considerations.mdx</w:t>
        </w:r>
      </w:hyperlink>
      <w:r>
        <w:t xml:space="preserve"> </w:t>
      </w:r>
      <w:r>
        <w:t xml:space="preserve">accessed 2026-10-07</w:t>
      </w:r>
    </w:p>
  </w:footnote>
  <w:footnote w:id="2171">
    <w:p>
      <w:pPr>
        <w:pStyle w:val="FootnoteText"/>
      </w:pPr>
      <w:r>
        <w:rPr>
          <w:rStyle w:val="FootnoteReference"/>
        </w:rPr>
        <w:footnoteRef/>
      </w:r>
      <w:r>
        <w:t xml:space="preserve"> </w:t>
      </w:r>
      <w:r>
        <w:t xml:space="preserve">Verified fact — A6-S035: MCP extension: Enterprise-Managed Authorization (overview) (Model Context Protocol project)</w:t>
      </w:r>
      <w:r>
        <w:t xml:space="preserve"> </w:t>
      </w:r>
      <w:hyperlink r:id="rId2169">
        <w:r>
          <w:rPr>
            <w:rStyle w:val="Hyperlink"/>
          </w:rPr>
          <w:t xml:space="preserve">https://raw.githubusercontent.com/modelcontextprotocol/modelcontextprotocol/main/docs/extensions/auth/enterprise-managed-authorization.mdx</w:t>
        </w:r>
      </w:hyperlink>
      <w:r>
        <w:t xml:space="preserve"> </w:t>
      </w:r>
      <w:r>
        <w:t xml:space="preserve">accessed 2026-10-07; A6-S079: MCP ext-auth: Enterprise-Managed Authorization specification (Stable) (Model Context Protocol project)</w:t>
      </w:r>
      <w:r>
        <w:t xml:space="preserve"> </w:t>
      </w:r>
      <w:hyperlink r:id="rId2142">
        <w:r>
          <w:rPr>
            <w:rStyle w:val="Hyperlink"/>
          </w:rPr>
          <w:t xml:space="preserve">https://raw.githubusercontent.com/modelcontextprotocol/ext-auth/main/specification/stable/enterprise-managed-authorization.mdx</w:t>
        </w:r>
      </w:hyperlink>
      <w:r>
        <w:t xml:space="preserve"> </w:t>
      </w:r>
      <w:r>
        <w:t xml:space="preserve">accessed 2026-10-07</w:t>
      </w:r>
    </w:p>
  </w:footnote>
  <w:footnote w:id="2172">
    <w:p>
      <w:pPr>
        <w:pStyle w:val="FootnoteText"/>
      </w:pPr>
      <w:r>
        <w:rPr>
          <w:rStyle w:val="FootnoteReference"/>
        </w:rPr>
        <w:footnoteRef/>
      </w:r>
      <w:r>
        <w:t xml:space="preserve"> </w:t>
      </w:r>
      <w:r>
        <w:t xml:space="preserve">Verified fact — A6-S021: Amazon Bedrock AgentCore Pricing; AgentCore GA announcement (Oct 2025); AgentCore Gateway docs (Amazon Web Services)</w:t>
      </w:r>
      <w:r>
        <w:t xml:space="preserve"> </w:t>
      </w:r>
      <w:hyperlink r:id="rId764">
        <w:r>
          <w:rPr>
            <w:rStyle w:val="Hyperlink"/>
          </w:rPr>
          <w:t xml:space="preserve">https://aws.amazon.com/bedrock/agentcore/pricing/</w:t>
        </w:r>
      </w:hyperlink>
      <w:r>
        <w:t xml:space="preserve"> </w:t>
      </w:r>
      <w:r>
        <w:t xml:space="preserve">accessed 2026-10-07 [search-tool extract]; A6-S017: Kong AI Gateway changelog; Kong Gateway changelog; AI Proxy Advanced plugin docs (Kong Inc.)</w:t>
      </w:r>
      <w:r>
        <w:t xml:space="preserve"> </w:t>
      </w:r>
      <w:hyperlink r:id="rId1757">
        <w:r>
          <w:rPr>
            <w:rStyle w:val="Hyperlink"/>
          </w:rPr>
          <w:t xml:space="preserve">https://developer.konghq.com/ai-gateway/changelog/</w:t>
        </w:r>
      </w:hyperlink>
      <w:r>
        <w:t xml:space="preserve"> </w:t>
      </w:r>
      <w:r>
        <w:t xml:space="preserve">accessed 2026-10-07 [search-tool extract]; A6-S099: Okta brings first-class identity to AI agents with Agent SSO; Okta Introduces Agent SSO for Cross App Access (XAA) (Okta, Inc.)</w:t>
      </w:r>
      <w:r>
        <w:t xml:space="preserve"> </w:t>
      </w:r>
      <w:hyperlink r:id="rId2140">
        <w:r>
          <w:rPr>
            <w:rStyle w:val="Hyperlink"/>
          </w:rPr>
          <w:t xml:space="preserve">https://www.okta.com/newsroom/press-releases/okta-brings-first-class-identity-to-ai-agents-with-agent-sso/</w:t>
        </w:r>
      </w:hyperlink>
      <w:r>
        <w:t xml:space="preserve"> </w:t>
      </w:r>
      <w:r>
        <w:t xml:space="preserve">accessed 2026-10-07 [search-tool extract]</w:t>
      </w:r>
    </w:p>
  </w:footnote>
  <w:footnote w:id="2173">
    <w:p>
      <w:pPr>
        <w:pStyle w:val="FootnoteText"/>
      </w:pPr>
      <w:r>
        <w:rPr>
          <w:rStyle w:val="FootnoteReference"/>
        </w:rPr>
        <w:footnoteRef/>
      </w:r>
      <w:r>
        <w:t xml:space="preserve"> </w:t>
      </w:r>
      <w:r>
        <w:t xml:space="preserve">Verified fact — A3-S018: MCP joins the Agentic AI Foundation (9 Dec 2025) (Model Context Protocol project (blog))</w:t>
      </w:r>
      <w:r>
        <w:t xml:space="preserve"> </w:t>
      </w:r>
      <w:hyperlink r:id="rId850">
        <w:r>
          <w:rPr>
            <w:rStyle w:val="Hyperlink"/>
          </w:rPr>
          <w:t xml:space="preserve">https://blog.modelcontextprotocol.io/posts/2025-12-09-mcp-joins-agentic-ai-foundation/</w:t>
        </w:r>
      </w:hyperlink>
      <w:r>
        <w:t xml:space="preserve"> </w:t>
      </w:r>
      <w:r>
        <w:t xml:space="preserve">accessed 2026-10-07</w:t>
      </w:r>
    </w:p>
  </w:footnote>
  <w:footnote w:id="2174">
    <w:p>
      <w:pPr>
        <w:pStyle w:val="FootnoteText"/>
      </w:pPr>
      <w:r>
        <w:rPr>
          <w:rStyle w:val="FootnoteReference"/>
        </w:rPr>
        <w:footnoteRef/>
      </w:r>
      <w:r>
        <w:t xml:space="preserve"> </w:t>
      </w:r>
      <w:r>
        <w:t xml:space="preserve">Verified fact — A6-S033: MCP specification 2026-07-28: Authorization (Model Context Protocol project)</w:t>
      </w:r>
      <w:r>
        <w:t xml:space="preserve"> </w:t>
      </w:r>
      <w:hyperlink r:id="rId845">
        <w:r>
          <w:rPr>
            <w:rStyle w:val="Hyperlink"/>
          </w:rPr>
          <w:t xml:space="preserve">https://raw.githubusercontent.com/modelcontextprotocol/modelcontextprotocol/main/docs/specification/2026-07-28/basic/authorization/index.mdx</w:t>
        </w:r>
      </w:hyperlink>
      <w:r>
        <w:t xml:space="preserve"> </w:t>
      </w:r>
      <w:r>
        <w:t xml:space="preserve">accessed 2026-10-07</w:t>
      </w:r>
    </w:p>
  </w:footnote>
  <w:footnote w:id="2175">
    <w:p>
      <w:pPr>
        <w:pStyle w:val="FootnoteText"/>
      </w:pPr>
      <w:r>
        <w:rPr>
          <w:rStyle w:val="FootnoteReference"/>
        </w:rPr>
        <w:footnoteRef/>
      </w:r>
      <w:r>
        <w:t xml:space="preserve"> </w:t>
      </w:r>
      <w:r>
        <w:t xml:space="preserve">Verified fact — A6-S033: MCP specification 2026-07-28: Authorization (Model Context Protocol project)</w:t>
      </w:r>
      <w:r>
        <w:t xml:space="preserve"> </w:t>
      </w:r>
      <w:hyperlink r:id="rId845">
        <w:r>
          <w:rPr>
            <w:rStyle w:val="Hyperlink"/>
          </w:rPr>
          <w:t xml:space="preserve">https://raw.githubusercontent.com/modelcontextprotocol/modelcontextprotocol/main/docs/specification/2026-07-28/basic/authorization/index.mdx</w:t>
        </w:r>
      </w:hyperlink>
      <w:r>
        <w:t xml:space="preserve"> </w:t>
      </w:r>
      <w:r>
        <w:t xml:space="preserve">accessed 2026-10-07; A6-S021: Amazon Bedrock AgentCore Pricing; AgentCore GA announcement (Oct 2025); AgentCore Gateway docs (Amazon Web Services)</w:t>
      </w:r>
      <w:r>
        <w:t xml:space="preserve"> </w:t>
      </w:r>
      <w:hyperlink r:id="rId764">
        <w:r>
          <w:rPr>
            <w:rStyle w:val="Hyperlink"/>
          </w:rPr>
          <w:t xml:space="preserve">https://aws.amazon.com/bedrock/agentcore/pricing/</w:t>
        </w:r>
      </w:hyperlink>
      <w:r>
        <w:t xml:space="preserve"> </w:t>
      </w:r>
      <w:r>
        <w:t xml:space="preserve">accessed 2026-10-07 [search-tool extract]</w:t>
      </w:r>
    </w:p>
  </w:footnote>
  <w:footnote w:id="2176">
    <w:p>
      <w:pPr>
        <w:pStyle w:val="FootnoteText"/>
      </w:pPr>
      <w:r>
        <w:rPr>
          <w:rStyle w:val="FootnoteReference"/>
        </w:rPr>
        <w:footnoteRef/>
      </w:r>
      <w:r>
        <w:t xml:space="preserve"> </w:t>
      </w:r>
      <w:r>
        <w:t xml:space="preserve">Verified fact — A6-S033: MCP specification 2026-07-28: Authorization (Model Context Protocol project)</w:t>
      </w:r>
      <w:r>
        <w:t xml:space="preserve"> </w:t>
      </w:r>
      <w:hyperlink r:id="rId845">
        <w:r>
          <w:rPr>
            <w:rStyle w:val="Hyperlink"/>
          </w:rPr>
          <w:t xml:space="preserve">https://raw.githubusercontent.com/modelcontextprotocol/modelcontextprotocol/main/docs/specification/2026-07-28/basic/authorization/index.mdx</w:t>
        </w:r>
      </w:hyperlink>
      <w:r>
        <w:t xml:space="preserve"> </w:t>
      </w:r>
      <w:r>
        <w:t xml:space="preserve">accessed 2026-10-07; A6-S079: MCP ext-auth: Enterprise-Managed Authorization specification (Stable) (Model Context Protocol project)</w:t>
      </w:r>
      <w:r>
        <w:t xml:space="preserve"> </w:t>
      </w:r>
      <w:hyperlink r:id="rId2142">
        <w:r>
          <w:rPr>
            <w:rStyle w:val="Hyperlink"/>
          </w:rPr>
          <w:t xml:space="preserve">https://raw.githubusercontent.com/modelcontextprotocol/ext-auth/main/specification/stable/enterprise-managed-authorization.mdx</w:t>
        </w:r>
      </w:hyperlink>
      <w:r>
        <w:t xml:space="preserve"> </w:t>
      </w:r>
      <w:r>
        <w:t xml:space="preserve">accessed 2026-10-07</w:t>
      </w:r>
    </w:p>
  </w:footnote>
  <w:footnote w:id="2177">
    <w:p>
      <w:pPr>
        <w:pStyle w:val="FootnoteText"/>
      </w:pPr>
      <w:r>
        <w:rPr>
          <w:rStyle w:val="FootnoteReference"/>
        </w:rPr>
        <w:footnoteRef/>
      </w:r>
      <w:r>
        <w:t xml:space="preserve"> </w:t>
      </w:r>
      <w:r>
        <w:t xml:space="preserve">Verified fact — A3-S082: Expanding the MCP Maintainer Team (8 Apr 2026) (Model Context Protocol project (blog))</w:t>
      </w:r>
      <w:r>
        <w:t xml:space="preserve"> </w:t>
      </w:r>
      <w:hyperlink r:id="rId854">
        <w:r>
          <w:rPr>
            <w:rStyle w:val="Hyperlink"/>
          </w:rPr>
          <w:t xml:space="preserve">https://blog.modelcontextprotocol.io/posts/2026-04-08-maintainer-update/</w:t>
        </w:r>
      </w:hyperlink>
      <w:r>
        <w:t xml:space="preserve"> </w:t>
      </w:r>
      <w:r>
        <w:t xml:space="preserve">accessed 2026-10-07</w:t>
      </w:r>
    </w:p>
  </w:footnote>
  <w:footnote w:id="2178">
    <w:p>
      <w:pPr>
        <w:pStyle w:val="FootnoteText"/>
      </w:pPr>
      <w:r>
        <w:rPr>
          <w:rStyle w:val="FootnoteReference"/>
        </w:rPr>
        <w:footnoteRef/>
      </w:r>
      <w:r>
        <w:t xml:space="preserve"> </w:t>
      </w:r>
      <w:r>
        <w:t xml:space="preserve">Verified fact — B-C4-S004: Model Context Protocol Security Policy (SECURITY.md) (Model Context Protocol project)</w:t>
      </w:r>
      <w:r>
        <w:t xml:space="preserve"> </w:t>
      </w:r>
      <w:hyperlink r:id="rId2179">
        <w:r>
          <w:rPr>
            <w:rStyle w:val="Hyperlink"/>
          </w:rPr>
          <w:t xml:space="preserve">https://raw.githubusercontent.com/modelcontextprotocol/modelcontextprotocol/main/SECURITY.md</w:t>
        </w:r>
      </w:hyperlink>
      <w:r>
        <w:t xml:space="preserve"> </w:t>
      </w:r>
      <w:r>
        <w:t xml:space="preserve">accessed 2026-10-08</w:t>
      </w:r>
    </w:p>
  </w:footnote>
  <w:footnote w:id="2182">
    <w:p>
      <w:pPr>
        <w:pStyle w:val="FootnoteText"/>
      </w:pPr>
      <w:r>
        <w:rPr>
          <w:rStyle w:val="FootnoteReference"/>
        </w:rPr>
        <w:footnoteRef/>
      </w:r>
      <w:r>
        <w:t xml:space="preserve"> </w:t>
      </w:r>
      <w:r>
        <w:t xml:space="preserve">Verified fact — A7-S076: LangSmith docs: Manage prompts (LangChain)</w:t>
      </w:r>
      <w:r>
        <w:t xml:space="preserve"> </w:t>
      </w:r>
      <w:hyperlink r:id="rId2183">
        <w:r>
          <w:rPr>
            <w:rStyle w:val="Hyperlink"/>
          </w:rPr>
          <w:t xml:space="preserve">https://raw.githubusercontent.com/langchain-ai/docs/main/src/langsmith/manage-prompts.mdx</w:t>
        </w:r>
      </w:hyperlink>
      <w:r>
        <w:t xml:space="preserve"> </w:t>
      </w:r>
      <w:r>
        <w:t xml:space="preserve">accessed 2026-10-07</w:t>
      </w:r>
    </w:p>
  </w:footnote>
  <w:footnote w:id="2184">
    <w:p>
      <w:pPr>
        <w:pStyle w:val="FootnoteText"/>
      </w:pPr>
      <w:r>
        <w:rPr>
          <w:rStyle w:val="FootnoteReference"/>
        </w:rPr>
        <w:footnoteRef/>
      </w:r>
      <w:r>
        <w:t xml:space="preserve"> </w:t>
      </w:r>
      <w:r>
        <w:t xml:space="preserve">Verified fact — A7-S076: LangSmith docs: Manage prompts (LangChain)</w:t>
      </w:r>
      <w:r>
        <w:t xml:space="preserve"> </w:t>
      </w:r>
      <w:hyperlink r:id="rId2183">
        <w:r>
          <w:rPr>
            <w:rStyle w:val="Hyperlink"/>
          </w:rPr>
          <w:t xml:space="preserve">https://raw.githubusercontent.com/langchain-ai/docs/main/src/langsmith/manage-prompts.mdx</w:t>
        </w:r>
      </w:hyperlink>
      <w:r>
        <w:t xml:space="preserve"> </w:t>
      </w:r>
      <w:r>
        <w:t xml:space="preserve">accessed 2026-10-07</w:t>
      </w:r>
    </w:p>
  </w:footnote>
  <w:footnote w:id="2185">
    <w:p>
      <w:pPr>
        <w:pStyle w:val="FootnoteText"/>
      </w:pPr>
      <w:r>
        <w:rPr>
          <w:rStyle w:val="FootnoteReference"/>
        </w:rPr>
        <w:footnoteRef/>
      </w:r>
      <w:r>
        <w:t xml:space="preserve"> </w:t>
      </w:r>
      <w:r>
        <w:t xml:space="preserve">Verified fact — A7-S076: LangSmith docs: Manage prompts (LangChain)</w:t>
      </w:r>
      <w:r>
        <w:t xml:space="preserve"> </w:t>
      </w:r>
      <w:hyperlink r:id="rId2183">
        <w:r>
          <w:rPr>
            <w:rStyle w:val="Hyperlink"/>
          </w:rPr>
          <w:t xml:space="preserve">https://raw.githubusercontent.com/langchain-ai/docs/main/src/langsmith/manage-prompts.mdx</w:t>
        </w:r>
      </w:hyperlink>
      <w:r>
        <w:t xml:space="preserve"> </w:t>
      </w:r>
      <w:r>
        <w:t xml:space="preserve">accessed 2026-10-07</w:t>
      </w:r>
    </w:p>
  </w:footnote>
  <w:footnote w:id="2186">
    <w:p>
      <w:pPr>
        <w:pStyle w:val="FootnoteText"/>
      </w:pPr>
      <w:r>
        <w:rPr>
          <w:rStyle w:val="FootnoteReference"/>
        </w:rPr>
        <w:footnoteRef/>
      </w:r>
      <w:r>
        <w:t xml:space="preserve"> </w:t>
      </w:r>
      <w:r>
        <w:t xml:space="preserve">Verified fact — A7-S076: LangSmith docs: Manage prompts (LangChain)</w:t>
      </w:r>
      <w:r>
        <w:t xml:space="preserve"> </w:t>
      </w:r>
      <w:hyperlink r:id="rId2183">
        <w:r>
          <w:rPr>
            <w:rStyle w:val="Hyperlink"/>
          </w:rPr>
          <w:t xml:space="preserve">https://raw.githubusercontent.com/langchain-ai/docs/main/src/langsmith/manage-prompts.mdx</w:t>
        </w:r>
      </w:hyperlink>
      <w:r>
        <w:t xml:space="preserve"> </w:t>
      </w:r>
      <w:r>
        <w:t xml:space="preserve">accessed 2026-10-07</w:t>
      </w:r>
    </w:p>
  </w:footnote>
  <w:footnote w:id="2187">
    <w:p>
      <w:pPr>
        <w:pStyle w:val="FootnoteText"/>
      </w:pPr>
      <w:r>
        <w:rPr>
          <w:rStyle w:val="FootnoteReference"/>
        </w:rPr>
        <w:footnoteRef/>
      </w:r>
      <w:r>
        <w:t xml:space="preserve"> </w:t>
      </w:r>
      <w:r>
        <w:t xml:space="preserve">Verified fact — A7-S077: LangSmith docs: Regions FAQ (LangChain)</w:t>
      </w:r>
      <w:r>
        <w:t xml:space="preserve"> </w:t>
      </w:r>
      <w:hyperlink r:id="rId2188">
        <w:r>
          <w:rPr>
            <w:rStyle w:val="Hyperlink"/>
          </w:rPr>
          <w:t xml:space="preserve">https://raw.githubusercontent.com/langchain-ai/docs/main/src/langsmith/regions-faq.mdx</w:t>
        </w:r>
      </w:hyperlink>
      <w:r>
        <w:t xml:space="preserve"> </w:t>
      </w:r>
      <w:r>
        <w:t xml:space="preserve">accessed 2026-10-07; A1-S036: LangSmith Regions FAQ - Docs by LangChain (LangChain, Inc.)</w:t>
      </w:r>
      <w:r>
        <w:t xml:space="preserve"> </w:t>
      </w:r>
      <w:hyperlink r:id="rId58">
        <w:r>
          <w:rPr>
            <w:rStyle w:val="Hyperlink"/>
          </w:rPr>
          <w:t xml:space="preserve">https://docs.langchain.com/langsmith/regions-faq</w:t>
        </w:r>
      </w:hyperlink>
      <w:r>
        <w:t xml:space="preserve"> </w:t>
      </w:r>
      <w:r>
        <w:t xml:space="preserve">accessed 2026-10-07 [search-tool extract]; A1-S126: LangSmith Engine security - Docs by LangChain (LangChain, Inc.)</w:t>
      </w:r>
      <w:r>
        <w:t xml:space="preserve"> </w:t>
      </w:r>
      <w:hyperlink r:id="rId59">
        <w:r>
          <w:rPr>
            <w:rStyle w:val="Hyperlink"/>
          </w:rPr>
          <w:t xml:space="preserve">https://docs.langchain.com/langsmith/engine-security</w:t>
        </w:r>
      </w:hyperlink>
      <w:r>
        <w:t xml:space="preserve"> </w:t>
      </w:r>
      <w:r>
        <w:t xml:space="preserve">accessed 2026-10-07 [search-tool extract]; A1-S034: Set up LangSmith (deployment options) - Docs by LangChain (LangChain, Inc.)</w:t>
      </w:r>
      <w:r>
        <w:t xml:space="preserve"> </w:t>
      </w:r>
      <w:hyperlink r:id="rId52">
        <w:r>
          <w:rPr>
            <w:rStyle w:val="Hyperlink"/>
          </w:rPr>
          <w:t xml:space="preserve">https://docs.langchain.com/langsmith/platform-setup</w:t>
        </w:r>
      </w:hyperlink>
      <w:r>
        <w:t xml:space="preserve"> </w:t>
      </w:r>
      <w:r>
        <w:t xml:space="preserve">accessed 2026-10-07 [search-tool extract]</w:t>
      </w:r>
    </w:p>
  </w:footnote>
  <w:footnote w:id="2189">
    <w:p>
      <w:pPr>
        <w:pStyle w:val="FootnoteText"/>
      </w:pPr>
      <w:r>
        <w:rPr>
          <w:rStyle w:val="FootnoteReference"/>
        </w:rPr>
        <w:footnoteRef/>
      </w:r>
      <w:r>
        <w:t xml:space="preserve"> </w:t>
      </w:r>
      <w:r>
        <w:t xml:space="preserve">Verified fact — A7-S076: LangSmith docs: Manage prompts (LangChain)</w:t>
      </w:r>
      <w:r>
        <w:t xml:space="preserve"> </w:t>
      </w:r>
      <w:hyperlink r:id="rId2183">
        <w:r>
          <w:rPr>
            <w:rStyle w:val="Hyperlink"/>
          </w:rPr>
          <w:t xml:space="preserve">https://raw.githubusercontent.com/langchain-ai/docs/main/src/langsmith/manage-prompts.mdx</w:t>
        </w:r>
      </w:hyperlink>
      <w:r>
        <w:t xml:space="preserve"> </w:t>
      </w:r>
      <w:r>
        <w:t xml:space="preserve">accessed 2026-10-07; A7-S079: LangSmith docs: Self-hosted (LangChain)</w:t>
      </w:r>
      <w:r>
        <w:t xml:space="preserve"> </w:t>
      </w:r>
      <w:hyperlink r:id="rId2190">
        <w:r>
          <w:rPr>
            <w:rStyle w:val="Hyperlink"/>
          </w:rPr>
          <w:t xml:space="preserve">https://raw.githubusercontent.com/langchain-ai/docs/main/src/langsmith/self-hosted.mdx</w:t>
        </w:r>
      </w:hyperlink>
      <w:r>
        <w:t xml:space="preserve"> </w:t>
      </w:r>
      <w:r>
        <w:t xml:space="preserve">accessed 2026-10-07</w:t>
      </w:r>
    </w:p>
  </w:footnote>
  <w:footnote w:id="2191">
    <w:p>
      <w:pPr>
        <w:pStyle w:val="FootnoteText"/>
      </w:pPr>
      <w:r>
        <w:rPr>
          <w:rStyle w:val="FootnoteReference"/>
        </w:rPr>
        <w:footnoteRef/>
      </w:r>
      <w:r>
        <w:t xml:space="preserve"> </w:t>
      </w:r>
      <w:r>
        <w:t xml:space="preserve">Verified fact — A7-S077: LangSmith docs: Regions FAQ (LangChain)</w:t>
      </w:r>
      <w:r>
        <w:t xml:space="preserve"> </w:t>
      </w:r>
      <w:hyperlink r:id="rId2188">
        <w:r>
          <w:rPr>
            <w:rStyle w:val="Hyperlink"/>
          </w:rPr>
          <w:t xml:space="preserve">https://raw.githubusercontent.com/langchain-ai/docs/main/src/langsmith/regions-faq.mdx</w:t>
        </w:r>
      </w:hyperlink>
      <w:r>
        <w:t xml:space="preserve"> </w:t>
      </w:r>
      <w:r>
        <w:t xml:space="preserve">accessed 2026-10-07</w:t>
      </w:r>
    </w:p>
  </w:footnote>
  <w:footnote w:id="2192">
    <w:p>
      <w:pPr>
        <w:pStyle w:val="FootnoteText"/>
      </w:pPr>
      <w:r>
        <w:rPr>
          <w:rStyle w:val="FootnoteReference"/>
        </w:rPr>
        <w:footnoteRef/>
      </w:r>
      <w:r>
        <w:t xml:space="preserve"> </w:t>
      </w:r>
      <w:r>
        <w:t xml:space="preserve">Verified fact — A7-S079: LangSmith docs: Self-hosted (LangChain)</w:t>
      </w:r>
      <w:r>
        <w:t xml:space="preserve"> </w:t>
      </w:r>
      <w:hyperlink r:id="rId2190">
        <w:r>
          <w:rPr>
            <w:rStyle w:val="Hyperlink"/>
          </w:rPr>
          <w:t xml:space="preserve">https://raw.githubusercontent.com/langchain-ai/docs/main/src/langsmith/self-hosted.mdx</w:t>
        </w:r>
      </w:hyperlink>
      <w:r>
        <w:t xml:space="preserve"> </w:t>
      </w:r>
      <w:r>
        <w:t xml:space="preserve">accessed 2026-10-07; A1-S034: Set up LangSmith (deployment options) - Docs by LangChain (LangChain, Inc.)</w:t>
      </w:r>
      <w:r>
        <w:t xml:space="preserve"> </w:t>
      </w:r>
      <w:hyperlink r:id="rId52">
        <w:r>
          <w:rPr>
            <w:rStyle w:val="Hyperlink"/>
          </w:rPr>
          <w:t xml:space="preserve">https://docs.langchain.com/langsmith/platform-setup</w:t>
        </w:r>
      </w:hyperlink>
      <w:r>
        <w:t xml:space="preserve"> </w:t>
      </w:r>
      <w:r>
        <w:t xml:space="preserve">accessed 2026-10-07 [search-tool extract]</w:t>
      </w:r>
    </w:p>
  </w:footnote>
  <w:footnote w:id="2193">
    <w:p>
      <w:pPr>
        <w:pStyle w:val="FootnoteText"/>
      </w:pPr>
      <w:r>
        <w:rPr>
          <w:rStyle w:val="FootnoteReference"/>
        </w:rPr>
        <w:footnoteRef/>
      </w:r>
      <w:r>
        <w:t xml:space="preserve"> </w:t>
      </w:r>
      <w:r>
        <w:t xml:space="preserve">Verified fact — A1-S039: Everything we shipped at Interrupt (LangChain, Inc.)</w:t>
      </w:r>
      <w:r>
        <w:t xml:space="preserve"> </w:t>
      </w:r>
      <w:hyperlink r:id="rId54">
        <w:r>
          <w:rPr>
            <w:rStyle w:val="Hyperlink"/>
          </w:rPr>
          <w:t xml:space="preserve">https://www.langchain.com/blog/interrupt-2026-overview</w:t>
        </w:r>
      </w:hyperlink>
      <w:r>
        <w:t xml:space="preserve"> </w:t>
      </w:r>
      <w:r>
        <w:t xml:space="preserve">accessed 2026-10-07 [search-tool extract]</w:t>
      </w:r>
    </w:p>
  </w:footnote>
  <w:footnote w:id="2195">
    <w:p>
      <w:pPr>
        <w:pStyle w:val="FootnoteText"/>
      </w:pPr>
      <w:r>
        <w:rPr>
          <w:rStyle w:val="FootnoteReference"/>
        </w:rPr>
        <w:footnoteRef/>
      </w:r>
      <w:r>
        <w:t xml:space="preserve"> </w:t>
      </w:r>
      <w:r>
        <w:t xml:space="preserve">Verified fact — A7-S074: Langfuse docs: Enterprise License Key (self-hosted) (Langfuse (ClickHouse))</w:t>
      </w:r>
      <w:r>
        <w:t xml:space="preserve"> </w:t>
      </w:r>
      <w:hyperlink r:id="rId2196">
        <w:r>
          <w:rPr>
            <w:rStyle w:val="Hyperlink"/>
          </w:rPr>
          <w:t xml:space="preserve">https://raw.githubusercontent.com/langfuse/langfuse-docs/main/content/self-hosting/license-key.mdx</w:t>
        </w:r>
      </w:hyperlink>
      <w:r>
        <w:t xml:space="preserve"> </w:t>
      </w:r>
      <w:r>
        <w:t xml:space="preserve">accessed 2026-10-07; A1-S033: Self-Hosted Pricing - Langfuse (Langfuse (ClickHouse))</w:t>
      </w:r>
      <w:r>
        <w:t xml:space="preserve"> </w:t>
      </w:r>
      <w:hyperlink r:id="rId36">
        <w:r>
          <w:rPr>
            <w:rStyle w:val="Hyperlink"/>
          </w:rPr>
          <w:t xml:space="preserve">https://langfuse.com/pricing-self-host</w:t>
        </w:r>
      </w:hyperlink>
      <w:r>
        <w:t xml:space="preserve"> </w:t>
      </w:r>
      <w:r>
        <w:t xml:space="preserve">accessed 2026-10-07 [search-tool extract]</w:t>
      </w:r>
    </w:p>
  </w:footnote>
  <w:footnote w:id="2197">
    <w:p>
      <w:pPr>
        <w:pStyle w:val="FootnoteText"/>
      </w:pPr>
      <w:r>
        <w:rPr>
          <w:rStyle w:val="FootnoteReference"/>
        </w:rPr>
        <w:footnoteRef/>
      </w:r>
      <w:r>
        <w:t xml:space="preserve"> </w:t>
      </w:r>
      <w:r>
        <w:t xml:space="preserve">Verified fact — A7-S071: Langfuse docs: Prompt Management overview (Langfuse (ClickHouse))</w:t>
      </w:r>
      <w:r>
        <w:t xml:space="preserve"> </w:t>
      </w:r>
      <w:hyperlink r:id="rId2198">
        <w:r>
          <w:rPr>
            <w:rStyle w:val="Hyperlink"/>
          </w:rPr>
          <w:t xml:space="preserve">https://raw.githubusercontent.com/langfuse/langfuse-docs/main/content/docs/prompt-management/overview.mdx</w:t>
        </w:r>
      </w:hyperlink>
      <w:r>
        <w:t xml:space="preserve"> </w:t>
      </w:r>
      <w:r>
        <w:t xml:space="preserve">accessed 2026-10-07; A7-S072: Langfuse docs: Prompt version control (Langfuse (ClickHouse))</w:t>
      </w:r>
      <w:r>
        <w:t xml:space="preserve"> </w:t>
      </w:r>
      <w:hyperlink r:id="rId2199">
        <w:r>
          <w:rPr>
            <w:rStyle w:val="Hyperlink"/>
          </w:rPr>
          <w:t xml:space="preserve">https://raw.githubusercontent.com/langfuse/langfuse-docs/main/content/docs/prompt-management/features/prompt-version-control.mdx</w:t>
        </w:r>
      </w:hyperlink>
      <w:r>
        <w:t xml:space="preserve"> </w:t>
      </w:r>
      <w:r>
        <w:t xml:space="preserve">accessed 2026-10-07; A7-S074: Langfuse docs: Enterprise License Key (self-hosted) (Langfuse (ClickHouse))</w:t>
      </w:r>
      <w:r>
        <w:t xml:space="preserve"> </w:t>
      </w:r>
      <w:hyperlink r:id="rId2196">
        <w:r>
          <w:rPr>
            <w:rStyle w:val="Hyperlink"/>
          </w:rPr>
          <w:t xml:space="preserve">https://raw.githubusercontent.com/langfuse/langfuse-docs/main/content/self-hosting/license-key.mdx</w:t>
        </w:r>
      </w:hyperlink>
      <w:r>
        <w:t xml:space="preserve"> </w:t>
      </w:r>
      <w:r>
        <w:t xml:space="preserve">accessed 2026-10-07</w:t>
      </w:r>
    </w:p>
  </w:footnote>
  <w:footnote w:id="2200">
    <w:p>
      <w:pPr>
        <w:pStyle w:val="FootnoteText"/>
      </w:pPr>
      <w:r>
        <w:rPr>
          <w:rStyle w:val="FootnoteReference"/>
        </w:rPr>
        <w:footnoteRef/>
      </w:r>
      <w:r>
        <w:t xml:space="preserve"> </w:t>
      </w:r>
      <w:r>
        <w:t xml:space="preserve">Verified fact — A7-S071: Langfuse docs: Prompt Management overview (Langfuse (ClickHouse))</w:t>
      </w:r>
      <w:r>
        <w:t xml:space="preserve"> </w:t>
      </w:r>
      <w:hyperlink r:id="rId2198">
        <w:r>
          <w:rPr>
            <w:rStyle w:val="Hyperlink"/>
          </w:rPr>
          <w:t xml:space="preserve">https://raw.githubusercontent.com/langfuse/langfuse-docs/main/content/docs/prompt-management/overview.mdx</w:t>
        </w:r>
      </w:hyperlink>
      <w:r>
        <w:t xml:space="preserve"> </w:t>
      </w:r>
      <w:r>
        <w:t xml:space="preserve">accessed 2026-10-07</w:t>
      </w:r>
    </w:p>
  </w:footnote>
  <w:footnote w:id="2201">
    <w:p>
      <w:pPr>
        <w:pStyle w:val="FootnoteText"/>
      </w:pPr>
      <w:r>
        <w:rPr>
          <w:rStyle w:val="FootnoteReference"/>
        </w:rPr>
        <w:footnoteRef/>
      </w:r>
      <w:r>
        <w:t xml:space="preserve"> </w:t>
      </w:r>
      <w:r>
        <w:t xml:space="preserve">Verified fact — A7-S071: Langfuse docs: Prompt Management overview (Langfuse (ClickHouse))</w:t>
      </w:r>
      <w:r>
        <w:t xml:space="preserve"> </w:t>
      </w:r>
      <w:hyperlink r:id="rId2198">
        <w:r>
          <w:rPr>
            <w:rStyle w:val="Hyperlink"/>
          </w:rPr>
          <w:t xml:space="preserve">https://raw.githubusercontent.com/langfuse/langfuse-docs/main/content/docs/prompt-management/overview.mdx</w:t>
        </w:r>
      </w:hyperlink>
      <w:r>
        <w:t xml:space="preserve"> </w:t>
      </w:r>
      <w:r>
        <w:t xml:space="preserve">accessed 2026-10-07; A7-S072: Langfuse docs: Prompt version control (Langfuse (ClickHouse))</w:t>
      </w:r>
      <w:r>
        <w:t xml:space="preserve"> </w:t>
      </w:r>
      <w:hyperlink r:id="rId2199">
        <w:r>
          <w:rPr>
            <w:rStyle w:val="Hyperlink"/>
          </w:rPr>
          <w:t xml:space="preserve">https://raw.githubusercontent.com/langfuse/langfuse-docs/main/content/docs/prompt-management/features/prompt-version-control.mdx</w:t>
        </w:r>
      </w:hyperlink>
      <w:r>
        <w:t xml:space="preserve"> </w:t>
      </w:r>
      <w:r>
        <w:t xml:space="preserve">accessed 2026-10-07</w:t>
      </w:r>
    </w:p>
  </w:footnote>
  <w:footnote w:id="2202">
    <w:p>
      <w:pPr>
        <w:pStyle w:val="FootnoteText"/>
      </w:pPr>
      <w:r>
        <w:rPr>
          <w:rStyle w:val="FootnoteReference"/>
        </w:rPr>
        <w:footnoteRef/>
      </w:r>
      <w:r>
        <w:t xml:space="preserve"> </w:t>
      </w:r>
      <w:r>
        <w:t xml:space="preserve">Verified fact — A7-S072: Langfuse docs: Prompt version control (Langfuse (ClickHouse))</w:t>
      </w:r>
      <w:r>
        <w:t xml:space="preserve"> </w:t>
      </w:r>
      <w:hyperlink r:id="rId2199">
        <w:r>
          <w:rPr>
            <w:rStyle w:val="Hyperlink"/>
          </w:rPr>
          <w:t xml:space="preserve">https://raw.githubusercontent.com/langfuse/langfuse-docs/main/content/docs/prompt-management/features/prompt-version-control.mdx</w:t>
        </w:r>
      </w:hyperlink>
      <w:r>
        <w:t xml:space="preserve"> </w:t>
      </w:r>
      <w:r>
        <w:t xml:space="preserve">accessed 2026-10-07</w:t>
      </w:r>
    </w:p>
  </w:footnote>
  <w:footnote w:id="2203">
    <w:p>
      <w:pPr>
        <w:pStyle w:val="FootnoteText"/>
      </w:pPr>
      <w:r>
        <w:rPr>
          <w:rStyle w:val="FootnoteReference"/>
        </w:rPr>
        <w:footnoteRef/>
      </w:r>
      <w:r>
        <w:t xml:space="preserve"> </w:t>
      </w:r>
      <w:r>
        <w:t xml:space="preserve">Verified fact — A7-S073: Langfuse Security and Compliance overview (Langfuse (ClickHouse))</w:t>
      </w:r>
      <w:r>
        <w:t xml:space="preserve"> </w:t>
      </w:r>
      <w:hyperlink r:id="rId2204">
        <w:r>
          <w:rPr>
            <w:rStyle w:val="Hyperlink"/>
          </w:rPr>
          <w:t xml:space="preserve">https://raw.githubusercontent.com/langfuse/langfuse-docs/main/content/security/index.mdx</w:t>
        </w:r>
      </w:hyperlink>
      <w:r>
        <w:t xml:space="preserve"> </w:t>
      </w:r>
      <w:r>
        <w:t xml:space="preserve">accessed 2026-10-07; A7-S074: Langfuse docs: Enterprise License Key (self-hosted) (Langfuse (ClickHouse))</w:t>
      </w:r>
      <w:r>
        <w:t xml:space="preserve"> </w:t>
      </w:r>
      <w:hyperlink r:id="rId2196">
        <w:r>
          <w:rPr>
            <w:rStyle w:val="Hyperlink"/>
          </w:rPr>
          <w:t xml:space="preserve">https://raw.githubusercontent.com/langfuse/langfuse-docs/main/content/self-hosting/license-key.mdx</w:t>
        </w:r>
      </w:hyperlink>
      <w:r>
        <w:t xml:space="preserve"> </w:t>
      </w:r>
      <w:r>
        <w:t xml:space="preserve">accessed 2026-10-07</w:t>
      </w:r>
    </w:p>
  </w:footnote>
  <w:footnote w:id="2205">
    <w:p>
      <w:pPr>
        <w:pStyle w:val="FootnoteText"/>
      </w:pPr>
      <w:r>
        <w:rPr>
          <w:rStyle w:val="FootnoteReference"/>
        </w:rPr>
        <w:footnoteRef/>
      </w:r>
      <w:r>
        <w:t xml:space="preserve"> </w:t>
      </w:r>
      <w:r>
        <w:t xml:space="preserve">Verified fact — A7-S074: Langfuse docs: Enterprise License Key (self-hosted) (Langfuse (ClickHouse))</w:t>
      </w:r>
      <w:r>
        <w:t xml:space="preserve"> </w:t>
      </w:r>
      <w:hyperlink r:id="rId2196">
        <w:r>
          <w:rPr>
            <w:rStyle w:val="Hyperlink"/>
          </w:rPr>
          <w:t xml:space="preserve">https://raw.githubusercontent.com/langfuse/langfuse-docs/main/content/self-hosting/license-key.mdx</w:t>
        </w:r>
      </w:hyperlink>
      <w:r>
        <w:t xml:space="preserve"> </w:t>
      </w:r>
      <w:r>
        <w:t xml:space="preserve">accessed 2026-10-07</w:t>
      </w:r>
    </w:p>
  </w:footnote>
  <w:footnote w:id="2206">
    <w:p>
      <w:pPr>
        <w:pStyle w:val="FootnoteText"/>
      </w:pPr>
      <w:r>
        <w:rPr>
          <w:rStyle w:val="FootnoteReference"/>
        </w:rPr>
        <w:footnoteRef/>
      </w:r>
      <w:r>
        <w:t xml:space="preserve"> </w:t>
      </w:r>
      <w:r>
        <w:t xml:space="preserve">Verified fact — A7-S075: Langfuse README (Langfuse (ClickHouse))</w:t>
      </w:r>
      <w:r>
        <w:t xml:space="preserve"> </w:t>
      </w:r>
      <w:hyperlink r:id="rId32">
        <w:r>
          <w:rPr>
            <w:rStyle w:val="Hyperlink"/>
          </w:rPr>
          <w:t xml:space="preserve">https://raw.githubusercontent.com/langfuse/langfuse/main/README.md</w:t>
        </w:r>
      </w:hyperlink>
      <w:r>
        <w:t xml:space="preserve"> </w:t>
      </w:r>
      <w:r>
        <w:t xml:space="preserve">accessed 2026-10-07; V2-S041: ClickHouse welcomes Langfuse (with langfuse.com</w:t>
      </w:r>
      <w:r>
        <w:t xml:space="preserve"> </w:t>
      </w:r>
      <w:r>
        <w:t xml:space="preserve">‘</w:t>
      </w:r>
      <w:r>
        <w:t xml:space="preserve">Langfuse joins ClickHouse</w:t>
      </w:r>
      <w:r>
        <w:t xml:space="preserve">’</w:t>
      </w:r>
      <w:r>
        <w:t xml:space="preserve">, Orrick)</w:t>
      </w:r>
      <w:r>
        <w:t xml:space="preserve"> </w:t>
      </w:r>
      <w:hyperlink r:id="rId45">
        <w:r>
          <w:rPr>
            <w:rStyle w:val="Hyperlink"/>
          </w:rPr>
          <w:t xml:space="preserve">https://clickhouse.com/blog/clickhouse-acquires-langfuse-open-source-llm-observability</w:t>
        </w:r>
      </w:hyperlink>
      <w:r>
        <w:t xml:space="preserve"> </w:t>
      </w:r>
      <w:r>
        <w:t xml:space="preserve">accessed 2026-10-08 [search-tool extract]</w:t>
      </w:r>
    </w:p>
  </w:footnote>
  <w:footnote w:id="2207">
    <w:p>
      <w:pPr>
        <w:pStyle w:val="FootnoteText"/>
      </w:pPr>
      <w:r>
        <w:rPr>
          <w:rStyle w:val="FootnoteReference"/>
        </w:rPr>
        <w:footnoteRef/>
      </w:r>
      <w:r>
        <w:t xml:space="preserve"> </w:t>
      </w:r>
      <w:r>
        <w:t xml:space="preserve">Verified fact — A7-S072: Langfuse docs: Prompt version control (Langfuse (ClickHouse))</w:t>
      </w:r>
      <w:r>
        <w:t xml:space="preserve"> </w:t>
      </w:r>
      <w:hyperlink r:id="rId2199">
        <w:r>
          <w:rPr>
            <w:rStyle w:val="Hyperlink"/>
          </w:rPr>
          <w:t xml:space="preserve">https://raw.githubusercontent.com/langfuse/langfuse-docs/main/content/docs/prompt-management/features/prompt-version-control.mdx</w:t>
        </w:r>
      </w:hyperlink>
      <w:r>
        <w:t xml:space="preserve"> </w:t>
      </w:r>
      <w:r>
        <w:t xml:space="preserve">accessed 2026-10-07</w:t>
      </w:r>
    </w:p>
  </w:footnote>
  <w:footnote w:id="2209">
    <w:p>
      <w:pPr>
        <w:pStyle w:val="FootnoteText"/>
      </w:pPr>
      <w:r>
        <w:rPr>
          <w:rStyle w:val="FootnoteReference"/>
        </w:rPr>
        <w:footnoteRef/>
      </w:r>
      <w:r>
        <w:t xml:space="preserve"> </w:t>
      </w:r>
      <w:r>
        <w:t xml:space="preserve">Verified fact — A7-S067: Prompty README (Microsoft)</w:t>
      </w:r>
      <w:r>
        <w:t xml:space="preserve"> </w:t>
      </w:r>
      <w:hyperlink r:id="rId2210">
        <w:r>
          <w:rPr>
            <w:rStyle w:val="Hyperlink"/>
          </w:rPr>
          <w:t xml:space="preserve">https://raw.githubusercontent.com/microsoft/prompty/main/README.md</w:t>
        </w:r>
      </w:hyperlink>
      <w:r>
        <w:t xml:space="preserve"> </w:t>
      </w:r>
      <w:r>
        <w:t xml:space="preserve">accessed 2026-10-07; A7-S066: Dotprompt README (Google)</w:t>
      </w:r>
      <w:r>
        <w:t xml:space="preserve"> </w:t>
      </w:r>
      <w:hyperlink r:id="rId2211">
        <w:r>
          <w:rPr>
            <w:rStyle w:val="Hyperlink"/>
          </w:rPr>
          <w:t xml:space="preserve">https://raw.githubusercontent.com/google/dotprompt/main/README.md</w:t>
        </w:r>
      </w:hyperlink>
      <w:r>
        <w:t xml:space="preserve"> </w:t>
      </w:r>
      <w:r>
        <w:t xml:space="preserve">accessed 2026-10-07; A7-S068: Promptfoo README (Promptfoo (OpenAI))</w:t>
      </w:r>
      <w:r>
        <w:t xml:space="preserve"> </w:t>
      </w:r>
      <w:hyperlink r:id="rId117">
        <w:r>
          <w:rPr>
            <w:rStyle w:val="Hyperlink"/>
          </w:rPr>
          <w:t xml:space="preserve">https://raw.githubusercontent.com/promptfoo/promptfoo/main/README.md</w:t>
        </w:r>
      </w:hyperlink>
      <w:r>
        <w:t xml:space="preserve"> </w:t>
      </w:r>
      <w:r>
        <w:t xml:space="preserve">accessed 2026-10-07</w:t>
      </w:r>
    </w:p>
  </w:footnote>
  <w:footnote w:id="2212">
    <w:p>
      <w:pPr>
        <w:pStyle w:val="FootnoteText"/>
      </w:pPr>
      <w:r>
        <w:rPr>
          <w:rStyle w:val="FootnoteReference"/>
        </w:rPr>
        <w:footnoteRef/>
      </w:r>
      <w:r>
        <w:t xml:space="preserve"> </w:t>
      </w:r>
      <w:r>
        <w:t xml:space="preserve">Verified fact — A7-S008: prompty on PyPI (JSON API) (PyPI / Microsoft Prompty)</w:t>
      </w:r>
      <w:r>
        <w:t xml:space="preserve"> </w:t>
      </w:r>
      <w:hyperlink r:id="rId2213">
        <w:r>
          <w:rPr>
            <w:rStyle w:val="Hyperlink"/>
          </w:rPr>
          <w:t xml:space="preserve">https://pypi.org/pypi/prompty/json</w:t>
        </w:r>
      </w:hyperlink>
      <w:r>
        <w:t xml:space="preserve"> </w:t>
      </w:r>
      <w:r>
        <w:t xml:space="preserve">accessed 2026-10-07; A7-S065: dotpromptz on PyPI (PyPI / Google)</w:t>
      </w:r>
      <w:r>
        <w:t xml:space="preserve"> </w:t>
      </w:r>
      <w:hyperlink r:id="rId2214">
        <w:r>
          <w:rPr>
            <w:rStyle w:val="Hyperlink"/>
          </w:rPr>
          <w:t xml:space="preserve">https://pypi.org/pypi/dotpromptz/json</w:t>
        </w:r>
      </w:hyperlink>
      <w:r>
        <w:t xml:space="preserve"> </w:t>
      </w:r>
      <w:r>
        <w:t xml:space="preserve">accessed 2026-10-07; A7-S068: Promptfoo README (Promptfoo (OpenAI))</w:t>
      </w:r>
      <w:r>
        <w:t xml:space="preserve"> </w:t>
      </w:r>
      <w:hyperlink r:id="rId117">
        <w:r>
          <w:rPr>
            <w:rStyle w:val="Hyperlink"/>
          </w:rPr>
          <w:t xml:space="preserve">https://raw.githubusercontent.com/promptfoo/promptfoo/main/README.md</w:t>
        </w:r>
      </w:hyperlink>
      <w:r>
        <w:t xml:space="preserve"> </w:t>
      </w:r>
      <w:r>
        <w:t xml:space="preserve">accessed 2026-10-07</w:t>
      </w:r>
    </w:p>
  </w:footnote>
  <w:footnote w:id="2215">
    <w:p>
      <w:pPr>
        <w:pStyle w:val="FootnoteText"/>
      </w:pPr>
      <w:r>
        <w:rPr>
          <w:rStyle w:val="FootnoteReference"/>
        </w:rPr>
        <w:footnoteRef/>
      </w:r>
      <w:r>
        <w:t xml:space="preserve"> </w:t>
      </w:r>
      <w:r>
        <w:t xml:space="preserve">Verified fact — A7-S067: Prompty README (Microsoft)</w:t>
      </w:r>
      <w:r>
        <w:t xml:space="preserve"> </w:t>
      </w:r>
      <w:hyperlink r:id="rId2210">
        <w:r>
          <w:rPr>
            <w:rStyle w:val="Hyperlink"/>
          </w:rPr>
          <w:t xml:space="preserve">https://raw.githubusercontent.com/microsoft/prompty/main/README.md</w:t>
        </w:r>
      </w:hyperlink>
      <w:r>
        <w:t xml:space="preserve"> </w:t>
      </w:r>
      <w:r>
        <w:t xml:space="preserve">accessed 2026-10-07; A7-S066: Dotprompt README (Google)</w:t>
      </w:r>
      <w:r>
        <w:t xml:space="preserve"> </w:t>
      </w:r>
      <w:hyperlink r:id="rId2211">
        <w:r>
          <w:rPr>
            <w:rStyle w:val="Hyperlink"/>
          </w:rPr>
          <w:t xml:space="preserve">https://raw.githubusercontent.com/google/dotprompt/main/README.md</w:t>
        </w:r>
      </w:hyperlink>
      <w:r>
        <w:t xml:space="preserve"> </w:t>
      </w:r>
      <w:r>
        <w:t xml:space="preserve">accessed 2026-10-07</w:t>
      </w:r>
    </w:p>
  </w:footnote>
  <w:footnote w:id="2216">
    <w:p>
      <w:pPr>
        <w:pStyle w:val="FootnoteText"/>
      </w:pPr>
      <w:r>
        <w:rPr>
          <w:rStyle w:val="FootnoteReference"/>
        </w:rPr>
        <w:footnoteRef/>
      </w:r>
      <w:r>
        <w:t xml:space="preserve"> </w:t>
      </w:r>
      <w:r>
        <w:t xml:space="preserve">Verified fact — A7-S067: Prompty README (Microsoft)</w:t>
      </w:r>
      <w:r>
        <w:t xml:space="preserve"> </w:t>
      </w:r>
      <w:hyperlink r:id="rId2210">
        <w:r>
          <w:rPr>
            <w:rStyle w:val="Hyperlink"/>
          </w:rPr>
          <w:t xml:space="preserve">https://raw.githubusercontent.com/microsoft/prompty/main/README.md</w:t>
        </w:r>
      </w:hyperlink>
      <w:r>
        <w:t xml:space="preserve"> </w:t>
      </w:r>
      <w:r>
        <w:t xml:space="preserve">accessed 2026-10-07</w:t>
      </w:r>
    </w:p>
  </w:footnote>
  <w:footnote w:id="2217">
    <w:p>
      <w:pPr>
        <w:pStyle w:val="FootnoteText"/>
      </w:pPr>
      <w:r>
        <w:rPr>
          <w:rStyle w:val="FootnoteReference"/>
        </w:rPr>
        <w:footnoteRef/>
      </w:r>
      <w:r>
        <w:t xml:space="preserve"> </w:t>
      </w:r>
      <w:r>
        <w:t xml:space="preserve">Verified fact — A7-S065: dotpromptz on PyPI (PyPI / Google)</w:t>
      </w:r>
      <w:r>
        <w:t xml:space="preserve"> </w:t>
      </w:r>
      <w:hyperlink r:id="rId2214">
        <w:r>
          <w:rPr>
            <w:rStyle w:val="Hyperlink"/>
          </w:rPr>
          <w:t xml:space="preserve">https://pypi.org/pypi/dotpromptz/json</w:t>
        </w:r>
      </w:hyperlink>
      <w:r>
        <w:t xml:space="preserve"> </w:t>
      </w:r>
      <w:r>
        <w:t xml:space="preserve">accessed 2026-10-07; A7-S067: Prompty README (Microsoft)</w:t>
      </w:r>
      <w:r>
        <w:t xml:space="preserve"> </w:t>
      </w:r>
      <w:hyperlink r:id="rId2210">
        <w:r>
          <w:rPr>
            <w:rStyle w:val="Hyperlink"/>
          </w:rPr>
          <w:t xml:space="preserve">https://raw.githubusercontent.com/microsoft/prompty/main/README.md</w:t>
        </w:r>
      </w:hyperlink>
      <w:r>
        <w:t xml:space="preserve"> </w:t>
      </w:r>
      <w:r>
        <w:t xml:space="preserve">accessed 2026-10-07</w:t>
      </w:r>
    </w:p>
  </w:footnote>
  <w:footnote w:id="2218">
    <w:p>
      <w:pPr>
        <w:pStyle w:val="FootnoteText"/>
      </w:pPr>
      <w:r>
        <w:rPr>
          <w:rStyle w:val="FootnoteReference"/>
        </w:rPr>
        <w:footnoteRef/>
      </w:r>
      <w:r>
        <w:t xml:space="preserve"> </w:t>
      </w:r>
      <w:r>
        <w:t xml:space="preserve">Verified fact — A7-S068: Promptfoo README (Promptfoo (OpenAI))</w:t>
      </w:r>
      <w:r>
        <w:t xml:space="preserve"> </w:t>
      </w:r>
      <w:hyperlink r:id="rId117">
        <w:r>
          <w:rPr>
            <w:rStyle w:val="Hyperlink"/>
          </w:rPr>
          <w:t xml:space="preserve">https://raw.githubusercontent.com/promptfoo/promptfoo/main/README.md</w:t>
        </w:r>
      </w:hyperlink>
      <w:r>
        <w:t xml:space="preserve"> </w:t>
      </w:r>
      <w:r>
        <w:t xml:space="preserve">accessed 2026-10-07; V2-S042: OpenAI to acquire Promptfoo (with TechCrunch via Yahoo Finance, SDxCentral, Security Boulevard)</w:t>
      </w:r>
      <w:r>
        <w:t xml:space="preserve"> </w:t>
      </w:r>
      <w:hyperlink r:id="rId127">
        <w:r>
          <w:rPr>
            <w:rStyle w:val="Hyperlink"/>
          </w:rPr>
          <w:t xml:space="preserve">https://openai.com/blog/openai-to-acquire-promptfoo</w:t>
        </w:r>
      </w:hyperlink>
      <w:r>
        <w:t xml:space="preserve"> </w:t>
      </w:r>
      <w:r>
        <w:t xml:space="preserve">accessed 2026-10-08 [search-tool extract]</w:t>
      </w:r>
    </w:p>
  </w:footnote>
  <w:footnote w:id="2220">
    <w:p>
      <w:pPr>
        <w:pStyle w:val="FootnoteText"/>
      </w:pPr>
      <w:r>
        <w:rPr>
          <w:rStyle w:val="FootnoteReference"/>
        </w:rPr>
        <w:footnoteRef/>
      </w:r>
      <w:r>
        <w:t xml:space="preserve"> </w:t>
      </w:r>
      <w:r>
        <w:t xml:space="preserve">Verified fact — A7-S004: promptlayer on PyPI (JSON API) (PyPI / PromptLayer)</w:t>
      </w:r>
      <w:r>
        <w:t xml:space="preserve"> </w:t>
      </w:r>
      <w:hyperlink r:id="rId2221">
        <w:r>
          <w:rPr>
            <w:rStyle w:val="Hyperlink"/>
          </w:rPr>
          <w:t xml:space="preserve">https://pypi.org/pypi/promptlayer/json</w:t>
        </w:r>
      </w:hyperlink>
      <w:r>
        <w:t xml:space="preserve"> </w:t>
      </w:r>
      <w:r>
        <w:t xml:space="preserve">accessed 2026-10-07; A7-S088: PromptLayer docs: Release Labels</w:t>
      </w:r>
      <w:r>
        <w:t xml:space="preserve"> </w:t>
      </w:r>
      <w:hyperlink r:id="rId2222">
        <w:r>
          <w:rPr>
            <w:rStyle w:val="Hyperlink"/>
          </w:rPr>
          <w:t xml:space="preserve">https://raw.githubusercontent.com/MagnivOrg/prompt-layer-docs/main/features/prompt-registry/release-labels.mdx</w:t>
        </w:r>
      </w:hyperlink>
      <w:r>
        <w:t xml:space="preserve"> </w:t>
      </w:r>
      <w:r>
        <w:t xml:space="preserve">accessed 2026-10-07</w:t>
      </w:r>
    </w:p>
  </w:footnote>
  <w:footnote w:id="2223">
    <w:p>
      <w:pPr>
        <w:pStyle w:val="FootnoteText"/>
      </w:pPr>
      <w:r>
        <w:rPr>
          <w:rStyle w:val="FootnoteReference"/>
        </w:rPr>
        <w:footnoteRef/>
      </w:r>
      <w:r>
        <w:t xml:space="preserve"> </w:t>
      </w:r>
      <w:r>
        <w:t xml:space="preserve">Verified fact — A7-S088: PromptLayer docs: Release Labels</w:t>
      </w:r>
      <w:r>
        <w:t xml:space="preserve"> </w:t>
      </w:r>
      <w:hyperlink r:id="rId2222">
        <w:r>
          <w:rPr>
            <w:rStyle w:val="Hyperlink"/>
          </w:rPr>
          <w:t xml:space="preserve">https://raw.githubusercontent.com/MagnivOrg/prompt-layer-docs/main/features/prompt-registry/release-labels.mdx</w:t>
        </w:r>
      </w:hyperlink>
      <w:r>
        <w:t xml:space="preserve"> </w:t>
      </w:r>
      <w:r>
        <w:t xml:space="preserve">accessed 2026-10-07</w:t>
      </w:r>
    </w:p>
  </w:footnote>
  <w:footnote w:id="2224">
    <w:p>
      <w:pPr>
        <w:pStyle w:val="FootnoteText"/>
      </w:pPr>
      <w:r>
        <w:rPr>
          <w:rStyle w:val="FootnoteReference"/>
        </w:rPr>
        <w:footnoteRef/>
      </w:r>
      <w:r>
        <w:t xml:space="preserve"> </w:t>
      </w:r>
      <w:r>
        <w:t xml:space="preserve">Verified fact — A7-S086: PromptLayer docs: Enterprise Identity overview</w:t>
      </w:r>
      <w:r>
        <w:t xml:space="preserve"> </w:t>
      </w:r>
      <w:hyperlink r:id="rId2225">
        <w:r>
          <w:rPr>
            <w:rStyle w:val="Hyperlink"/>
          </w:rPr>
          <w:t xml:space="preserve">https://raw.githubusercontent.com/MagnivOrg/prompt-layer-docs/main/why-promptlayer/enterprise-identity/overview.mdx</w:t>
        </w:r>
      </w:hyperlink>
      <w:r>
        <w:t xml:space="preserve"> </w:t>
      </w:r>
      <w:r>
        <w:t xml:space="preserve">accessed 2026-10-07</w:t>
      </w:r>
    </w:p>
  </w:footnote>
  <w:footnote w:id="2226">
    <w:p>
      <w:pPr>
        <w:pStyle w:val="FootnoteText"/>
      </w:pPr>
      <w:r>
        <w:rPr>
          <w:rStyle w:val="FootnoteReference"/>
        </w:rPr>
        <w:footnoteRef/>
      </w:r>
      <w:r>
        <w:t xml:space="preserve"> </w:t>
      </w:r>
      <w:r>
        <w:t xml:space="preserve">Verified fact — A7-S085: PromptLayer docs: Self-Hosted PromptLayer</w:t>
      </w:r>
      <w:r>
        <w:t xml:space="preserve"> </w:t>
      </w:r>
      <w:hyperlink r:id="rId2227">
        <w:r>
          <w:rPr>
            <w:rStyle w:val="Hyperlink"/>
          </w:rPr>
          <w:t xml:space="preserve">https://raw.githubusercontent.com/MagnivOrg/prompt-layer-docs/main/self-hosted.mdx</w:t>
        </w:r>
      </w:hyperlink>
      <w:r>
        <w:t xml:space="preserve"> </w:t>
      </w:r>
      <w:r>
        <w:t xml:space="preserve">accessed 2026-10-07; A7-S087: PromptLayer docs: Deploy PromptLayer on AWS</w:t>
      </w:r>
      <w:r>
        <w:t xml:space="preserve"> </w:t>
      </w:r>
      <w:hyperlink r:id="rId2228">
        <w:r>
          <w:rPr>
            <w:rStyle w:val="Hyperlink"/>
          </w:rPr>
          <w:t xml:space="preserve">https://raw.githubusercontent.com/MagnivOrg/prompt-layer-docs/main/enterprise-deployments/aws.mdx</w:t>
        </w:r>
      </w:hyperlink>
      <w:r>
        <w:t xml:space="preserve"> </w:t>
      </w:r>
      <w:r>
        <w:t xml:space="preserve">accessed 2026-10-07</w:t>
      </w:r>
    </w:p>
  </w:footnote>
  <w:footnote w:id="2229">
    <w:p>
      <w:pPr>
        <w:pStyle w:val="FootnoteText"/>
      </w:pPr>
      <w:r>
        <w:rPr>
          <w:rStyle w:val="FootnoteReference"/>
        </w:rPr>
        <w:footnoteRef/>
      </w:r>
      <w:r>
        <w:t xml:space="preserve"> </w:t>
      </w:r>
      <w:r>
        <w:t xml:space="preserve">Verified fact — A7-S004: promptlayer on PyPI (JSON API) (PyPI / PromptLayer)</w:t>
      </w:r>
      <w:r>
        <w:t xml:space="preserve"> </w:t>
      </w:r>
      <w:hyperlink r:id="rId2221">
        <w:r>
          <w:rPr>
            <w:rStyle w:val="Hyperlink"/>
          </w:rPr>
          <w:t xml:space="preserve">https://pypi.org/pypi/promptlayer/json</w:t>
        </w:r>
      </w:hyperlink>
      <w:r>
        <w:t xml:space="preserve"> </w:t>
      </w:r>
      <w:r>
        <w:t xml:space="preserve">accessed 2026-10-07</w:t>
      </w:r>
    </w:p>
  </w:footnote>
  <w:footnote w:id="2230">
    <w:p>
      <w:pPr>
        <w:pStyle w:val="FootnoteText"/>
      </w:pPr>
      <w:r>
        <w:rPr>
          <w:rStyle w:val="FootnoteReference"/>
        </w:rPr>
        <w:footnoteRef/>
      </w:r>
      <w:r>
        <w:t xml:space="preserve"> </w:t>
      </w:r>
      <w:r>
        <w:t xml:space="preserve">Verified fact — B-C5-S003: PromptLayer FAQ; Pricing; Data Processing Addendum 2026</w:t>
      </w:r>
      <w:r>
        <w:t xml:space="preserve"> </w:t>
      </w:r>
      <w:hyperlink r:id="rId2231">
        <w:r>
          <w:rPr>
            <w:rStyle w:val="Hyperlink"/>
          </w:rPr>
          <w:t xml:space="preserve">https://docs.promptlayer.com/features/faq</w:t>
        </w:r>
      </w:hyperlink>
      <w:r>
        <w:t xml:space="preserve"> </w:t>
      </w:r>
      <w:r>
        <w:t xml:space="preserve">accessed 2026-10-08 [search-tool extract]</w:t>
      </w:r>
    </w:p>
  </w:footnote>
  <w:footnote w:id="2232">
    <w:p>
      <w:pPr>
        <w:pStyle w:val="FootnoteText"/>
      </w:pPr>
      <w:r>
        <w:rPr>
          <w:rStyle w:val="FootnoteReference"/>
        </w:rPr>
        <w:footnoteRef/>
      </w:r>
      <w:r>
        <w:t xml:space="preserve"> </w:t>
      </w:r>
      <w:r>
        <w:t xml:space="preserve">Verified fact — A7-S004: promptlayer on PyPI (JSON API) (PyPI / PromptLayer)</w:t>
      </w:r>
      <w:r>
        <w:t xml:space="preserve"> </w:t>
      </w:r>
      <w:hyperlink r:id="rId2221">
        <w:r>
          <w:rPr>
            <w:rStyle w:val="Hyperlink"/>
          </w:rPr>
          <w:t xml:space="preserve">https://pypi.org/pypi/promptlayer/json</w:t>
        </w:r>
      </w:hyperlink>
      <w:r>
        <w:t xml:space="preserve"> </w:t>
      </w:r>
      <w:r>
        <w:t xml:space="preserve">accessed 2026-10-07</w:t>
      </w:r>
    </w:p>
  </w:footnote>
  <w:footnote w:id="2234">
    <w:p>
      <w:pPr>
        <w:pStyle w:val="FootnoteText"/>
      </w:pPr>
      <w:r>
        <w:rPr>
          <w:rStyle w:val="FootnoteReference"/>
        </w:rPr>
        <w:footnoteRef/>
      </w:r>
      <w:r>
        <w:t xml:space="preserve"> </w:t>
      </w:r>
      <w:r>
        <w:t xml:space="preserve">Verified fact — A7-S089: LaunchDarkly Server-Side AI SDK for Python README</w:t>
      </w:r>
      <w:r>
        <w:t xml:space="preserve"> </w:t>
      </w:r>
      <w:hyperlink r:id="rId2235">
        <w:r>
          <w:rPr>
            <w:rStyle w:val="Hyperlink"/>
          </w:rPr>
          <w:t xml:space="preserve">https://raw.githubusercontent.com/launchdarkly/python-server-sdk-ai/main/README.md</w:t>
        </w:r>
      </w:hyperlink>
      <w:r>
        <w:t xml:space="preserve"> </w:t>
      </w:r>
      <w:r>
        <w:t xml:space="preserve">accessed 2026-10-07; A7-S117: LaunchDarkly: Introducing AgentControl; AI Configs is now GA; AgentControl API docs</w:t>
      </w:r>
      <w:r>
        <w:t xml:space="preserve"> </w:t>
      </w:r>
      <w:hyperlink r:id="rId2236">
        <w:r>
          <w:rPr>
            <w:rStyle w:val="Hyperlink"/>
          </w:rPr>
          <w:t xml:space="preserve">https://launchdarkly.com/blog/introducing-agentcontrol/</w:t>
        </w:r>
      </w:hyperlink>
      <w:r>
        <w:t xml:space="preserve"> </w:t>
      </w:r>
      <w:r>
        <w:t xml:space="preserve">accessed 2026-10-07 [search-tool extract]; V2-S045: AgentControl API docs (LaunchDarkly)</w:t>
      </w:r>
      <w:r>
        <w:t xml:space="preserve"> </w:t>
      </w:r>
      <w:hyperlink r:id="rId2237">
        <w:r>
          <w:rPr>
            <w:rStyle w:val="Hyperlink"/>
          </w:rPr>
          <w:t xml:space="preserve">https://launchdarkly.com/docs/api/agentcontrol</w:t>
        </w:r>
      </w:hyperlink>
      <w:r>
        <w:t xml:space="preserve"> </w:t>
      </w:r>
      <w:r>
        <w:t xml:space="preserve">accessed 2026-10-08 [search-tool extract]</w:t>
      </w:r>
    </w:p>
  </w:footnote>
  <w:footnote w:id="2238">
    <w:p>
      <w:pPr>
        <w:pStyle w:val="FootnoteText"/>
      </w:pPr>
      <w:r>
        <w:rPr>
          <w:rStyle w:val="FootnoteReference"/>
        </w:rPr>
        <w:footnoteRef/>
      </w:r>
      <w:r>
        <w:t xml:space="preserve"> </w:t>
      </w:r>
      <w:r>
        <w:t xml:space="preserve">Verified fact — A7-S089: LaunchDarkly Server-Side AI SDK for Python README</w:t>
      </w:r>
      <w:r>
        <w:t xml:space="preserve"> </w:t>
      </w:r>
      <w:hyperlink r:id="rId2235">
        <w:r>
          <w:rPr>
            <w:rStyle w:val="Hyperlink"/>
          </w:rPr>
          <w:t xml:space="preserve">https://raw.githubusercontent.com/launchdarkly/python-server-sdk-ai/main/README.md</w:t>
        </w:r>
      </w:hyperlink>
      <w:r>
        <w:t xml:space="preserve"> </w:t>
      </w:r>
      <w:r>
        <w:t xml:space="preserve">accessed 2026-10-07</w:t>
      </w:r>
    </w:p>
  </w:footnote>
  <w:footnote w:id="2239">
    <w:p>
      <w:pPr>
        <w:pStyle w:val="FootnoteText"/>
      </w:pPr>
      <w:r>
        <w:rPr>
          <w:rStyle w:val="FootnoteReference"/>
        </w:rPr>
        <w:footnoteRef/>
      </w:r>
      <w:r>
        <w:t xml:space="preserve"> </w:t>
      </w:r>
      <w:r>
        <w:t xml:space="preserve">Verified fact — A7-S119: LaunchDarkly Trust, security, and privacy; Platform overview; Security Program Addendum</w:t>
      </w:r>
      <w:r>
        <w:t xml:space="preserve"> </w:t>
      </w:r>
      <w:hyperlink r:id="rId2240">
        <w:r>
          <w:rPr>
            <w:rStyle w:val="Hyperlink"/>
          </w:rPr>
          <w:t xml:space="preserve">https://launchdarkly.com/security/</w:t>
        </w:r>
      </w:hyperlink>
      <w:r>
        <w:t xml:space="preserve"> </w:t>
      </w:r>
      <w:r>
        <w:t xml:space="preserve">accessed 2026-10-07 [search-tool extract]; V2-S065: LaunchDarkly Trust, security, and privacy (with Security Program Addendum, docs)</w:t>
      </w:r>
      <w:r>
        <w:t xml:space="preserve"> </w:t>
      </w:r>
      <w:hyperlink r:id="rId2240">
        <w:r>
          <w:rPr>
            <w:rStyle w:val="Hyperlink"/>
          </w:rPr>
          <w:t xml:space="preserve">https://launchdarkly.com/security/</w:t>
        </w:r>
      </w:hyperlink>
      <w:r>
        <w:t xml:space="preserve"> </w:t>
      </w:r>
      <w:r>
        <w:t xml:space="preserve">accessed 2026-10-08 [search-tool extract]</w:t>
      </w:r>
    </w:p>
  </w:footnote>
  <w:footnote w:id="2241">
    <w:p>
      <w:pPr>
        <w:pStyle w:val="FootnoteText"/>
      </w:pPr>
      <w:r>
        <w:rPr>
          <w:rStyle w:val="FootnoteReference"/>
        </w:rPr>
        <w:footnoteRef/>
      </w:r>
      <w:r>
        <w:t xml:space="preserve"> </w:t>
      </w:r>
      <w:r>
        <w:t xml:space="preserve">Verified fact — B-C5-S001: Using SSO with LaunchDarkly; Configure SAML SSO; Creating custom roles</w:t>
      </w:r>
      <w:r>
        <w:t xml:space="preserve"> </w:t>
      </w:r>
      <w:hyperlink r:id="rId2242">
        <w:r>
          <w:rPr>
            <w:rStyle w:val="Hyperlink"/>
          </w:rPr>
          <w:t xml:space="preserve">https://launchdarkly.com/docs/guides/account/sso</w:t>
        </w:r>
      </w:hyperlink>
      <w:r>
        <w:t xml:space="preserve"> </w:t>
      </w:r>
      <w:r>
        <w:t xml:space="preserve">accessed 2026-10-08 [search-tool extract]; B-C5-S002: LaunchDarkly API: Audit log (list/search/get entries)</w:t>
      </w:r>
      <w:r>
        <w:t xml:space="preserve"> </w:t>
      </w:r>
      <w:hyperlink r:id="rId2243">
        <w:r>
          <w:rPr>
            <w:rStyle w:val="Hyperlink"/>
          </w:rPr>
          <w:t xml:space="preserve">https://launchdarkly.com/docs/api/audit-log</w:t>
        </w:r>
      </w:hyperlink>
      <w:r>
        <w:t xml:space="preserve"> </w:t>
      </w:r>
      <w:r>
        <w:t xml:space="preserve">accessed 2026-10-08 [search-tool extract]</w:t>
      </w:r>
    </w:p>
  </w:footnote>
  <w:footnote w:id="2244">
    <w:p>
      <w:pPr>
        <w:pStyle w:val="FootnoteText"/>
      </w:pPr>
      <w:r>
        <w:rPr>
          <w:rStyle w:val="FootnoteReference"/>
        </w:rPr>
        <w:footnoteRef/>
      </w:r>
      <w:r>
        <w:t xml:space="preserve"> </w:t>
      </w:r>
      <w:r>
        <w:t xml:space="preserve">Verified fact — A7-S118: LaunchDarkly Pricing; subscriptions and plans; calculating billing</w:t>
      </w:r>
      <w:r>
        <w:t xml:space="preserve"> </w:t>
      </w:r>
      <w:hyperlink r:id="rId2245">
        <w:r>
          <w:rPr>
            <w:rStyle w:val="Hyperlink"/>
          </w:rPr>
          <w:t xml:space="preserve">https://launchdarkly.com/pricing/</w:t>
        </w:r>
      </w:hyperlink>
      <w:r>
        <w:t xml:space="preserve"> </w:t>
      </w:r>
      <w:r>
        <w:t xml:space="preserve">accessed 2026-10-07 [search-tool extract]</w:t>
      </w:r>
    </w:p>
  </w:footnote>
  <w:footnote w:id="2246">
    <w:p>
      <w:pPr>
        <w:pStyle w:val="FootnoteText"/>
      </w:pPr>
      <w:r>
        <w:rPr>
          <w:rStyle w:val="FootnoteReference"/>
        </w:rPr>
        <w:footnoteRef/>
      </w:r>
      <w:r>
        <w:t xml:space="preserve"> </w:t>
      </w:r>
      <w:r>
        <w:t xml:space="preserve">Verified fact — A7-S119: LaunchDarkly Trust, security, and privacy; Platform overview; Security Program Addendum</w:t>
      </w:r>
      <w:r>
        <w:t xml:space="preserve"> </w:t>
      </w:r>
      <w:hyperlink r:id="rId2240">
        <w:r>
          <w:rPr>
            <w:rStyle w:val="Hyperlink"/>
          </w:rPr>
          <w:t xml:space="preserve">https://launchdarkly.com/security/</w:t>
        </w:r>
      </w:hyperlink>
      <w:r>
        <w:t xml:space="preserve"> </w:t>
      </w:r>
      <w:r>
        <w:t xml:space="preserve">accessed 2026-10-07 [search-tool extract]</w:t>
      </w:r>
    </w:p>
  </w:footnote>
  <w:footnote w:id="2247">
    <w:p>
      <w:pPr>
        <w:pStyle w:val="FootnoteText"/>
      </w:pPr>
      <w:r>
        <w:rPr>
          <w:rStyle w:val="FootnoteReference"/>
        </w:rPr>
        <w:footnoteRef/>
      </w:r>
      <w:r>
        <w:t xml:space="preserve"> </w:t>
      </w:r>
      <w:r>
        <w:t xml:space="preserve">Verified fact — A7-S089: LaunchDarkly Server-Side AI SDK for Python README</w:t>
      </w:r>
      <w:r>
        <w:t xml:space="preserve"> </w:t>
      </w:r>
      <w:hyperlink r:id="rId2235">
        <w:r>
          <w:rPr>
            <w:rStyle w:val="Hyperlink"/>
          </w:rPr>
          <w:t xml:space="preserve">https://raw.githubusercontent.com/launchdarkly/python-server-sdk-ai/main/README.md</w:t>
        </w:r>
      </w:hyperlink>
      <w:r>
        <w:t xml:space="preserve"> </w:t>
      </w:r>
      <w:r>
        <w:t xml:space="preserve">accessed 2026-10-07</w:t>
      </w:r>
    </w:p>
  </w:footnote>
  <w:footnote w:id="2248">
    <w:p>
      <w:pPr>
        <w:pStyle w:val="FootnoteText"/>
      </w:pPr>
      <w:r>
        <w:rPr>
          <w:rStyle w:val="FootnoteReference"/>
        </w:rPr>
        <w:footnoteRef/>
      </w:r>
      <w:r>
        <w:t xml:space="preserve"> </w:t>
      </w:r>
      <w:r>
        <w:t xml:space="preserve">Verified fact — A7-S117: LaunchDarkly: Introducing AgentControl; AI Configs is now GA; AgentControl API docs</w:t>
      </w:r>
      <w:r>
        <w:t xml:space="preserve"> </w:t>
      </w:r>
      <w:hyperlink r:id="rId2236">
        <w:r>
          <w:rPr>
            <w:rStyle w:val="Hyperlink"/>
          </w:rPr>
          <w:t xml:space="preserve">https://launchdarkly.com/blog/introducing-agentcontrol/</w:t>
        </w:r>
      </w:hyperlink>
      <w:r>
        <w:t xml:space="preserve"> </w:t>
      </w:r>
      <w:r>
        <w:t xml:space="preserve">accessed 2026-10-07 [search-tool extract]</w:t>
      </w:r>
    </w:p>
  </w:footnote>
  <w:footnote w:id="2249">
    <w:p>
      <w:pPr>
        <w:pStyle w:val="FootnoteText"/>
      </w:pPr>
      <w:r>
        <w:rPr>
          <w:rStyle w:val="FootnoteReference"/>
        </w:rPr>
        <w:footnoteRef/>
      </w:r>
      <w:r>
        <w:t xml:space="preserve"> </w:t>
      </w:r>
      <w:r>
        <w:t xml:space="preserve">Verified fact — A7-S118: LaunchDarkly Pricing; subscriptions and plans; calculating billing</w:t>
      </w:r>
      <w:r>
        <w:t xml:space="preserve"> </w:t>
      </w:r>
      <w:hyperlink r:id="rId2245">
        <w:r>
          <w:rPr>
            <w:rStyle w:val="Hyperlink"/>
          </w:rPr>
          <w:t xml:space="preserve">https://launchdarkly.com/pricing/</w:t>
        </w:r>
      </w:hyperlink>
      <w:r>
        <w:t xml:space="preserve"> </w:t>
      </w:r>
      <w:r>
        <w:t xml:space="preserve">accessed 2026-10-07 [search-tool extract]</w:t>
      </w:r>
    </w:p>
  </w:footnote>
  <w:footnote w:id="2252">
    <w:p>
      <w:pPr>
        <w:pStyle w:val="FootnoteText"/>
      </w:pPr>
      <w:r>
        <w:rPr>
          <w:rStyle w:val="FootnoteReference"/>
        </w:rPr>
        <w:footnoteRef/>
      </w:r>
      <w:r>
        <w:t xml:space="preserve"> </w:t>
      </w:r>
      <w:r>
        <w:t xml:space="preserve">Verified fact — A7-S049: FOCUS Specification CHANGELOG (FinOps Foundation (FOCUS Working Group))</w:t>
      </w:r>
      <w:r>
        <w:t xml:space="preserve"> </w:t>
      </w:r>
      <w:hyperlink r:id="rId2253">
        <w:r>
          <w:rPr>
            <w:rStyle w:val="Hyperlink"/>
          </w:rPr>
          <w:t xml:space="preserve">https://raw.githubusercontent.com/FinOps-Open-Cost-and-Usage-Spec/FOCUS_Spec/working_draft/CHANGELOG.md</w:t>
        </w:r>
      </w:hyperlink>
      <w:r>
        <w:t xml:space="preserve"> </w:t>
      </w:r>
      <w:r>
        <w:t xml:space="preserve">accessed 2026-10-07; A7-S116: FOCUS 1.5 Release Scope; FOCUS for AI; Introducing FOCUS 1.2; Introducing FOCUS 1.4 (FinOps Foundation (FOCUS))</w:t>
      </w:r>
      <w:r>
        <w:t xml:space="preserve"> </w:t>
      </w:r>
      <w:hyperlink r:id="rId2254">
        <w:r>
          <w:rPr>
            <w:rStyle w:val="Hyperlink"/>
          </w:rPr>
          <w:t xml:space="preserve">https://focus.finops.org/focus-1-5-release-scope/</w:t>
        </w:r>
      </w:hyperlink>
      <w:r>
        <w:t xml:space="preserve"> </w:t>
      </w:r>
      <w:r>
        <w:t xml:space="preserve">accessed 2026-10-07 [search-tool extract]; V2-S046: FOCUS 1.5 Release Scope: Confirmed and Stretch Features (with Introducing FOCUS 1.4; FOCUS for AI) (FinOps Foundation (FOCUS))</w:t>
      </w:r>
      <w:r>
        <w:t xml:space="preserve"> </w:t>
      </w:r>
      <w:hyperlink r:id="rId2254">
        <w:r>
          <w:rPr>
            <w:rStyle w:val="Hyperlink"/>
          </w:rPr>
          <w:t xml:space="preserve">https://focus.finops.org/focus-1-5-release-scope/</w:t>
        </w:r>
      </w:hyperlink>
      <w:r>
        <w:t xml:space="preserve"> </w:t>
      </w:r>
      <w:r>
        <w:t xml:space="preserve">accessed 2026-10-08 [search-tool extract]</w:t>
      </w:r>
    </w:p>
  </w:footnote>
  <w:footnote w:id="2255">
    <w:p>
      <w:pPr>
        <w:pStyle w:val="FootnoteText"/>
      </w:pPr>
      <w:r>
        <w:rPr>
          <w:rStyle w:val="FootnoteReference"/>
        </w:rPr>
        <w:footnoteRef/>
      </w:r>
      <w:r>
        <w:t xml:space="preserve"> </w:t>
      </w:r>
      <w:r>
        <w:t xml:space="preserve">Verified fact — A7-S048: FOCUS Specification README (FinOps Foundation (FOCUS Working Group))</w:t>
      </w:r>
      <w:r>
        <w:t xml:space="preserve"> </w:t>
      </w:r>
      <w:hyperlink r:id="rId2256">
        <w:r>
          <w:rPr>
            <w:rStyle w:val="Hyperlink"/>
          </w:rPr>
          <w:t xml:space="preserve">https://raw.githubusercontent.com/FinOps-Open-Cost-and-Usage-Spec/FOCUS_Spec/working_draft/README.md</w:t>
        </w:r>
      </w:hyperlink>
      <w:r>
        <w:t xml:space="preserve"> </w:t>
      </w:r>
      <w:r>
        <w:t xml:space="preserve">accessed 2026-10-07</w:t>
      </w:r>
    </w:p>
  </w:footnote>
  <w:footnote w:id="2257">
    <w:p>
      <w:pPr>
        <w:pStyle w:val="FootnoteText"/>
      </w:pPr>
      <w:r>
        <w:rPr>
          <w:rStyle w:val="FootnoteReference"/>
        </w:rPr>
        <w:footnoteRef/>
      </w:r>
      <w:r>
        <w:t xml:space="preserve"> </w:t>
      </w:r>
      <w:r>
        <w:t xml:space="preserve">Verified fact — A7-S096: FOCUS Specification licence (FinOps Foundation (FOCUS Working Group))</w:t>
      </w:r>
      <w:r>
        <w:t xml:space="preserve"> </w:t>
      </w:r>
      <w:hyperlink r:id="rId2258">
        <w:r>
          <w:rPr>
            <w:rStyle w:val="Hyperlink"/>
          </w:rPr>
          <w:t xml:space="preserve">https://raw.githubusercontent.com/FinOps-Open-Cost-and-Usage-Spec/FOCUS_Spec/working_draft/license.md</w:t>
        </w:r>
      </w:hyperlink>
      <w:r>
        <w:t xml:space="preserve"> </w:t>
      </w:r>
      <w:r>
        <w:t xml:space="preserve">accessed 2026-10-07; A7-S050: focus-validator on PyPI (PyPI / FinOps Foundation)</w:t>
      </w:r>
      <w:r>
        <w:t xml:space="preserve"> </w:t>
      </w:r>
      <w:hyperlink r:id="rId2259">
        <w:r>
          <w:rPr>
            <w:rStyle w:val="Hyperlink"/>
          </w:rPr>
          <w:t xml:space="preserve">https://pypi.org/pypi/focus-validator/json</w:t>
        </w:r>
      </w:hyperlink>
      <w:r>
        <w:t xml:space="preserve"> </w:t>
      </w:r>
      <w:r>
        <w:t xml:space="preserve">accessed 2026-10-07</w:t>
      </w:r>
    </w:p>
  </w:footnote>
  <w:footnote w:id="2260">
    <w:p>
      <w:pPr>
        <w:pStyle w:val="FootnoteText"/>
      </w:pPr>
      <w:r>
        <w:rPr>
          <w:rStyle w:val="FootnoteReference"/>
        </w:rPr>
        <w:footnoteRef/>
      </w:r>
      <w:r>
        <w:t xml:space="preserve"> </w:t>
      </w:r>
      <w:r>
        <w:t xml:space="preserve">Verified fact — A7-S049: FOCUS Specification CHANGELOG (FinOps Foundation (FOCUS Working Group))</w:t>
      </w:r>
      <w:r>
        <w:t xml:space="preserve"> </w:t>
      </w:r>
      <w:hyperlink r:id="rId2253">
        <w:r>
          <w:rPr>
            <w:rStyle w:val="Hyperlink"/>
          </w:rPr>
          <w:t xml:space="preserve">https://raw.githubusercontent.com/FinOps-Open-Cost-and-Usage-Spec/FOCUS_Spec/working_draft/CHANGELOG.md</w:t>
        </w:r>
      </w:hyperlink>
      <w:r>
        <w:t xml:space="preserve"> </w:t>
      </w:r>
      <w:r>
        <w:t xml:space="preserve">accessed 2026-10-07</w:t>
      </w:r>
    </w:p>
  </w:footnote>
  <w:footnote w:id="2261">
    <w:p>
      <w:pPr>
        <w:pStyle w:val="FootnoteText"/>
      </w:pPr>
      <w:r>
        <w:rPr>
          <w:rStyle w:val="FootnoteReference"/>
        </w:rPr>
        <w:footnoteRef/>
      </w:r>
      <w:r>
        <w:t xml:space="preserve"> </w:t>
      </w:r>
      <w:r>
        <w:t xml:space="preserve">Verified fact — A7-S115: FinOps Framework 2026; State of FinOps 2026; FinOps for AI technology category; Tokenomics working group; Who sets the AI budget? (FinOps Foundation)</w:t>
      </w:r>
      <w:r>
        <w:t xml:space="preserve"> </w:t>
      </w:r>
      <w:hyperlink r:id="rId2262">
        <w:r>
          <w:rPr>
            <w:rStyle w:val="Hyperlink"/>
          </w:rPr>
          <w:t xml:space="preserve">https://www.finops.org/insights/2026-finops-framework/</w:t>
        </w:r>
      </w:hyperlink>
      <w:r>
        <w:t xml:space="preserve"> </w:t>
      </w:r>
      <w:r>
        <w:t xml:space="preserve">accessed 2026-10-07 [search-tool extract]; A7-S113: Vantage blog: Managed AI Tags; Support for Anthropic Costs; Support for Claude Enterprise Costs; OpenAI cost tools</w:t>
      </w:r>
      <w:r>
        <w:t xml:space="preserve"> </w:t>
      </w:r>
      <w:hyperlink r:id="rId2263">
        <w:r>
          <w:rPr>
            <w:rStyle w:val="Hyperlink"/>
          </w:rPr>
          <w:t xml:space="preserve">https://www.vantage.sh/blog/managed-ai-tags</w:t>
        </w:r>
      </w:hyperlink>
      <w:r>
        <w:t xml:space="preserve"> </w:t>
      </w:r>
      <w:r>
        <w:t xml:space="preserve">accessed 2026-10-07 [search-tool extract]</w:t>
      </w:r>
    </w:p>
  </w:footnote>
  <w:footnote w:id="2264">
    <w:p>
      <w:pPr>
        <w:pStyle w:val="FootnoteText"/>
      </w:pPr>
      <w:r>
        <w:rPr>
          <w:rStyle w:val="FootnoteReference"/>
        </w:rPr>
        <w:footnoteRef/>
      </w:r>
      <w:r>
        <w:t xml:space="preserve"> </w:t>
      </w:r>
      <w:r>
        <w:t xml:space="preserve">Verified fact — A7-S116: FOCUS 1.5 Release Scope; FOCUS for AI; Introducing FOCUS 1.2; Introducing FOCUS 1.4 (FinOps Foundation (FOCUS))</w:t>
      </w:r>
      <w:r>
        <w:t xml:space="preserve"> </w:t>
      </w:r>
      <w:hyperlink r:id="rId2254">
        <w:r>
          <w:rPr>
            <w:rStyle w:val="Hyperlink"/>
          </w:rPr>
          <w:t xml:space="preserve">https://focus.finops.org/focus-1-5-release-scope/</w:t>
        </w:r>
      </w:hyperlink>
      <w:r>
        <w:t xml:space="preserve"> </w:t>
      </w:r>
      <w:r>
        <w:t xml:space="preserve">accessed 2026-10-07 [search-tool extract]; V2-S046: FOCUS 1.5 Release Scope: Confirmed and Stretch Features (with Introducing FOCUS 1.4; FOCUS for AI) (FinOps Foundation (FOCUS))</w:t>
      </w:r>
      <w:r>
        <w:t xml:space="preserve"> </w:t>
      </w:r>
      <w:hyperlink r:id="rId2254">
        <w:r>
          <w:rPr>
            <w:rStyle w:val="Hyperlink"/>
          </w:rPr>
          <w:t xml:space="preserve">https://focus.finops.org/focus-1-5-release-scope/</w:t>
        </w:r>
      </w:hyperlink>
      <w:r>
        <w:t xml:space="preserve"> </w:t>
      </w:r>
      <w:r>
        <w:t xml:space="preserve">accessed 2026-10-08 [search-tool extract]</w:t>
      </w:r>
    </w:p>
  </w:footnote>
  <w:footnote w:id="2266">
    <w:p>
      <w:pPr>
        <w:pStyle w:val="FootnoteText"/>
      </w:pPr>
      <w:r>
        <w:rPr>
          <w:rStyle w:val="FootnoteReference"/>
        </w:rPr>
        <w:footnoteRef/>
      </w:r>
      <w:r>
        <w:t xml:space="preserve"> </w:t>
      </w:r>
      <w:r>
        <w:t xml:space="preserve">Verified fact — A7-S010: litellm on PyPI (JSON API) (PyPI / BerriAI)</w:t>
      </w:r>
      <w:r>
        <w:t xml:space="preserve"> </w:t>
      </w:r>
      <w:hyperlink r:id="rId1740">
        <w:r>
          <w:rPr>
            <w:rStyle w:val="Hyperlink"/>
          </w:rPr>
          <w:t xml:space="preserve">https://pypi.org/pypi/litellm/json</w:t>
        </w:r>
      </w:hyperlink>
      <w:r>
        <w:t xml:space="preserve"> </w:t>
      </w:r>
      <w:r>
        <w:t xml:space="preserve">accessed 2026-10-07; A6-S015: LiteLLM docs: MCP Overview, Agent Gateway (A2A), Caching, Budgets/Rate Limits, v1.89.0 release notes (BerriAI (LiteLLM))</w:t>
      </w:r>
      <w:r>
        <w:t xml:space="preserve"> </w:t>
      </w:r>
      <w:hyperlink r:id="rId1727">
        <w:r>
          <w:rPr>
            <w:rStyle w:val="Hyperlink"/>
          </w:rPr>
          <w:t xml:space="preserve">https://docs.litellm.ai/docs/mcp</w:t>
        </w:r>
      </w:hyperlink>
      <w:r>
        <w:t xml:space="preserve"> </w:t>
      </w:r>
      <w:r>
        <w:t xml:space="preserve">accessed 2026-10-07 [search-tool extract]; A7-S070: Usage and Cost Admin API (Claude Platform docs) (Anthropic)</w:t>
      </w:r>
      <w:r>
        <w:t xml:space="preserve"> </w:t>
      </w:r>
      <w:hyperlink r:id="rId2267">
        <w:r>
          <w:rPr>
            <w:rStyle w:val="Hyperlink"/>
          </w:rPr>
          <w:t xml:space="preserve">https://platform.claude.com/docs/en/manage-claude/usage-cost-api</w:t>
        </w:r>
      </w:hyperlink>
      <w:r>
        <w:t xml:space="preserve"> </w:t>
      </w:r>
      <w:r>
        <w:t xml:space="preserve">accessed 2026-10-07; B-C6-S004: Amazon Bedrock user guide: Application inference profiles; Best practices for cost attribution (Amazon Web Services)</w:t>
      </w:r>
      <w:r>
        <w:t xml:space="preserve"> </w:t>
      </w:r>
      <w:hyperlink r:id="rId2268">
        <w:r>
          <w:rPr>
            <w:rStyle w:val="Hyperlink"/>
          </w:rPr>
          <w:t xml:space="preserve">https://docs.aws.amazon.com/bedrock/latest/userguide/cost-mgmt-application-inference-profiles.html</w:t>
        </w:r>
      </w:hyperlink>
      <w:r>
        <w:t xml:space="preserve"> </w:t>
      </w:r>
      <w:r>
        <w:t xml:space="preserve">accessed 2026-10-08 [search-tool extract]; B-C6-S005: Plan and manage costs - Microsoft Foundry</w:t>
      </w:r>
      <w:r>
        <w:t xml:space="preserve"> </w:t>
      </w:r>
      <w:hyperlink r:id="rId2269">
        <w:r>
          <w:rPr>
            <w:rStyle w:val="Hyperlink"/>
          </w:rPr>
          <w:t xml:space="preserve">https://learn.microsoft.com/en-us/azure/foundry/concepts/manage-costs</w:t>
        </w:r>
      </w:hyperlink>
      <w:r>
        <w:t xml:space="preserve"> </w:t>
      </w:r>
      <w:r>
        <w:t xml:space="preserve">accessed 2026-10-08 [search-tool extract]</w:t>
      </w:r>
    </w:p>
  </w:footnote>
  <w:footnote w:id="2270">
    <w:p>
      <w:pPr>
        <w:pStyle w:val="FootnoteText"/>
      </w:pPr>
      <w:r>
        <w:rPr>
          <w:rStyle w:val="FootnoteReference"/>
        </w:rPr>
        <w:footnoteRef/>
      </w:r>
      <w:r>
        <w:t xml:space="preserve"> </w:t>
      </w:r>
      <w:r>
        <w:t xml:space="preserve">Verified fact — A6-S015: LiteLLM docs: MCP Overview, Agent Gateway (A2A), Caching, Budgets/Rate Limits, v1.89.0 release notes (BerriAI (LiteLLM))</w:t>
      </w:r>
      <w:r>
        <w:t xml:space="preserve"> </w:t>
      </w:r>
      <w:hyperlink r:id="rId1727">
        <w:r>
          <w:rPr>
            <w:rStyle w:val="Hyperlink"/>
          </w:rPr>
          <w:t xml:space="preserve">https://docs.litellm.ai/docs/mcp</w:t>
        </w:r>
      </w:hyperlink>
      <w:r>
        <w:t xml:space="preserve"> </w:t>
      </w:r>
      <w:r>
        <w:t xml:space="preserve">accessed 2026-10-07 [search-tool extract]; A6-S053: AI gateway capabilities in Azure API Management (Microsoft Learn source, ms.date 29 May 2026)</w:t>
      </w:r>
      <w:r>
        <w:t xml:space="preserve"> </w:t>
      </w:r>
      <w:hyperlink r:id="rId1844">
        <w:r>
          <w:rPr>
            <w:rStyle w:val="Hyperlink"/>
          </w:rPr>
          <w:t xml:space="preserve">https://raw.githubusercontent.com/MicrosoftDocs/azure-docs/main/articles/api-management/genai-gateway-capabilities.md</w:t>
        </w:r>
      </w:hyperlink>
      <w:r>
        <w:t xml:space="preserve"> </w:t>
      </w:r>
      <w:r>
        <w:t xml:space="preserve">accessed 2026-10-07; A6-S024: Apigee AI solutions: gateway to enterprise-ready AI (Google Cloud)</w:t>
      </w:r>
      <w:r>
        <w:t xml:space="preserve"> </w:t>
      </w:r>
      <w:hyperlink r:id="rId1777">
        <w:r>
          <w:rPr>
            <w:rStyle w:val="Hyperlink"/>
          </w:rPr>
          <w:t xml:space="preserve">https://cloud.google.com/solutions/apigee-ai</w:t>
        </w:r>
      </w:hyperlink>
      <w:r>
        <w:t xml:space="preserve"> </w:t>
      </w:r>
      <w:r>
        <w:t xml:space="preserve">accessed 2026-10-07; A6-S016: Kong AI Gateway 2.0 Is Now GA — And It’s Already Moving Faster (Kong Inc.)</w:t>
      </w:r>
      <w:r>
        <w:t xml:space="preserve"> </w:t>
      </w:r>
      <w:hyperlink r:id="rId1756">
        <w:r>
          <w:rPr>
            <w:rStyle w:val="Hyperlink"/>
          </w:rPr>
          <w:t xml:space="preserve">https://konghq.com/blog/product-releases/kong-ai-gateway-2-0-ga</w:t>
        </w:r>
      </w:hyperlink>
      <w:r>
        <w:t xml:space="preserve"> </w:t>
      </w:r>
      <w:r>
        <w:t xml:space="preserve">accessed 2026-10-07 [search-tool extract]; A6-S019: Cloudflare AI Gateway docs: Pricing, Features, Changelog; Cloudflare blog spend limits (Cloudflare, Inc.)</w:t>
      </w:r>
      <w:r>
        <w:t xml:space="preserve"> </w:t>
      </w:r>
      <w:hyperlink r:id="rId1903">
        <w:r>
          <w:rPr>
            <w:rStyle w:val="Hyperlink"/>
          </w:rPr>
          <w:t xml:space="preserve">https://developers.cloudflare.com/ai-gateway/reference/pricing/</w:t>
        </w:r>
      </w:hyperlink>
      <w:r>
        <w:t xml:space="preserve"> </w:t>
      </w:r>
      <w:r>
        <w:t xml:space="preserve">accessed 2026-10-07 [search-tool extract]</w:t>
      </w:r>
    </w:p>
  </w:footnote>
  <w:footnote w:id="2271">
    <w:p>
      <w:pPr>
        <w:pStyle w:val="FootnoteText"/>
      </w:pPr>
      <w:r>
        <w:rPr>
          <w:rStyle w:val="FootnoteReference"/>
        </w:rPr>
        <w:footnoteRef/>
      </w:r>
      <w:r>
        <w:t xml:space="preserve"> </w:t>
      </w:r>
      <w:r>
        <w:t xml:space="preserve">Verified fact — A7-S070: Usage and Cost Admin API (Claude Platform docs) (Anthropic)</w:t>
      </w:r>
      <w:r>
        <w:t xml:space="preserve"> </w:t>
      </w:r>
      <w:hyperlink r:id="rId2267">
        <w:r>
          <w:rPr>
            <w:rStyle w:val="Hyperlink"/>
          </w:rPr>
          <w:t xml:space="preserve">https://platform.claude.com/docs/en/manage-claude/usage-cost-api</w:t>
        </w:r>
      </w:hyperlink>
      <w:r>
        <w:t xml:space="preserve"> </w:t>
      </w:r>
      <w:r>
        <w:t xml:space="preserve">accessed 2026-10-07</w:t>
      </w:r>
    </w:p>
  </w:footnote>
  <w:footnote w:id="2272">
    <w:p>
      <w:pPr>
        <w:pStyle w:val="FootnoteText"/>
      </w:pPr>
      <w:r>
        <w:rPr>
          <w:rStyle w:val="FootnoteReference"/>
        </w:rPr>
        <w:footnoteRef/>
      </w:r>
      <w:r>
        <w:t xml:space="preserve"> </w:t>
      </w:r>
      <w:r>
        <w:t xml:space="preserve">Verified fact — B-C6-S004: Amazon Bedrock user guide: Application inference profiles; Best practices for cost attribution (Amazon Web Services)</w:t>
      </w:r>
      <w:r>
        <w:t xml:space="preserve"> </w:t>
      </w:r>
      <w:hyperlink r:id="rId2268">
        <w:r>
          <w:rPr>
            <w:rStyle w:val="Hyperlink"/>
          </w:rPr>
          <w:t xml:space="preserve">https://docs.aws.amazon.com/bedrock/latest/userguide/cost-mgmt-application-inference-profiles.html</w:t>
        </w:r>
      </w:hyperlink>
      <w:r>
        <w:t xml:space="preserve"> </w:t>
      </w:r>
      <w:r>
        <w:t xml:space="preserve">accessed 2026-10-08 [search-tool extract]; B-C6-S005: Plan and manage costs - Microsoft Foundry</w:t>
      </w:r>
      <w:r>
        <w:t xml:space="preserve"> </w:t>
      </w:r>
      <w:hyperlink r:id="rId2269">
        <w:r>
          <w:rPr>
            <w:rStyle w:val="Hyperlink"/>
          </w:rPr>
          <w:t xml:space="preserve">https://learn.microsoft.com/en-us/azure/foundry/concepts/manage-costs</w:t>
        </w:r>
      </w:hyperlink>
      <w:r>
        <w:t xml:space="preserve"> </w:t>
      </w:r>
      <w:r>
        <w:t xml:space="preserve">accessed 2026-10-08 [search-tool extract]</w:t>
      </w:r>
    </w:p>
  </w:footnote>
  <w:footnote w:id="2273">
    <w:p>
      <w:pPr>
        <w:pStyle w:val="FootnoteText"/>
      </w:pPr>
      <w:r>
        <w:rPr>
          <w:rStyle w:val="FootnoteReference"/>
        </w:rPr>
        <w:footnoteRef/>
      </w:r>
      <w:r>
        <w:t xml:space="preserve"> </w:t>
      </w:r>
      <w:r>
        <w:t xml:space="preserve">Verified fact — A6-S015: LiteLLM docs: MCP Overview, Agent Gateway (A2A), Caching, Budgets/Rate Limits, v1.89.0 release notes (BerriAI (LiteLLM))</w:t>
      </w:r>
      <w:r>
        <w:t xml:space="preserve"> </w:t>
      </w:r>
      <w:hyperlink r:id="rId1727">
        <w:r>
          <w:rPr>
            <w:rStyle w:val="Hyperlink"/>
          </w:rPr>
          <w:t xml:space="preserve">https://docs.litellm.ai/docs/mcp</w:t>
        </w:r>
      </w:hyperlink>
      <w:r>
        <w:t xml:space="preserve"> </w:t>
      </w:r>
      <w:r>
        <w:t xml:space="preserve">accessed 2026-10-07 [search-tool extract]</w:t>
      </w:r>
    </w:p>
  </w:footnote>
  <w:footnote w:id="2274">
    <w:p>
      <w:pPr>
        <w:pStyle w:val="FootnoteText"/>
      </w:pPr>
      <w:r>
        <w:rPr>
          <w:rStyle w:val="FootnoteReference"/>
        </w:rPr>
        <w:footnoteRef/>
      </w:r>
      <w:r>
        <w:t xml:space="preserve"> </w:t>
      </w:r>
      <w:r>
        <w:t xml:space="preserve">Verified fact — B-C6-S004: Amazon Bedrock user guide: Application inference profiles; Best practices for cost attribution (Amazon Web Services)</w:t>
      </w:r>
      <w:r>
        <w:t xml:space="preserve"> </w:t>
      </w:r>
      <w:hyperlink r:id="rId2268">
        <w:r>
          <w:rPr>
            <w:rStyle w:val="Hyperlink"/>
          </w:rPr>
          <w:t xml:space="preserve">https://docs.aws.amazon.com/bedrock/latest/userguide/cost-mgmt-application-inference-profiles.html</w:t>
        </w:r>
      </w:hyperlink>
      <w:r>
        <w:t xml:space="preserve"> </w:t>
      </w:r>
      <w:r>
        <w:t xml:space="preserve">accessed 2026-10-08 [search-tool extract]</w:t>
      </w:r>
    </w:p>
  </w:footnote>
  <w:footnote w:id="2275">
    <w:p>
      <w:pPr>
        <w:pStyle w:val="FootnoteText"/>
      </w:pPr>
      <w:r>
        <w:rPr>
          <w:rStyle w:val="FootnoteReference"/>
        </w:rPr>
        <w:footnoteRef/>
      </w:r>
      <w:r>
        <w:t xml:space="preserve"> </w:t>
      </w:r>
      <w:r>
        <w:t xml:space="preserve">Verified fact — A6-S011: Palo Alto Networks Completes Acquisition of Portkey to Secure AI Agents (and 30 Apr 2026 announcement)</w:t>
      </w:r>
      <w:r>
        <w:t xml:space="preserve"> </w:t>
      </w:r>
      <w:hyperlink r:id="rId1810">
        <w:r>
          <w:rPr>
            <w:rStyle w:val="Hyperlink"/>
          </w:rPr>
          <w:t xml:space="preserve">https://www.paloaltonetworks.com/company/press/2026/palo-alto-networks-completes-acquisition-of-portkey-to-secure-ai-agents</w:t>
        </w:r>
      </w:hyperlink>
      <w:r>
        <w:t xml:space="preserve"> </w:t>
      </w:r>
      <w:r>
        <w:t xml:space="preserve">accessed 2026-10-07 [search-tool extract]; V2-S025: Palo Alto Networks Completes Acquisition of Portkey to Secure AI Agents (with PANW FY2026 10-K and 10-Q, SDxCentral)</w:t>
      </w:r>
      <w:r>
        <w:t xml:space="preserve"> </w:t>
      </w:r>
      <w:hyperlink r:id="rId1810">
        <w:r>
          <w:rPr>
            <w:rStyle w:val="Hyperlink"/>
          </w:rPr>
          <w:t xml:space="preserve">https://www.paloaltonetworks.com/company/press/2026/palo-alto-networks-completes-acquisition-of-portkey-to-secure-ai-agents</w:t>
        </w:r>
      </w:hyperlink>
      <w:r>
        <w:t xml:space="preserve"> </w:t>
      </w:r>
      <w:r>
        <w:t xml:space="preserve">accessed 2026-10-08 [search-tool extract]</w:t>
      </w:r>
    </w:p>
  </w:footnote>
  <w:footnote w:id="2276">
    <w:p>
      <w:pPr>
        <w:pStyle w:val="FootnoteText"/>
      </w:pPr>
      <w:r>
        <w:rPr>
          <w:rStyle w:val="FootnoteReference"/>
        </w:rPr>
        <w:footnoteRef/>
      </w:r>
      <w:r>
        <w:t xml:space="preserve"> </w:t>
      </w:r>
      <w:r>
        <w:t xml:space="preserve">Verified fact — A6-S008: Security Update: Suspected Supply Chain Incident (and Security Townhall Updates) (BerriAI (LiteLLM))</w:t>
      </w:r>
      <w:r>
        <w:t xml:space="preserve"> </w:t>
      </w:r>
      <w:hyperlink r:id="rId1734">
        <w:r>
          <w:rPr>
            <w:rStyle w:val="Hyperlink"/>
          </w:rPr>
          <w:t xml:space="preserve">https://docs.litellm.ai/blog/security-update-march-2026</w:t>
        </w:r>
      </w:hyperlink>
      <w:r>
        <w:t xml:space="preserve"> </w:t>
      </w:r>
      <w:r>
        <w:t xml:space="preserve">accessed 2026-10-07 [search-tool extract]; V2-S027: LiteLLM PyPI supply chain attack (with NetSPI, Comet, Snyk/Datadog reporting) (FutureSearch)</w:t>
      </w:r>
      <w:r>
        <w:t xml:space="preserve"> </w:t>
      </w:r>
      <w:hyperlink r:id="rId1750">
        <w:r>
          <w:rPr>
            <w:rStyle w:val="Hyperlink"/>
          </w:rPr>
          <w:t xml:space="preserve">https://futuresearch.ai/blog/litellm-pypi-supply-chain-attack/</w:t>
        </w:r>
      </w:hyperlink>
      <w:r>
        <w:t xml:space="preserve"> </w:t>
      </w:r>
      <w:r>
        <w:t xml:space="preserve">accessed 2026-10-08 [search-tool extract]</w:t>
      </w:r>
    </w:p>
  </w:footnote>
  <w:footnote w:id="2278">
    <w:p>
      <w:pPr>
        <w:pStyle w:val="FootnoteText"/>
      </w:pPr>
      <w:r>
        <w:rPr>
          <w:rStyle w:val="FootnoteReference"/>
        </w:rPr>
        <w:footnoteRef/>
      </w:r>
      <w:r>
        <w:t xml:space="preserve"> </w:t>
      </w:r>
      <w:r>
        <w:t xml:space="preserve">Verified fact — A7-S113: Vantage blog: Managed AI Tags; Support for Anthropic Costs; Support for Claude Enterprise Costs; OpenAI cost tools</w:t>
      </w:r>
      <w:r>
        <w:t xml:space="preserve"> </w:t>
      </w:r>
      <w:hyperlink r:id="rId2263">
        <w:r>
          <w:rPr>
            <w:rStyle w:val="Hyperlink"/>
          </w:rPr>
          <w:t xml:space="preserve">https://www.vantage.sh/blog/managed-ai-tags</w:t>
        </w:r>
      </w:hyperlink>
      <w:r>
        <w:t xml:space="preserve"> </w:t>
      </w:r>
      <w:r>
        <w:t xml:space="preserve">accessed 2026-10-07 [search-tool extract]; A7-S090: Vantage MCP Server README</w:t>
      </w:r>
      <w:r>
        <w:t xml:space="preserve"> </w:t>
      </w:r>
      <w:hyperlink r:id="rId2279">
        <w:r>
          <w:rPr>
            <w:rStyle w:val="Hyperlink"/>
          </w:rPr>
          <w:t xml:space="preserve">https://raw.githubusercontent.com/vantage-sh/vantage-mcp-server/main/README.md</w:t>
        </w:r>
      </w:hyperlink>
      <w:r>
        <w:t xml:space="preserve"> </w:t>
      </w:r>
      <w:r>
        <w:t xml:space="preserve">accessed 2026-10-07</w:t>
      </w:r>
    </w:p>
  </w:footnote>
  <w:footnote w:id="2280">
    <w:p>
      <w:pPr>
        <w:pStyle w:val="FootnoteText"/>
      </w:pPr>
      <w:r>
        <w:rPr>
          <w:rStyle w:val="FootnoteReference"/>
        </w:rPr>
        <w:footnoteRef/>
      </w:r>
      <w:r>
        <w:t xml:space="preserve"> </w:t>
      </w:r>
      <w:r>
        <w:t xml:space="preserve">Verified fact — A7-S113: Vantage blog: Managed AI Tags; Support for Anthropic Costs; Support for Claude Enterprise Costs; OpenAI cost tools</w:t>
      </w:r>
      <w:r>
        <w:t xml:space="preserve"> </w:t>
      </w:r>
      <w:hyperlink r:id="rId2263">
        <w:r>
          <w:rPr>
            <w:rStyle w:val="Hyperlink"/>
          </w:rPr>
          <w:t xml:space="preserve">https://www.vantage.sh/blog/managed-ai-tags</w:t>
        </w:r>
      </w:hyperlink>
      <w:r>
        <w:t xml:space="preserve"> </w:t>
      </w:r>
      <w:r>
        <w:t xml:space="preserve">accessed 2026-10-07 [search-tool extract]</w:t>
      </w:r>
    </w:p>
  </w:footnote>
  <w:footnote w:id="2281">
    <w:p>
      <w:pPr>
        <w:pStyle w:val="FootnoteText"/>
      </w:pPr>
      <w:r>
        <w:rPr>
          <w:rStyle w:val="FootnoteReference"/>
        </w:rPr>
        <w:footnoteRef/>
      </w:r>
      <w:r>
        <w:t xml:space="preserve"> </w:t>
      </w:r>
      <w:r>
        <w:t xml:space="preserve">Verified fact — A7-S113: Vantage blog: Managed AI Tags; Support for Anthropic Costs; Support for Claude Enterprise Costs; OpenAI cost tools</w:t>
      </w:r>
      <w:r>
        <w:t xml:space="preserve"> </w:t>
      </w:r>
      <w:hyperlink r:id="rId2263">
        <w:r>
          <w:rPr>
            <w:rStyle w:val="Hyperlink"/>
          </w:rPr>
          <w:t xml:space="preserve">https://www.vantage.sh/blog/managed-ai-tags</w:t>
        </w:r>
      </w:hyperlink>
      <w:r>
        <w:t xml:space="preserve"> </w:t>
      </w:r>
      <w:r>
        <w:t xml:space="preserve">accessed 2026-10-07 [search-tool extract]</w:t>
      </w:r>
    </w:p>
  </w:footnote>
  <w:footnote w:id="2282">
    <w:p>
      <w:pPr>
        <w:pStyle w:val="FootnoteText"/>
      </w:pPr>
      <w:r>
        <w:rPr>
          <w:rStyle w:val="FootnoteReference"/>
        </w:rPr>
        <w:footnoteRef/>
      </w:r>
      <w:r>
        <w:t xml:space="preserve"> </w:t>
      </w:r>
      <w:r>
        <w:t xml:space="preserve">Verified fact — B-C6-S001: Vantage Security and Compliance; Vantage docs: Single Sign-On; SOC 1 Type 2 blog</w:t>
      </w:r>
      <w:r>
        <w:t xml:space="preserve"> </w:t>
      </w:r>
      <w:hyperlink r:id="rId2283">
        <w:r>
          <w:rPr>
            <w:rStyle w:val="Hyperlink"/>
          </w:rPr>
          <w:t xml:space="preserve">https://www.vantage.sh/legal/security</w:t>
        </w:r>
      </w:hyperlink>
      <w:r>
        <w:t xml:space="preserve"> </w:t>
      </w:r>
      <w:r>
        <w:t xml:space="preserve">accessed 2026-10-08 [search-tool extract]</w:t>
      </w:r>
    </w:p>
  </w:footnote>
  <w:footnote w:id="2284">
    <w:p>
      <w:pPr>
        <w:pStyle w:val="FootnoteText"/>
      </w:pPr>
      <w:r>
        <w:rPr>
          <w:rStyle w:val="FootnoteReference"/>
        </w:rPr>
        <w:footnoteRef/>
      </w:r>
      <w:r>
        <w:t xml:space="preserve"> </w:t>
      </w:r>
      <w:r>
        <w:t xml:space="preserve">Verified fact — A7-S113: Vantage blog: Managed AI Tags; Support for Anthropic Costs; Support for Claude Enterprise Costs; OpenAI cost tools</w:t>
      </w:r>
      <w:r>
        <w:t xml:space="preserve"> </w:t>
      </w:r>
      <w:hyperlink r:id="rId2263">
        <w:r>
          <w:rPr>
            <w:rStyle w:val="Hyperlink"/>
          </w:rPr>
          <w:t xml:space="preserve">https://www.vantage.sh/blog/managed-ai-tags</w:t>
        </w:r>
      </w:hyperlink>
      <w:r>
        <w:t xml:space="preserve"> </w:t>
      </w:r>
      <w:r>
        <w:t xml:space="preserve">accessed 2026-10-07 [search-tool extract]</w:t>
      </w:r>
    </w:p>
  </w:footnote>
  <w:footnote w:id="2285">
    <w:p>
      <w:pPr>
        <w:pStyle w:val="FootnoteText"/>
      </w:pPr>
      <w:r>
        <w:rPr>
          <w:rStyle w:val="FootnoteReference"/>
        </w:rPr>
        <w:footnoteRef/>
      </w:r>
      <w:r>
        <w:t xml:space="preserve"> </w:t>
      </w:r>
      <w:r>
        <w:t xml:space="preserve">Verified fact — A7-S113: Vantage blog: Managed AI Tags; Support for Anthropic Costs; Support for Claude Enterprise Costs; OpenAI cost tools</w:t>
      </w:r>
      <w:r>
        <w:t xml:space="preserve"> </w:t>
      </w:r>
      <w:hyperlink r:id="rId2263">
        <w:r>
          <w:rPr>
            <w:rStyle w:val="Hyperlink"/>
          </w:rPr>
          <w:t xml:space="preserve">https://www.vantage.sh/blog/managed-ai-tags</w:t>
        </w:r>
      </w:hyperlink>
      <w:r>
        <w:t xml:space="preserve"> </w:t>
      </w:r>
      <w:r>
        <w:t xml:space="preserve">accessed 2026-10-07 [search-tool extract]</w:t>
      </w:r>
    </w:p>
  </w:footnote>
  <w:footnote w:id="2286">
    <w:p>
      <w:pPr>
        <w:pStyle w:val="FootnoteText"/>
      </w:pPr>
      <w:r>
        <w:rPr>
          <w:rStyle w:val="FootnoteReference"/>
        </w:rPr>
        <w:footnoteRef/>
      </w:r>
      <w:r>
        <w:t xml:space="preserve"> </w:t>
      </w:r>
      <w:r>
        <w:t xml:space="preserve">Verified fact — A7-S113: Vantage blog: Managed AI Tags; Support for Anthropic Costs; Support for Claude Enterprise Costs; OpenAI cost tools</w:t>
      </w:r>
      <w:r>
        <w:t xml:space="preserve"> </w:t>
      </w:r>
      <w:hyperlink r:id="rId2263">
        <w:r>
          <w:rPr>
            <w:rStyle w:val="Hyperlink"/>
          </w:rPr>
          <w:t xml:space="preserve">https://www.vantage.sh/blog/managed-ai-tags</w:t>
        </w:r>
      </w:hyperlink>
      <w:r>
        <w:t xml:space="preserve"> </w:t>
      </w:r>
      <w:r>
        <w:t xml:space="preserve">accessed 2026-10-07 [search-tool extract]</w:t>
      </w:r>
    </w:p>
  </w:footnote>
  <w:footnote w:id="2288">
    <w:p>
      <w:pPr>
        <w:pStyle w:val="FootnoteText"/>
      </w:pPr>
      <w:r>
        <w:rPr>
          <w:rStyle w:val="FootnoteReference"/>
        </w:rPr>
        <w:footnoteRef/>
      </w:r>
      <w:r>
        <w:t xml:space="preserve"> </w:t>
      </w:r>
      <w:r>
        <w:t xml:space="preserve">Verified fact — A7-S114: CloudZero blog posts on AI cost (token-based pricing, Bedrock, Anthropic, Azure OpenAI)</w:t>
      </w:r>
      <w:r>
        <w:t xml:space="preserve"> </w:t>
      </w:r>
      <w:hyperlink r:id="rId2289">
        <w:r>
          <w:rPr>
            <w:rStyle w:val="Hyperlink"/>
          </w:rPr>
          <w:t xml:space="preserve">https://www.cloudzero.com/blog/token-based-pricing/</w:t>
        </w:r>
      </w:hyperlink>
      <w:r>
        <w:t xml:space="preserve"> </w:t>
      </w:r>
      <w:r>
        <w:t xml:space="preserve">accessed 2026-10-07 [search-tool extract]; A7-S091: CloudZero Agent README</w:t>
      </w:r>
      <w:r>
        <w:t xml:space="preserve"> </w:t>
      </w:r>
      <w:hyperlink r:id="rId2290">
        <w:r>
          <w:rPr>
            <w:rStyle w:val="Hyperlink"/>
          </w:rPr>
          <w:t xml:space="preserve">https://raw.githubusercontent.com/Cloudzero/cloudzero-agent/develop/README.md</w:t>
        </w:r>
      </w:hyperlink>
      <w:r>
        <w:t xml:space="preserve"> </w:t>
      </w:r>
      <w:r>
        <w:t xml:space="preserve">accessed 2026-10-07</w:t>
      </w:r>
    </w:p>
  </w:footnote>
  <w:footnote w:id="2291">
    <w:p>
      <w:pPr>
        <w:pStyle w:val="FootnoteText"/>
      </w:pPr>
      <w:r>
        <w:rPr>
          <w:rStyle w:val="FootnoteReference"/>
        </w:rPr>
        <w:footnoteRef/>
      </w:r>
      <w:r>
        <w:t xml:space="preserve"> </w:t>
      </w:r>
      <w:r>
        <w:t xml:space="preserve">Verified fact — A7-S114: CloudZero blog posts on AI cost (token-based pricing, Bedrock, Anthropic, Azure OpenAI)</w:t>
      </w:r>
      <w:r>
        <w:t xml:space="preserve"> </w:t>
      </w:r>
      <w:hyperlink r:id="rId2289">
        <w:r>
          <w:rPr>
            <w:rStyle w:val="Hyperlink"/>
          </w:rPr>
          <w:t xml:space="preserve">https://www.cloudzero.com/blog/token-based-pricing/</w:t>
        </w:r>
      </w:hyperlink>
      <w:r>
        <w:t xml:space="preserve"> </w:t>
      </w:r>
      <w:r>
        <w:t xml:space="preserve">accessed 2026-10-07 [search-tool extract]</w:t>
      </w:r>
    </w:p>
  </w:footnote>
  <w:footnote w:id="2292">
    <w:p>
      <w:pPr>
        <w:pStyle w:val="FootnoteText"/>
      </w:pPr>
      <w:r>
        <w:rPr>
          <w:rStyle w:val="FootnoteReference"/>
        </w:rPr>
        <w:footnoteRef/>
      </w:r>
      <w:r>
        <w:t xml:space="preserve"> </w:t>
      </w:r>
      <w:r>
        <w:t xml:space="preserve">Verified fact — A7-S114: CloudZero blog posts on AI cost (token-based pricing, Bedrock, Anthropic, Azure OpenAI)</w:t>
      </w:r>
      <w:r>
        <w:t xml:space="preserve"> </w:t>
      </w:r>
      <w:hyperlink r:id="rId2289">
        <w:r>
          <w:rPr>
            <w:rStyle w:val="Hyperlink"/>
          </w:rPr>
          <w:t xml:space="preserve">https://www.cloudzero.com/blog/token-based-pricing/</w:t>
        </w:r>
      </w:hyperlink>
      <w:r>
        <w:t xml:space="preserve"> </w:t>
      </w:r>
      <w:r>
        <w:t xml:space="preserve">accessed 2026-10-07 [search-tool extract]</w:t>
      </w:r>
    </w:p>
  </w:footnote>
  <w:footnote w:id="2293">
    <w:p>
      <w:pPr>
        <w:pStyle w:val="FootnoteText"/>
      </w:pPr>
      <w:r>
        <w:rPr>
          <w:rStyle w:val="FootnoteReference"/>
        </w:rPr>
        <w:footnoteRef/>
      </w:r>
      <w:r>
        <w:t xml:space="preserve"> </w:t>
      </w:r>
      <w:r>
        <w:t xml:space="preserve">Verified fact — B-C6-S002: CloudZero Trust Center; CloudZero security page</w:t>
      </w:r>
      <w:r>
        <w:t xml:space="preserve"> </w:t>
      </w:r>
      <w:hyperlink r:id="rId2294">
        <w:r>
          <w:rPr>
            <w:rStyle w:val="Hyperlink"/>
          </w:rPr>
          <w:t xml:space="preserve">https://trust.cloudzero.com/</w:t>
        </w:r>
      </w:hyperlink>
      <w:r>
        <w:t xml:space="preserve"> </w:t>
      </w:r>
      <w:r>
        <w:t xml:space="preserve">accessed 2026-10-08 [search-tool extract]; B-C6-S003: CloudZero docs: Users &amp; Permissions; SSO with SAML; View and Manage Roles</w:t>
      </w:r>
      <w:r>
        <w:t xml:space="preserve"> </w:t>
      </w:r>
      <w:hyperlink r:id="rId2295">
        <w:r>
          <w:rPr>
            <w:rStyle w:val="Hyperlink"/>
          </w:rPr>
          <w:t xml:space="preserve">https://docs.cloudzero.com/docs/users-and-permissions</w:t>
        </w:r>
      </w:hyperlink>
      <w:r>
        <w:t xml:space="preserve"> </w:t>
      </w:r>
      <w:r>
        <w:t xml:space="preserve">accessed 2026-10-08 [search-tool extract]</w:t>
      </w:r>
    </w:p>
  </w:footnote>
  <w:footnote w:id="2296">
    <w:p>
      <w:pPr>
        <w:pStyle w:val="FootnoteText"/>
      </w:pPr>
      <w:r>
        <w:rPr>
          <w:rStyle w:val="FootnoteReference"/>
        </w:rPr>
        <w:footnoteRef/>
      </w:r>
      <w:r>
        <w:t xml:space="preserve"> </w:t>
      </w:r>
      <w:r>
        <w:t xml:space="preserve">Verified fact — A7-S114: CloudZero blog posts on AI cost (token-based pricing, Bedrock, Anthropic, Azure OpenAI)</w:t>
      </w:r>
      <w:r>
        <w:t xml:space="preserve"> </w:t>
      </w:r>
      <w:hyperlink r:id="rId2289">
        <w:r>
          <w:rPr>
            <w:rStyle w:val="Hyperlink"/>
          </w:rPr>
          <w:t xml:space="preserve">https://www.cloudzero.com/blog/token-based-pricing/</w:t>
        </w:r>
      </w:hyperlink>
      <w:r>
        <w:t xml:space="preserve"> </w:t>
      </w:r>
      <w:r>
        <w:t xml:space="preserve">accessed 2026-10-07 [search-tool extract]</w:t>
      </w:r>
    </w:p>
  </w:footnote>
  <w:footnote w:id="2297">
    <w:p>
      <w:pPr>
        <w:pStyle w:val="FootnoteText"/>
      </w:pPr>
      <w:r>
        <w:rPr>
          <w:rStyle w:val="FootnoteReference"/>
        </w:rPr>
        <w:footnoteRef/>
      </w:r>
      <w:r>
        <w:t xml:space="preserve"> </w:t>
      </w:r>
      <w:r>
        <w:t xml:space="preserve">Verified fact — B-C6-S002: CloudZero Trust Center; CloudZero security page</w:t>
      </w:r>
      <w:r>
        <w:t xml:space="preserve"> </w:t>
      </w:r>
      <w:hyperlink r:id="rId2294">
        <w:r>
          <w:rPr>
            <w:rStyle w:val="Hyperlink"/>
          </w:rPr>
          <w:t xml:space="preserve">https://trust.cloudzero.com/</w:t>
        </w:r>
      </w:hyperlink>
      <w:r>
        <w:t xml:space="preserve"> </w:t>
      </w:r>
      <w:r>
        <w:t xml:space="preserve">accessed 2026-10-08 [search-tool extract]</w:t>
      </w:r>
    </w:p>
  </w:footnote>
  <w:footnote w:id="2299">
    <w:p>
      <w:pPr>
        <w:pStyle w:val="FootnoteText"/>
      </w:pPr>
      <w:r>
        <w:rPr>
          <w:rStyle w:val="FootnoteReference"/>
        </w:rPr>
        <w:footnoteRef/>
      </w:r>
      <w:r>
        <w:t xml:space="preserve"> </w:t>
      </w:r>
      <w:r>
        <w:t xml:space="preserve">Verified fact — A7-S046: Helicone README</w:t>
      </w:r>
      <w:r>
        <w:t xml:space="preserve"> </w:t>
      </w:r>
      <w:hyperlink r:id="rId2300">
        <w:r>
          <w:rPr>
            <w:rStyle w:val="Hyperlink"/>
          </w:rPr>
          <w:t xml:space="preserve">https://raw.githubusercontent.com/Helicone/helicone/main/README.md</w:t>
        </w:r>
      </w:hyperlink>
      <w:r>
        <w:t xml:space="preserve"> </w:t>
      </w:r>
      <w:r>
        <w:t xml:space="preserve">accessed 2026-10-07</w:t>
      </w:r>
    </w:p>
  </w:footnote>
  <w:footnote w:id="2301">
    <w:p>
      <w:pPr>
        <w:pStyle w:val="FootnoteText"/>
      </w:pPr>
      <w:r>
        <w:rPr>
          <w:rStyle w:val="FootnoteReference"/>
        </w:rPr>
        <w:footnoteRef/>
      </w:r>
      <w:r>
        <w:t xml:space="preserve"> </w:t>
      </w:r>
      <w:r>
        <w:t xml:space="preserve">Verified fact — A7-S046: Helicone README</w:t>
      </w:r>
      <w:r>
        <w:t xml:space="preserve"> </w:t>
      </w:r>
      <w:hyperlink r:id="rId2300">
        <w:r>
          <w:rPr>
            <w:rStyle w:val="Hyperlink"/>
          </w:rPr>
          <w:t xml:space="preserve">https://raw.githubusercontent.com/Helicone/helicone/main/README.md</w:t>
        </w:r>
      </w:hyperlink>
      <w:r>
        <w:t xml:space="preserve"> </w:t>
      </w:r>
      <w:r>
        <w:t xml:space="preserve">accessed 2026-10-07</w:t>
      </w:r>
    </w:p>
  </w:footnote>
  <w:footnote w:id="2302">
    <w:p>
      <w:pPr>
        <w:pStyle w:val="FootnoteText"/>
      </w:pPr>
      <w:r>
        <w:rPr>
          <w:rStyle w:val="FootnoteReference"/>
        </w:rPr>
        <w:footnoteRef/>
      </w:r>
      <w:r>
        <w:t xml:space="preserve"> </w:t>
      </w:r>
      <w:r>
        <w:t xml:space="preserve">Verified fact — A7-S046: Helicone README</w:t>
      </w:r>
      <w:r>
        <w:t xml:space="preserve"> </w:t>
      </w:r>
      <w:hyperlink r:id="rId2300">
        <w:r>
          <w:rPr>
            <w:rStyle w:val="Hyperlink"/>
          </w:rPr>
          <w:t xml:space="preserve">https://raw.githubusercontent.com/Helicone/helicone/main/README.md</w:t>
        </w:r>
      </w:hyperlink>
      <w:r>
        <w:t xml:space="preserve"> </w:t>
      </w:r>
      <w:r>
        <w:t xml:space="preserve">accessed 2026-10-07</w:t>
      </w:r>
    </w:p>
  </w:footnote>
  <w:footnote w:id="2303">
    <w:p>
      <w:pPr>
        <w:pStyle w:val="FootnoteText"/>
      </w:pPr>
      <w:r>
        <w:rPr>
          <w:rStyle w:val="FootnoteReference"/>
        </w:rPr>
        <w:footnoteRef/>
      </w:r>
      <w:r>
        <w:t xml:space="preserve"> </w:t>
      </w:r>
      <w:r>
        <w:t xml:space="preserve">Verified fact — A7-S112: Helicone Blog: Helicone acquired by Mintlify (and Mintlify announcement) (Helicone / Mintlify)</w:t>
      </w:r>
      <w:r>
        <w:t xml:space="preserve"> </w:t>
      </w:r>
      <w:hyperlink r:id="rId2304">
        <w:r>
          <w:rPr>
            <w:rStyle w:val="Hyperlink"/>
          </w:rPr>
          <w:t xml:space="preserve">https://www.helicone.ai/blog</w:t>
        </w:r>
      </w:hyperlink>
      <w:r>
        <w:t xml:space="preserve"> </w:t>
      </w:r>
      <w:r>
        <w:t xml:space="preserve">accessed 2026-10-07 [search-tool extract]; V2-S043: Helicone Joins Mintlify (with mintlify.com</w:t>
      </w:r>
      <w:r>
        <w:t xml:space="preserve"> </w:t>
      </w:r>
      <w:r>
        <w:t xml:space="preserve">‘</w:t>
      </w:r>
      <w:r>
        <w:t xml:space="preserve">Mintlify acquires Helicone</w:t>
      </w:r>
      <w:r>
        <w:t xml:space="preserve">’</w:t>
      </w:r>
      <w:r>
        <w:t xml:space="preserve">; PostHog comparison) (Helicone / Mintlify)</w:t>
      </w:r>
      <w:r>
        <w:t xml:space="preserve"> </w:t>
      </w:r>
      <w:hyperlink r:id="rId2305">
        <w:r>
          <w:rPr>
            <w:rStyle w:val="Hyperlink"/>
          </w:rPr>
          <w:t xml:space="preserve">https://www.helicone.ai/blog/joining-mintlify</w:t>
        </w:r>
      </w:hyperlink>
      <w:r>
        <w:t xml:space="preserve"> </w:t>
      </w:r>
      <w:r>
        <w:t xml:space="preserve">accessed 2026-10-08 [search-tool extract]</w:t>
      </w:r>
    </w:p>
  </w:footnote>
  <w:footnote w:id="2306">
    <w:p>
      <w:pPr>
        <w:pStyle w:val="FootnoteText"/>
      </w:pPr>
      <w:r>
        <w:rPr>
          <w:rStyle w:val="FootnoteReference"/>
        </w:rPr>
        <w:footnoteRef/>
      </w:r>
      <w:r>
        <w:t xml:space="preserve"> </w:t>
      </w:r>
      <w:r>
        <w:t xml:space="preserve">Verified fact — A7-S047:</w:t>
      </w:r>
      <w:r>
        <w:t xml:space="preserve"> </w:t>
      </w:r>
      <w:r>
        <w:t xml:space="preserve">@helicone/helpers</w:t>
      </w:r>
      <w:r>
        <w:t xml:space="preserve"> </w:t>
      </w:r>
      <w:r>
        <w:t xml:space="preserve">on npm (npm / Helicone)</w:t>
      </w:r>
      <w:r>
        <w:t xml:space="preserve"> </w:t>
      </w:r>
      <w:hyperlink r:id="rId2307">
        <w:r>
          <w:rPr>
            <w:rStyle w:val="Hyperlink"/>
          </w:rPr>
          <w:t xml:space="preserve">https://registry.npmjs.org/@helicone/helpers</w:t>
        </w:r>
      </w:hyperlink>
      <w:r>
        <w:t xml:space="preserve"> </w:t>
      </w:r>
      <w:r>
        <w:t xml:space="preserve">accessed 2026-10-07</w:t>
      </w:r>
    </w:p>
  </w:footnote>
  <w:footnote w:id="2308">
    <w:p>
      <w:pPr>
        <w:pStyle w:val="FootnoteText"/>
      </w:pPr>
      <w:r>
        <w:rPr>
          <w:rStyle w:val="FootnoteReference"/>
        </w:rPr>
        <w:footnoteRef/>
      </w:r>
      <w:r>
        <w:t xml:space="preserve"> </w:t>
      </w:r>
      <w:r>
        <w:t xml:space="preserve">Verified fact — A7-S046: Helicone README</w:t>
      </w:r>
      <w:r>
        <w:t xml:space="preserve"> </w:t>
      </w:r>
      <w:hyperlink r:id="rId2300">
        <w:r>
          <w:rPr>
            <w:rStyle w:val="Hyperlink"/>
          </w:rPr>
          <w:t xml:space="preserve">https://raw.githubusercontent.com/Helicone/helicone/main/README.md</w:t>
        </w:r>
      </w:hyperlink>
      <w:r>
        <w:t xml:space="preserve"> </w:t>
      </w:r>
      <w:r>
        <w:t xml:space="preserve">accessed 2026-10-07</w:t>
      </w:r>
    </w:p>
  </w:footnote>
  <w:footnote w:id="2311">
    <w:p>
      <w:pPr>
        <w:pStyle w:val="FootnoteText"/>
      </w:pPr>
      <w:r>
        <w:rPr>
          <w:rStyle w:val="FootnoteReference"/>
        </w:rPr>
        <w:footnoteRef/>
      </w:r>
      <w:r>
        <w:t xml:space="preserve"> </w:t>
      </w:r>
      <w:r>
        <w:t xml:space="preserve">Verified fact — A7-S034: HashiCorp Vault agentic IAM is now generally available (HashiCorp (IBM))</w:t>
      </w:r>
      <w:r>
        <w:t xml:space="preserve"> </w:t>
      </w:r>
      <w:hyperlink r:id="rId2312">
        <w:r>
          <w:rPr>
            <w:rStyle w:val="Hyperlink"/>
          </w:rPr>
          <w:t xml:space="preserve">https://www.hashicorp.com/en/blog/hashicorp-vault-agentic-iam-is-now-generally-available</w:t>
        </w:r>
      </w:hyperlink>
      <w:r>
        <w:t xml:space="preserve"> </w:t>
      </w:r>
      <w:r>
        <w:t xml:space="preserve">accessed 2026-10-07 [search-tool extract]; A7-S061: HashiCorp Vault CHANGELOG (HashiCorp / IBM)</w:t>
      </w:r>
      <w:r>
        <w:t xml:space="preserve"> </w:t>
      </w:r>
      <w:hyperlink r:id="rId2313">
        <w:r>
          <w:rPr>
            <w:rStyle w:val="Hyperlink"/>
          </w:rPr>
          <w:t xml:space="preserve">https://raw.githubusercontent.com/hashicorp/vault/main/CHANGELOG.md</w:t>
        </w:r>
      </w:hyperlink>
      <w:r>
        <w:t xml:space="preserve"> </w:t>
      </w:r>
      <w:r>
        <w:t xml:space="preserve">accessed 2026-10-07</w:t>
      </w:r>
    </w:p>
  </w:footnote>
  <w:footnote w:id="2314">
    <w:p>
      <w:pPr>
        <w:pStyle w:val="FootnoteText"/>
      </w:pPr>
      <w:r>
        <w:rPr>
          <w:rStyle w:val="FootnoteReference"/>
        </w:rPr>
        <w:footnoteRef/>
      </w:r>
      <w:r>
        <w:t xml:space="preserve"> </w:t>
      </w:r>
      <w:r>
        <w:t xml:space="preserve">Verified fact — A7-S034: HashiCorp Vault agentic IAM is now generally available (HashiCorp (IBM))</w:t>
      </w:r>
      <w:r>
        <w:t xml:space="preserve"> </w:t>
      </w:r>
      <w:hyperlink r:id="rId2312">
        <w:r>
          <w:rPr>
            <w:rStyle w:val="Hyperlink"/>
          </w:rPr>
          <w:t xml:space="preserve">https://www.hashicorp.com/en/blog/hashicorp-vault-agentic-iam-is-now-generally-available</w:t>
        </w:r>
      </w:hyperlink>
      <w:r>
        <w:t xml:space="preserve"> </w:t>
      </w:r>
      <w:r>
        <w:t xml:space="preserve">accessed 2026-10-07 [search-tool extract]</w:t>
      </w:r>
    </w:p>
  </w:footnote>
  <w:footnote w:id="2315">
    <w:p>
      <w:pPr>
        <w:pStyle w:val="FootnoteText"/>
      </w:pPr>
      <w:r>
        <w:rPr>
          <w:rStyle w:val="FootnoteReference"/>
        </w:rPr>
        <w:footnoteRef/>
      </w:r>
      <w:r>
        <w:t xml:space="preserve"> </w:t>
      </w:r>
      <w:r>
        <w:t xml:space="preserve">Verified fact — A7-S035: HashiCorp Compliance Overview / Security at HashiCorp (HashiCorp (IBM))</w:t>
      </w:r>
      <w:r>
        <w:t xml:space="preserve"> </w:t>
      </w:r>
      <w:hyperlink r:id="rId2316">
        <w:r>
          <w:rPr>
            <w:rStyle w:val="Hyperlink"/>
          </w:rPr>
          <w:t xml:space="preserve">https://www.hashicorp.com/en/trust/compliance</w:t>
        </w:r>
      </w:hyperlink>
      <w:r>
        <w:t xml:space="preserve"> </w:t>
      </w:r>
      <w:r>
        <w:t xml:space="preserve">accessed 2026-10-07 [search-tool extract]</w:t>
      </w:r>
    </w:p>
  </w:footnote>
  <w:footnote w:id="2317">
    <w:p>
      <w:pPr>
        <w:pStyle w:val="FootnoteText"/>
      </w:pPr>
      <w:r>
        <w:rPr>
          <w:rStyle w:val="FootnoteReference"/>
        </w:rPr>
        <w:footnoteRef/>
      </w:r>
      <w:r>
        <w:t xml:space="preserve"> </w:t>
      </w:r>
      <w:r>
        <w:t xml:space="preserve">Verified fact — A7-S033: Vault release notes 2.x; IBM Vault Self-Managed 2.x.x lifecycle page (HashiCorp (IBM))</w:t>
      </w:r>
      <w:r>
        <w:t xml:space="preserve"> </w:t>
      </w:r>
      <w:hyperlink r:id="rId2318">
        <w:r>
          <w:rPr>
            <w:rStyle w:val="Hyperlink"/>
          </w:rPr>
          <w:t xml:space="preserve">https://developer.hashicorp.com/vault/docs/updates/release-notes</w:t>
        </w:r>
      </w:hyperlink>
      <w:r>
        <w:t xml:space="preserve"> </w:t>
      </w:r>
      <w:r>
        <w:t xml:space="preserve">accessed 2026-10-07 [search-tool extract]; A7-S034: HashiCorp Vault agentic IAM is now generally available (HashiCorp (IBM))</w:t>
      </w:r>
      <w:r>
        <w:t xml:space="preserve"> </w:t>
      </w:r>
      <w:hyperlink r:id="rId2312">
        <w:r>
          <w:rPr>
            <w:rStyle w:val="Hyperlink"/>
          </w:rPr>
          <w:t xml:space="preserve">https://www.hashicorp.com/en/blog/hashicorp-vault-agentic-iam-is-now-generally-available</w:t>
        </w:r>
      </w:hyperlink>
      <w:r>
        <w:t xml:space="preserve"> </w:t>
      </w:r>
      <w:r>
        <w:t xml:space="preserve">accessed 2026-10-07 [search-tool extract]</w:t>
      </w:r>
    </w:p>
  </w:footnote>
  <w:footnote w:id="2319">
    <w:p>
      <w:pPr>
        <w:pStyle w:val="FootnoteText"/>
      </w:pPr>
      <w:r>
        <w:rPr>
          <w:rStyle w:val="FootnoteReference"/>
        </w:rPr>
        <w:footnoteRef/>
      </w:r>
      <w:r>
        <w:t xml:space="preserve"> </w:t>
      </w:r>
      <w:r>
        <w:t xml:space="preserve">Verified fact — A7-S033: Vault release notes 2.x; IBM Vault Self-Managed 2.x.x lifecycle page (HashiCorp (IBM))</w:t>
      </w:r>
      <w:r>
        <w:t xml:space="preserve"> </w:t>
      </w:r>
      <w:hyperlink r:id="rId2318">
        <w:r>
          <w:rPr>
            <w:rStyle w:val="Hyperlink"/>
          </w:rPr>
          <w:t xml:space="preserve">https://developer.hashicorp.com/vault/docs/updates/release-notes</w:t>
        </w:r>
      </w:hyperlink>
      <w:r>
        <w:t xml:space="preserve"> </w:t>
      </w:r>
      <w:r>
        <w:t xml:space="preserve">accessed 2026-10-07 [search-tool extract]</w:t>
      </w:r>
    </w:p>
  </w:footnote>
  <w:footnote w:id="2320">
    <w:p>
      <w:pPr>
        <w:pStyle w:val="FootnoteText"/>
      </w:pPr>
      <w:r>
        <w:rPr>
          <w:rStyle w:val="FootnoteReference"/>
        </w:rPr>
        <w:footnoteRef/>
      </w:r>
      <w:r>
        <w:t xml:space="preserve"> </w:t>
      </w:r>
      <w:r>
        <w:t xml:space="preserve">Verified fact — A7-S060: HashiCorp Vault LICENSE (BUSL 1.1) (HashiCorp / IBM)</w:t>
      </w:r>
      <w:r>
        <w:t xml:space="preserve"> </w:t>
      </w:r>
      <w:hyperlink r:id="rId2321">
        <w:r>
          <w:rPr>
            <w:rStyle w:val="Hyperlink"/>
          </w:rPr>
          <w:t xml:space="preserve">https://raw.githubusercontent.com/hashicorp/vault/main/LICENSE</w:t>
        </w:r>
      </w:hyperlink>
      <w:r>
        <w:t xml:space="preserve"> </w:t>
      </w:r>
      <w:r>
        <w:t xml:space="preserve">accessed 2026-10-07</w:t>
      </w:r>
    </w:p>
  </w:footnote>
  <w:footnote w:id="2322">
    <w:p>
      <w:pPr>
        <w:pStyle w:val="FootnoteText"/>
      </w:pPr>
      <w:r>
        <w:rPr>
          <w:rStyle w:val="FootnoteReference"/>
        </w:rPr>
        <w:footnoteRef/>
      </w:r>
      <w:r>
        <w:t xml:space="preserve"> </w:t>
      </w:r>
      <w:r>
        <w:t xml:space="preserve">Verified fact — A7-S034: HashiCorp Vault agentic IAM is now generally available (HashiCorp (IBM))</w:t>
      </w:r>
      <w:r>
        <w:t xml:space="preserve"> </w:t>
      </w:r>
      <w:hyperlink r:id="rId2312">
        <w:r>
          <w:rPr>
            <w:rStyle w:val="Hyperlink"/>
          </w:rPr>
          <w:t xml:space="preserve">https://www.hashicorp.com/en/blog/hashicorp-vault-agentic-iam-is-now-generally-available</w:t>
        </w:r>
      </w:hyperlink>
      <w:r>
        <w:t xml:space="preserve"> </w:t>
      </w:r>
      <w:r>
        <w:t xml:space="preserve">accessed 2026-10-07 [search-tool extract]</w:t>
      </w:r>
    </w:p>
  </w:footnote>
  <w:footnote w:id="2323">
    <w:p>
      <w:pPr>
        <w:pStyle w:val="FootnoteText"/>
      </w:pPr>
      <w:r>
        <w:rPr>
          <w:rStyle w:val="FootnoteReference"/>
        </w:rPr>
        <w:footnoteRef/>
      </w:r>
      <w:r>
        <w:t xml:space="preserve"> </w:t>
      </w:r>
      <w:r>
        <w:t xml:space="preserve">Verified fact — A7-S032: IBM Completes Acquisition of HashiCorp, Creates Comprehensive, End-to-End Hybrid Cloud Platform</w:t>
      </w:r>
      <w:r>
        <w:t xml:space="preserve"> </w:t>
      </w:r>
      <w:hyperlink r:id="rId2324">
        <w:r>
          <w:rPr>
            <w:rStyle w:val="Hyperlink"/>
          </w:rPr>
          <w:t xml:space="preserve">https://newsroom.ibm.com/2025-02-27-ibm-completes-acquisition-of-hashicorp,-creates-comprehensive,-end-to-end-hybrid-cloud-platform</w:t>
        </w:r>
      </w:hyperlink>
      <w:r>
        <w:t xml:space="preserve"> </w:t>
      </w:r>
      <w:r>
        <w:t xml:space="preserve">accessed 2026-10-07 [search-tool extract]</w:t>
      </w:r>
    </w:p>
  </w:footnote>
  <w:footnote w:id="2325">
    <w:p>
      <w:pPr>
        <w:pStyle w:val="FootnoteText"/>
      </w:pPr>
      <w:r>
        <w:rPr>
          <w:rStyle w:val="FootnoteReference"/>
        </w:rPr>
        <w:footnoteRef/>
      </w:r>
      <w:r>
        <w:t xml:space="preserve"> </w:t>
      </w:r>
      <w:r>
        <w:t xml:space="preserve">Verified fact — V2-S061: Go module proxy</w:t>
      </w:r>
      <w:r>
        <w:t xml:space="preserve"> </w:t>
      </w:r>
      <w:r>
        <w:t xml:space="preserve">@latest</w:t>
      </w:r>
      <w:r>
        <w:t xml:space="preserve">: OPA, SPIRE, agentgateway, envoyproxy/ai-gateway (Agent Router), hashicorp/vault (incl. v2 resolution error) and Vault CHANGELOG heading (Go module proxy (proxy.golang.org) / GitHub raw)</w:t>
      </w:r>
      <w:r>
        <w:t xml:space="preserve"> </w:t>
      </w:r>
      <w:hyperlink r:id="rId2104">
        <w:r>
          <w:rPr>
            <w:rStyle w:val="Hyperlink"/>
          </w:rPr>
          <w:t xml:space="preserve">https://proxy.golang.org/github.com/open-policy-agent/opa/@latest</w:t>
        </w:r>
      </w:hyperlink>
      <w:r>
        <w:t xml:space="preserve"> </w:t>
      </w:r>
      <w:r>
        <w:t xml:space="preserve">accessed 2026-10-08 [search-tool extract]</w:t>
      </w:r>
    </w:p>
  </w:footnote>
  <w:footnote w:id="2327">
    <w:p>
      <w:pPr>
        <w:pStyle w:val="FootnoteText"/>
      </w:pPr>
      <w:r>
        <w:rPr>
          <w:rStyle w:val="FootnoteReference"/>
        </w:rPr>
        <w:footnoteRef/>
      </w:r>
      <w:r>
        <w:t xml:space="preserve"> </w:t>
      </w:r>
      <w:r>
        <w:t xml:space="preserve">Verified fact — A7-S082: ModelScan README (Protect AI (Palo Alto Networks))</w:t>
      </w:r>
      <w:r>
        <w:t xml:space="preserve"> </w:t>
      </w:r>
      <w:hyperlink r:id="rId2328">
        <w:r>
          <w:rPr>
            <w:rStyle w:val="Hyperlink"/>
          </w:rPr>
          <w:t xml:space="preserve">https://raw.githubusercontent.com/protectai/modelscan/main/README.md</w:t>
        </w:r>
      </w:hyperlink>
      <w:r>
        <w:t xml:space="preserve"> </w:t>
      </w:r>
      <w:r>
        <w:t xml:space="preserve">accessed 2026-10-07; A7-S083: picklescan README (picklescan maintainers)</w:t>
      </w:r>
      <w:r>
        <w:t xml:space="preserve"> </w:t>
      </w:r>
      <w:hyperlink r:id="rId2329">
        <w:r>
          <w:rPr>
            <w:rStyle w:val="Hyperlink"/>
          </w:rPr>
          <w:t xml:space="preserve">https://raw.githubusercontent.com/mmaitre314/picklescan/main/README.md</w:t>
        </w:r>
      </w:hyperlink>
      <w:r>
        <w:t xml:space="preserve"> </w:t>
      </w:r>
      <w:r>
        <w:t xml:space="preserve">accessed 2026-10-07; A7-S064: fickling on PyPI (PyPI / Trail of Bits)</w:t>
      </w:r>
      <w:r>
        <w:t xml:space="preserve"> </w:t>
      </w:r>
      <w:hyperlink r:id="rId2330">
        <w:r>
          <w:rPr>
            <w:rStyle w:val="Hyperlink"/>
          </w:rPr>
          <w:t xml:space="preserve">https://pypi.org/pypi/fickling/json</w:t>
        </w:r>
      </w:hyperlink>
      <w:r>
        <w:t xml:space="preserve"> </w:t>
      </w:r>
      <w:r>
        <w:t xml:space="preserve">accessed 2026-10-07; A7-S007: safetensors on PyPI (JSON API) (PyPI / Hugging Face)</w:t>
      </w:r>
      <w:r>
        <w:t xml:space="preserve"> </w:t>
      </w:r>
      <w:hyperlink r:id="rId2331">
        <w:r>
          <w:rPr>
            <w:rStyle w:val="Hyperlink"/>
          </w:rPr>
          <w:t xml:space="preserve">https://pypi.org/pypi/safetensors/json</w:t>
        </w:r>
      </w:hyperlink>
      <w:r>
        <w:t xml:space="preserve"> </w:t>
      </w:r>
      <w:r>
        <w:t xml:space="preserve">accessed 2026-10-07; A7-S037: Hugging Face Hub Security docs (malware scanning, pickle scanning, third-party scanners Protect AI and JFrog)</w:t>
      </w:r>
      <w:r>
        <w:t xml:space="preserve"> </w:t>
      </w:r>
      <w:hyperlink r:id="rId2332">
        <w:r>
          <w:rPr>
            <w:rStyle w:val="Hyperlink"/>
          </w:rPr>
          <w:t xml:space="preserve">https://huggingface.co/docs/hub/security</w:t>
        </w:r>
      </w:hyperlink>
      <w:r>
        <w:t xml:space="preserve"> </w:t>
      </w:r>
      <w:r>
        <w:t xml:space="preserve">accessed 2026-10-07 [search-tool extract]</w:t>
      </w:r>
    </w:p>
  </w:footnote>
  <w:footnote w:id="2333">
    <w:p>
      <w:pPr>
        <w:pStyle w:val="FootnoteText"/>
      </w:pPr>
      <w:r>
        <w:rPr>
          <w:rStyle w:val="FootnoteReference"/>
        </w:rPr>
        <w:footnoteRef/>
      </w:r>
      <w:r>
        <w:t xml:space="preserve"> </w:t>
      </w:r>
      <w:r>
        <w:t xml:space="preserve">Verified fact — B-C7-S006: safetensors README (Hugging Face)</w:t>
      </w:r>
      <w:r>
        <w:t xml:space="preserve"> </w:t>
      </w:r>
      <w:hyperlink r:id="rId2334">
        <w:r>
          <w:rPr>
            <w:rStyle w:val="Hyperlink"/>
          </w:rPr>
          <w:t xml:space="preserve">https://raw.githubusercontent.com/huggingface/safetensors/main/README.md</w:t>
        </w:r>
      </w:hyperlink>
      <w:r>
        <w:t xml:space="preserve"> </w:t>
      </w:r>
      <w:r>
        <w:t xml:space="preserve">accessed 2026-10-08</w:t>
      </w:r>
    </w:p>
  </w:footnote>
  <w:footnote w:id="2335">
    <w:p>
      <w:pPr>
        <w:pStyle w:val="FootnoteText"/>
      </w:pPr>
      <w:r>
        <w:rPr>
          <w:rStyle w:val="FootnoteReference"/>
        </w:rPr>
        <w:footnoteRef/>
      </w:r>
      <w:r>
        <w:t xml:space="preserve"> </w:t>
      </w:r>
      <w:r>
        <w:t xml:space="preserve">Verified fact — A7-S002: modelscan on PyPI (JSON API) (PyPI / Protect AI)</w:t>
      </w:r>
      <w:r>
        <w:t xml:space="preserve"> </w:t>
      </w:r>
      <w:hyperlink r:id="rId2336">
        <w:r>
          <w:rPr>
            <w:rStyle w:val="Hyperlink"/>
          </w:rPr>
          <w:t xml:space="preserve">https://pypi.org/pypi/modelscan/json</w:t>
        </w:r>
      </w:hyperlink>
      <w:r>
        <w:t xml:space="preserve"> </w:t>
      </w:r>
      <w:r>
        <w:t xml:space="preserve">accessed 2026-10-07; A7-S006: picklescan on PyPI (JSON API)</w:t>
      </w:r>
      <w:r>
        <w:t xml:space="preserve"> </w:t>
      </w:r>
      <w:hyperlink r:id="rId2337">
        <w:r>
          <w:rPr>
            <w:rStyle w:val="Hyperlink"/>
          </w:rPr>
          <w:t xml:space="preserve">https://pypi.org/pypi/picklescan/json</w:t>
        </w:r>
      </w:hyperlink>
      <w:r>
        <w:t xml:space="preserve"> </w:t>
      </w:r>
      <w:r>
        <w:t xml:space="preserve">accessed 2026-10-07</w:t>
      </w:r>
    </w:p>
  </w:footnote>
  <w:footnote w:id="2338">
    <w:p>
      <w:pPr>
        <w:pStyle w:val="FootnoteText"/>
      </w:pPr>
      <w:r>
        <w:rPr>
          <w:rStyle w:val="FootnoteReference"/>
        </w:rPr>
        <w:footnoteRef/>
      </w:r>
      <w:r>
        <w:t xml:space="preserve"> </w:t>
      </w:r>
      <w:r>
        <w:t xml:space="preserve">Verified fact — B-C7-S007: modelscan Security Policy (Protect AI (Palo Alto Networks))</w:t>
      </w:r>
      <w:r>
        <w:t xml:space="preserve"> </w:t>
      </w:r>
      <w:hyperlink r:id="rId2339">
        <w:r>
          <w:rPr>
            <w:rStyle w:val="Hyperlink"/>
          </w:rPr>
          <w:t xml:space="preserve">https://raw.githubusercontent.com/protectai/modelscan/main/SECURITY.md</w:t>
        </w:r>
      </w:hyperlink>
      <w:r>
        <w:t xml:space="preserve"> </w:t>
      </w:r>
      <w:r>
        <w:t xml:space="preserve">accessed 2026-10-08</w:t>
      </w:r>
    </w:p>
  </w:footnote>
  <w:footnote w:id="2340">
    <w:p>
      <w:pPr>
        <w:pStyle w:val="FootnoteText"/>
      </w:pPr>
      <w:r>
        <w:rPr>
          <w:rStyle w:val="FootnoteReference"/>
        </w:rPr>
        <w:footnoteRef/>
      </w:r>
      <w:r>
        <w:t xml:space="preserve"> </w:t>
      </w:r>
      <w:r>
        <w:t xml:space="preserve">Verified fact — A7-S037: Hugging Face Hub Security docs (malware scanning, pickle scanning, third-party scanners Protect AI and JFrog)</w:t>
      </w:r>
      <w:r>
        <w:t xml:space="preserve"> </w:t>
      </w:r>
      <w:hyperlink r:id="rId2332">
        <w:r>
          <w:rPr>
            <w:rStyle w:val="Hyperlink"/>
          </w:rPr>
          <w:t xml:space="preserve">https://huggingface.co/docs/hub/security</w:t>
        </w:r>
      </w:hyperlink>
      <w:r>
        <w:t xml:space="preserve"> </w:t>
      </w:r>
      <w:r>
        <w:t xml:space="preserve">accessed 2026-10-07 [search-tool extract]</w:t>
      </w:r>
    </w:p>
  </w:footnote>
  <w:footnote w:id="2341">
    <w:p>
      <w:pPr>
        <w:pStyle w:val="FootnoteText"/>
      </w:pPr>
      <w:r>
        <w:rPr>
          <w:rStyle w:val="FootnoteReference"/>
        </w:rPr>
        <w:footnoteRef/>
      </w:r>
      <w:r>
        <w:t xml:space="preserve"> </w:t>
      </w:r>
      <w:r>
        <w:t xml:space="preserve">Verified fact — A7-S014: Palo Alto Networks Completes Acquisition of Protect AI</w:t>
      </w:r>
      <w:r>
        <w:t xml:space="preserve"> </w:t>
      </w:r>
      <w:hyperlink r:id="rId2342">
        <w:r>
          <w:rPr>
            <w:rStyle w:val="Hyperlink"/>
          </w:rPr>
          <w:t xml:space="preserve">https://www.paloaltonetworks.com/company/press/2025/palo-alto-networks-completes-acquisition-of-protect-ai</w:t>
        </w:r>
      </w:hyperlink>
      <w:r>
        <w:t xml:space="preserve"> </w:t>
      </w:r>
      <w:r>
        <w:t xml:space="preserve">accessed 2026-10-07 [search-tool extract]; A7-S082: ModelScan README (Protect AI (Palo Alto Networks))</w:t>
      </w:r>
      <w:r>
        <w:t xml:space="preserve"> </w:t>
      </w:r>
      <w:hyperlink r:id="rId2328">
        <w:r>
          <w:rPr>
            <w:rStyle w:val="Hyperlink"/>
          </w:rPr>
          <w:t xml:space="preserve">https://raw.githubusercontent.com/protectai/modelscan/main/README.md</w:t>
        </w:r>
      </w:hyperlink>
      <w:r>
        <w:t xml:space="preserve"> </w:t>
      </w:r>
      <w:r>
        <w:t xml:space="preserve">accessed 2026-10-07; A7-S002: modelscan on PyPI (JSON API) (PyPI / Protect AI)</w:t>
      </w:r>
      <w:r>
        <w:t xml:space="preserve"> </w:t>
      </w:r>
      <w:hyperlink r:id="rId2336">
        <w:r>
          <w:rPr>
            <w:rStyle w:val="Hyperlink"/>
          </w:rPr>
          <w:t xml:space="preserve">https://pypi.org/pypi/modelscan/json</w:t>
        </w:r>
      </w:hyperlink>
      <w:r>
        <w:t xml:space="preserve"> </w:t>
      </w:r>
      <w:r>
        <w:t xml:space="preserve">accessed 2026-10-07</w:t>
      </w:r>
    </w:p>
  </w:footnote>
  <w:footnote w:id="2343">
    <w:p>
      <w:pPr>
        <w:pStyle w:val="FootnoteText"/>
      </w:pPr>
      <w:r>
        <w:rPr>
          <w:rStyle w:val="FootnoteReference"/>
        </w:rPr>
        <w:footnoteRef/>
      </w:r>
      <w:r>
        <w:t xml:space="preserve"> </w:t>
      </w:r>
      <w:r>
        <w:t xml:space="preserve">Verified fact — A7-S002: modelscan on PyPI (JSON API) (PyPI / Protect AI)</w:t>
      </w:r>
      <w:r>
        <w:t xml:space="preserve"> </w:t>
      </w:r>
      <w:hyperlink r:id="rId2336">
        <w:r>
          <w:rPr>
            <w:rStyle w:val="Hyperlink"/>
          </w:rPr>
          <w:t xml:space="preserve">https://pypi.org/pypi/modelscan/json</w:t>
        </w:r>
      </w:hyperlink>
      <w:r>
        <w:t xml:space="preserve"> </w:t>
      </w:r>
      <w:r>
        <w:t xml:space="preserve">accessed 2026-10-07; A7-S064: fickling on PyPI (PyPI / Trail of Bits)</w:t>
      </w:r>
      <w:r>
        <w:t xml:space="preserve"> </w:t>
      </w:r>
      <w:hyperlink r:id="rId2330">
        <w:r>
          <w:rPr>
            <w:rStyle w:val="Hyperlink"/>
          </w:rPr>
          <w:t xml:space="preserve">https://pypi.org/pypi/fickling/json</w:t>
        </w:r>
      </w:hyperlink>
      <w:r>
        <w:t xml:space="preserve"> </w:t>
      </w:r>
      <w:r>
        <w:t xml:space="preserve">accessed 2026-10-07; A7-S007: safetensors on PyPI (JSON API) (PyPI / Hugging Face)</w:t>
      </w:r>
      <w:r>
        <w:t xml:space="preserve"> </w:t>
      </w:r>
      <w:hyperlink r:id="rId2331">
        <w:r>
          <w:rPr>
            <w:rStyle w:val="Hyperlink"/>
          </w:rPr>
          <w:t xml:space="preserve">https://pypi.org/pypi/safetensors/json</w:t>
        </w:r>
      </w:hyperlink>
      <w:r>
        <w:t xml:space="preserve"> </w:t>
      </w:r>
      <w:r>
        <w:t xml:space="preserve">accessed 2026-10-07</w:t>
      </w:r>
    </w:p>
  </w:footnote>
  <w:footnote w:id="2344">
    <w:p>
      <w:pPr>
        <w:pStyle w:val="FootnoteText"/>
      </w:pPr>
      <w:r>
        <w:rPr>
          <w:rStyle w:val="FootnoteReference"/>
        </w:rPr>
        <w:footnoteRef/>
      </w:r>
      <w:r>
        <w:t xml:space="preserve"> </w:t>
      </w:r>
      <w:r>
        <w:t xml:space="preserve">Verified fact — A6-S008: Security Update: Suspected Supply Chain Incident (and Security Townhall Updates) (BerriAI (LiteLLM))</w:t>
      </w:r>
      <w:r>
        <w:t xml:space="preserve"> </w:t>
      </w:r>
      <w:hyperlink r:id="rId1734">
        <w:r>
          <w:rPr>
            <w:rStyle w:val="Hyperlink"/>
          </w:rPr>
          <w:t xml:space="preserve">https://docs.litellm.ai/blog/security-update-march-2026</w:t>
        </w:r>
      </w:hyperlink>
      <w:r>
        <w:t xml:space="preserve"> </w:t>
      </w:r>
      <w:r>
        <w:t xml:space="preserve">accessed 2026-10-07 [search-tool extract]</w:t>
      </w:r>
    </w:p>
  </w:footnote>
  <w:footnote w:id="2346">
    <w:p>
      <w:pPr>
        <w:pStyle w:val="FootnoteText"/>
      </w:pPr>
      <w:r>
        <w:rPr>
          <w:rStyle w:val="FootnoteReference"/>
        </w:rPr>
        <w:footnoteRef/>
      </w:r>
      <w:r>
        <w:t xml:space="preserve"> </w:t>
      </w:r>
      <w:r>
        <w:t xml:space="preserve">Verified fact — A7-S040: Launch of Model Signing v1.0: OpenSSF AI/ML Working Group Secures the Machine Learning Supply Chain (OpenSSF (Linux Foundation))</w:t>
      </w:r>
      <w:r>
        <w:t xml:space="preserve"> </w:t>
      </w:r>
      <w:hyperlink r:id="rId2347">
        <w:r>
          <w:rPr>
            <w:rStyle w:val="Hyperlink"/>
          </w:rPr>
          <w:t xml:space="preserve">https://openssf.org/blog/2025/04/04/launch-of-model-signing-v1-0-openssf-ai-ml-working-group-secures-the-machine-learning-supply-chain/</w:t>
        </w:r>
      </w:hyperlink>
      <w:r>
        <w:t xml:space="preserve"> </w:t>
      </w:r>
      <w:r>
        <w:t xml:space="preserve">accessed 2026-10-07 [search-tool extract]; A7-S038: model-signing on PyPI (JSON API) (PyPI / Sigstore model-transparency (OpenSSF))</w:t>
      </w:r>
      <w:r>
        <w:t xml:space="preserve"> </w:t>
      </w:r>
      <w:hyperlink r:id="rId2348">
        <w:r>
          <w:rPr>
            <w:rStyle w:val="Hyperlink"/>
          </w:rPr>
          <w:t xml:space="preserve">https://pypi.org/pypi/model-signing/json</w:t>
        </w:r>
      </w:hyperlink>
      <w:r>
        <w:t xml:space="preserve"> </w:t>
      </w:r>
      <w:r>
        <w:t xml:space="preserve">accessed 2026-10-07; B-C7-S005: Model Transparency README (model-signing) (Sigstore / OpenSSF)</w:t>
      </w:r>
      <w:r>
        <w:t xml:space="preserve"> </w:t>
      </w:r>
      <w:hyperlink r:id="rId2349">
        <w:r>
          <w:rPr>
            <w:rStyle w:val="Hyperlink"/>
          </w:rPr>
          <w:t xml:space="preserve">https://raw.githubusercontent.com/sigstore/model-transparency/main/README.md</w:t>
        </w:r>
      </w:hyperlink>
      <w:r>
        <w:t xml:space="preserve"> </w:t>
      </w:r>
      <w:r>
        <w:t xml:space="preserve">accessed 2026-10-08</w:t>
      </w:r>
    </w:p>
  </w:footnote>
  <w:footnote w:id="2350">
    <w:p>
      <w:pPr>
        <w:pStyle w:val="FootnoteText"/>
      </w:pPr>
      <w:r>
        <w:rPr>
          <w:rStyle w:val="FootnoteReference"/>
        </w:rPr>
        <w:footnoteRef/>
      </w:r>
      <w:r>
        <w:t xml:space="preserve"> </w:t>
      </w:r>
      <w:r>
        <w:t xml:space="preserve">Verified fact — A7-S040: Launch of Model Signing v1.0: OpenSSF AI/ML Working Group Secures the Machine Learning Supply Chain (OpenSSF (Linux Foundation))</w:t>
      </w:r>
      <w:r>
        <w:t xml:space="preserve"> </w:t>
      </w:r>
      <w:hyperlink r:id="rId2347">
        <w:r>
          <w:rPr>
            <w:rStyle w:val="Hyperlink"/>
          </w:rPr>
          <w:t xml:space="preserve">https://openssf.org/blog/2025/04/04/launch-of-model-signing-v1-0-openssf-ai-ml-working-group-secures-the-machine-learning-supply-chain/</w:t>
        </w:r>
      </w:hyperlink>
      <w:r>
        <w:t xml:space="preserve"> </w:t>
      </w:r>
      <w:r>
        <w:t xml:space="preserve">accessed 2026-10-07 [search-tool extract]</w:t>
      </w:r>
    </w:p>
  </w:footnote>
  <w:footnote w:id="2351">
    <w:p>
      <w:pPr>
        <w:pStyle w:val="FootnoteText"/>
      </w:pPr>
      <w:r>
        <w:rPr>
          <w:rStyle w:val="FootnoteReference"/>
        </w:rPr>
        <w:footnoteRef/>
      </w:r>
      <w:r>
        <w:t xml:space="preserve"> </w:t>
      </w:r>
      <w:r>
        <w:t xml:space="preserve">Verified fact — B-C7-S005: Model Transparency README (model-signing) (Sigstore / OpenSSF)</w:t>
      </w:r>
      <w:r>
        <w:t xml:space="preserve"> </w:t>
      </w:r>
      <w:hyperlink r:id="rId2349">
        <w:r>
          <w:rPr>
            <w:rStyle w:val="Hyperlink"/>
          </w:rPr>
          <w:t xml:space="preserve">https://raw.githubusercontent.com/sigstore/model-transparency/main/README.md</w:t>
        </w:r>
      </w:hyperlink>
      <w:r>
        <w:t xml:space="preserve"> </w:t>
      </w:r>
      <w:r>
        <w:t xml:space="preserve">accessed 2026-10-08</w:t>
      </w:r>
    </w:p>
  </w:footnote>
  <w:footnote w:id="2352">
    <w:p>
      <w:pPr>
        <w:pStyle w:val="FootnoteText"/>
      </w:pPr>
      <w:r>
        <w:rPr>
          <w:rStyle w:val="FootnoteReference"/>
        </w:rPr>
        <w:footnoteRef/>
      </w:r>
      <w:r>
        <w:t xml:space="preserve"> </w:t>
      </w:r>
      <w:r>
        <w:t xml:space="preserve">Verified fact — A7-S038: model-signing on PyPI (JSON API) (PyPI / Sigstore model-transparency (OpenSSF))</w:t>
      </w:r>
      <w:r>
        <w:t xml:space="preserve"> </w:t>
      </w:r>
      <w:hyperlink r:id="rId2348">
        <w:r>
          <w:rPr>
            <w:rStyle w:val="Hyperlink"/>
          </w:rPr>
          <w:t xml:space="preserve">https://pypi.org/pypi/model-signing/json</w:t>
        </w:r>
      </w:hyperlink>
      <w:r>
        <w:t xml:space="preserve"> </w:t>
      </w:r>
      <w:r>
        <w:t xml:space="preserve">accessed 2026-10-07</w:t>
      </w:r>
    </w:p>
  </w:footnote>
  <w:footnote w:id="2353">
    <w:p>
      <w:pPr>
        <w:pStyle w:val="FootnoteText"/>
      </w:pPr>
      <w:r>
        <w:rPr>
          <w:rStyle w:val="FootnoteReference"/>
        </w:rPr>
        <w:footnoteRef/>
      </w:r>
      <w:r>
        <w:t xml:space="preserve"> </w:t>
      </w:r>
      <w:r>
        <w:t xml:space="preserve">Verified fact — A7-S038: model-signing on PyPI (JSON API) (PyPI / Sigstore model-transparency (OpenSSF))</w:t>
      </w:r>
      <w:r>
        <w:t xml:space="preserve"> </w:t>
      </w:r>
      <w:hyperlink r:id="rId2348">
        <w:r>
          <w:rPr>
            <w:rStyle w:val="Hyperlink"/>
          </w:rPr>
          <w:t xml:space="preserve">https://pypi.org/pypi/model-signing/json</w:t>
        </w:r>
      </w:hyperlink>
      <w:r>
        <w:t xml:space="preserve"> </w:t>
      </w:r>
      <w:r>
        <w:t xml:space="preserve">accessed 2026-10-07</w:t>
      </w:r>
    </w:p>
  </w:footnote>
  <w:footnote w:id="2355">
    <w:p>
      <w:pPr>
        <w:pStyle w:val="FootnoteText"/>
      </w:pPr>
      <w:r>
        <w:rPr>
          <w:rStyle w:val="FootnoteReference"/>
        </w:rPr>
        <w:footnoteRef/>
      </w:r>
      <w:r>
        <w:t xml:space="preserve"> </w:t>
      </w:r>
      <w:r>
        <w:t xml:space="preserve">Verified fact — A7-S027: Palo Alto Networks Secures Agentic AI with Prisma AIRS 3.0</w:t>
      </w:r>
      <w:r>
        <w:t xml:space="preserve"> </w:t>
      </w:r>
      <w:hyperlink r:id="rId2356">
        <w:r>
          <w:rPr>
            <w:rStyle w:val="Hyperlink"/>
          </w:rPr>
          <w:t xml:space="preserve">https://www.paloaltonetworks.com/company/press/2026/palo-alto-networks-secures-agentic-ai-with-prisma-airs-3-0</w:t>
        </w:r>
      </w:hyperlink>
      <w:r>
        <w:t xml:space="preserve"> </w:t>
      </w:r>
      <w:r>
        <w:t xml:space="preserve">accessed 2026-10-07 [search-tool extract]; A7-S028: New Features - Prisma AIRS (January-August 2026 release notes) (Palo Alto Networks)</w:t>
      </w:r>
      <w:r>
        <w:t xml:space="preserve"> </w:t>
      </w:r>
      <w:hyperlink r:id="rId2357">
        <w:r>
          <w:rPr>
            <w:rStyle w:val="Hyperlink"/>
          </w:rPr>
          <w:t xml:space="preserve">https://docs.paloaltonetworks.com/ai-runtime-security/new-features/by-date/prisma-airs/august-2026</w:t>
        </w:r>
      </w:hyperlink>
      <w:r>
        <w:t xml:space="preserve"> </w:t>
      </w:r>
      <w:r>
        <w:t xml:space="preserve">accessed 2026-10-07 [search-tool extract]; A7-S039: Prisma AIRS AI Model Security (Palo Alto Networks)</w:t>
      </w:r>
      <w:r>
        <w:t xml:space="preserve"> </w:t>
      </w:r>
      <w:hyperlink r:id="rId2358">
        <w:r>
          <w:rPr>
            <w:rStyle w:val="Hyperlink"/>
          </w:rPr>
          <w:t xml:space="preserve">https://www.paloaltonetworks.com/ai-security/ai-model-security</w:t>
        </w:r>
      </w:hyperlink>
      <w:r>
        <w:t xml:space="preserve"> </w:t>
      </w:r>
      <w:r>
        <w:t xml:space="preserve">accessed 2026-10-07 [search-tool extract]; V2-S048: Announcing the General Availability of Prisma AIRS AI Gateway (with Calcalist/SDxCentral on Koi completion) (Palo Alto Networks)</w:t>
      </w:r>
      <w:r>
        <w:t xml:space="preserve"> </w:t>
      </w:r>
      <w:hyperlink r:id="rId1805">
        <w:r>
          <w:rPr>
            <w:rStyle w:val="Hyperlink"/>
          </w:rPr>
          <w:t xml:space="preserve">https://www.paloaltonetworks.com/blog/2026/07/announcing-general-availability-of-prisma-airs-ai-gateway/</w:t>
        </w:r>
      </w:hyperlink>
      <w:r>
        <w:t xml:space="preserve"> </w:t>
      </w:r>
      <w:r>
        <w:t xml:space="preserve">accessed 2026-10-08 [search-tool extract]</w:t>
      </w:r>
    </w:p>
  </w:footnote>
  <w:footnote w:id="2359">
    <w:p>
      <w:pPr>
        <w:pStyle w:val="FootnoteText"/>
      </w:pPr>
      <w:r>
        <w:rPr>
          <w:rStyle w:val="FootnoteReference"/>
        </w:rPr>
        <w:footnoteRef/>
      </w:r>
      <w:r>
        <w:t xml:space="preserve"> </w:t>
      </w:r>
      <w:r>
        <w:t xml:space="preserve">Verified fact — A7-S027: Palo Alto Networks Secures Agentic AI with Prisma AIRS 3.0</w:t>
      </w:r>
      <w:r>
        <w:t xml:space="preserve"> </w:t>
      </w:r>
      <w:hyperlink r:id="rId2356">
        <w:r>
          <w:rPr>
            <w:rStyle w:val="Hyperlink"/>
          </w:rPr>
          <w:t xml:space="preserve">https://www.paloaltonetworks.com/company/press/2026/palo-alto-networks-secures-agentic-ai-with-prisma-airs-3-0</w:t>
        </w:r>
      </w:hyperlink>
      <w:r>
        <w:t xml:space="preserve"> </w:t>
      </w:r>
      <w:r>
        <w:t xml:space="preserve">accessed 2026-10-07 [search-tool extract]; A7-S028: New Features - Prisma AIRS (January-August 2026 release notes) (Palo Alto Networks)</w:t>
      </w:r>
      <w:r>
        <w:t xml:space="preserve"> </w:t>
      </w:r>
      <w:hyperlink r:id="rId2357">
        <w:r>
          <w:rPr>
            <w:rStyle w:val="Hyperlink"/>
          </w:rPr>
          <w:t xml:space="preserve">https://docs.paloaltonetworks.com/ai-runtime-security/new-features/by-date/prisma-airs/august-2026</w:t>
        </w:r>
      </w:hyperlink>
      <w:r>
        <w:t xml:space="preserve"> </w:t>
      </w:r>
      <w:r>
        <w:t xml:space="preserve">accessed 2026-10-07 [search-tool extract]</w:t>
      </w:r>
    </w:p>
  </w:footnote>
  <w:footnote w:id="2360">
    <w:p>
      <w:pPr>
        <w:pStyle w:val="FootnoteText"/>
      </w:pPr>
      <w:r>
        <w:rPr>
          <w:rStyle w:val="FootnoteReference"/>
        </w:rPr>
        <w:footnoteRef/>
      </w:r>
      <w:r>
        <w:t xml:space="preserve"> </w:t>
      </w:r>
      <w:r>
        <w:t xml:space="preserve">Verified fact — A7-S028: New Features - Prisma AIRS (January-August 2026 release notes) (Palo Alto Networks)</w:t>
      </w:r>
      <w:r>
        <w:t xml:space="preserve"> </w:t>
      </w:r>
      <w:hyperlink r:id="rId2357">
        <w:r>
          <w:rPr>
            <w:rStyle w:val="Hyperlink"/>
          </w:rPr>
          <w:t xml:space="preserve">https://docs.paloaltonetworks.com/ai-runtime-security/new-features/by-date/prisma-airs/august-2026</w:t>
        </w:r>
      </w:hyperlink>
      <w:r>
        <w:t xml:space="preserve"> </w:t>
      </w:r>
      <w:r>
        <w:t xml:space="preserve">accessed 2026-10-07 [search-tool extract]; A7-S031: Prisma AIRS Licenses; Token-Based Licensing; Managed AIRS for AWS Pricing; Prisma AIRS setup prerequisites (Palo Alto Networks)</w:t>
      </w:r>
      <w:r>
        <w:t xml:space="preserve"> </w:t>
      </w:r>
      <w:hyperlink r:id="rId2361">
        <w:r>
          <w:rPr>
            <w:rStyle w:val="Hyperlink"/>
          </w:rPr>
          <w:t xml:space="preserve">https://docs.paloaltonetworks.com/ai-runtime-security/activation-and-onboarding/activate-your-ai-runtime-security-license</w:t>
        </w:r>
      </w:hyperlink>
      <w:r>
        <w:t xml:space="preserve"> </w:t>
      </w:r>
      <w:r>
        <w:t xml:space="preserve">accessed 2026-10-07 [search-tool extract]</w:t>
      </w:r>
    </w:p>
  </w:footnote>
  <w:footnote w:id="2362">
    <w:p>
      <w:pPr>
        <w:pStyle w:val="FootnoteText"/>
      </w:pPr>
      <w:r>
        <w:rPr>
          <w:rStyle w:val="FootnoteReference"/>
        </w:rPr>
        <w:footnoteRef/>
      </w:r>
      <w:r>
        <w:t xml:space="preserve"> </w:t>
      </w:r>
      <w:r>
        <w:t xml:space="preserve">Verified fact — B-C7-S003: About Roles and Permissions Through Common Services; Prisma AIRS API onboarding; AI Red Teaming IAM; API scan logs (Palo Alto Networks)</w:t>
      </w:r>
      <w:r>
        <w:t xml:space="preserve"> </w:t>
      </w:r>
      <w:hyperlink r:id="rId2363">
        <w:r>
          <w:rPr>
            <w:rStyle w:val="Hyperlink"/>
          </w:rPr>
          <w:t xml:space="preserve">https://docs.paloaltonetworks.com/common-services/identity-and-access-access-management/manage-identity-and-access/about-roles-and-permissions</w:t>
        </w:r>
      </w:hyperlink>
      <w:r>
        <w:t xml:space="preserve"> </w:t>
      </w:r>
      <w:r>
        <w:t xml:space="preserve">accessed 2026-10-08 [search-tool extract]</w:t>
      </w:r>
    </w:p>
  </w:footnote>
  <w:footnote w:id="2364">
    <w:p>
      <w:pPr>
        <w:pStyle w:val="FootnoteText"/>
      </w:pPr>
      <w:r>
        <w:rPr>
          <w:rStyle w:val="FootnoteReference"/>
        </w:rPr>
        <w:footnoteRef/>
      </w:r>
      <w:r>
        <w:t xml:space="preserve"> </w:t>
      </w:r>
      <w:r>
        <w:t xml:space="preserve">Verified fact — A7-S031: Prisma AIRS Licenses; Token-Based Licensing; Managed AIRS for AWS Pricing; Prisma AIRS setup prerequisites (Palo Alto Networks)</w:t>
      </w:r>
      <w:r>
        <w:t xml:space="preserve"> </w:t>
      </w:r>
      <w:hyperlink r:id="rId2361">
        <w:r>
          <w:rPr>
            <w:rStyle w:val="Hyperlink"/>
          </w:rPr>
          <w:t xml:space="preserve">https://docs.paloaltonetworks.com/ai-runtime-security/activation-and-onboarding/activate-your-ai-runtime-security-license</w:t>
        </w:r>
      </w:hyperlink>
      <w:r>
        <w:t xml:space="preserve"> </w:t>
      </w:r>
      <w:r>
        <w:t xml:space="preserve">accessed 2026-10-07 [search-tool extract]</w:t>
      </w:r>
    </w:p>
  </w:footnote>
  <w:footnote w:id="2365">
    <w:p>
      <w:pPr>
        <w:pStyle w:val="FootnoteText"/>
      </w:pPr>
      <w:r>
        <w:rPr>
          <w:rStyle w:val="FootnoteReference"/>
        </w:rPr>
        <w:footnoteRef/>
      </w:r>
      <w:r>
        <w:t xml:space="preserve"> </w:t>
      </w:r>
      <w:r>
        <w:t xml:space="preserve">Verified fact — B-C7-S002: Palo Alto Networks Trust Center</w:t>
      </w:r>
      <w:r>
        <w:t xml:space="preserve"> </w:t>
      </w:r>
      <w:hyperlink r:id="rId2366">
        <w:r>
          <w:rPr>
            <w:rStyle w:val="Hyperlink"/>
          </w:rPr>
          <w:t xml:space="preserve">https://trust.paloaltonetworks.com/</w:t>
        </w:r>
      </w:hyperlink>
      <w:r>
        <w:t xml:space="preserve"> </w:t>
      </w:r>
      <w:r>
        <w:t xml:space="preserve">accessed 2026-10-08 [search-tool extract]</w:t>
      </w:r>
    </w:p>
  </w:footnote>
  <w:footnote w:id="2367">
    <w:p>
      <w:pPr>
        <w:pStyle w:val="FootnoteText"/>
      </w:pPr>
      <w:r>
        <w:rPr>
          <w:rStyle w:val="FootnoteReference"/>
        </w:rPr>
        <w:footnoteRef/>
      </w:r>
      <w:r>
        <w:t xml:space="preserve"> </w:t>
      </w:r>
      <w:r>
        <w:t xml:space="preserve">Verified fact — A7-S120: Prisma AIRS API Intercept Supported Regions; AI Runtime Firewall prerequisites; Palo Alto FedRAMP Authorized Services page (Palo Alto Networks)</w:t>
      </w:r>
      <w:r>
        <w:t xml:space="preserve"> </w:t>
      </w:r>
      <w:hyperlink r:id="rId2368">
        <w:r>
          <w:rPr>
            <w:rStyle w:val="Hyperlink"/>
          </w:rPr>
          <w:t xml:space="preserve">https://docs.paloaltonetworks.com/ai-runtime-security/activation-and-onboarding/prisma-airs-supported-regions</w:t>
        </w:r>
      </w:hyperlink>
      <w:r>
        <w:t xml:space="preserve"> </w:t>
      </w:r>
      <w:r>
        <w:t xml:space="preserve">accessed 2026-10-07 [search-tool extract]; A7-S031: Prisma AIRS Licenses; Token-Based Licensing; Managed AIRS for AWS Pricing; Prisma AIRS setup prerequisites (Palo Alto Networks)</w:t>
      </w:r>
      <w:r>
        <w:t xml:space="preserve"> </w:t>
      </w:r>
      <w:hyperlink r:id="rId2361">
        <w:r>
          <w:rPr>
            <w:rStyle w:val="Hyperlink"/>
          </w:rPr>
          <w:t xml:space="preserve">https://docs.paloaltonetworks.com/ai-runtime-security/activation-and-onboarding/activate-your-ai-runtime-security-license</w:t>
        </w:r>
      </w:hyperlink>
      <w:r>
        <w:t xml:space="preserve"> </w:t>
      </w:r>
      <w:r>
        <w:t xml:space="preserve">accessed 2026-10-07 [search-tool extract]</w:t>
      </w:r>
    </w:p>
  </w:footnote>
  <w:footnote w:id="2369">
    <w:p>
      <w:pPr>
        <w:pStyle w:val="FootnoteText"/>
      </w:pPr>
      <w:r>
        <w:rPr>
          <w:rStyle w:val="FootnoteReference"/>
        </w:rPr>
        <w:footnoteRef/>
      </w:r>
      <w:r>
        <w:t xml:space="preserve"> </w:t>
      </w:r>
      <w:r>
        <w:t xml:space="preserve">Verified fact — A7-S120: Prisma AIRS API Intercept Supported Regions; AI Runtime Firewall prerequisites; Palo Alto FedRAMP Authorized Services page (Palo Alto Networks)</w:t>
      </w:r>
      <w:r>
        <w:t xml:space="preserve"> </w:t>
      </w:r>
      <w:hyperlink r:id="rId2368">
        <w:r>
          <w:rPr>
            <w:rStyle w:val="Hyperlink"/>
          </w:rPr>
          <w:t xml:space="preserve">https://docs.paloaltonetworks.com/ai-runtime-security/activation-and-onboarding/prisma-airs-supported-regions</w:t>
        </w:r>
      </w:hyperlink>
      <w:r>
        <w:t xml:space="preserve"> </w:t>
      </w:r>
      <w:r>
        <w:t xml:space="preserve">accessed 2026-10-07 [search-tool extract]</w:t>
      </w:r>
    </w:p>
  </w:footnote>
  <w:footnote w:id="2370">
    <w:p>
      <w:pPr>
        <w:pStyle w:val="FootnoteText"/>
      </w:pPr>
      <w:r>
        <w:rPr>
          <w:rStyle w:val="FootnoteReference"/>
        </w:rPr>
        <w:footnoteRef/>
      </w:r>
      <w:r>
        <w:t xml:space="preserve"> </w:t>
      </w:r>
      <w:r>
        <w:t xml:space="preserve">Verified fact — A7-S031: Prisma AIRS Licenses; Token-Based Licensing; Managed AIRS for AWS Pricing; Prisma AIRS setup prerequisites (Palo Alto Networks)</w:t>
      </w:r>
      <w:r>
        <w:t xml:space="preserve"> </w:t>
      </w:r>
      <w:hyperlink r:id="rId2361">
        <w:r>
          <w:rPr>
            <w:rStyle w:val="Hyperlink"/>
          </w:rPr>
          <w:t xml:space="preserve">https://docs.paloaltonetworks.com/ai-runtime-security/activation-and-onboarding/activate-your-ai-runtime-security-license</w:t>
        </w:r>
      </w:hyperlink>
      <w:r>
        <w:t xml:space="preserve"> </w:t>
      </w:r>
      <w:r>
        <w:t xml:space="preserve">accessed 2026-10-07 [search-tool extract]; A7-S063: pan-aisecurity on PyPI (PyPI / Palo Alto Networks)</w:t>
      </w:r>
      <w:r>
        <w:t xml:space="preserve"> </w:t>
      </w:r>
      <w:hyperlink r:id="rId2371">
        <w:r>
          <w:rPr>
            <w:rStyle w:val="Hyperlink"/>
          </w:rPr>
          <w:t xml:space="preserve">https://pypi.org/pypi/pan-aisecurity/json</w:t>
        </w:r>
      </w:hyperlink>
      <w:r>
        <w:t xml:space="preserve"> </w:t>
      </w:r>
      <w:r>
        <w:t xml:space="preserve">accessed 2026-10-07</w:t>
      </w:r>
    </w:p>
  </w:footnote>
  <w:footnote w:id="2372">
    <w:p>
      <w:pPr>
        <w:pStyle w:val="FootnoteText"/>
      </w:pPr>
      <w:r>
        <w:rPr>
          <w:rStyle w:val="FootnoteReference"/>
        </w:rPr>
        <w:footnoteRef/>
      </w:r>
      <w:r>
        <w:t xml:space="preserve"> </w:t>
      </w:r>
      <w:r>
        <w:t xml:space="preserve">Verified fact — A7-S014: Palo Alto Networks Completes Acquisition of Protect AI</w:t>
      </w:r>
      <w:r>
        <w:t xml:space="preserve"> </w:t>
      </w:r>
      <w:hyperlink r:id="rId2342">
        <w:r>
          <w:rPr>
            <w:rStyle w:val="Hyperlink"/>
          </w:rPr>
          <w:t xml:space="preserve">https://www.paloaltonetworks.com/company/press/2025/palo-alto-networks-completes-acquisition-of-protect-ai</w:t>
        </w:r>
      </w:hyperlink>
      <w:r>
        <w:t xml:space="preserve"> </w:t>
      </w:r>
      <w:r>
        <w:t xml:space="preserve">accessed 2026-10-07 [search-tool extract]; A7-S016: Palo Alto Networks Inc Form 10-Q for quarter ended 30 April 2026 (Palo Alto Networks / US SEC)</w:t>
      </w:r>
      <w:r>
        <w:t xml:space="preserve"> </w:t>
      </w:r>
      <w:hyperlink r:id="rId2373">
        <w:r>
          <w:rPr>
            <w:rStyle w:val="Hyperlink"/>
          </w:rPr>
          <w:t xml:space="preserve">https://www.sec.gov/Archives/edgar/data/0001327567/000132756726000015/panw-20260430.htm</w:t>
        </w:r>
      </w:hyperlink>
      <w:r>
        <w:t xml:space="preserve"> </w:t>
      </w:r>
      <w:r>
        <w:t xml:space="preserve">accessed 2026-10-07 [search-tool extract]</w:t>
      </w:r>
    </w:p>
  </w:footnote>
  <w:footnote w:id="2375">
    <w:p>
      <w:pPr>
        <w:pStyle w:val="FootnoteText"/>
      </w:pPr>
      <w:r>
        <w:rPr>
          <w:rStyle w:val="FootnoteReference"/>
        </w:rPr>
        <w:footnoteRef/>
      </w:r>
      <w:r>
        <w:t xml:space="preserve"> </w:t>
      </w:r>
      <w:r>
        <w:t xml:space="preserve">Verified fact — A7-S017: HiddenLayer Raises $100M Series B to Advance AI Security</w:t>
      </w:r>
      <w:r>
        <w:t xml:space="preserve"> </w:t>
      </w:r>
      <w:hyperlink r:id="rId2376">
        <w:r>
          <w:rPr>
            <w:rStyle w:val="Hyperlink"/>
          </w:rPr>
          <w:t xml:space="preserve">https://www.hiddenlayer.com/news/hiddenlayer-100m-series-b-ai-security</w:t>
        </w:r>
      </w:hyperlink>
      <w:r>
        <w:t xml:space="preserve"> </w:t>
      </w:r>
      <w:r>
        <w:t xml:space="preserve">accessed 2026-10-07 [search-tool extract]; A7-S029: HiddenLayer on AWS / AWS Marketplace listing / Gartner Peer Insights listing</w:t>
      </w:r>
      <w:r>
        <w:t xml:space="preserve"> </w:t>
      </w:r>
      <w:hyperlink r:id="rId2377">
        <w:r>
          <w:rPr>
            <w:rStyle w:val="Hyperlink"/>
          </w:rPr>
          <w:t xml:space="preserve">https://hiddenlayer.com/aws</w:t>
        </w:r>
      </w:hyperlink>
      <w:r>
        <w:t xml:space="preserve"> </w:t>
      </w:r>
      <w:r>
        <w:t xml:space="preserve">accessed 2026-10-07 [search-tool extract]</w:t>
      </w:r>
    </w:p>
  </w:footnote>
  <w:footnote w:id="2378">
    <w:p>
      <w:pPr>
        <w:pStyle w:val="FootnoteText"/>
      </w:pPr>
      <w:r>
        <w:rPr>
          <w:rStyle w:val="FootnoteReference"/>
        </w:rPr>
        <w:footnoteRef/>
      </w:r>
      <w:r>
        <w:t xml:space="preserve"> </w:t>
      </w:r>
      <w:r>
        <w:t xml:space="preserve">Verified fact — A7-S017: HiddenLayer Raises $100M Series B to Advance AI Security</w:t>
      </w:r>
      <w:r>
        <w:t xml:space="preserve"> </w:t>
      </w:r>
      <w:hyperlink r:id="rId2376">
        <w:r>
          <w:rPr>
            <w:rStyle w:val="Hyperlink"/>
          </w:rPr>
          <w:t xml:space="preserve">https://www.hiddenlayer.com/news/hiddenlayer-100m-series-b-ai-security</w:t>
        </w:r>
      </w:hyperlink>
      <w:r>
        <w:t xml:space="preserve"> </w:t>
      </w:r>
      <w:r>
        <w:t xml:space="preserve">accessed 2026-10-07 [search-tool extract]; V2-S047: HiddenLayer Raises $100 Million Series B Led By Delta-v Capital (with unite.ai, AI Weekly) (Pulse 2.0)</w:t>
      </w:r>
      <w:r>
        <w:t xml:space="preserve"> </w:t>
      </w:r>
      <w:hyperlink r:id="rId2379">
        <w:r>
          <w:rPr>
            <w:rStyle w:val="Hyperlink"/>
          </w:rPr>
          <w:t xml:space="preserve">https://pulse2.com/hiddenlayer-raises-100-million-series-b-led-by-delta-v-capital/</w:t>
        </w:r>
      </w:hyperlink>
      <w:r>
        <w:t xml:space="preserve"> </w:t>
      </w:r>
      <w:r>
        <w:t xml:space="preserve">accessed 2026-10-08 [search-tool extract]</w:t>
      </w:r>
    </w:p>
  </w:footnote>
  <w:footnote w:id="2380">
    <w:p>
      <w:pPr>
        <w:pStyle w:val="FootnoteText"/>
      </w:pPr>
      <w:r>
        <w:rPr>
          <w:rStyle w:val="FootnoteReference"/>
        </w:rPr>
        <w:footnoteRef/>
      </w:r>
      <w:r>
        <w:t xml:space="preserve"> </w:t>
      </w:r>
      <w:r>
        <w:t xml:space="preserve">Verified fact — A7-S030: HiddenLayer Achieves ISO 27001 and Renews SOC 2 Type 2 Compliance</w:t>
      </w:r>
      <w:r>
        <w:t xml:space="preserve"> </w:t>
      </w:r>
      <w:hyperlink r:id="rId2381">
        <w:r>
          <w:rPr>
            <w:rStyle w:val="Hyperlink"/>
          </w:rPr>
          <w:t xml:space="preserve">https://www.hiddenlayer.com/insight/hiddenlayer-achieves-iso-27001-and-renews-soc-2-type-2-compliance</w:t>
        </w:r>
      </w:hyperlink>
      <w:r>
        <w:t xml:space="preserve"> </w:t>
      </w:r>
      <w:r>
        <w:t xml:space="preserve">accessed 2026-10-07 [search-tool extract]</w:t>
      </w:r>
    </w:p>
  </w:footnote>
  <w:footnote w:id="2382">
    <w:p>
      <w:pPr>
        <w:pStyle w:val="FootnoteText"/>
      </w:pPr>
      <w:r>
        <w:rPr>
          <w:rStyle w:val="FootnoteReference"/>
        </w:rPr>
        <w:footnoteRef/>
      </w:r>
      <w:r>
        <w:t xml:space="preserve"> </w:t>
      </w:r>
      <w:r>
        <w:t xml:space="preserve">Verified fact — B-C7-S004: HiddenLayer announces new features (SAML SSO and RBAC)</w:t>
      </w:r>
      <w:r>
        <w:t xml:space="preserve"> </w:t>
      </w:r>
      <w:hyperlink r:id="rId2383">
        <w:r>
          <w:rPr>
            <w:rStyle w:val="Hyperlink"/>
          </w:rPr>
          <w:t xml:space="preserve">https://www.hiddenlayer.com/news/hiddenlayer-announces-new-features-to-safeguard-enterprise-ai-models-with-improved-risk-detection</w:t>
        </w:r>
      </w:hyperlink>
      <w:r>
        <w:t xml:space="preserve"> </w:t>
      </w:r>
      <w:r>
        <w:t xml:space="preserve">accessed 2026-10-08 [search-tool extract]</w:t>
      </w:r>
    </w:p>
  </w:footnote>
  <w:footnote w:id="2384">
    <w:p>
      <w:pPr>
        <w:pStyle w:val="FootnoteText"/>
      </w:pPr>
      <w:r>
        <w:rPr>
          <w:rStyle w:val="FootnoteReference"/>
        </w:rPr>
        <w:footnoteRef/>
      </w:r>
      <w:r>
        <w:t xml:space="preserve"> </w:t>
      </w:r>
      <w:r>
        <w:t xml:space="preserve">Verified fact — A7-S029: HiddenLayer on AWS / AWS Marketplace listing / Gartner Peer Insights listing</w:t>
      </w:r>
      <w:r>
        <w:t xml:space="preserve"> </w:t>
      </w:r>
      <w:hyperlink r:id="rId2377">
        <w:r>
          <w:rPr>
            <w:rStyle w:val="Hyperlink"/>
          </w:rPr>
          <w:t xml:space="preserve">https://hiddenlayer.com/aws</w:t>
        </w:r>
      </w:hyperlink>
      <w:r>
        <w:t xml:space="preserve"> </w:t>
      </w:r>
      <w:r>
        <w:t xml:space="preserve">accessed 2026-10-07 [search-tool extract]</w:t>
      </w:r>
    </w:p>
  </w:footnote>
  <w:footnote w:id="2385">
    <w:p>
      <w:pPr>
        <w:pStyle w:val="FootnoteText"/>
      </w:pPr>
      <w:r>
        <w:rPr>
          <w:rStyle w:val="FootnoteReference"/>
        </w:rPr>
        <w:footnoteRef/>
      </w:r>
      <w:r>
        <w:t xml:space="preserve"> </w:t>
      </w:r>
      <w:r>
        <w:t xml:space="preserve">Verified fact — A7-S040: Launch of Model Signing v1.0: OpenSSF AI/ML Working Group Secures the Machine Learning Supply Chain (OpenSSF (Linux Foundation))</w:t>
      </w:r>
      <w:r>
        <w:t xml:space="preserve"> </w:t>
      </w:r>
      <w:hyperlink r:id="rId2347">
        <w:r>
          <w:rPr>
            <w:rStyle w:val="Hyperlink"/>
          </w:rPr>
          <w:t xml:space="preserve">https://openssf.org/blog/2025/04/04/launch-of-model-signing-v1-0-openssf-ai-ml-working-group-secures-the-machine-learning-supply-chain/</w:t>
        </w:r>
      </w:hyperlink>
      <w:r>
        <w:t xml:space="preserve"> </w:t>
      </w:r>
      <w:r>
        <w:t xml:space="preserve">accessed 2026-10-07 [search-tool extract]</w:t>
      </w:r>
    </w:p>
  </w:footnote>
  <w:footnote w:id="2386">
    <w:p>
      <w:pPr>
        <w:pStyle w:val="FootnoteText"/>
      </w:pPr>
      <w:r>
        <w:rPr>
          <w:rStyle w:val="FootnoteReference"/>
        </w:rPr>
        <w:footnoteRef/>
      </w:r>
      <w:r>
        <w:t xml:space="preserve"> </w:t>
      </w:r>
      <w:r>
        <w:t xml:space="preserve">Verified fact — A7-S030: HiddenLayer Achieves ISO 27001 and Renews SOC 2 Type 2 Compliance</w:t>
      </w:r>
      <w:r>
        <w:t xml:space="preserve"> </w:t>
      </w:r>
      <w:hyperlink r:id="rId2381">
        <w:r>
          <w:rPr>
            <w:rStyle w:val="Hyperlink"/>
          </w:rPr>
          <w:t xml:space="preserve">https://www.hiddenlayer.com/insight/hiddenlayer-achieves-iso-27001-and-renews-soc-2-type-2-compliance</w:t>
        </w:r>
      </w:hyperlink>
      <w:r>
        <w:t xml:space="preserve"> </w:t>
      </w:r>
      <w:r>
        <w:t xml:space="preserve">accessed 2026-10-07 [search-tool extract]</w:t>
      </w:r>
    </w:p>
  </w:footnote>
  <w:footnote w:id="2387">
    <w:p>
      <w:pPr>
        <w:pStyle w:val="FootnoteText"/>
      </w:pPr>
      <w:r>
        <w:rPr>
          <w:rStyle w:val="FootnoteReference"/>
        </w:rPr>
        <w:footnoteRef/>
      </w:r>
      <w:r>
        <w:t xml:space="preserve"> </w:t>
      </w:r>
      <w:r>
        <w:t xml:space="preserve">Reported — A7-S029: HiddenLayer on AWS / AWS Marketplace listing / Gartner Peer Insights listing</w:t>
      </w:r>
      <w:r>
        <w:t xml:space="preserve"> </w:t>
      </w:r>
      <w:hyperlink r:id="rId2377">
        <w:r>
          <w:rPr>
            <w:rStyle w:val="Hyperlink"/>
          </w:rPr>
          <w:t xml:space="preserve">https://hiddenlayer.com/aws</w:t>
        </w:r>
      </w:hyperlink>
      <w:r>
        <w:t xml:space="preserve"> </w:t>
      </w:r>
      <w:r>
        <w:t xml:space="preserve">accessed 2026-10-07 [search-tool extract]</w:t>
      </w:r>
    </w:p>
  </w:footnote>
  <w:footnote w:id="2388">
    <w:p>
      <w:pPr>
        <w:pStyle w:val="FootnoteText"/>
      </w:pPr>
      <w:r>
        <w:rPr>
          <w:rStyle w:val="FootnoteReference"/>
        </w:rPr>
        <w:footnoteRef/>
      </w:r>
      <w:r>
        <w:t xml:space="preserve"> </w:t>
      </w:r>
      <w:r>
        <w:t xml:space="preserve">Verified fact — B-C7-S004: HiddenLayer announces new features (SAML SSO and RBAC)</w:t>
      </w:r>
      <w:r>
        <w:t xml:space="preserve"> </w:t>
      </w:r>
      <w:hyperlink r:id="rId2383">
        <w:r>
          <w:rPr>
            <w:rStyle w:val="Hyperlink"/>
          </w:rPr>
          <w:t xml:space="preserve">https://www.hiddenlayer.com/news/hiddenlayer-announces-new-features-to-safeguard-enterprise-ai-models-with-improved-risk-detection</w:t>
        </w:r>
      </w:hyperlink>
      <w:r>
        <w:t xml:space="preserve"> </w:t>
      </w:r>
      <w:r>
        <w:t xml:space="preserve">accessed 2026-10-08 [search-tool extract]</w:t>
      </w:r>
    </w:p>
  </w:footnote>
  <w:footnote w:id="2389">
    <w:p>
      <w:pPr>
        <w:pStyle w:val="FootnoteText"/>
      </w:pPr>
      <w:r>
        <w:rPr>
          <w:rStyle w:val="FootnoteReference"/>
        </w:rPr>
        <w:footnoteRef/>
      </w:r>
      <w:r>
        <w:t xml:space="preserve"> </w:t>
      </w:r>
      <w:r>
        <w:t xml:space="preserve">Verified fact — A7-S029: HiddenLayer on AWS / AWS Marketplace listing / Gartner Peer Insights listing</w:t>
      </w:r>
      <w:r>
        <w:t xml:space="preserve"> </w:t>
      </w:r>
      <w:hyperlink r:id="rId2377">
        <w:r>
          <w:rPr>
            <w:rStyle w:val="Hyperlink"/>
          </w:rPr>
          <w:t xml:space="preserve">https://hiddenlayer.com/aws</w:t>
        </w:r>
      </w:hyperlink>
      <w:r>
        <w:t xml:space="preserve"> </w:t>
      </w:r>
      <w:r>
        <w:t xml:space="preserve">accessed 2026-10-07 [search-tool extract]</w:t>
      </w:r>
    </w:p>
  </w:footnote>
  <w:footnote w:id="2391">
    <w:p>
      <w:pPr>
        <w:pStyle w:val="FootnoteText"/>
      </w:pPr>
      <w:r>
        <w:rPr>
          <w:rStyle w:val="FootnoteReference"/>
        </w:rPr>
        <w:footnoteRef/>
      </w:r>
      <w:r>
        <w:t xml:space="preserve"> </w:t>
      </w:r>
      <w:r>
        <w:t xml:space="preserve">Verified fact — A7-S025: Lakera docs changelog and</w:t>
      </w:r>
      <w:r>
        <w:t xml:space="preserve"> </w:t>
      </w:r>
      <w:r>
        <w:t xml:space="preserve">‘</w:t>
      </w:r>
      <w:r>
        <w:t xml:space="preserve">The Check Point AI Defense Plane</w:t>
      </w:r>
      <w:r>
        <w:t xml:space="preserve">’</w:t>
      </w:r>
      <w:r>
        <w:t xml:space="preserve"> </w:t>
      </w:r>
      <w:r>
        <w:t xml:space="preserve">introduction (Lakera (Check Point))</w:t>
      </w:r>
      <w:r>
        <w:t xml:space="preserve"> </w:t>
      </w:r>
      <w:hyperlink r:id="rId2392">
        <w:r>
          <w:rPr>
            <w:rStyle w:val="Hyperlink"/>
          </w:rPr>
          <w:t xml:space="preserve">https://docs.lakera.ai/changelog</w:t>
        </w:r>
      </w:hyperlink>
      <w:r>
        <w:t xml:space="preserve"> </w:t>
      </w:r>
      <w:r>
        <w:t xml:space="preserve">accessed 2026-10-07 [search-tool extract]; A7-S026: Check Point Launches AI Defense Plane to Secure the Agentic Enterprise at Scale (Check Point Software)</w:t>
      </w:r>
      <w:r>
        <w:t xml:space="preserve"> </w:t>
      </w:r>
      <w:hyperlink r:id="rId2393">
        <w:r>
          <w:rPr>
            <w:rStyle w:val="Hyperlink"/>
          </w:rPr>
          <w:t xml:space="preserve">https://www.checkpoint.com/press-releases/check-point-launches-ai-defense-plane-to-secure-the-agentic-enterprise-at-scale/</w:t>
        </w:r>
      </w:hyperlink>
      <w:r>
        <w:t xml:space="preserve"> </w:t>
      </w:r>
      <w:r>
        <w:t xml:space="preserve">accessed 2026-10-07 [search-tool extract]</w:t>
      </w:r>
    </w:p>
  </w:footnote>
  <w:footnote w:id="2394">
    <w:p>
      <w:pPr>
        <w:pStyle w:val="FootnoteText"/>
      </w:pPr>
      <w:r>
        <w:rPr>
          <w:rStyle w:val="FootnoteReference"/>
        </w:rPr>
        <w:footnoteRef/>
      </w:r>
      <w:r>
        <w:t xml:space="preserve"> </w:t>
      </w:r>
      <w:r>
        <w:t xml:space="preserve">Verified fact — A7-S023: Lakera Guard Platform - Pricing (Lakera (Check Point))</w:t>
      </w:r>
      <w:r>
        <w:t xml:space="preserve"> </w:t>
      </w:r>
      <w:hyperlink r:id="rId2395">
        <w:r>
          <w:rPr>
            <w:rStyle w:val="Hyperlink"/>
          </w:rPr>
          <w:t xml:space="preserve">https://platform.lakera.ai/pricing</w:t>
        </w:r>
      </w:hyperlink>
      <w:r>
        <w:t xml:space="preserve"> </w:t>
      </w:r>
      <w:r>
        <w:t xml:space="preserve">accessed 2026-10-07 [search-tool extract]; A7-S024: Lakera Dashboard / Self-hosting AI Guardrails (docs.lakera.ai) (Lakera (Check Point))</w:t>
      </w:r>
      <w:r>
        <w:t xml:space="preserve"> </w:t>
      </w:r>
      <w:hyperlink r:id="rId2396">
        <w:r>
          <w:rPr>
            <w:rStyle w:val="Hyperlink"/>
          </w:rPr>
          <w:t xml:space="preserve">https://docs.lakera.ai/docs/platform</w:t>
        </w:r>
      </w:hyperlink>
      <w:r>
        <w:t xml:space="preserve"> </w:t>
      </w:r>
      <w:r>
        <w:t xml:space="preserve">accessed 2026-10-07 [search-tool extract]</w:t>
      </w:r>
    </w:p>
  </w:footnote>
  <w:footnote w:id="2397">
    <w:p>
      <w:pPr>
        <w:pStyle w:val="FootnoteText"/>
      </w:pPr>
      <w:r>
        <w:rPr>
          <w:rStyle w:val="FootnoteReference"/>
        </w:rPr>
        <w:footnoteRef/>
      </w:r>
      <w:r>
        <w:t xml:space="preserve"> </w:t>
      </w:r>
      <w:r>
        <w:t xml:space="preserve">Verified fact — B-C7-S001: AI Guardrails Dashboard (Lakera / Check Point docs) (Lakera (Check Point))</w:t>
      </w:r>
      <w:r>
        <w:t xml:space="preserve"> </w:t>
      </w:r>
      <w:hyperlink r:id="rId2396">
        <w:r>
          <w:rPr>
            <w:rStyle w:val="Hyperlink"/>
          </w:rPr>
          <w:t xml:space="preserve">https://docs.lakera.ai/docs/platform</w:t>
        </w:r>
      </w:hyperlink>
      <w:r>
        <w:t xml:space="preserve"> </w:t>
      </w:r>
      <w:r>
        <w:t xml:space="preserve">accessed 2026-10-08 [search-tool extract]</w:t>
      </w:r>
    </w:p>
  </w:footnote>
  <w:footnote w:id="2398">
    <w:p>
      <w:pPr>
        <w:pStyle w:val="FootnoteText"/>
      </w:pPr>
      <w:r>
        <w:rPr>
          <w:rStyle w:val="FootnoteReference"/>
        </w:rPr>
        <w:footnoteRef/>
      </w:r>
      <w:r>
        <w:t xml:space="preserve"> </w:t>
      </w:r>
      <w:r>
        <w:t xml:space="preserve">Verified fact — A7-S023: Lakera Guard Platform - Pricing (Lakera (Check Point))</w:t>
      </w:r>
      <w:r>
        <w:t xml:space="preserve"> </w:t>
      </w:r>
      <w:hyperlink r:id="rId2395">
        <w:r>
          <w:rPr>
            <w:rStyle w:val="Hyperlink"/>
          </w:rPr>
          <w:t xml:space="preserve">https://platform.lakera.ai/pricing</w:t>
        </w:r>
      </w:hyperlink>
      <w:r>
        <w:t xml:space="preserve"> </w:t>
      </w:r>
      <w:r>
        <w:t xml:space="preserve">accessed 2026-10-07 [search-tool extract]; A7-S024: Lakera Dashboard / Self-hosting AI Guardrails (docs.lakera.ai) (Lakera (Check Point))</w:t>
      </w:r>
      <w:r>
        <w:t xml:space="preserve"> </w:t>
      </w:r>
      <w:hyperlink r:id="rId2396">
        <w:r>
          <w:rPr>
            <w:rStyle w:val="Hyperlink"/>
          </w:rPr>
          <w:t xml:space="preserve">https://docs.lakera.ai/docs/platform</w:t>
        </w:r>
      </w:hyperlink>
      <w:r>
        <w:t xml:space="preserve"> </w:t>
      </w:r>
      <w:r>
        <w:t xml:space="preserve">accessed 2026-10-07 [search-tool extract]</w:t>
      </w:r>
    </w:p>
  </w:footnote>
  <w:footnote w:id="2399">
    <w:p>
      <w:pPr>
        <w:pStyle w:val="FootnoteText"/>
      </w:pPr>
      <w:r>
        <w:rPr>
          <w:rStyle w:val="FootnoteReference"/>
        </w:rPr>
        <w:footnoteRef/>
      </w:r>
      <w:r>
        <w:t xml:space="preserve"> </w:t>
      </w:r>
      <w:r>
        <w:t xml:space="preserve">Verified fact — A7-S023: Lakera Guard Platform - Pricing (Lakera (Check Point))</w:t>
      </w:r>
      <w:r>
        <w:t xml:space="preserve"> </w:t>
      </w:r>
      <w:hyperlink r:id="rId2395">
        <w:r>
          <w:rPr>
            <w:rStyle w:val="Hyperlink"/>
          </w:rPr>
          <w:t xml:space="preserve">https://platform.lakera.ai/pricing</w:t>
        </w:r>
      </w:hyperlink>
      <w:r>
        <w:t xml:space="preserve"> </w:t>
      </w:r>
      <w:r>
        <w:t xml:space="preserve">accessed 2026-10-07 [search-tool extract]</w:t>
      </w:r>
    </w:p>
  </w:footnote>
  <w:footnote w:id="2400">
    <w:p>
      <w:pPr>
        <w:pStyle w:val="FootnoteText"/>
      </w:pPr>
      <w:r>
        <w:rPr>
          <w:rStyle w:val="FootnoteReference"/>
        </w:rPr>
        <w:footnoteRef/>
      </w:r>
      <w:r>
        <w:t xml:space="preserve"> </w:t>
      </w:r>
      <w:r>
        <w:t xml:space="preserve">Verified fact — A7-S013: Check Point Software Technologies Completes Acquisition of Lakera to Secure the World’s AI Transformation (CXOtoday (republished Check Point press release))</w:t>
      </w:r>
      <w:r>
        <w:t xml:space="preserve"> </w:t>
      </w:r>
      <w:hyperlink r:id="rId2401">
        <w:r>
          <w:rPr>
            <w:rStyle w:val="Hyperlink"/>
          </w:rPr>
          <w:t xml:space="preserve">https://cxotoday.com/press-release/check-point-software-technologies-completes-acquisition-of-lakera-to-secure-the-worlds-ai-transformation/</w:t>
        </w:r>
      </w:hyperlink>
      <w:r>
        <w:t xml:space="preserve"> </w:t>
      </w:r>
      <w:r>
        <w:t xml:space="preserve">accessed 2026-10-07 [search-tool extract]; V2-S038: Check Point Software Reports 2025 Third Quarter Financial Results (with</w:t>
      </w:r>
      <w:r>
        <w:t xml:space="preserve"> </w:t>
      </w:r>
      <w:r>
        <w:t xml:space="preserve">‘</w:t>
      </w:r>
      <w:r>
        <w:t xml:space="preserve">Check Point Completes Acquisition of Lakera</w:t>
      </w:r>
      <w:r>
        <w:t xml:space="preserve">’</w:t>
      </w:r>
      <w:r>
        <w:t xml:space="preserve"> </w:t>
      </w:r>
      <w:r>
        <w:t xml:space="preserve">release via cxotoday) (Check Point Software Technologies)</w:t>
      </w:r>
      <w:r>
        <w:t xml:space="preserve"> </w:t>
      </w:r>
      <w:hyperlink r:id="rId2402">
        <w:r>
          <w:rPr>
            <w:rStyle w:val="Hyperlink"/>
          </w:rPr>
          <w:t xml:space="preserve">https://www.checkpoint.com/press-releases/check-point-software-reports-2025-third-quarter-financial-results/</w:t>
        </w:r>
      </w:hyperlink>
      <w:r>
        <w:t xml:space="preserve"> </w:t>
      </w:r>
      <w:r>
        <w:t xml:space="preserve">accessed 2026-10-08 [search-tool extract]; V2-S067: Check Point AI Guardrails (Lakera Guard) privacy datasheet (with docs.lakera.ai</w:t>
      </w:r>
      <w:r>
        <w:t xml:space="preserve"> </w:t>
      </w:r>
      <w:r>
        <w:t xml:space="preserve">‘</w:t>
      </w:r>
      <w:r>
        <w:t xml:space="preserve">The Check Point AI Defense Plane</w:t>
      </w:r>
      <w:r>
        <w:t xml:space="preserve">’</w:t>
      </w:r>
      <w:r>
        <w:t xml:space="preserve">; Check Point AI Defense Plane press release 2 (Check Point Software Technologies)</w:t>
      </w:r>
      <w:r>
        <w:t xml:space="preserve"> </w:t>
      </w:r>
      <w:hyperlink r:id="rId2403">
        <w:r>
          <w:rPr>
            <w:rStyle w:val="Hyperlink"/>
          </w:rPr>
          <w:t xml:space="preserve">https://www.checkpoint.com/downloads/company/check-point-ai-guardrails-lakera-guard-privacy-datasheet.pdf</w:t>
        </w:r>
      </w:hyperlink>
      <w:r>
        <w:t xml:space="preserve"> </w:t>
      </w:r>
      <w:r>
        <w:t xml:space="preserve">accessed 2026-10-08 [search-tool extract]</w:t>
      </w:r>
    </w:p>
  </w:footnote>
  <w:footnote w:id="2404">
    <w:p>
      <w:pPr>
        <w:pStyle w:val="FootnoteText"/>
      </w:pPr>
      <w:r>
        <w:rPr>
          <w:rStyle w:val="FootnoteReference"/>
        </w:rPr>
        <w:footnoteRef/>
      </w:r>
      <w:r>
        <w:t xml:space="preserve"> </w:t>
      </w:r>
      <w:r>
        <w:t xml:space="preserve">Verified fact — B-C7-S001: AI Guardrails Dashboard (Lakera / Check Point docs) (Lakera (Check Point))</w:t>
      </w:r>
      <w:r>
        <w:t xml:space="preserve"> </w:t>
      </w:r>
      <w:hyperlink r:id="rId2396">
        <w:r>
          <w:rPr>
            <w:rStyle w:val="Hyperlink"/>
          </w:rPr>
          <w:t xml:space="preserve">https://docs.lakera.ai/docs/platform</w:t>
        </w:r>
      </w:hyperlink>
      <w:r>
        <w:t xml:space="preserve"> </w:t>
      </w:r>
      <w:r>
        <w:t xml:space="preserve">accessed 2026-10-08 [search-tool extract]</w:t>
      </w:r>
    </w:p>
  </w:footnote>
  <w:footnote w:id="2405">
    <w:p>
      <w:pPr>
        <w:pStyle w:val="FootnoteText"/>
      </w:pPr>
      <w:r>
        <w:rPr>
          <w:rStyle w:val="FootnoteReference"/>
        </w:rPr>
        <w:footnoteRef/>
      </w:r>
      <w:r>
        <w:t xml:space="preserve"> </w:t>
      </w:r>
      <w:r>
        <w:t xml:space="preserve">Verified fact — B-C7-S001: AI Guardrails Dashboard (Lakera / Check Point docs) (Lakera (Check Point))</w:t>
      </w:r>
      <w:r>
        <w:t xml:space="preserve"> </w:t>
      </w:r>
      <w:hyperlink r:id="rId2396">
        <w:r>
          <w:rPr>
            <w:rStyle w:val="Hyperlink"/>
          </w:rPr>
          <w:t xml:space="preserve">https://docs.lakera.ai/docs/platform</w:t>
        </w:r>
      </w:hyperlink>
      <w:r>
        <w:t xml:space="preserve"> </w:t>
      </w:r>
      <w:r>
        <w:t xml:space="preserve">accessed 2026-10-08 [search-tool extract]</w:t>
      </w:r>
    </w:p>
  </w:footnote>
  <w:footnote w:id="2406">
    <w:p>
      <w:pPr>
        <w:pStyle w:val="FootnoteText"/>
      </w:pPr>
      <w:r>
        <w:rPr>
          <w:rStyle w:val="FootnoteReference"/>
        </w:rPr>
        <w:footnoteRef/>
      </w:r>
      <w:r>
        <w:t xml:space="preserve"> </w:t>
      </w:r>
      <w:r>
        <w:t xml:space="preserve">Verified fact — A7-S025: Lakera docs changelog and</w:t>
      </w:r>
      <w:r>
        <w:t xml:space="preserve"> </w:t>
      </w:r>
      <w:r>
        <w:t xml:space="preserve">‘</w:t>
      </w:r>
      <w:r>
        <w:t xml:space="preserve">The Check Point AI Defense Plane</w:t>
      </w:r>
      <w:r>
        <w:t xml:space="preserve">’</w:t>
      </w:r>
      <w:r>
        <w:t xml:space="preserve"> </w:t>
      </w:r>
      <w:r>
        <w:t xml:space="preserve">introduction (Lakera (Check Point))</w:t>
      </w:r>
      <w:r>
        <w:t xml:space="preserve"> </w:t>
      </w:r>
      <w:hyperlink r:id="rId2392">
        <w:r>
          <w:rPr>
            <w:rStyle w:val="Hyperlink"/>
          </w:rPr>
          <w:t xml:space="preserve">https://docs.lakera.ai/changelog</w:t>
        </w:r>
      </w:hyperlink>
      <w:r>
        <w:t xml:space="preserve"> </w:t>
      </w:r>
      <w:r>
        <w:t xml:space="preserve">accessed 2026-10-07 [search-tool extract]</w:t>
      </w:r>
    </w:p>
  </w:footnote>
  <w:footnote w:id="2409">
    <w:p>
      <w:pPr>
        <w:pStyle w:val="FootnoteText"/>
      </w:pPr>
      <w:r>
        <w:rPr>
          <w:rStyle w:val="FootnoteReference"/>
        </w:rPr>
        <w:footnoteRef/>
      </w:r>
      <w:r>
        <w:t xml:space="preserve"> </w:t>
      </w:r>
      <w:r>
        <w:t xml:space="preserve">Verified fact — A7-S041: OpenLineage README (OpenLineage (LF AI &amp; Data))</w:t>
      </w:r>
      <w:r>
        <w:t xml:space="preserve"> </w:t>
      </w:r>
      <w:hyperlink r:id="rId2410">
        <w:r>
          <w:rPr>
            <w:rStyle w:val="Hyperlink"/>
          </w:rPr>
          <w:t xml:space="preserve">https://raw.githubusercontent.com/OpenLineage/OpenLineage/main/README.md</w:t>
        </w:r>
      </w:hyperlink>
      <w:r>
        <w:t xml:space="preserve"> </w:t>
      </w:r>
      <w:r>
        <w:t xml:space="preserve">accessed 2026-10-07; A7-S043: Marquez README (Marquez Project (LF AI &amp; Data))</w:t>
      </w:r>
      <w:r>
        <w:t xml:space="preserve"> </w:t>
      </w:r>
      <w:hyperlink r:id="rId2411">
        <w:r>
          <w:rPr>
            <w:rStyle w:val="Hyperlink"/>
          </w:rPr>
          <w:t xml:space="preserve">https://raw.githubusercontent.com/MarquezProject/marquez/main/README.md</w:t>
        </w:r>
      </w:hyperlink>
      <w:r>
        <w:t xml:space="preserve"> </w:t>
      </w:r>
      <w:r>
        <w:t xml:space="preserve">accessed 2026-10-07; A7-S042: OpenLineage CHANGELOG (OpenLineage (LF AI &amp; Data))</w:t>
      </w:r>
      <w:r>
        <w:t xml:space="preserve"> </w:t>
      </w:r>
      <w:hyperlink r:id="rId2412">
        <w:r>
          <w:rPr>
            <w:rStyle w:val="Hyperlink"/>
          </w:rPr>
          <w:t xml:space="preserve">https://raw.githubusercontent.com/OpenLineage/OpenLineage/main/CHANGELOG.md</w:t>
        </w:r>
      </w:hyperlink>
      <w:r>
        <w:t xml:space="preserve"> </w:t>
      </w:r>
      <w:r>
        <w:t xml:space="preserve">accessed 2026-10-07</w:t>
      </w:r>
    </w:p>
  </w:footnote>
  <w:footnote w:id="2413">
    <w:p>
      <w:pPr>
        <w:pStyle w:val="FootnoteText"/>
      </w:pPr>
      <w:r>
        <w:rPr>
          <w:rStyle w:val="FootnoteReference"/>
        </w:rPr>
        <w:footnoteRef/>
      </w:r>
      <w:r>
        <w:t xml:space="preserve"> </w:t>
      </w:r>
      <w:r>
        <w:t xml:space="preserve">Verified fact — A7-S041: OpenLineage README (OpenLineage (LF AI &amp; Data))</w:t>
      </w:r>
      <w:r>
        <w:t xml:space="preserve"> </w:t>
      </w:r>
      <w:hyperlink r:id="rId2410">
        <w:r>
          <w:rPr>
            <w:rStyle w:val="Hyperlink"/>
          </w:rPr>
          <w:t xml:space="preserve">https://raw.githubusercontent.com/OpenLineage/OpenLineage/main/README.md</w:t>
        </w:r>
      </w:hyperlink>
      <w:r>
        <w:t xml:space="preserve"> </w:t>
      </w:r>
      <w:r>
        <w:t xml:space="preserve">accessed 2026-10-07</w:t>
      </w:r>
    </w:p>
  </w:footnote>
  <w:footnote w:id="2414">
    <w:p>
      <w:pPr>
        <w:pStyle w:val="FootnoteText"/>
      </w:pPr>
      <w:r>
        <w:rPr>
          <w:rStyle w:val="FootnoteReference"/>
        </w:rPr>
        <w:footnoteRef/>
      </w:r>
      <w:r>
        <w:t xml:space="preserve"> </w:t>
      </w:r>
      <w:r>
        <w:t xml:space="preserve">Verified fact — A7-S045: apache-airflow-providers-openlineage on PyPI (PyPI / Apache Software Foundation)</w:t>
      </w:r>
      <w:r>
        <w:t xml:space="preserve"> </w:t>
      </w:r>
      <w:hyperlink r:id="rId2415">
        <w:r>
          <w:rPr>
            <w:rStyle w:val="Hyperlink"/>
          </w:rPr>
          <w:t xml:space="preserve">https://pypi.org/pypi/apache-airflow-providers-openlineage/json</w:t>
        </w:r>
      </w:hyperlink>
      <w:r>
        <w:t xml:space="preserve"> </w:t>
      </w:r>
      <w:r>
        <w:t xml:space="preserve">accessed 2026-10-07; A7-S042: OpenLineage CHANGELOG (OpenLineage (LF AI &amp; Data))</w:t>
      </w:r>
      <w:r>
        <w:t xml:space="preserve"> </w:t>
      </w:r>
      <w:hyperlink r:id="rId2412">
        <w:r>
          <w:rPr>
            <w:rStyle w:val="Hyperlink"/>
          </w:rPr>
          <w:t xml:space="preserve">https://raw.githubusercontent.com/OpenLineage/OpenLineage/main/CHANGELOG.md</w:t>
        </w:r>
      </w:hyperlink>
      <w:r>
        <w:t xml:space="preserve"> </w:t>
      </w:r>
      <w:r>
        <w:t xml:space="preserve">accessed 2026-10-07; A7-S122: Collibra Platform Cloud infrastructure and base components; Collibra Cloud Sites and OpenLineage integration blog; Collibra homepage</w:t>
      </w:r>
      <w:r>
        <w:t xml:space="preserve"> </w:t>
      </w:r>
      <w:hyperlink r:id="rId2416">
        <w:r>
          <w:rPr>
            <w:rStyle w:val="Hyperlink"/>
          </w:rPr>
          <w:t xml:space="preserve">https://productresources.collibra.com/docs/collibra/latest/Content/Cloud/Intro/co_cloud-introduction.htm</w:t>
        </w:r>
      </w:hyperlink>
      <w:r>
        <w:t xml:space="preserve"> </w:t>
      </w:r>
      <w:r>
        <w:t xml:space="preserve">accessed 2026-10-07 [search-tool extract]</w:t>
      </w:r>
    </w:p>
  </w:footnote>
  <w:footnote w:id="2417">
    <w:p>
      <w:pPr>
        <w:pStyle w:val="FootnoteText"/>
      </w:pPr>
      <w:r>
        <w:rPr>
          <w:rStyle w:val="FootnoteReference"/>
        </w:rPr>
        <w:footnoteRef/>
      </w:r>
      <w:r>
        <w:t xml:space="preserve"> </w:t>
      </w:r>
      <w:r>
        <w:t xml:space="preserve">Verified fact — A7-S042: OpenLineage CHANGELOG (OpenLineage (LF AI &amp; Data))</w:t>
      </w:r>
      <w:r>
        <w:t xml:space="preserve"> </w:t>
      </w:r>
      <w:hyperlink r:id="rId2412">
        <w:r>
          <w:rPr>
            <w:rStyle w:val="Hyperlink"/>
          </w:rPr>
          <w:t xml:space="preserve">https://raw.githubusercontent.com/OpenLineage/OpenLineage/main/CHANGELOG.md</w:t>
        </w:r>
      </w:hyperlink>
      <w:r>
        <w:t xml:space="preserve"> </w:t>
      </w:r>
      <w:r>
        <w:t xml:space="preserve">accessed 2026-10-07</w:t>
      </w:r>
    </w:p>
  </w:footnote>
  <w:footnote w:id="2418">
    <w:p>
      <w:pPr>
        <w:pStyle w:val="FootnoteText"/>
      </w:pPr>
      <w:r>
        <w:rPr>
          <w:rStyle w:val="FootnoteReference"/>
        </w:rPr>
        <w:footnoteRef/>
      </w:r>
      <w:r>
        <w:t xml:space="preserve"> </w:t>
      </w:r>
      <w:r>
        <w:t xml:space="preserve">Verified fact — A7-S042: OpenLineage CHANGELOG (OpenLineage (LF AI &amp; Data))</w:t>
      </w:r>
      <w:r>
        <w:t xml:space="preserve"> </w:t>
      </w:r>
      <w:hyperlink r:id="rId2412">
        <w:r>
          <w:rPr>
            <w:rStyle w:val="Hyperlink"/>
          </w:rPr>
          <w:t xml:space="preserve">https://raw.githubusercontent.com/OpenLineage/OpenLineage/main/CHANGELOG.md</w:t>
        </w:r>
      </w:hyperlink>
      <w:r>
        <w:t xml:space="preserve"> </w:t>
      </w:r>
      <w:r>
        <w:t xml:space="preserve">accessed 2026-10-07</w:t>
      </w:r>
    </w:p>
  </w:footnote>
  <w:footnote w:id="2419">
    <w:p>
      <w:pPr>
        <w:pStyle w:val="FootnoteText"/>
      </w:pPr>
      <w:r>
        <w:rPr>
          <w:rStyle w:val="FootnoteReference"/>
        </w:rPr>
        <w:footnoteRef/>
      </w:r>
      <w:r>
        <w:t xml:space="preserve"> </w:t>
      </w:r>
      <w:r>
        <w:t xml:space="preserve">Verified fact — A7-S044: Docker Hub marquezproject/marquez tags (Docker Hub / Marquez Project)</w:t>
      </w:r>
      <w:r>
        <w:t xml:space="preserve"> </w:t>
      </w:r>
      <w:hyperlink r:id="rId2420">
        <w:r>
          <w:rPr>
            <w:rStyle w:val="Hyperlink"/>
          </w:rPr>
          <w:t xml:space="preserve">https://hub.docker.com/v2/repositories/marquezproject/marquez/tags?page_size=5&amp;ordering=last_updated</w:t>
        </w:r>
      </w:hyperlink>
      <w:r>
        <w:t xml:space="preserve"> </w:t>
      </w:r>
      <w:r>
        <w:t xml:space="preserve">accessed 2026-10-07</w:t>
      </w:r>
    </w:p>
  </w:footnote>
  <w:footnote w:id="2422">
    <w:p>
      <w:pPr>
        <w:pStyle w:val="FootnoteText"/>
      </w:pPr>
      <w:r>
        <w:rPr>
          <w:rStyle w:val="FootnoteReference"/>
        </w:rPr>
        <w:footnoteRef/>
      </w:r>
      <w:r>
        <w:t xml:space="preserve"> </w:t>
      </w:r>
      <w:r>
        <w:t xml:space="preserve">Verified fact — A7-S103: IBM watsonx.governance product, pricing and model-governance pages; Compliance Accelerators announcement; IBM Cloud catalog</w:t>
      </w:r>
      <w:r>
        <w:t xml:space="preserve"> </w:t>
      </w:r>
      <w:hyperlink r:id="rId2423">
        <w:r>
          <w:rPr>
            <w:rStyle w:val="Hyperlink"/>
          </w:rPr>
          <w:t xml:space="preserve">https://www.ibm.com/products/watsonx-governance/pricing</w:t>
        </w:r>
      </w:hyperlink>
      <w:r>
        <w:t xml:space="preserve"> </w:t>
      </w:r>
      <w:r>
        <w:t xml:space="preserve">accessed 2026-10-07 [search-tool extract]; A7-S111: IBM announcements 2026: Enforcement Tracking; AI Asset Discovery; security metrics and agent monitoring; Think 2026 AI assurance</w:t>
      </w:r>
      <w:r>
        <w:t xml:space="preserve"> </w:t>
      </w:r>
      <w:hyperlink r:id="rId2424">
        <w:r>
          <w:rPr>
            <w:rStyle w:val="Hyperlink"/>
          </w:rPr>
          <w:t xml:space="preserve">https://www.ibm.com/new/announcements/from-governance-policies-to-governance-proof-with-enforcement-tracking-for-watsonx-orchestrate</w:t>
        </w:r>
      </w:hyperlink>
      <w:r>
        <w:t xml:space="preserve"> </w:t>
      </w:r>
      <w:r>
        <w:t xml:space="preserve">accessed 2026-10-07 [search-tool extract]; A7-S058: ibm-watsonx-gov on PyPI (PyPI / IBM)</w:t>
      </w:r>
      <w:r>
        <w:t xml:space="preserve"> </w:t>
      </w:r>
      <w:hyperlink r:id="rId2425">
        <w:r>
          <w:rPr>
            <w:rStyle w:val="Hyperlink"/>
          </w:rPr>
          <w:t xml:space="preserve">https://pypi.org/pypi/ibm-watsonx-gov/json</w:t>
        </w:r>
      </w:hyperlink>
      <w:r>
        <w:t xml:space="preserve"> </w:t>
      </w:r>
      <w:r>
        <w:t xml:space="preserve">accessed 2026-10-07; B-C8-S003: Managing IAM access for watsonx.governance as a Service on AWS; factsheets; Enforcement Tracking (IBM)</w:t>
      </w:r>
      <w:r>
        <w:t xml:space="preserve"> </w:t>
      </w:r>
      <w:hyperlink r:id="rId2426">
        <w:r>
          <w:rPr>
            <w:rStyle w:val="Hyperlink"/>
          </w:rPr>
          <w:t xml:space="preserve">https://dataplatform.cloud.ibm.com/docs/content/wsj/openpages/wxgov-aws-iam.html?context=wx</w:t>
        </w:r>
      </w:hyperlink>
      <w:r>
        <w:t xml:space="preserve"> </w:t>
      </w:r>
      <w:r>
        <w:t xml:space="preserve">accessed 2026-10-08 [search-tool extract]</w:t>
      </w:r>
    </w:p>
  </w:footnote>
  <w:footnote w:id="2427">
    <w:p>
      <w:pPr>
        <w:pStyle w:val="FootnoteText"/>
      </w:pPr>
      <w:r>
        <w:rPr>
          <w:rStyle w:val="FootnoteReference"/>
        </w:rPr>
        <w:footnoteRef/>
      </w:r>
      <w:r>
        <w:t xml:space="preserve"> </w:t>
      </w:r>
      <w:r>
        <w:t xml:space="preserve">Verified fact — A7-S111: IBM announcements 2026: Enforcement Tracking; AI Asset Discovery; security metrics and agent monitoring; Think 2026 AI assurance</w:t>
      </w:r>
      <w:r>
        <w:t xml:space="preserve"> </w:t>
      </w:r>
      <w:hyperlink r:id="rId2424">
        <w:r>
          <w:rPr>
            <w:rStyle w:val="Hyperlink"/>
          </w:rPr>
          <w:t xml:space="preserve">https://www.ibm.com/new/announcements/from-governance-policies-to-governance-proof-with-enforcement-tracking-for-watsonx-orchestrate</w:t>
        </w:r>
      </w:hyperlink>
      <w:r>
        <w:t xml:space="preserve"> </w:t>
      </w:r>
      <w:r>
        <w:t xml:space="preserve">accessed 2026-10-07 [search-tool extract]</w:t>
      </w:r>
    </w:p>
  </w:footnote>
  <w:footnote w:id="2428">
    <w:p>
      <w:pPr>
        <w:pStyle w:val="FootnoteText"/>
      </w:pPr>
      <w:r>
        <w:rPr>
          <w:rStyle w:val="FootnoteReference"/>
        </w:rPr>
        <w:footnoteRef/>
      </w:r>
      <w:r>
        <w:t xml:space="preserve"> </w:t>
      </w:r>
      <w:r>
        <w:t xml:space="preserve">Verified fact — A7-S103: IBM watsonx.governance product, pricing and model-governance pages; Compliance Accelerators announcement; IBM Cloud catalog</w:t>
      </w:r>
      <w:r>
        <w:t xml:space="preserve"> </w:t>
      </w:r>
      <w:hyperlink r:id="rId2423">
        <w:r>
          <w:rPr>
            <w:rStyle w:val="Hyperlink"/>
          </w:rPr>
          <w:t xml:space="preserve">https://www.ibm.com/products/watsonx-governance/pricing</w:t>
        </w:r>
      </w:hyperlink>
      <w:r>
        <w:t xml:space="preserve"> </w:t>
      </w:r>
      <w:r>
        <w:t xml:space="preserve">accessed 2026-10-07 [search-tool extract]</w:t>
      </w:r>
    </w:p>
  </w:footnote>
  <w:footnote w:id="2429">
    <w:p>
      <w:pPr>
        <w:pStyle w:val="FootnoteText"/>
      </w:pPr>
      <w:r>
        <w:rPr>
          <w:rStyle w:val="FootnoteReference"/>
        </w:rPr>
        <w:footnoteRef/>
      </w:r>
      <w:r>
        <w:t xml:space="preserve"> </w:t>
      </w:r>
      <w:r>
        <w:t xml:space="preserve">Verified fact — A7-S103: IBM watsonx.governance product, pricing and model-governance pages; Compliance Accelerators announcement; IBM Cloud catalog</w:t>
      </w:r>
      <w:r>
        <w:t xml:space="preserve"> </w:t>
      </w:r>
      <w:hyperlink r:id="rId2423">
        <w:r>
          <w:rPr>
            <w:rStyle w:val="Hyperlink"/>
          </w:rPr>
          <w:t xml:space="preserve">https://www.ibm.com/products/watsonx-governance/pricing</w:t>
        </w:r>
      </w:hyperlink>
      <w:r>
        <w:t xml:space="preserve"> </w:t>
      </w:r>
      <w:r>
        <w:t xml:space="preserve">accessed 2026-10-07 [search-tool extract]</w:t>
      </w:r>
    </w:p>
  </w:footnote>
  <w:footnote w:id="2430">
    <w:p>
      <w:pPr>
        <w:pStyle w:val="FootnoteText"/>
      </w:pPr>
      <w:r>
        <w:rPr>
          <w:rStyle w:val="FootnoteReference"/>
        </w:rPr>
        <w:footnoteRef/>
      </w:r>
      <w:r>
        <w:t xml:space="preserve"> </w:t>
      </w:r>
      <w:r>
        <w:t xml:space="preserve">Verified fact — B-C8-S003: Managing IAM access for watsonx.governance as a Service on AWS; factsheets; Enforcement Tracking (IBM)</w:t>
      </w:r>
      <w:r>
        <w:t xml:space="preserve"> </w:t>
      </w:r>
      <w:hyperlink r:id="rId2426">
        <w:r>
          <w:rPr>
            <w:rStyle w:val="Hyperlink"/>
          </w:rPr>
          <w:t xml:space="preserve">https://dataplatform.cloud.ibm.com/docs/content/wsj/openpages/wxgov-aws-iam.html?context=wx</w:t>
        </w:r>
      </w:hyperlink>
      <w:r>
        <w:t xml:space="preserve"> </w:t>
      </w:r>
      <w:r>
        <w:t xml:space="preserve">accessed 2026-10-08 [search-tool extract]</w:t>
      </w:r>
    </w:p>
  </w:footnote>
  <w:footnote w:id="2431">
    <w:p>
      <w:pPr>
        <w:pStyle w:val="FootnoteText"/>
      </w:pPr>
      <w:r>
        <w:rPr>
          <w:rStyle w:val="FootnoteReference"/>
        </w:rPr>
        <w:footnoteRef/>
      </w:r>
      <w:r>
        <w:t xml:space="preserve"> </w:t>
      </w:r>
      <w:r>
        <w:t xml:space="preserve">Verified fact — A7-S103: IBM watsonx.governance product, pricing and model-governance pages; Compliance Accelerators announcement; IBM Cloud catalog</w:t>
      </w:r>
      <w:r>
        <w:t xml:space="preserve"> </w:t>
      </w:r>
      <w:hyperlink r:id="rId2423">
        <w:r>
          <w:rPr>
            <w:rStyle w:val="Hyperlink"/>
          </w:rPr>
          <w:t xml:space="preserve">https://www.ibm.com/products/watsonx-governance/pricing</w:t>
        </w:r>
      </w:hyperlink>
      <w:r>
        <w:t xml:space="preserve"> </w:t>
      </w:r>
      <w:r>
        <w:t xml:space="preserve">accessed 2026-10-07 [search-tool extract]; B-C8-S002: Introducing FedRAMP-authorized watsonx services on AWS GovCloud; IBM Watson privacy and security POV (2019)</w:t>
      </w:r>
      <w:r>
        <w:t xml:space="preserve"> </w:t>
      </w:r>
      <w:hyperlink r:id="rId2432">
        <w:r>
          <w:rPr>
            <w:rStyle w:val="Hyperlink"/>
          </w:rPr>
          <w:t xml:space="preserve">https://www.ibm.com/new/announcements/introducing-fedramp-authorized-watsonx-services-on-aws-govcloud</w:t>
        </w:r>
      </w:hyperlink>
      <w:r>
        <w:t xml:space="preserve"> </w:t>
      </w:r>
      <w:r>
        <w:t xml:space="preserve">accessed 2026-10-08 [search-tool extract]</w:t>
      </w:r>
    </w:p>
  </w:footnote>
  <w:footnote w:id="2433">
    <w:p>
      <w:pPr>
        <w:pStyle w:val="FootnoteText"/>
      </w:pPr>
      <w:r>
        <w:rPr>
          <w:rStyle w:val="FootnoteReference"/>
        </w:rPr>
        <w:footnoteRef/>
      </w:r>
      <w:r>
        <w:t xml:space="preserve"> </w:t>
      </w:r>
      <w:r>
        <w:t xml:space="preserve">Verified fact — A7-S103: IBM watsonx.governance product, pricing and model-governance pages; Compliance Accelerators announcement; IBM Cloud catalog</w:t>
      </w:r>
      <w:r>
        <w:t xml:space="preserve"> </w:t>
      </w:r>
      <w:hyperlink r:id="rId2423">
        <w:r>
          <w:rPr>
            <w:rStyle w:val="Hyperlink"/>
          </w:rPr>
          <w:t xml:space="preserve">https://www.ibm.com/products/watsonx-governance/pricing</w:t>
        </w:r>
      </w:hyperlink>
      <w:r>
        <w:t xml:space="preserve"> </w:t>
      </w:r>
      <w:r>
        <w:t xml:space="preserve">accessed 2026-10-07 [search-tool extract]</w:t>
      </w:r>
    </w:p>
  </w:footnote>
  <w:footnote w:id="2434">
    <w:p>
      <w:pPr>
        <w:pStyle w:val="FootnoteText"/>
      </w:pPr>
      <w:r>
        <w:rPr>
          <w:rStyle w:val="FootnoteReference"/>
        </w:rPr>
        <w:footnoteRef/>
      </w:r>
      <w:r>
        <w:t xml:space="preserve"> </w:t>
      </w:r>
      <w:r>
        <w:t xml:space="preserve">Verified fact — A7-S111: IBM announcements 2026: Enforcement Tracking; AI Asset Discovery; security metrics and agent monitoring; Think 2026 AI assurance</w:t>
      </w:r>
      <w:r>
        <w:t xml:space="preserve"> </w:t>
      </w:r>
      <w:hyperlink r:id="rId2424">
        <w:r>
          <w:rPr>
            <w:rStyle w:val="Hyperlink"/>
          </w:rPr>
          <w:t xml:space="preserve">https://www.ibm.com/new/announcements/from-governance-policies-to-governance-proof-with-enforcement-tracking-for-watsonx-orchestrate</w:t>
        </w:r>
      </w:hyperlink>
      <w:r>
        <w:t xml:space="preserve"> </w:t>
      </w:r>
      <w:r>
        <w:t xml:space="preserve">accessed 2026-10-07 [search-tool extract]</w:t>
      </w:r>
    </w:p>
  </w:footnote>
  <w:footnote w:id="2435">
    <w:p>
      <w:pPr>
        <w:pStyle w:val="FootnoteText"/>
      </w:pPr>
      <w:r>
        <w:rPr>
          <w:rStyle w:val="FootnoteReference"/>
        </w:rPr>
        <w:footnoteRef/>
      </w:r>
      <w:r>
        <w:t xml:space="preserve"> </w:t>
      </w:r>
      <w:r>
        <w:t xml:space="preserve">Verified fact — A7-S103: IBM watsonx.governance product, pricing and model-governance pages; Compliance Accelerators announcement; IBM Cloud catalog</w:t>
      </w:r>
      <w:r>
        <w:t xml:space="preserve"> </w:t>
      </w:r>
      <w:hyperlink r:id="rId2423">
        <w:r>
          <w:rPr>
            <w:rStyle w:val="Hyperlink"/>
          </w:rPr>
          <w:t xml:space="preserve">https://www.ibm.com/products/watsonx-governance/pricing</w:t>
        </w:r>
      </w:hyperlink>
      <w:r>
        <w:t xml:space="preserve"> </w:t>
      </w:r>
      <w:r>
        <w:t xml:space="preserve">accessed 2026-10-07 [search-tool extract]</w:t>
      </w:r>
    </w:p>
  </w:footnote>
  <w:footnote w:id="2437">
    <w:p>
      <w:pPr>
        <w:pStyle w:val="FootnoteText"/>
      </w:pPr>
      <w:r>
        <w:rPr>
          <w:rStyle w:val="FootnoteReference"/>
        </w:rPr>
        <w:footnoteRef/>
      </w:r>
      <w:r>
        <w:t xml:space="preserve"> </w:t>
      </w:r>
      <w:r>
        <w:t xml:space="preserve">Verified fact — A7-S102: Credo AI - Product; Credo AI homepage; AI Governance Platform &amp; Services</w:t>
      </w:r>
      <w:r>
        <w:t xml:space="preserve"> </w:t>
      </w:r>
      <w:hyperlink r:id="rId2438">
        <w:r>
          <w:rPr>
            <w:rStyle w:val="Hyperlink"/>
          </w:rPr>
          <w:t xml:space="preserve">https://www.credo.ai/product</w:t>
        </w:r>
      </w:hyperlink>
      <w:r>
        <w:t xml:space="preserve"> </w:t>
      </w:r>
      <w:r>
        <w:t xml:space="preserve">accessed 2026-10-07 [search-tool extract]</w:t>
      </w:r>
    </w:p>
  </w:footnote>
  <w:footnote w:id="2439">
    <w:p>
      <w:pPr>
        <w:pStyle w:val="FootnoteText"/>
      </w:pPr>
      <w:r>
        <w:rPr>
          <w:rStyle w:val="FootnoteReference"/>
        </w:rPr>
        <w:footnoteRef/>
      </w:r>
      <w:r>
        <w:t xml:space="preserve"> </w:t>
      </w:r>
      <w:r>
        <w:t xml:space="preserve">Verified fact — A7-S107: Trust Center - Credo AI; Credo AI SOC 2 Type II page</w:t>
      </w:r>
      <w:r>
        <w:t xml:space="preserve"> </w:t>
      </w:r>
      <w:hyperlink r:id="rId2440">
        <w:r>
          <w:rPr>
            <w:rStyle w:val="Hyperlink"/>
          </w:rPr>
          <w:t xml:space="preserve">https://trust.credo.ai/</w:t>
        </w:r>
      </w:hyperlink>
      <w:r>
        <w:t xml:space="preserve"> </w:t>
      </w:r>
      <w:r>
        <w:t xml:space="preserve">accessed 2026-10-07 [search-tool extract]; A7-S123: Credo AI self-hosted documentation (installation, requirements, SSO with Okta OIDC/SAML, FAQ)</w:t>
      </w:r>
      <w:r>
        <w:t xml:space="preserve"> </w:t>
      </w:r>
      <w:hyperlink r:id="rId2441">
        <w:r>
          <w:rPr>
            <w:rStyle w:val="Hyperlink"/>
          </w:rPr>
          <w:t xml:space="preserve">https://docs.selfhost.credo.ai/docs/self-hosted/installation/common/</w:t>
        </w:r>
      </w:hyperlink>
      <w:r>
        <w:t xml:space="preserve"> </w:t>
      </w:r>
      <w:r>
        <w:t xml:space="preserve">accessed 2026-10-07 [search-tool extract]</w:t>
      </w:r>
    </w:p>
  </w:footnote>
  <w:footnote w:id="2442">
    <w:p>
      <w:pPr>
        <w:pStyle w:val="FootnoteText"/>
      </w:pPr>
      <w:r>
        <w:rPr>
          <w:rStyle w:val="FootnoteReference"/>
        </w:rPr>
        <w:footnoteRef/>
      </w:r>
      <w:r>
        <w:t xml:space="preserve"> </w:t>
      </w:r>
      <w:r>
        <w:t xml:space="preserve">Verified fact — A7-S123: Credo AI self-hosted documentation (installation, requirements, SSO with Okta OIDC/SAML, FAQ)</w:t>
      </w:r>
      <w:r>
        <w:t xml:space="preserve"> </w:t>
      </w:r>
      <w:hyperlink r:id="rId2441">
        <w:r>
          <w:rPr>
            <w:rStyle w:val="Hyperlink"/>
          </w:rPr>
          <w:t xml:space="preserve">https://docs.selfhost.credo.ai/docs/self-hosted/installation/common/</w:t>
        </w:r>
      </w:hyperlink>
      <w:r>
        <w:t xml:space="preserve"> </w:t>
      </w:r>
      <w:r>
        <w:t xml:space="preserve">accessed 2026-10-07 [search-tool extract]</w:t>
      </w:r>
    </w:p>
  </w:footnote>
  <w:footnote w:id="2443">
    <w:p>
      <w:pPr>
        <w:pStyle w:val="FootnoteText"/>
      </w:pPr>
      <w:r>
        <w:rPr>
          <w:rStyle w:val="FootnoteReference"/>
        </w:rPr>
        <w:footnoteRef/>
      </w:r>
      <w:r>
        <w:t xml:space="preserve"> </w:t>
      </w:r>
      <w:r>
        <w:t xml:space="preserve">Verified fact — A7-S102: Credo AI - Product; Credo AI homepage; AI Governance Platform &amp; Services</w:t>
      </w:r>
      <w:r>
        <w:t xml:space="preserve"> </w:t>
      </w:r>
      <w:hyperlink r:id="rId2438">
        <w:r>
          <w:rPr>
            <w:rStyle w:val="Hyperlink"/>
          </w:rPr>
          <w:t xml:space="preserve">https://www.credo.ai/product</w:t>
        </w:r>
      </w:hyperlink>
      <w:r>
        <w:t xml:space="preserve"> </w:t>
      </w:r>
      <w:r>
        <w:t xml:space="preserve">accessed 2026-10-07 [search-tool extract]; A7-S110: ModelOp: SR 11-7 Model Risk Management; Collibra blogs (OSFI E-23, SR 26-2); Credo AI blog (financial services) (ModelOp / Collibra / Credo AI)</w:t>
      </w:r>
      <w:r>
        <w:t xml:space="preserve"> </w:t>
      </w:r>
      <w:hyperlink r:id="rId2444">
        <w:r>
          <w:rPr>
            <w:rStyle w:val="Hyperlink"/>
          </w:rPr>
          <w:t xml:space="preserve">https://www.modelop.com/ai-governance/ai-regulations-standards/sr-11-7</w:t>
        </w:r>
      </w:hyperlink>
      <w:r>
        <w:t xml:space="preserve"> </w:t>
      </w:r>
      <w:r>
        <w:t xml:space="preserve">accessed 2026-10-07 [search-tool extract]</w:t>
      </w:r>
    </w:p>
  </w:footnote>
  <w:footnote w:id="2445">
    <w:p>
      <w:pPr>
        <w:pStyle w:val="FootnoteText"/>
      </w:pPr>
      <w:r>
        <w:rPr>
          <w:rStyle w:val="FootnoteReference"/>
        </w:rPr>
        <w:footnoteRef/>
      </w:r>
      <w:r>
        <w:t xml:space="preserve"> </w:t>
      </w:r>
      <w:r>
        <w:t xml:space="preserve">Verified fact — A7-S107: Trust Center - Credo AI; Credo AI SOC 2 Type II page</w:t>
      </w:r>
      <w:r>
        <w:t xml:space="preserve"> </w:t>
      </w:r>
      <w:hyperlink r:id="rId2440">
        <w:r>
          <w:rPr>
            <w:rStyle w:val="Hyperlink"/>
          </w:rPr>
          <w:t xml:space="preserve">https://trust.credo.ai/</w:t>
        </w:r>
      </w:hyperlink>
      <w:r>
        <w:t xml:space="preserve"> </w:t>
      </w:r>
      <w:r>
        <w:t xml:space="preserve">accessed 2026-10-07 [search-tool extract]; V2-S064: Collibra strengthens AI governance leadership with ISO 42001 certification (22 Jan 2025); Credo AI SOC 2 Type II page (Collibra / Credo AI)</w:t>
      </w:r>
      <w:r>
        <w:t xml:space="preserve"> </w:t>
      </w:r>
      <w:hyperlink r:id="rId2446">
        <w:r>
          <w:rPr>
            <w:rStyle w:val="Hyperlink"/>
          </w:rPr>
          <w:t xml:space="preserve">https://www.collibra.com/company/newsroom/press-releases/collibra-strengthens-ai-governance-leadership-with-iso-42001-certification-ai-pact-commitment</w:t>
        </w:r>
      </w:hyperlink>
      <w:r>
        <w:t xml:space="preserve"> </w:t>
      </w:r>
      <w:r>
        <w:t xml:space="preserve">accessed 2026-10-08 [search-tool extract]</w:t>
      </w:r>
    </w:p>
  </w:footnote>
  <w:footnote w:id="2447">
    <w:p>
      <w:pPr>
        <w:pStyle w:val="FootnoteText"/>
      </w:pPr>
      <w:r>
        <w:rPr>
          <w:rStyle w:val="FootnoteReference"/>
        </w:rPr>
        <w:footnoteRef/>
      </w:r>
      <w:r>
        <w:t xml:space="preserve"> </w:t>
      </w:r>
      <w:r>
        <w:t xml:space="preserve">Verified fact — A7-S110: ModelOp: SR 11-7 Model Risk Management; Collibra blogs (OSFI E-23, SR 26-2); Credo AI blog (financial services) (ModelOp / Collibra / Credo AI)</w:t>
      </w:r>
      <w:r>
        <w:t xml:space="preserve"> </w:t>
      </w:r>
      <w:hyperlink r:id="rId2444">
        <w:r>
          <w:rPr>
            <w:rStyle w:val="Hyperlink"/>
          </w:rPr>
          <w:t xml:space="preserve">https://www.modelop.com/ai-governance/ai-regulations-standards/sr-11-7</w:t>
        </w:r>
      </w:hyperlink>
      <w:r>
        <w:t xml:space="preserve"> </w:t>
      </w:r>
      <w:r>
        <w:t xml:space="preserve">accessed 2026-10-07 [search-tool extract]</w:t>
      </w:r>
    </w:p>
  </w:footnote>
  <w:footnote w:id="2448">
    <w:p>
      <w:pPr>
        <w:pStyle w:val="FootnoteText"/>
      </w:pPr>
      <w:r>
        <w:rPr>
          <w:rStyle w:val="FootnoteReference"/>
        </w:rPr>
        <w:footnoteRef/>
      </w:r>
      <w:r>
        <w:t xml:space="preserve"> </w:t>
      </w:r>
      <w:r>
        <w:t xml:space="preserve">Verified fact — A7-S092: Lens by Credo AI README</w:t>
      </w:r>
      <w:r>
        <w:t xml:space="preserve"> </w:t>
      </w:r>
      <w:hyperlink r:id="rId2449">
        <w:r>
          <w:rPr>
            <w:rStyle w:val="Hyperlink"/>
          </w:rPr>
          <w:t xml:space="preserve">https://raw.githubusercontent.com/credo-ai/credoai_lens/develop/README.md</w:t>
        </w:r>
      </w:hyperlink>
      <w:r>
        <w:t xml:space="preserve"> </w:t>
      </w:r>
      <w:r>
        <w:t xml:space="preserve">accessed 2026-10-07; A7-S093: credoai-lens on PyPI (PyPI / Credo AI)</w:t>
      </w:r>
      <w:r>
        <w:t xml:space="preserve"> </w:t>
      </w:r>
      <w:hyperlink r:id="rId2450">
        <w:r>
          <w:rPr>
            <w:rStyle w:val="Hyperlink"/>
          </w:rPr>
          <w:t xml:space="preserve">https://pypi.org/pypi/credoai-lens/json</w:t>
        </w:r>
      </w:hyperlink>
      <w:r>
        <w:t xml:space="preserve"> </w:t>
      </w:r>
      <w:r>
        <w:t xml:space="preserve">accessed 2026-10-07</w:t>
      </w:r>
    </w:p>
  </w:footnote>
  <w:footnote w:id="2452">
    <w:p>
      <w:pPr>
        <w:pStyle w:val="FootnoteText"/>
      </w:pPr>
      <w:r>
        <w:rPr>
          <w:rStyle w:val="FootnoteReference"/>
        </w:rPr>
        <w:footnoteRef/>
      </w:r>
      <w:r>
        <w:t xml:space="preserve"> </w:t>
      </w:r>
      <w:r>
        <w:t xml:space="preserve">Verified fact — A7-S099: About Collibra AI Governance (product docs) and AI Command Center product page</w:t>
      </w:r>
      <w:r>
        <w:t xml:space="preserve"> </w:t>
      </w:r>
      <w:hyperlink r:id="rId2453">
        <w:r>
          <w:rPr>
            <w:rStyle w:val="Hyperlink"/>
          </w:rPr>
          <w:t xml:space="preserve">https://productresources.collibra.com/docs/collibra/latest/Content/AIGovernance/co_about-ai-governance.htm</w:t>
        </w:r>
      </w:hyperlink>
      <w:r>
        <w:t xml:space="preserve"> </w:t>
      </w:r>
      <w:r>
        <w:t xml:space="preserve">accessed 2026-10-07 [search-tool extract]; A7-S122: Collibra Platform Cloud infrastructure and base components; Collibra Cloud Sites and OpenLineage integration blog; Collibra homepage</w:t>
      </w:r>
      <w:r>
        <w:t xml:space="preserve"> </w:t>
      </w:r>
      <w:hyperlink r:id="rId2416">
        <w:r>
          <w:rPr>
            <w:rStyle w:val="Hyperlink"/>
          </w:rPr>
          <w:t xml:space="preserve">https://productresources.collibra.com/docs/collibra/latest/Content/Cloud/Intro/co_cloud-introduction.htm</w:t>
        </w:r>
      </w:hyperlink>
      <w:r>
        <w:t xml:space="preserve"> </w:t>
      </w:r>
      <w:r>
        <w:t xml:space="preserve">accessed 2026-10-07 [search-tool extract]; A7-S101: Collibra acquires trail ML to automate AI governance from policy to production</w:t>
      </w:r>
      <w:r>
        <w:t xml:space="preserve"> </w:t>
      </w:r>
      <w:hyperlink r:id="rId2454">
        <w:r>
          <w:rPr>
            <w:rStyle w:val="Hyperlink"/>
          </w:rPr>
          <w:t xml:space="preserve">https://www.collibra.com/company/newsroom/press-releases/collibra-acquires-trail-ml-to-automate-ai-governance-from-policy-to-production</w:t>
        </w:r>
      </w:hyperlink>
      <w:r>
        <w:t xml:space="preserve"> </w:t>
      </w:r>
      <w:r>
        <w:t xml:space="preserve">accessed 2026-10-07 [search-tool extract]</w:t>
      </w:r>
    </w:p>
  </w:footnote>
  <w:footnote w:id="2455">
    <w:p>
      <w:pPr>
        <w:pStyle w:val="FootnoteText"/>
      </w:pPr>
      <w:r>
        <w:rPr>
          <w:rStyle w:val="FootnoteReference"/>
        </w:rPr>
        <w:footnoteRef/>
      </w:r>
      <w:r>
        <w:t xml:space="preserve"> </w:t>
      </w:r>
      <w:r>
        <w:t xml:space="preserve">Verified fact — A7-S122: Collibra Platform Cloud infrastructure and base components; Collibra Cloud Sites and OpenLineage integration blog; Collibra homepage</w:t>
      </w:r>
      <w:r>
        <w:t xml:space="preserve"> </w:t>
      </w:r>
      <w:hyperlink r:id="rId2416">
        <w:r>
          <w:rPr>
            <w:rStyle w:val="Hyperlink"/>
          </w:rPr>
          <w:t xml:space="preserve">https://productresources.collibra.com/docs/collibra/latest/Content/Cloud/Intro/co_cloud-introduction.htm</w:t>
        </w:r>
      </w:hyperlink>
      <w:r>
        <w:t xml:space="preserve"> </w:t>
      </w:r>
      <w:r>
        <w:t xml:space="preserve">accessed 2026-10-07 [search-tool extract]; A7-S099: About Collibra AI Governance (product docs) and AI Command Center product page</w:t>
      </w:r>
      <w:r>
        <w:t xml:space="preserve"> </w:t>
      </w:r>
      <w:hyperlink r:id="rId2453">
        <w:r>
          <w:rPr>
            <w:rStyle w:val="Hyperlink"/>
          </w:rPr>
          <w:t xml:space="preserve">https://productresources.collibra.com/docs/collibra/latest/Content/AIGovernance/co_about-ai-governance.htm</w:t>
        </w:r>
      </w:hyperlink>
      <w:r>
        <w:t xml:space="preserve"> </w:t>
      </w:r>
      <w:r>
        <w:t xml:space="preserve">accessed 2026-10-07 [search-tool extract]</w:t>
      </w:r>
    </w:p>
  </w:footnote>
  <w:footnote w:id="2456">
    <w:p>
      <w:pPr>
        <w:pStyle w:val="FootnoteText"/>
      </w:pPr>
      <w:r>
        <w:rPr>
          <w:rStyle w:val="FootnoteReference"/>
        </w:rPr>
        <w:footnoteRef/>
      </w:r>
      <w:r>
        <w:t xml:space="preserve"> </w:t>
      </w:r>
      <w:r>
        <w:t xml:space="preserve">Verified fact — A7-S106: Collibra trust center: Security and compliance commitment</w:t>
      </w:r>
      <w:r>
        <w:t xml:space="preserve"> </w:t>
      </w:r>
      <w:hyperlink r:id="rId2457">
        <w:r>
          <w:rPr>
            <w:rStyle w:val="Hyperlink"/>
          </w:rPr>
          <w:t xml:space="preserve">https://www.collibra.com/company/trust-center</w:t>
        </w:r>
      </w:hyperlink>
      <w:r>
        <w:t xml:space="preserve"> </w:t>
      </w:r>
      <w:r>
        <w:t xml:space="preserve">accessed 2026-10-07 [search-tool extract]; A7-S100: Collibra Strengthens AI Governance Leadership with ISO 42001 Certification, AI Pact Commitment and the Delivery of the EU AI Act Assessment Tool</w:t>
      </w:r>
      <w:r>
        <w:t xml:space="preserve"> </w:t>
      </w:r>
      <w:hyperlink r:id="rId2446">
        <w:r>
          <w:rPr>
            <w:rStyle w:val="Hyperlink"/>
          </w:rPr>
          <w:t xml:space="preserve">https://www.collibra.com/company/newsroom/press-releases/collibra-strengthens-ai-governance-leadership-with-iso-42001-certification-ai-pact-commitment</w:t>
        </w:r>
      </w:hyperlink>
      <w:r>
        <w:t xml:space="preserve"> </w:t>
      </w:r>
      <w:r>
        <w:t xml:space="preserve">accessed 2026-10-07 [search-tool extract]; V2-S064: Collibra strengthens AI governance leadership with ISO 42001 certification (22 Jan 2025); Credo AI SOC 2 Type II page (Collibra / Credo AI)</w:t>
      </w:r>
      <w:r>
        <w:t xml:space="preserve"> </w:t>
      </w:r>
      <w:hyperlink r:id="rId2446">
        <w:r>
          <w:rPr>
            <w:rStyle w:val="Hyperlink"/>
          </w:rPr>
          <w:t xml:space="preserve">https://www.collibra.com/company/newsroom/press-releases/collibra-strengthens-ai-governance-leadership-with-iso-42001-certification-ai-pact-commitment</w:t>
        </w:r>
      </w:hyperlink>
      <w:r>
        <w:t xml:space="preserve"> </w:t>
      </w:r>
      <w:r>
        <w:t xml:space="preserve">accessed 2026-10-08 [search-tool extract]</w:t>
      </w:r>
    </w:p>
  </w:footnote>
  <w:footnote w:id="2458">
    <w:p>
      <w:pPr>
        <w:pStyle w:val="FootnoteText"/>
      </w:pPr>
      <w:r>
        <w:rPr>
          <w:rStyle w:val="FootnoteReference"/>
        </w:rPr>
        <w:footnoteRef/>
      </w:r>
      <w:r>
        <w:t xml:space="preserve"> </w:t>
      </w:r>
      <w:r>
        <w:t xml:space="preserve">Verified fact — B-C8-S004: Collibra Single Sign-On (SSO) documentation</w:t>
      </w:r>
      <w:r>
        <w:t xml:space="preserve"> </w:t>
      </w:r>
      <w:hyperlink r:id="rId2459">
        <w:r>
          <w:rPr>
            <w:rStyle w:val="Hyperlink"/>
          </w:rPr>
          <w:t xml:space="preserve">https://productresources.collibra.com/docs/collibra/latest/Content/Console/Infrastructure/DGCService/SecurityConfiguration/co_single-sign-on.htm</w:t>
        </w:r>
      </w:hyperlink>
      <w:r>
        <w:t xml:space="preserve"> </w:t>
      </w:r>
      <w:r>
        <w:t xml:space="preserve">accessed 2026-10-08 [search-tool extract]</w:t>
      </w:r>
    </w:p>
  </w:footnote>
  <w:footnote w:id="2460">
    <w:p>
      <w:pPr>
        <w:pStyle w:val="FootnoteText"/>
      </w:pPr>
      <w:r>
        <w:rPr>
          <w:rStyle w:val="FootnoteReference"/>
        </w:rPr>
        <w:footnoteRef/>
      </w:r>
      <w:r>
        <w:t xml:space="preserve"> </w:t>
      </w:r>
      <w:r>
        <w:t xml:space="preserve">Verified fact — A7-S099: About Collibra AI Governance (product docs) and AI Command Center product page</w:t>
      </w:r>
      <w:r>
        <w:t xml:space="preserve"> </w:t>
      </w:r>
      <w:hyperlink r:id="rId2453">
        <w:r>
          <w:rPr>
            <w:rStyle w:val="Hyperlink"/>
          </w:rPr>
          <w:t xml:space="preserve">https://productresources.collibra.com/docs/collibra/latest/Content/AIGovernance/co_about-ai-governance.htm</w:t>
        </w:r>
      </w:hyperlink>
      <w:r>
        <w:t xml:space="preserve"> </w:t>
      </w:r>
      <w:r>
        <w:t xml:space="preserve">accessed 2026-10-07 [search-tool extract]</w:t>
      </w:r>
    </w:p>
  </w:footnote>
  <w:footnote w:id="2461">
    <w:p>
      <w:pPr>
        <w:pStyle w:val="FootnoteText"/>
      </w:pPr>
      <w:r>
        <w:rPr>
          <w:rStyle w:val="FootnoteReference"/>
        </w:rPr>
        <w:footnoteRef/>
      </w:r>
      <w:r>
        <w:t xml:space="preserve"> </w:t>
      </w:r>
      <w:r>
        <w:t xml:space="preserve">Verified fact — A7-S122: Collibra Platform Cloud infrastructure and base components; Collibra Cloud Sites and OpenLineage integration blog; Collibra homepage</w:t>
      </w:r>
      <w:r>
        <w:t xml:space="preserve"> </w:t>
      </w:r>
      <w:hyperlink r:id="rId2416">
        <w:r>
          <w:rPr>
            <w:rStyle w:val="Hyperlink"/>
          </w:rPr>
          <w:t xml:space="preserve">https://productresources.collibra.com/docs/collibra/latest/Content/Cloud/Intro/co_cloud-introduction.htm</w:t>
        </w:r>
      </w:hyperlink>
      <w:r>
        <w:t xml:space="preserve"> </w:t>
      </w:r>
      <w:r>
        <w:t xml:space="preserve">accessed 2026-10-07 [search-tool extract]</w:t>
      </w:r>
    </w:p>
  </w:footnote>
  <w:footnote w:id="2462">
    <w:p>
      <w:pPr>
        <w:pStyle w:val="FootnoteText"/>
      </w:pPr>
      <w:r>
        <w:rPr>
          <w:rStyle w:val="FootnoteReference"/>
        </w:rPr>
        <w:footnoteRef/>
      </w:r>
      <w:r>
        <w:t xml:space="preserve"> </w:t>
      </w:r>
      <w:r>
        <w:t xml:space="preserve">Verified fact — V2-S044: Collibra acquires Munich’s trail ML to automate AI governance (with unite.ai, citybiz) (The Next Web)</w:t>
      </w:r>
      <w:r>
        <w:t xml:space="preserve"> </w:t>
      </w:r>
      <w:hyperlink r:id="rId2463">
        <w:r>
          <w:rPr>
            <w:rStyle w:val="Hyperlink"/>
          </w:rPr>
          <w:t xml:space="preserve">https://thenextweb.com/news/collibra-trail-ml-eu-ai-act-market</w:t>
        </w:r>
      </w:hyperlink>
      <w:r>
        <w:t xml:space="preserve"> </w:t>
      </w:r>
      <w:r>
        <w:t xml:space="preserve">accessed 2026-10-08 [search-tool extract]</w:t>
      </w:r>
    </w:p>
  </w:footnote>
  <w:footnote w:id="2465">
    <w:p>
      <w:pPr>
        <w:pStyle w:val="FootnoteText"/>
      </w:pPr>
      <w:r>
        <w:rPr>
          <w:rStyle w:val="FootnoteReference"/>
        </w:rPr>
        <w:footnoteRef/>
      </w:r>
      <w:r>
        <w:t xml:space="preserve"> </w:t>
      </w:r>
      <w:r>
        <w:t xml:space="preserve">Verified fact — A7-S098: ModelOp: Automate AI Governance Workflows &amp; Enforce Compliance; Enterprise AI Command Center; AI Lifecycle Automation</w:t>
      </w:r>
      <w:r>
        <w:t xml:space="preserve"> </w:t>
      </w:r>
      <w:hyperlink r:id="rId2466">
        <w:r>
          <w:rPr>
            <w:rStyle w:val="Hyperlink"/>
          </w:rPr>
          <w:t xml:space="preserve">https://www.modelop.com/ai-governance-software/controls</w:t>
        </w:r>
      </w:hyperlink>
      <w:r>
        <w:t xml:space="preserve"> </w:t>
      </w:r>
      <w:r>
        <w:t xml:space="preserve">accessed 2026-10-07 [search-tool extract]</w:t>
      </w:r>
    </w:p>
  </w:footnote>
  <w:footnote w:id="2467">
    <w:p>
      <w:pPr>
        <w:pStyle w:val="FootnoteText"/>
      </w:pPr>
      <w:r>
        <w:rPr>
          <w:rStyle w:val="FootnoteReference"/>
        </w:rPr>
        <w:footnoteRef/>
      </w:r>
      <w:r>
        <w:t xml:space="preserve"> </w:t>
      </w:r>
      <w:r>
        <w:t xml:space="preserve">Verified fact — A7-S098: ModelOp: Automate AI Governance Workflows &amp; Enforce Compliance; Enterprise AI Command Center; AI Lifecycle Automation</w:t>
      </w:r>
      <w:r>
        <w:t xml:space="preserve"> </w:t>
      </w:r>
      <w:hyperlink r:id="rId2466">
        <w:r>
          <w:rPr>
            <w:rStyle w:val="Hyperlink"/>
          </w:rPr>
          <w:t xml:space="preserve">https://www.modelop.com/ai-governance-software/controls</w:t>
        </w:r>
      </w:hyperlink>
      <w:r>
        <w:t xml:space="preserve"> </w:t>
      </w:r>
      <w:r>
        <w:t xml:space="preserve">accessed 2026-10-07 [search-tool extract]</w:t>
      </w:r>
    </w:p>
  </w:footnote>
  <w:footnote w:id="2468">
    <w:p>
      <w:pPr>
        <w:pStyle w:val="FootnoteText"/>
      </w:pPr>
      <w:r>
        <w:rPr>
          <w:rStyle w:val="FootnoteReference"/>
        </w:rPr>
        <w:footnoteRef/>
      </w:r>
      <w:r>
        <w:t xml:space="preserve"> </w:t>
      </w:r>
      <w:r>
        <w:t xml:space="preserve">Verified fact — A7-S109: ModelOp Now Available on AWS Marketplace; ModelOp homepage</w:t>
      </w:r>
      <w:r>
        <w:t xml:space="preserve"> </w:t>
      </w:r>
      <w:hyperlink r:id="rId2469">
        <w:r>
          <w:rPr>
            <w:rStyle w:val="Hyperlink"/>
          </w:rPr>
          <w:t xml:space="preserve">https://www.modelop.com/blog/modelop-now-available-on-aws-marketplace</w:t>
        </w:r>
      </w:hyperlink>
      <w:r>
        <w:t xml:space="preserve"> </w:t>
      </w:r>
      <w:r>
        <w:t xml:space="preserve">accessed 2026-10-07 [search-tool extract]</w:t>
      </w:r>
    </w:p>
  </w:footnote>
  <w:footnote w:id="2470">
    <w:p>
      <w:pPr>
        <w:pStyle w:val="FootnoteText"/>
      </w:pPr>
      <w:r>
        <w:rPr>
          <w:rStyle w:val="FootnoteReference"/>
        </w:rPr>
        <w:footnoteRef/>
      </w:r>
      <w:r>
        <w:t xml:space="preserve"> </w:t>
      </w:r>
      <w:r>
        <w:t xml:space="preserve">Verified fact — B-C8-S001: ModelOp AI Governance Software Integrations</w:t>
      </w:r>
      <w:r>
        <w:t xml:space="preserve"> </w:t>
      </w:r>
      <w:hyperlink r:id="rId2471">
        <w:r>
          <w:rPr>
            <w:rStyle w:val="Hyperlink"/>
          </w:rPr>
          <w:t xml:space="preserve">https://www.modelop.com/ai-governance-software/integrations</w:t>
        </w:r>
      </w:hyperlink>
      <w:r>
        <w:t xml:space="preserve"> </w:t>
      </w:r>
      <w:r>
        <w:t xml:space="preserve">accessed 2026-10-08 [search-tool extract]</w:t>
      </w:r>
    </w:p>
  </w:footnote>
  <w:footnote w:id="2472">
    <w:p>
      <w:pPr>
        <w:pStyle w:val="FootnoteText"/>
      </w:pPr>
      <w:r>
        <w:rPr>
          <w:rStyle w:val="FootnoteReference"/>
        </w:rPr>
        <w:footnoteRef/>
      </w:r>
      <w:r>
        <w:t xml:space="preserve"> </w:t>
      </w:r>
      <w:r>
        <w:t xml:space="preserve">Verified fact — B-C8-S001: ModelOp AI Governance Software Integrations</w:t>
      </w:r>
      <w:r>
        <w:t xml:space="preserve"> </w:t>
      </w:r>
      <w:hyperlink r:id="rId2471">
        <w:r>
          <w:rPr>
            <w:rStyle w:val="Hyperlink"/>
          </w:rPr>
          <w:t xml:space="preserve">https://www.modelop.com/ai-governance-software/integrations</w:t>
        </w:r>
      </w:hyperlink>
      <w:r>
        <w:t xml:space="preserve"> </w:t>
      </w:r>
      <w:r>
        <w:t xml:space="preserve">accessed 2026-10-08 [search-tool extract]</w:t>
      </w:r>
    </w:p>
  </w:footnote>
  <w:footnote w:id="2473">
    <w:p>
      <w:pPr>
        <w:pStyle w:val="FootnoteText"/>
      </w:pPr>
      <w:r>
        <w:rPr>
          <w:rStyle w:val="FootnoteReference"/>
        </w:rPr>
        <w:footnoteRef/>
      </w:r>
      <w:r>
        <w:t xml:space="preserve"> </w:t>
      </w:r>
      <w:r>
        <w:t xml:space="preserve">Verified fact — A7-S104: ModelOp Raises $10 Million to accelerate the growth of its leading AI Governance software, led by investor Baird Capital; ModelOp Center product page</w:t>
      </w:r>
      <w:r>
        <w:t xml:space="preserve"> </w:t>
      </w:r>
      <w:hyperlink r:id="rId2474">
        <w:r>
          <w:rPr>
            <w:rStyle w:val="Hyperlink"/>
          </w:rPr>
          <w:t xml:space="preserve">https://www.modelop.com/blog/a-milestone-moment-modelop-raises-10-million-to-accelerate-the-growth-of-its-leading-ai-governance-software</w:t>
        </w:r>
      </w:hyperlink>
      <w:r>
        <w:t xml:space="preserve"> </w:t>
      </w:r>
      <w:r>
        <w:t xml:space="preserve">accessed 2026-10-07 [search-tool extract]</w:t>
      </w:r>
    </w:p>
  </w:footnote>
  <w:footnote w:id="2475">
    <w:p>
      <w:pPr>
        <w:pStyle w:val="FootnoteText"/>
      </w:pPr>
      <w:r>
        <w:rPr>
          <w:rStyle w:val="FootnoteReference"/>
        </w:rPr>
        <w:footnoteRef/>
      </w:r>
      <w:r>
        <w:t xml:space="preserve"> </w:t>
      </w:r>
      <w:r>
        <w:t xml:space="preserve">Verified fact — A7-S110: ModelOp: SR 11-7 Model Risk Management; Collibra blogs (OSFI E-23, SR 26-2); Credo AI blog (financial services) (ModelOp / Collibra / Credo AI)</w:t>
      </w:r>
      <w:r>
        <w:t xml:space="preserve"> </w:t>
      </w:r>
      <w:hyperlink r:id="rId2444">
        <w:r>
          <w:rPr>
            <w:rStyle w:val="Hyperlink"/>
          </w:rPr>
          <w:t xml:space="preserve">https://www.modelop.com/ai-governance/ai-regulations-standards/sr-11-7</w:t>
        </w:r>
      </w:hyperlink>
      <w:r>
        <w:t xml:space="preserve"> </w:t>
      </w:r>
      <w:r>
        <w:t xml:space="preserve">accessed 2026-10-07 [search-tool extract]</w:t>
      </w:r>
    </w:p>
  </w:footnote>
  <w:footnote w:id="2477">
    <w:p>
      <w:pPr>
        <w:pStyle w:val="FootnoteText"/>
      </w:pPr>
      <w:r>
        <w:rPr>
          <w:rStyle w:val="FootnoteReference"/>
        </w:rPr>
        <w:footnoteRef/>
      </w:r>
      <w:r>
        <w:t xml:space="preserve"> </w:t>
      </w:r>
      <w:r>
        <w:t xml:space="preserve">Verified fact — A7-S003: validmind on PyPI (JSON API) (PyPI / ValidMind)</w:t>
      </w:r>
      <w:r>
        <w:t xml:space="preserve"> </w:t>
      </w:r>
      <w:hyperlink r:id="rId2478">
        <w:r>
          <w:rPr>
            <w:rStyle w:val="Hyperlink"/>
          </w:rPr>
          <w:t xml:space="preserve">https://pypi.org/pypi/validmind/json</w:t>
        </w:r>
      </w:hyperlink>
      <w:r>
        <w:t xml:space="preserve"> </w:t>
      </w:r>
      <w:r>
        <w:t xml:space="preserve">accessed 2026-10-07; A7-S054: ValidMind docs: deployment available options</w:t>
      </w:r>
      <w:r>
        <w:t xml:space="preserve"> </w:t>
      </w:r>
      <w:hyperlink r:id="rId2479">
        <w:r>
          <w:rPr>
            <w:rStyle w:val="Hyperlink"/>
          </w:rPr>
          <w:t xml:space="preserve">https://raw.githubusercontent.com/validmind/documentation/main/site/about/deployment/_deployment-available-options.qmd</w:t>
        </w:r>
      </w:hyperlink>
      <w:r>
        <w:t xml:space="preserve"> </w:t>
      </w:r>
      <w:r>
        <w:t xml:space="preserve">accessed 2026-10-07; A7-S056: ValidMind docs: ongoing monitoring</w:t>
      </w:r>
      <w:r>
        <w:t xml:space="preserve"> </w:t>
      </w:r>
      <w:hyperlink r:id="rId2480">
        <w:r>
          <w:rPr>
            <w:rStyle w:val="Hyperlink"/>
          </w:rPr>
          <w:t xml:space="preserve">https://raw.githubusercontent.com/validmind/documentation/main/site/guide/monitoring/ongoing-monitoring.qmd</w:t>
        </w:r>
      </w:hyperlink>
      <w:r>
        <w:t xml:space="preserve"> </w:t>
      </w:r>
      <w:r>
        <w:t xml:space="preserve">accessed 2026-10-07; A7-S097: ValidMind docs: Large language model features</w:t>
      </w:r>
      <w:r>
        <w:t xml:space="preserve"> </w:t>
      </w:r>
      <w:hyperlink r:id="rId2481">
        <w:r>
          <w:rPr>
            <w:rStyle w:val="Hyperlink"/>
          </w:rPr>
          <w:t xml:space="preserve">https://raw.githubusercontent.com/validmind/documentation/main/site/about/overview-llm-features.qmd</w:t>
        </w:r>
      </w:hyperlink>
      <w:r>
        <w:t xml:space="preserve"> </w:t>
      </w:r>
      <w:r>
        <w:t xml:space="preserve">accessed 2026-10-07; B-C8-S005: ValidMind docs: Working with attestations; platform page; privacy FAQ</w:t>
      </w:r>
      <w:r>
        <w:t xml:space="preserve"> </w:t>
      </w:r>
      <w:hyperlink r:id="rId2482">
        <w:r>
          <w:rPr>
            <w:rStyle w:val="Hyperlink"/>
          </w:rPr>
          <w:t xml:space="preserve">https://docs.validmind.ai/guide/attestation/working-with-attestations.html</w:t>
        </w:r>
      </w:hyperlink>
      <w:r>
        <w:t xml:space="preserve"> </w:t>
      </w:r>
      <w:r>
        <w:t xml:space="preserve">accessed 2026-10-08 [search-tool extract]</w:t>
      </w:r>
    </w:p>
  </w:footnote>
  <w:footnote w:id="2483">
    <w:p>
      <w:pPr>
        <w:pStyle w:val="FootnoteText"/>
      </w:pPr>
      <w:r>
        <w:rPr>
          <w:rStyle w:val="FootnoteReference"/>
        </w:rPr>
        <w:footnoteRef/>
      </w:r>
      <w:r>
        <w:t xml:space="preserve"> </w:t>
      </w:r>
      <w:r>
        <w:t xml:space="preserve">Verified fact — A7-S051: ValidMind docs: SR 26-2 use case</w:t>
      </w:r>
      <w:r>
        <w:t xml:space="preserve"> </w:t>
      </w:r>
      <w:hyperlink r:id="rId2484">
        <w:r>
          <w:rPr>
            <w:rStyle w:val="Hyperlink"/>
          </w:rPr>
          <w:t xml:space="preserve">https://raw.githubusercontent.com/validmind/documentation/main/site/about/use-cases/sr-26-2.qmd</w:t>
        </w:r>
      </w:hyperlink>
      <w:r>
        <w:t xml:space="preserve"> </w:t>
      </w:r>
      <w:r>
        <w:t xml:space="preserve">accessed 2026-10-07; A7-S052: ValidMind docs: SS1/23 use case</w:t>
      </w:r>
      <w:r>
        <w:t xml:space="preserve"> </w:t>
      </w:r>
      <w:hyperlink r:id="rId2485">
        <w:r>
          <w:rPr>
            <w:rStyle w:val="Hyperlink"/>
          </w:rPr>
          <w:t xml:space="preserve">https://raw.githubusercontent.com/validmind/documentation/main/site/about/use-cases/ss1-23.qmd</w:t>
        </w:r>
      </w:hyperlink>
      <w:r>
        <w:t xml:space="preserve"> </w:t>
      </w:r>
      <w:r>
        <w:t xml:space="preserve">accessed 2026-10-07; A7-S053: ValidMind docs: EU AI Act use case</w:t>
      </w:r>
      <w:r>
        <w:t xml:space="preserve"> </w:t>
      </w:r>
      <w:hyperlink r:id="rId2486">
        <w:r>
          <w:rPr>
            <w:rStyle w:val="Hyperlink"/>
          </w:rPr>
          <w:t xml:space="preserve">https://raw.githubusercontent.com/validmind/documentation/main/site/about/use-cases/eu-ai-act.qmd</w:t>
        </w:r>
      </w:hyperlink>
      <w:r>
        <w:t xml:space="preserve"> </w:t>
      </w:r>
      <w:r>
        <w:t xml:space="preserve">accessed 2026-10-07; A7-S057: ValidMind docs: OSFI E-23 use case</w:t>
      </w:r>
      <w:r>
        <w:t xml:space="preserve"> </w:t>
      </w:r>
      <w:hyperlink r:id="rId2487">
        <w:r>
          <w:rPr>
            <w:rStyle w:val="Hyperlink"/>
          </w:rPr>
          <w:t xml:space="preserve">https://raw.githubusercontent.com/validmind/documentation/main/site/about/use-cases/e-23.qmd</w:t>
        </w:r>
      </w:hyperlink>
      <w:r>
        <w:t xml:space="preserve"> </w:t>
      </w:r>
      <w:r>
        <w:t xml:space="preserve">accessed 2026-10-07</w:t>
      </w:r>
    </w:p>
  </w:footnote>
  <w:footnote w:id="2488">
    <w:p>
      <w:pPr>
        <w:pStyle w:val="FootnoteText"/>
      </w:pPr>
      <w:r>
        <w:rPr>
          <w:rStyle w:val="FootnoteReference"/>
        </w:rPr>
        <w:footnoteRef/>
      </w:r>
      <w:r>
        <w:t xml:space="preserve"> </w:t>
      </w:r>
      <w:r>
        <w:t xml:space="preserve">Verified fact — A7-S054: ValidMind docs: deployment available options</w:t>
      </w:r>
      <w:r>
        <w:t xml:space="preserve"> </w:t>
      </w:r>
      <w:hyperlink r:id="rId2479">
        <w:r>
          <w:rPr>
            <w:rStyle w:val="Hyperlink"/>
          </w:rPr>
          <w:t xml:space="preserve">https://raw.githubusercontent.com/validmind/documentation/main/site/about/deployment/_deployment-available-options.qmd</w:t>
        </w:r>
      </w:hyperlink>
      <w:r>
        <w:t xml:space="preserve"> </w:t>
      </w:r>
      <w:r>
        <w:t xml:space="preserve">accessed 2026-10-07; A7-S084: ValidMind docs: Virtual Private ValidMind</w:t>
      </w:r>
      <w:r>
        <w:t xml:space="preserve"> </w:t>
      </w:r>
      <w:hyperlink r:id="rId2489">
        <w:r>
          <w:rPr>
            <w:rStyle w:val="Hyperlink"/>
          </w:rPr>
          <w:t xml:space="preserve">https://raw.githubusercontent.com/validmind/documentation/main/site/about/deployment/virtual-private-validmind.qmd</w:t>
        </w:r>
      </w:hyperlink>
      <w:r>
        <w:t xml:space="preserve"> </w:t>
      </w:r>
      <w:r>
        <w:t xml:space="preserve">accessed 2026-10-07</w:t>
      </w:r>
    </w:p>
  </w:footnote>
  <w:footnote w:id="2490">
    <w:p>
      <w:pPr>
        <w:pStyle w:val="FootnoteText"/>
      </w:pPr>
      <w:r>
        <w:rPr>
          <w:rStyle w:val="FootnoteReference"/>
        </w:rPr>
        <w:footnoteRef/>
      </w:r>
      <w:r>
        <w:t xml:space="preserve"> </w:t>
      </w:r>
      <w:r>
        <w:t xml:space="preserve">Verified fact — A7-S055: ValidMind docs: multi-tenant cloud</w:t>
      </w:r>
      <w:r>
        <w:t xml:space="preserve"> </w:t>
      </w:r>
      <w:hyperlink r:id="rId2491">
        <w:r>
          <w:rPr>
            <w:rStyle w:val="Hyperlink"/>
          </w:rPr>
          <w:t xml:space="preserve">https://raw.githubusercontent.com/validmind/documentation/main/site/about/deployment/multi-tenant-cloud.qmd</w:t>
        </w:r>
      </w:hyperlink>
      <w:r>
        <w:t xml:space="preserve"> </w:t>
      </w:r>
      <w:r>
        <w:t xml:space="preserve">accessed 2026-10-07</w:t>
      </w:r>
    </w:p>
  </w:footnote>
  <w:footnote w:id="2492">
    <w:p>
      <w:pPr>
        <w:pStyle w:val="FootnoteText"/>
      </w:pPr>
      <w:r>
        <w:rPr>
          <w:rStyle w:val="FootnoteReference"/>
        </w:rPr>
        <w:footnoteRef/>
      </w:r>
      <w:r>
        <w:t xml:space="preserve"> </w:t>
      </w:r>
      <w:r>
        <w:t xml:space="preserve">Verified fact — A7-S121: ValidMind AI Governance Platform page; ValidMind blog (NIST, RiskTech100)</w:t>
      </w:r>
      <w:r>
        <w:t xml:space="preserve"> </w:t>
      </w:r>
      <w:hyperlink r:id="rId2493">
        <w:r>
          <w:rPr>
            <w:rStyle w:val="Hyperlink"/>
          </w:rPr>
          <w:t xml:space="preserve">https://validmind.com/platform/</w:t>
        </w:r>
      </w:hyperlink>
      <w:r>
        <w:t xml:space="preserve"> </w:t>
      </w:r>
      <w:r>
        <w:t xml:space="preserve">accessed 2026-10-07 [search-tool extract]; B-C8-S005: ValidMind docs: Working with attestations; platform page; privacy FAQ</w:t>
      </w:r>
      <w:r>
        <w:t xml:space="preserve"> </w:t>
      </w:r>
      <w:hyperlink r:id="rId2482">
        <w:r>
          <w:rPr>
            <w:rStyle w:val="Hyperlink"/>
          </w:rPr>
          <w:t xml:space="preserve">https://docs.validmind.ai/guide/attestation/working-with-attestations.html</w:t>
        </w:r>
      </w:hyperlink>
      <w:r>
        <w:t xml:space="preserve"> </w:t>
      </w:r>
      <w:r>
        <w:t xml:space="preserve">accessed 2026-10-08 [search-tool extract]</w:t>
      </w:r>
    </w:p>
  </w:footnote>
  <w:footnote w:id="2494">
    <w:p>
      <w:pPr>
        <w:pStyle w:val="FootnoteText"/>
      </w:pPr>
      <w:r>
        <w:rPr>
          <w:rStyle w:val="FootnoteReference"/>
        </w:rPr>
        <w:footnoteRef/>
      </w:r>
      <w:r>
        <w:t xml:space="preserve"> </w:t>
      </w:r>
      <w:r>
        <w:t xml:space="preserve">Verified fact — A7-S003: validmind on PyPI (JSON API) (PyPI / ValidMind)</w:t>
      </w:r>
      <w:r>
        <w:t xml:space="preserve"> </w:t>
      </w:r>
      <w:hyperlink r:id="rId2478">
        <w:r>
          <w:rPr>
            <w:rStyle w:val="Hyperlink"/>
          </w:rPr>
          <w:t xml:space="preserve">https://pypi.org/pypi/validmind/json</w:t>
        </w:r>
      </w:hyperlink>
      <w:r>
        <w:t xml:space="preserve"> </w:t>
      </w:r>
      <w:r>
        <w:t xml:space="preserve">accessed 2026-10-07</w:t>
      </w:r>
    </w:p>
  </w:footnote>
  <w:footnote w:id="2495">
    <w:p>
      <w:pPr>
        <w:pStyle w:val="FootnoteText"/>
      </w:pPr>
      <w:r>
        <w:rPr>
          <w:rStyle w:val="FootnoteReference"/>
        </w:rPr>
        <w:footnoteRef/>
      </w:r>
      <w:r>
        <w:t xml:space="preserve"> </w:t>
      </w:r>
      <w:r>
        <w:t xml:space="preserve">Verified fact — A7-S003: validmind on PyPI (JSON API) (PyPI / ValidMind)</w:t>
      </w:r>
      <w:r>
        <w:t xml:space="preserve"> </w:t>
      </w:r>
      <w:hyperlink r:id="rId2478">
        <w:r>
          <w:rPr>
            <w:rStyle w:val="Hyperlink"/>
          </w:rPr>
          <w:t xml:space="preserve">https://pypi.org/pypi/validmind/json</w:t>
        </w:r>
      </w:hyperlink>
      <w:r>
        <w:t xml:space="preserve"> </w:t>
      </w:r>
      <w:r>
        <w:t xml:space="preserve">accessed 2026-10-07</w:t>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1"/>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1"/>
  </w:num>
  <w:num w:numId="1236">
    <w:abstractNumId w:val="991"/>
  </w:num>
  <w:num w:numId="1237">
    <w:abstractNumId w:val="991"/>
  </w:num>
  <w:num w:numId="1238">
    <w:abstractNumId w:val="991"/>
  </w:num>
  <w:num w:numId="1239">
    <w:abstractNumId w:val="991"/>
  </w:num>
  <w:num w:numId="1240">
    <w:abstractNumId w:val="991"/>
  </w:num>
  <w:num w:numId="1241">
    <w:abstractNumId w:val="991"/>
  </w:num>
  <w:num w:numId="1242">
    <w:abstractNumId w:val="991"/>
  </w:num>
  <w:num w:numId="1243">
    <w:abstractNumId w:val="991"/>
  </w:num>
  <w:num w:numId="1244">
    <w:abstractNumId w:val="991"/>
  </w:num>
  <w:num w:numId="1245">
    <w:abstractNumId w:val="991"/>
  </w:num>
  <w:num w:numId="1246">
    <w:abstractNumId w:val="991"/>
  </w:num>
  <w:num w:numId="1247">
    <w:abstractNumId w:val="991"/>
  </w:num>
  <w:num w:numId="1248">
    <w:abstractNumId w:val="991"/>
  </w:num>
  <w:num w:numId="1249">
    <w:abstractNumId w:val="991"/>
  </w:num>
  <w:num w:numId="1250">
    <w:abstractNumId w:val="991"/>
  </w:num>
  <w:num w:numId="1251">
    <w:abstractNumId w:val="991"/>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1"/>
  </w:num>
  <w:num w:numId="1273">
    <w:abstractNumId w:val="991"/>
  </w:num>
  <w:num w:numId="1274">
    <w:abstractNumId w:val="991"/>
  </w:num>
  <w:num w:numId="1275">
    <w:abstractNumId w:val="991"/>
  </w:num>
  <w:num w:numId="1276">
    <w:abstractNumId w:val="991"/>
  </w:num>
  <w:num w:numId="1277">
    <w:abstractNumId w:val="991"/>
  </w:num>
  <w:num w:numId="1278">
    <w:abstractNumId w:val="991"/>
  </w:num>
  <w:num w:numId="1279">
    <w:abstractNumId w:val="991"/>
  </w:num>
  <w:num w:numId="1280">
    <w:abstractNumId w:val="991"/>
  </w:num>
  <w:num w:numId="1281">
    <w:abstractNumId w:val="991"/>
  </w:num>
  <w:num w:numId="1282">
    <w:abstractNumId w:val="991"/>
  </w:num>
  <w:num w:numId="1283">
    <w:abstractNumId w:val="991"/>
  </w:num>
  <w:num w:numId="1284">
    <w:abstractNumId w:val="991"/>
  </w:num>
  <w:num w:numId="1285">
    <w:abstractNumId w:val="991"/>
  </w:num>
  <w:num w:numId="1286">
    <w:abstractNumId w:val="991"/>
  </w:num>
  <w:num w:numId="1287">
    <w:abstractNumId w:val="991"/>
  </w:num>
  <w:num w:numId="1288">
    <w:abstractNumId w:val="991"/>
  </w:num>
  <w:num w:numId="1289">
    <w:abstractNumId w:val="991"/>
  </w:num>
  <w:num w:numId="1290">
    <w:abstractNumId w:val="991"/>
  </w:num>
  <w:num w:numId="1291">
    <w:abstractNumId w:val="991"/>
  </w:num>
  <w:num w:numId="1292">
    <w:abstractNumId w:val="991"/>
  </w:num>
  <w:num w:numId="1293">
    <w:abstractNumId w:val="991"/>
  </w:num>
  <w:num w:numId="1294">
    <w:abstractNumId w:val="991"/>
  </w:num>
  <w:num w:numId="1295">
    <w:abstractNumId w:val="991"/>
  </w:num>
  <w:num w:numId="1296">
    <w:abstractNumId w:val="991"/>
  </w:num>
  <w:num w:numId="1297">
    <w:abstractNumId w:val="991"/>
  </w:num>
  <w:num w:numId="1298">
    <w:abstractNumId w:val="991"/>
  </w:num>
  <w:num w:numId="1299">
    <w:abstractNumId w:val="991"/>
  </w:num>
  <w:num w:numId="1300">
    <w:abstractNumId w:val="991"/>
  </w:num>
  <w:num w:numId="1301">
    <w:abstractNumId w:val="991"/>
  </w:num>
  <w:num w:numId="1302">
    <w:abstractNumId w:val="991"/>
  </w:num>
  <w:num w:numId="1303">
    <w:abstractNumId w:val="991"/>
  </w:num>
  <w:num w:numId="1304">
    <w:abstractNumId w:val="991"/>
  </w:num>
  <w:num w:numId="1305">
    <w:abstractNumId w:val="991"/>
  </w:num>
  <w:num w:numId="1306">
    <w:abstractNumId w:val="991"/>
  </w:num>
  <w:num w:numId="1307">
    <w:abstractNumId w:val="991"/>
  </w:num>
  <w:num w:numId="1308">
    <w:abstractNumId w:val="991"/>
  </w:num>
  <w:num w:numId="1309">
    <w:abstractNumId w:val="991"/>
  </w:num>
  <w:num w:numId="1310">
    <w:abstractNumId w:val="991"/>
  </w:num>
  <w:num w:numId="1311">
    <w:abstractNumId w:val="991"/>
  </w:num>
  <w:num w:numId="1312">
    <w:abstractNumId w:val="991"/>
  </w:num>
  <w:num w:numId="1313">
    <w:abstractNumId w:val="991"/>
  </w:num>
  <w:num w:numId="1314">
    <w:abstractNumId w:val="991"/>
  </w:num>
  <w:num w:numId="1315">
    <w:abstractNumId w:val="991"/>
  </w:num>
  <w:num w:numId="1316">
    <w:abstractNumId w:val="991"/>
  </w:num>
  <w:num w:numId="1317">
    <w:abstractNumId w:val="991"/>
  </w:num>
  <w:num w:numId="1318">
    <w:abstractNumId w:val="991"/>
  </w:num>
  <w:num w:numId="1319">
    <w:abstractNumId w:val="991"/>
  </w:num>
  <w:num w:numId="1320">
    <w:abstractNumId w:val="991"/>
  </w:num>
  <w:num w:numId="1321">
    <w:abstractNumId w:val="991"/>
  </w:num>
  <w:num w:numId="1322">
    <w:abstractNumId w:val="991"/>
  </w:num>
  <w:num w:numId="1323">
    <w:abstractNumId w:val="991"/>
  </w:num>
  <w:num w:numId="1324">
    <w:abstractNumId w:val="991"/>
  </w:num>
  <w:num w:numId="1325">
    <w:abstractNumId w:val="991"/>
  </w:num>
  <w:num w:numId="1326">
    <w:abstractNumId w:val="991"/>
  </w:num>
  <w:num w:numId="1327">
    <w:abstractNumId w:val="991"/>
  </w:num>
  <w:num w:numId="1328">
    <w:abstractNumId w:val="991"/>
  </w:num>
  <w:num w:numId="1329">
    <w:abstractNumId w:val="991"/>
  </w:num>
  <w:num w:numId="1330">
    <w:abstractNumId w:val="991"/>
  </w:num>
  <w:num w:numId="1331">
    <w:abstractNumId w:val="991"/>
  </w:num>
  <w:num w:numId="1332">
    <w:abstractNumId w:val="991"/>
  </w:num>
  <w:num w:numId="1333">
    <w:abstractNumId w:val="991"/>
  </w:num>
  <w:num w:numId="1334">
    <w:abstractNumId w:val="991"/>
  </w:num>
  <w:num w:numId="1335">
    <w:abstractNumId w:val="991"/>
  </w:num>
  <w:num w:numId="1336">
    <w:abstractNumId w:val="991"/>
  </w:num>
  <w:num w:numId="1337">
    <w:abstractNumId w:val="991"/>
  </w:num>
  <w:num w:numId="1338">
    <w:abstractNumId w:val="991"/>
  </w:num>
  <w:num w:numId="1339">
    <w:abstractNumId w:val="991"/>
  </w:num>
  <w:num w:numId="1340">
    <w:abstractNumId w:val="991"/>
  </w:num>
  <w:num w:numId="1341">
    <w:abstractNumId w:val="991"/>
  </w:num>
  <w:num w:numId="1342">
    <w:abstractNumId w:val="991"/>
  </w:num>
  <w:num w:numId="1343">
    <w:abstractNumId w:val="991"/>
  </w:num>
  <w:num w:numId="1344">
    <w:abstractNumId w:val="991"/>
  </w:num>
  <w:num w:numId="1345">
    <w:abstractNumId w:val="991"/>
  </w:num>
  <w:num w:numId="1346">
    <w:abstractNumId w:val="991"/>
  </w:num>
  <w:num w:numId="1347">
    <w:abstractNumId w:val="991"/>
  </w:num>
  <w:num w:numId="1348">
    <w:abstractNumId w:val="991"/>
  </w:num>
  <w:num w:numId="1349">
    <w:abstractNumId w:val="991"/>
  </w:num>
  <w:num w:numId="1350">
    <w:abstractNumId w:val="991"/>
  </w:num>
  <w:num w:numId="1351">
    <w:abstractNumId w:val="991"/>
  </w:num>
  <w:num w:numId="1352">
    <w:abstractNumId w:val="991"/>
  </w:num>
  <w:num w:numId="1353">
    <w:abstractNumId w:val="991"/>
  </w:num>
  <w:num w:numId="1354">
    <w:abstractNumId w:val="991"/>
  </w:num>
  <w:num w:numId="1355">
    <w:abstractNumId w:val="991"/>
  </w:num>
  <w:num w:numId="1356">
    <w:abstractNumId w:val="991"/>
  </w:num>
  <w:num w:numId="1357">
    <w:abstractNumId w:val="991"/>
  </w:num>
  <w:num w:numId="1358">
    <w:abstractNumId w:val="991"/>
  </w:num>
  <w:num w:numId="1359">
    <w:abstractNumId w:val="991"/>
  </w:num>
  <w:num w:numId="1360">
    <w:abstractNumId w:val="991"/>
  </w:num>
  <w:num w:numId="1361">
    <w:abstractNumId w:val="991"/>
  </w:num>
  <w:num w:numId="1362">
    <w:abstractNumId w:val="991"/>
  </w:num>
  <w:num w:numId="1363">
    <w:abstractNumId w:val="991"/>
  </w:num>
  <w:num w:numId="1364">
    <w:abstractNumId w:val="991"/>
  </w:num>
  <w:num w:numId="1365">
    <w:abstractNumId w:val="991"/>
  </w:num>
  <w:num w:numId="1366">
    <w:abstractNumId w:val="991"/>
  </w:num>
  <w:num w:numId="1367">
    <w:abstractNumId w:val="991"/>
  </w:num>
  <w:num w:numId="1368">
    <w:abstractNumId w:val="991"/>
  </w:num>
  <w:num w:numId="1369">
    <w:abstractNumId w:val="991"/>
  </w:num>
  <w:num w:numId="1370">
    <w:abstractNumId w:val="991"/>
  </w:num>
  <w:num w:numId="1371">
    <w:abstractNumId w:val="991"/>
  </w:num>
  <w:num w:numId="1372">
    <w:abstractNumId w:val="991"/>
  </w:num>
  <w:num w:numId="1373">
    <w:abstractNumId w:val="991"/>
  </w:num>
  <w:num w:numId="1374">
    <w:abstractNumId w:val="991"/>
  </w:num>
  <w:num w:numId="1375">
    <w:abstractNumId w:val="991"/>
  </w:num>
  <w:num w:numId="1376">
    <w:abstractNumId w:val="991"/>
  </w:num>
  <w:num w:numId="1377">
    <w:abstractNumId w:val="991"/>
  </w:num>
  <w:num w:numId="1378">
    <w:abstractNumId w:val="991"/>
  </w:num>
  <w:num w:numId="1379">
    <w:abstractNumId w:val="991"/>
  </w:num>
  <w:num w:numId="1380">
    <w:abstractNumId w:val="991"/>
  </w:num>
  <w:num w:numId="1381">
    <w:abstractNumId w:val="991"/>
  </w:num>
  <w:num w:numId="1382">
    <w:abstractNumId w:val="991"/>
  </w:num>
  <w:num w:numId="1383">
    <w:abstractNumId w:val="991"/>
  </w:num>
  <w:num w:numId="1384">
    <w:abstractNumId w:val="991"/>
  </w:num>
  <w:num w:numId="1385">
    <w:abstractNumId w:val="991"/>
  </w:num>
  <w:num w:numId="1386">
    <w:abstractNumId w:val="991"/>
  </w:num>
  <w:num w:numId="1387">
    <w:abstractNumId w:val="991"/>
  </w:num>
  <w:num w:numId="1388">
    <w:abstractNumId w:val="991"/>
  </w:num>
  <w:num w:numId="1389">
    <w:abstractNumId w:val="991"/>
  </w:num>
  <w:num w:numId="1390">
    <w:abstractNumId w:val="991"/>
  </w:num>
  <w:num w:numId="1391">
    <w:abstractNumId w:val="991"/>
  </w:num>
  <w:num w:numId="1392">
    <w:abstractNumId w:val="991"/>
  </w:num>
  <w:num w:numId="1393">
    <w:abstractNumId w:val="991"/>
  </w:num>
  <w:num w:numId="1394">
    <w:abstractNumId w:val="991"/>
  </w:num>
  <w:num w:numId="1395">
    <w:abstractNumId w:val="991"/>
  </w:num>
  <w:num w:numId="1396">
    <w:abstractNumId w:val="991"/>
  </w:num>
  <w:num w:numId="1397">
    <w:abstractNumId w:val="991"/>
  </w:num>
  <w:num w:numId="1398">
    <w:abstractNumId w:val="991"/>
  </w:num>
  <w:num w:numId="1399">
    <w:abstractNumId w:val="991"/>
  </w:num>
  <w:num w:numId="1400">
    <w:abstractNumId w:val="991"/>
  </w:num>
  <w:num w:numId="1401">
    <w:abstractNumId w:val="991"/>
  </w:num>
  <w:num w:numId="1402">
    <w:abstractNumId w:val="991"/>
  </w:num>
  <w:num w:numId="1403">
    <w:abstractNumId w:val="991"/>
  </w:num>
  <w:num w:numId="1404">
    <w:abstractNumId w:val="991"/>
  </w:num>
  <w:num w:numId="1405">
    <w:abstractNumId w:val="991"/>
  </w:num>
  <w:num w:numId="1406">
    <w:abstractNumId w:val="991"/>
  </w:num>
  <w:num w:numId="1407">
    <w:abstractNumId w:val="991"/>
  </w:num>
  <w:num w:numId="1408">
    <w:abstractNumId w:val="991"/>
  </w:num>
  <w:num w:numId="1409">
    <w:abstractNumId w:val="991"/>
  </w:num>
  <w:num w:numId="1410">
    <w:abstractNumId w:val="991"/>
  </w:num>
  <w:num w:numId="1411">
    <w:abstractNumId w:val="991"/>
  </w:num>
  <w:num w:numId="1412">
    <w:abstractNumId w:val="991"/>
  </w:num>
  <w:num w:numId="1413">
    <w:abstractNumId w:val="991"/>
  </w:num>
  <w:num w:numId="1414">
    <w:abstractNumId w:val="991"/>
  </w:num>
  <w:num w:numId="1415">
    <w:abstractNumId w:val="991"/>
  </w:num>
  <w:num w:numId="1416">
    <w:abstractNumId w:val="991"/>
  </w:num>
  <w:num w:numId="1417">
    <w:abstractNumId w:val="991"/>
  </w:num>
  <w:num w:numId="1418">
    <w:abstractNumId w:val="991"/>
  </w:num>
  <w:num w:numId="1419">
    <w:abstractNumId w:val="991"/>
  </w:num>
  <w:num w:numId="1420">
    <w:abstractNumId w:val="991"/>
  </w:num>
  <w:num w:numId="1421">
    <w:abstractNumId w:val="991"/>
  </w:num>
  <w:num w:numId="1422">
    <w:abstractNumId w:val="991"/>
  </w:num>
  <w:num w:numId="1423">
    <w:abstractNumId w:val="991"/>
  </w:num>
  <w:num w:numId="1424">
    <w:abstractNumId w:val="991"/>
  </w:num>
  <w:num w:numId="1425">
    <w:abstractNumId w:val="991"/>
  </w:num>
  <w:num w:numId="1426">
    <w:abstractNumId w:val="991"/>
  </w:num>
  <w:num w:numId="1427">
    <w:abstractNumId w:val="991"/>
  </w:num>
  <w:num w:numId="1428">
    <w:abstractNumId w:val="991"/>
  </w:num>
  <w:num w:numId="1429">
    <w:abstractNumId w:val="991"/>
  </w:num>
  <w:num w:numId="1430">
    <w:abstractNumId w:val="991"/>
  </w:num>
  <w:num w:numId="1431">
    <w:abstractNumId w:val="991"/>
  </w:num>
  <w:num w:numId="1432">
    <w:abstractNumId w:val="991"/>
  </w:num>
  <w:num w:numId="1433">
    <w:abstractNumId w:val="991"/>
  </w:num>
  <w:num w:numId="1434">
    <w:abstractNumId w:val="991"/>
  </w:num>
  <w:num w:numId="1435">
    <w:abstractNumId w:val="991"/>
  </w:num>
  <w:num w:numId="1436">
    <w:abstractNumId w:val="991"/>
  </w:num>
  <w:num w:numId="1437">
    <w:abstractNumId w:val="991"/>
  </w:num>
  <w:num w:numId="1438">
    <w:abstractNumId w:val="991"/>
  </w:num>
  <w:num w:numId="1439">
    <w:abstractNumId w:val="991"/>
  </w:num>
  <w:num w:numId="1440">
    <w:abstractNumId w:val="991"/>
  </w:num>
  <w:num w:numId="1441">
    <w:abstractNumId w:val="991"/>
  </w:num>
  <w:num w:numId="1442">
    <w:abstractNumId w:val="991"/>
  </w:num>
  <w:num w:numId="1443">
    <w:abstractNumId w:val="991"/>
  </w:num>
  <w:num w:numId="1444">
    <w:abstractNumId w:val="991"/>
  </w:num>
  <w:num w:numId="1445">
    <w:abstractNumId w:val="991"/>
  </w:num>
  <w:num w:numId="1446">
    <w:abstractNumId w:val="991"/>
  </w:num>
  <w:num w:numId="1447">
    <w:abstractNumId w:val="991"/>
  </w:num>
  <w:num w:numId="1448">
    <w:abstractNumId w:val="991"/>
  </w:num>
  <w:num w:numId="1449">
    <w:abstractNumId w:val="991"/>
  </w:num>
  <w:num w:numId="1450">
    <w:abstractNumId w:val="991"/>
  </w:num>
  <w:num w:numId="1451">
    <w:abstractNumId w:val="991"/>
  </w:num>
  <w:num w:numId="1452">
    <w:abstractNumId w:val="991"/>
  </w:num>
  <w:num w:numId="1453">
    <w:abstractNumId w:val="991"/>
  </w:num>
  <w:num w:numId="1454">
    <w:abstractNumId w:val="991"/>
  </w:num>
  <w:num w:numId="1455">
    <w:abstractNumId w:val="991"/>
  </w:num>
  <w:num w:numId="1456">
    <w:abstractNumId w:val="991"/>
  </w:num>
  <w:num w:numId="1457">
    <w:abstractNumId w:val="991"/>
  </w:num>
  <w:num w:numId="1458">
    <w:abstractNumId w:val="991"/>
  </w:num>
  <w:num w:numId="1459">
    <w:abstractNumId w:val="991"/>
  </w:num>
  <w:num w:numId="1460">
    <w:abstractNumId w:val="991"/>
  </w:num>
  <w:num w:numId="1461">
    <w:abstractNumId w:val="991"/>
  </w:num>
  <w:num w:numId="1462">
    <w:abstractNumId w:val="991"/>
  </w:num>
  <w:num w:numId="1463">
    <w:abstractNumId w:val="991"/>
  </w:num>
  <w:num w:numId="1464">
    <w:abstractNumId w:val="991"/>
  </w:num>
  <w:num w:numId="1465">
    <w:abstractNumId w:val="991"/>
  </w:num>
  <w:num w:numId="1466">
    <w:abstractNumId w:val="991"/>
  </w:num>
  <w:num w:numId="1467">
    <w:abstractNumId w:val="991"/>
  </w:num>
  <w:num w:numId="1468">
    <w:abstractNumId w:val="991"/>
  </w:num>
  <w:num w:numId="1469">
    <w:abstractNumId w:val="991"/>
  </w:num>
  <w:num w:numId="1470">
    <w:abstractNumId w:val="991"/>
  </w:num>
  <w:num w:numId="1471">
    <w:abstractNumId w:val="991"/>
  </w:num>
  <w:num w:numId="1472">
    <w:abstractNumId w:val="991"/>
  </w:num>
  <w:num w:numId="1473">
    <w:abstractNumId w:val="991"/>
  </w:num>
  <w:num w:numId="1474">
    <w:abstractNumId w:val="991"/>
  </w:num>
  <w:num w:numId="1475">
    <w:abstractNumId w:val="991"/>
  </w:num>
  <w:num w:numId="1476">
    <w:abstractNumId w:val="991"/>
  </w:num>
  <w:num w:numId="1477">
    <w:abstractNumId w:val="991"/>
  </w:num>
  <w:num w:numId="1478">
    <w:abstractNumId w:val="991"/>
  </w:num>
  <w:num w:numId="1479">
    <w:abstractNumId w:val="991"/>
  </w:num>
  <w:num w:numId="1480">
    <w:abstractNumId w:val="991"/>
  </w:num>
  <w:num w:numId="1481">
    <w:abstractNumId w:val="991"/>
  </w:num>
  <w:num w:numId="1482">
    <w:abstractNumId w:val="991"/>
  </w:num>
  <w:num w:numId="1483">
    <w:abstractNumId w:val="991"/>
  </w:num>
  <w:num w:numId="1484">
    <w:abstractNumId w:val="991"/>
  </w:num>
  <w:num w:numId="1485">
    <w:abstractNumId w:val="991"/>
  </w:num>
  <w:num w:numId="1486">
    <w:abstractNumId w:val="991"/>
  </w:num>
  <w:num w:numId="1487">
    <w:abstractNumId w:val="991"/>
  </w:num>
  <w:num w:numId="1488">
    <w:abstractNumId w:val="991"/>
  </w:num>
  <w:num w:numId="1489">
    <w:abstractNumId w:val="991"/>
  </w:num>
  <w:num w:numId="1490">
    <w:abstractNumId w:val="991"/>
  </w:num>
  <w:num w:numId="1491">
    <w:abstractNumId w:val="991"/>
  </w:num>
  <w:num w:numId="1492">
    <w:abstractNumId w:val="991"/>
  </w:num>
  <w:num w:numId="1493">
    <w:abstractNumId w:val="991"/>
  </w:num>
  <w:num w:numId="1494">
    <w:abstractNumId w:val="991"/>
  </w:num>
  <w:num w:numId="1495">
    <w:abstractNumId w:val="991"/>
  </w:num>
  <w:num w:numId="1496">
    <w:abstractNumId w:val="991"/>
  </w:num>
  <w:num w:numId="1497">
    <w:abstractNumId w:val="991"/>
  </w:num>
  <w:num w:numId="1498">
    <w:abstractNumId w:val="991"/>
  </w:num>
  <w:num w:numId="1499">
    <w:abstractNumId w:val="991"/>
  </w:num>
  <w:num w:numId="1500">
    <w:abstractNumId w:val="991"/>
  </w:num>
  <w:num w:numId="1501">
    <w:abstractNumId w:val="991"/>
  </w:num>
  <w:num w:numId="1502">
    <w:abstractNumId w:val="991"/>
  </w:num>
  <w:num w:numId="1503">
    <w:abstractNumId w:val="991"/>
  </w:num>
  <w:num w:numId="1504">
    <w:abstractNumId w:val="991"/>
  </w:num>
  <w:num w:numId="1505">
    <w:abstractNumId w:val="991"/>
  </w:num>
  <w:num w:numId="1506">
    <w:abstractNumId w:val="991"/>
  </w:num>
  <w:num w:numId="1507">
    <w:abstractNumId w:val="991"/>
  </w:num>
  <w:num w:numId="1508">
    <w:abstractNumId w:val="991"/>
  </w:num>
  <w:num w:numId="1509">
    <w:abstractNumId w:val="991"/>
  </w:num>
  <w:num w:numId="1510">
    <w:abstractNumId w:val="991"/>
  </w:num>
  <w:num w:numId="1511">
    <w:abstractNumId w:val="991"/>
  </w:num>
  <w:num w:numId="1512">
    <w:abstractNumId w:val="991"/>
  </w:num>
  <w:num w:numId="1513">
    <w:abstractNumId w:val="991"/>
  </w:num>
  <w:num w:numId="1514">
    <w:abstractNumId w:val="991"/>
  </w:num>
  <w:num w:numId="1515">
    <w:abstractNumId w:val="991"/>
  </w:num>
  <w:num w:numId="1516">
    <w:abstractNumId w:val="991"/>
  </w:num>
  <w:num w:numId="1517">
    <w:abstractNumId w:val="991"/>
  </w:num>
  <w:num w:numId="1518">
    <w:abstractNumId w:val="991"/>
  </w:num>
  <w:num w:numId="1519">
    <w:abstractNumId w:val="991"/>
  </w:num>
  <w:num w:numId="1520">
    <w:abstractNumId w:val="991"/>
  </w:num>
  <w:num w:numId="1521">
    <w:abstractNumId w:val="991"/>
  </w:num>
  <w:num w:numId="1522">
    <w:abstractNumId w:val="991"/>
  </w:num>
  <w:num w:numId="1523">
    <w:abstractNumId w:val="991"/>
  </w:num>
  <w:num w:numId="1524">
    <w:abstractNumId w:val="991"/>
  </w:num>
  <w:num w:numId="1525">
    <w:abstractNumId w:val="991"/>
  </w:num>
  <w:num w:numId="1526">
    <w:abstractNumId w:val="991"/>
  </w:num>
  <w:num w:numId="1527">
    <w:abstractNumId w:val="991"/>
  </w:num>
  <w:num w:numId="1528">
    <w:abstractNumId w:val="991"/>
  </w:num>
  <w:num w:numId="1529">
    <w:abstractNumId w:val="991"/>
  </w:num>
  <w:num w:numId="1530">
    <w:abstractNumId w:val="991"/>
  </w:num>
  <w:num w:numId="1531">
    <w:abstractNumId w:val="991"/>
  </w:num>
  <w:num w:numId="1532">
    <w:abstractNumId w:val="991"/>
  </w:num>
  <w:num w:numId="1533">
    <w:abstractNumId w:val="991"/>
  </w:num>
  <w:num w:numId="1534">
    <w:abstractNumId w:val="991"/>
  </w:num>
  <w:num w:numId="1535">
    <w:abstractNumId w:val="991"/>
  </w:num>
  <w:num w:numId="1536">
    <w:abstractNumId w:val="991"/>
  </w:num>
  <w:num w:numId="1537">
    <w:abstractNumId w:val="991"/>
  </w:num>
  <w:num w:numId="1538">
    <w:abstractNumId w:val="991"/>
  </w:num>
  <w:num w:numId="1539">
    <w:abstractNumId w:val="991"/>
  </w:num>
  <w:num w:numId="1540">
    <w:abstractNumId w:val="991"/>
  </w:num>
  <w:num w:numId="1541">
    <w:abstractNumId w:val="991"/>
  </w:num>
  <w:num w:numId="1542">
    <w:abstractNumId w:val="991"/>
  </w:num>
  <w:num w:numId="1543">
    <w:abstractNumId w:val="991"/>
  </w:num>
  <w:num w:numId="1544">
    <w:abstractNumId w:val="991"/>
  </w:num>
  <w:num w:numId="1545">
    <w:abstractNumId w:val="991"/>
  </w:num>
  <w:num w:numId="1546">
    <w:abstractNumId w:val="991"/>
  </w:num>
  <w:num w:numId="1547">
    <w:abstractNumId w:val="991"/>
  </w:num>
  <w:num w:numId="1548">
    <w:abstractNumId w:val="991"/>
  </w:num>
  <w:num w:numId="1549">
    <w:abstractNumId w:val="991"/>
  </w:num>
  <w:num w:numId="1550">
    <w:abstractNumId w:val="991"/>
  </w:num>
  <w:num w:numId="1551">
    <w:abstractNumId w:val="991"/>
  </w:num>
  <w:num w:numId="1552">
    <w:abstractNumId w:val="991"/>
  </w:num>
  <w:num w:numId="1553">
    <w:abstractNumId w:val="991"/>
  </w:num>
  <w:num w:numId="1554">
    <w:abstractNumId w:val="991"/>
  </w:num>
  <w:num w:numId="1555">
    <w:abstractNumId w:val="991"/>
  </w:num>
  <w:num w:numId="155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sz w:val="21"/>
    </w:rPr>
  </w:style>
  <w:style w:styleId="BodyText" w:type="paragraph">
    <w:name w:val="Body Text"/>
    <w:basedOn w:val="Normal"/>
    <w:link w:val="BodyTextChar"/>
    <w:pPr>
      <w:spacing w:after="180" w:before="180"/>
    </w:pPr>
    <w:qFormat/>
    <w:rPr>
      <w:rFonts w:ascii="Calibri" w:hAnsi="Calibri"/>
      <w:sz w:val="21"/>
    </w:rPr>
  </w:style>
  <w:style w:customStyle="1" w:styleId="FirstParagraph" w:type="paragraph">
    <w:name w:val="First Paragraph"/>
    <w:basedOn w:val="BodyText"/>
    <w:next w:val="BodyText"/>
    <w:qFormat/>
    <w:rPr>
      <w:rFonts w:ascii="Calibri" w:hAnsi="Calibri"/>
      <w:sz w:val="21"/>
    </w:rPr>
  </w:style>
  <w:style w:customStyle="1" w:styleId="Compact" w:type="paragraph">
    <w:name w:val="Compact"/>
    <w:basedOn w:val="BodyText"/>
    <w:qFormat/>
    <w:pPr>
      <w:spacing w:after="36" w:before="36"/>
    </w:pPr>
    <w:rPr>
      <w:rFonts w:ascii="Calibri" w:hAnsi="Calibri"/>
      <w:sz w:val="20"/>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val="1F3864"/>
      <w:sz w:val="5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Calibri" w:asciiTheme="majorHAnsi" w:cstheme="majorBidi" w:eastAsiaTheme="majorEastAsia" w:hAnsi="Calibri" w:hAnsiTheme="majorHAnsi"/>
      <w:b/>
      <w:bCs/>
      <w:color w:val="1F3864"/>
      <w:sz w:val="40"/>
      <w:szCs w:val="32"/>
    </w:rPr>
  </w:style>
  <w:style w:styleId="Heading2" w:type="paragraph">
    <w:name w:val="Heading 2"/>
    <w:basedOn w:val="Normal"/>
    <w:next w:val="BodyText"/>
    <w:uiPriority w:val="9"/>
    <w:unhideWhenUsed/>
    <w:qFormat/>
    <w:pPr>
      <w:keepNext/>
      <w:keepLines/>
      <w:spacing w:after="0" w:before="200"/>
      <w:outlineLvl w:val="1"/>
    </w:pPr>
    <w:rPr>
      <w:rFonts w:ascii="Calibri" w:asciiTheme="majorHAnsi" w:cstheme="majorBidi" w:eastAsiaTheme="majorEastAsia" w:hAnsi="Calibri" w:hAnsiTheme="majorHAnsi"/>
      <w:b/>
      <w:bCs/>
      <w:color w:val="1F3864"/>
      <w:sz w:val="32"/>
      <w:szCs w:val="28"/>
    </w:rPr>
  </w:style>
  <w:style w:styleId="Heading3" w:type="paragraph">
    <w:name w:val="Heading 3"/>
    <w:basedOn w:val="Normal"/>
    <w:next w:val="BodyText"/>
    <w:uiPriority w:val="9"/>
    <w:unhideWhenUsed/>
    <w:qFormat/>
    <w:pPr>
      <w:keepNext/>
      <w:keepLines/>
      <w:spacing w:after="0" w:before="200"/>
      <w:outlineLvl w:val="2"/>
    </w:pPr>
    <w:rPr>
      <w:rFonts w:ascii="Calibri" w:asciiTheme="majorHAnsi" w:cstheme="majorBidi" w:eastAsiaTheme="majorEastAsia" w:hAnsi="Calibri" w:hAnsiTheme="majorHAnsi"/>
      <w:b/>
      <w:bCs/>
      <w:color w:val="1F3864"/>
      <w:sz w:val="26"/>
      <w:szCs w:val="24"/>
    </w:rPr>
  </w:style>
  <w:style w:styleId="Heading4" w:type="paragraph">
    <w:name w:val="Heading 4"/>
    <w:basedOn w:val="Normal"/>
    <w:next w:val="BodyText"/>
    <w:uiPriority w:val="9"/>
    <w:unhideWhenUsed/>
    <w:qFormat/>
    <w:pPr>
      <w:keepNext/>
      <w:keepLines/>
      <w:spacing w:after="0" w:before="200"/>
      <w:outlineLvl w:val="3"/>
    </w:pPr>
    <w:rPr>
      <w:rFonts w:ascii="Calibri" w:asciiTheme="majorHAnsi" w:cstheme="majorBidi" w:eastAsiaTheme="majorEastAsia" w:hAnsi="Calibri" w:hAnsiTheme="majorHAnsi"/>
      <w:i/>
      <w:b/>
      <w:bCs/>
      <w:color w:val="1F3864"/>
      <w:sz w:val="23"/>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rPr>
      <w:sz w:val="15"/>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ClaimLabel" w:type="character">
    <w:name w:val="Claim Label"/>
    <w:rPr>
      <w:color w:val="8A8A8A"/>
      <w:sz w:val="13"/>
      <w:vertAlign w:val="superscript"/>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598" Target="https://9to5google.com/2026/09/30/gemini-4-argon-announcement/" TargetMode="External" /><Relationship Type="http://schemas.openxmlformats.org/officeDocument/2006/relationships/hyperlink" Id="rId834" Target="https://a2a-protocol.org/latest/announcing-1.0/" TargetMode="External" /><Relationship Type="http://schemas.openxmlformats.org/officeDocument/2006/relationships/hyperlink" Id="rId836" Target="https://a2a-protocol.org/latest/blog/2026/08/27/a-new-chapter-for-a2a-joining-the-agentic-ai-foundation/" TargetMode="External" /><Relationship Type="http://schemas.openxmlformats.org/officeDocument/2006/relationships/hyperlink" Id="rId829" Target="https://aaif.io/blog/a2a-joins-aaif" TargetMode="External" /><Relationship Type="http://schemas.openxmlformats.org/officeDocument/2006/relationships/hyperlink" Id="rId950" Target="https://aaif.io/blog/skills-over-mcp" TargetMode="External" /><Relationship Type="http://schemas.openxmlformats.org/officeDocument/2006/relationships/hyperlink" Id="rId1677" Target="https://about.fb.com/news/2026/04/introducing-muse-spark-meta-superintelligence-labs/" TargetMode="External" /><Relationship Type="http://schemas.openxmlformats.org/officeDocument/2006/relationships/hyperlink" Id="rId940" Target="https://agentskills.io/specification" TargetMode="External" /><Relationship Type="http://schemas.openxmlformats.org/officeDocument/2006/relationships/hyperlink" Id="rId1585" Target="https://ai.google.dev/gemini-api/docs/changelog" TargetMode="External" /><Relationship Type="http://schemas.openxmlformats.org/officeDocument/2006/relationships/hyperlink" Id="rId401" Target="https://ai.google.dev/gemini-api/docs/embeddings" TargetMode="External" /><Relationship Type="http://schemas.openxmlformats.org/officeDocument/2006/relationships/hyperlink" Id="rId409" Target="https://ai.google.dev/gemini-api/docs/pricing" TargetMode="External" /><Relationship Type="http://schemas.openxmlformats.org/officeDocument/2006/relationships/hyperlink" Id="rId1593" Target="https://ai.google.dev/gemini-api/terms" TargetMode="External" /><Relationship Type="http://schemas.openxmlformats.org/officeDocument/2006/relationships/hyperlink" Id="rId2005" Target="https://ai.meta.com/blog/ai-defenders-program-llama-protection-tools/" TargetMode="External" /><Relationship Type="http://schemas.openxmlformats.org/officeDocument/2006/relationships/hyperlink" Id="rId1628" Target="https://api-docs.deepseek.com/news/news260424/" TargetMode="External" /><Relationship Type="http://schemas.openxmlformats.org/officeDocument/2006/relationships/hyperlink" Id="rId1629" Target="https://api-docs.deepseek.com/news/news260910/" TargetMode="External" /><Relationship Type="http://schemas.openxmlformats.org/officeDocument/2006/relationships/hyperlink" Id="rId1630" Target="https://api-docs.deepseek.com/quick_start/pricing/" TargetMode="External" /><Relationship Type="http://schemas.openxmlformats.org/officeDocument/2006/relationships/hyperlink" Id="rId1339" Target="https://api.github.com/repos/huggingface/text-generation-inference" TargetMode="External" /><Relationship Type="http://schemas.openxmlformats.org/officeDocument/2006/relationships/hyperlink" Id="rId727" Target="https://api.github.com/search/repositories" TargetMode="External" /><Relationship Type="http://schemas.openxmlformats.org/officeDocument/2006/relationships/hyperlink" Id="rId356" Target="https://apify.com/pricing" TargetMode="External" /><Relationship Type="http://schemas.openxmlformats.org/officeDocument/2006/relationships/hyperlink" Id="rId95" Target="https://arize.com/docs/ax/security-and-settings/compliance" TargetMode="External" /><Relationship Type="http://schemas.openxmlformats.org/officeDocument/2006/relationships/hyperlink" Id="rId89" Target="https://arize.com/docs/phoenix/resources/frequently-asked-questions/what-is-the-difference-between-phoenix-and-arize" TargetMode="External" /><Relationship Type="http://schemas.openxmlformats.org/officeDocument/2006/relationships/hyperlink" Id="rId90" Target="https://arize.com/pricing/" TargetMode="External" /><Relationship Type="http://schemas.openxmlformats.org/officeDocument/2006/relationships/hyperlink" Id="rId465" Target="https://arxiv.org/abs/2601.04720" TargetMode="External" /><Relationship Type="http://schemas.openxmlformats.org/officeDocument/2006/relationships/hyperlink" Id="rId846" Target="https://arxiv.org/pdf/2508.14925" TargetMode="External" /><Relationship Type="http://schemas.openxmlformats.org/officeDocument/2006/relationships/hyperlink" Id="rId2138" Target="https://auth0.com/blog/auth0-for-ai-agents-generally-available/" TargetMode="External" /><Relationship Type="http://schemas.openxmlformats.org/officeDocument/2006/relationships/hyperlink" Id="rId752" Target="https://aws.amazon.com/about-aws/whats-new/2025/10/amazon-bedrock-agentcore-available/" TargetMode="External" /><Relationship Type="http://schemas.openxmlformats.org/officeDocument/2006/relationships/hyperlink" Id="rId652" Target="https://aws.amazon.com/about-aws/whats-new/2025/12/amazon-s3-vectors-generally-available/" TargetMode="External" /><Relationship Type="http://schemas.openxmlformats.org/officeDocument/2006/relationships/hyperlink" Id="rId880" Target="https://aws.amazon.com/about-aws/whats-new/2026/03/policy-amazon-bedrock-agentcore-generally-available/" TargetMode="External" /><Relationship Type="http://schemas.openxmlformats.org/officeDocument/2006/relationships/hyperlink" Id="rId2123" Target="https://aws.amazon.com/about-aws/whats-new/2026/04/amazon-verified-permissions-policy-store/" TargetMode="External" /><Relationship Type="http://schemas.openxmlformats.org/officeDocument/2006/relationships/hyperlink" Id="rId666" Target="https://aws.amazon.com/about-aws/whats-new/2026/06/s3-vectors-reduces-query-charges-80-percent-large-indexes/" TargetMode="External" /><Relationship Type="http://schemas.openxmlformats.org/officeDocument/2006/relationships/hyperlink" Id="rId649" Target="https://aws.amazon.com/about-aws/whats-new/2026/06/s3-vectors-supports-10000-search-results-per-query/" TargetMode="External" /><Relationship Type="http://schemas.openxmlformats.org/officeDocument/2006/relationships/hyperlink" Id="rId1873" Target="https://aws.amazon.com/about-aws/whats-new/2026/08/temporal-policies-agentcore/" TargetMode="External" /><Relationship Type="http://schemas.openxmlformats.org/officeDocument/2006/relationships/hyperlink" Id="rId1504" Target="https://aws.amazon.com/about-aws/whats-new/2026/09/openai-gpt-6-astra-on-amazon-bedrock/" TargetMode="External" /><Relationship Type="http://schemas.openxmlformats.org/officeDocument/2006/relationships/hyperlink" Id="rId1867" Target="https://aws.amazon.com/bedrock/agentcore/faqs/" TargetMode="External" /><Relationship Type="http://schemas.openxmlformats.org/officeDocument/2006/relationships/hyperlink" Id="rId764" Target="https://aws.amazon.com/bedrock/agentcore/pricing/" TargetMode="External" /><Relationship Type="http://schemas.openxmlformats.org/officeDocument/2006/relationships/hyperlink" Id="rId1952" Target="https://aws.amazon.com/bedrock/pricing/" TargetMode="External" /><Relationship Type="http://schemas.openxmlformats.org/officeDocument/2006/relationships/hyperlink" Id="rId751" Target="https://aws.amazon.com/blogs/machine-learning/designing-lifecycle-policies-for-agentcore-memory/" TargetMode="External" /><Relationship Type="http://schemas.openxmlformats.org/officeDocument/2006/relationships/hyperlink" Id="rId1665" Target="https://aws.amazon.com/blogs/machine-learning/introducing-kimi-k3-on-amazon-bedrock/" TargetMode="External" /><Relationship Type="http://schemas.openxmlformats.org/officeDocument/2006/relationships/hyperlink" Id="rId651" Target="https://aws.amazon.com/blogs/machine-learning/selecting-a-vector-store-for-amazon-bedrock-knowledge-bases/" TargetMode="External" /><Relationship Type="http://schemas.openxmlformats.org/officeDocument/2006/relationships/hyperlink" Id="rId1947" Target="https://aws.amazon.com/compliance/iso-certified/" TargetMode="External" /><Relationship Type="http://schemas.openxmlformats.org/officeDocument/2006/relationships/hyperlink" Id="rId882" Target="https://aws.amazon.com/compliance/services-in-scope/SOC/" TargetMode="External" /><Relationship Type="http://schemas.openxmlformats.org/officeDocument/2006/relationships/hyperlink" Id="rId646" Target="https://aws.amazon.com/s3/features/vectors/" TargetMode="External" /><Relationship Type="http://schemas.openxmlformats.org/officeDocument/2006/relationships/hyperlink" Id="rId654" Target="https://aws.amazon.com/s3/pricing/" TargetMode="External" /><Relationship Type="http://schemas.openxmlformats.org/officeDocument/2006/relationships/hyperlink" Id="rId1737" Target="https://aws.amazon.com/solutions/guidance/multi-provider-generative-ai-gateway-on-aws/" TargetMode="External" /><Relationship Type="http://schemas.openxmlformats.org/officeDocument/2006/relationships/hyperlink" Id="rId1505" Target="https://azure.microsoft.com/en-us/blog/gpt-6-astra-sol-and-luna-for-production-agents-in-microsoft-foundry/" TargetMode="External" /><Relationship Type="http://schemas.openxmlformats.org/officeDocument/2006/relationships/hyperlink" Id="rId1990" Target="https://azure.microsoft.com/en-us/pricing/details/content-safety/" TargetMode="External" /><Relationship Type="http://schemas.openxmlformats.org/officeDocument/2006/relationships/hyperlink" Id="rId673" Target="https://betakit.com/ex-shopify-engineers-raise-fresh-financing-to-scale-turbopuffers-ai-search/" TargetMode="External" /><Relationship Type="http://schemas.openxmlformats.org/officeDocument/2006/relationships/hyperlink" Id="rId1180" Target="https://blog.crewai.com/crewai-oss-1-0-we-are-going-ga/" TargetMode="External" /><Relationship Type="http://schemas.openxmlformats.org/officeDocument/2006/relationships/hyperlink" Id="rId712" Target="https://blog.getzep.com/announcing-a-new-direction-for-zeps-open-source-strategy/" TargetMode="External" /><Relationship Type="http://schemas.openxmlformats.org/officeDocument/2006/relationships/hyperlink" Id="rId1586" Target="https://blog.google/innovation-and-ai/models-and-research/gemini-models/gemini-4-argon/" TargetMode="External" /><Relationship Type="http://schemas.openxmlformats.org/officeDocument/2006/relationships/hyperlink" Id="rId400" Target="https://blog.google/innovation-and-ai/models-and-research/gemini-models/gemini-embedding-2-generally-available/" TargetMode="External" /><Relationship Type="http://schemas.openxmlformats.org/officeDocument/2006/relationships/hyperlink" Id="rId1574" Target="https://blog.google/innovation-and-ai/technology/developers-tools/gemma-4/" TargetMode="External" /><Relationship Type="http://schemas.openxmlformats.org/officeDocument/2006/relationships/hyperlink" Id="rId874" Target="https://blog.modelcontextprotocol.io/posts/2025-09-08-mcp-registry-preview/" TargetMode="External" /><Relationship Type="http://schemas.openxmlformats.org/officeDocument/2006/relationships/hyperlink" Id="rId850" Target="https://blog.modelcontextprotocol.io/posts/2025-12-09-mcp-joins-agentic-ai-foundation/" TargetMode="External" /><Relationship Type="http://schemas.openxmlformats.org/officeDocument/2006/relationships/hyperlink" Id="rId866" Target="https://blog.modelcontextprotocol.io/posts/2026-03-16-tool-annotations/" TargetMode="External" /><Relationship Type="http://schemas.openxmlformats.org/officeDocument/2006/relationships/hyperlink" Id="rId854" Target="https://blog.modelcontextprotocol.io/posts/2026-04-08-maintainer-update/" TargetMode="External" /><Relationship Type="http://schemas.openxmlformats.org/officeDocument/2006/relationships/hyperlink" Id="rId849" Target="https://blog.modelcontextprotocol.io/posts/2026-07-28/" TargetMode="External" /><Relationship Type="http://schemas.openxmlformats.org/officeDocument/2006/relationships/hyperlink" Id="rId858" Target="https://blog.modelcontextprotocol.io/posts/enterprise-managed-auth/" TargetMode="External" /><Relationship Type="http://schemas.openxmlformats.org/officeDocument/2006/relationships/hyperlink" Id="rId479" Target="https://blog.voyageai.com/2026/01/15/voyage-4/" TargetMode="External" /><Relationship Type="http://schemas.openxmlformats.org/officeDocument/2006/relationships/hyperlink" Id="rId481" Target="https://blog.voyageai.com/2026/09/30/rerank-3/" TargetMode="External" /><Relationship Type="http://schemas.openxmlformats.org/officeDocument/2006/relationships/hyperlink" Id="rId1639" Target="https://cdn.deepseek.com/policies/en-US/deepseek-privacy-policy.html" TargetMode="External" /><Relationship Type="http://schemas.openxmlformats.org/officeDocument/2006/relationships/hyperlink" Id="rId1035" Target="https://changelog.langchain.com/announcements/product-naming-changes-langsmith-deployment-and-langsmith-studio" TargetMode="External" /><Relationship Type="http://schemas.openxmlformats.org/officeDocument/2006/relationships/hyperlink" Id="rId938" Target="https://claude.com/blog/organization-skills-and-directory" TargetMode="External" /><Relationship Type="http://schemas.openxmlformats.org/officeDocument/2006/relationships/hyperlink" Id="rId45" Target="https://clickhouse.com/blog/clickhouse-acquires-langfuse-open-source-llm-observability" TargetMode="External" /><Relationship Type="http://schemas.openxmlformats.org/officeDocument/2006/relationships/hyperlink" Id="rId44" Target="https://clickhouse.com/blog/clickhouse-raises-400-million-series-d-acquires-langfuse-launches-postgres" TargetMode="External" /><Relationship Type="http://schemas.openxmlformats.org/officeDocument/2006/relationships/hyperlink" Id="rId1783" Target="https://cloud.google.com/apigee/pricing" TargetMode="External" /><Relationship Type="http://schemas.openxmlformats.org/officeDocument/2006/relationships/hyperlink" Id="rId1381" Target="https://cloud.google.com/blog/products/ai-machine-learning/enhancing-vllm-for-distributed-inference-with-llm-d" TargetMode="External" /><Relationship Type="http://schemas.openxmlformats.org/officeDocument/2006/relationships/hyperlink" Id="rId1592" Target="https://cloud.google.com/blog/products/ai-machine-learning/google-cloud-generative-ai-data-residency-guarantees-for-data-stored-at-rest" TargetMode="External" /><Relationship Type="http://schemas.openxmlformats.org/officeDocument/2006/relationships/hyperlink" Id="rId769" Target="https://cloud.google.com/blog/products/ai-machine-learning/vertex-ai-memory-bank-in-public-preview" TargetMode="External" /><Relationship Type="http://schemas.openxmlformats.org/officeDocument/2006/relationships/hyperlink" Id="rId234" Target="https://cloud.google.com/document-ai/docs/security-cmek-logging" TargetMode="External" /><Relationship Type="http://schemas.openxmlformats.org/officeDocument/2006/relationships/hyperlink" Id="rId237" Target="https://cloud.google.com/document-ai/pricing" TargetMode="External" /><Relationship Type="http://schemas.openxmlformats.org/officeDocument/2006/relationships/hyperlink" Id="rId1520" Target="https://cloud.google.com/gemini-enterprise-agent-platform/generative-ai/pricing" TargetMode="External" /><Relationship Type="http://schemas.openxmlformats.org/officeDocument/2006/relationships/hyperlink" Id="rId1781" Target="https://cloud.google.com/security/compliance/iso-27001" TargetMode="External" /><Relationship Type="http://schemas.openxmlformats.org/officeDocument/2006/relationships/hyperlink" Id="rId1589" Target="https://cloud.google.com/security/compliance/iso-42001" TargetMode="External" /><Relationship Type="http://schemas.openxmlformats.org/officeDocument/2006/relationships/hyperlink" Id="rId239" Target="https://cloud.google.com/security/compliance/services-in-scope" TargetMode="External" /><Relationship Type="http://schemas.openxmlformats.org/officeDocument/2006/relationships/hyperlink" Id="rId1780" Target="https://cloud.google.com/security/compliance/soc-2" TargetMode="External" /><Relationship Type="http://schemas.openxmlformats.org/officeDocument/2006/relationships/hyperlink" Id="rId1963" Target="https://cloud.google.com/security/products/model-armor" TargetMode="External" /><Relationship Type="http://schemas.openxmlformats.org/officeDocument/2006/relationships/hyperlink" Id="rId2059" Target="https://cloud.google.com/security/products/sensitive-data-protection" TargetMode="External" /><Relationship Type="http://schemas.openxmlformats.org/officeDocument/2006/relationships/hyperlink" Id="rId2060" Target="https://cloud.google.com/sensitive-data-protection/pricing" TargetMode="External" /><Relationship Type="http://schemas.openxmlformats.org/officeDocument/2006/relationships/hyperlink" Id="rId1777" Target="https://cloud.google.com/solutions/apigee-ai" TargetMode="External" /><Relationship Type="http://schemas.openxmlformats.org/officeDocument/2006/relationships/hyperlink" Id="rId406" Target="https://cloud.google.com/vertex-ai/docs/general/vertexai-compliance" TargetMode="External" /><Relationship Type="http://schemas.openxmlformats.org/officeDocument/2006/relationships/hyperlink" Id="rId1218" Target="https://code.claude.com/docs/en/agent-sdk/hosting" TargetMode="External" /><Relationship Type="http://schemas.openxmlformats.org/officeDocument/2006/relationships/hyperlink" Id="rId1217" Target="https://code.claude.com/docs/en/agent-sdk/overview" TargetMode="External" /><Relationship Type="http://schemas.openxmlformats.org/officeDocument/2006/relationships/hyperlink" Id="rId380" Target="https://cohere.com/blog/cohere-and-aleph-alpha-sign-agreement" TargetMode="External" /><Relationship Type="http://schemas.openxmlformats.org/officeDocument/2006/relationships/hyperlink" Id="rId375" Target="https://cohere.com/blog/embed-5" TargetMode="External" /><Relationship Type="http://schemas.openxmlformats.org/officeDocument/2006/relationships/hyperlink" Id="rId365" Target="https://cohere.com/blog/rerank-4" TargetMode="External" /><Relationship Type="http://schemas.openxmlformats.org/officeDocument/2006/relationships/hyperlink" Id="rId369" Target="https://cohere.com/deployment-options" TargetMode="External" /><Relationship Type="http://schemas.openxmlformats.org/officeDocument/2006/relationships/hyperlink" Id="rId373" Target="https://cohere.com/enterprise-data-commitments" TargetMode="External" /><Relationship Type="http://schemas.openxmlformats.org/officeDocument/2006/relationships/hyperlink" Id="rId1132" Target="https://community.openai.com/t/assistants-api-beta-deprecation-august-26-2026-sunset/1354666" TargetMode="External" /><Relationship Type="http://schemas.openxmlformats.org/officeDocument/2006/relationships/hyperlink" Id="rId967" Target="https://composio.dev/blog/composio-may-2026-security-incident" TargetMode="External" /><Relationship Type="http://schemas.openxmlformats.org/officeDocument/2006/relationships/hyperlink" Id="rId963" Target="https://composio.dev/blog/two-questions-every-security-review-asks-us" TargetMode="External" /><Relationship Type="http://schemas.openxmlformats.org/officeDocument/2006/relationships/hyperlink" Id="rId965" Target="https://composio.dev/enterprise" TargetMode="External" /><Relationship Type="http://schemas.openxmlformats.org/officeDocument/2006/relationships/hyperlink" Id="rId1168" Target="https://crewai.com/agent-management-platform" TargetMode="External" /><Relationship Type="http://schemas.openxmlformats.org/officeDocument/2006/relationships/hyperlink" Id="rId1164" Target="https://crewai.com/pricing" TargetMode="External" /><Relationship Type="http://schemas.openxmlformats.org/officeDocument/2006/relationships/hyperlink" Id="rId2401" Target="https://cxotoday.com/press-release/check-point-software-technologies-completes-acquisition-of-lakera-to-secure-the-worlds-ai-transformation/" TargetMode="External" /><Relationship Type="http://schemas.openxmlformats.org/officeDocument/2006/relationships/hyperlink" Id="rId2426" Target="https://dataplatform.cloud.ibm.com/docs/content/wsj/openpages/wxgov-aws-iam.html?context=wx" TargetMode="External" /><Relationship Type="http://schemas.openxmlformats.org/officeDocument/2006/relationships/hyperlink" Id="rId2318" Target="https://developer.hashicorp.com/vault/docs/updates/release-notes" TargetMode="External" /><Relationship Type="http://schemas.openxmlformats.org/officeDocument/2006/relationships/hyperlink" Id="rId1757" Target="https://developer.konghq.com/ai-gateway/changelog/" TargetMode="External" /><Relationship Type="http://schemas.openxmlformats.org/officeDocument/2006/relationships/hyperlink" Id="rId1771" Target="https://developer.konghq.com/konnect-platform/authentication/" TargetMode="External" /><Relationship Type="http://schemas.openxmlformats.org/officeDocument/2006/relationships/hyperlink" Id="rId2012" Target="https://developer.meta.com/ai/docs/model-cards-and-prompt-formats/llama-guard-4/" TargetMode="External" /><Relationship Type="http://schemas.openxmlformats.org/officeDocument/2006/relationships/hyperlink" Id="rId1903" Target="https://developers.cloudflare.com/ai-gateway/reference/pricing/" TargetMode="External" /><Relationship Type="http://schemas.openxmlformats.org/officeDocument/2006/relationships/hyperlink" Id="rId267" Target="https://developers.llamaindex.ai/llamaparse/general/enterprise-readiness/access-identity/" TargetMode="External" /><Relationship Type="http://schemas.openxmlformats.org/officeDocument/2006/relationships/hyperlink" Id="rId273" Target="https://developers.llamaindex.ai/llamaparse/general/enterprise-readiness/compliance/" TargetMode="External" /><Relationship Type="http://schemas.openxmlformats.org/officeDocument/2006/relationships/hyperlink" Id="rId277" Target="https://developers.llamaindex.ai/llamaparse/general/pricing/" TargetMode="External" /><Relationship Type="http://schemas.openxmlformats.org/officeDocument/2006/relationships/hyperlink" Id="rId271" Target="https://developers.llamaindex.ai/python/framework/llama_cloud/" TargetMode="External" /><Relationship Type="http://schemas.openxmlformats.org/officeDocument/2006/relationships/hyperlink" Id="rId1679" Target="https://developers.meta.com/blog/meta-connect-recap/" TargetMode="External" /><Relationship Type="http://schemas.openxmlformats.org/officeDocument/2006/relationships/hyperlink" Id="rId1129" Target="https://developers.openai.com/api/docs/changelog" TargetMode="External" /><Relationship Type="http://schemas.openxmlformats.org/officeDocument/2006/relationships/hyperlink" Id="rId1131" Target="https://developers.openai.com/api/docs/deprecations" TargetMode="External" /><Relationship Type="http://schemas.openxmlformats.org/officeDocument/2006/relationships/hyperlink" Id="rId430" Target="https://developers.openai.com/api/docs/guides/your-data" TargetMode="External" /><Relationship Type="http://schemas.openxmlformats.org/officeDocument/2006/relationships/hyperlink" Id="rId424" Target="https://developers.openai.com/api/docs/models/text-embedding-3-large" TargetMode="External" /><Relationship Type="http://schemas.openxmlformats.org/officeDocument/2006/relationships/hyperlink" Id="rId432" Target="https://developers.openai.com/api/docs/models/text-embedding-3-small" TargetMode="External" /><Relationship Type="http://schemas.openxmlformats.org/officeDocument/2006/relationships/hyperlink" Id="rId952" Target="https://developers.openai.com/codex/skills" TargetMode="External" /><Relationship Type="http://schemas.openxmlformats.org/officeDocument/2006/relationships/hyperlink" Id="rId1534" Target="https://digital-strategy.ec.europa.eu/en/policies/contents-code-gpai" TargetMode="External" /><Relationship Type="http://schemas.openxmlformats.org/officeDocument/2006/relationships/hyperlink" Id="rId511" Target="https://docs.api.nvidia.com/nim/docs/product" TargetMode="External" /><Relationship Type="http://schemas.openxmlformats.org/officeDocument/2006/relationships/hyperlink" Id="rId347" Target="https://docs.apify.com/platform/collaboration/organization-account" TargetMode="External" /><Relationship Type="http://schemas.openxmlformats.org/officeDocument/2006/relationships/hyperlink" Id="rId354" Target="https://docs.apify.com/security" TargetMode="External" /><Relationship Type="http://schemas.openxmlformats.org/officeDocument/2006/relationships/hyperlink" Id="rId561" Target="https://docs.aws.amazon.com/AmazonRDS/latest/PostgreSQLReleaseNotes/postgresql-extensions.html" TargetMode="External" /><Relationship Type="http://schemas.openxmlformats.org/officeDocument/2006/relationships/hyperlink" Id="rId656" Target="https://docs.aws.amazon.com/AmazonS3/latest/userguide/s3-vectors-data-encryption.html" TargetMode="External" /><Relationship Type="http://schemas.openxmlformats.org/officeDocument/2006/relationships/hyperlink" Id="rId648" Target="https://docs.aws.amazon.com/AmazonS3/latest/userguide/s3-vectors-limitations.html" TargetMode="External" /><Relationship Type="http://schemas.openxmlformats.org/officeDocument/2006/relationships/hyperlink" Id="rId659" Target="https://docs.aws.amazon.com/AmazonS3/latest/userguide/s3-vectors-logging.html" TargetMode="External" /><Relationship Type="http://schemas.openxmlformats.org/officeDocument/2006/relationships/hyperlink" Id="rId657" Target="https://docs.aws.amazon.com/AmazonS3/latest/userguide/s3-vectors-privatelink.html" TargetMode="External" /><Relationship Type="http://schemas.openxmlformats.org/officeDocument/2006/relationships/hyperlink" Id="rId661" Target="https://docs.aws.amazon.com/AmazonS3/latest/userguide/s3-vectors-regions-quotas.html" TargetMode="External" /><Relationship Type="http://schemas.openxmlformats.org/officeDocument/2006/relationships/hyperlink" Id="rId757" Target="https://docs.aws.amazon.com/bedrock-agentcore/latest/devguide/compliance-validation.html" TargetMode="External" /><Relationship Type="http://schemas.openxmlformats.org/officeDocument/2006/relationships/hyperlink" Id="rId890" Target="https://docs.aws.amazon.com/bedrock-agentcore/latest/devguide/gateway-targets-inference.html" TargetMode="External" /><Relationship Type="http://schemas.openxmlformats.org/officeDocument/2006/relationships/hyperlink" Id="rId766" Target="https://docs.aws.amazon.com/bedrock-agentcore/latest/devguide/release-notes.html" TargetMode="External" /><Relationship Type="http://schemas.openxmlformats.org/officeDocument/2006/relationships/hyperlink" Id="rId1144" Target="https://docs.aws.amazon.com/bedrock-agentcore/latest/devguide/runtime-sessions.html" TargetMode="External" /><Relationship Type="http://schemas.openxmlformats.org/officeDocument/2006/relationships/hyperlink" Id="rId755" Target="https://docs.aws.amazon.com/bedrock-agentcore/latest/devguide/storage-encryption.html" TargetMode="External" /><Relationship Type="http://schemas.openxmlformats.org/officeDocument/2006/relationships/hyperlink" Id="rId2268" Target="https://docs.aws.amazon.com/bedrock/latest/userguide/cost-mgmt-application-inference-profiles.html" TargetMode="External" /><Relationship Type="http://schemas.openxmlformats.org/officeDocument/2006/relationships/hyperlink" Id="rId650" Target="https://docs.aws.amazon.com/bedrock/latest/userguide/knowledge-base-setup.html" TargetMode="External" /><Relationship Type="http://schemas.openxmlformats.org/officeDocument/2006/relationships/hyperlink" Id="rId899" Target="https://docs.browserbase.com/account/team/sso" TargetMode="External" /><Relationship Type="http://schemas.openxmlformats.org/officeDocument/2006/relationships/hyperlink" Id="rId1236" Target="https://docs.claude.com/en/docs/agent-sdk/overview" TargetMode="External" /><Relationship Type="http://schemas.openxmlformats.org/officeDocument/2006/relationships/hyperlink" Id="rId498" Target="https://docs.claude.com/en/docs/build-with-claude/embeddings" TargetMode="External" /><Relationship Type="http://schemas.openxmlformats.org/officeDocument/2006/relationships/hyperlink" Id="rId1778" Target="https://docs.cloud.google.com/apigee/docs/api-platform/get-started/ai-capabilities" TargetMode="External" /><Relationship Type="http://schemas.openxmlformats.org/officeDocument/2006/relationships/hyperlink" Id="rId1784" Target="https://docs.cloud.google.com/apigee/docs/release-notes" TargetMode="External" /><Relationship Type="http://schemas.openxmlformats.org/officeDocument/2006/relationships/hyperlink" Id="rId246" Target="https://docs.cloud.google.com/document-ai/docs/cmek" TargetMode="External" /><Relationship Type="http://schemas.openxmlformats.org/officeDocument/2006/relationships/hyperlink" Id="rId1595" Target="https://docs.cloud.google.com/gemini-enterprise-agent-platform/models/gemini/3-7-flash" TargetMode="External" /><Relationship Type="http://schemas.openxmlformats.org/officeDocument/2006/relationships/hyperlink" Id="rId776" Target="https://docs.cloud.google.com/gemini-enterprise-agent-platform/scale" TargetMode="External" /><Relationship Type="http://schemas.openxmlformats.org/officeDocument/2006/relationships/hyperlink" Id="rId1590" Target="https://docs.cloud.google.com/gemini/docs/discover/certifications" TargetMode="External" /><Relationship Type="http://schemas.openxmlformats.org/officeDocument/2006/relationships/hyperlink" Id="rId414" Target="https://docs.cloud.google.com/generative-ai-app-builder/docs/ranking" TargetMode="External" /><Relationship Type="http://schemas.openxmlformats.org/officeDocument/2006/relationships/hyperlink" Id="rId235" Target="https://docs.cloud.google.com/iam/docs/workforce-console-sso" TargetMode="External" /><Relationship Type="http://schemas.openxmlformats.org/officeDocument/2006/relationships/hyperlink" Id="rId1966" Target="https://docs.cloud.google.com/model-armor/data-residency" TargetMode="External" /><Relationship Type="http://schemas.openxmlformats.org/officeDocument/2006/relationships/hyperlink" Id="rId1967" Target="https://docs.cloud.google.com/model-armor/locations" TargetMode="External" /><Relationship Type="http://schemas.openxmlformats.org/officeDocument/2006/relationships/hyperlink" Id="rId1970" Target="https://docs.cloud.google.com/model-armor/release-notes" TargetMode="External" /><Relationship Type="http://schemas.openxmlformats.org/officeDocument/2006/relationships/hyperlink" Id="rId2063" Target="https://docs.cloud.google.com/sensitive-data-protection/docs/inspect-sensitive-text-de-identify" TargetMode="External" /><Relationship Type="http://schemas.openxmlformats.org/officeDocument/2006/relationships/hyperlink" Id="rId397" Target="https://docs.cloud.google.com/vertex-ai/docs/general/access-control" TargetMode="External" /><Relationship Type="http://schemas.openxmlformats.org/officeDocument/2006/relationships/hyperlink" Id="rId398" Target="https://docs.cloud.google.com/vertex-ai/docs/general/audit-logging" TargetMode="External" /><Relationship Type="http://schemas.openxmlformats.org/officeDocument/2006/relationships/hyperlink" Id="rId774" Target="https://docs.cloud.google.com/vertex-ai/docs/release-notes" TargetMode="External" /><Relationship Type="http://schemas.openxmlformats.org/officeDocument/2006/relationships/hyperlink" Id="rId770" Target="https://docs.cloud.google.com/vertex-ai/generative-ai/docs/agent-engine/memory-bank/overview" TargetMode="External" /><Relationship Type="http://schemas.openxmlformats.org/officeDocument/2006/relationships/hyperlink" Id="rId403" Target="https://docs.cloud.google.com/vertex-ai/generative-ai/docs/learn/data-residency" TargetMode="External" /><Relationship Type="http://schemas.openxmlformats.org/officeDocument/2006/relationships/hyperlink" Id="rId2295" Target="https://docs.cloudzero.com/docs/users-and-permissions" TargetMode="External" /><Relationship Type="http://schemas.openxmlformats.org/officeDocument/2006/relationships/hyperlink" Id="rId741" Target="https://docs.cognee.ai/cognee-cloud/functionality/data-and-security" TargetMode="External" /><Relationship Type="http://schemas.openxmlformats.org/officeDocument/2006/relationships/hyperlink" Id="rId364" Target="https://docs.cohere.com/changelog/embed-v5" TargetMode="External" /><Relationship Type="http://schemas.openxmlformats.org/officeDocument/2006/relationships/hyperlink" Id="rId366" Target="https://docs.cohere.com/changelog/rerank-v4.0" TargetMode="External" /><Relationship Type="http://schemas.openxmlformats.org/officeDocument/2006/relationships/hyperlink" Id="rId377" Target="https://docs.cohere.com/reference/teams-and-roles" TargetMode="External" /><Relationship Type="http://schemas.openxmlformats.org/officeDocument/2006/relationships/hyperlink" Id="rId1176" Target="https://docs.crewai.com/en/enterprise/introduction" TargetMode="External" /><Relationship Type="http://schemas.openxmlformats.org/officeDocument/2006/relationships/hyperlink" Id="rId1162" Target="https://docs.crewai.com/en/introduction" TargetMode="External" /><Relationship Type="http://schemas.openxmlformats.org/officeDocument/2006/relationships/hyperlink" Id="rId192" Target="https://docs.datadoghq.com/account_management/rbac/" TargetMode="External" /><Relationship Type="http://schemas.openxmlformats.org/officeDocument/2006/relationships/hyperlink" Id="rId193" Target="https://docs.datadoghq.com/account_management/saml/configuration/" TargetMode="External" /><Relationship Type="http://schemas.openxmlformats.org/officeDocument/2006/relationships/hyperlink" Id="rId191" Target="https://docs.datadoghq.com/getting_started/site/" TargetMode="External" /><Relationship Type="http://schemas.openxmlformats.org/officeDocument/2006/relationships/hyperlink" Id="rId184" Target="https://docs.datadoghq.com/llm_observability/" TargetMode="External" /><Relationship Type="http://schemas.openxmlformats.org/officeDocument/2006/relationships/hyperlink" Id="rId185" Target="https://docs.datadoghq.com/llm_observability/evaluations/" TargetMode="External" /><Relationship Type="http://schemas.openxmlformats.org/officeDocument/2006/relationships/hyperlink" Id="rId136" Target="https://docs.datadoghq.com/llm_observability/instrumentation/otel_instrumentation/" TargetMode="External" /><Relationship Type="http://schemas.openxmlformats.org/officeDocument/2006/relationships/hyperlink" Id="rId917" Target="https://docs.e2b.dev/sandbox/lifecycle-events-api" TargetMode="External" /><Relationship Type="http://schemas.openxmlformats.org/officeDocument/2006/relationships/hyperlink" Id="rId285" Target="https://docs.firecrawl.dev/enterprise" TargetMode="External" /><Relationship Type="http://schemas.openxmlformats.org/officeDocument/2006/relationships/hyperlink" Id="rId1284" Target="https://docs.fireworks.ai/accounts/sso" TargetMode="External" /><Relationship Type="http://schemas.openxmlformats.org/officeDocument/2006/relationships/hyperlink" Id="rId1291" Target="https://docs.fireworks.ai/guides/security_compliance/data_handling" TargetMode="External" /><Relationship Type="http://schemas.openxmlformats.org/officeDocument/2006/relationships/hyperlink" Id="rId1288" Target="https://docs.fireworks.ai/guides/security_compliance/data_security" TargetMode="External" /><Relationship Type="http://schemas.openxmlformats.org/officeDocument/2006/relationships/hyperlink" Id="rId2392" Target="https://docs.lakera.ai/changelog" TargetMode="External" /><Relationship Type="http://schemas.openxmlformats.org/officeDocument/2006/relationships/hyperlink" Id="rId2396" Target="https://docs.lakera.ai/docs/platform" TargetMode="External" /><Relationship Type="http://schemas.openxmlformats.org/officeDocument/2006/relationships/hyperlink" Id="rId1026" Target="https://docs.langchain.com/langsmith/deployment" TargetMode="External" /><Relationship Type="http://schemas.openxmlformats.org/officeDocument/2006/relationships/hyperlink" Id="rId59" Target="https://docs.langchain.com/langsmith/engine-security" TargetMode="External" /><Relationship Type="http://schemas.openxmlformats.org/officeDocument/2006/relationships/hyperlink" Id="rId52" Target="https://docs.langchain.com/langsmith/platform-setup" TargetMode="External" /><Relationship Type="http://schemas.openxmlformats.org/officeDocument/2006/relationships/hyperlink" Id="rId58" Target="https://docs.langchain.com/langsmith/regions-faq" TargetMode="External" /><Relationship Type="http://schemas.openxmlformats.org/officeDocument/2006/relationships/hyperlink" Id="rId1022" Target="https://docs.langchain.com/langsmith/user-management" TargetMode="External" /><Relationship Type="http://schemas.openxmlformats.org/officeDocument/2006/relationships/hyperlink" Id="rId1020" Target="https://docs.langchain.com/oss/python/langgraph/durable-execution" TargetMode="External" /><Relationship Type="http://schemas.openxmlformats.org/officeDocument/2006/relationships/hyperlink" Id="rId804" Target="https://docs.letta.com/pricing" TargetMode="External" /><Relationship Type="http://schemas.openxmlformats.org/officeDocument/2006/relationships/hyperlink" Id="rId1734" Target="https://docs.litellm.ai/blog/security-update-march-2026" TargetMode="External" /><Relationship Type="http://schemas.openxmlformats.org/officeDocument/2006/relationships/hyperlink" Id="rId1732" Target="https://docs.litellm.ai/blog/soc2-type-2-report" TargetMode="External" /><Relationship Type="http://schemas.openxmlformats.org/officeDocument/2006/relationships/hyperlink" Id="rId1727" Target="https://docs.litellm.ai/docs/mcp" TargetMode="External" /><Relationship Type="http://schemas.openxmlformats.org/officeDocument/2006/relationships/hyperlink" Id="rId1735" Target="https://docs.litellm.ai/release_notes/v1.83.0/v1-83-0" TargetMode="External" /><Relationship Type="http://schemas.openxmlformats.org/officeDocument/2006/relationships/hyperlink" Id="rId734" Target="https://docs.mem0.ai/migration/oss-v2-to-v3" TargetMode="External" /><Relationship Type="http://schemas.openxmlformats.org/officeDocument/2006/relationships/hyperlink" Id="rId722" Target="https://docs.mem0.ai/platform/platform-vs-oss" TargetMode="External" /><Relationship Type="http://schemas.openxmlformats.org/officeDocument/2006/relationships/hyperlink" Id="rId251" Target="https://docs.mistral.ai/admin/security-access/audit-logs" TargetMode="External" /><Relationship Type="http://schemas.openxmlformats.org/officeDocument/2006/relationships/hyperlink" Id="rId250" Target="https://docs.mistral.ai/admin/set-up-organization/sign-in-method/saml-sso" TargetMode="External" /><Relationship Type="http://schemas.openxmlformats.org/officeDocument/2006/relationships/hyperlink" Id="rId1532" Target="https://docs.mistral.ai/models" TargetMode="External" /><Relationship Type="http://schemas.openxmlformats.org/officeDocument/2006/relationships/hyperlink" Id="rId1523" Target="https://docs.mistral.ai/models/model-cards/mistral-medium-3-5-26-04" TargetMode="External" /><Relationship Type="http://schemas.openxmlformats.org/officeDocument/2006/relationships/hyperlink" Id="rId254" Target="https://docs.mistral.ai/models/ocr-4-1" TargetMode="External" /><Relationship Type="http://schemas.openxmlformats.org/officeDocument/2006/relationships/hyperlink" Id="rId261" Target="https://docs.mistral.ai/resources/changelogs" TargetMode="External" /><Relationship Type="http://schemas.openxmlformats.org/officeDocument/2006/relationships/hyperlink" Id="rId1933" Target="https://docs.nvidia.com/ai-enterprise/planning-resource/licensing-guide/latest/pricing.html" TargetMode="External" /><Relationship Type="http://schemas.openxmlformats.org/officeDocument/2006/relationships/hyperlink" Id="rId1422" Target="https://docs.nvidia.com/dynamo/dev/reference/enterprise/support-coverage" TargetMode="External" /><Relationship Type="http://schemas.openxmlformats.org/officeDocument/2006/relationships/hyperlink" Id="rId1923" Target="https://docs.nvidia.com/nemo/guardrails/latest/about/release-notes.html" TargetMode="External" /><Relationship Type="http://schemas.openxmlformats.org/officeDocument/2006/relationships/hyperlink" Id="rId1926" Target="https://docs.nvidia.com/nemo/microservices/25.11.0/guardrails/index.html" TargetMode="External" /><Relationship Type="http://schemas.openxmlformats.org/officeDocument/2006/relationships/hyperlink" Id="rId509" Target="https://docs.nvidia.com/nim/nemo-retriever/embedding/2.2/release-notes.html" TargetMode="External" /><Relationship Type="http://schemas.openxmlformats.org/officeDocument/2006/relationships/hyperlink" Id="rId514" Target="https://docs.nvidia.com/nim/nemo-retriever/embedding/2.3/eula.html" TargetMode="External" /><Relationship Type="http://schemas.openxmlformats.org/officeDocument/2006/relationships/hyperlink" Id="rId508" Target="https://docs.nvidia.com/nim/nemo-retriever/embedding/2.3/getting-started.html" TargetMode="External" /><Relationship Type="http://schemas.openxmlformats.org/officeDocument/2006/relationships/hyperlink" Id="rId507" Target="https://docs.nvidia.com/nim/nemo-retriever/text-reranking/latest/release-notes.html" TargetMode="External" /><Relationship Type="http://schemas.openxmlformats.org/officeDocument/2006/relationships/hyperlink" Id="rId1443" Target="https://docs.ollama.com/faq" TargetMode="External" /><Relationship Type="http://schemas.openxmlformats.org/officeDocument/2006/relationships/hyperlink" Id="rId2361" Target="https://docs.paloaltonetworks.com/ai-runtime-security/activation-and-onboarding/activate-your-ai-runtime-security-license" TargetMode="External" /><Relationship Type="http://schemas.openxmlformats.org/officeDocument/2006/relationships/hyperlink" Id="rId2368" Target="https://docs.paloaltonetworks.com/ai-runtime-security/activation-and-onboarding/prisma-airs-supported-regions" TargetMode="External" /><Relationship Type="http://schemas.openxmlformats.org/officeDocument/2006/relationships/hyperlink" Id="rId2357" Target="https://docs.paloaltonetworks.com/ai-runtime-security/new-features/by-date/prisma-airs/august-2026" TargetMode="External" /><Relationship Type="http://schemas.openxmlformats.org/officeDocument/2006/relationships/hyperlink" Id="rId2363" Target="https://docs.paloaltonetworks.com/common-services/identity-and-access-access-management/manage-identity-and-access/about-roles-and-permissions" TargetMode="External" /><Relationship Type="http://schemas.openxmlformats.org/officeDocument/2006/relationships/hyperlink" Id="rId601" Target="https://docs.pinecone.io/guides/production/bring-your-own-cloud" TargetMode="External" /><Relationship Type="http://schemas.openxmlformats.org/officeDocument/2006/relationships/hyperlink" Id="rId598" Target="https://docs.pinecone.io/guides/production/security-overview" TargetMode="External" /><Relationship Type="http://schemas.openxmlformats.org/officeDocument/2006/relationships/hyperlink" Id="rId603" Target="https://docs.pinecone.io/release-notes/2026" TargetMode="External" /><Relationship Type="http://schemas.openxmlformats.org/officeDocument/2006/relationships/hyperlink" Id="rId2231" Target="https://docs.promptlayer.com/features/faq" TargetMode="External" /><Relationship Type="http://schemas.openxmlformats.org/officeDocument/2006/relationships/hyperlink" Id="rId2092" Target="https://docs.protegrity.com/10.1/docs/pmg/_print/" TargetMode="External" /><Relationship Type="http://schemas.openxmlformats.org/officeDocument/2006/relationships/hyperlink" Id="rId1378" Target="https://docs.redhat.com/en/documentation/red_hat_ai/3/html/supported_product_and_hardware_configurations/llmd-supported-platforms_supported-configurations" TargetMode="External" /><Relationship Type="http://schemas.openxmlformats.org/officeDocument/2006/relationships/hyperlink" Id="rId1261" Target="https://docs.redhat.com/en/documentation/red_hat_ai_inference/3.4/html/release_notes/rhaii-340-ga-release-notes_release-notes" TargetMode="External" /><Relationship Type="http://schemas.openxmlformats.org/officeDocument/2006/relationships/hyperlink" Id="rId317" Target="https://docs.reducto.ai/enterprise/enterprise-readiness" TargetMode="External" /><Relationship Type="http://schemas.openxmlformats.org/officeDocument/2006/relationships/hyperlink" Id="rId2441" Target="https://docs.selfhost.credo.ai/docs/self-hosted/installation/common/" TargetMode="External" /><Relationship Type="http://schemas.openxmlformats.org/officeDocument/2006/relationships/hyperlink" Id="rId1048" Target="https://docs.temporal.io/cloud/manage-access" TargetMode="External" /><Relationship Type="http://schemas.openxmlformats.org/officeDocument/2006/relationships/hyperlink" Id="rId1354" Target="https://docs.together.ai/docs/inference/pricing" TargetMode="External" /><Relationship Type="http://schemas.openxmlformats.org/officeDocument/2006/relationships/hyperlink" Id="rId1356" Target="https://docs.together.ai/docs/sso" TargetMode="External" /><Relationship Type="http://schemas.openxmlformats.org/officeDocument/2006/relationships/hyperlink" Id="rId1361" Target="https://docs.together.ai/docs/zero-data-retention" TargetMode="External" /><Relationship Type="http://schemas.openxmlformats.org/officeDocument/2006/relationships/hyperlink" Id="rId698" Target="https://docs.trychroma.com/cloud/getting-started" TargetMode="External" /><Relationship Type="http://schemas.openxmlformats.org/officeDocument/2006/relationships/hyperlink" Id="rId695" Target="https://docs.trychroma.com/docs/overview/migration" TargetMode="External" /><Relationship Type="http://schemas.openxmlformats.org/officeDocument/2006/relationships/hyperlink" Id="rId223" Target="https://docs.unstructured.io/api-reference/overview" TargetMode="External" /><Relationship Type="http://schemas.openxmlformats.org/officeDocument/2006/relationships/hyperlink" Id="rId214" Target="https://docs.unstructured.io/business/idp/overview" TargetMode="External" /><Relationship Type="http://schemas.openxmlformats.org/officeDocument/2006/relationships/hyperlink" Id="rId230" Target="https://docs.unstructured.io/transform/billing" TargetMode="External" /><Relationship Type="http://schemas.openxmlformats.org/officeDocument/2006/relationships/hyperlink" Id="rId219" Target="https://docs.unstructured.io/transform/first-request" TargetMode="External" /><Relationship Type="http://schemas.openxmlformats.org/officeDocument/2006/relationships/hyperlink" Id="rId2482" Target="https://docs.validmind.ai/guide/attestation/working-with-attestations.html" TargetMode="External" /><Relationship Type="http://schemas.openxmlformats.org/officeDocument/2006/relationships/hyperlink" Id="rId487" Target="https://docs.voyageai.com/docs/aws-marketplace-model-package" TargetMode="External" /><Relationship Type="http://schemas.openxmlformats.org/officeDocument/2006/relationships/hyperlink" Id="rId153" Target="https://docs.wandb.ai/weave/guides/platform" TargetMode="External" /><Relationship Type="http://schemas.openxmlformats.org/officeDocument/2006/relationships/hyperlink" Id="rId151" Target="https://docs.wandb.ai/weave/guides/tracking/otel" TargetMode="External" /><Relationship Type="http://schemas.openxmlformats.org/officeDocument/2006/relationships/hyperlink" Id="rId621" Target="https://docs.weaviate.io/deploy/configuration/configuring-rbac" TargetMode="External" /><Relationship Type="http://schemas.openxmlformats.org/officeDocument/2006/relationships/hyperlink" Id="rId1612" Target="https://docs.x.ai/developers/faq/security" TargetMode="External" /><Relationship Type="http://schemas.openxmlformats.org/officeDocument/2006/relationships/hyperlink" Id="rId1607" Target="https://docs.x.ai/developers/grok-4-7" TargetMode="External" /><Relationship Type="http://schemas.openxmlformats.org/officeDocument/2006/relationships/hyperlink" Id="rId1672" Target="https://docs.z.ai/legal-agreement/privacy-policy" TargetMode="External" /><Relationship Type="http://schemas.openxmlformats.org/officeDocument/2006/relationships/hyperlink" Id="rId548" Target="https://docs.zilliz.com/docs/access-control" TargetMode="External" /><Relationship Type="http://schemas.openxmlformats.org/officeDocument/2006/relationships/hyperlink" Id="rId925" Target="https://e2b.dev/blog/series-a" TargetMode="External" /><Relationship Type="http://schemas.openxmlformats.org/officeDocument/2006/relationships/hyperlink" Id="rId920" Target="https://e2b.dev/enterprise" TargetMode="External" /><Relationship Type="http://schemas.openxmlformats.org/officeDocument/2006/relationships/hyperlink" Id="rId919" Target="https://e2b.dev/security" TargetMode="External" /><Relationship Type="http://schemas.openxmlformats.org/officeDocument/2006/relationships/hyperlink" Id="rId983" Target="https://exa.ai/docs/reference/security" TargetMode="External" /><Relationship Type="http://schemas.openxmlformats.org/officeDocument/2006/relationships/hyperlink" Id="rId1283" Target="https://fireworks.ai/pricing" TargetMode="External" /><Relationship Type="http://schemas.openxmlformats.org/officeDocument/2006/relationships/hyperlink" Id="rId2254" Target="https://focus.finops.org/focus-1-5-release-scope/" TargetMode="External" /><Relationship Type="http://schemas.openxmlformats.org/officeDocument/2006/relationships/hyperlink" Id="rId1750" Target="https://futuresearch.ai/blog/litellm-pypi-supply-chain-attack/" TargetMode="External" /><Relationship Type="http://schemas.openxmlformats.org/officeDocument/2006/relationships/hyperlink" Id="rId953" Target="https://geminicli.com/docs/cli/skills/" TargetMode="External" /><Relationship Type="http://schemas.openxmlformats.org/officeDocument/2006/relationships/hyperlink" Id="rId947" Target="https://github.com/aaif/project-proposals/issues/47" TargetMode="External" /><Relationship Type="http://schemas.openxmlformats.org/officeDocument/2006/relationships/hyperlink" Id="rId1310" Target="https://github.com/advisories/GHSA-rgq9-fqf5-fv58" TargetMode="External" /><Relationship Type="http://schemas.openxmlformats.org/officeDocument/2006/relationships/hyperlink" Id="rId1024" Target="https://github.com/langchain-ai/langgraph/security" TargetMode="External" /><Relationship Type="http://schemas.openxmlformats.org/officeDocument/2006/relationships/hyperlink" Id="rId852" Target="https://github.com/modelcontextprotocol/registry" TargetMode="External" /><Relationship Type="http://schemas.openxmlformats.org/officeDocument/2006/relationships/hyperlink" Id="rId847" Target="https://github.com/modelcontextprotocol/typescript-sdk/security/advisories" TargetMode="External" /><Relationship Type="http://schemas.openxmlformats.org/officeDocument/2006/relationships/hyperlink" Id="rId555" Target="https://github.com/pgvector/pgvector/blob/master/CHANGELOG.md" TargetMode="External" /><Relationship Type="http://schemas.openxmlformats.org/officeDocument/2006/relationships/hyperlink" Id="rId570" Target="https://github.com/qdrant/qdrant/blob/master/LICENSE" TargetMode="External" /><Relationship Type="http://schemas.openxmlformats.org/officeDocument/2006/relationships/hyperlink" Id="rId572" Target="https://github.com/qdrant/qdrant/releases" TargetMode="External" /><Relationship Type="http://schemas.openxmlformats.org/officeDocument/2006/relationships/hyperlink" Id="rId1052" Target="https://github.com/temporalio/temporal" TargetMode="External" /><Relationship Type="http://schemas.openxmlformats.org/officeDocument/2006/relationships/hyperlink" Id="rId1263" Target="https://github.com/vllm-project/vllm/security/advisories" TargetMode="External" /><Relationship Type="http://schemas.openxmlformats.org/officeDocument/2006/relationships/hyperlink" Id="rId615" Target="https://github.com/weaviate/weaviate" TargetMode="External" /><Relationship Type="http://schemas.openxmlformats.org/officeDocument/2006/relationships/hyperlink" Id="rId614" Target="https://github.com/weaviate/weaviate/releases" TargetMode="External" /><Relationship Type="http://schemas.openxmlformats.org/officeDocument/2006/relationships/hyperlink" Id="rId2010" Target="https://guardrailsai.com/guardrails/docs/concepts/validators" TargetMode="External" /><Relationship Type="http://schemas.openxmlformats.org/officeDocument/2006/relationships/hyperlink" Id="rId2041" Target="https://guardrailsai.com/guardrails/docs/migration-guides/0-11-migration" TargetMode="External" /><Relationship Type="http://schemas.openxmlformats.org/officeDocument/2006/relationships/hyperlink" Id="rId709" Target="https://help.getzep.com/governance" TargetMode="External" /><Relationship Type="http://schemas.openxmlformats.org/officeDocument/2006/relationships/hyperlink" Id="rId263" Target="https://help.mistral.ai/en/articles/347638-do-you-have-soc-2-or-iso-27001-certification" TargetMode="External" /><Relationship Type="http://schemas.openxmlformats.org/officeDocument/2006/relationships/hyperlink" Id="rId2135" Target="https://help.okta.com/OIE/en-us/content/topics/ai-agents/ai-agent-add-manually.htm" TargetMode="External" /><Relationship Type="http://schemas.openxmlformats.org/officeDocument/2006/relationships/hyperlink" Id="rId2136" Target="https://help.okta.com/oie/en-us/content/topics/ai-agents/ai-agents-home.htm" TargetMode="External" /><Relationship Type="http://schemas.openxmlformats.org/officeDocument/2006/relationships/hyperlink" Id="rId1506" Target="https://help.openai.com/en/articles/6825453-chatgpt-release-notes" TargetMode="External" /><Relationship Type="http://schemas.openxmlformats.org/officeDocument/2006/relationships/hyperlink" Id="rId420" Target="https://help.openai.com/en/articles/9534785-configuring-sso" TargetMode="External" /><Relationship Type="http://schemas.openxmlformats.org/officeDocument/2006/relationships/hyperlink" Id="rId422" Target="https://help.openai.com/en/articles/9687866-admin-and-audit-logs-api-for-the-api-platform" TargetMode="External" /><Relationship Type="http://schemas.openxmlformats.org/officeDocument/2006/relationships/hyperlink" Id="rId1001" Target="https://help.tavily.com/articles/7788853762-team-roles-and-permissions-owner-admin-member" TargetMode="External" /><Relationship Type="http://schemas.openxmlformats.org/officeDocument/2006/relationships/hyperlink" Id="rId2377" Target="https://hiddenlayer.com/aws" TargetMode="External" /><Relationship Type="http://schemas.openxmlformats.org/officeDocument/2006/relationships/hyperlink" Id="rId2420" Target="https://hub.docker.com/v2/repositories/marquezproject/marquez/tags?page_size=5&amp;ordering=last_updated" TargetMode="External" /><Relationship Type="http://schemas.openxmlformats.org/officeDocument/2006/relationships/hyperlink" Id="rId387" Target="https://huggingface.co/blog/sentence-transformers-joins-hf" TargetMode="External" /><Relationship Type="http://schemas.openxmlformats.org/officeDocument/2006/relationships/hyperlink" Id="rId2332" Target="https://huggingface.co/docs/hub/security" TargetMode="External" /><Relationship Type="http://schemas.openxmlformats.org/officeDocument/2006/relationships/hyperlink" Id="rId1351" Target="https://huggingface.co/docs/inference-endpoints/en/security" TargetMode="External" /><Relationship Type="http://schemas.openxmlformats.org/officeDocument/2006/relationships/hyperlink" Id="rId1575" Target="https://huggingface.co/google/gemma-4-31B-it" TargetMode="External" /><Relationship Type="http://schemas.openxmlformats.org/officeDocument/2006/relationships/hyperlink" Id="rId2001" Target="https://huggingface.co/meta-llama/Llama-Guard-4-12B" TargetMode="External" /><Relationship Type="http://schemas.openxmlformats.org/officeDocument/2006/relationships/hyperlink" Id="rId1678" Target="https://huggingface.co/meta-models/Muse-Glimmer-30B" TargetMode="External" /><Relationship Type="http://schemas.openxmlformats.org/officeDocument/2006/relationships/hyperlink" Id="rId1713" Target="https://huggingface.co/moonshotai/Kimi-K3" TargetMode="External" /><Relationship Type="http://schemas.openxmlformats.org/officeDocument/2006/relationships/hyperlink" Id="rId466" Target="https://huggingface.co/papers/2601.04720" TargetMode="External" /><Relationship Type="http://schemas.openxmlformats.org/officeDocument/2006/relationships/hyperlink" Id="rId1658" Target="https://huggingface.co/zai-org/GLM-5.3" TargetMode="External" /><Relationship Type="http://schemas.openxmlformats.org/officeDocument/2006/relationships/hyperlink" Id="rId1463" Target="https://inference-docs.cerebras.ai/console/overview" TargetMode="External" /><Relationship Type="http://schemas.openxmlformats.org/officeDocument/2006/relationships/hyperlink" Id="rId1461" Target="https://inference-docs.cerebras.ai/support/pricing" TargetMode="External" /><Relationship Type="http://schemas.openxmlformats.org/officeDocument/2006/relationships/hyperlink" Id="rId1467" Target="https://investors.cerebras.ai/news-releases/news-release-details/cerebras-systems-accelerates-european-expansion-200mw-ai-compute" TargetMode="External" /><Relationship Type="http://schemas.openxmlformats.org/officeDocument/2006/relationships/hyperlink" Id="rId159" Target="https://investors.coreweave.com/news/news-details/2025/CoreWeave-Completes-Acquisition-of-Weights--Biases/default.aspx" TargetMode="External" /><Relationship Type="http://schemas.openxmlformats.org/officeDocument/2006/relationships/hyperlink" Id="rId489" Target="https://investors.mongodb.com/news-releases/news-release-details/mongodb-announces-acquisition-voyage-ai-enable-organizations" TargetMode="External" /><Relationship Type="http://schemas.openxmlformats.org/officeDocument/2006/relationships/hyperlink" Id="rId633" Target="https://investors.mongodb.com/news-releases/news-release-details/mongodb-delivers-accurate-ai-retrieval-wherever-enterprise-data" TargetMode="External" /><Relationship Type="http://schemas.openxmlformats.org/officeDocument/2006/relationships/hyperlink" Id="rId98" Target="https://ir.dynatrace.com/news-events/press-releases/detail/439/dynatrace-completes-acquisition-of-arize-extending-ai-observability-across-the-full-development-lifecycle" TargetMode="External" /><Relationship Type="http://schemas.openxmlformats.org/officeDocument/2006/relationships/hyperlink" Id="rId445" Target="https://ir.elastic.co/News--Events/news/news-details/2025/Elastic-Completes-Acquisition-of-Jina-AI-a-Leader-in-Frontier-Models-for-Multimodal-and-Multilingual-Search/default.aspx" TargetMode="External" /><Relationship Type="http://schemas.openxmlformats.org/officeDocument/2006/relationships/hyperlink" Id="rId448" Target="https://jina.ai/en-US/news/jina-reranker-v3-5-faster-listwise-reranking-hybrid-attention-self-distillation/" TargetMode="External" /><Relationship Type="http://schemas.openxmlformats.org/officeDocument/2006/relationships/hyperlink" Id="rId394" Target="https://jina.ai/legal/" TargetMode="External" /><Relationship Type="http://schemas.openxmlformats.org/officeDocument/2006/relationships/hyperlink" Id="rId449" Target="https://jina.ai/models/jina-embeddings-v5-text-small/" TargetMode="External" /><Relationship Type="http://schemas.openxmlformats.org/officeDocument/2006/relationships/hyperlink" Id="rId447" Target="https://jina.ai/news/jina-embeddings-v5-omni-multimodal-embeddings-for-text-image-audio-and-video/" TargetMode="External" /><Relationship Type="http://schemas.openxmlformats.org/officeDocument/2006/relationships/hyperlink" Id="rId1756" Target="https://konghq.com/blog/product-releases/kong-ai-gateway-2-0-ga" TargetMode="External" /><Relationship Type="http://schemas.openxmlformats.org/officeDocument/2006/relationships/hyperlink" Id="rId1761" Target="https://konghq.com/solutions/startup-program" TargetMode="External" /><Relationship Type="http://schemas.openxmlformats.org/officeDocument/2006/relationships/hyperlink" Id="rId871" Target="https://labs.cloudsecurityalliance.org/research/csa-research-note-mcp-tool-poisoning-auto-execution-20260701/" TargetMode="External" /><Relationship Type="http://schemas.openxmlformats.org/officeDocument/2006/relationships/hyperlink" Id="rId33" Target="https://langfuse.com/integrations/native/opentelemetry" TargetMode="External" /><Relationship Type="http://schemas.openxmlformats.org/officeDocument/2006/relationships/hyperlink" Id="rId42" Target="https://langfuse.com/pricing" TargetMode="External" /><Relationship Type="http://schemas.openxmlformats.org/officeDocument/2006/relationships/hyperlink" Id="rId36" Target="https://langfuse.com/pricing-self-host" TargetMode="External" /><Relationship Type="http://schemas.openxmlformats.org/officeDocument/2006/relationships/hyperlink" Id="rId39" Target="https://langfuse.com/security" TargetMode="External" /><Relationship Type="http://schemas.openxmlformats.org/officeDocument/2006/relationships/hyperlink" Id="rId40" Target="https://langfuse.com/security/data-regions" TargetMode="External" /><Relationship Type="http://schemas.openxmlformats.org/officeDocument/2006/relationships/hyperlink" Id="rId2236" Target="https://launchdarkly.com/blog/introducing-agentcontrol/" TargetMode="External" /><Relationship Type="http://schemas.openxmlformats.org/officeDocument/2006/relationships/hyperlink" Id="rId2237" Target="https://launchdarkly.com/docs/api/agentcontrol" TargetMode="External" /><Relationship Type="http://schemas.openxmlformats.org/officeDocument/2006/relationships/hyperlink" Id="rId2243" Target="https://launchdarkly.com/docs/api/audit-log" TargetMode="External" /><Relationship Type="http://schemas.openxmlformats.org/officeDocument/2006/relationships/hyperlink" Id="rId2242" Target="https://launchdarkly.com/docs/guides/account/sso" TargetMode="External" /><Relationship Type="http://schemas.openxmlformats.org/officeDocument/2006/relationships/hyperlink" Id="rId2245" Target="https://launchdarkly.com/pricing/" TargetMode="External" /><Relationship Type="http://schemas.openxmlformats.org/officeDocument/2006/relationships/hyperlink" Id="rId2240" Target="https://launchdarkly.com/security/" TargetMode="External" /><Relationship Type="http://schemas.openxmlformats.org/officeDocument/2006/relationships/hyperlink" Id="rId1071" Target="https://learn.microsoft.com/en-us/agent-framework/hosting/foundry-hosted-agent" TargetMode="External" /><Relationship Type="http://schemas.openxmlformats.org/officeDocument/2006/relationships/hyperlink" Id="rId2075" Target="https://learn.microsoft.com/en-us/answers/questions/5813926/dspm-for-ai-with-business-premium-add-on" TargetMode="External" /><Relationship Type="http://schemas.openxmlformats.org/officeDocument/2006/relationships/hyperlink" Id="rId1845" Target="https://learn.microsoft.com/en-us/azure/api-management/ai-gateway-overview" TargetMode="External" /><Relationship Type="http://schemas.openxmlformats.org/officeDocument/2006/relationships/hyperlink" Id="rId1850" Target="https://learn.microsoft.com/en-us/azure/compliance/offerings/offering-iso-27001" TargetMode="External" /><Relationship Type="http://schemas.openxmlformats.org/officeDocument/2006/relationships/hyperlink" Id="rId1851" Target="https://learn.microsoft.com/en-us/azure/compliance/offerings/offering-soc-2" TargetMode="External" /><Relationship Type="http://schemas.openxmlformats.org/officeDocument/2006/relationships/hyperlink" Id="rId2269" Target="https://learn.microsoft.com/en-us/azure/foundry/concepts/manage-costs" TargetMode="External" /><Relationship Type="http://schemas.openxmlformats.org/officeDocument/2006/relationships/hyperlink" Id="rId1987" Target="https://learn.microsoft.com/en-us/azure/foundry/guardrails/guardrails-overview" TargetMode="External" /><Relationship Type="http://schemas.openxmlformats.org/officeDocument/2006/relationships/hyperlink" Id="rId562" Target="https://learn.microsoft.com/en-us/azure/postgresql/extensions/how-to-use-pgvector" TargetMode="External" /><Relationship Type="http://schemas.openxmlformats.org/officeDocument/2006/relationships/hyperlink" Id="rId2072" Target="https://learn.microsoft.com/en-us/compliance/regulatory/offering-iso-27001" TargetMode="External" /><Relationship Type="http://schemas.openxmlformats.org/officeDocument/2006/relationships/hyperlink" Id="rId2159" Target="https://learn.microsoft.com/en-us/entra/fundamentals/whats-new" TargetMode="External" /><Relationship Type="http://schemas.openxmlformats.org/officeDocument/2006/relationships/hyperlink" Id="rId2070" Target="https://learn.microsoft.com/en-us/purview/dspm-for-ai-considerations" TargetMode="External" /><Relationship Type="http://schemas.openxmlformats.org/officeDocument/2006/relationships/hyperlink" Id="rId2069" Target="https://learn.microsoft.com/en-us/purview/whats-new" TargetMode="External" /><Relationship Type="http://schemas.openxmlformats.org/officeDocument/2006/relationships/hyperlink" Id="rId205" Target="https://lfaidata.foundation/projects/docling/" TargetMode="External" /><Relationship Type="http://schemas.openxmlformats.org/officeDocument/2006/relationships/hyperlink" Id="rId322" Target="https://llms.reducto.ai/trust-center-on-prem-zero-retention-hipaa-soc2-baa" TargetMode="External" /><Relationship Type="http://schemas.openxmlformats.org/officeDocument/2006/relationships/hyperlink" Id="rId1485" Target="https://lmstudio.ai/blog/free-for-work" TargetMode="External" /><Relationship Type="http://schemas.openxmlformats.org/officeDocument/2006/relationships/hyperlink" Id="rId1562" Target="https://media.cadc.uscourts.gov/opinions/docs/2026/09/26-1049-2194984.pdf" TargetMode="External" /><Relationship Type="http://schemas.openxmlformats.org/officeDocument/2006/relationships/hyperlink" Id="rId729" Target="https://mem0.ai/guide/enterprise-ai-memory-security-review-options" TargetMode="External" /><Relationship Type="http://schemas.openxmlformats.org/officeDocument/2006/relationships/hyperlink" Id="rId730" Target="https://mem0.ai/guide/solving-soc-2-compliance-enterprise-ai-memory" TargetMode="External" /><Relationship Type="http://schemas.openxmlformats.org/officeDocument/2006/relationships/hyperlink" Id="rId539" Target="https://milvus.io/docs/release_notes.md" TargetMode="External" /><Relationship Type="http://schemas.openxmlformats.org/officeDocument/2006/relationships/hyperlink" Id="rId1242" Target="https://mistral.ai/news/agents-api/" TargetMode="External" /><Relationship Type="http://schemas.openxmlformats.org/officeDocument/2006/relationships/hyperlink" Id="rId1524" Target="https://mistral.ai/news/mistral-large-4/" TargetMode="External" /><Relationship Type="http://schemas.openxmlformats.org/officeDocument/2006/relationships/hyperlink" Id="rId256" Target="https://mistral.ai/news/ocr-4/" TargetMode="External" /><Relationship Type="http://schemas.openxmlformats.org/officeDocument/2006/relationships/hyperlink" Id="rId1055" Target="https://mistral.ai/news/workflows/" TargetMode="External" /><Relationship Type="http://schemas.openxmlformats.org/officeDocument/2006/relationships/hyperlink" Id="rId1650" Target="https://natlawreview.com/article/three-states-ban-deepseek-use-state-devices-and-networks" TargetMode="External" /><Relationship Type="http://schemas.openxmlformats.org/officeDocument/2006/relationships/hyperlink" Id="rId2324" Target="https://newsroom.ibm.com/2025-02-27-ibm-completes-acquisition-of-hashicorp,-creates-comprehensive,-end-to-end-hybrid-cloud-platform" TargetMode="External" /><Relationship Type="http://schemas.openxmlformats.org/officeDocument/2006/relationships/hyperlink" Id="rId1311" Target="https://nvd.nist.gov/vuln/detail/CVE-2026-3059" TargetMode="External" /><Relationship Type="http://schemas.openxmlformats.org/officeDocument/2006/relationships/hyperlink" Id="rId1448" Target="https://ollama.com/pricing" TargetMode="External" /><Relationship Type="http://schemas.openxmlformats.org/officeDocument/2006/relationships/hyperlink" Id="rId127" Target="https://openai.com/blog/openai-to-acquire-promptfoo" TargetMode="External" /><Relationship Type="http://schemas.openxmlformats.org/officeDocument/2006/relationships/hyperlink" Id="rId1501" Target="https://openai.com/index/gpt-6-astra/" TargetMode="External" /><Relationship Type="http://schemas.openxmlformats.org/officeDocument/2006/relationships/hyperlink" Id="rId1503" Target="https://openai.com/index/introducing-gpt-oss/" TargetMode="External" /><Relationship Type="http://schemas.openxmlformats.org/officeDocument/2006/relationships/hyperlink" Id="rId425" Target="https://openai.com/index/new-embedding-models-and-api-updates/" TargetMode="External" /><Relationship Type="http://schemas.openxmlformats.org/officeDocument/2006/relationships/hyperlink" Id="rId126" Target="https://openai.com/index/openai-to-acquire-promptfoo/" TargetMode="External" /><Relationship Type="http://schemas.openxmlformats.org/officeDocument/2006/relationships/hyperlink" Id="rId1500" Target="https://openai.com/index/previewing-gpt-5-6-sol/" TargetMode="External" /><Relationship Type="http://schemas.openxmlformats.org/officeDocument/2006/relationships/hyperlink" Id="rId1124" Target="https://openai.com/index/the-next-evolution-of-the-agents-sdk/" TargetMode="External" /><Relationship Type="http://schemas.openxmlformats.org/officeDocument/2006/relationships/hyperlink" Id="rId429" Target="https://openai.com/security-and-privacy/" TargetMode="External" /><Relationship Type="http://schemas.openxmlformats.org/officeDocument/2006/relationships/hyperlink" Id="rId1054" Target="https://openai.github.io/openai-agents-python/" TargetMode="External" /><Relationship Type="http://schemas.openxmlformats.org/officeDocument/2006/relationships/hyperlink" Id="rId1409" Target="https://openrouter.ai/blog/announcements/simplifying-our-platform-fee/" TargetMode="External" /><Relationship Type="http://schemas.openxmlformats.org/officeDocument/2006/relationships/hyperlink" Id="rId1399" Target="https://openrouter.ai/blog/announcements/us-in-region-routing/" TargetMode="External" /><Relationship Type="http://schemas.openxmlformats.org/officeDocument/2006/relationships/hyperlink" Id="rId1410" Target="https://openrouter.ai/business" TargetMode="External" /><Relationship Type="http://schemas.openxmlformats.org/officeDocument/2006/relationships/hyperlink" Id="rId532" Target="https://opensearch.org/releases/" TargetMode="External" /><Relationship Type="http://schemas.openxmlformats.org/officeDocument/2006/relationships/hyperlink" Id="rId2347" Target="https://openssf.org/blog/2025/04/04/launch-of-model-signing-v1-0-openssf-ai-ml-working-group-secures-the-machine-learning-supply-chain/" TargetMode="External" /><Relationship Type="http://schemas.openxmlformats.org/officeDocument/2006/relationships/hyperlink" Id="rId869" Target="https://owasp.org/www-project-mcp-top-10/2025/MCP03-2025%E2%80%93Tool-Poisoning" TargetMode="External" /><Relationship Type="http://schemas.openxmlformats.org/officeDocument/2006/relationships/hyperlink" Id="rId1556" Target="https://platform.claude.com/docs/en/about-claude/pricing" TargetMode="External" /><Relationship Type="http://schemas.openxmlformats.org/officeDocument/2006/relationships/hyperlink" Id="rId1231" Target="https://platform.claude.com/docs/en/agent-sdk/migration-guide" TargetMode="External" /><Relationship Type="http://schemas.openxmlformats.org/officeDocument/2006/relationships/hyperlink" Id="rId1555" Target="https://platform.claude.com/docs/en/build-with-claude/data-residency" TargetMode="External" /><Relationship Type="http://schemas.openxmlformats.org/officeDocument/2006/relationships/hyperlink" Id="rId1221" Target="https://platform.claude.com/docs/en/build-with-claude/zero-data-retention" TargetMode="External" /><Relationship Type="http://schemas.openxmlformats.org/officeDocument/2006/relationships/hyperlink" Id="rId1552" Target="https://platform.claude.com/docs/en/manage-claude/api-and-data-retention" TargetMode="External" /><Relationship Type="http://schemas.openxmlformats.org/officeDocument/2006/relationships/hyperlink" Id="rId1551" Target="https://platform.claude.com/docs/en/manage-claude/data-residency" TargetMode="External" /><Relationship Type="http://schemas.openxmlformats.org/officeDocument/2006/relationships/hyperlink" Id="rId2267" Target="https://platform.claude.com/docs/en/manage-claude/usage-cost-api" TargetMode="External" /><Relationship Type="http://schemas.openxmlformats.org/officeDocument/2006/relationships/hyperlink" Id="rId1542" Target="https://platform.claude.com/docs/en/models/overview" TargetMode="External" /><Relationship Type="http://schemas.openxmlformats.org/officeDocument/2006/relationships/hyperlink" Id="rId1717" Target="https://platform.kimi.ai/docs/agreement/userprivacy" TargetMode="External" /><Relationship Type="http://schemas.openxmlformats.org/officeDocument/2006/relationships/hyperlink" Id="rId2395" Target="https://platform.lakera.ai/pricing" TargetMode="External" /><Relationship Type="http://schemas.openxmlformats.org/officeDocument/2006/relationships/hyperlink" Id="rId421" Target="https://platform.openai.com/docs/guides/rbac" TargetMode="External" /><Relationship Type="http://schemas.openxmlformats.org/officeDocument/2006/relationships/hyperlink" Id="rId1799" Target="https://portkey.ai/docs/introduction/what-is-portkey" TargetMode="External" /><Relationship Type="http://schemas.openxmlformats.org/officeDocument/2006/relationships/hyperlink" Id="rId1822" Target="https://portkey.ai/for/org-wide-audit-logs" TargetMode="External" /><Relationship Type="http://schemas.openxmlformats.org/officeDocument/2006/relationships/hyperlink" Id="rId1821" Target="https://portkey.ai/for/rbac" TargetMode="External" /><Relationship Type="http://schemas.openxmlformats.org/officeDocument/2006/relationships/hyperlink" Id="rId1801" Target="https://portkey.ai/pricing" TargetMode="External" /><Relationship Type="http://schemas.openxmlformats.org/officeDocument/2006/relationships/hyperlink" Id="rId2453" Target="https://productresources.collibra.com/docs/collibra/latest/Content/AIGovernance/co_about-ai-governance.htm" TargetMode="External" /><Relationship Type="http://schemas.openxmlformats.org/officeDocument/2006/relationships/hyperlink" Id="rId2416" Target="https://productresources.collibra.com/docs/collibra/latest/Content/Cloud/Intro/co_cloud-introduction.htm" TargetMode="External" /><Relationship Type="http://schemas.openxmlformats.org/officeDocument/2006/relationships/hyperlink" Id="rId2459" Target="https://productresources.collibra.com/docs/collibra/latest/Content/Console/Infrastructure/DGCService/SecurityConfiguration/co_single-sign-on.htm" TargetMode="External" /><Relationship Type="http://schemas.openxmlformats.org/officeDocument/2006/relationships/hyperlink" Id="rId1834" Target="https://proxy.golang.org/github.com/agentgateway/agentgateway/@latest" TargetMode="External" /><Relationship Type="http://schemas.openxmlformats.org/officeDocument/2006/relationships/hyperlink" Id="rId1892" Target="https://proxy.golang.org/github.com/envoyproxy/ai-gateway/@latest" TargetMode="External" /><Relationship Type="http://schemas.openxmlformats.org/officeDocument/2006/relationships/hyperlink" Id="rId2104" Target="https://proxy.golang.org/github.com/open-policy-agent/opa/@latest" TargetMode="External" /><Relationship Type="http://schemas.openxmlformats.org/officeDocument/2006/relationships/hyperlink" Id="rId2113" Target="https://proxy.golang.org/github.com/spiffe/spire/@latest" TargetMode="External" /><Relationship Type="http://schemas.openxmlformats.org/officeDocument/2006/relationships/hyperlink" Id="rId748" Target="https://pulse2.com/cognee-7-5-million-seed-funding-raised-for-building-enterprise-grade-memory-layer-for-ai-agents/" TargetMode="External" /><Relationship Type="http://schemas.openxmlformats.org/officeDocument/2006/relationships/hyperlink" Id="rId2379" Target="https://pulse2.com/hiddenlayer-raises-100-million-series-b-led-by-delta-v-capital/" TargetMode="External" /><Relationship Type="http://schemas.openxmlformats.org/officeDocument/2006/relationships/hyperlink" Id="rId1105" Target="https://pydantic.dev/articles/logfire-announcement" TargetMode="External" /><Relationship Type="http://schemas.openxmlformats.org/officeDocument/2006/relationships/hyperlink" Id="rId1098" Target="https://pydantic.dev/articles/pydantic-ai-v2" TargetMode="External" /><Relationship Type="http://schemas.openxmlformats.org/officeDocument/2006/relationships/hyperlink" Id="rId1046" Target="https://pydantic.dev/docs/ai/capabilities/durable_execution/overview/" TargetMode="External" /><Relationship Type="http://schemas.openxmlformats.org/officeDocument/2006/relationships/hyperlink" Id="rId1093" Target="https://pydantic.dev/docs/ai/project/changelog/" TargetMode="External" /><Relationship Type="http://schemas.openxmlformats.org/officeDocument/2006/relationships/hyperlink" Id="rId1690" Target="https://pypi.org/" TargetMode="External" /><Relationship Type="http://schemas.openxmlformats.org/officeDocument/2006/relationships/hyperlink" Id="rId688" Target="https://pypi.org/project/chromadb/" TargetMode="External" /><Relationship Type="http://schemas.openxmlformats.org/officeDocument/2006/relationships/hyperlink" Id="rId1637" Target="https://pypi.org/project/ktransformers/" TargetMode="External" /><Relationship Type="http://schemas.openxmlformats.org/officeDocument/2006/relationships/hyperlink" Id="rId1527" Target="https://pypi.org/project/litellm/1.104.1/" TargetMode="External" /><Relationship Type="http://schemas.openxmlformats.org/officeDocument/2006/relationships/hyperlink" Id="rId1636" Target="https://pypi.org/project/lmdeploy/" TargetMode="External" /><Relationship Type="http://schemas.openxmlformats.org/officeDocument/2006/relationships/hyperlink" Id="rId540" Target="https://pypi.org/project/milvus-lite/" TargetMode="External" /><Relationship Type="http://schemas.openxmlformats.org/officeDocument/2006/relationships/hyperlink" Id="rId1681" Target="https://pypi.org/project/ms-swift/" TargetMode="External" /><Relationship Type="http://schemas.openxmlformats.org/officeDocument/2006/relationships/hyperlink" Id="rId590" Target="https://pypi.org/project/pinecone/" TargetMode="External" /><Relationship Type="http://schemas.openxmlformats.org/officeDocument/2006/relationships/hyperlink" Id="rId385" Target="https://pypi.org/project/sentence-transformers/" TargetMode="External" /><Relationship Type="http://schemas.openxmlformats.org/officeDocument/2006/relationships/hyperlink" Id="rId1635" Target="https://pypi.org/project/sglang/" TargetMode="External" /><Relationship Type="http://schemas.openxmlformats.org/officeDocument/2006/relationships/hyperlink" Id="rId669" Target="https://pypi.org/project/turbopuffer/" TargetMode="External" /><Relationship Type="http://schemas.openxmlformats.org/officeDocument/2006/relationships/hyperlink" Id="rId1700" Target="https://pypi.org/project/xinference/" TargetMode="External" /><Relationship Type="http://schemas.openxmlformats.org/officeDocument/2006/relationships/hyperlink" Id="rId831" Target="https://pypi.org/pypi/a2a-sdk/json" TargetMode="External" /><Relationship Type="http://schemas.openxmlformats.org/officeDocument/2006/relationships/hyperlink" Id="rId1080" Target="https://pypi.org/pypi/agent-framework-azurefunctions/json" TargetMode="External" /><Relationship Type="http://schemas.openxmlformats.org/officeDocument/2006/relationships/hyperlink" Id="rId1068" Target="https://pypi.org/pypi/agent-framework-durabletask/json" TargetMode="External" /><Relationship Type="http://schemas.openxmlformats.org/officeDocument/2006/relationships/hyperlink" Id="rId1073" Target="https://pypi.org/pypi/agent-framework/json" TargetMode="External" /><Relationship Type="http://schemas.openxmlformats.org/officeDocument/2006/relationships/hyperlink" Id="rId1428" Target="https://pypi.org/pypi/ai-dynamo/json" TargetMode="External" /><Relationship Type="http://schemas.openxmlformats.org/officeDocument/2006/relationships/hyperlink" Id="rId2415" Target="https://pypi.org/pypi/apache-airflow-providers-openlineage/json" TargetMode="External" /><Relationship Type="http://schemas.openxmlformats.org/officeDocument/2006/relationships/hyperlink" Id="rId2143" Target="https://pypi.org/pypi/auth0-ai/json" TargetMode="External" /><Relationship Type="http://schemas.openxmlformats.org/officeDocument/2006/relationships/hyperlink" Id="rId1150" Target="https://pypi.org/pypi/bedrock-agentcore/json" TargetMode="External" /><Relationship Type="http://schemas.openxmlformats.org/officeDocument/2006/relationships/hyperlink" Id="rId897" Target="https://pypi.org/pypi/browserbase/json" TargetMode="External" /><Relationship Type="http://schemas.openxmlformats.org/officeDocument/2006/relationships/hyperlink" Id="rId1460" Target="https://pypi.org/pypi/cerebras-cloud-sdk/json" TargetMode="External" /><Relationship Type="http://schemas.openxmlformats.org/officeDocument/2006/relationships/hyperlink" Id="rId1225" Target="https://pypi.org/pypi/claude-agent-sdk/json" TargetMode="External" /><Relationship Type="http://schemas.openxmlformats.org/officeDocument/2006/relationships/hyperlink" Id="rId739" Target="https://pypi.org/pypi/cognee/json" TargetMode="External" /><Relationship Type="http://schemas.openxmlformats.org/officeDocument/2006/relationships/hyperlink" Id="rId971" Target="https://pypi.org/pypi/composio/json" TargetMode="External" /><Relationship Type="http://schemas.openxmlformats.org/officeDocument/2006/relationships/hyperlink" Id="rId312" Target="https://pypi.org/pypi/crawl4ai/json" TargetMode="External" /><Relationship Type="http://schemas.openxmlformats.org/officeDocument/2006/relationships/hyperlink" Id="rId2450" Target="https://pypi.org/pypi/credoai-lens/json" TargetMode="External" /><Relationship Type="http://schemas.openxmlformats.org/officeDocument/2006/relationships/hyperlink" Id="rId1170" Target="https://pypi.org/pypi/crewai/json" TargetMode="External" /><Relationship Type="http://schemas.openxmlformats.org/officeDocument/2006/relationships/hyperlink" Id="rId209" Target="https://pypi.org/pypi/docling/json" TargetMode="External" /><Relationship Type="http://schemas.openxmlformats.org/officeDocument/2006/relationships/hyperlink" Id="rId2214" Target="https://pypi.org/pypi/dotpromptz/json" TargetMode="External" /><Relationship Type="http://schemas.openxmlformats.org/officeDocument/2006/relationships/hyperlink" Id="rId924" Target="https://pypi.org/pypi/e2b/json" TargetMode="External" /><Relationship Type="http://schemas.openxmlformats.org/officeDocument/2006/relationships/hyperlink" Id="rId981" Target="https://pypi.org/pypi/exa-py/json" TargetMode="External" /><Relationship Type="http://schemas.openxmlformats.org/officeDocument/2006/relationships/hyperlink" Id="rId2330" Target="https://pypi.org/pypi/fickling/json" TargetMode="External" /><Relationship Type="http://schemas.openxmlformats.org/officeDocument/2006/relationships/hyperlink" Id="rId2259" Target="https://pypi.org/pypi/focus-validator/json" TargetMode="External" /><Relationship Type="http://schemas.openxmlformats.org/officeDocument/2006/relationships/hyperlink" Id="rId1113" Target="https://pypi.org/pypi/google-adk/json" TargetMode="External" /><Relationship Type="http://schemas.openxmlformats.org/officeDocument/2006/relationships/hyperlink" Id="rId702" Target="https://pypi.org/pypi/graphiti-core/json" TargetMode="External" /><Relationship Type="http://schemas.openxmlformats.org/officeDocument/2006/relationships/hyperlink" Id="rId2032" Target="https://pypi.org/pypi/guardrails-ai/json" TargetMode="External" /><Relationship Type="http://schemas.openxmlformats.org/officeDocument/2006/relationships/hyperlink" Id="rId1338" Target="https://pypi.org/pypi/huggingface-hub/json" TargetMode="External" /><Relationship Type="http://schemas.openxmlformats.org/officeDocument/2006/relationships/hyperlink" Id="rId2425" Target="https://pypi.org/pypi/ibm-watsonx-gov/json" TargetMode="External" /><Relationship Type="http://schemas.openxmlformats.org/officeDocument/2006/relationships/hyperlink" Id="rId1030" Target="https://pypi.org/pypi/langgraph/json" TargetMode="External" /><Relationship Type="http://schemas.openxmlformats.org/officeDocument/2006/relationships/hyperlink" Id="rId815" Target="https://pypi.org/pypi/langmem/json" TargetMode="External" /><Relationship Type="http://schemas.openxmlformats.org/officeDocument/2006/relationships/hyperlink" Id="rId806" Target="https://pypi.org/pypi/letta/json" TargetMode="External" /><Relationship Type="http://schemas.openxmlformats.org/officeDocument/2006/relationships/hyperlink" Id="rId1744" Target="https://pypi.org/pypi/litellm-enterprise/json" TargetMode="External" /><Relationship Type="http://schemas.openxmlformats.org/officeDocument/2006/relationships/hyperlink" Id="rId1740" Target="https://pypi.org/pypi/litellm/json" TargetMode="External" /><Relationship Type="http://schemas.openxmlformats.org/officeDocument/2006/relationships/hyperlink" Id="rId280" Target="https://pypi.org/pypi/llama-cloud-services/json" TargetMode="External" /><Relationship Type="http://schemas.openxmlformats.org/officeDocument/2006/relationships/hyperlink" Id="rId281" Target="https://pypi.org/pypi/llama-cloud/json" TargetMode="External" /><Relationship Type="http://schemas.openxmlformats.org/officeDocument/2006/relationships/hyperlink" Id="rId1190" Target="https://pypi.org/pypi/llama-index-core/json" TargetMode="External" /><Relationship Type="http://schemas.openxmlformats.org/officeDocument/2006/relationships/hyperlink" Id="rId2007" Target="https://pypi.org/pypi/llamafirewall/json" TargetMode="External" /><Relationship Type="http://schemas.openxmlformats.org/officeDocument/2006/relationships/hyperlink" Id="rId1488" Target="https://pypi.org/pypi/lmstudio/json" TargetMode="External" /><Relationship Type="http://schemas.openxmlformats.org/officeDocument/2006/relationships/hyperlink" Id="rId720" Target="https://pypi.org/pypi/mem0ai/json" TargetMode="External" /><Relationship Type="http://schemas.openxmlformats.org/officeDocument/2006/relationships/hyperlink" Id="rId336" Target="https://pypi.org/pypi/mineru/json" TargetMode="External" /><Relationship Type="http://schemas.openxmlformats.org/officeDocument/2006/relationships/hyperlink" Id="rId1247" Target="https://pypi.org/pypi/mistralai-workflows/json" TargetMode="External" /><Relationship Type="http://schemas.openxmlformats.org/officeDocument/2006/relationships/hyperlink" Id="rId1248" Target="https://pypi.org/pypi/mistralai/json" TargetMode="External" /><Relationship Type="http://schemas.openxmlformats.org/officeDocument/2006/relationships/hyperlink" Id="rId27" Target="https://pypi.org/pypi/mlflow/json" TargetMode="External" /><Relationship Type="http://schemas.openxmlformats.org/officeDocument/2006/relationships/hyperlink" Id="rId2348" Target="https://pypi.org/pypi/model-signing/json" TargetMode="External" /><Relationship Type="http://schemas.openxmlformats.org/officeDocument/2006/relationships/hyperlink" Id="rId2336" Target="https://pypi.org/pypi/modelscan/json" TargetMode="External" /><Relationship Type="http://schemas.openxmlformats.org/officeDocument/2006/relationships/hyperlink" Id="rId1931" Target="https://pypi.org/pypi/nemoguardrails/json" TargetMode="External" /><Relationship Type="http://schemas.openxmlformats.org/officeDocument/2006/relationships/hyperlink" Id="rId1127" Target="https://pypi.org/pypi/openai-agents/json" TargetMode="External" /><Relationship Type="http://schemas.openxmlformats.org/officeDocument/2006/relationships/hyperlink" Id="rId86" Target="https://pypi.org/pypi/opik/json" TargetMode="External" /><Relationship Type="http://schemas.openxmlformats.org/officeDocument/2006/relationships/hyperlink" Id="rId2371" Target="https://pypi.org/pypi/pan-aisecurity/json" TargetMode="External" /><Relationship Type="http://schemas.openxmlformats.org/officeDocument/2006/relationships/hyperlink" Id="rId2337" Target="https://pypi.org/pypi/picklescan/json" TargetMode="External" /><Relationship Type="http://schemas.openxmlformats.org/officeDocument/2006/relationships/hyperlink" Id="rId2050" Target="https://pypi.org/pypi/presidio-analyzer/json" TargetMode="External" /><Relationship Type="http://schemas.openxmlformats.org/officeDocument/2006/relationships/hyperlink" Id="rId2221" Target="https://pypi.org/pypi/promptlayer/json" TargetMode="External" /><Relationship Type="http://schemas.openxmlformats.org/officeDocument/2006/relationships/hyperlink" Id="rId2213" Target="https://pypi.org/pypi/prompty/json" TargetMode="External" /><Relationship Type="http://schemas.openxmlformats.org/officeDocument/2006/relationships/hyperlink" Id="rId2091" Target="https://pypi.org/pypi/protegrity-developer-python/json" TargetMode="External" /><Relationship Type="http://schemas.openxmlformats.org/officeDocument/2006/relationships/hyperlink" Id="rId1095" Target="https://pypi.org/pypi/pydantic-ai/json" TargetMode="External" /><Relationship Type="http://schemas.openxmlformats.org/officeDocument/2006/relationships/hyperlink" Id="rId2331" Target="https://pypi.org/pypi/safetensors/json" TargetMode="External" /><Relationship Type="http://schemas.openxmlformats.org/officeDocument/2006/relationships/hyperlink" Id="rId1070" Target="https://pypi.org/pypi/semantic-kernel/json" TargetMode="External" /><Relationship Type="http://schemas.openxmlformats.org/officeDocument/2006/relationships/hyperlink" Id="rId386" Target="https://pypi.org/pypi/sentence-transformers/json" TargetMode="External" /><Relationship Type="http://schemas.openxmlformats.org/officeDocument/2006/relationships/hyperlink" Id="rId1308" Target="https://pypi.org/pypi/sglang/json" TargetMode="External" /><Relationship Type="http://schemas.openxmlformats.org/officeDocument/2006/relationships/hyperlink" Id="rId2079" Target="https://pypi.org/pypi/skyflow/json" TargetMode="External" /><Relationship Type="http://schemas.openxmlformats.org/officeDocument/2006/relationships/hyperlink" Id="rId1147" Target="https://pypi.org/pypi/strands-agents/json" TargetMode="External" /><Relationship Type="http://schemas.openxmlformats.org/officeDocument/2006/relationships/hyperlink" Id="rId784" Target="https://pypi.org/pypi/supermemory/json" TargetMode="External" /><Relationship Type="http://schemas.openxmlformats.org/officeDocument/2006/relationships/hyperlink" Id="rId999" Target="https://pypi.org/pypi/tavily-python/json" TargetMode="External" /><Relationship Type="http://schemas.openxmlformats.org/officeDocument/2006/relationships/hyperlink" Id="rId1045" Target="https://pypi.org/pypi/temporalio/json" TargetMode="External" /><Relationship Type="http://schemas.openxmlformats.org/officeDocument/2006/relationships/hyperlink" Id="rId228" Target="https://pypi.org/pypi/unstructured/json" TargetMode="External" /><Relationship Type="http://schemas.openxmlformats.org/officeDocument/2006/relationships/hyperlink" Id="rId2478" Target="https://pypi.org/pypi/validmind/json" TargetMode="External" /><Relationship Type="http://schemas.openxmlformats.org/officeDocument/2006/relationships/hyperlink" Id="rId1270" Target="https://pypi.org/pypi/vllm/json" TargetMode="External" /><Relationship Type="http://schemas.openxmlformats.org/officeDocument/2006/relationships/hyperlink" Id="rId162" Target="https://pypi.org/pypi/weave/json" TargetMode="External" /><Relationship Type="http://schemas.openxmlformats.org/officeDocument/2006/relationships/hyperlink" Id="rId716" Target="https://pypi.org/pypi/zep-cloud/json" TargetMode="External" /><Relationship Type="http://schemas.openxmlformats.org/officeDocument/2006/relationships/hyperlink" Id="rId1268" Target="https://pytorch.org/blog/pytorch-foundation-welcomes-vllm/" TargetMode="External" /><Relationship Type="http://schemas.openxmlformats.org/officeDocument/2006/relationships/hyperlink" Id="rId571" Target="https://qdrant.tech/blog/qdrant-1.17.x/" TargetMode="External" /><Relationship Type="http://schemas.openxmlformats.org/officeDocument/2006/relationships/hyperlink" Id="rId579" Target="https://qdrant.tech/blog/series-b-announcement/" TargetMode="External" /><Relationship Type="http://schemas.openxmlformats.org/officeDocument/2006/relationships/hyperlink" Id="rId583" Target="https://qdrant.tech/blog/soc-2-type-ii-hipaa/" TargetMode="External" /><Relationship Type="http://schemas.openxmlformats.org/officeDocument/2006/relationships/hyperlink" Id="rId581" Target="https://qdrant.tech/documentation/cloud-api/" TargetMode="External" /><Relationship Type="http://schemas.openxmlformats.org/officeDocument/2006/relationships/hyperlink" Id="rId577" Target="https://qdrant.tech/documentation/cloud-rbac/role-management/" TargetMode="External" /><Relationship Type="http://schemas.openxmlformats.org/officeDocument/2006/relationships/hyperlink" Id="rId575" Target="https://qdrant.tech/hybrid-cloud/" TargetMode="External" /><Relationship Type="http://schemas.openxmlformats.org/officeDocument/2006/relationships/hyperlink" Id="rId1651" Target="https://questions-statements.parliament.uk/written-questions/detail/2025-01-28/HL4479/" TargetMode="External" /><Relationship Type="http://schemas.openxmlformats.org/officeDocument/2006/relationships/hyperlink" Id="rId464" Target="https://qwen.ai/blog?id=qwen3-embedding" TargetMode="External" /><Relationship Type="http://schemas.openxmlformats.org/officeDocument/2006/relationships/hyperlink" Id="rId92" Target="https://raw.githubusercontent.com/Arize-ai/openinference/main/LICENSE" TargetMode="External" /><Relationship Type="http://schemas.openxmlformats.org/officeDocument/2006/relationships/hyperlink" Id="rId141" Target="https://raw.githubusercontent.com/Arize-ai/phoenix/main/LICENSE" TargetMode="External" /><Relationship Type="http://schemas.openxmlformats.org/officeDocument/2006/relationships/hyperlink" Id="rId133" Target="https://raw.githubusercontent.com/Arize-ai/phoenix/main/README.md" TargetMode="External" /><Relationship Type="http://schemas.openxmlformats.org/officeDocument/2006/relationships/hyperlink" Id="rId134" Target="https://raw.githubusercontent.com/Arize-ai/phoenix/main/docs/phoenix/datasets-and-experiments/how-to-experiments/eval-ci-with-pytest.mdx" TargetMode="External" /><Relationship Type="http://schemas.openxmlformats.org/officeDocument/2006/relationships/hyperlink" Id="rId144" Target="https://raw.githubusercontent.com/Arize-ai/phoenix/main/docs/phoenix/self-hosting/features/authentication.mdx" TargetMode="External" /><Relationship Type="http://schemas.openxmlformats.org/officeDocument/2006/relationships/hyperlink" Id="rId142" Target="https://raw.githubusercontent.com/Arize-ai/phoenix/main/docs/phoenix/self-hosting/license.mdx" TargetMode="External" /><Relationship Type="http://schemas.openxmlformats.org/officeDocument/2006/relationships/hyperlink" Id="rId1730" Target="https://raw.githubusercontent.com/BerriAI/litellm/main/README.md" TargetMode="External" /><Relationship Type="http://schemas.openxmlformats.org/officeDocument/2006/relationships/hyperlink" Id="rId2290" Target="https://raw.githubusercontent.com/Cloudzero/cloudzero-agent/develop/README.md" TargetMode="External" /><Relationship Type="http://schemas.openxmlformats.org/officeDocument/2006/relationships/hyperlink" Id="rId962" Target="https://raw.githubusercontent.com/ComposioHQ/composio/next/README.md" TargetMode="External" /><Relationship Type="http://schemas.openxmlformats.org/officeDocument/2006/relationships/hyperlink" Id="rId2253" Target="https://raw.githubusercontent.com/FinOps-Open-Cost-and-Usage-Spec/FOCUS_Spec/working_draft/CHANGELOG.md" TargetMode="External" /><Relationship Type="http://schemas.openxmlformats.org/officeDocument/2006/relationships/hyperlink" Id="rId2256" Target="https://raw.githubusercontent.com/FinOps-Open-Cost-and-Usage-Spec/FOCUS_Spec/working_draft/README.md" TargetMode="External" /><Relationship Type="http://schemas.openxmlformats.org/officeDocument/2006/relationships/hyperlink" Id="rId2258" Target="https://raw.githubusercontent.com/FinOps-Open-Cost-and-Usage-Spec/FOCUS_Spec/working_draft/license.md" TargetMode="External" /><Relationship Type="http://schemas.openxmlformats.org/officeDocument/2006/relationships/hyperlink" Id="rId2300" Target="https://raw.githubusercontent.com/Helicone/helicone/main/README.md" TargetMode="External" /><Relationship Type="http://schemas.openxmlformats.org/officeDocument/2006/relationships/hyperlink" Id="rId1426" Target="https://raw.githubusercontent.com/LMCache/LMCache/dev/README.md" TargetMode="External" /><Relationship Type="http://schemas.openxmlformats.org/officeDocument/2006/relationships/hyperlink" Id="rId2228" Target="https://raw.githubusercontent.com/MagnivOrg/prompt-layer-docs/main/enterprise-deployments/aws.mdx" TargetMode="External" /><Relationship Type="http://schemas.openxmlformats.org/officeDocument/2006/relationships/hyperlink" Id="rId2222" Target="https://raw.githubusercontent.com/MagnivOrg/prompt-layer-docs/main/features/prompt-registry/release-labels.mdx" TargetMode="External" /><Relationship Type="http://schemas.openxmlformats.org/officeDocument/2006/relationships/hyperlink" Id="rId2227" Target="https://raw.githubusercontent.com/MagnivOrg/prompt-layer-docs/main/self-hosted.mdx" TargetMode="External" /><Relationship Type="http://schemas.openxmlformats.org/officeDocument/2006/relationships/hyperlink" Id="rId2225" Target="https://raw.githubusercontent.com/MagnivOrg/prompt-layer-docs/main/why-promptlayer/enterprise-identity/overview.mdx" TargetMode="External" /><Relationship Type="http://schemas.openxmlformats.org/officeDocument/2006/relationships/hyperlink" Id="rId2411" Target="https://raw.githubusercontent.com/MarquezProject/marquez/main/README.md" TargetMode="External" /><Relationship Type="http://schemas.openxmlformats.org/officeDocument/2006/relationships/hyperlink" Id="rId1981" Target="https://raw.githubusercontent.com/MicrosoftDocs/azure-ai-docs/main/articles/ai-services/content-safety/overview.md" TargetMode="External" /><Relationship Type="http://schemas.openxmlformats.org/officeDocument/2006/relationships/hyperlink" Id="rId1982" Target="https://raw.githubusercontent.com/MicrosoftDocs/azure-ai-docs/main/articles/ai-services/content-safety/whats-new.md" TargetMode="External" /><Relationship Type="http://schemas.openxmlformats.org/officeDocument/2006/relationships/hyperlink" Id="rId1844" Target="https://raw.githubusercontent.com/MicrosoftDocs/azure-docs/main/articles/api-management/genai-gateway-capabilities.md" TargetMode="External" /><Relationship Type="http://schemas.openxmlformats.org/officeDocument/2006/relationships/hyperlink" Id="rId1848" Target="https://raw.githubusercontent.com/MicrosoftDocs/azure-docs/main/articles/azure-government/compliance/azure-services-in-fedramp-auditscope.md" TargetMode="External" /><Relationship Type="http://schemas.openxmlformats.org/officeDocument/2006/relationships/hyperlink" Id="rId2157" Target="https://raw.githubusercontent.com/MicrosoftDocs/entra-docs/main/docs/agent-id/agent-oauth-protocols.md" TargetMode="External" /><Relationship Type="http://schemas.openxmlformats.org/officeDocument/2006/relationships/hyperlink" Id="rId2156" Target="https://raw.githubusercontent.com/MicrosoftDocs/entra-docs/main/docs/agent-id/what-is-microsoft-entra-agent-id.md" TargetMode="External" /><Relationship Type="http://schemas.openxmlformats.org/officeDocument/2006/relationships/hyperlink" Id="rId1871" Target="https://raw.githubusercontent.com/MicrosoftDocs/entra-docs/main/docs/agent-id/whats-new-agent-id.md" TargetMode="External" /><Relationship Type="http://schemas.openxmlformats.org/officeDocument/2006/relationships/hyperlink" Id="rId2164" Target="https://raw.githubusercontent.com/MicrosoftDocs/entra-docs/main/docs/includes/licensing-agent-id.md" TargetMode="External" /><Relationship Type="http://schemas.openxmlformats.org/officeDocument/2006/relationships/hyperlink" Id="rId1924" Target="https://raw.githubusercontent.com/NVIDIA-NeMo/Guardrails/develop/CHANGELOG.md" TargetMode="External" /><Relationship Type="http://schemas.openxmlformats.org/officeDocument/2006/relationships/hyperlink" Id="rId2412" Target="https://raw.githubusercontent.com/OpenLineage/OpenLineage/main/CHANGELOG.md" TargetMode="External" /><Relationship Type="http://schemas.openxmlformats.org/officeDocument/2006/relationships/hyperlink" Id="rId2410" Target="https://raw.githubusercontent.com/OpenLineage/OpenLineage/main/README.md" TargetMode="External" /><Relationship Type="http://schemas.openxmlformats.org/officeDocument/2006/relationships/hyperlink" Id="rId1398" Target="https://raw.githubusercontent.com/OpenRouterTeam/docs/main/cookbook/get-started/enterprise-quickstart.mdx" TargetMode="External" /><Relationship Type="http://schemas.openxmlformats.org/officeDocument/2006/relationships/hyperlink" Id="rId1395" Target="https://raw.githubusercontent.com/OpenRouterTeam/docs/main/faq.mdx" TargetMode="External" /><Relationship Type="http://schemas.openxmlformats.org/officeDocument/2006/relationships/hyperlink" Id="rId1394" Target="https://raw.githubusercontent.com/OpenRouterTeam/docs/main/guides/features/guardrails.mdx" TargetMode="External" /><Relationship Type="http://schemas.openxmlformats.org/officeDocument/2006/relationships/hyperlink" Id="rId1404" Target="https://raw.githubusercontent.com/OpenRouterTeam/docs/main/guides/features/in-region-routing.mdx" TargetMode="External" /><Relationship Type="http://schemas.openxmlformats.org/officeDocument/2006/relationships/hyperlink" Id="rId1397" Target="https://raw.githubusercontent.com/OpenRouterTeam/docs/main/guides/features/sso.mdx" TargetMode="External" /><Relationship Type="http://schemas.openxmlformats.org/officeDocument/2006/relationships/hyperlink" Id="rId1403" Target="https://raw.githubusercontent.com/OpenRouterTeam/docs/main/guides/privacy/data-collection.mdx" TargetMode="External" /><Relationship Type="http://schemas.openxmlformats.org/officeDocument/2006/relationships/hyperlink" Id="rId1809" Target="https://raw.githubusercontent.com/Portkey-AI/gateway/main/LICENSE" TargetMode="External" /><Relationship Type="http://schemas.openxmlformats.org/officeDocument/2006/relationships/hyperlink" Id="rId1798" Target="https://raw.githubusercontent.com/Portkey-AI/gateway/main/README.md" TargetMode="External" /><Relationship Type="http://schemas.openxmlformats.org/officeDocument/2006/relationships/hyperlink" Id="rId217" Target="https://raw.githubusercontent.com/Unstructured-IO/unstructured-ingest/main/CHANGELOG.md" TargetMode="External" /><Relationship Type="http://schemas.openxmlformats.org/officeDocument/2006/relationships/hyperlink" Id="rId216" Target="https://raw.githubusercontent.com/Unstructured-IO/unstructured/main/README.md" TargetMode="External" /><Relationship Type="http://schemas.openxmlformats.org/officeDocument/2006/relationships/hyperlink" Id="rId825" Target="https://raw.githubusercontent.com/a2aproject/A2A/main/CHANGELOG.md" TargetMode="External" /><Relationship Type="http://schemas.openxmlformats.org/officeDocument/2006/relationships/hyperlink" Id="rId832" Target="https://raw.githubusercontent.com/a2aproject/A2A/main/GOVERNANCE.md" TargetMode="External" /><Relationship Type="http://schemas.openxmlformats.org/officeDocument/2006/relationships/hyperlink" Id="rId823" Target="https://raw.githubusercontent.com/a2aproject/A2A/main/docs/specification.md" TargetMode="External" /><Relationship Type="http://schemas.openxmlformats.org/officeDocument/2006/relationships/hyperlink" Id="rId1826" Target="https://raw.githubusercontent.com/agentgateway/agentgateway/main/README.md" TargetMode="External" /><Relationship Type="http://schemas.openxmlformats.org/officeDocument/2006/relationships/hyperlink" Id="rId957" Target="https://raw.githubusercontent.com/agentskills/agentskills/main/CONTRIBUTING.md" TargetMode="External" /><Relationship Type="http://schemas.openxmlformats.org/officeDocument/2006/relationships/hyperlink" Id="rId943" Target="https://raw.githubusercontent.com/agentskills/agentskills/main/README.md" TargetMode="External" /><Relationship Type="http://schemas.openxmlformats.org/officeDocument/2006/relationships/hyperlink" Id="rId945" Target="https://raw.githubusercontent.com/agentskills/agentskills/main/docs/snippets/clients.jsx" TargetMode="External" /><Relationship Type="http://schemas.openxmlformats.org/officeDocument/2006/relationships/hyperlink" Id="rId1278" Target="https://raw.githubusercontent.com/ai-dynamo/dynamo/main/README.md" TargetMode="External" /><Relationship Type="http://schemas.openxmlformats.org/officeDocument/2006/relationships/hyperlink" Id="rId1229" Target="https://raw.githubusercontent.com/anthropics/claude-agent-sdk-python/main/LICENSE" TargetMode="External" /><Relationship Type="http://schemas.openxmlformats.org/officeDocument/2006/relationships/hyperlink" Id="rId350" Target="https://raw.githubusercontent.com/apify/apify-docs/master/sources/platform/integrations/ai/mcp.md" TargetMode="External" /><Relationship Type="http://schemas.openxmlformats.org/officeDocument/2006/relationships/hyperlink" Id="rId349" Target="https://raw.githubusercontent.com/apify/apify-docs/master/sources/platform/security/architecture.md" TargetMode="External" /><Relationship Type="http://schemas.openxmlformats.org/officeDocument/2006/relationships/hyperlink" Id="rId353" Target="https://raw.githubusercontent.com/apify/apify-docs/master/sources/platform/security/index.md" TargetMode="External" /><Relationship Type="http://schemas.openxmlformats.org/officeDocument/2006/relationships/hyperlink" Id="rId358" Target="https://raw.githubusercontent.com/apify/apify-docs/master/sources/platform/security/shared-responsibility.md" TargetMode="External" /><Relationship Type="http://schemas.openxmlformats.org/officeDocument/2006/relationships/hyperlink" Id="rId2149" Target="https://raw.githubusercontent.com/auth0/auth0-ai-js/main/README.md" TargetMode="External" /><Relationship Type="http://schemas.openxmlformats.org/officeDocument/2006/relationships/hyperlink" Id="rId1028" Target="https://raw.githubusercontent.com/aws/bedrock-agentcore-sdk-python/main/README.md" TargetMode="External" /><Relationship Type="http://schemas.openxmlformats.org/officeDocument/2006/relationships/hyperlink" Id="rId883" Target="https://raw.githubusercontent.com/boto/botocore/develop/botocore/data/bedrock-agentcore-control/2023-06-05/service-2.json" TargetMode="External" /><Relationship Type="http://schemas.openxmlformats.org/officeDocument/2006/relationships/hyperlink" Id="rId1945" Target="https://raw.githubusercontent.com/boto/botocore/develop/botocore/data/bedrock-runtime/2023-09-30/service-2.json" TargetMode="External" /><Relationship Type="http://schemas.openxmlformats.org/officeDocument/2006/relationships/hyperlink" Id="rId1944" Target="https://raw.githubusercontent.com/boto/botocore/develop/botocore/data/bedrock/2023-04-20/service-2.json" TargetMode="External" /><Relationship Type="http://schemas.openxmlformats.org/officeDocument/2006/relationships/hyperlink" Id="rId168" Target="https://raw.githubusercontent.com/braintrustdata/eval-action/main/README.md" TargetMode="External" /><Relationship Type="http://schemas.openxmlformats.org/officeDocument/2006/relationships/hyperlink" Id="rId907" Target="https://raw.githubusercontent.com/browserbase/stagehand/main/LICENSE" TargetMode="External" /><Relationship Type="http://schemas.openxmlformats.org/officeDocument/2006/relationships/hyperlink" Id="rId887" Target="https://raw.githubusercontent.com/cedar-policy/cedar/main/README.md" TargetMode="External" /><Relationship Type="http://schemas.openxmlformats.org/officeDocument/2006/relationships/hyperlink" Id="rId2128" Target="https://raw.githubusercontent.com/cedar-policy/cedar/main/SECURITY.md" TargetMode="External" /><Relationship Type="http://schemas.openxmlformats.org/officeDocument/2006/relationships/hyperlink" Id="rId2122" Target="https://raw.githubusercontent.com/cedar-policy/cedar/main/cedar-policy/CHANGELOG.md" TargetMode="External" /><Relationship Type="http://schemas.openxmlformats.org/officeDocument/2006/relationships/hyperlink" Id="rId1904" Target="https://raw.githubusercontent.com/cloudflare/cloudflare-docs/production/src/content/docs/ai-gateway/reference/pricing.mdx" TargetMode="External" /><Relationship Type="http://schemas.openxmlformats.org/officeDocument/2006/relationships/hyperlink" Id="rId74" Target="https://raw.githubusercontent.com/comet-ml/opik/main/LICENSE" TargetMode="External" /><Relationship Type="http://schemas.openxmlformats.org/officeDocument/2006/relationships/hyperlink" Id="rId70" Target="https://raw.githubusercontent.com/comet-ml/opik/main/README.md" TargetMode="External" /><Relationship Type="http://schemas.openxmlformats.org/officeDocument/2006/relationships/hyperlink" Id="rId71" Target="https://raw.githubusercontent.com/comet-ml/opik/main/apps/opik-documentation/documentation/fern/docs-v2/integrations/opentelemetry.mdx" TargetMode="External" /><Relationship Type="http://schemas.openxmlformats.org/officeDocument/2006/relationships/hyperlink" Id="rId72" Target="https://raw.githubusercontent.com/comet-ml/opik/main/apps/opik-documentation/documentation/fern/docs-v2/production/online-evaluation/rules.mdx" TargetMode="External" /><Relationship Type="http://schemas.openxmlformats.org/officeDocument/2006/relationships/hyperlink" Id="rId81" Target="https://raw.githubusercontent.com/comet-ml/opik/main/apps/opik-documentation/documentation/fern/docs-v2/self-host/overview.mdx" TargetMode="External" /><Relationship Type="http://schemas.openxmlformats.org/officeDocument/2006/relationships/hyperlink" Id="rId109" Target="https://raw.githubusercontent.com/confident-ai/deepeval/main/LICENSE.md" TargetMode="External" /><Relationship Type="http://schemas.openxmlformats.org/officeDocument/2006/relationships/hyperlink" Id="rId104" Target="https://raw.githubusercontent.com/confident-ai/deepeval/main/README.md" TargetMode="External" /><Relationship Type="http://schemas.openxmlformats.org/officeDocument/2006/relationships/hyperlink" Id="rId2449" Target="https://raw.githubusercontent.com/credo-ai/credoai_lens/develop/README.md" TargetMode="External" /><Relationship Type="http://schemas.openxmlformats.org/officeDocument/2006/relationships/hyperlink" Id="rId1174" Target="https://raw.githubusercontent.com/crewAIInc/crewAI/main/LICENSE" TargetMode="External" /><Relationship Type="http://schemas.openxmlformats.org/officeDocument/2006/relationships/hyperlink" Id="rId2048" Target="https://raw.githubusercontent.com/data-privacy-stack/presidio/main/CHANGELOG.md" TargetMode="External" /><Relationship Type="http://schemas.openxmlformats.org/officeDocument/2006/relationships/hyperlink" Id="rId2046" Target="https://raw.githubusercontent.com/data-privacy-stack/presidio/main/README.MD" TargetMode="External" /><Relationship Type="http://schemas.openxmlformats.org/officeDocument/2006/relationships/hyperlink" Id="rId2053" Target="https://raw.githubusercontent.com/data-privacy-stack/presidio/main/SECURITY.md" TargetMode="External" /><Relationship Type="http://schemas.openxmlformats.org/officeDocument/2006/relationships/hyperlink" Id="rId2047" Target="https://raw.githubusercontent.com/data-privacy-stack/presidio/main/docs/project_transition.md" TargetMode="External" /><Relationship Type="http://schemas.openxmlformats.org/officeDocument/2006/relationships/hyperlink" Id="rId203" Target="https://raw.githubusercontent.com/docling-project/docling-serve/main/README.md" TargetMode="External" /><Relationship Type="http://schemas.openxmlformats.org/officeDocument/2006/relationships/hyperlink" Id="rId199" Target="https://raw.githubusercontent.com/docling-project/docling/main/.github/SECURITY.md" TargetMode="External" /><Relationship Type="http://schemas.openxmlformats.org/officeDocument/2006/relationships/hyperlink" Id="rId201" Target="https://raw.githubusercontent.com/docling-project/docling/main/README.md" TargetMode="External" /><Relationship Type="http://schemas.openxmlformats.org/officeDocument/2006/relationships/hyperlink" Id="rId202" Target="https://raw.githubusercontent.com/docling-project/docling/main/docs/usage/supported_formats.md" TargetMode="External" /><Relationship Type="http://schemas.openxmlformats.org/officeDocument/2006/relationships/hyperlink" Id="rId915" Target="https://raw.githubusercontent.com/e2b-dev/infra/main/README.md" TargetMode="External" /><Relationship Type="http://schemas.openxmlformats.org/officeDocument/2006/relationships/hyperlink" Id="rId1886" Target="https://raw.githubusercontent.com/envoyproxy/ai-gateway/main/README.md" TargetMode="External" /><Relationship Type="http://schemas.openxmlformats.org/officeDocument/2006/relationships/hyperlink" Id="rId288" Target="https://raw.githubusercontent.com/firecrawl/firecrawl-docs/main/billing.mdx" TargetMode="External" /><Relationship Type="http://schemas.openxmlformats.org/officeDocument/2006/relationships/hyperlink" Id="rId289" Target="https://raw.githubusercontent.com/firecrawl/firecrawl-docs/main/contributing/open-source-or-cloud.mdx" TargetMode="External" /><Relationship Type="http://schemas.openxmlformats.org/officeDocument/2006/relationships/hyperlink" Id="rId295" Target="https://raw.githubusercontent.com/firecrawl/firecrawl-docs/main/contributing/self-host.mdx" TargetMode="External" /><Relationship Type="http://schemas.openxmlformats.org/officeDocument/2006/relationships/hyperlink" Id="rId292" Target="https://raw.githubusercontent.com/firecrawl/firecrawl-docs/main/enterprise.mdx" TargetMode="External" /><Relationship Type="http://schemas.openxmlformats.org/officeDocument/2006/relationships/hyperlink" Id="rId299" Target="https://raw.githubusercontent.com/firecrawl/firecrawl/main/LICENSE" TargetMode="External" /><Relationship Type="http://schemas.openxmlformats.org/officeDocument/2006/relationships/hyperlink" Id="rId287" Target="https://raw.githubusercontent.com/firecrawl/firecrawl/main/README.md" TargetMode="External" /><Relationship Type="http://schemas.openxmlformats.org/officeDocument/2006/relationships/hyperlink" Id="rId703" Target="https://raw.githubusercontent.com/getzep/zep/main/README.md" TargetMode="External" /><Relationship Type="http://schemas.openxmlformats.org/officeDocument/2006/relationships/hyperlink" Id="rId1109" Target="https://raw.githubusercontent.com/google/adk-python/main/README.md" TargetMode="External" /><Relationship Type="http://schemas.openxmlformats.org/officeDocument/2006/relationships/hyperlink" Id="rId2211" Target="https://raw.githubusercontent.com/google/dotprompt/main/README.md" TargetMode="External" /><Relationship Type="http://schemas.openxmlformats.org/officeDocument/2006/relationships/hyperlink" Id="rId2040" Target="https://raw.githubusercontent.com/guardrails-ai/guardrails/main/HUB_UPDATE.md" TargetMode="External" /><Relationship Type="http://schemas.openxmlformats.org/officeDocument/2006/relationships/hyperlink" Id="rId2025" Target="https://raw.githubusercontent.com/guardrails-ai/guardrails/main/README.md" TargetMode="External" /><Relationship Type="http://schemas.openxmlformats.org/officeDocument/2006/relationships/hyperlink" Id="rId2313" Target="https://raw.githubusercontent.com/hashicorp/vault/main/CHANGELOG.md" TargetMode="External" /><Relationship Type="http://schemas.openxmlformats.org/officeDocument/2006/relationships/hyperlink" Id="rId2321" Target="https://raw.githubusercontent.com/hashicorp/vault/main/LICENSE" TargetMode="External" /><Relationship Type="http://schemas.openxmlformats.org/officeDocument/2006/relationships/hyperlink" Id="rId1265" Target="https://raw.githubusercontent.com/huggingface/hf-endpoints-documentation/main/docs/source/about.md" TargetMode="External" /><Relationship Type="http://schemas.openxmlformats.org/officeDocument/2006/relationships/hyperlink" Id="rId1333" Target="https://raw.githubusercontent.com/huggingface/hf-endpoints-documentation/main/docs/source/guides/security.md" TargetMode="External" /><Relationship Type="http://schemas.openxmlformats.org/officeDocument/2006/relationships/hyperlink" Id="rId1335" Target="https://raw.githubusercontent.com/huggingface/hf-endpoints-documentation/main/docs/source/support/pricing.md" TargetMode="External" /><Relationship Type="http://schemas.openxmlformats.org/officeDocument/2006/relationships/hyperlink" Id="rId1330" Target="https://raw.githubusercontent.com/huggingface/hub-docs/main/docs/hub/audit-logs.md" TargetMode="External" /><Relationship Type="http://schemas.openxmlformats.org/officeDocument/2006/relationships/hyperlink" Id="rId1329" Target="https://raw.githubusercontent.com/huggingface/hub-docs/main/docs/hub/security-sso.md" TargetMode="External" /><Relationship Type="http://schemas.openxmlformats.org/officeDocument/2006/relationships/hyperlink" Id="rId1332" Target="https://raw.githubusercontent.com/huggingface/hub-docs/main/docs/hub/security.md" TargetMode="External" /><Relationship Type="http://schemas.openxmlformats.org/officeDocument/2006/relationships/hyperlink" Id="rId1292" Target="https://raw.githubusercontent.com/huggingface/hub-docs/main/docs/inference-providers/index.md" TargetMode="External" /><Relationship Type="http://schemas.openxmlformats.org/officeDocument/2006/relationships/hyperlink" Id="rId1341" Target="https://raw.githubusercontent.com/huggingface/hub-docs/main/docs/inference-providers/pricing.md" TargetMode="External" /><Relationship Type="http://schemas.openxmlformats.org/officeDocument/2006/relationships/hyperlink" Id="rId1349" Target="https://raw.githubusercontent.com/huggingface/hub-docs/main/docs/inference-providers/security.md" TargetMode="External" /><Relationship Type="http://schemas.openxmlformats.org/officeDocument/2006/relationships/hyperlink" Id="rId2334" Target="https://raw.githubusercontent.com/huggingface/safetensors/main/README.md" TargetMode="External" /><Relationship Type="http://schemas.openxmlformats.org/officeDocument/2006/relationships/hyperlink" Id="rId392" Target="https://raw.githubusercontent.com/huggingface/sentence-transformers/main/SECURITY.md" TargetMode="External" /><Relationship Type="http://schemas.openxmlformats.org/officeDocument/2006/relationships/hyperlink" Id="rId2183" Target="https://raw.githubusercontent.com/langchain-ai/docs/main/src/langsmith/manage-prompts.mdx" TargetMode="External" /><Relationship Type="http://schemas.openxmlformats.org/officeDocument/2006/relationships/hyperlink" Id="rId2188" Target="https://raw.githubusercontent.com/langchain-ai/docs/main/src/langsmith/regions-faq.mdx" TargetMode="External" /><Relationship Type="http://schemas.openxmlformats.org/officeDocument/2006/relationships/hyperlink" Id="rId2190" Target="https://raw.githubusercontent.com/langchain-ai/docs/main/src/langsmith/self-hosted.mdx" TargetMode="External" /><Relationship Type="http://schemas.openxmlformats.org/officeDocument/2006/relationships/hyperlink" Id="rId1019" Target="https://raw.githubusercontent.com/langchain-ai/langgraph/main/README.md" TargetMode="External" /><Relationship Type="http://schemas.openxmlformats.org/officeDocument/2006/relationships/hyperlink" Id="rId55" Target="https://raw.githubusercontent.com/langchain-ai/langsmith-sdk/main/python/README.md" TargetMode="External" /><Relationship Type="http://schemas.openxmlformats.org/officeDocument/2006/relationships/hyperlink" Id="rId2199" Target="https://raw.githubusercontent.com/langfuse/langfuse-docs/main/content/docs/prompt-management/features/prompt-version-control.mdx" TargetMode="External" /><Relationship Type="http://schemas.openxmlformats.org/officeDocument/2006/relationships/hyperlink" Id="rId2198" Target="https://raw.githubusercontent.com/langfuse/langfuse-docs/main/content/docs/prompt-management/overview.mdx" TargetMode="External" /><Relationship Type="http://schemas.openxmlformats.org/officeDocument/2006/relationships/hyperlink" Id="rId2204" Target="https://raw.githubusercontent.com/langfuse/langfuse-docs/main/content/security/index.mdx" TargetMode="External" /><Relationship Type="http://schemas.openxmlformats.org/officeDocument/2006/relationships/hyperlink" Id="rId2196" Target="https://raw.githubusercontent.com/langfuse/langfuse-docs/main/content/self-hosting/license-key.mdx" TargetMode="External" /><Relationship Type="http://schemas.openxmlformats.org/officeDocument/2006/relationships/hyperlink" Id="rId35" Target="https://raw.githubusercontent.com/langfuse/langfuse/main/LICENSE" TargetMode="External" /><Relationship Type="http://schemas.openxmlformats.org/officeDocument/2006/relationships/hyperlink" Id="rId32" Target="https://raw.githubusercontent.com/langfuse/langfuse/main/README.md" TargetMode="External" /><Relationship Type="http://schemas.openxmlformats.org/officeDocument/2006/relationships/hyperlink" Id="rId2235" Target="https://raw.githubusercontent.com/launchdarkly/python-server-sdk-ai/main/README.md" TargetMode="External" /><Relationship Type="http://schemas.openxmlformats.org/officeDocument/2006/relationships/hyperlink" Id="rId798" Target="https://raw.githubusercontent.com/letta-ai/letta-code/main/README.md" TargetMode="External" /><Relationship Type="http://schemas.openxmlformats.org/officeDocument/2006/relationships/hyperlink" Id="rId799" Target="https://raw.githubusercontent.com/letta-ai/letta/main/README.md" TargetMode="External" /><Relationship Type="http://schemas.openxmlformats.org/officeDocument/2006/relationships/hyperlink" Id="rId1277" Target="https://raw.githubusercontent.com/llm-d/llm-d/main/README.md" TargetMode="External" /><Relationship Type="http://schemas.openxmlformats.org/officeDocument/2006/relationships/hyperlink" Id="rId1492" Target="https://raw.githubusercontent.com/lmstudio-ai/lms/main/LICENSE" TargetMode="External" /><Relationship Type="http://schemas.openxmlformats.org/officeDocument/2006/relationships/hyperlink" Id="rId1483" Target="https://raw.githubusercontent.com/lmstudio-ai/lms/main/README.md" TargetMode="External" /><Relationship Type="http://schemas.openxmlformats.org/officeDocument/2006/relationships/hyperlink" Id="rId733" Target="https://raw.githubusercontent.com/mem0ai/mem0/main/docs/migration/oss-v2-to-v3.mdx" TargetMode="External" /><Relationship Type="http://schemas.openxmlformats.org/officeDocument/2006/relationships/hyperlink" Id="rId721" Target="https://raw.githubusercontent.com/mem0ai/mem0/main/docs/platform/platform-vs-oss.mdx" TargetMode="External" /><Relationship Type="http://schemas.openxmlformats.org/officeDocument/2006/relationships/hyperlink" Id="rId2002" Target="https://raw.githubusercontent.com/meta-llama/PurpleLlama/main/LlamaFirewall/README.md" TargetMode="External" /><Relationship Type="http://schemas.openxmlformats.org/officeDocument/2006/relationships/hyperlink" Id="rId2015" Target="https://raw.githubusercontent.com/meta-llama/PurpleLlama/main/README.md" TargetMode="External" /><Relationship Type="http://schemas.openxmlformats.org/officeDocument/2006/relationships/hyperlink" Id="rId1077" Target="https://raw.githubusercontent.com/microsoft/agent-framework/main/LICENSE" TargetMode="External" /><Relationship Type="http://schemas.openxmlformats.org/officeDocument/2006/relationships/hyperlink" Id="rId1067" Target="https://raw.githubusercontent.com/microsoft/agent-framework/main/README.md" TargetMode="External" /><Relationship Type="http://schemas.openxmlformats.org/officeDocument/2006/relationships/hyperlink" Id="rId1083" Target="https://raw.githubusercontent.com/microsoft/autogen/main/README.md" TargetMode="External" /><Relationship Type="http://schemas.openxmlformats.org/officeDocument/2006/relationships/hyperlink" Id="rId2210" Target="https://raw.githubusercontent.com/microsoft/prompty/main/README.md" TargetMode="External" /><Relationship Type="http://schemas.openxmlformats.org/officeDocument/2006/relationships/hyperlink" Id="rId253" Target="https://raw.githubusercontent.com/mistralai/client-python/main/docs/sdks/ocr/README.md" TargetMode="External" /><Relationship Type="http://schemas.openxmlformats.org/officeDocument/2006/relationships/hyperlink" Id="rId21" Target="https://raw.githubusercontent.com/mlflow/mlflow/master/README.md" TargetMode="External" /><Relationship Type="http://schemas.openxmlformats.org/officeDocument/2006/relationships/hyperlink" Id="rId2329" Target="https://raw.githubusercontent.com/mmaitre314/picklescan/main/README.md" TargetMode="External" /><Relationship Type="http://schemas.openxmlformats.org/officeDocument/2006/relationships/hyperlink" Id="rId2142" Target="https://raw.githubusercontent.com/modelcontextprotocol/ext-auth/main/specification/stable/enterprise-managed-authorization.mdx" TargetMode="External" /><Relationship Type="http://schemas.openxmlformats.org/officeDocument/2006/relationships/hyperlink" Id="rId2179" Target="https://raw.githubusercontent.com/modelcontextprotocol/modelcontextprotocol/main/SECURITY.md" TargetMode="External" /><Relationship Type="http://schemas.openxmlformats.org/officeDocument/2006/relationships/hyperlink" Id="rId2169" Target="https://raw.githubusercontent.com/modelcontextprotocol/modelcontextprotocol/main/docs/extensions/auth/enterprise-managed-authorization.mdx" TargetMode="External" /><Relationship Type="http://schemas.openxmlformats.org/officeDocument/2006/relationships/hyperlink" Id="rId845" Target="https://raw.githubusercontent.com/modelcontextprotocol/modelcontextprotocol/main/docs/specification/2026-07-28/basic/authorization/index.mdx" TargetMode="External" /><Relationship Type="http://schemas.openxmlformats.org/officeDocument/2006/relationships/hyperlink" Id="rId857" Target="https://raw.githubusercontent.com/modelcontextprotocol/modelcontextprotocol/main/docs/specification/2026-07-28/basic/authorization/security-considerations.mdx" TargetMode="External" /><Relationship Type="http://schemas.openxmlformats.org/officeDocument/2006/relationships/hyperlink" Id="rId856" Target="https://raw.githubusercontent.com/modelcontextprotocol/modelcontextprotocol/main/docs/specification/2026-07-28/changelog.mdx" TargetMode="External" /><Relationship Type="http://schemas.openxmlformats.org/officeDocument/2006/relationships/hyperlink" Id="rId1451" Target="https://raw.githubusercontent.com/ollama/ollama/main/LICENSE" TargetMode="External" /><Relationship Type="http://schemas.openxmlformats.org/officeDocument/2006/relationships/hyperlink" Id="rId1441" Target="https://raw.githubusercontent.com/ollama/ollama/main/docs/cloud.mdx" TargetMode="External" /><Relationship Type="http://schemas.openxmlformats.org/officeDocument/2006/relationships/hyperlink" Id="rId1445" Target="https://raw.githubusercontent.com/ollama/ollama/main/docs/faq.mdx" TargetMode="External" /><Relationship Type="http://schemas.openxmlformats.org/officeDocument/2006/relationships/hyperlink" Id="rId2105" Target="https://raw.githubusercontent.com/open-policy-agent/opa/main/LICENSE" TargetMode="External" /><Relationship Type="http://schemas.openxmlformats.org/officeDocument/2006/relationships/hyperlink" Id="rId2103" Target="https://raw.githubusercontent.com/open-policy-agent/opa/main/README.md" TargetMode="External" /><Relationship Type="http://schemas.openxmlformats.org/officeDocument/2006/relationships/hyperlink" Id="rId2108" Target="https://raw.githubusercontent.com/open-policy-agent/opa/main/SECURITY.md" TargetMode="External" /><Relationship Type="http://schemas.openxmlformats.org/officeDocument/2006/relationships/hyperlink" Id="rId1123" Target="https://raw.githubusercontent.com/openai/openai-agents-python/main/README.md" TargetMode="External" /><Relationship Type="http://schemas.openxmlformats.org/officeDocument/2006/relationships/hyperlink" Id="rId341" Target="https://raw.githubusercontent.com/opendatalab/MinerU/master/LICENSE.md" TargetMode="External" /><Relationship Type="http://schemas.openxmlformats.org/officeDocument/2006/relationships/hyperlink" Id="rId335" Target="https://raw.githubusercontent.com/opendatalab/MinerU/master/README.md" TargetMode="External" /><Relationship Type="http://schemas.openxmlformats.org/officeDocument/2006/relationships/hyperlink" Id="rId557" Target="https://raw.githubusercontent.com/pgvector/pgvector/master/CHANGELOG.md" TargetMode="External" /><Relationship Type="http://schemas.openxmlformats.org/officeDocument/2006/relationships/hyperlink" Id="rId559" Target="https://raw.githubusercontent.com/pgvector/pgvector/master/LICENSE" TargetMode="External" /><Relationship Type="http://schemas.openxmlformats.org/officeDocument/2006/relationships/hyperlink" Id="rId117" Target="https://raw.githubusercontent.com/promptfoo/promptfoo/main/README.md" TargetMode="External" /><Relationship Type="http://schemas.openxmlformats.org/officeDocument/2006/relationships/hyperlink" Id="rId118" Target="https://raw.githubusercontent.com/promptfoo/promptfoo/main/site/docs/enterprise/index.md" TargetMode="External" /><Relationship Type="http://schemas.openxmlformats.org/officeDocument/2006/relationships/hyperlink" Id="rId120" Target="https://raw.githubusercontent.com/promptfoo/promptfoo/main/site/docs/integrations/ci-cd.md" TargetMode="External" /><Relationship Type="http://schemas.openxmlformats.org/officeDocument/2006/relationships/hyperlink" Id="rId123" Target="https://raw.githubusercontent.com/promptfoo/promptfoo/main/site/docs/tracing.md" TargetMode="External" /><Relationship Type="http://schemas.openxmlformats.org/officeDocument/2006/relationships/hyperlink" Id="rId2328" Target="https://raw.githubusercontent.com/protectai/modelscan/main/README.md" TargetMode="External" /><Relationship Type="http://schemas.openxmlformats.org/officeDocument/2006/relationships/hyperlink" Id="rId2339" Target="https://raw.githubusercontent.com/protectai/modelscan/main/SECURITY.md" TargetMode="External" /><Relationship Type="http://schemas.openxmlformats.org/officeDocument/2006/relationships/hyperlink" Id="rId1091" Target="https://raw.githubusercontent.com/pydantic/pydantic-ai/main/README.md" TargetMode="External" /><Relationship Type="http://schemas.openxmlformats.org/officeDocument/2006/relationships/hyperlink" Id="rId319" Target="https://raw.githubusercontent.com/reductoai/reducto-python-sdk/main/api.md" TargetMode="External" /><Relationship Type="http://schemas.openxmlformats.org/officeDocument/2006/relationships/hyperlink" Id="rId320" Target="https://raw.githubusercontent.com/reductoai/reducto-python-sdk/main/src/reducto/_client.py" TargetMode="External" /><Relationship Type="http://schemas.openxmlformats.org/officeDocument/2006/relationships/hyperlink" Id="rId270" Target="https://raw.githubusercontent.com/run-llama/llama-cloud-py/main/README.md" TargetMode="External" /><Relationship Type="http://schemas.openxmlformats.org/officeDocument/2006/relationships/hyperlink" Id="rId269" Target="https://raw.githubusercontent.com/run-llama/llama_index/main/README.md" TargetMode="External" /><Relationship Type="http://schemas.openxmlformats.org/officeDocument/2006/relationships/hyperlink" Id="rId1318" Target="https://raw.githubusercontent.com/sgl-project/sglang/main/LICENSE" TargetMode="External" /><Relationship Type="http://schemas.openxmlformats.org/officeDocument/2006/relationships/hyperlink" Id="rId1313" Target="https://raw.githubusercontent.com/sgl-project/sglang/main/README.md" TargetMode="External" /><Relationship Type="http://schemas.openxmlformats.org/officeDocument/2006/relationships/hyperlink" Id="rId2349" Target="https://raw.githubusercontent.com/sigstore/model-transparency/main/README.md" TargetMode="External" /><Relationship Type="http://schemas.openxmlformats.org/officeDocument/2006/relationships/hyperlink" Id="rId2112" Target="https://raw.githubusercontent.com/spiffe/spire/main/CHANGELOG.md" TargetMode="External" /><Relationship Type="http://schemas.openxmlformats.org/officeDocument/2006/relationships/hyperlink" Id="rId2114" Target="https://raw.githubusercontent.com/spiffe/spire/main/LICENSE" TargetMode="External" /><Relationship Type="http://schemas.openxmlformats.org/officeDocument/2006/relationships/hyperlink" Id="rId2111" Target="https://raw.githubusercontent.com/spiffe/spire/main/README.md" TargetMode="External" /><Relationship Type="http://schemas.openxmlformats.org/officeDocument/2006/relationships/hyperlink" Id="rId2117" Target="https://raw.githubusercontent.com/spiffe/spire/main/SECURITY.md" TargetMode="External" /><Relationship Type="http://schemas.openxmlformats.org/officeDocument/2006/relationships/hyperlink" Id="rId1153" Target="https://raw.githubusercontent.com/strands-agents/sdk-python/main/README.md" TargetMode="External" /><Relationship Type="http://schemas.openxmlformats.org/officeDocument/2006/relationships/hyperlink" Id="rId791" Target="https://raw.githubusercontent.com/supermemoryai/supermemory/main/LICENSE" TargetMode="External" /><Relationship Type="http://schemas.openxmlformats.org/officeDocument/2006/relationships/hyperlink" Id="rId783" Target="https://raw.githubusercontent.com/supermemoryai/supermemory/main/README.md" TargetMode="External" /><Relationship Type="http://schemas.openxmlformats.org/officeDocument/2006/relationships/hyperlink" Id="rId310" Target="https://raw.githubusercontent.com/unclecode/crawl4ai/main/LICENSE" TargetMode="External" /><Relationship Type="http://schemas.openxmlformats.org/officeDocument/2006/relationships/hyperlink" Id="rId305" Target="https://raw.githubusercontent.com/unclecode/crawl4ai/main/README.md" TargetMode="External" /><Relationship Type="http://schemas.openxmlformats.org/officeDocument/2006/relationships/hyperlink" Id="rId2479" Target="https://raw.githubusercontent.com/validmind/documentation/main/site/about/deployment/_deployment-available-options.qmd" TargetMode="External" /><Relationship Type="http://schemas.openxmlformats.org/officeDocument/2006/relationships/hyperlink" Id="rId2491" Target="https://raw.githubusercontent.com/validmind/documentation/main/site/about/deployment/multi-tenant-cloud.qmd" TargetMode="External" /><Relationship Type="http://schemas.openxmlformats.org/officeDocument/2006/relationships/hyperlink" Id="rId2489" Target="https://raw.githubusercontent.com/validmind/documentation/main/site/about/deployment/virtual-private-validmind.qmd" TargetMode="External" /><Relationship Type="http://schemas.openxmlformats.org/officeDocument/2006/relationships/hyperlink" Id="rId2481" Target="https://raw.githubusercontent.com/validmind/documentation/main/site/about/overview-llm-features.qmd" TargetMode="External" /><Relationship Type="http://schemas.openxmlformats.org/officeDocument/2006/relationships/hyperlink" Id="rId2487" Target="https://raw.githubusercontent.com/validmind/documentation/main/site/about/use-cases/e-23.qmd" TargetMode="External" /><Relationship Type="http://schemas.openxmlformats.org/officeDocument/2006/relationships/hyperlink" Id="rId2486" Target="https://raw.githubusercontent.com/validmind/documentation/main/site/about/use-cases/eu-ai-act.qmd" TargetMode="External" /><Relationship Type="http://schemas.openxmlformats.org/officeDocument/2006/relationships/hyperlink" Id="rId2484" Target="https://raw.githubusercontent.com/validmind/documentation/main/site/about/use-cases/sr-26-2.qmd" TargetMode="External" /><Relationship Type="http://schemas.openxmlformats.org/officeDocument/2006/relationships/hyperlink" Id="rId2485" Target="https://raw.githubusercontent.com/validmind/documentation/main/site/about/use-cases/ss1-23.qmd" TargetMode="External" /><Relationship Type="http://schemas.openxmlformats.org/officeDocument/2006/relationships/hyperlink" Id="rId2480" Target="https://raw.githubusercontent.com/validmind/documentation/main/site/guide/monitoring/ongoing-monitoring.qmd" TargetMode="External" /><Relationship Type="http://schemas.openxmlformats.org/officeDocument/2006/relationships/hyperlink" Id="rId2279" Target="https://raw.githubusercontent.com/vantage-sh/vantage-mcp-server/main/README.md" TargetMode="External" /><Relationship Type="http://schemas.openxmlformats.org/officeDocument/2006/relationships/hyperlink" Id="rId1203" Target="https://raw.githubusercontent.com/vercel/ai/main/LICENSE" TargetMode="External" /><Relationship Type="http://schemas.openxmlformats.org/officeDocument/2006/relationships/hyperlink" Id="rId1200" Target="https://raw.githubusercontent.com/vercel/ai/main/packages/ai/README.md" TargetMode="External" /><Relationship Type="http://schemas.openxmlformats.org/officeDocument/2006/relationships/hyperlink" Id="rId1201" Target="https://raw.githubusercontent.com/vercel/workflow/main/packages/workflow/README.md" TargetMode="External" /><Relationship Type="http://schemas.openxmlformats.org/officeDocument/2006/relationships/hyperlink" Id="rId1259" Target="https://raw.githubusercontent.com/vllm-project/vllm/main/README.md" TargetMode="External" /><Relationship Type="http://schemas.openxmlformats.org/officeDocument/2006/relationships/hyperlink" Id="rId150" Target="https://raw.githubusercontent.com/wandb/weave/master/README.md" TargetMode="External" /><Relationship Type="http://schemas.openxmlformats.org/officeDocument/2006/relationships/hyperlink" Id="rId327" Target="https://reducto.ai/blog/reducto-series-b-funding" TargetMode="External" /><Relationship Type="http://schemas.openxmlformats.org/officeDocument/2006/relationships/hyperlink" Id="rId325" Target="https://reducto.ai/pricing" TargetMode="External" /><Relationship Type="http://schemas.openxmlformats.org/officeDocument/2006/relationships/hyperlink" Id="rId875" Target="https://registry.modelcontextprotocol.io/v0.1/servers?limit=1" TargetMode="External" /><Relationship Type="http://schemas.openxmlformats.org/officeDocument/2006/relationships/hyperlink" Id="rId2150" Target="https://registry.npmjs.org/@auth0/ai" TargetMode="External" /><Relationship Type="http://schemas.openxmlformats.org/officeDocument/2006/relationships/hyperlink" Id="rId2307" Target="https://registry.npmjs.org/@helicone/helpers" TargetMode="External" /><Relationship Type="http://schemas.openxmlformats.org/officeDocument/2006/relationships/hyperlink" Id="rId807" Target="https://registry.npmjs.org/@letta-ai/letta-code" TargetMode="External" /><Relationship Type="http://schemas.openxmlformats.org/officeDocument/2006/relationships/hyperlink" Id="rId1207" Target="https://registry.npmjs.org/ai" TargetMode="External" /><Relationship Type="http://schemas.openxmlformats.org/officeDocument/2006/relationships/hyperlink" Id="rId130" Target="https://registry.npmjs.org/promptfoo" TargetMode="External" /><Relationship Type="http://schemas.openxmlformats.org/officeDocument/2006/relationships/hyperlink" Id="rId1211" Target="https://registry.npmjs.org/workflow" TargetMode="External" /><Relationship Type="http://schemas.openxmlformats.org/officeDocument/2006/relationships/hyperlink" Id="rId685" Target="https://sacra.com/c/turbopuffer/" TargetMode="External" /><Relationship Type="http://schemas.openxmlformats.org/officeDocument/2006/relationships/hyperlink" Id="rId2147" Target="https://security.okta.com/" TargetMode="External" /><Relationship Type="http://schemas.openxmlformats.org/officeDocument/2006/relationships/hyperlink" Id="rId595" Target="https://security.pinecone.io/" TargetMode="External" /><Relationship Type="http://schemas.openxmlformats.org/officeDocument/2006/relationships/hyperlink" Id="rId629" Target="https://siliconangle.com/2023/04/21/weaviate-reels-50m-ai-optimized-vector-database/" TargetMode="External" /><Relationship Type="http://schemas.openxmlformats.org/officeDocument/2006/relationships/hyperlink" Id="rId1525" Target="https://siliconangle.com/2026/10/06/mistral-launches-open-source-mistral-large-4-details-ai-roadmap/" TargetMode="External" /><Relationship Type="http://schemas.openxmlformats.org/officeDocument/2006/relationships/hyperlink" Id="rId1407" Target="https://stripe.com/newsroom/news/stripe-agrees-to-acquire-openrouter" TargetMode="External" /><Relationship Type="http://schemas.openxmlformats.org/officeDocument/2006/relationships/hyperlink" Id="rId787" Target="https://supermemory.ai/docs/overview/security" TargetMode="External" /><Relationship Type="http://schemas.openxmlformats.org/officeDocument/2006/relationships/hyperlink" Id="rId788" Target="https://supermemory.ai/pricing/" TargetMode="External" /><Relationship Type="http://schemas.openxmlformats.org/officeDocument/2006/relationships/hyperlink" Id="rId1617" Target="https://techbriefly.com/2026/07/07/spacexai-rebrand/" TargetMode="External" /><Relationship Type="http://schemas.openxmlformats.org/officeDocument/2006/relationships/hyperlink" Id="rId1633" Target="https://techcommunity.microsoft.com/blog/azure-ai-foundry-blog/introducing-deepseek-v4-flash-and-v4-pro-in-microsoft-foundry/4515174" TargetMode="External" /><Relationship Type="http://schemas.openxmlformats.org/officeDocument/2006/relationships/hyperlink" Id="rId1645" Target="https://techcrunch.com/2025/06/27/germany-tells-apple-google-to-remove-deepseek-from-the-countrys-app-stores" TargetMode="External" /><Relationship Type="http://schemas.openxmlformats.org/officeDocument/2006/relationships/hyperlink" Id="rId2463" Target="https://thenextweb.com/news/collibra-trail-ml-eu-ai-act-market" TargetMode="External" /><Relationship Type="http://schemas.openxmlformats.org/officeDocument/2006/relationships/hyperlink" Id="rId1622" Target="https://therecord.media/grok-sexually-explicit-images-eu-formal-investigation" TargetMode="External" /><Relationship Type="http://schemas.openxmlformats.org/officeDocument/2006/relationships/hyperlink" Id="rId314" Target="https://tracxn.com/d/companies/crawl4ai/__EgBR0RIx6L34MHENV_ItNiaxrP5zsR1oR97-bT7LWmg" TargetMode="External" /><Relationship Type="http://schemas.openxmlformats.org/officeDocument/2006/relationships/hyperlink" Id="rId1549" Target="https://trust.anthropic.com/" TargetMode="External" /><Relationship Type="http://schemas.openxmlformats.org/officeDocument/2006/relationships/hyperlink" Id="rId901" Target="https://trust.browserbase.com/" TargetMode="External" /><Relationship Type="http://schemas.openxmlformats.org/officeDocument/2006/relationships/hyperlink" Id="rId1465" Target="https://trust.cerebras.ai/" TargetMode="External" /><Relationship Type="http://schemas.openxmlformats.org/officeDocument/2006/relationships/hyperlink" Id="rId2294" Target="https://trust.cloudzero.com/" TargetMode="External" /><Relationship Type="http://schemas.openxmlformats.org/officeDocument/2006/relationships/hyperlink" Id="rId77" Target="https://trust.comet.com/" TargetMode="External" /><Relationship Type="http://schemas.openxmlformats.org/officeDocument/2006/relationships/hyperlink" Id="rId2440" Target="https://trust.credo.ai/" TargetMode="External" /><Relationship Type="http://schemas.openxmlformats.org/officeDocument/2006/relationships/hyperlink" Id="rId1166" Target="https://trust.crewai.com/" TargetMode="External" /><Relationship Type="http://schemas.openxmlformats.org/officeDocument/2006/relationships/hyperlink" Id="rId190" Target="https://trust.datadoghq.com/" TargetMode="External" /><Relationship Type="http://schemas.openxmlformats.org/officeDocument/2006/relationships/hyperlink" Id="rId985" Target="https://trust.exa.ai/" TargetMode="External" /><Relationship Type="http://schemas.openxmlformats.org/officeDocument/2006/relationships/hyperlink" Id="rId1287" Target="https://trust.fireworks.ai/" TargetMode="External" /><Relationship Type="http://schemas.openxmlformats.org/officeDocument/2006/relationships/hyperlink" Id="rId1759" Target="https://trust.konghq.com/resources" TargetMode="External" /><Relationship Type="http://schemas.openxmlformats.org/officeDocument/2006/relationships/hyperlink" Id="rId1511" Target="https://trust.openai.com/" TargetMode="External" /><Relationship Type="http://schemas.openxmlformats.org/officeDocument/2006/relationships/hyperlink" Id="rId1401" Target="https://trust.openrouter.ai/" TargetMode="External" /><Relationship Type="http://schemas.openxmlformats.org/officeDocument/2006/relationships/hyperlink" Id="rId2366" Target="https://trust.paloaltonetworks.com/" TargetMode="External" /><Relationship Type="http://schemas.openxmlformats.org/officeDocument/2006/relationships/hyperlink" Id="rId1003" Target="https://trust.tavily.com/faq" TargetMode="External" /><Relationship Type="http://schemas.openxmlformats.org/officeDocument/2006/relationships/hyperlink" Id="rId1050" Target="https://trust.temporal.io/" TargetMode="External" /><Relationship Type="http://schemas.openxmlformats.org/officeDocument/2006/relationships/hyperlink" Id="rId1359" Target="https://trust.together.ai/" TargetMode="External" /><Relationship Type="http://schemas.openxmlformats.org/officeDocument/2006/relationships/hyperlink" Id="rId371" Target="https://trustcenter.cohere.com/" TargetMode="External" /><Relationship Type="http://schemas.openxmlformats.org/officeDocument/2006/relationships/hyperlink" Id="rId670" Target="https://turbopuffer.com/docs/architecture" TargetMode="External" /><Relationship Type="http://schemas.openxmlformats.org/officeDocument/2006/relationships/hyperlink" Id="rId671" Target="https://turbopuffer.com/docs/byoc" TargetMode="External" /><Relationship Type="http://schemas.openxmlformats.org/officeDocument/2006/relationships/hyperlink" Id="rId680" Target="https://turbopuffer.com/docs/regions" TargetMode="External" /><Relationship Type="http://schemas.openxmlformats.org/officeDocument/2006/relationships/hyperlink" Id="rId677" Target="https://turbopuffer.com/docs/security" TargetMode="External" /><Relationship Type="http://schemas.openxmlformats.org/officeDocument/2006/relationships/hyperlink" Id="rId676" Target="https://turbopuffer.com/pricing" TargetMode="External" /><Relationship Type="http://schemas.openxmlformats.org/officeDocument/2006/relationships/hyperlink" Id="rId218" Target="https://unstructured.io/pricing" TargetMode="External" /><Relationship Type="http://schemas.openxmlformats.org/officeDocument/2006/relationships/hyperlink" Id="rId2493" Target="https://validmind.com/platform/" TargetMode="External" /><Relationship Type="http://schemas.openxmlformats.org/officeDocument/2006/relationships/hyperlink" Id="rId155" Target="https://wandb.ai/site/pricing" TargetMode="External" /><Relationship Type="http://schemas.openxmlformats.org/officeDocument/2006/relationships/hyperlink" Id="rId613" Target="https://weaviate.io/blog/weaviate-1-39-release" TargetMode="External" /><Relationship Type="http://schemas.openxmlformats.org/officeDocument/2006/relationships/hyperlink" Id="rId619" Target="https://weaviate.io/blog/weaviate-hipaa-compliant" TargetMode="External" /><Relationship Type="http://schemas.openxmlformats.org/officeDocument/2006/relationships/hyperlink" Id="rId618" Target="https://weaviate.io/blog/weaviate-iso-compliant" TargetMode="External" /><Relationship Type="http://schemas.openxmlformats.org/officeDocument/2006/relationships/hyperlink" Id="rId617" Target="https://weaviate.io/pricing" TargetMode="External" /><Relationship Type="http://schemas.openxmlformats.org/officeDocument/2006/relationships/hyperlink" Id="rId623" Target="https://weaviate.io/products/byoc" TargetMode="External" /><Relationship Type="http://schemas.openxmlformats.org/officeDocument/2006/relationships/hyperlink" Id="rId1694" Target="https://www.alibabacloud.com/blog/alibaba-unveils-qwen3-8-27b-and-releases-weights-of-qwen3-8-flagship-model_603463" TargetMode="External" /><Relationship Type="http://schemas.openxmlformats.org/officeDocument/2006/relationships/hyperlink" Id="rId468" Target="https://www.alibabacloud.com/help/en/model-studio/embedding" TargetMode="External" /><Relationship Type="http://schemas.openxmlformats.org/officeDocument/2006/relationships/hyperlink" Id="rId1695" Target="https://www.alibabacloud.com/help/en/model-studio/model-pricing" TargetMode="External" /><Relationship Type="http://schemas.openxmlformats.org/officeDocument/2006/relationships/hyperlink" Id="rId1702" Target="https://www.alibabacloud.com/help/en/model-studio/regions" TargetMode="External" /><Relationship Type="http://schemas.openxmlformats.org/officeDocument/2006/relationships/hyperlink" Id="rId1544" Target="https://www.anthropic.com/claude-fable-and-mythos-5-1" TargetMode="External" /><Relationship Type="http://schemas.openxmlformats.org/officeDocument/2006/relationships/hyperlink" Id="rId1546" Target="https://www.anthropic.com/claude-haiku-5-5" TargetMode="External" /><Relationship Type="http://schemas.openxmlformats.org/officeDocument/2006/relationships/hyperlink" Id="rId1545" Target="https://www.anthropic.com/claude-opus-5-5" TargetMode="External" /><Relationship Type="http://schemas.openxmlformats.org/officeDocument/2006/relationships/hyperlink" Id="rId1558" Target="https://www.anthropic.com/claude/fable" TargetMode="External" /><Relationship Type="http://schemas.openxmlformats.org/officeDocument/2006/relationships/hyperlink" Id="rId1226" Target="https://www.anthropic.com/engineering/building-agents-with-the-claude-agent-sdk" TargetMode="External" /><Relationship Type="http://schemas.openxmlformats.org/officeDocument/2006/relationships/hyperlink" Id="rId941" Target="https://www.anthropic.com/engineering/equipping-agents-for-the-real-world-with-agent-skills" TargetMode="External" /><Relationship Type="http://schemas.openxmlformats.org/officeDocument/2006/relationships/hyperlink" Id="rId1543" Target="https://www.anthropic.com/news" TargetMode="External" /><Relationship Type="http://schemas.openxmlformats.org/officeDocument/2006/relationships/hyperlink" Id="rId1723" Target="https://www.anthropic.com/news/detecting-and-preventing-distillation-attacks" TargetMode="External" /><Relationship Type="http://schemas.openxmlformats.org/officeDocument/2006/relationships/hyperlink" Id="rId1560" Target="https://www.anthropic.com/news/updates-to-our-consumer-terms" TargetMode="External" /><Relationship Type="http://schemas.openxmlformats.org/officeDocument/2006/relationships/hyperlink" Id="rId1567" Target="https://www.anthropiccopyrightsettlement.com/" TargetMode="External" /><Relationship Type="http://schemas.openxmlformats.org/officeDocument/2006/relationships/hyperlink" Id="rId1569" Target="https://www.authorsalliance.org/2026/07/21/bartz-v-anthropic-settlement-receives-final-approval/" TargetMode="External" /><Relationship Type="http://schemas.openxmlformats.org/officeDocument/2006/relationships/hyperlink" Id="rId181" Target="https://www.axios.com/pro/enterprise-software-deals/2026/02/17/ai-observability-braintrust-80-million-800-million" TargetMode="External" /><Relationship Type="http://schemas.openxmlformats.org/officeDocument/2006/relationships/hyperlink" Id="rId171" Target="https://www.braintrust.dev/blog/security-data-control" TargetMode="External" /><Relationship Type="http://schemas.openxmlformats.org/officeDocument/2006/relationships/hyperlink" Id="rId166" Target="https://www.braintrust.dev/blog/trace-keynote" TargetMode="External" /><Relationship Type="http://schemas.openxmlformats.org/officeDocument/2006/relationships/hyperlink" Id="rId173" Target="https://www.braintrust.dev/docs/integrations/opentelemetry" TargetMode="External" /><Relationship Type="http://schemas.openxmlformats.org/officeDocument/2006/relationships/hyperlink" Id="rId176" Target="https://www.braintrust.dev/docs/security" TargetMode="External" /><Relationship Type="http://schemas.openxmlformats.org/officeDocument/2006/relationships/hyperlink" Id="rId167" Target="https://www.braintrust.dev/pricing" TargetMode="External" /><Relationship Type="http://schemas.openxmlformats.org/officeDocument/2006/relationships/hyperlink" Id="rId2087" Target="https://www.businesswire.com/news/home/20240328765469/en/Skyflow-Raises-$30-Million-led-by-Khosla-Ventures-for-Data-Privacy-in-AI-and-Global-Data-Residency" TargetMode="External" /><Relationship Type="http://schemas.openxmlformats.org/officeDocument/2006/relationships/hyperlink" Id="rId1368" Target="https://www.businesswire.com/news/home/20260701243402/en/Together-AI-Raises-$800-Million-at-$8.3-Billion-Valuation-to-Make-Frontier-AI-Accessible-to-All" TargetMode="External" /><Relationship Type="http://schemas.openxmlformats.org/officeDocument/2006/relationships/hyperlink" Id="rId1363" Target="https://www.businesswire.com/news/home/20260701243402/en/Together-AI-Raises-00-Million-at-.3-Billion-Valuation-to-Make-Frontier-AI-Accessible-to-All" TargetMode="External" /><Relationship Type="http://schemas.openxmlformats.org/officeDocument/2006/relationships/hyperlink" Id="rId1294" Target="https://www.businesswire.com/news/home/20260716264405/en/Fireworks-Raises-a-$1.5-Billion-Series-D-to-Lead-the-Specialized-Intelligence-Revolution" TargetMode="External" /><Relationship Type="http://schemas.openxmlformats.org/officeDocument/2006/relationships/hyperlink" Id="rId1470" Target="https://www.cerebras.ai/press-release/cerebras-systems-announces-pricing-of-initial-public-offering" TargetMode="External" /><Relationship Type="http://schemas.openxmlformats.org/officeDocument/2006/relationships/hyperlink" Id="rId2403" Target="https://www.checkpoint.com/downloads/company/check-point-ai-guardrails-lakera-guard-privacy-datasheet.pdf" TargetMode="External" /><Relationship Type="http://schemas.openxmlformats.org/officeDocument/2006/relationships/hyperlink" Id="rId2393" Target="https://www.checkpoint.com/press-releases/check-point-launches-ai-defense-plane-to-secure-the-agentic-enterprise-at-scale/" TargetMode="External" /><Relationship Type="http://schemas.openxmlformats.org/officeDocument/2006/relationships/hyperlink" Id="rId2402" Target="https://www.checkpoint.com/press-releases/check-point-software-reports-2025-third-quarter-financial-results/" TargetMode="External" /><Relationship Type="http://schemas.openxmlformats.org/officeDocument/2006/relationships/hyperlink" Id="rId1907" Target="https://www.cloudflare.com/trust-hub/compliance-resources/soc-2/" TargetMode="External" /><Relationship Type="http://schemas.openxmlformats.org/officeDocument/2006/relationships/hyperlink" Id="rId2289" Target="https://www.cloudzero.com/blog/token-based-pricing/" TargetMode="External" /><Relationship Type="http://schemas.openxmlformats.org/officeDocument/2006/relationships/hyperlink" Id="rId1624" Target="https://www.cnbc.com/2026/01/26/elon-musk-grok-eu-explicit-images-investigation.html" TargetMode="External" /><Relationship Type="http://schemas.openxmlformats.org/officeDocument/2006/relationships/hyperlink" Id="rId1652" Target="https://www.cnbc.com/2026/07/08/chinese-ai-models-probe-us-lawmakers.html" TargetMode="External" /><Relationship Type="http://schemas.openxmlformats.org/officeDocument/2006/relationships/hyperlink" Id="rId1563" Target="https://www.cnbc.com/2026/08/28/judge-blocks-pentagon-blacklist--anthropic-.html" TargetMode="External" /><Relationship Type="http://schemas.openxmlformats.org/officeDocument/2006/relationships/hyperlink" Id="rId1502" Target="https://www.cnbc.com/2026/09/03/open-ai-astra-gpt-6-cyber.html" TargetMode="External" /><Relationship Type="http://schemas.openxmlformats.org/officeDocument/2006/relationships/hyperlink" Id="rId2454" Target="https://www.collibra.com/company/newsroom/press-releases/collibra-acquires-trail-ml-to-automate-ai-governance-from-policy-to-production" TargetMode="External" /><Relationship Type="http://schemas.openxmlformats.org/officeDocument/2006/relationships/hyperlink" Id="rId2446" Target="https://www.collibra.com/company/newsroom/press-releases/collibra-strengthens-ai-governance-leadership-with-iso-42001-certification-ai-pact-commitment" TargetMode="External" /><Relationship Type="http://schemas.openxmlformats.org/officeDocument/2006/relationships/hyperlink" Id="rId2457" Target="https://www.collibra.com/company/trust-center" TargetMode="External" /><Relationship Type="http://schemas.openxmlformats.org/officeDocument/2006/relationships/hyperlink" Id="rId82" Target="https://www.comet.com/docs/opik/administration/roles_and_permissions" TargetMode="External" /><Relationship Type="http://schemas.openxmlformats.org/officeDocument/2006/relationships/hyperlink" Id="rId79" Target="https://www.comet.com/site/pricing/" TargetMode="External" /><Relationship Type="http://schemas.openxmlformats.org/officeDocument/2006/relationships/hyperlink" Id="rId112" Target="https://www.confident-ai.com/docs/integrations/opentelemetry" TargetMode="External" /><Relationship Type="http://schemas.openxmlformats.org/officeDocument/2006/relationships/hyperlink" Id="rId114" Target="https://www.confident-ai.com/docs/settings/data-residency" TargetMode="External" /><Relationship Type="http://schemas.openxmlformats.org/officeDocument/2006/relationships/hyperlink" Id="rId1649" Target="https://www.congress.gov/crs-product/IF13197" TargetMode="External" /><Relationship Type="http://schemas.openxmlformats.org/officeDocument/2006/relationships/hyperlink" Id="rId328" Target="https://www.cooley.com/news/coverage/2025/2025-10-14-reducto-secures-$75-million-series-b" TargetMode="External" /><Relationship Type="http://schemas.openxmlformats.org/officeDocument/2006/relationships/hyperlink" Id="rId2438" Target="https://www.credo.ai/product" TargetMode="External" /><Relationship Type="http://schemas.openxmlformats.org/officeDocument/2006/relationships/hyperlink" Id="rId1642" Target="https://www.crossborderdataforum.org/generative-ai-and-gdpr-enforcement-in-europe-a-lot-of-noise-one-fine-zero-survivors/" TargetMode="External" /><Relationship Type="http://schemas.openxmlformats.org/officeDocument/2006/relationships/hyperlink" Id="rId242" Target="https://www.eba.europa.eu/publications-and-media/press-releases/european-supervisory-authorities-designate-critical-ict-third-party-providers-under-digital" TargetMode="External" /><Relationship Type="http://schemas.openxmlformats.org/officeDocument/2006/relationships/hyperlink" Id="rId531" Target="https://www.elastic.co/blog/elasticsearch-is-open-source-again" TargetMode="External" /><Relationship Type="http://schemas.openxmlformats.org/officeDocument/2006/relationships/hyperlink" Id="rId451" Target="https://www.elastic.co/blog/whats-new-elastic-9-5-0" TargetMode="External" /><Relationship Type="http://schemas.openxmlformats.org/officeDocument/2006/relationships/hyperlink" Id="rId526" Target="https://www.elastic.co/docs/deploy-manage/security/encrypt-deployment-with-customer-managed-encryption-key" TargetMode="External" /><Relationship Type="http://schemas.openxmlformats.org/officeDocument/2006/relationships/hyperlink" Id="rId453" Target="https://www.elastic.co/docs/explore-analyze/machine-learning/nlp/ml-nlp-jina" TargetMode="External" /><Relationship Type="http://schemas.openxmlformats.org/officeDocument/2006/relationships/hyperlink" Id="rId443" Target="https://www.elastic.co/subscriptions/cloud" TargetMode="External" /><Relationship Type="http://schemas.openxmlformats.org/officeDocument/2006/relationships/hyperlink" Id="rId454" Target="https://www.elastic.co/trust" TargetMode="External" /><Relationship Type="http://schemas.openxmlformats.org/officeDocument/2006/relationships/hyperlink" Id="rId440" Target="https://www.esma.europa.eu/esmas-activities/digital-finance-and-innovation/digital-operational-resilience-act-dora" TargetMode="External" /><Relationship Type="http://schemas.openxmlformats.org/officeDocument/2006/relationships/hyperlink" Id="rId519" Target="https://www.ethicalagentic.ai/privacy-policy" TargetMode="External" /><Relationship Type="http://schemas.openxmlformats.org/officeDocument/2006/relationships/hyperlink" Id="rId1670" Target="https://www.federalregister.gov/documents/2025/01/16/2025-00704/addition-of-entities-to-and-revision-of-entry-on-the-entity-list" TargetMode="External" /><Relationship Type="http://schemas.openxmlformats.org/officeDocument/2006/relationships/hyperlink" Id="rId2262" Target="https://www.finops.org/insights/2026-finops-framework/" TargetMode="External" /><Relationship Type="http://schemas.openxmlformats.org/officeDocument/2006/relationships/hyperlink" Id="rId290" Target="https://www.firecrawl.dev/blog/introducing-alexandria-series-b" TargetMode="External" /><Relationship Type="http://schemas.openxmlformats.org/officeDocument/2006/relationships/hyperlink" Id="rId297" Target="https://www.firecrawl.dev/pricing.md" TargetMode="External" /><Relationship Type="http://schemas.openxmlformats.org/officeDocument/2006/relationships/hyperlink" Id="rId301" Target="https://www.firecrawl.dev/privacy-policy" TargetMode="External" /><Relationship Type="http://schemas.openxmlformats.org/officeDocument/2006/relationships/hyperlink" Id="rId1641" Target="https://www.garanteprivacy.it/web/guest/home/docweb/-/docweb-display/docweb/10098477" TargetMode="External" /><Relationship Type="http://schemas.openxmlformats.org/officeDocument/2006/relationships/hyperlink" Id="rId707" Target="https://www.getzep.com/enterprise/" TargetMode="External" /><Relationship Type="http://schemas.openxmlformats.org/officeDocument/2006/relationships/hyperlink" Id="rId706" Target="https://www.getzep.com/pricing/" TargetMode="External" /><Relationship Type="http://schemas.openxmlformats.org/officeDocument/2006/relationships/hyperlink" Id="rId2027" Target="https://www.harvey.ai/blog/guardrails-ai-joins-harvey" TargetMode="External" /><Relationship Type="http://schemas.openxmlformats.org/officeDocument/2006/relationships/hyperlink" Id="rId2312" Target="https://www.hashicorp.com/en/blog/hashicorp-vault-agentic-iam-is-now-generally-available" TargetMode="External" /><Relationship Type="http://schemas.openxmlformats.org/officeDocument/2006/relationships/hyperlink" Id="rId2316" Target="https://www.hashicorp.com/en/trust/compliance" TargetMode="External" /><Relationship Type="http://schemas.openxmlformats.org/officeDocument/2006/relationships/hyperlink" Id="rId2304" Target="https://www.helicone.ai/blog" TargetMode="External" /><Relationship Type="http://schemas.openxmlformats.org/officeDocument/2006/relationships/hyperlink" Id="rId2305" Target="https://www.helicone.ai/blog/joining-mintlify" TargetMode="External" /><Relationship Type="http://schemas.openxmlformats.org/officeDocument/2006/relationships/hyperlink" Id="rId2381" Target="https://www.hiddenlayer.com/insight/hiddenlayer-achieves-iso-27001-and-renews-soc-2-type-2-compliance" TargetMode="External" /><Relationship Type="http://schemas.openxmlformats.org/officeDocument/2006/relationships/hyperlink" Id="rId2376" Target="https://www.hiddenlayer.com/news/hiddenlayer-100m-series-b-ai-security" TargetMode="External" /><Relationship Type="http://schemas.openxmlformats.org/officeDocument/2006/relationships/hyperlink" Id="rId2383" Target="https://www.hiddenlayer.com/news/hiddenlayer-announces-new-features-to-safeguard-enterprise-ai-models-with-improved-risk-detection" TargetMode="External" /><Relationship Type="http://schemas.openxmlformats.org/officeDocument/2006/relationships/hyperlink" Id="rId1565" Target="https://www.hklaw.com/en/insights/publications/2026/09/dc-circuit-upholds-exclusion-of-anthropic-from-dow-supply-chain" TargetMode="External" /><Relationship Type="http://schemas.openxmlformats.org/officeDocument/2006/relationships/hyperlink" Id="rId2424" Target="https://www.ibm.com/new/announcements/from-governance-policies-to-governance-proof-with-enforcement-tracking-for-watsonx-orchestrate" TargetMode="External" /><Relationship Type="http://schemas.openxmlformats.org/officeDocument/2006/relationships/hyperlink" Id="rId2432" Target="https://www.ibm.com/new/announcements/introducing-fedramp-authorized-watsonx-services-on-aws-govcloud" TargetMode="External" /><Relationship Type="http://schemas.openxmlformats.org/officeDocument/2006/relationships/hyperlink" Id="rId2423" Target="https://www.ibm.com/products/watsonx-governance/pricing" TargetMode="External" /><Relationship Type="http://schemas.openxmlformats.org/officeDocument/2006/relationships/hyperlink" Id="rId1711" Target="https://www.kimi.com/en/blog/kimi-k3" TargetMode="External" /><Relationship Type="http://schemas.openxmlformats.org/officeDocument/2006/relationships/hyperlink" Id="rId1644" Target="https://www.koreatimes.co.kr/amp/southkorea/globalcommunity/20250424/deepseek-transferred-korean-users-data-abroad-without-permission-govt" TargetMode="External" /><Relationship Type="http://schemas.openxmlformats.org/officeDocument/2006/relationships/hyperlink" Id="rId1648" Target="https://www.koreatimes.co.kr/amp/world/20250201/taiwan-bans-government-agencies-from-using-deepseek" TargetMode="External" /><Relationship Type="http://schemas.openxmlformats.org/officeDocument/2006/relationships/hyperlink" Id="rId53" Target="https://www.langchain.com/blog/end-to-end-opentelemetry-langsmith" TargetMode="External" /><Relationship Type="http://schemas.openxmlformats.org/officeDocument/2006/relationships/hyperlink" Id="rId54" Target="https://www.langchain.com/blog/interrupt-2026-overview" TargetMode="External" /><Relationship Type="http://schemas.openxmlformats.org/officeDocument/2006/relationships/hyperlink" Id="rId1031" Target="https://www.langchain.com/blog/langchain-langgraph-1dot0" TargetMode="External" /><Relationship Type="http://schemas.openxmlformats.org/officeDocument/2006/relationships/hyperlink" Id="rId1041" Target="https://www.langchain.com/enterprise" TargetMode="External" /><Relationship Type="http://schemas.openxmlformats.org/officeDocument/2006/relationships/hyperlink" Id="rId62" Target="https://www.langchain.com/pricing" TargetMode="External" /><Relationship Type="http://schemas.openxmlformats.org/officeDocument/2006/relationships/hyperlink" Id="rId243" Target="https://www.legislation.gov.uk/uksi/2026/777/made" TargetMode="External" /><Relationship Type="http://schemas.openxmlformats.org/officeDocument/2006/relationships/hyperlink" Id="rId800" Target="https://www.letta.com/blog/our-next-phase/" TargetMode="External" /><Relationship Type="http://schemas.openxmlformats.org/officeDocument/2006/relationships/hyperlink" Id="rId811" Target="https://www.letta.com/privacy-policy/" TargetMode="External" /><Relationship Type="http://schemas.openxmlformats.org/officeDocument/2006/relationships/hyperlink" Id="rId827" Target="https://www.linuxfoundation.org/press/a2a-protocol-surpasses-150-organizations-lands-in-major-cloud-platforms-and-sees-enterprise-production-use-in-first-year" TargetMode="External" /><Relationship Type="http://schemas.openxmlformats.org/officeDocument/2006/relationships/hyperlink" Id="rId863" Target="https://www.linuxfoundation.org/press/linux-foundation-announces-the-formation-of-the-agentic-ai-foundation" TargetMode="External" /><Relationship Type="http://schemas.openxmlformats.org/officeDocument/2006/relationships/hyperlink" Id="rId1832" Target="https://www.linuxfoundation.org/press/linux-foundation-welcomes-agentgateway-project-to-accelerate-ai-agent-adoption-while-maintaining-security-observability-and-governance" TargetMode="External" /><Relationship Type="http://schemas.openxmlformats.org/officeDocument/2006/relationships/hyperlink" Id="rId25" Target="https://www.linuxfoundation.org/press/press-release/the-mlflow-project-joins-linux-foundation" TargetMode="External" /><Relationship Type="http://schemas.openxmlformats.org/officeDocument/2006/relationships/hyperlink" Id="rId1729" Target="https://www.litellm.ai/pricing" TargetMode="External" /><Relationship Type="http://schemas.openxmlformats.org/officeDocument/2006/relationships/hyperlink" Id="rId1183" Target="https://www.llamaindex.ai/blog/announcing-workflows-1-0-a-lightweight-framework-for-agentic-systems" TargetMode="External" /><Relationship Type="http://schemas.openxmlformats.org/officeDocument/2006/relationships/hyperlink" Id="rId1187" Target="https://www.llamaindex.ai/blog/llamaagents-build-serve-and-deploy-document-agents" TargetMode="External" /><Relationship Type="http://schemas.openxmlformats.org/officeDocument/2006/relationships/hyperlink" Id="rId990" Target="https://www.lw.com/en/news/2026/05/latham-advises-exa-in-series-c" TargetMode="External" /><Relationship Type="http://schemas.openxmlformats.org/officeDocument/2006/relationships/hyperlink" Id="rId1661" Target="https://www.marktechpost.com/2026/08/26/z-ai-releases-glm-5-3-flash-a-320b-a18b-natively-multimodal-moe-with-a-1m-token-context/" TargetMode="External" /><Relationship Type="http://schemas.openxmlformats.org/officeDocument/2006/relationships/hyperlink" Id="rId2466" Target="https://www.modelop.com/ai-governance-software/controls" TargetMode="External" /><Relationship Type="http://schemas.openxmlformats.org/officeDocument/2006/relationships/hyperlink" Id="rId2471" Target="https://www.modelop.com/ai-governance-software/integrations" TargetMode="External" /><Relationship Type="http://schemas.openxmlformats.org/officeDocument/2006/relationships/hyperlink" Id="rId2444" Target="https://www.modelop.com/ai-governance/ai-regulations-standards/sr-11-7" TargetMode="External" /><Relationship Type="http://schemas.openxmlformats.org/officeDocument/2006/relationships/hyperlink" Id="rId2474" Target="https://www.modelop.com/blog/a-milestone-moment-modelop-raises-10-million-to-accelerate-the-growth-of-its-leading-ai-governance-software" TargetMode="External" /><Relationship Type="http://schemas.openxmlformats.org/officeDocument/2006/relationships/hyperlink" Id="rId2469" Target="https://www.modelop.com/blog/modelop-now-available-on-aws-marketplace" TargetMode="External" /><Relationship Type="http://schemas.openxmlformats.org/officeDocument/2006/relationships/hyperlink" Id="rId503" Target="https://www.mongodb.com/company/blog/product-release-announcements/europe-data-residency-for-atlas-embedding-reranking" TargetMode="External" /><Relationship Type="http://schemas.openxmlformats.org/officeDocument/2006/relationships/hyperlink" Id="rId500" Target="https://www.mongodb.com/company/blog/product-release-announcements/introducing-rerank-3-and-native-rerank" TargetMode="External" /><Relationship Type="http://schemas.openxmlformats.org/officeDocument/2006/relationships/hyperlink" Id="rId495" Target="https://www.mongodb.com/company/blog/product-release-announcements/introducing-the-embedding-and-reranking-api-on-mongodb-atlas" TargetMode="External" /><Relationship Type="http://schemas.openxmlformats.org/officeDocument/2006/relationships/hyperlink" Id="rId632" Target="https://www.mongodb.com/company/blog/product-release-announcements/mongodb-search-vector-search-now-run-anywhere" TargetMode="External" /><Relationship Type="http://schemas.openxmlformats.org/officeDocument/2006/relationships/hyperlink" Id="rId496" Target="https://www.mongodb.com/company/blog/product-release-announcements/unlocking-ai-search-introducing-automated-embedding-in-mongodb-vector-search" TargetMode="External" /><Relationship Type="http://schemas.openxmlformats.org/officeDocument/2006/relationships/hyperlink" Id="rId640" Target="https://www.mongodb.com/docs/atlas/security-kms-encryption/" TargetMode="External" /><Relationship Type="http://schemas.openxmlformats.org/officeDocument/2006/relationships/hyperlink" Id="rId636" Target="https://www.mongodb.com/docs/atlas/security/manage-federated-auth/" TargetMode="External" /><Relationship Type="http://schemas.openxmlformats.org/officeDocument/2006/relationships/hyperlink" Id="rId477" Target="https://www.mongodb.com/docs/voyageai/management/api-keys/" TargetMode="External" /><Relationship Type="http://schemas.openxmlformats.org/officeDocument/2006/relationships/hyperlink" Id="rId480" Target="https://www.mongodb.com/docs/voyageai/models/" TargetMode="External" /><Relationship Type="http://schemas.openxmlformats.org/officeDocument/2006/relationships/hyperlink" Id="rId493" Target="https://www.mongodb.com/products/platform/trust" TargetMode="External" /><Relationship Type="http://schemas.openxmlformats.org/officeDocument/2006/relationships/hyperlink" Id="rId643" Target="https://www.mongodb.com/products/platform/trust/soc" TargetMode="External" /><Relationship Type="http://schemas.openxmlformats.org/officeDocument/2006/relationships/hyperlink" Id="rId1316" Target="https://www.morningstar.com/news/business-wire/20260505077157/radixark-launches-with-100-million-in-seed-funding-led-by-accel-to-grow-sglang-and-democratize-frontier-ai-infrastructure" TargetMode="External" /><Relationship Type="http://schemas.openxmlformats.org/officeDocument/2006/relationships/hyperlink" Id="rId1654" Target="https://www.nist.gov/news-events/news/2025/09/caisi-evaluation-deepseek-ai-models-finds-shortcomings-and-risks" TargetMode="External" /><Relationship Type="http://schemas.openxmlformats.org/officeDocument/2006/relationships/hyperlink" Id="rId1668" Target="https://www.nist.gov/news-events/news/2026/07/caisi-assessment-zais-glm-52" TargetMode="External" /><Relationship Type="http://schemas.openxmlformats.org/officeDocument/2006/relationships/hyperlink" Id="rId1707" Target="https://www.nist.gov/news-events/news/2026/07/uk-aisi-caisi-preliminary-assessment-kimi-k3s-cyber-capabilities" TargetMode="External" /><Relationship Type="http://schemas.openxmlformats.org/officeDocument/2006/relationships/hyperlink" Id="rId1659" Target="https://www.nist.gov/news-events/news/2026/09/caisis-assessment-zais-glm-53-cyber-capabilities" TargetMode="External" /><Relationship Type="http://schemas.openxmlformats.org/officeDocument/2006/relationships/hyperlink" Id="rId2139" Target="https://www.okta.com/blog/ai/okta-for-ai-agents-general-availability/" TargetMode="External" /><Relationship Type="http://schemas.openxmlformats.org/officeDocument/2006/relationships/hyperlink" Id="rId2140" Target="https://www.okta.com/newsroom/press-releases/okta-brings-first-class-identity-to-ai-agents-with-agent-sso/" TargetMode="External" /><Relationship Type="http://schemas.openxmlformats.org/officeDocument/2006/relationships/hyperlink" Id="rId2358" Target="https://www.paloaltonetworks.com/ai-security/ai-model-security" TargetMode="External" /><Relationship Type="http://schemas.openxmlformats.org/officeDocument/2006/relationships/hyperlink" Id="rId1805" Target="https://www.paloaltonetworks.com/blog/2026/07/announcing-general-availability-of-prisma-airs-ai-gateway/" TargetMode="External" /><Relationship Type="http://schemas.openxmlformats.org/officeDocument/2006/relationships/hyperlink" Id="rId2342" Target="https://www.paloaltonetworks.com/company/press/2025/palo-alto-networks-completes-acquisition-of-protect-ai" TargetMode="External" /><Relationship Type="http://schemas.openxmlformats.org/officeDocument/2006/relationships/hyperlink" Id="rId1810" Target="https://www.paloaltonetworks.com/company/press/2026/palo-alto-networks-completes-acquisition-of-portkey-to-secure-ai-agents" TargetMode="External" /><Relationship Type="http://schemas.openxmlformats.org/officeDocument/2006/relationships/hyperlink" Id="rId2356" Target="https://www.paloaltonetworks.com/company/press/2026/palo-alto-networks-secures-agentic-ai-with-prisma-airs-3-0" TargetMode="External" /><Relationship Type="http://schemas.openxmlformats.org/officeDocument/2006/relationships/hyperlink" Id="rId599" Target="https://www.pinecone.io/blog/byoc-generally-available/" TargetMode="External" /><Relationship Type="http://schemas.openxmlformats.org/officeDocument/2006/relationships/hyperlink" Id="rId591" Target="https://www.pinecone.io/blog/cascading-retrieval/" TargetMode="External" /><Relationship Type="http://schemas.openxmlformats.org/officeDocument/2006/relationships/hyperlink" Id="rId593" Target="https://www.pinecone.io/newsroom/general-availability-of-pinecone-nexus-proves-knowledge-drives-real-outcomes-for-agentic-ai/" TargetMode="External" /><Relationship Type="http://schemas.openxmlformats.org/officeDocument/2006/relationships/hyperlink" Id="rId609" Target="https://www.pinecone.io/newsroom/next-chapter/" TargetMode="External" /><Relationship Type="http://schemas.openxmlformats.org/officeDocument/2006/relationships/hyperlink" Id="rId608" Target="https://www.pinecone.io/newsroom/pinecone-raises-usd100m-in-series-b-funding-to-provide-long-term-memory-for-ai/" TargetMode="External" /><Relationship Type="http://schemas.openxmlformats.org/officeDocument/2006/relationships/hyperlink" Id="rId592" Target="https://www.pinecone.io/newsroom/zoominfo-pinecone-drn/" TargetMode="External" /><Relationship Type="http://schemas.openxmlformats.org/officeDocument/2006/relationships/hyperlink" Id="rId596" Target="https://www.pinecone.io/security/" TargetMode="External" /><Relationship Type="http://schemas.openxmlformats.org/officeDocument/2006/relationships/hyperlink" Id="rId565" Target="https://www.postgresql.org/about/news/pgvector-082-released-3245/" TargetMode="External" /><Relationship Type="http://schemas.openxmlformats.org/officeDocument/2006/relationships/hyperlink" Id="rId556" Target="https://www.postgresql.org/about/news/pgvector-087-released-3392/" TargetMode="External" /><Relationship Type="http://schemas.openxmlformats.org/officeDocument/2006/relationships/hyperlink" Id="rId1647" Target="https://www.protectivesecurity.gov.au/publications-library/direction-001-2025-deepseek-products-applications-and-web-services" TargetMode="External" /><Relationship Type="http://schemas.openxmlformats.org/officeDocument/2006/relationships/hyperlink" Id="rId2099" Target="https://www.protegrity.com/blog/compliance-cheat-sheet-gdpr-vs-cpra-vs-hipaa-vs-soc/" TargetMode="External" /><Relationship Type="http://schemas.openxmlformats.org/officeDocument/2006/relationships/hyperlink" Id="rId2094" Target="https://www.protegrity.com/news/protegrity-ai-team-edition-to-secure-agentic-workflows" TargetMode="External" /><Relationship Type="http://schemas.openxmlformats.org/officeDocument/2006/relationships/hyperlink" Id="rId2098" Target="https://www.protegrity.com/news/protegrity-awarded-iso-270012013-certification" TargetMode="External" /><Relationship Type="http://schemas.openxmlformats.org/officeDocument/2006/relationships/hyperlink" Id="rId522" Target="https://www.ragie.ai/" TargetMode="External" /><Relationship Type="http://schemas.openxmlformats.org/officeDocument/2006/relationships/hyperlink" Id="rId1697" Target="https://www.scmp.com/tech/article/3362738/alibabas-ai-model-qwen38-max-made-widely-accessible-ahead-open-weights-release" TargetMode="External" /><Relationship Type="http://schemas.openxmlformats.org/officeDocument/2006/relationships/hyperlink" Id="rId2373" Target="https://www.sec.gov/Archives/edgar/data/0001327567/000132756726000015/panw-20260430.htm" TargetMode="External" /><Relationship Type="http://schemas.openxmlformats.org/officeDocument/2006/relationships/hyperlink" Id="rId1816" Target="https://www.sec.gov/Archives/edgar/data/0001327567/000132756726000023/panw-20260731.htm" TargetMode="External" /><Relationship Type="http://schemas.openxmlformats.org/officeDocument/2006/relationships/hyperlink" Id="rId1008" Target="https://www.sec.gov/Archives/edgar/data/0001513845/000110465926052948/nbis-20251231x20f.htm" TargetMode="External" /><Relationship Type="http://schemas.openxmlformats.org/officeDocument/2006/relationships/hyperlink" Id="rId1471" Target="https://www.sec.gov/Archives/edgar/data/0002021728/000162828026056357/cbrs-20260630.htm" TargetMode="External" /><Relationship Type="http://schemas.openxmlformats.org/officeDocument/2006/relationships/hyperlink" Id="rId490" Target="https://www.sec.gov/Archives/edgar/data/1441816/000162828026016799/mdb-20260131.htm" TargetMode="External" /><Relationship Type="http://schemas.openxmlformats.org/officeDocument/2006/relationships/hyperlink" Id="rId2080" Target="https://www.skyflow.com/gdpr-compliance" TargetMode="External" /><Relationship Type="http://schemas.openxmlformats.org/officeDocument/2006/relationships/hyperlink" Id="rId2084" Target="https://www.skyflow.com/security" TargetMode="External" /><Relationship Type="http://schemas.openxmlformats.org/officeDocument/2006/relationships/hyperlink" Id="rId1828" Target="https://www.solo.io/press-releases/enterprise-agentgateway-mcp-labs" TargetMode="External" /><Relationship Type="http://schemas.openxmlformats.org/officeDocument/2006/relationships/hyperlink" Id="rId1014" Target="https://www.tavily.com/blog/tavily-is-joining-nebius" TargetMode="External" /><Relationship Type="http://schemas.openxmlformats.org/officeDocument/2006/relationships/hyperlink" Id="rId1004" Target="https://www.tavily.com/pricing" TargetMode="External" /><Relationship Type="http://schemas.openxmlformats.org/officeDocument/2006/relationships/hyperlink" Id="rId1358" Target="https://www.together.ai/blog/soc-2-compliance" TargetMode="External" /><Relationship Type="http://schemas.openxmlformats.org/officeDocument/2006/relationships/hyperlink" Id="rId689" Target="https://www.trychroma.com/pricing" TargetMode="External" /><Relationship Type="http://schemas.openxmlformats.org/officeDocument/2006/relationships/hyperlink" Id="rId692" Target="https://www.trychroma.com/security" TargetMode="External" /><Relationship Type="http://schemas.openxmlformats.org/officeDocument/2006/relationships/hyperlink" Id="rId2263" Target="https://www.vantage.sh/blog/managed-ai-tags" TargetMode="External" /><Relationship Type="http://schemas.openxmlformats.org/officeDocument/2006/relationships/hyperlink" Id="rId2283" Target="https://www.vantage.sh/legal/security" TargetMode="External" /><Relationship Type="http://schemas.openxmlformats.org/officeDocument/2006/relationships/hyperlink" Id="rId1606" Target="https://x.ai/news/grok-4-7" TargetMode="External" /><Relationship Type="http://schemas.openxmlformats.org/officeDocument/2006/relationships/hyperlink" Id="rId1615" Target="https://x.ai/news/xai-joins-spacex" TargetMode="External" /><Relationship Type="http://schemas.openxmlformats.org/officeDocument/2006/relationships/hyperlink" Id="rId538" Target="https://zilliz.com/news/milvus-3-0-lake-native-vector-database" TargetMode="External" /><Relationship Type="http://schemas.openxmlformats.org/officeDocument/2006/relationships/hyperlink" Id="rId552" Target="https://zilliz.com/news/vector-database-company-zilliz-series-b-extension" TargetMode="External" /><Relationship Type="http://schemas.openxmlformats.org/officeDocument/2006/relationships/hyperlink" Id="rId544" Target="https://zilliz.com/pricing" TargetMode="External" /><Relationship Type="http://schemas.openxmlformats.org/officeDocument/2006/relationships/hyperlink" Id="rId541" Target="https://zilliz.com/trust-center" TargetMode="External" /></Relationships>
</file>

<file path=word/_rels/footnotes.xml.rels><?xml version="1.0" encoding="UTF-8"?><Relationships xmlns="http://schemas.openxmlformats.org/package/2006/relationships"><Relationship Type="http://schemas.openxmlformats.org/officeDocument/2006/relationships/hyperlink" Id="rId1598" Target="https://9to5google.com/2026/09/30/gemini-4-argon-announcement/" TargetMode="External" /><Relationship Type="http://schemas.openxmlformats.org/officeDocument/2006/relationships/hyperlink" Id="rId834" Target="https://a2a-protocol.org/latest/announcing-1.0/" TargetMode="External" /><Relationship Type="http://schemas.openxmlformats.org/officeDocument/2006/relationships/hyperlink" Id="rId836" Target="https://a2a-protocol.org/latest/blog/2026/08/27/a-new-chapter-for-a2a-joining-the-agentic-ai-foundation/" TargetMode="External" /><Relationship Type="http://schemas.openxmlformats.org/officeDocument/2006/relationships/hyperlink" Id="rId829" Target="https://aaif.io/blog/a2a-joins-aaif" TargetMode="External" /><Relationship Type="http://schemas.openxmlformats.org/officeDocument/2006/relationships/hyperlink" Id="rId950" Target="https://aaif.io/blog/skills-over-mcp" TargetMode="External" /><Relationship Type="http://schemas.openxmlformats.org/officeDocument/2006/relationships/hyperlink" Id="rId1677" Target="https://about.fb.com/news/2026/04/introducing-muse-spark-meta-superintelligence-labs/" TargetMode="External" /><Relationship Type="http://schemas.openxmlformats.org/officeDocument/2006/relationships/hyperlink" Id="rId940" Target="https://agentskills.io/specification" TargetMode="External" /><Relationship Type="http://schemas.openxmlformats.org/officeDocument/2006/relationships/hyperlink" Id="rId1585" Target="https://ai.google.dev/gemini-api/docs/changelog" TargetMode="External" /><Relationship Type="http://schemas.openxmlformats.org/officeDocument/2006/relationships/hyperlink" Id="rId401" Target="https://ai.google.dev/gemini-api/docs/embeddings" TargetMode="External" /><Relationship Type="http://schemas.openxmlformats.org/officeDocument/2006/relationships/hyperlink" Id="rId409" Target="https://ai.google.dev/gemini-api/docs/pricing" TargetMode="External" /><Relationship Type="http://schemas.openxmlformats.org/officeDocument/2006/relationships/hyperlink" Id="rId1593" Target="https://ai.google.dev/gemini-api/terms" TargetMode="External" /><Relationship Type="http://schemas.openxmlformats.org/officeDocument/2006/relationships/hyperlink" Id="rId2005" Target="https://ai.meta.com/blog/ai-defenders-program-llama-protection-tools/" TargetMode="External" /><Relationship Type="http://schemas.openxmlformats.org/officeDocument/2006/relationships/hyperlink" Id="rId1628" Target="https://api-docs.deepseek.com/news/news260424/" TargetMode="External" /><Relationship Type="http://schemas.openxmlformats.org/officeDocument/2006/relationships/hyperlink" Id="rId1629" Target="https://api-docs.deepseek.com/news/news260910/" TargetMode="External" /><Relationship Type="http://schemas.openxmlformats.org/officeDocument/2006/relationships/hyperlink" Id="rId1630" Target="https://api-docs.deepseek.com/quick_start/pricing/" TargetMode="External" /><Relationship Type="http://schemas.openxmlformats.org/officeDocument/2006/relationships/hyperlink" Id="rId1339" Target="https://api.github.com/repos/huggingface/text-generation-inference" TargetMode="External" /><Relationship Type="http://schemas.openxmlformats.org/officeDocument/2006/relationships/hyperlink" Id="rId727" Target="https://api.github.com/search/repositories" TargetMode="External" /><Relationship Type="http://schemas.openxmlformats.org/officeDocument/2006/relationships/hyperlink" Id="rId356" Target="https://apify.com/pricing" TargetMode="External" /><Relationship Type="http://schemas.openxmlformats.org/officeDocument/2006/relationships/hyperlink" Id="rId95" Target="https://arize.com/docs/ax/security-and-settings/compliance" TargetMode="External" /><Relationship Type="http://schemas.openxmlformats.org/officeDocument/2006/relationships/hyperlink" Id="rId89" Target="https://arize.com/docs/phoenix/resources/frequently-asked-questions/what-is-the-difference-between-phoenix-and-arize" TargetMode="External" /><Relationship Type="http://schemas.openxmlformats.org/officeDocument/2006/relationships/hyperlink" Id="rId90" Target="https://arize.com/pricing/" TargetMode="External" /><Relationship Type="http://schemas.openxmlformats.org/officeDocument/2006/relationships/hyperlink" Id="rId465" Target="https://arxiv.org/abs/2601.04720" TargetMode="External" /><Relationship Type="http://schemas.openxmlformats.org/officeDocument/2006/relationships/hyperlink" Id="rId846" Target="https://arxiv.org/pdf/2508.14925" TargetMode="External" /><Relationship Type="http://schemas.openxmlformats.org/officeDocument/2006/relationships/hyperlink" Id="rId2138" Target="https://auth0.com/blog/auth0-for-ai-agents-generally-available/" TargetMode="External" /><Relationship Type="http://schemas.openxmlformats.org/officeDocument/2006/relationships/hyperlink" Id="rId752" Target="https://aws.amazon.com/about-aws/whats-new/2025/10/amazon-bedrock-agentcore-available/" TargetMode="External" /><Relationship Type="http://schemas.openxmlformats.org/officeDocument/2006/relationships/hyperlink" Id="rId652" Target="https://aws.amazon.com/about-aws/whats-new/2025/12/amazon-s3-vectors-generally-available/" TargetMode="External" /><Relationship Type="http://schemas.openxmlformats.org/officeDocument/2006/relationships/hyperlink" Id="rId880" Target="https://aws.amazon.com/about-aws/whats-new/2026/03/policy-amazon-bedrock-agentcore-generally-available/" TargetMode="External" /><Relationship Type="http://schemas.openxmlformats.org/officeDocument/2006/relationships/hyperlink" Id="rId2123" Target="https://aws.amazon.com/about-aws/whats-new/2026/04/amazon-verified-permissions-policy-store/" TargetMode="External" /><Relationship Type="http://schemas.openxmlformats.org/officeDocument/2006/relationships/hyperlink" Id="rId666" Target="https://aws.amazon.com/about-aws/whats-new/2026/06/s3-vectors-reduces-query-charges-80-percent-large-indexes/" TargetMode="External" /><Relationship Type="http://schemas.openxmlformats.org/officeDocument/2006/relationships/hyperlink" Id="rId649" Target="https://aws.amazon.com/about-aws/whats-new/2026/06/s3-vectors-supports-10000-search-results-per-query/" TargetMode="External" /><Relationship Type="http://schemas.openxmlformats.org/officeDocument/2006/relationships/hyperlink" Id="rId1873" Target="https://aws.amazon.com/about-aws/whats-new/2026/08/temporal-policies-agentcore/" TargetMode="External" /><Relationship Type="http://schemas.openxmlformats.org/officeDocument/2006/relationships/hyperlink" Id="rId1504" Target="https://aws.amazon.com/about-aws/whats-new/2026/09/openai-gpt-6-astra-on-amazon-bedrock/" TargetMode="External" /><Relationship Type="http://schemas.openxmlformats.org/officeDocument/2006/relationships/hyperlink" Id="rId1867" Target="https://aws.amazon.com/bedrock/agentcore/faqs/" TargetMode="External" /><Relationship Type="http://schemas.openxmlformats.org/officeDocument/2006/relationships/hyperlink" Id="rId764" Target="https://aws.amazon.com/bedrock/agentcore/pricing/" TargetMode="External" /><Relationship Type="http://schemas.openxmlformats.org/officeDocument/2006/relationships/hyperlink" Id="rId1952" Target="https://aws.amazon.com/bedrock/pricing/" TargetMode="External" /><Relationship Type="http://schemas.openxmlformats.org/officeDocument/2006/relationships/hyperlink" Id="rId751" Target="https://aws.amazon.com/blogs/machine-learning/designing-lifecycle-policies-for-agentcore-memory/" TargetMode="External" /><Relationship Type="http://schemas.openxmlformats.org/officeDocument/2006/relationships/hyperlink" Id="rId1665" Target="https://aws.amazon.com/blogs/machine-learning/introducing-kimi-k3-on-amazon-bedrock/" TargetMode="External" /><Relationship Type="http://schemas.openxmlformats.org/officeDocument/2006/relationships/hyperlink" Id="rId651" Target="https://aws.amazon.com/blogs/machine-learning/selecting-a-vector-store-for-amazon-bedrock-knowledge-bases/" TargetMode="External" /><Relationship Type="http://schemas.openxmlformats.org/officeDocument/2006/relationships/hyperlink" Id="rId1947" Target="https://aws.amazon.com/compliance/iso-certified/" TargetMode="External" /><Relationship Type="http://schemas.openxmlformats.org/officeDocument/2006/relationships/hyperlink" Id="rId882" Target="https://aws.amazon.com/compliance/services-in-scope/SOC/" TargetMode="External" /><Relationship Type="http://schemas.openxmlformats.org/officeDocument/2006/relationships/hyperlink" Id="rId646" Target="https://aws.amazon.com/s3/features/vectors/" TargetMode="External" /><Relationship Type="http://schemas.openxmlformats.org/officeDocument/2006/relationships/hyperlink" Id="rId654" Target="https://aws.amazon.com/s3/pricing/" TargetMode="External" /><Relationship Type="http://schemas.openxmlformats.org/officeDocument/2006/relationships/hyperlink" Id="rId1737" Target="https://aws.amazon.com/solutions/guidance/multi-provider-generative-ai-gateway-on-aws/" TargetMode="External" /><Relationship Type="http://schemas.openxmlformats.org/officeDocument/2006/relationships/hyperlink" Id="rId1505" Target="https://azure.microsoft.com/en-us/blog/gpt-6-astra-sol-and-luna-for-production-agents-in-microsoft-foundry/" TargetMode="External" /><Relationship Type="http://schemas.openxmlformats.org/officeDocument/2006/relationships/hyperlink" Id="rId1990" Target="https://azure.microsoft.com/en-us/pricing/details/content-safety/" TargetMode="External" /><Relationship Type="http://schemas.openxmlformats.org/officeDocument/2006/relationships/hyperlink" Id="rId673" Target="https://betakit.com/ex-shopify-engineers-raise-fresh-financing-to-scale-turbopuffers-ai-search/" TargetMode="External" /><Relationship Type="http://schemas.openxmlformats.org/officeDocument/2006/relationships/hyperlink" Id="rId1180" Target="https://blog.crewai.com/crewai-oss-1-0-we-are-going-ga/" TargetMode="External" /><Relationship Type="http://schemas.openxmlformats.org/officeDocument/2006/relationships/hyperlink" Id="rId712" Target="https://blog.getzep.com/announcing-a-new-direction-for-zeps-open-source-strategy/" TargetMode="External" /><Relationship Type="http://schemas.openxmlformats.org/officeDocument/2006/relationships/hyperlink" Id="rId1586" Target="https://blog.google/innovation-and-ai/models-and-research/gemini-models/gemini-4-argon/" TargetMode="External" /><Relationship Type="http://schemas.openxmlformats.org/officeDocument/2006/relationships/hyperlink" Id="rId400" Target="https://blog.google/innovation-and-ai/models-and-research/gemini-models/gemini-embedding-2-generally-available/" TargetMode="External" /><Relationship Type="http://schemas.openxmlformats.org/officeDocument/2006/relationships/hyperlink" Id="rId1574" Target="https://blog.google/innovation-and-ai/technology/developers-tools/gemma-4/" TargetMode="External" /><Relationship Type="http://schemas.openxmlformats.org/officeDocument/2006/relationships/hyperlink" Id="rId874" Target="https://blog.modelcontextprotocol.io/posts/2025-09-08-mcp-registry-preview/" TargetMode="External" /><Relationship Type="http://schemas.openxmlformats.org/officeDocument/2006/relationships/hyperlink" Id="rId850" Target="https://blog.modelcontextprotocol.io/posts/2025-12-09-mcp-joins-agentic-ai-foundation/" TargetMode="External" /><Relationship Type="http://schemas.openxmlformats.org/officeDocument/2006/relationships/hyperlink" Id="rId866" Target="https://blog.modelcontextprotocol.io/posts/2026-03-16-tool-annotations/" TargetMode="External" /><Relationship Type="http://schemas.openxmlformats.org/officeDocument/2006/relationships/hyperlink" Id="rId854" Target="https://blog.modelcontextprotocol.io/posts/2026-04-08-maintainer-update/" TargetMode="External" /><Relationship Type="http://schemas.openxmlformats.org/officeDocument/2006/relationships/hyperlink" Id="rId849" Target="https://blog.modelcontextprotocol.io/posts/2026-07-28/" TargetMode="External" /><Relationship Type="http://schemas.openxmlformats.org/officeDocument/2006/relationships/hyperlink" Id="rId858" Target="https://blog.modelcontextprotocol.io/posts/enterprise-managed-auth/" TargetMode="External" /><Relationship Type="http://schemas.openxmlformats.org/officeDocument/2006/relationships/hyperlink" Id="rId479" Target="https://blog.voyageai.com/2026/01/15/voyage-4/" TargetMode="External" /><Relationship Type="http://schemas.openxmlformats.org/officeDocument/2006/relationships/hyperlink" Id="rId481" Target="https://blog.voyageai.com/2026/09/30/rerank-3/" TargetMode="External" /><Relationship Type="http://schemas.openxmlformats.org/officeDocument/2006/relationships/hyperlink" Id="rId1639" Target="https://cdn.deepseek.com/policies/en-US/deepseek-privacy-policy.html" TargetMode="External" /><Relationship Type="http://schemas.openxmlformats.org/officeDocument/2006/relationships/hyperlink" Id="rId1035" Target="https://changelog.langchain.com/announcements/product-naming-changes-langsmith-deployment-and-langsmith-studio" TargetMode="External" /><Relationship Type="http://schemas.openxmlformats.org/officeDocument/2006/relationships/hyperlink" Id="rId938" Target="https://claude.com/blog/organization-skills-and-directory" TargetMode="External" /><Relationship Type="http://schemas.openxmlformats.org/officeDocument/2006/relationships/hyperlink" Id="rId45" Target="https://clickhouse.com/blog/clickhouse-acquires-langfuse-open-source-llm-observability" TargetMode="External" /><Relationship Type="http://schemas.openxmlformats.org/officeDocument/2006/relationships/hyperlink" Id="rId44" Target="https://clickhouse.com/blog/clickhouse-raises-400-million-series-d-acquires-langfuse-launches-postgres" TargetMode="External" /><Relationship Type="http://schemas.openxmlformats.org/officeDocument/2006/relationships/hyperlink" Id="rId1783" Target="https://cloud.google.com/apigee/pricing" TargetMode="External" /><Relationship Type="http://schemas.openxmlformats.org/officeDocument/2006/relationships/hyperlink" Id="rId1381" Target="https://cloud.google.com/blog/products/ai-machine-learning/enhancing-vllm-for-distributed-inference-with-llm-d" TargetMode="External" /><Relationship Type="http://schemas.openxmlformats.org/officeDocument/2006/relationships/hyperlink" Id="rId1592" Target="https://cloud.google.com/blog/products/ai-machine-learning/google-cloud-generative-ai-data-residency-guarantees-for-data-stored-at-rest" TargetMode="External" /><Relationship Type="http://schemas.openxmlformats.org/officeDocument/2006/relationships/hyperlink" Id="rId769" Target="https://cloud.google.com/blog/products/ai-machine-learning/vertex-ai-memory-bank-in-public-preview" TargetMode="External" /><Relationship Type="http://schemas.openxmlformats.org/officeDocument/2006/relationships/hyperlink" Id="rId234" Target="https://cloud.google.com/document-ai/docs/security-cmek-logging" TargetMode="External" /><Relationship Type="http://schemas.openxmlformats.org/officeDocument/2006/relationships/hyperlink" Id="rId237" Target="https://cloud.google.com/document-ai/pricing" TargetMode="External" /><Relationship Type="http://schemas.openxmlformats.org/officeDocument/2006/relationships/hyperlink" Id="rId1520" Target="https://cloud.google.com/gemini-enterprise-agent-platform/generative-ai/pricing" TargetMode="External" /><Relationship Type="http://schemas.openxmlformats.org/officeDocument/2006/relationships/hyperlink" Id="rId1781" Target="https://cloud.google.com/security/compliance/iso-27001" TargetMode="External" /><Relationship Type="http://schemas.openxmlformats.org/officeDocument/2006/relationships/hyperlink" Id="rId1589" Target="https://cloud.google.com/security/compliance/iso-42001" TargetMode="External" /><Relationship Type="http://schemas.openxmlformats.org/officeDocument/2006/relationships/hyperlink" Id="rId239" Target="https://cloud.google.com/security/compliance/services-in-scope" TargetMode="External" /><Relationship Type="http://schemas.openxmlformats.org/officeDocument/2006/relationships/hyperlink" Id="rId1780" Target="https://cloud.google.com/security/compliance/soc-2" TargetMode="External" /><Relationship Type="http://schemas.openxmlformats.org/officeDocument/2006/relationships/hyperlink" Id="rId1963" Target="https://cloud.google.com/security/products/model-armor" TargetMode="External" /><Relationship Type="http://schemas.openxmlformats.org/officeDocument/2006/relationships/hyperlink" Id="rId2059" Target="https://cloud.google.com/security/products/sensitive-data-protection" TargetMode="External" /><Relationship Type="http://schemas.openxmlformats.org/officeDocument/2006/relationships/hyperlink" Id="rId2060" Target="https://cloud.google.com/sensitive-data-protection/pricing" TargetMode="External" /><Relationship Type="http://schemas.openxmlformats.org/officeDocument/2006/relationships/hyperlink" Id="rId1777" Target="https://cloud.google.com/solutions/apigee-ai" TargetMode="External" /><Relationship Type="http://schemas.openxmlformats.org/officeDocument/2006/relationships/hyperlink" Id="rId406" Target="https://cloud.google.com/vertex-ai/docs/general/vertexai-compliance" TargetMode="External" /><Relationship Type="http://schemas.openxmlformats.org/officeDocument/2006/relationships/hyperlink" Id="rId1218" Target="https://code.claude.com/docs/en/agent-sdk/hosting" TargetMode="External" /><Relationship Type="http://schemas.openxmlformats.org/officeDocument/2006/relationships/hyperlink" Id="rId1217" Target="https://code.claude.com/docs/en/agent-sdk/overview" TargetMode="External" /><Relationship Type="http://schemas.openxmlformats.org/officeDocument/2006/relationships/hyperlink" Id="rId380" Target="https://cohere.com/blog/cohere-and-aleph-alpha-sign-agreement" TargetMode="External" /><Relationship Type="http://schemas.openxmlformats.org/officeDocument/2006/relationships/hyperlink" Id="rId375" Target="https://cohere.com/blog/embed-5" TargetMode="External" /><Relationship Type="http://schemas.openxmlformats.org/officeDocument/2006/relationships/hyperlink" Id="rId365" Target="https://cohere.com/blog/rerank-4" TargetMode="External" /><Relationship Type="http://schemas.openxmlformats.org/officeDocument/2006/relationships/hyperlink" Id="rId369" Target="https://cohere.com/deployment-options" TargetMode="External" /><Relationship Type="http://schemas.openxmlformats.org/officeDocument/2006/relationships/hyperlink" Id="rId373" Target="https://cohere.com/enterprise-data-commitments" TargetMode="External" /><Relationship Type="http://schemas.openxmlformats.org/officeDocument/2006/relationships/hyperlink" Id="rId1132" Target="https://community.openai.com/t/assistants-api-beta-deprecation-august-26-2026-sunset/1354666" TargetMode="External" /><Relationship Type="http://schemas.openxmlformats.org/officeDocument/2006/relationships/hyperlink" Id="rId967" Target="https://composio.dev/blog/composio-may-2026-security-incident" TargetMode="External" /><Relationship Type="http://schemas.openxmlformats.org/officeDocument/2006/relationships/hyperlink" Id="rId963" Target="https://composio.dev/blog/two-questions-every-security-review-asks-us" TargetMode="External" /><Relationship Type="http://schemas.openxmlformats.org/officeDocument/2006/relationships/hyperlink" Id="rId965" Target="https://composio.dev/enterprise" TargetMode="External" /><Relationship Type="http://schemas.openxmlformats.org/officeDocument/2006/relationships/hyperlink" Id="rId1168" Target="https://crewai.com/agent-management-platform" TargetMode="External" /><Relationship Type="http://schemas.openxmlformats.org/officeDocument/2006/relationships/hyperlink" Id="rId1164" Target="https://crewai.com/pricing" TargetMode="External" /><Relationship Type="http://schemas.openxmlformats.org/officeDocument/2006/relationships/hyperlink" Id="rId2401" Target="https://cxotoday.com/press-release/check-point-software-technologies-completes-acquisition-of-lakera-to-secure-the-worlds-ai-transformation/" TargetMode="External" /><Relationship Type="http://schemas.openxmlformats.org/officeDocument/2006/relationships/hyperlink" Id="rId2426" Target="https://dataplatform.cloud.ibm.com/docs/content/wsj/openpages/wxgov-aws-iam.html?context=wx" TargetMode="External" /><Relationship Type="http://schemas.openxmlformats.org/officeDocument/2006/relationships/hyperlink" Id="rId2318" Target="https://developer.hashicorp.com/vault/docs/updates/release-notes" TargetMode="External" /><Relationship Type="http://schemas.openxmlformats.org/officeDocument/2006/relationships/hyperlink" Id="rId1757" Target="https://developer.konghq.com/ai-gateway/changelog/" TargetMode="External" /><Relationship Type="http://schemas.openxmlformats.org/officeDocument/2006/relationships/hyperlink" Id="rId1771" Target="https://developer.konghq.com/konnect-platform/authentication/" TargetMode="External" /><Relationship Type="http://schemas.openxmlformats.org/officeDocument/2006/relationships/hyperlink" Id="rId2012" Target="https://developer.meta.com/ai/docs/model-cards-and-prompt-formats/llama-guard-4/" TargetMode="External" /><Relationship Type="http://schemas.openxmlformats.org/officeDocument/2006/relationships/hyperlink" Id="rId1903" Target="https://developers.cloudflare.com/ai-gateway/reference/pricing/" TargetMode="External" /><Relationship Type="http://schemas.openxmlformats.org/officeDocument/2006/relationships/hyperlink" Id="rId267" Target="https://developers.llamaindex.ai/llamaparse/general/enterprise-readiness/access-identity/" TargetMode="External" /><Relationship Type="http://schemas.openxmlformats.org/officeDocument/2006/relationships/hyperlink" Id="rId273" Target="https://developers.llamaindex.ai/llamaparse/general/enterprise-readiness/compliance/" TargetMode="External" /><Relationship Type="http://schemas.openxmlformats.org/officeDocument/2006/relationships/hyperlink" Id="rId277" Target="https://developers.llamaindex.ai/llamaparse/general/pricing/" TargetMode="External" /><Relationship Type="http://schemas.openxmlformats.org/officeDocument/2006/relationships/hyperlink" Id="rId271" Target="https://developers.llamaindex.ai/python/framework/llama_cloud/" TargetMode="External" /><Relationship Type="http://schemas.openxmlformats.org/officeDocument/2006/relationships/hyperlink" Id="rId1679" Target="https://developers.meta.com/blog/meta-connect-recap/" TargetMode="External" /><Relationship Type="http://schemas.openxmlformats.org/officeDocument/2006/relationships/hyperlink" Id="rId1129" Target="https://developers.openai.com/api/docs/changelog" TargetMode="External" /><Relationship Type="http://schemas.openxmlformats.org/officeDocument/2006/relationships/hyperlink" Id="rId1131" Target="https://developers.openai.com/api/docs/deprecations" TargetMode="External" /><Relationship Type="http://schemas.openxmlformats.org/officeDocument/2006/relationships/hyperlink" Id="rId430" Target="https://developers.openai.com/api/docs/guides/your-data" TargetMode="External" /><Relationship Type="http://schemas.openxmlformats.org/officeDocument/2006/relationships/hyperlink" Id="rId424" Target="https://developers.openai.com/api/docs/models/text-embedding-3-large" TargetMode="External" /><Relationship Type="http://schemas.openxmlformats.org/officeDocument/2006/relationships/hyperlink" Id="rId432" Target="https://developers.openai.com/api/docs/models/text-embedding-3-small" TargetMode="External" /><Relationship Type="http://schemas.openxmlformats.org/officeDocument/2006/relationships/hyperlink" Id="rId952" Target="https://developers.openai.com/codex/skills" TargetMode="External" /><Relationship Type="http://schemas.openxmlformats.org/officeDocument/2006/relationships/hyperlink" Id="rId1534" Target="https://digital-strategy.ec.europa.eu/en/policies/contents-code-gpai" TargetMode="External" /><Relationship Type="http://schemas.openxmlformats.org/officeDocument/2006/relationships/hyperlink" Id="rId511" Target="https://docs.api.nvidia.com/nim/docs/product" TargetMode="External" /><Relationship Type="http://schemas.openxmlformats.org/officeDocument/2006/relationships/hyperlink" Id="rId347" Target="https://docs.apify.com/platform/collaboration/organization-account" TargetMode="External" /><Relationship Type="http://schemas.openxmlformats.org/officeDocument/2006/relationships/hyperlink" Id="rId354" Target="https://docs.apify.com/security" TargetMode="External" /><Relationship Type="http://schemas.openxmlformats.org/officeDocument/2006/relationships/hyperlink" Id="rId561" Target="https://docs.aws.amazon.com/AmazonRDS/latest/PostgreSQLReleaseNotes/postgresql-extensions.html" TargetMode="External" /><Relationship Type="http://schemas.openxmlformats.org/officeDocument/2006/relationships/hyperlink" Id="rId656" Target="https://docs.aws.amazon.com/AmazonS3/latest/userguide/s3-vectors-data-encryption.html" TargetMode="External" /><Relationship Type="http://schemas.openxmlformats.org/officeDocument/2006/relationships/hyperlink" Id="rId648" Target="https://docs.aws.amazon.com/AmazonS3/latest/userguide/s3-vectors-limitations.html" TargetMode="External" /><Relationship Type="http://schemas.openxmlformats.org/officeDocument/2006/relationships/hyperlink" Id="rId659" Target="https://docs.aws.amazon.com/AmazonS3/latest/userguide/s3-vectors-logging.html" TargetMode="External" /><Relationship Type="http://schemas.openxmlformats.org/officeDocument/2006/relationships/hyperlink" Id="rId657" Target="https://docs.aws.amazon.com/AmazonS3/latest/userguide/s3-vectors-privatelink.html" TargetMode="External" /><Relationship Type="http://schemas.openxmlformats.org/officeDocument/2006/relationships/hyperlink" Id="rId661" Target="https://docs.aws.amazon.com/AmazonS3/latest/userguide/s3-vectors-regions-quotas.html" TargetMode="External" /><Relationship Type="http://schemas.openxmlformats.org/officeDocument/2006/relationships/hyperlink" Id="rId757" Target="https://docs.aws.amazon.com/bedrock-agentcore/latest/devguide/compliance-validation.html" TargetMode="External" /><Relationship Type="http://schemas.openxmlformats.org/officeDocument/2006/relationships/hyperlink" Id="rId890" Target="https://docs.aws.amazon.com/bedrock-agentcore/latest/devguide/gateway-targets-inference.html" TargetMode="External" /><Relationship Type="http://schemas.openxmlformats.org/officeDocument/2006/relationships/hyperlink" Id="rId766" Target="https://docs.aws.amazon.com/bedrock-agentcore/latest/devguide/release-notes.html" TargetMode="External" /><Relationship Type="http://schemas.openxmlformats.org/officeDocument/2006/relationships/hyperlink" Id="rId1144" Target="https://docs.aws.amazon.com/bedrock-agentcore/latest/devguide/runtime-sessions.html" TargetMode="External" /><Relationship Type="http://schemas.openxmlformats.org/officeDocument/2006/relationships/hyperlink" Id="rId755" Target="https://docs.aws.amazon.com/bedrock-agentcore/latest/devguide/storage-encryption.html" TargetMode="External" /><Relationship Type="http://schemas.openxmlformats.org/officeDocument/2006/relationships/hyperlink" Id="rId2268" Target="https://docs.aws.amazon.com/bedrock/latest/userguide/cost-mgmt-application-inference-profiles.html" TargetMode="External" /><Relationship Type="http://schemas.openxmlformats.org/officeDocument/2006/relationships/hyperlink" Id="rId650" Target="https://docs.aws.amazon.com/bedrock/latest/userguide/knowledge-base-setup.html" TargetMode="External" /><Relationship Type="http://schemas.openxmlformats.org/officeDocument/2006/relationships/hyperlink" Id="rId899" Target="https://docs.browserbase.com/account/team/sso" TargetMode="External" /><Relationship Type="http://schemas.openxmlformats.org/officeDocument/2006/relationships/hyperlink" Id="rId1236" Target="https://docs.claude.com/en/docs/agent-sdk/overview" TargetMode="External" /><Relationship Type="http://schemas.openxmlformats.org/officeDocument/2006/relationships/hyperlink" Id="rId498" Target="https://docs.claude.com/en/docs/build-with-claude/embeddings" TargetMode="External" /><Relationship Type="http://schemas.openxmlformats.org/officeDocument/2006/relationships/hyperlink" Id="rId1778" Target="https://docs.cloud.google.com/apigee/docs/api-platform/get-started/ai-capabilities" TargetMode="External" /><Relationship Type="http://schemas.openxmlformats.org/officeDocument/2006/relationships/hyperlink" Id="rId1784" Target="https://docs.cloud.google.com/apigee/docs/release-notes" TargetMode="External" /><Relationship Type="http://schemas.openxmlformats.org/officeDocument/2006/relationships/hyperlink" Id="rId246" Target="https://docs.cloud.google.com/document-ai/docs/cmek" TargetMode="External" /><Relationship Type="http://schemas.openxmlformats.org/officeDocument/2006/relationships/hyperlink" Id="rId1595" Target="https://docs.cloud.google.com/gemini-enterprise-agent-platform/models/gemini/3-7-flash" TargetMode="External" /><Relationship Type="http://schemas.openxmlformats.org/officeDocument/2006/relationships/hyperlink" Id="rId776" Target="https://docs.cloud.google.com/gemini-enterprise-agent-platform/scale" TargetMode="External" /><Relationship Type="http://schemas.openxmlformats.org/officeDocument/2006/relationships/hyperlink" Id="rId1590" Target="https://docs.cloud.google.com/gemini/docs/discover/certifications" TargetMode="External" /><Relationship Type="http://schemas.openxmlformats.org/officeDocument/2006/relationships/hyperlink" Id="rId414" Target="https://docs.cloud.google.com/generative-ai-app-builder/docs/ranking" TargetMode="External" /><Relationship Type="http://schemas.openxmlformats.org/officeDocument/2006/relationships/hyperlink" Id="rId235" Target="https://docs.cloud.google.com/iam/docs/workforce-console-sso" TargetMode="External" /><Relationship Type="http://schemas.openxmlformats.org/officeDocument/2006/relationships/hyperlink" Id="rId1966" Target="https://docs.cloud.google.com/model-armor/data-residency" TargetMode="External" /><Relationship Type="http://schemas.openxmlformats.org/officeDocument/2006/relationships/hyperlink" Id="rId1967" Target="https://docs.cloud.google.com/model-armor/locations" TargetMode="External" /><Relationship Type="http://schemas.openxmlformats.org/officeDocument/2006/relationships/hyperlink" Id="rId1970" Target="https://docs.cloud.google.com/model-armor/release-notes" TargetMode="External" /><Relationship Type="http://schemas.openxmlformats.org/officeDocument/2006/relationships/hyperlink" Id="rId2063" Target="https://docs.cloud.google.com/sensitive-data-protection/docs/inspect-sensitive-text-de-identify" TargetMode="External" /><Relationship Type="http://schemas.openxmlformats.org/officeDocument/2006/relationships/hyperlink" Id="rId397" Target="https://docs.cloud.google.com/vertex-ai/docs/general/access-control" TargetMode="External" /><Relationship Type="http://schemas.openxmlformats.org/officeDocument/2006/relationships/hyperlink" Id="rId398" Target="https://docs.cloud.google.com/vertex-ai/docs/general/audit-logging" TargetMode="External" /><Relationship Type="http://schemas.openxmlformats.org/officeDocument/2006/relationships/hyperlink" Id="rId774" Target="https://docs.cloud.google.com/vertex-ai/docs/release-notes" TargetMode="External" /><Relationship Type="http://schemas.openxmlformats.org/officeDocument/2006/relationships/hyperlink" Id="rId770" Target="https://docs.cloud.google.com/vertex-ai/generative-ai/docs/agent-engine/memory-bank/overview" TargetMode="External" /><Relationship Type="http://schemas.openxmlformats.org/officeDocument/2006/relationships/hyperlink" Id="rId403" Target="https://docs.cloud.google.com/vertex-ai/generative-ai/docs/learn/data-residency" TargetMode="External" /><Relationship Type="http://schemas.openxmlformats.org/officeDocument/2006/relationships/hyperlink" Id="rId2295" Target="https://docs.cloudzero.com/docs/users-and-permissions" TargetMode="External" /><Relationship Type="http://schemas.openxmlformats.org/officeDocument/2006/relationships/hyperlink" Id="rId741" Target="https://docs.cognee.ai/cognee-cloud/functionality/data-and-security" TargetMode="External" /><Relationship Type="http://schemas.openxmlformats.org/officeDocument/2006/relationships/hyperlink" Id="rId364" Target="https://docs.cohere.com/changelog/embed-v5" TargetMode="External" /><Relationship Type="http://schemas.openxmlformats.org/officeDocument/2006/relationships/hyperlink" Id="rId366" Target="https://docs.cohere.com/changelog/rerank-v4.0" TargetMode="External" /><Relationship Type="http://schemas.openxmlformats.org/officeDocument/2006/relationships/hyperlink" Id="rId377" Target="https://docs.cohere.com/reference/teams-and-roles" TargetMode="External" /><Relationship Type="http://schemas.openxmlformats.org/officeDocument/2006/relationships/hyperlink" Id="rId1176" Target="https://docs.crewai.com/en/enterprise/introduction" TargetMode="External" /><Relationship Type="http://schemas.openxmlformats.org/officeDocument/2006/relationships/hyperlink" Id="rId1162" Target="https://docs.crewai.com/en/introduction" TargetMode="External" /><Relationship Type="http://schemas.openxmlformats.org/officeDocument/2006/relationships/hyperlink" Id="rId192" Target="https://docs.datadoghq.com/account_management/rbac/" TargetMode="External" /><Relationship Type="http://schemas.openxmlformats.org/officeDocument/2006/relationships/hyperlink" Id="rId193" Target="https://docs.datadoghq.com/account_management/saml/configuration/" TargetMode="External" /><Relationship Type="http://schemas.openxmlformats.org/officeDocument/2006/relationships/hyperlink" Id="rId191" Target="https://docs.datadoghq.com/getting_started/site/" TargetMode="External" /><Relationship Type="http://schemas.openxmlformats.org/officeDocument/2006/relationships/hyperlink" Id="rId184" Target="https://docs.datadoghq.com/llm_observability/" TargetMode="External" /><Relationship Type="http://schemas.openxmlformats.org/officeDocument/2006/relationships/hyperlink" Id="rId185" Target="https://docs.datadoghq.com/llm_observability/evaluations/" TargetMode="External" /><Relationship Type="http://schemas.openxmlformats.org/officeDocument/2006/relationships/hyperlink" Id="rId136" Target="https://docs.datadoghq.com/llm_observability/instrumentation/otel_instrumentation/" TargetMode="External" /><Relationship Type="http://schemas.openxmlformats.org/officeDocument/2006/relationships/hyperlink" Id="rId917" Target="https://docs.e2b.dev/sandbox/lifecycle-events-api" TargetMode="External" /><Relationship Type="http://schemas.openxmlformats.org/officeDocument/2006/relationships/hyperlink" Id="rId285" Target="https://docs.firecrawl.dev/enterprise" TargetMode="External" /><Relationship Type="http://schemas.openxmlformats.org/officeDocument/2006/relationships/hyperlink" Id="rId1284" Target="https://docs.fireworks.ai/accounts/sso" TargetMode="External" /><Relationship Type="http://schemas.openxmlformats.org/officeDocument/2006/relationships/hyperlink" Id="rId1291" Target="https://docs.fireworks.ai/guides/security_compliance/data_handling" TargetMode="External" /><Relationship Type="http://schemas.openxmlformats.org/officeDocument/2006/relationships/hyperlink" Id="rId1288" Target="https://docs.fireworks.ai/guides/security_compliance/data_security" TargetMode="External" /><Relationship Type="http://schemas.openxmlformats.org/officeDocument/2006/relationships/hyperlink" Id="rId2392" Target="https://docs.lakera.ai/changelog" TargetMode="External" /><Relationship Type="http://schemas.openxmlformats.org/officeDocument/2006/relationships/hyperlink" Id="rId2396" Target="https://docs.lakera.ai/docs/platform" TargetMode="External" /><Relationship Type="http://schemas.openxmlformats.org/officeDocument/2006/relationships/hyperlink" Id="rId1026" Target="https://docs.langchain.com/langsmith/deployment" TargetMode="External" /><Relationship Type="http://schemas.openxmlformats.org/officeDocument/2006/relationships/hyperlink" Id="rId59" Target="https://docs.langchain.com/langsmith/engine-security" TargetMode="External" /><Relationship Type="http://schemas.openxmlformats.org/officeDocument/2006/relationships/hyperlink" Id="rId52" Target="https://docs.langchain.com/langsmith/platform-setup" TargetMode="External" /><Relationship Type="http://schemas.openxmlformats.org/officeDocument/2006/relationships/hyperlink" Id="rId58" Target="https://docs.langchain.com/langsmith/regions-faq" TargetMode="External" /><Relationship Type="http://schemas.openxmlformats.org/officeDocument/2006/relationships/hyperlink" Id="rId1022" Target="https://docs.langchain.com/langsmith/user-management" TargetMode="External" /><Relationship Type="http://schemas.openxmlformats.org/officeDocument/2006/relationships/hyperlink" Id="rId1020" Target="https://docs.langchain.com/oss/python/langgraph/durable-execution" TargetMode="External" /><Relationship Type="http://schemas.openxmlformats.org/officeDocument/2006/relationships/hyperlink" Id="rId804" Target="https://docs.letta.com/pricing" TargetMode="External" /><Relationship Type="http://schemas.openxmlformats.org/officeDocument/2006/relationships/hyperlink" Id="rId1734" Target="https://docs.litellm.ai/blog/security-update-march-2026" TargetMode="External" /><Relationship Type="http://schemas.openxmlformats.org/officeDocument/2006/relationships/hyperlink" Id="rId1732" Target="https://docs.litellm.ai/blog/soc2-type-2-report" TargetMode="External" /><Relationship Type="http://schemas.openxmlformats.org/officeDocument/2006/relationships/hyperlink" Id="rId1727" Target="https://docs.litellm.ai/docs/mcp" TargetMode="External" /><Relationship Type="http://schemas.openxmlformats.org/officeDocument/2006/relationships/hyperlink" Id="rId1735" Target="https://docs.litellm.ai/release_notes/v1.83.0/v1-83-0" TargetMode="External" /><Relationship Type="http://schemas.openxmlformats.org/officeDocument/2006/relationships/hyperlink" Id="rId734" Target="https://docs.mem0.ai/migration/oss-v2-to-v3" TargetMode="External" /><Relationship Type="http://schemas.openxmlformats.org/officeDocument/2006/relationships/hyperlink" Id="rId722" Target="https://docs.mem0.ai/platform/platform-vs-oss" TargetMode="External" /><Relationship Type="http://schemas.openxmlformats.org/officeDocument/2006/relationships/hyperlink" Id="rId251" Target="https://docs.mistral.ai/admin/security-access/audit-logs" TargetMode="External" /><Relationship Type="http://schemas.openxmlformats.org/officeDocument/2006/relationships/hyperlink" Id="rId250" Target="https://docs.mistral.ai/admin/set-up-organization/sign-in-method/saml-sso" TargetMode="External" /><Relationship Type="http://schemas.openxmlformats.org/officeDocument/2006/relationships/hyperlink" Id="rId1532" Target="https://docs.mistral.ai/models" TargetMode="External" /><Relationship Type="http://schemas.openxmlformats.org/officeDocument/2006/relationships/hyperlink" Id="rId1523" Target="https://docs.mistral.ai/models/model-cards/mistral-medium-3-5-26-04" TargetMode="External" /><Relationship Type="http://schemas.openxmlformats.org/officeDocument/2006/relationships/hyperlink" Id="rId254" Target="https://docs.mistral.ai/models/ocr-4-1" TargetMode="External" /><Relationship Type="http://schemas.openxmlformats.org/officeDocument/2006/relationships/hyperlink" Id="rId261" Target="https://docs.mistral.ai/resources/changelogs" TargetMode="External" /><Relationship Type="http://schemas.openxmlformats.org/officeDocument/2006/relationships/hyperlink" Id="rId1933" Target="https://docs.nvidia.com/ai-enterprise/planning-resource/licensing-guide/latest/pricing.html" TargetMode="External" /><Relationship Type="http://schemas.openxmlformats.org/officeDocument/2006/relationships/hyperlink" Id="rId1422" Target="https://docs.nvidia.com/dynamo/dev/reference/enterprise/support-coverage" TargetMode="External" /><Relationship Type="http://schemas.openxmlformats.org/officeDocument/2006/relationships/hyperlink" Id="rId1923" Target="https://docs.nvidia.com/nemo/guardrails/latest/about/release-notes.html" TargetMode="External" /><Relationship Type="http://schemas.openxmlformats.org/officeDocument/2006/relationships/hyperlink" Id="rId1926" Target="https://docs.nvidia.com/nemo/microservices/25.11.0/guardrails/index.html" TargetMode="External" /><Relationship Type="http://schemas.openxmlformats.org/officeDocument/2006/relationships/hyperlink" Id="rId509" Target="https://docs.nvidia.com/nim/nemo-retriever/embedding/2.2/release-notes.html" TargetMode="External" /><Relationship Type="http://schemas.openxmlformats.org/officeDocument/2006/relationships/hyperlink" Id="rId514" Target="https://docs.nvidia.com/nim/nemo-retriever/embedding/2.3/eula.html" TargetMode="External" /><Relationship Type="http://schemas.openxmlformats.org/officeDocument/2006/relationships/hyperlink" Id="rId508" Target="https://docs.nvidia.com/nim/nemo-retriever/embedding/2.3/getting-started.html" TargetMode="External" /><Relationship Type="http://schemas.openxmlformats.org/officeDocument/2006/relationships/hyperlink" Id="rId507" Target="https://docs.nvidia.com/nim/nemo-retriever/text-reranking/latest/release-notes.html" TargetMode="External" /><Relationship Type="http://schemas.openxmlformats.org/officeDocument/2006/relationships/hyperlink" Id="rId1443" Target="https://docs.ollama.com/faq" TargetMode="External" /><Relationship Type="http://schemas.openxmlformats.org/officeDocument/2006/relationships/hyperlink" Id="rId2361" Target="https://docs.paloaltonetworks.com/ai-runtime-security/activation-and-onboarding/activate-your-ai-runtime-security-license" TargetMode="External" /><Relationship Type="http://schemas.openxmlformats.org/officeDocument/2006/relationships/hyperlink" Id="rId2368" Target="https://docs.paloaltonetworks.com/ai-runtime-security/activation-and-onboarding/prisma-airs-supported-regions" TargetMode="External" /><Relationship Type="http://schemas.openxmlformats.org/officeDocument/2006/relationships/hyperlink" Id="rId2357" Target="https://docs.paloaltonetworks.com/ai-runtime-security/new-features/by-date/prisma-airs/august-2026" TargetMode="External" /><Relationship Type="http://schemas.openxmlformats.org/officeDocument/2006/relationships/hyperlink" Id="rId2363" Target="https://docs.paloaltonetworks.com/common-services/identity-and-access-access-management/manage-identity-and-access/about-roles-and-permissions" TargetMode="External" /><Relationship Type="http://schemas.openxmlformats.org/officeDocument/2006/relationships/hyperlink" Id="rId601" Target="https://docs.pinecone.io/guides/production/bring-your-own-cloud" TargetMode="External" /><Relationship Type="http://schemas.openxmlformats.org/officeDocument/2006/relationships/hyperlink" Id="rId598" Target="https://docs.pinecone.io/guides/production/security-overview" TargetMode="External" /><Relationship Type="http://schemas.openxmlformats.org/officeDocument/2006/relationships/hyperlink" Id="rId603" Target="https://docs.pinecone.io/release-notes/2026" TargetMode="External" /><Relationship Type="http://schemas.openxmlformats.org/officeDocument/2006/relationships/hyperlink" Id="rId2231" Target="https://docs.promptlayer.com/features/faq" TargetMode="External" /><Relationship Type="http://schemas.openxmlformats.org/officeDocument/2006/relationships/hyperlink" Id="rId2092" Target="https://docs.protegrity.com/10.1/docs/pmg/_print/" TargetMode="External" /><Relationship Type="http://schemas.openxmlformats.org/officeDocument/2006/relationships/hyperlink" Id="rId1378" Target="https://docs.redhat.com/en/documentation/red_hat_ai/3/html/supported_product_and_hardware_configurations/llmd-supported-platforms_supported-configurations" TargetMode="External" /><Relationship Type="http://schemas.openxmlformats.org/officeDocument/2006/relationships/hyperlink" Id="rId1261" Target="https://docs.redhat.com/en/documentation/red_hat_ai_inference/3.4/html/release_notes/rhaii-340-ga-release-notes_release-notes" TargetMode="External" /><Relationship Type="http://schemas.openxmlformats.org/officeDocument/2006/relationships/hyperlink" Id="rId317" Target="https://docs.reducto.ai/enterprise/enterprise-readiness" TargetMode="External" /><Relationship Type="http://schemas.openxmlformats.org/officeDocument/2006/relationships/hyperlink" Id="rId2441" Target="https://docs.selfhost.credo.ai/docs/self-hosted/installation/common/" TargetMode="External" /><Relationship Type="http://schemas.openxmlformats.org/officeDocument/2006/relationships/hyperlink" Id="rId1048" Target="https://docs.temporal.io/cloud/manage-access" TargetMode="External" /><Relationship Type="http://schemas.openxmlformats.org/officeDocument/2006/relationships/hyperlink" Id="rId1354" Target="https://docs.together.ai/docs/inference/pricing" TargetMode="External" /><Relationship Type="http://schemas.openxmlformats.org/officeDocument/2006/relationships/hyperlink" Id="rId1356" Target="https://docs.together.ai/docs/sso" TargetMode="External" /><Relationship Type="http://schemas.openxmlformats.org/officeDocument/2006/relationships/hyperlink" Id="rId1361" Target="https://docs.together.ai/docs/zero-data-retention" TargetMode="External" /><Relationship Type="http://schemas.openxmlformats.org/officeDocument/2006/relationships/hyperlink" Id="rId698" Target="https://docs.trychroma.com/cloud/getting-started" TargetMode="External" /><Relationship Type="http://schemas.openxmlformats.org/officeDocument/2006/relationships/hyperlink" Id="rId695" Target="https://docs.trychroma.com/docs/overview/migration" TargetMode="External" /><Relationship Type="http://schemas.openxmlformats.org/officeDocument/2006/relationships/hyperlink" Id="rId223" Target="https://docs.unstructured.io/api-reference/overview" TargetMode="External" /><Relationship Type="http://schemas.openxmlformats.org/officeDocument/2006/relationships/hyperlink" Id="rId214" Target="https://docs.unstructured.io/business/idp/overview" TargetMode="External" /><Relationship Type="http://schemas.openxmlformats.org/officeDocument/2006/relationships/hyperlink" Id="rId230" Target="https://docs.unstructured.io/transform/billing" TargetMode="External" /><Relationship Type="http://schemas.openxmlformats.org/officeDocument/2006/relationships/hyperlink" Id="rId219" Target="https://docs.unstructured.io/transform/first-request" TargetMode="External" /><Relationship Type="http://schemas.openxmlformats.org/officeDocument/2006/relationships/hyperlink" Id="rId2482" Target="https://docs.validmind.ai/guide/attestation/working-with-attestations.html" TargetMode="External" /><Relationship Type="http://schemas.openxmlformats.org/officeDocument/2006/relationships/hyperlink" Id="rId487" Target="https://docs.voyageai.com/docs/aws-marketplace-model-package" TargetMode="External" /><Relationship Type="http://schemas.openxmlformats.org/officeDocument/2006/relationships/hyperlink" Id="rId153" Target="https://docs.wandb.ai/weave/guides/platform" TargetMode="External" /><Relationship Type="http://schemas.openxmlformats.org/officeDocument/2006/relationships/hyperlink" Id="rId151" Target="https://docs.wandb.ai/weave/guides/tracking/otel" TargetMode="External" /><Relationship Type="http://schemas.openxmlformats.org/officeDocument/2006/relationships/hyperlink" Id="rId621" Target="https://docs.weaviate.io/deploy/configuration/configuring-rbac" TargetMode="External" /><Relationship Type="http://schemas.openxmlformats.org/officeDocument/2006/relationships/hyperlink" Id="rId1612" Target="https://docs.x.ai/developers/faq/security" TargetMode="External" /><Relationship Type="http://schemas.openxmlformats.org/officeDocument/2006/relationships/hyperlink" Id="rId1607" Target="https://docs.x.ai/developers/grok-4-7" TargetMode="External" /><Relationship Type="http://schemas.openxmlformats.org/officeDocument/2006/relationships/hyperlink" Id="rId1672" Target="https://docs.z.ai/legal-agreement/privacy-policy" TargetMode="External" /><Relationship Type="http://schemas.openxmlformats.org/officeDocument/2006/relationships/hyperlink" Id="rId548" Target="https://docs.zilliz.com/docs/access-control" TargetMode="External" /><Relationship Type="http://schemas.openxmlformats.org/officeDocument/2006/relationships/hyperlink" Id="rId925" Target="https://e2b.dev/blog/series-a" TargetMode="External" /><Relationship Type="http://schemas.openxmlformats.org/officeDocument/2006/relationships/hyperlink" Id="rId920" Target="https://e2b.dev/enterprise" TargetMode="External" /><Relationship Type="http://schemas.openxmlformats.org/officeDocument/2006/relationships/hyperlink" Id="rId919" Target="https://e2b.dev/security" TargetMode="External" /><Relationship Type="http://schemas.openxmlformats.org/officeDocument/2006/relationships/hyperlink" Id="rId983" Target="https://exa.ai/docs/reference/security" TargetMode="External" /><Relationship Type="http://schemas.openxmlformats.org/officeDocument/2006/relationships/hyperlink" Id="rId1283" Target="https://fireworks.ai/pricing" TargetMode="External" /><Relationship Type="http://schemas.openxmlformats.org/officeDocument/2006/relationships/hyperlink" Id="rId2254" Target="https://focus.finops.org/focus-1-5-release-scope/" TargetMode="External" /><Relationship Type="http://schemas.openxmlformats.org/officeDocument/2006/relationships/hyperlink" Id="rId1750" Target="https://futuresearch.ai/blog/litellm-pypi-supply-chain-attack/" TargetMode="External" /><Relationship Type="http://schemas.openxmlformats.org/officeDocument/2006/relationships/hyperlink" Id="rId953" Target="https://geminicli.com/docs/cli/skills/" TargetMode="External" /><Relationship Type="http://schemas.openxmlformats.org/officeDocument/2006/relationships/hyperlink" Id="rId947" Target="https://github.com/aaif/project-proposals/issues/47" TargetMode="External" /><Relationship Type="http://schemas.openxmlformats.org/officeDocument/2006/relationships/hyperlink" Id="rId1310" Target="https://github.com/advisories/GHSA-rgq9-fqf5-fv58" TargetMode="External" /><Relationship Type="http://schemas.openxmlformats.org/officeDocument/2006/relationships/hyperlink" Id="rId1024" Target="https://github.com/langchain-ai/langgraph/security" TargetMode="External" /><Relationship Type="http://schemas.openxmlformats.org/officeDocument/2006/relationships/hyperlink" Id="rId852" Target="https://github.com/modelcontextprotocol/registry" TargetMode="External" /><Relationship Type="http://schemas.openxmlformats.org/officeDocument/2006/relationships/hyperlink" Id="rId847" Target="https://github.com/modelcontextprotocol/typescript-sdk/security/advisories" TargetMode="External" /><Relationship Type="http://schemas.openxmlformats.org/officeDocument/2006/relationships/hyperlink" Id="rId555" Target="https://github.com/pgvector/pgvector/blob/master/CHANGELOG.md" TargetMode="External" /><Relationship Type="http://schemas.openxmlformats.org/officeDocument/2006/relationships/hyperlink" Id="rId570" Target="https://github.com/qdrant/qdrant/blob/master/LICENSE" TargetMode="External" /><Relationship Type="http://schemas.openxmlformats.org/officeDocument/2006/relationships/hyperlink" Id="rId572" Target="https://github.com/qdrant/qdrant/releases" TargetMode="External" /><Relationship Type="http://schemas.openxmlformats.org/officeDocument/2006/relationships/hyperlink" Id="rId1052" Target="https://github.com/temporalio/temporal" TargetMode="External" /><Relationship Type="http://schemas.openxmlformats.org/officeDocument/2006/relationships/hyperlink" Id="rId1263" Target="https://github.com/vllm-project/vllm/security/advisories" TargetMode="External" /><Relationship Type="http://schemas.openxmlformats.org/officeDocument/2006/relationships/hyperlink" Id="rId615" Target="https://github.com/weaviate/weaviate" TargetMode="External" /><Relationship Type="http://schemas.openxmlformats.org/officeDocument/2006/relationships/hyperlink" Id="rId614" Target="https://github.com/weaviate/weaviate/releases" TargetMode="External" /><Relationship Type="http://schemas.openxmlformats.org/officeDocument/2006/relationships/hyperlink" Id="rId2010" Target="https://guardrailsai.com/guardrails/docs/concepts/validators" TargetMode="External" /><Relationship Type="http://schemas.openxmlformats.org/officeDocument/2006/relationships/hyperlink" Id="rId2041" Target="https://guardrailsai.com/guardrails/docs/migration-guides/0-11-migration" TargetMode="External" /><Relationship Type="http://schemas.openxmlformats.org/officeDocument/2006/relationships/hyperlink" Id="rId709" Target="https://help.getzep.com/governance" TargetMode="External" /><Relationship Type="http://schemas.openxmlformats.org/officeDocument/2006/relationships/hyperlink" Id="rId263" Target="https://help.mistral.ai/en/articles/347638-do-you-have-soc-2-or-iso-27001-certification" TargetMode="External" /><Relationship Type="http://schemas.openxmlformats.org/officeDocument/2006/relationships/hyperlink" Id="rId2135" Target="https://help.okta.com/OIE/en-us/content/topics/ai-agents/ai-agent-add-manually.htm" TargetMode="External" /><Relationship Type="http://schemas.openxmlformats.org/officeDocument/2006/relationships/hyperlink" Id="rId2136" Target="https://help.okta.com/oie/en-us/content/topics/ai-agents/ai-agents-home.htm" TargetMode="External" /><Relationship Type="http://schemas.openxmlformats.org/officeDocument/2006/relationships/hyperlink" Id="rId1506" Target="https://help.openai.com/en/articles/6825453-chatgpt-release-notes" TargetMode="External" /><Relationship Type="http://schemas.openxmlformats.org/officeDocument/2006/relationships/hyperlink" Id="rId420" Target="https://help.openai.com/en/articles/9534785-configuring-sso" TargetMode="External" /><Relationship Type="http://schemas.openxmlformats.org/officeDocument/2006/relationships/hyperlink" Id="rId422" Target="https://help.openai.com/en/articles/9687866-admin-and-audit-logs-api-for-the-api-platform" TargetMode="External" /><Relationship Type="http://schemas.openxmlformats.org/officeDocument/2006/relationships/hyperlink" Id="rId1001" Target="https://help.tavily.com/articles/7788853762-team-roles-and-permissions-owner-admin-member" TargetMode="External" /><Relationship Type="http://schemas.openxmlformats.org/officeDocument/2006/relationships/hyperlink" Id="rId2377" Target="https://hiddenlayer.com/aws" TargetMode="External" /><Relationship Type="http://schemas.openxmlformats.org/officeDocument/2006/relationships/hyperlink" Id="rId2420" Target="https://hub.docker.com/v2/repositories/marquezproject/marquez/tags?page_size=5&amp;ordering=last_updated" TargetMode="External" /><Relationship Type="http://schemas.openxmlformats.org/officeDocument/2006/relationships/hyperlink" Id="rId387" Target="https://huggingface.co/blog/sentence-transformers-joins-hf" TargetMode="External" /><Relationship Type="http://schemas.openxmlformats.org/officeDocument/2006/relationships/hyperlink" Id="rId2332" Target="https://huggingface.co/docs/hub/security" TargetMode="External" /><Relationship Type="http://schemas.openxmlformats.org/officeDocument/2006/relationships/hyperlink" Id="rId1351" Target="https://huggingface.co/docs/inference-endpoints/en/security" TargetMode="External" /><Relationship Type="http://schemas.openxmlformats.org/officeDocument/2006/relationships/hyperlink" Id="rId1575" Target="https://huggingface.co/google/gemma-4-31B-it" TargetMode="External" /><Relationship Type="http://schemas.openxmlformats.org/officeDocument/2006/relationships/hyperlink" Id="rId2001" Target="https://huggingface.co/meta-llama/Llama-Guard-4-12B" TargetMode="External" /><Relationship Type="http://schemas.openxmlformats.org/officeDocument/2006/relationships/hyperlink" Id="rId1678" Target="https://huggingface.co/meta-models/Muse-Glimmer-30B" TargetMode="External" /><Relationship Type="http://schemas.openxmlformats.org/officeDocument/2006/relationships/hyperlink" Id="rId1713" Target="https://huggingface.co/moonshotai/Kimi-K3" TargetMode="External" /><Relationship Type="http://schemas.openxmlformats.org/officeDocument/2006/relationships/hyperlink" Id="rId466" Target="https://huggingface.co/papers/2601.04720" TargetMode="External" /><Relationship Type="http://schemas.openxmlformats.org/officeDocument/2006/relationships/hyperlink" Id="rId1658" Target="https://huggingface.co/zai-org/GLM-5.3" TargetMode="External" /><Relationship Type="http://schemas.openxmlformats.org/officeDocument/2006/relationships/hyperlink" Id="rId1463" Target="https://inference-docs.cerebras.ai/console/overview" TargetMode="External" /><Relationship Type="http://schemas.openxmlformats.org/officeDocument/2006/relationships/hyperlink" Id="rId1461" Target="https://inference-docs.cerebras.ai/support/pricing" TargetMode="External" /><Relationship Type="http://schemas.openxmlformats.org/officeDocument/2006/relationships/hyperlink" Id="rId1467" Target="https://investors.cerebras.ai/news-releases/news-release-details/cerebras-systems-accelerates-european-expansion-200mw-ai-compute" TargetMode="External" /><Relationship Type="http://schemas.openxmlformats.org/officeDocument/2006/relationships/hyperlink" Id="rId159" Target="https://investors.coreweave.com/news/news-details/2025/CoreWeave-Completes-Acquisition-of-Weights--Biases/default.aspx" TargetMode="External" /><Relationship Type="http://schemas.openxmlformats.org/officeDocument/2006/relationships/hyperlink" Id="rId489" Target="https://investors.mongodb.com/news-releases/news-release-details/mongodb-announces-acquisition-voyage-ai-enable-organizations" TargetMode="External" /><Relationship Type="http://schemas.openxmlformats.org/officeDocument/2006/relationships/hyperlink" Id="rId633" Target="https://investors.mongodb.com/news-releases/news-release-details/mongodb-delivers-accurate-ai-retrieval-wherever-enterprise-data" TargetMode="External" /><Relationship Type="http://schemas.openxmlformats.org/officeDocument/2006/relationships/hyperlink" Id="rId98" Target="https://ir.dynatrace.com/news-events/press-releases/detail/439/dynatrace-completes-acquisition-of-arize-extending-ai-observability-across-the-full-development-lifecycle" TargetMode="External" /><Relationship Type="http://schemas.openxmlformats.org/officeDocument/2006/relationships/hyperlink" Id="rId445" Target="https://ir.elastic.co/News--Events/news/news-details/2025/Elastic-Completes-Acquisition-of-Jina-AI-a-Leader-in-Frontier-Models-for-Multimodal-and-Multilingual-Search/default.aspx" TargetMode="External" /><Relationship Type="http://schemas.openxmlformats.org/officeDocument/2006/relationships/hyperlink" Id="rId448" Target="https://jina.ai/en-US/news/jina-reranker-v3-5-faster-listwise-reranking-hybrid-attention-self-distillation/" TargetMode="External" /><Relationship Type="http://schemas.openxmlformats.org/officeDocument/2006/relationships/hyperlink" Id="rId394" Target="https://jina.ai/legal/" TargetMode="External" /><Relationship Type="http://schemas.openxmlformats.org/officeDocument/2006/relationships/hyperlink" Id="rId449" Target="https://jina.ai/models/jina-embeddings-v5-text-small/" TargetMode="External" /><Relationship Type="http://schemas.openxmlformats.org/officeDocument/2006/relationships/hyperlink" Id="rId447" Target="https://jina.ai/news/jina-embeddings-v5-omni-multimodal-embeddings-for-text-image-audio-and-video/" TargetMode="External" /><Relationship Type="http://schemas.openxmlformats.org/officeDocument/2006/relationships/hyperlink" Id="rId1756" Target="https://konghq.com/blog/product-releases/kong-ai-gateway-2-0-ga" TargetMode="External" /><Relationship Type="http://schemas.openxmlformats.org/officeDocument/2006/relationships/hyperlink" Id="rId1761" Target="https://konghq.com/solutions/startup-program" TargetMode="External" /><Relationship Type="http://schemas.openxmlformats.org/officeDocument/2006/relationships/hyperlink" Id="rId871" Target="https://labs.cloudsecurityalliance.org/research/csa-research-note-mcp-tool-poisoning-auto-execution-20260701/" TargetMode="External" /><Relationship Type="http://schemas.openxmlformats.org/officeDocument/2006/relationships/hyperlink" Id="rId33" Target="https://langfuse.com/integrations/native/opentelemetry" TargetMode="External" /><Relationship Type="http://schemas.openxmlformats.org/officeDocument/2006/relationships/hyperlink" Id="rId42" Target="https://langfuse.com/pricing" TargetMode="External" /><Relationship Type="http://schemas.openxmlformats.org/officeDocument/2006/relationships/hyperlink" Id="rId36" Target="https://langfuse.com/pricing-self-host" TargetMode="External" /><Relationship Type="http://schemas.openxmlformats.org/officeDocument/2006/relationships/hyperlink" Id="rId39" Target="https://langfuse.com/security" TargetMode="External" /><Relationship Type="http://schemas.openxmlformats.org/officeDocument/2006/relationships/hyperlink" Id="rId40" Target="https://langfuse.com/security/data-regions" TargetMode="External" /><Relationship Type="http://schemas.openxmlformats.org/officeDocument/2006/relationships/hyperlink" Id="rId2236" Target="https://launchdarkly.com/blog/introducing-agentcontrol/" TargetMode="External" /><Relationship Type="http://schemas.openxmlformats.org/officeDocument/2006/relationships/hyperlink" Id="rId2237" Target="https://launchdarkly.com/docs/api/agentcontrol" TargetMode="External" /><Relationship Type="http://schemas.openxmlformats.org/officeDocument/2006/relationships/hyperlink" Id="rId2243" Target="https://launchdarkly.com/docs/api/audit-log" TargetMode="External" /><Relationship Type="http://schemas.openxmlformats.org/officeDocument/2006/relationships/hyperlink" Id="rId2242" Target="https://launchdarkly.com/docs/guides/account/sso" TargetMode="External" /><Relationship Type="http://schemas.openxmlformats.org/officeDocument/2006/relationships/hyperlink" Id="rId2245" Target="https://launchdarkly.com/pricing/" TargetMode="External" /><Relationship Type="http://schemas.openxmlformats.org/officeDocument/2006/relationships/hyperlink" Id="rId2240" Target="https://launchdarkly.com/security/" TargetMode="External" /><Relationship Type="http://schemas.openxmlformats.org/officeDocument/2006/relationships/hyperlink" Id="rId1071" Target="https://learn.microsoft.com/en-us/agent-framework/hosting/foundry-hosted-agent" TargetMode="External" /><Relationship Type="http://schemas.openxmlformats.org/officeDocument/2006/relationships/hyperlink" Id="rId2075" Target="https://learn.microsoft.com/en-us/answers/questions/5813926/dspm-for-ai-with-business-premium-add-on" TargetMode="External" /><Relationship Type="http://schemas.openxmlformats.org/officeDocument/2006/relationships/hyperlink" Id="rId1845" Target="https://learn.microsoft.com/en-us/azure/api-management/ai-gateway-overview" TargetMode="External" /><Relationship Type="http://schemas.openxmlformats.org/officeDocument/2006/relationships/hyperlink" Id="rId1850" Target="https://learn.microsoft.com/en-us/azure/compliance/offerings/offering-iso-27001" TargetMode="External" /><Relationship Type="http://schemas.openxmlformats.org/officeDocument/2006/relationships/hyperlink" Id="rId1851" Target="https://learn.microsoft.com/en-us/azure/compliance/offerings/offering-soc-2" TargetMode="External" /><Relationship Type="http://schemas.openxmlformats.org/officeDocument/2006/relationships/hyperlink" Id="rId2269" Target="https://learn.microsoft.com/en-us/azure/foundry/concepts/manage-costs" TargetMode="External" /><Relationship Type="http://schemas.openxmlformats.org/officeDocument/2006/relationships/hyperlink" Id="rId1987" Target="https://learn.microsoft.com/en-us/azure/foundry/guardrails/guardrails-overview" TargetMode="External" /><Relationship Type="http://schemas.openxmlformats.org/officeDocument/2006/relationships/hyperlink" Id="rId562" Target="https://learn.microsoft.com/en-us/azure/postgresql/extensions/how-to-use-pgvector" TargetMode="External" /><Relationship Type="http://schemas.openxmlformats.org/officeDocument/2006/relationships/hyperlink" Id="rId2072" Target="https://learn.microsoft.com/en-us/compliance/regulatory/offering-iso-27001" TargetMode="External" /><Relationship Type="http://schemas.openxmlformats.org/officeDocument/2006/relationships/hyperlink" Id="rId2159" Target="https://learn.microsoft.com/en-us/entra/fundamentals/whats-new" TargetMode="External" /><Relationship Type="http://schemas.openxmlformats.org/officeDocument/2006/relationships/hyperlink" Id="rId2070" Target="https://learn.microsoft.com/en-us/purview/dspm-for-ai-considerations" TargetMode="External" /><Relationship Type="http://schemas.openxmlformats.org/officeDocument/2006/relationships/hyperlink" Id="rId2069" Target="https://learn.microsoft.com/en-us/purview/whats-new" TargetMode="External" /><Relationship Type="http://schemas.openxmlformats.org/officeDocument/2006/relationships/hyperlink" Id="rId205" Target="https://lfaidata.foundation/projects/docling/" TargetMode="External" /><Relationship Type="http://schemas.openxmlformats.org/officeDocument/2006/relationships/hyperlink" Id="rId322" Target="https://llms.reducto.ai/trust-center-on-prem-zero-retention-hipaa-soc2-baa" TargetMode="External" /><Relationship Type="http://schemas.openxmlformats.org/officeDocument/2006/relationships/hyperlink" Id="rId1485" Target="https://lmstudio.ai/blog/free-for-work" TargetMode="External" /><Relationship Type="http://schemas.openxmlformats.org/officeDocument/2006/relationships/hyperlink" Id="rId1562" Target="https://media.cadc.uscourts.gov/opinions/docs/2026/09/26-1049-2194984.pdf" TargetMode="External" /><Relationship Type="http://schemas.openxmlformats.org/officeDocument/2006/relationships/hyperlink" Id="rId729" Target="https://mem0.ai/guide/enterprise-ai-memory-security-review-options" TargetMode="External" /><Relationship Type="http://schemas.openxmlformats.org/officeDocument/2006/relationships/hyperlink" Id="rId730" Target="https://mem0.ai/guide/solving-soc-2-compliance-enterprise-ai-memory" TargetMode="External" /><Relationship Type="http://schemas.openxmlformats.org/officeDocument/2006/relationships/hyperlink" Id="rId539" Target="https://milvus.io/docs/release_notes.md" TargetMode="External" /><Relationship Type="http://schemas.openxmlformats.org/officeDocument/2006/relationships/hyperlink" Id="rId1242" Target="https://mistral.ai/news/agents-api/" TargetMode="External" /><Relationship Type="http://schemas.openxmlformats.org/officeDocument/2006/relationships/hyperlink" Id="rId1524" Target="https://mistral.ai/news/mistral-large-4/" TargetMode="External" /><Relationship Type="http://schemas.openxmlformats.org/officeDocument/2006/relationships/hyperlink" Id="rId256" Target="https://mistral.ai/news/ocr-4/" TargetMode="External" /><Relationship Type="http://schemas.openxmlformats.org/officeDocument/2006/relationships/hyperlink" Id="rId1055" Target="https://mistral.ai/news/workflows/" TargetMode="External" /><Relationship Type="http://schemas.openxmlformats.org/officeDocument/2006/relationships/hyperlink" Id="rId1650" Target="https://natlawreview.com/article/three-states-ban-deepseek-use-state-devices-and-networks" TargetMode="External" /><Relationship Type="http://schemas.openxmlformats.org/officeDocument/2006/relationships/hyperlink" Id="rId2324" Target="https://newsroom.ibm.com/2025-02-27-ibm-completes-acquisition-of-hashicorp,-creates-comprehensive,-end-to-end-hybrid-cloud-platform" TargetMode="External" /><Relationship Type="http://schemas.openxmlformats.org/officeDocument/2006/relationships/hyperlink" Id="rId1311" Target="https://nvd.nist.gov/vuln/detail/CVE-2026-3059" TargetMode="External" /><Relationship Type="http://schemas.openxmlformats.org/officeDocument/2006/relationships/hyperlink" Id="rId1448" Target="https://ollama.com/pricing" TargetMode="External" /><Relationship Type="http://schemas.openxmlformats.org/officeDocument/2006/relationships/hyperlink" Id="rId127" Target="https://openai.com/blog/openai-to-acquire-promptfoo" TargetMode="External" /><Relationship Type="http://schemas.openxmlformats.org/officeDocument/2006/relationships/hyperlink" Id="rId1501" Target="https://openai.com/index/gpt-6-astra/" TargetMode="External" /><Relationship Type="http://schemas.openxmlformats.org/officeDocument/2006/relationships/hyperlink" Id="rId1503" Target="https://openai.com/index/introducing-gpt-oss/" TargetMode="External" /><Relationship Type="http://schemas.openxmlformats.org/officeDocument/2006/relationships/hyperlink" Id="rId425" Target="https://openai.com/index/new-embedding-models-and-api-updates/" TargetMode="External" /><Relationship Type="http://schemas.openxmlformats.org/officeDocument/2006/relationships/hyperlink" Id="rId126" Target="https://openai.com/index/openai-to-acquire-promptfoo/" TargetMode="External" /><Relationship Type="http://schemas.openxmlformats.org/officeDocument/2006/relationships/hyperlink" Id="rId1500" Target="https://openai.com/index/previewing-gpt-5-6-sol/" TargetMode="External" /><Relationship Type="http://schemas.openxmlformats.org/officeDocument/2006/relationships/hyperlink" Id="rId1124" Target="https://openai.com/index/the-next-evolution-of-the-agents-sdk/" TargetMode="External" /><Relationship Type="http://schemas.openxmlformats.org/officeDocument/2006/relationships/hyperlink" Id="rId429" Target="https://openai.com/security-and-privacy/" TargetMode="External" /><Relationship Type="http://schemas.openxmlformats.org/officeDocument/2006/relationships/hyperlink" Id="rId1054" Target="https://openai.github.io/openai-agents-python/" TargetMode="External" /><Relationship Type="http://schemas.openxmlformats.org/officeDocument/2006/relationships/hyperlink" Id="rId1409" Target="https://openrouter.ai/blog/announcements/simplifying-our-platform-fee/" TargetMode="External" /><Relationship Type="http://schemas.openxmlformats.org/officeDocument/2006/relationships/hyperlink" Id="rId1399" Target="https://openrouter.ai/blog/announcements/us-in-region-routing/" TargetMode="External" /><Relationship Type="http://schemas.openxmlformats.org/officeDocument/2006/relationships/hyperlink" Id="rId1410" Target="https://openrouter.ai/business" TargetMode="External" /><Relationship Type="http://schemas.openxmlformats.org/officeDocument/2006/relationships/hyperlink" Id="rId532" Target="https://opensearch.org/releases/" TargetMode="External" /><Relationship Type="http://schemas.openxmlformats.org/officeDocument/2006/relationships/hyperlink" Id="rId2347" Target="https://openssf.org/blog/2025/04/04/launch-of-model-signing-v1-0-openssf-ai-ml-working-group-secures-the-machine-learning-supply-chain/" TargetMode="External" /><Relationship Type="http://schemas.openxmlformats.org/officeDocument/2006/relationships/hyperlink" Id="rId869" Target="https://owasp.org/www-project-mcp-top-10/2025/MCP03-2025%E2%80%93Tool-Poisoning" TargetMode="External" /><Relationship Type="http://schemas.openxmlformats.org/officeDocument/2006/relationships/hyperlink" Id="rId1556" Target="https://platform.claude.com/docs/en/about-claude/pricing" TargetMode="External" /><Relationship Type="http://schemas.openxmlformats.org/officeDocument/2006/relationships/hyperlink" Id="rId1231" Target="https://platform.claude.com/docs/en/agent-sdk/migration-guide" TargetMode="External" /><Relationship Type="http://schemas.openxmlformats.org/officeDocument/2006/relationships/hyperlink" Id="rId1555" Target="https://platform.claude.com/docs/en/build-with-claude/data-residency" TargetMode="External" /><Relationship Type="http://schemas.openxmlformats.org/officeDocument/2006/relationships/hyperlink" Id="rId1221" Target="https://platform.claude.com/docs/en/build-with-claude/zero-data-retention" TargetMode="External" /><Relationship Type="http://schemas.openxmlformats.org/officeDocument/2006/relationships/hyperlink" Id="rId1552" Target="https://platform.claude.com/docs/en/manage-claude/api-and-data-retention" TargetMode="External" /><Relationship Type="http://schemas.openxmlformats.org/officeDocument/2006/relationships/hyperlink" Id="rId1551" Target="https://platform.claude.com/docs/en/manage-claude/data-residency" TargetMode="External" /><Relationship Type="http://schemas.openxmlformats.org/officeDocument/2006/relationships/hyperlink" Id="rId2267" Target="https://platform.claude.com/docs/en/manage-claude/usage-cost-api" TargetMode="External" /><Relationship Type="http://schemas.openxmlformats.org/officeDocument/2006/relationships/hyperlink" Id="rId1542" Target="https://platform.claude.com/docs/en/models/overview" TargetMode="External" /><Relationship Type="http://schemas.openxmlformats.org/officeDocument/2006/relationships/hyperlink" Id="rId1717" Target="https://platform.kimi.ai/docs/agreement/userprivacy" TargetMode="External" /><Relationship Type="http://schemas.openxmlformats.org/officeDocument/2006/relationships/hyperlink" Id="rId2395" Target="https://platform.lakera.ai/pricing" TargetMode="External" /><Relationship Type="http://schemas.openxmlformats.org/officeDocument/2006/relationships/hyperlink" Id="rId421" Target="https://platform.openai.com/docs/guides/rbac" TargetMode="External" /><Relationship Type="http://schemas.openxmlformats.org/officeDocument/2006/relationships/hyperlink" Id="rId1799" Target="https://portkey.ai/docs/introduction/what-is-portkey" TargetMode="External" /><Relationship Type="http://schemas.openxmlformats.org/officeDocument/2006/relationships/hyperlink" Id="rId1822" Target="https://portkey.ai/for/org-wide-audit-logs" TargetMode="External" /><Relationship Type="http://schemas.openxmlformats.org/officeDocument/2006/relationships/hyperlink" Id="rId1821" Target="https://portkey.ai/for/rbac" TargetMode="External" /><Relationship Type="http://schemas.openxmlformats.org/officeDocument/2006/relationships/hyperlink" Id="rId1801" Target="https://portkey.ai/pricing" TargetMode="External" /><Relationship Type="http://schemas.openxmlformats.org/officeDocument/2006/relationships/hyperlink" Id="rId2453" Target="https://productresources.collibra.com/docs/collibra/latest/Content/AIGovernance/co_about-ai-governance.htm" TargetMode="External" /><Relationship Type="http://schemas.openxmlformats.org/officeDocument/2006/relationships/hyperlink" Id="rId2416" Target="https://productresources.collibra.com/docs/collibra/latest/Content/Cloud/Intro/co_cloud-introduction.htm" TargetMode="External" /><Relationship Type="http://schemas.openxmlformats.org/officeDocument/2006/relationships/hyperlink" Id="rId2459" Target="https://productresources.collibra.com/docs/collibra/latest/Content/Console/Infrastructure/DGCService/SecurityConfiguration/co_single-sign-on.htm" TargetMode="External" /><Relationship Type="http://schemas.openxmlformats.org/officeDocument/2006/relationships/hyperlink" Id="rId1834" Target="https://proxy.golang.org/github.com/agentgateway/agentgateway/@latest" TargetMode="External" /><Relationship Type="http://schemas.openxmlformats.org/officeDocument/2006/relationships/hyperlink" Id="rId1892" Target="https://proxy.golang.org/github.com/envoyproxy/ai-gateway/@latest" TargetMode="External" /><Relationship Type="http://schemas.openxmlformats.org/officeDocument/2006/relationships/hyperlink" Id="rId2104" Target="https://proxy.golang.org/github.com/open-policy-agent/opa/@latest" TargetMode="External" /><Relationship Type="http://schemas.openxmlformats.org/officeDocument/2006/relationships/hyperlink" Id="rId2113" Target="https://proxy.golang.org/github.com/spiffe/spire/@latest" TargetMode="External" /><Relationship Type="http://schemas.openxmlformats.org/officeDocument/2006/relationships/hyperlink" Id="rId748" Target="https://pulse2.com/cognee-7-5-million-seed-funding-raised-for-building-enterprise-grade-memory-layer-for-ai-agents/" TargetMode="External" /><Relationship Type="http://schemas.openxmlformats.org/officeDocument/2006/relationships/hyperlink" Id="rId2379" Target="https://pulse2.com/hiddenlayer-raises-100-million-series-b-led-by-delta-v-capital/" TargetMode="External" /><Relationship Type="http://schemas.openxmlformats.org/officeDocument/2006/relationships/hyperlink" Id="rId1105" Target="https://pydantic.dev/articles/logfire-announcement" TargetMode="External" /><Relationship Type="http://schemas.openxmlformats.org/officeDocument/2006/relationships/hyperlink" Id="rId1098" Target="https://pydantic.dev/articles/pydantic-ai-v2" TargetMode="External" /><Relationship Type="http://schemas.openxmlformats.org/officeDocument/2006/relationships/hyperlink" Id="rId1046" Target="https://pydantic.dev/docs/ai/capabilities/durable_execution/overview/" TargetMode="External" /><Relationship Type="http://schemas.openxmlformats.org/officeDocument/2006/relationships/hyperlink" Id="rId1093" Target="https://pydantic.dev/docs/ai/project/changelog/" TargetMode="External" /><Relationship Type="http://schemas.openxmlformats.org/officeDocument/2006/relationships/hyperlink" Id="rId1690" Target="https://pypi.org/" TargetMode="External" /><Relationship Type="http://schemas.openxmlformats.org/officeDocument/2006/relationships/hyperlink" Id="rId688" Target="https://pypi.org/project/chromadb/" TargetMode="External" /><Relationship Type="http://schemas.openxmlformats.org/officeDocument/2006/relationships/hyperlink" Id="rId1637" Target="https://pypi.org/project/ktransformers/" TargetMode="External" /><Relationship Type="http://schemas.openxmlformats.org/officeDocument/2006/relationships/hyperlink" Id="rId1527" Target="https://pypi.org/project/litellm/1.104.1/" TargetMode="External" /><Relationship Type="http://schemas.openxmlformats.org/officeDocument/2006/relationships/hyperlink" Id="rId1636" Target="https://pypi.org/project/lmdeploy/" TargetMode="External" /><Relationship Type="http://schemas.openxmlformats.org/officeDocument/2006/relationships/hyperlink" Id="rId540" Target="https://pypi.org/project/milvus-lite/" TargetMode="External" /><Relationship Type="http://schemas.openxmlformats.org/officeDocument/2006/relationships/hyperlink" Id="rId1681" Target="https://pypi.org/project/ms-swift/" TargetMode="External" /><Relationship Type="http://schemas.openxmlformats.org/officeDocument/2006/relationships/hyperlink" Id="rId590" Target="https://pypi.org/project/pinecone/" TargetMode="External" /><Relationship Type="http://schemas.openxmlformats.org/officeDocument/2006/relationships/hyperlink" Id="rId385" Target="https://pypi.org/project/sentence-transformers/" TargetMode="External" /><Relationship Type="http://schemas.openxmlformats.org/officeDocument/2006/relationships/hyperlink" Id="rId1635" Target="https://pypi.org/project/sglang/" TargetMode="External" /><Relationship Type="http://schemas.openxmlformats.org/officeDocument/2006/relationships/hyperlink" Id="rId669" Target="https://pypi.org/project/turbopuffer/" TargetMode="External" /><Relationship Type="http://schemas.openxmlformats.org/officeDocument/2006/relationships/hyperlink" Id="rId1700" Target="https://pypi.org/project/xinference/" TargetMode="External" /><Relationship Type="http://schemas.openxmlformats.org/officeDocument/2006/relationships/hyperlink" Id="rId831" Target="https://pypi.org/pypi/a2a-sdk/json" TargetMode="External" /><Relationship Type="http://schemas.openxmlformats.org/officeDocument/2006/relationships/hyperlink" Id="rId1080" Target="https://pypi.org/pypi/agent-framework-azurefunctions/json" TargetMode="External" /><Relationship Type="http://schemas.openxmlformats.org/officeDocument/2006/relationships/hyperlink" Id="rId1068" Target="https://pypi.org/pypi/agent-framework-durabletask/json" TargetMode="External" /><Relationship Type="http://schemas.openxmlformats.org/officeDocument/2006/relationships/hyperlink" Id="rId1073" Target="https://pypi.org/pypi/agent-framework/json" TargetMode="External" /><Relationship Type="http://schemas.openxmlformats.org/officeDocument/2006/relationships/hyperlink" Id="rId1428" Target="https://pypi.org/pypi/ai-dynamo/json" TargetMode="External" /><Relationship Type="http://schemas.openxmlformats.org/officeDocument/2006/relationships/hyperlink" Id="rId2415" Target="https://pypi.org/pypi/apache-airflow-providers-openlineage/json" TargetMode="External" /><Relationship Type="http://schemas.openxmlformats.org/officeDocument/2006/relationships/hyperlink" Id="rId2143" Target="https://pypi.org/pypi/auth0-ai/json" TargetMode="External" /><Relationship Type="http://schemas.openxmlformats.org/officeDocument/2006/relationships/hyperlink" Id="rId1150" Target="https://pypi.org/pypi/bedrock-agentcore/json" TargetMode="External" /><Relationship Type="http://schemas.openxmlformats.org/officeDocument/2006/relationships/hyperlink" Id="rId897" Target="https://pypi.org/pypi/browserbase/json" TargetMode="External" /><Relationship Type="http://schemas.openxmlformats.org/officeDocument/2006/relationships/hyperlink" Id="rId1460" Target="https://pypi.org/pypi/cerebras-cloud-sdk/json" TargetMode="External" /><Relationship Type="http://schemas.openxmlformats.org/officeDocument/2006/relationships/hyperlink" Id="rId1225" Target="https://pypi.org/pypi/claude-agent-sdk/json" TargetMode="External" /><Relationship Type="http://schemas.openxmlformats.org/officeDocument/2006/relationships/hyperlink" Id="rId739" Target="https://pypi.org/pypi/cognee/json" TargetMode="External" /><Relationship Type="http://schemas.openxmlformats.org/officeDocument/2006/relationships/hyperlink" Id="rId971" Target="https://pypi.org/pypi/composio/json" TargetMode="External" /><Relationship Type="http://schemas.openxmlformats.org/officeDocument/2006/relationships/hyperlink" Id="rId312" Target="https://pypi.org/pypi/crawl4ai/json" TargetMode="External" /><Relationship Type="http://schemas.openxmlformats.org/officeDocument/2006/relationships/hyperlink" Id="rId2450" Target="https://pypi.org/pypi/credoai-lens/json" TargetMode="External" /><Relationship Type="http://schemas.openxmlformats.org/officeDocument/2006/relationships/hyperlink" Id="rId1170" Target="https://pypi.org/pypi/crewai/json" TargetMode="External" /><Relationship Type="http://schemas.openxmlformats.org/officeDocument/2006/relationships/hyperlink" Id="rId209" Target="https://pypi.org/pypi/docling/json" TargetMode="External" /><Relationship Type="http://schemas.openxmlformats.org/officeDocument/2006/relationships/hyperlink" Id="rId2214" Target="https://pypi.org/pypi/dotpromptz/json" TargetMode="External" /><Relationship Type="http://schemas.openxmlformats.org/officeDocument/2006/relationships/hyperlink" Id="rId924" Target="https://pypi.org/pypi/e2b/json" TargetMode="External" /><Relationship Type="http://schemas.openxmlformats.org/officeDocument/2006/relationships/hyperlink" Id="rId981" Target="https://pypi.org/pypi/exa-py/json" TargetMode="External" /><Relationship Type="http://schemas.openxmlformats.org/officeDocument/2006/relationships/hyperlink" Id="rId2330" Target="https://pypi.org/pypi/fickling/json" TargetMode="External" /><Relationship Type="http://schemas.openxmlformats.org/officeDocument/2006/relationships/hyperlink" Id="rId2259" Target="https://pypi.org/pypi/focus-validator/json" TargetMode="External" /><Relationship Type="http://schemas.openxmlformats.org/officeDocument/2006/relationships/hyperlink" Id="rId1113" Target="https://pypi.org/pypi/google-adk/json" TargetMode="External" /><Relationship Type="http://schemas.openxmlformats.org/officeDocument/2006/relationships/hyperlink" Id="rId702" Target="https://pypi.org/pypi/graphiti-core/json" TargetMode="External" /><Relationship Type="http://schemas.openxmlformats.org/officeDocument/2006/relationships/hyperlink" Id="rId2032" Target="https://pypi.org/pypi/guardrails-ai/json" TargetMode="External" /><Relationship Type="http://schemas.openxmlformats.org/officeDocument/2006/relationships/hyperlink" Id="rId1338" Target="https://pypi.org/pypi/huggingface-hub/json" TargetMode="External" /><Relationship Type="http://schemas.openxmlformats.org/officeDocument/2006/relationships/hyperlink" Id="rId2425" Target="https://pypi.org/pypi/ibm-watsonx-gov/json" TargetMode="External" /><Relationship Type="http://schemas.openxmlformats.org/officeDocument/2006/relationships/hyperlink" Id="rId1030" Target="https://pypi.org/pypi/langgraph/json" TargetMode="External" /><Relationship Type="http://schemas.openxmlformats.org/officeDocument/2006/relationships/hyperlink" Id="rId815" Target="https://pypi.org/pypi/langmem/json" TargetMode="External" /><Relationship Type="http://schemas.openxmlformats.org/officeDocument/2006/relationships/hyperlink" Id="rId806" Target="https://pypi.org/pypi/letta/json" TargetMode="External" /><Relationship Type="http://schemas.openxmlformats.org/officeDocument/2006/relationships/hyperlink" Id="rId1744" Target="https://pypi.org/pypi/litellm-enterprise/json" TargetMode="External" /><Relationship Type="http://schemas.openxmlformats.org/officeDocument/2006/relationships/hyperlink" Id="rId1740" Target="https://pypi.org/pypi/litellm/json" TargetMode="External" /><Relationship Type="http://schemas.openxmlformats.org/officeDocument/2006/relationships/hyperlink" Id="rId280" Target="https://pypi.org/pypi/llama-cloud-services/json" TargetMode="External" /><Relationship Type="http://schemas.openxmlformats.org/officeDocument/2006/relationships/hyperlink" Id="rId281" Target="https://pypi.org/pypi/llama-cloud/json" TargetMode="External" /><Relationship Type="http://schemas.openxmlformats.org/officeDocument/2006/relationships/hyperlink" Id="rId1190" Target="https://pypi.org/pypi/llama-index-core/json" TargetMode="External" /><Relationship Type="http://schemas.openxmlformats.org/officeDocument/2006/relationships/hyperlink" Id="rId2007" Target="https://pypi.org/pypi/llamafirewall/json" TargetMode="External" /><Relationship Type="http://schemas.openxmlformats.org/officeDocument/2006/relationships/hyperlink" Id="rId1488" Target="https://pypi.org/pypi/lmstudio/json" TargetMode="External" /><Relationship Type="http://schemas.openxmlformats.org/officeDocument/2006/relationships/hyperlink" Id="rId720" Target="https://pypi.org/pypi/mem0ai/json" TargetMode="External" /><Relationship Type="http://schemas.openxmlformats.org/officeDocument/2006/relationships/hyperlink" Id="rId336" Target="https://pypi.org/pypi/mineru/json" TargetMode="External" /><Relationship Type="http://schemas.openxmlformats.org/officeDocument/2006/relationships/hyperlink" Id="rId1247" Target="https://pypi.org/pypi/mistralai-workflows/json" TargetMode="External" /><Relationship Type="http://schemas.openxmlformats.org/officeDocument/2006/relationships/hyperlink" Id="rId1248" Target="https://pypi.org/pypi/mistralai/json" TargetMode="External" /><Relationship Type="http://schemas.openxmlformats.org/officeDocument/2006/relationships/hyperlink" Id="rId27" Target="https://pypi.org/pypi/mlflow/json" TargetMode="External" /><Relationship Type="http://schemas.openxmlformats.org/officeDocument/2006/relationships/hyperlink" Id="rId2348" Target="https://pypi.org/pypi/model-signing/json" TargetMode="External" /><Relationship Type="http://schemas.openxmlformats.org/officeDocument/2006/relationships/hyperlink" Id="rId2336" Target="https://pypi.org/pypi/modelscan/json" TargetMode="External" /><Relationship Type="http://schemas.openxmlformats.org/officeDocument/2006/relationships/hyperlink" Id="rId1931" Target="https://pypi.org/pypi/nemoguardrails/json" TargetMode="External" /><Relationship Type="http://schemas.openxmlformats.org/officeDocument/2006/relationships/hyperlink" Id="rId1127" Target="https://pypi.org/pypi/openai-agents/json" TargetMode="External" /><Relationship Type="http://schemas.openxmlformats.org/officeDocument/2006/relationships/hyperlink" Id="rId86" Target="https://pypi.org/pypi/opik/json" TargetMode="External" /><Relationship Type="http://schemas.openxmlformats.org/officeDocument/2006/relationships/hyperlink" Id="rId2371" Target="https://pypi.org/pypi/pan-aisecurity/json" TargetMode="External" /><Relationship Type="http://schemas.openxmlformats.org/officeDocument/2006/relationships/hyperlink" Id="rId2337" Target="https://pypi.org/pypi/picklescan/json" TargetMode="External" /><Relationship Type="http://schemas.openxmlformats.org/officeDocument/2006/relationships/hyperlink" Id="rId2050" Target="https://pypi.org/pypi/presidio-analyzer/json" TargetMode="External" /><Relationship Type="http://schemas.openxmlformats.org/officeDocument/2006/relationships/hyperlink" Id="rId2221" Target="https://pypi.org/pypi/promptlayer/json" TargetMode="External" /><Relationship Type="http://schemas.openxmlformats.org/officeDocument/2006/relationships/hyperlink" Id="rId2213" Target="https://pypi.org/pypi/prompty/json" TargetMode="External" /><Relationship Type="http://schemas.openxmlformats.org/officeDocument/2006/relationships/hyperlink" Id="rId2091" Target="https://pypi.org/pypi/protegrity-developer-python/json" TargetMode="External" /><Relationship Type="http://schemas.openxmlformats.org/officeDocument/2006/relationships/hyperlink" Id="rId1095" Target="https://pypi.org/pypi/pydantic-ai/json" TargetMode="External" /><Relationship Type="http://schemas.openxmlformats.org/officeDocument/2006/relationships/hyperlink" Id="rId2331" Target="https://pypi.org/pypi/safetensors/json" TargetMode="External" /><Relationship Type="http://schemas.openxmlformats.org/officeDocument/2006/relationships/hyperlink" Id="rId1070" Target="https://pypi.org/pypi/semantic-kernel/json" TargetMode="External" /><Relationship Type="http://schemas.openxmlformats.org/officeDocument/2006/relationships/hyperlink" Id="rId386" Target="https://pypi.org/pypi/sentence-transformers/json" TargetMode="External" /><Relationship Type="http://schemas.openxmlformats.org/officeDocument/2006/relationships/hyperlink" Id="rId1308" Target="https://pypi.org/pypi/sglang/json" TargetMode="External" /><Relationship Type="http://schemas.openxmlformats.org/officeDocument/2006/relationships/hyperlink" Id="rId2079" Target="https://pypi.org/pypi/skyflow/json" TargetMode="External" /><Relationship Type="http://schemas.openxmlformats.org/officeDocument/2006/relationships/hyperlink" Id="rId1147" Target="https://pypi.org/pypi/strands-agents/json" TargetMode="External" /><Relationship Type="http://schemas.openxmlformats.org/officeDocument/2006/relationships/hyperlink" Id="rId784" Target="https://pypi.org/pypi/supermemory/json" TargetMode="External" /><Relationship Type="http://schemas.openxmlformats.org/officeDocument/2006/relationships/hyperlink" Id="rId999" Target="https://pypi.org/pypi/tavily-python/json" TargetMode="External" /><Relationship Type="http://schemas.openxmlformats.org/officeDocument/2006/relationships/hyperlink" Id="rId1045" Target="https://pypi.org/pypi/temporalio/json" TargetMode="External" /><Relationship Type="http://schemas.openxmlformats.org/officeDocument/2006/relationships/hyperlink" Id="rId228" Target="https://pypi.org/pypi/unstructured/json" TargetMode="External" /><Relationship Type="http://schemas.openxmlformats.org/officeDocument/2006/relationships/hyperlink" Id="rId2478" Target="https://pypi.org/pypi/validmind/json" TargetMode="External" /><Relationship Type="http://schemas.openxmlformats.org/officeDocument/2006/relationships/hyperlink" Id="rId1270" Target="https://pypi.org/pypi/vllm/json" TargetMode="External" /><Relationship Type="http://schemas.openxmlformats.org/officeDocument/2006/relationships/hyperlink" Id="rId162" Target="https://pypi.org/pypi/weave/json" TargetMode="External" /><Relationship Type="http://schemas.openxmlformats.org/officeDocument/2006/relationships/hyperlink" Id="rId716" Target="https://pypi.org/pypi/zep-cloud/json" TargetMode="External" /><Relationship Type="http://schemas.openxmlformats.org/officeDocument/2006/relationships/hyperlink" Id="rId1268" Target="https://pytorch.org/blog/pytorch-foundation-welcomes-vllm/" TargetMode="External" /><Relationship Type="http://schemas.openxmlformats.org/officeDocument/2006/relationships/hyperlink" Id="rId571" Target="https://qdrant.tech/blog/qdrant-1.17.x/" TargetMode="External" /><Relationship Type="http://schemas.openxmlformats.org/officeDocument/2006/relationships/hyperlink" Id="rId579" Target="https://qdrant.tech/blog/series-b-announcement/" TargetMode="External" /><Relationship Type="http://schemas.openxmlformats.org/officeDocument/2006/relationships/hyperlink" Id="rId583" Target="https://qdrant.tech/blog/soc-2-type-ii-hipaa/" TargetMode="External" /><Relationship Type="http://schemas.openxmlformats.org/officeDocument/2006/relationships/hyperlink" Id="rId581" Target="https://qdrant.tech/documentation/cloud-api/" TargetMode="External" /><Relationship Type="http://schemas.openxmlformats.org/officeDocument/2006/relationships/hyperlink" Id="rId577" Target="https://qdrant.tech/documentation/cloud-rbac/role-management/" TargetMode="External" /><Relationship Type="http://schemas.openxmlformats.org/officeDocument/2006/relationships/hyperlink" Id="rId575" Target="https://qdrant.tech/hybrid-cloud/" TargetMode="External" /><Relationship Type="http://schemas.openxmlformats.org/officeDocument/2006/relationships/hyperlink" Id="rId1651" Target="https://questions-statements.parliament.uk/written-questions/detail/2025-01-28/HL4479/" TargetMode="External" /><Relationship Type="http://schemas.openxmlformats.org/officeDocument/2006/relationships/hyperlink" Id="rId464" Target="https://qwen.ai/blog?id=qwen3-embedding" TargetMode="External" /><Relationship Type="http://schemas.openxmlformats.org/officeDocument/2006/relationships/hyperlink" Id="rId92" Target="https://raw.githubusercontent.com/Arize-ai/openinference/main/LICENSE" TargetMode="External" /><Relationship Type="http://schemas.openxmlformats.org/officeDocument/2006/relationships/hyperlink" Id="rId141" Target="https://raw.githubusercontent.com/Arize-ai/phoenix/main/LICENSE" TargetMode="External" /><Relationship Type="http://schemas.openxmlformats.org/officeDocument/2006/relationships/hyperlink" Id="rId133" Target="https://raw.githubusercontent.com/Arize-ai/phoenix/main/README.md" TargetMode="External" /><Relationship Type="http://schemas.openxmlformats.org/officeDocument/2006/relationships/hyperlink" Id="rId134" Target="https://raw.githubusercontent.com/Arize-ai/phoenix/main/docs/phoenix/datasets-and-experiments/how-to-experiments/eval-ci-with-pytest.mdx" TargetMode="External" /><Relationship Type="http://schemas.openxmlformats.org/officeDocument/2006/relationships/hyperlink" Id="rId144" Target="https://raw.githubusercontent.com/Arize-ai/phoenix/main/docs/phoenix/self-hosting/features/authentication.mdx" TargetMode="External" /><Relationship Type="http://schemas.openxmlformats.org/officeDocument/2006/relationships/hyperlink" Id="rId142" Target="https://raw.githubusercontent.com/Arize-ai/phoenix/main/docs/phoenix/self-hosting/license.mdx" TargetMode="External" /><Relationship Type="http://schemas.openxmlformats.org/officeDocument/2006/relationships/hyperlink" Id="rId1730" Target="https://raw.githubusercontent.com/BerriAI/litellm/main/README.md" TargetMode="External" /><Relationship Type="http://schemas.openxmlformats.org/officeDocument/2006/relationships/hyperlink" Id="rId2290" Target="https://raw.githubusercontent.com/Cloudzero/cloudzero-agent/develop/README.md" TargetMode="External" /><Relationship Type="http://schemas.openxmlformats.org/officeDocument/2006/relationships/hyperlink" Id="rId962" Target="https://raw.githubusercontent.com/ComposioHQ/composio/next/README.md" TargetMode="External" /><Relationship Type="http://schemas.openxmlformats.org/officeDocument/2006/relationships/hyperlink" Id="rId2253" Target="https://raw.githubusercontent.com/FinOps-Open-Cost-and-Usage-Spec/FOCUS_Spec/working_draft/CHANGELOG.md" TargetMode="External" /><Relationship Type="http://schemas.openxmlformats.org/officeDocument/2006/relationships/hyperlink" Id="rId2256" Target="https://raw.githubusercontent.com/FinOps-Open-Cost-and-Usage-Spec/FOCUS_Spec/working_draft/README.md" TargetMode="External" /><Relationship Type="http://schemas.openxmlformats.org/officeDocument/2006/relationships/hyperlink" Id="rId2258" Target="https://raw.githubusercontent.com/FinOps-Open-Cost-and-Usage-Spec/FOCUS_Spec/working_draft/license.md" TargetMode="External" /><Relationship Type="http://schemas.openxmlformats.org/officeDocument/2006/relationships/hyperlink" Id="rId2300" Target="https://raw.githubusercontent.com/Helicone/helicone/main/README.md" TargetMode="External" /><Relationship Type="http://schemas.openxmlformats.org/officeDocument/2006/relationships/hyperlink" Id="rId1426" Target="https://raw.githubusercontent.com/LMCache/LMCache/dev/README.md" TargetMode="External" /><Relationship Type="http://schemas.openxmlformats.org/officeDocument/2006/relationships/hyperlink" Id="rId2228" Target="https://raw.githubusercontent.com/MagnivOrg/prompt-layer-docs/main/enterprise-deployments/aws.mdx" TargetMode="External" /><Relationship Type="http://schemas.openxmlformats.org/officeDocument/2006/relationships/hyperlink" Id="rId2222" Target="https://raw.githubusercontent.com/MagnivOrg/prompt-layer-docs/main/features/prompt-registry/release-labels.mdx" TargetMode="External" /><Relationship Type="http://schemas.openxmlformats.org/officeDocument/2006/relationships/hyperlink" Id="rId2227" Target="https://raw.githubusercontent.com/MagnivOrg/prompt-layer-docs/main/self-hosted.mdx" TargetMode="External" /><Relationship Type="http://schemas.openxmlformats.org/officeDocument/2006/relationships/hyperlink" Id="rId2225" Target="https://raw.githubusercontent.com/MagnivOrg/prompt-layer-docs/main/why-promptlayer/enterprise-identity/overview.mdx" TargetMode="External" /><Relationship Type="http://schemas.openxmlformats.org/officeDocument/2006/relationships/hyperlink" Id="rId2411" Target="https://raw.githubusercontent.com/MarquezProject/marquez/main/README.md" TargetMode="External" /><Relationship Type="http://schemas.openxmlformats.org/officeDocument/2006/relationships/hyperlink" Id="rId1981" Target="https://raw.githubusercontent.com/MicrosoftDocs/azure-ai-docs/main/articles/ai-services/content-safety/overview.md" TargetMode="External" /><Relationship Type="http://schemas.openxmlformats.org/officeDocument/2006/relationships/hyperlink" Id="rId1982" Target="https://raw.githubusercontent.com/MicrosoftDocs/azure-ai-docs/main/articles/ai-services/content-safety/whats-new.md" TargetMode="External" /><Relationship Type="http://schemas.openxmlformats.org/officeDocument/2006/relationships/hyperlink" Id="rId1844" Target="https://raw.githubusercontent.com/MicrosoftDocs/azure-docs/main/articles/api-management/genai-gateway-capabilities.md" TargetMode="External" /><Relationship Type="http://schemas.openxmlformats.org/officeDocument/2006/relationships/hyperlink" Id="rId1848" Target="https://raw.githubusercontent.com/MicrosoftDocs/azure-docs/main/articles/azure-government/compliance/azure-services-in-fedramp-auditscope.md" TargetMode="External" /><Relationship Type="http://schemas.openxmlformats.org/officeDocument/2006/relationships/hyperlink" Id="rId2157" Target="https://raw.githubusercontent.com/MicrosoftDocs/entra-docs/main/docs/agent-id/agent-oauth-protocols.md" TargetMode="External" /><Relationship Type="http://schemas.openxmlformats.org/officeDocument/2006/relationships/hyperlink" Id="rId2156" Target="https://raw.githubusercontent.com/MicrosoftDocs/entra-docs/main/docs/agent-id/what-is-microsoft-entra-agent-id.md" TargetMode="External" /><Relationship Type="http://schemas.openxmlformats.org/officeDocument/2006/relationships/hyperlink" Id="rId1871" Target="https://raw.githubusercontent.com/MicrosoftDocs/entra-docs/main/docs/agent-id/whats-new-agent-id.md" TargetMode="External" /><Relationship Type="http://schemas.openxmlformats.org/officeDocument/2006/relationships/hyperlink" Id="rId2164" Target="https://raw.githubusercontent.com/MicrosoftDocs/entra-docs/main/docs/includes/licensing-agent-id.md" TargetMode="External" /><Relationship Type="http://schemas.openxmlformats.org/officeDocument/2006/relationships/hyperlink" Id="rId1924" Target="https://raw.githubusercontent.com/NVIDIA-NeMo/Guardrails/develop/CHANGELOG.md" TargetMode="External" /><Relationship Type="http://schemas.openxmlformats.org/officeDocument/2006/relationships/hyperlink" Id="rId2412" Target="https://raw.githubusercontent.com/OpenLineage/OpenLineage/main/CHANGELOG.md" TargetMode="External" /><Relationship Type="http://schemas.openxmlformats.org/officeDocument/2006/relationships/hyperlink" Id="rId2410" Target="https://raw.githubusercontent.com/OpenLineage/OpenLineage/main/README.md" TargetMode="External" /><Relationship Type="http://schemas.openxmlformats.org/officeDocument/2006/relationships/hyperlink" Id="rId1398" Target="https://raw.githubusercontent.com/OpenRouterTeam/docs/main/cookbook/get-started/enterprise-quickstart.mdx" TargetMode="External" /><Relationship Type="http://schemas.openxmlformats.org/officeDocument/2006/relationships/hyperlink" Id="rId1395" Target="https://raw.githubusercontent.com/OpenRouterTeam/docs/main/faq.mdx" TargetMode="External" /><Relationship Type="http://schemas.openxmlformats.org/officeDocument/2006/relationships/hyperlink" Id="rId1394" Target="https://raw.githubusercontent.com/OpenRouterTeam/docs/main/guides/features/guardrails.mdx" TargetMode="External" /><Relationship Type="http://schemas.openxmlformats.org/officeDocument/2006/relationships/hyperlink" Id="rId1404" Target="https://raw.githubusercontent.com/OpenRouterTeam/docs/main/guides/features/in-region-routing.mdx" TargetMode="External" /><Relationship Type="http://schemas.openxmlformats.org/officeDocument/2006/relationships/hyperlink" Id="rId1397" Target="https://raw.githubusercontent.com/OpenRouterTeam/docs/main/guides/features/sso.mdx" TargetMode="External" /><Relationship Type="http://schemas.openxmlformats.org/officeDocument/2006/relationships/hyperlink" Id="rId1403" Target="https://raw.githubusercontent.com/OpenRouterTeam/docs/main/guides/privacy/data-collection.mdx" TargetMode="External" /><Relationship Type="http://schemas.openxmlformats.org/officeDocument/2006/relationships/hyperlink" Id="rId1809" Target="https://raw.githubusercontent.com/Portkey-AI/gateway/main/LICENSE" TargetMode="External" /><Relationship Type="http://schemas.openxmlformats.org/officeDocument/2006/relationships/hyperlink" Id="rId1798" Target="https://raw.githubusercontent.com/Portkey-AI/gateway/main/README.md" TargetMode="External" /><Relationship Type="http://schemas.openxmlformats.org/officeDocument/2006/relationships/hyperlink" Id="rId217" Target="https://raw.githubusercontent.com/Unstructured-IO/unstructured-ingest/main/CHANGELOG.md" TargetMode="External" /><Relationship Type="http://schemas.openxmlformats.org/officeDocument/2006/relationships/hyperlink" Id="rId216" Target="https://raw.githubusercontent.com/Unstructured-IO/unstructured/main/README.md" TargetMode="External" /><Relationship Type="http://schemas.openxmlformats.org/officeDocument/2006/relationships/hyperlink" Id="rId825" Target="https://raw.githubusercontent.com/a2aproject/A2A/main/CHANGELOG.md" TargetMode="External" /><Relationship Type="http://schemas.openxmlformats.org/officeDocument/2006/relationships/hyperlink" Id="rId832" Target="https://raw.githubusercontent.com/a2aproject/A2A/main/GOVERNANCE.md" TargetMode="External" /><Relationship Type="http://schemas.openxmlformats.org/officeDocument/2006/relationships/hyperlink" Id="rId823" Target="https://raw.githubusercontent.com/a2aproject/A2A/main/docs/specification.md" TargetMode="External" /><Relationship Type="http://schemas.openxmlformats.org/officeDocument/2006/relationships/hyperlink" Id="rId1826" Target="https://raw.githubusercontent.com/agentgateway/agentgateway/main/README.md" TargetMode="External" /><Relationship Type="http://schemas.openxmlformats.org/officeDocument/2006/relationships/hyperlink" Id="rId957" Target="https://raw.githubusercontent.com/agentskills/agentskills/main/CONTRIBUTING.md" TargetMode="External" /><Relationship Type="http://schemas.openxmlformats.org/officeDocument/2006/relationships/hyperlink" Id="rId943" Target="https://raw.githubusercontent.com/agentskills/agentskills/main/README.md" TargetMode="External" /><Relationship Type="http://schemas.openxmlformats.org/officeDocument/2006/relationships/hyperlink" Id="rId945" Target="https://raw.githubusercontent.com/agentskills/agentskills/main/docs/snippets/clients.jsx" TargetMode="External" /><Relationship Type="http://schemas.openxmlformats.org/officeDocument/2006/relationships/hyperlink" Id="rId1278" Target="https://raw.githubusercontent.com/ai-dynamo/dynamo/main/README.md" TargetMode="External" /><Relationship Type="http://schemas.openxmlformats.org/officeDocument/2006/relationships/hyperlink" Id="rId1229" Target="https://raw.githubusercontent.com/anthropics/claude-agent-sdk-python/main/LICENSE" TargetMode="External" /><Relationship Type="http://schemas.openxmlformats.org/officeDocument/2006/relationships/hyperlink" Id="rId350" Target="https://raw.githubusercontent.com/apify/apify-docs/master/sources/platform/integrations/ai/mcp.md" TargetMode="External" /><Relationship Type="http://schemas.openxmlformats.org/officeDocument/2006/relationships/hyperlink" Id="rId349" Target="https://raw.githubusercontent.com/apify/apify-docs/master/sources/platform/security/architecture.md" TargetMode="External" /><Relationship Type="http://schemas.openxmlformats.org/officeDocument/2006/relationships/hyperlink" Id="rId353" Target="https://raw.githubusercontent.com/apify/apify-docs/master/sources/platform/security/index.md" TargetMode="External" /><Relationship Type="http://schemas.openxmlformats.org/officeDocument/2006/relationships/hyperlink" Id="rId358" Target="https://raw.githubusercontent.com/apify/apify-docs/master/sources/platform/security/shared-responsibility.md" TargetMode="External" /><Relationship Type="http://schemas.openxmlformats.org/officeDocument/2006/relationships/hyperlink" Id="rId2149" Target="https://raw.githubusercontent.com/auth0/auth0-ai-js/main/README.md" TargetMode="External" /><Relationship Type="http://schemas.openxmlformats.org/officeDocument/2006/relationships/hyperlink" Id="rId1028" Target="https://raw.githubusercontent.com/aws/bedrock-agentcore-sdk-python/main/README.md" TargetMode="External" /><Relationship Type="http://schemas.openxmlformats.org/officeDocument/2006/relationships/hyperlink" Id="rId883" Target="https://raw.githubusercontent.com/boto/botocore/develop/botocore/data/bedrock-agentcore-control/2023-06-05/service-2.json" TargetMode="External" /><Relationship Type="http://schemas.openxmlformats.org/officeDocument/2006/relationships/hyperlink" Id="rId1945" Target="https://raw.githubusercontent.com/boto/botocore/develop/botocore/data/bedrock-runtime/2023-09-30/service-2.json" TargetMode="External" /><Relationship Type="http://schemas.openxmlformats.org/officeDocument/2006/relationships/hyperlink" Id="rId1944" Target="https://raw.githubusercontent.com/boto/botocore/develop/botocore/data/bedrock/2023-04-20/service-2.json" TargetMode="External" /><Relationship Type="http://schemas.openxmlformats.org/officeDocument/2006/relationships/hyperlink" Id="rId168" Target="https://raw.githubusercontent.com/braintrustdata/eval-action/main/README.md" TargetMode="External" /><Relationship Type="http://schemas.openxmlformats.org/officeDocument/2006/relationships/hyperlink" Id="rId907" Target="https://raw.githubusercontent.com/browserbase/stagehand/main/LICENSE" TargetMode="External" /><Relationship Type="http://schemas.openxmlformats.org/officeDocument/2006/relationships/hyperlink" Id="rId887" Target="https://raw.githubusercontent.com/cedar-policy/cedar/main/README.md" TargetMode="External" /><Relationship Type="http://schemas.openxmlformats.org/officeDocument/2006/relationships/hyperlink" Id="rId2128" Target="https://raw.githubusercontent.com/cedar-policy/cedar/main/SECURITY.md" TargetMode="External" /><Relationship Type="http://schemas.openxmlformats.org/officeDocument/2006/relationships/hyperlink" Id="rId2122" Target="https://raw.githubusercontent.com/cedar-policy/cedar/main/cedar-policy/CHANGELOG.md" TargetMode="External" /><Relationship Type="http://schemas.openxmlformats.org/officeDocument/2006/relationships/hyperlink" Id="rId1904" Target="https://raw.githubusercontent.com/cloudflare/cloudflare-docs/production/src/content/docs/ai-gateway/reference/pricing.mdx" TargetMode="External" /><Relationship Type="http://schemas.openxmlformats.org/officeDocument/2006/relationships/hyperlink" Id="rId74" Target="https://raw.githubusercontent.com/comet-ml/opik/main/LICENSE" TargetMode="External" /><Relationship Type="http://schemas.openxmlformats.org/officeDocument/2006/relationships/hyperlink" Id="rId70" Target="https://raw.githubusercontent.com/comet-ml/opik/main/README.md" TargetMode="External" /><Relationship Type="http://schemas.openxmlformats.org/officeDocument/2006/relationships/hyperlink" Id="rId71" Target="https://raw.githubusercontent.com/comet-ml/opik/main/apps/opik-documentation/documentation/fern/docs-v2/integrations/opentelemetry.mdx" TargetMode="External" /><Relationship Type="http://schemas.openxmlformats.org/officeDocument/2006/relationships/hyperlink" Id="rId72" Target="https://raw.githubusercontent.com/comet-ml/opik/main/apps/opik-documentation/documentation/fern/docs-v2/production/online-evaluation/rules.mdx" TargetMode="External" /><Relationship Type="http://schemas.openxmlformats.org/officeDocument/2006/relationships/hyperlink" Id="rId81" Target="https://raw.githubusercontent.com/comet-ml/opik/main/apps/opik-documentation/documentation/fern/docs-v2/self-host/overview.mdx" TargetMode="External" /><Relationship Type="http://schemas.openxmlformats.org/officeDocument/2006/relationships/hyperlink" Id="rId109" Target="https://raw.githubusercontent.com/confident-ai/deepeval/main/LICENSE.md" TargetMode="External" /><Relationship Type="http://schemas.openxmlformats.org/officeDocument/2006/relationships/hyperlink" Id="rId104" Target="https://raw.githubusercontent.com/confident-ai/deepeval/main/README.md" TargetMode="External" /><Relationship Type="http://schemas.openxmlformats.org/officeDocument/2006/relationships/hyperlink" Id="rId2449" Target="https://raw.githubusercontent.com/credo-ai/credoai_lens/develop/README.md" TargetMode="External" /><Relationship Type="http://schemas.openxmlformats.org/officeDocument/2006/relationships/hyperlink" Id="rId1174" Target="https://raw.githubusercontent.com/crewAIInc/crewAI/main/LICENSE" TargetMode="External" /><Relationship Type="http://schemas.openxmlformats.org/officeDocument/2006/relationships/hyperlink" Id="rId2048" Target="https://raw.githubusercontent.com/data-privacy-stack/presidio/main/CHANGELOG.md" TargetMode="External" /><Relationship Type="http://schemas.openxmlformats.org/officeDocument/2006/relationships/hyperlink" Id="rId2046" Target="https://raw.githubusercontent.com/data-privacy-stack/presidio/main/README.MD" TargetMode="External" /><Relationship Type="http://schemas.openxmlformats.org/officeDocument/2006/relationships/hyperlink" Id="rId2053" Target="https://raw.githubusercontent.com/data-privacy-stack/presidio/main/SECURITY.md" TargetMode="External" /><Relationship Type="http://schemas.openxmlformats.org/officeDocument/2006/relationships/hyperlink" Id="rId2047" Target="https://raw.githubusercontent.com/data-privacy-stack/presidio/main/docs/project_transition.md" TargetMode="External" /><Relationship Type="http://schemas.openxmlformats.org/officeDocument/2006/relationships/hyperlink" Id="rId203" Target="https://raw.githubusercontent.com/docling-project/docling-serve/main/README.md" TargetMode="External" /><Relationship Type="http://schemas.openxmlformats.org/officeDocument/2006/relationships/hyperlink" Id="rId199" Target="https://raw.githubusercontent.com/docling-project/docling/main/.github/SECURITY.md" TargetMode="External" /><Relationship Type="http://schemas.openxmlformats.org/officeDocument/2006/relationships/hyperlink" Id="rId201" Target="https://raw.githubusercontent.com/docling-project/docling/main/README.md" TargetMode="External" /><Relationship Type="http://schemas.openxmlformats.org/officeDocument/2006/relationships/hyperlink" Id="rId202" Target="https://raw.githubusercontent.com/docling-project/docling/main/docs/usage/supported_formats.md" TargetMode="External" /><Relationship Type="http://schemas.openxmlformats.org/officeDocument/2006/relationships/hyperlink" Id="rId915" Target="https://raw.githubusercontent.com/e2b-dev/infra/main/README.md" TargetMode="External" /><Relationship Type="http://schemas.openxmlformats.org/officeDocument/2006/relationships/hyperlink" Id="rId1886" Target="https://raw.githubusercontent.com/envoyproxy/ai-gateway/main/README.md" TargetMode="External" /><Relationship Type="http://schemas.openxmlformats.org/officeDocument/2006/relationships/hyperlink" Id="rId288" Target="https://raw.githubusercontent.com/firecrawl/firecrawl-docs/main/billing.mdx" TargetMode="External" /><Relationship Type="http://schemas.openxmlformats.org/officeDocument/2006/relationships/hyperlink" Id="rId289" Target="https://raw.githubusercontent.com/firecrawl/firecrawl-docs/main/contributing/open-source-or-cloud.mdx" TargetMode="External" /><Relationship Type="http://schemas.openxmlformats.org/officeDocument/2006/relationships/hyperlink" Id="rId295" Target="https://raw.githubusercontent.com/firecrawl/firecrawl-docs/main/contributing/self-host.mdx" TargetMode="External" /><Relationship Type="http://schemas.openxmlformats.org/officeDocument/2006/relationships/hyperlink" Id="rId292" Target="https://raw.githubusercontent.com/firecrawl/firecrawl-docs/main/enterprise.mdx" TargetMode="External" /><Relationship Type="http://schemas.openxmlformats.org/officeDocument/2006/relationships/hyperlink" Id="rId299" Target="https://raw.githubusercontent.com/firecrawl/firecrawl/main/LICENSE" TargetMode="External" /><Relationship Type="http://schemas.openxmlformats.org/officeDocument/2006/relationships/hyperlink" Id="rId287" Target="https://raw.githubusercontent.com/firecrawl/firecrawl/main/README.md" TargetMode="External" /><Relationship Type="http://schemas.openxmlformats.org/officeDocument/2006/relationships/hyperlink" Id="rId703" Target="https://raw.githubusercontent.com/getzep/zep/main/README.md" TargetMode="External" /><Relationship Type="http://schemas.openxmlformats.org/officeDocument/2006/relationships/hyperlink" Id="rId1109" Target="https://raw.githubusercontent.com/google/adk-python/main/README.md" TargetMode="External" /><Relationship Type="http://schemas.openxmlformats.org/officeDocument/2006/relationships/hyperlink" Id="rId2211" Target="https://raw.githubusercontent.com/google/dotprompt/main/README.md" TargetMode="External" /><Relationship Type="http://schemas.openxmlformats.org/officeDocument/2006/relationships/hyperlink" Id="rId2040" Target="https://raw.githubusercontent.com/guardrails-ai/guardrails/main/HUB_UPDATE.md" TargetMode="External" /><Relationship Type="http://schemas.openxmlformats.org/officeDocument/2006/relationships/hyperlink" Id="rId2025" Target="https://raw.githubusercontent.com/guardrails-ai/guardrails/main/README.md" TargetMode="External" /><Relationship Type="http://schemas.openxmlformats.org/officeDocument/2006/relationships/hyperlink" Id="rId2313" Target="https://raw.githubusercontent.com/hashicorp/vault/main/CHANGELOG.md" TargetMode="External" /><Relationship Type="http://schemas.openxmlformats.org/officeDocument/2006/relationships/hyperlink" Id="rId2321" Target="https://raw.githubusercontent.com/hashicorp/vault/main/LICENSE" TargetMode="External" /><Relationship Type="http://schemas.openxmlformats.org/officeDocument/2006/relationships/hyperlink" Id="rId1265" Target="https://raw.githubusercontent.com/huggingface/hf-endpoints-documentation/main/docs/source/about.md" TargetMode="External" /><Relationship Type="http://schemas.openxmlformats.org/officeDocument/2006/relationships/hyperlink" Id="rId1333" Target="https://raw.githubusercontent.com/huggingface/hf-endpoints-documentation/main/docs/source/guides/security.md" TargetMode="External" /><Relationship Type="http://schemas.openxmlformats.org/officeDocument/2006/relationships/hyperlink" Id="rId1335" Target="https://raw.githubusercontent.com/huggingface/hf-endpoints-documentation/main/docs/source/support/pricing.md" TargetMode="External" /><Relationship Type="http://schemas.openxmlformats.org/officeDocument/2006/relationships/hyperlink" Id="rId1330" Target="https://raw.githubusercontent.com/huggingface/hub-docs/main/docs/hub/audit-logs.md" TargetMode="External" /><Relationship Type="http://schemas.openxmlformats.org/officeDocument/2006/relationships/hyperlink" Id="rId1329" Target="https://raw.githubusercontent.com/huggingface/hub-docs/main/docs/hub/security-sso.md" TargetMode="External" /><Relationship Type="http://schemas.openxmlformats.org/officeDocument/2006/relationships/hyperlink" Id="rId1332" Target="https://raw.githubusercontent.com/huggingface/hub-docs/main/docs/hub/security.md" TargetMode="External" /><Relationship Type="http://schemas.openxmlformats.org/officeDocument/2006/relationships/hyperlink" Id="rId1292" Target="https://raw.githubusercontent.com/huggingface/hub-docs/main/docs/inference-providers/index.md" TargetMode="External" /><Relationship Type="http://schemas.openxmlformats.org/officeDocument/2006/relationships/hyperlink" Id="rId1341" Target="https://raw.githubusercontent.com/huggingface/hub-docs/main/docs/inference-providers/pricing.md" TargetMode="External" /><Relationship Type="http://schemas.openxmlformats.org/officeDocument/2006/relationships/hyperlink" Id="rId1349" Target="https://raw.githubusercontent.com/huggingface/hub-docs/main/docs/inference-providers/security.md" TargetMode="External" /><Relationship Type="http://schemas.openxmlformats.org/officeDocument/2006/relationships/hyperlink" Id="rId2334" Target="https://raw.githubusercontent.com/huggingface/safetensors/main/README.md" TargetMode="External" /><Relationship Type="http://schemas.openxmlformats.org/officeDocument/2006/relationships/hyperlink" Id="rId392" Target="https://raw.githubusercontent.com/huggingface/sentence-transformers/main/SECURITY.md" TargetMode="External" /><Relationship Type="http://schemas.openxmlformats.org/officeDocument/2006/relationships/hyperlink" Id="rId2183" Target="https://raw.githubusercontent.com/langchain-ai/docs/main/src/langsmith/manage-prompts.mdx" TargetMode="External" /><Relationship Type="http://schemas.openxmlformats.org/officeDocument/2006/relationships/hyperlink" Id="rId2188" Target="https://raw.githubusercontent.com/langchain-ai/docs/main/src/langsmith/regions-faq.mdx" TargetMode="External" /><Relationship Type="http://schemas.openxmlformats.org/officeDocument/2006/relationships/hyperlink" Id="rId2190" Target="https://raw.githubusercontent.com/langchain-ai/docs/main/src/langsmith/self-hosted.mdx" TargetMode="External" /><Relationship Type="http://schemas.openxmlformats.org/officeDocument/2006/relationships/hyperlink" Id="rId1019" Target="https://raw.githubusercontent.com/langchain-ai/langgraph/main/README.md" TargetMode="External" /><Relationship Type="http://schemas.openxmlformats.org/officeDocument/2006/relationships/hyperlink" Id="rId55" Target="https://raw.githubusercontent.com/langchain-ai/langsmith-sdk/main/python/README.md" TargetMode="External" /><Relationship Type="http://schemas.openxmlformats.org/officeDocument/2006/relationships/hyperlink" Id="rId2199" Target="https://raw.githubusercontent.com/langfuse/langfuse-docs/main/content/docs/prompt-management/features/prompt-version-control.mdx" TargetMode="External" /><Relationship Type="http://schemas.openxmlformats.org/officeDocument/2006/relationships/hyperlink" Id="rId2198" Target="https://raw.githubusercontent.com/langfuse/langfuse-docs/main/content/docs/prompt-management/overview.mdx" TargetMode="External" /><Relationship Type="http://schemas.openxmlformats.org/officeDocument/2006/relationships/hyperlink" Id="rId2204" Target="https://raw.githubusercontent.com/langfuse/langfuse-docs/main/content/security/index.mdx" TargetMode="External" /><Relationship Type="http://schemas.openxmlformats.org/officeDocument/2006/relationships/hyperlink" Id="rId2196" Target="https://raw.githubusercontent.com/langfuse/langfuse-docs/main/content/self-hosting/license-key.mdx" TargetMode="External" /><Relationship Type="http://schemas.openxmlformats.org/officeDocument/2006/relationships/hyperlink" Id="rId35" Target="https://raw.githubusercontent.com/langfuse/langfuse/main/LICENSE" TargetMode="External" /><Relationship Type="http://schemas.openxmlformats.org/officeDocument/2006/relationships/hyperlink" Id="rId32" Target="https://raw.githubusercontent.com/langfuse/langfuse/main/README.md" TargetMode="External" /><Relationship Type="http://schemas.openxmlformats.org/officeDocument/2006/relationships/hyperlink" Id="rId2235" Target="https://raw.githubusercontent.com/launchdarkly/python-server-sdk-ai/main/README.md" TargetMode="External" /><Relationship Type="http://schemas.openxmlformats.org/officeDocument/2006/relationships/hyperlink" Id="rId798" Target="https://raw.githubusercontent.com/letta-ai/letta-code/main/README.md" TargetMode="External" /><Relationship Type="http://schemas.openxmlformats.org/officeDocument/2006/relationships/hyperlink" Id="rId799" Target="https://raw.githubusercontent.com/letta-ai/letta/main/README.md" TargetMode="External" /><Relationship Type="http://schemas.openxmlformats.org/officeDocument/2006/relationships/hyperlink" Id="rId1277" Target="https://raw.githubusercontent.com/llm-d/llm-d/main/README.md" TargetMode="External" /><Relationship Type="http://schemas.openxmlformats.org/officeDocument/2006/relationships/hyperlink" Id="rId1492" Target="https://raw.githubusercontent.com/lmstudio-ai/lms/main/LICENSE" TargetMode="External" /><Relationship Type="http://schemas.openxmlformats.org/officeDocument/2006/relationships/hyperlink" Id="rId1483" Target="https://raw.githubusercontent.com/lmstudio-ai/lms/main/README.md" TargetMode="External" /><Relationship Type="http://schemas.openxmlformats.org/officeDocument/2006/relationships/hyperlink" Id="rId733" Target="https://raw.githubusercontent.com/mem0ai/mem0/main/docs/migration/oss-v2-to-v3.mdx" TargetMode="External" /><Relationship Type="http://schemas.openxmlformats.org/officeDocument/2006/relationships/hyperlink" Id="rId721" Target="https://raw.githubusercontent.com/mem0ai/mem0/main/docs/platform/platform-vs-oss.mdx" TargetMode="External" /><Relationship Type="http://schemas.openxmlformats.org/officeDocument/2006/relationships/hyperlink" Id="rId2002" Target="https://raw.githubusercontent.com/meta-llama/PurpleLlama/main/LlamaFirewall/README.md" TargetMode="External" /><Relationship Type="http://schemas.openxmlformats.org/officeDocument/2006/relationships/hyperlink" Id="rId2015" Target="https://raw.githubusercontent.com/meta-llama/PurpleLlama/main/README.md" TargetMode="External" /><Relationship Type="http://schemas.openxmlformats.org/officeDocument/2006/relationships/hyperlink" Id="rId1077" Target="https://raw.githubusercontent.com/microsoft/agent-framework/main/LICENSE" TargetMode="External" /><Relationship Type="http://schemas.openxmlformats.org/officeDocument/2006/relationships/hyperlink" Id="rId1067" Target="https://raw.githubusercontent.com/microsoft/agent-framework/main/README.md" TargetMode="External" /><Relationship Type="http://schemas.openxmlformats.org/officeDocument/2006/relationships/hyperlink" Id="rId1083" Target="https://raw.githubusercontent.com/microsoft/autogen/main/README.md" TargetMode="External" /><Relationship Type="http://schemas.openxmlformats.org/officeDocument/2006/relationships/hyperlink" Id="rId2210" Target="https://raw.githubusercontent.com/microsoft/prompty/main/README.md" TargetMode="External" /><Relationship Type="http://schemas.openxmlformats.org/officeDocument/2006/relationships/hyperlink" Id="rId253" Target="https://raw.githubusercontent.com/mistralai/client-python/main/docs/sdks/ocr/README.md" TargetMode="External" /><Relationship Type="http://schemas.openxmlformats.org/officeDocument/2006/relationships/hyperlink" Id="rId21" Target="https://raw.githubusercontent.com/mlflow/mlflow/master/README.md" TargetMode="External" /><Relationship Type="http://schemas.openxmlformats.org/officeDocument/2006/relationships/hyperlink" Id="rId2329" Target="https://raw.githubusercontent.com/mmaitre314/picklescan/main/README.md" TargetMode="External" /><Relationship Type="http://schemas.openxmlformats.org/officeDocument/2006/relationships/hyperlink" Id="rId2142" Target="https://raw.githubusercontent.com/modelcontextprotocol/ext-auth/main/specification/stable/enterprise-managed-authorization.mdx" TargetMode="External" /><Relationship Type="http://schemas.openxmlformats.org/officeDocument/2006/relationships/hyperlink" Id="rId2179" Target="https://raw.githubusercontent.com/modelcontextprotocol/modelcontextprotocol/main/SECURITY.md" TargetMode="External" /><Relationship Type="http://schemas.openxmlformats.org/officeDocument/2006/relationships/hyperlink" Id="rId2169" Target="https://raw.githubusercontent.com/modelcontextprotocol/modelcontextprotocol/main/docs/extensions/auth/enterprise-managed-authorization.mdx" TargetMode="External" /><Relationship Type="http://schemas.openxmlformats.org/officeDocument/2006/relationships/hyperlink" Id="rId845" Target="https://raw.githubusercontent.com/modelcontextprotocol/modelcontextprotocol/main/docs/specification/2026-07-28/basic/authorization/index.mdx" TargetMode="External" /><Relationship Type="http://schemas.openxmlformats.org/officeDocument/2006/relationships/hyperlink" Id="rId857" Target="https://raw.githubusercontent.com/modelcontextprotocol/modelcontextprotocol/main/docs/specification/2026-07-28/basic/authorization/security-considerations.mdx" TargetMode="External" /><Relationship Type="http://schemas.openxmlformats.org/officeDocument/2006/relationships/hyperlink" Id="rId856" Target="https://raw.githubusercontent.com/modelcontextprotocol/modelcontextprotocol/main/docs/specification/2026-07-28/changelog.mdx" TargetMode="External" /><Relationship Type="http://schemas.openxmlformats.org/officeDocument/2006/relationships/hyperlink" Id="rId1451" Target="https://raw.githubusercontent.com/ollama/ollama/main/LICENSE" TargetMode="External" /><Relationship Type="http://schemas.openxmlformats.org/officeDocument/2006/relationships/hyperlink" Id="rId1441" Target="https://raw.githubusercontent.com/ollama/ollama/main/docs/cloud.mdx" TargetMode="External" /><Relationship Type="http://schemas.openxmlformats.org/officeDocument/2006/relationships/hyperlink" Id="rId1445" Target="https://raw.githubusercontent.com/ollama/ollama/main/docs/faq.mdx" TargetMode="External" /><Relationship Type="http://schemas.openxmlformats.org/officeDocument/2006/relationships/hyperlink" Id="rId2105" Target="https://raw.githubusercontent.com/open-policy-agent/opa/main/LICENSE" TargetMode="External" /><Relationship Type="http://schemas.openxmlformats.org/officeDocument/2006/relationships/hyperlink" Id="rId2103" Target="https://raw.githubusercontent.com/open-policy-agent/opa/main/README.md" TargetMode="External" /><Relationship Type="http://schemas.openxmlformats.org/officeDocument/2006/relationships/hyperlink" Id="rId2108" Target="https://raw.githubusercontent.com/open-policy-agent/opa/main/SECURITY.md" TargetMode="External" /><Relationship Type="http://schemas.openxmlformats.org/officeDocument/2006/relationships/hyperlink" Id="rId1123" Target="https://raw.githubusercontent.com/openai/openai-agents-python/main/README.md" TargetMode="External" /><Relationship Type="http://schemas.openxmlformats.org/officeDocument/2006/relationships/hyperlink" Id="rId341" Target="https://raw.githubusercontent.com/opendatalab/MinerU/master/LICENSE.md" TargetMode="External" /><Relationship Type="http://schemas.openxmlformats.org/officeDocument/2006/relationships/hyperlink" Id="rId335" Target="https://raw.githubusercontent.com/opendatalab/MinerU/master/README.md" TargetMode="External" /><Relationship Type="http://schemas.openxmlformats.org/officeDocument/2006/relationships/hyperlink" Id="rId557" Target="https://raw.githubusercontent.com/pgvector/pgvector/master/CHANGELOG.md" TargetMode="External" /><Relationship Type="http://schemas.openxmlformats.org/officeDocument/2006/relationships/hyperlink" Id="rId559" Target="https://raw.githubusercontent.com/pgvector/pgvector/master/LICENSE" TargetMode="External" /><Relationship Type="http://schemas.openxmlformats.org/officeDocument/2006/relationships/hyperlink" Id="rId117" Target="https://raw.githubusercontent.com/promptfoo/promptfoo/main/README.md" TargetMode="External" /><Relationship Type="http://schemas.openxmlformats.org/officeDocument/2006/relationships/hyperlink" Id="rId118" Target="https://raw.githubusercontent.com/promptfoo/promptfoo/main/site/docs/enterprise/index.md" TargetMode="External" /><Relationship Type="http://schemas.openxmlformats.org/officeDocument/2006/relationships/hyperlink" Id="rId120" Target="https://raw.githubusercontent.com/promptfoo/promptfoo/main/site/docs/integrations/ci-cd.md" TargetMode="External" /><Relationship Type="http://schemas.openxmlformats.org/officeDocument/2006/relationships/hyperlink" Id="rId123" Target="https://raw.githubusercontent.com/promptfoo/promptfoo/main/site/docs/tracing.md" TargetMode="External" /><Relationship Type="http://schemas.openxmlformats.org/officeDocument/2006/relationships/hyperlink" Id="rId2328" Target="https://raw.githubusercontent.com/protectai/modelscan/main/README.md" TargetMode="External" /><Relationship Type="http://schemas.openxmlformats.org/officeDocument/2006/relationships/hyperlink" Id="rId2339" Target="https://raw.githubusercontent.com/protectai/modelscan/main/SECURITY.md" TargetMode="External" /><Relationship Type="http://schemas.openxmlformats.org/officeDocument/2006/relationships/hyperlink" Id="rId1091" Target="https://raw.githubusercontent.com/pydantic/pydantic-ai/main/README.md" TargetMode="External" /><Relationship Type="http://schemas.openxmlformats.org/officeDocument/2006/relationships/hyperlink" Id="rId319" Target="https://raw.githubusercontent.com/reductoai/reducto-python-sdk/main/api.md" TargetMode="External" /><Relationship Type="http://schemas.openxmlformats.org/officeDocument/2006/relationships/hyperlink" Id="rId320" Target="https://raw.githubusercontent.com/reductoai/reducto-python-sdk/main/src/reducto/_client.py" TargetMode="External" /><Relationship Type="http://schemas.openxmlformats.org/officeDocument/2006/relationships/hyperlink" Id="rId270" Target="https://raw.githubusercontent.com/run-llama/llama-cloud-py/main/README.md" TargetMode="External" /><Relationship Type="http://schemas.openxmlformats.org/officeDocument/2006/relationships/hyperlink" Id="rId269" Target="https://raw.githubusercontent.com/run-llama/llama_index/main/README.md" TargetMode="External" /><Relationship Type="http://schemas.openxmlformats.org/officeDocument/2006/relationships/hyperlink" Id="rId1318" Target="https://raw.githubusercontent.com/sgl-project/sglang/main/LICENSE" TargetMode="External" /><Relationship Type="http://schemas.openxmlformats.org/officeDocument/2006/relationships/hyperlink" Id="rId1313" Target="https://raw.githubusercontent.com/sgl-project/sglang/main/README.md" TargetMode="External" /><Relationship Type="http://schemas.openxmlformats.org/officeDocument/2006/relationships/hyperlink" Id="rId2349" Target="https://raw.githubusercontent.com/sigstore/model-transparency/main/README.md" TargetMode="External" /><Relationship Type="http://schemas.openxmlformats.org/officeDocument/2006/relationships/hyperlink" Id="rId2112" Target="https://raw.githubusercontent.com/spiffe/spire/main/CHANGELOG.md" TargetMode="External" /><Relationship Type="http://schemas.openxmlformats.org/officeDocument/2006/relationships/hyperlink" Id="rId2114" Target="https://raw.githubusercontent.com/spiffe/spire/main/LICENSE" TargetMode="External" /><Relationship Type="http://schemas.openxmlformats.org/officeDocument/2006/relationships/hyperlink" Id="rId2111" Target="https://raw.githubusercontent.com/spiffe/spire/main/README.md" TargetMode="External" /><Relationship Type="http://schemas.openxmlformats.org/officeDocument/2006/relationships/hyperlink" Id="rId2117" Target="https://raw.githubusercontent.com/spiffe/spire/main/SECURITY.md" TargetMode="External" /><Relationship Type="http://schemas.openxmlformats.org/officeDocument/2006/relationships/hyperlink" Id="rId1153" Target="https://raw.githubusercontent.com/strands-agents/sdk-python/main/README.md" TargetMode="External" /><Relationship Type="http://schemas.openxmlformats.org/officeDocument/2006/relationships/hyperlink" Id="rId791" Target="https://raw.githubusercontent.com/supermemoryai/supermemory/main/LICENSE" TargetMode="External" /><Relationship Type="http://schemas.openxmlformats.org/officeDocument/2006/relationships/hyperlink" Id="rId783" Target="https://raw.githubusercontent.com/supermemoryai/supermemory/main/README.md" TargetMode="External" /><Relationship Type="http://schemas.openxmlformats.org/officeDocument/2006/relationships/hyperlink" Id="rId310" Target="https://raw.githubusercontent.com/unclecode/crawl4ai/main/LICENSE" TargetMode="External" /><Relationship Type="http://schemas.openxmlformats.org/officeDocument/2006/relationships/hyperlink" Id="rId305" Target="https://raw.githubusercontent.com/unclecode/crawl4ai/main/README.md" TargetMode="External" /><Relationship Type="http://schemas.openxmlformats.org/officeDocument/2006/relationships/hyperlink" Id="rId2479" Target="https://raw.githubusercontent.com/validmind/documentation/main/site/about/deployment/_deployment-available-options.qmd" TargetMode="External" /><Relationship Type="http://schemas.openxmlformats.org/officeDocument/2006/relationships/hyperlink" Id="rId2491" Target="https://raw.githubusercontent.com/validmind/documentation/main/site/about/deployment/multi-tenant-cloud.qmd" TargetMode="External" /><Relationship Type="http://schemas.openxmlformats.org/officeDocument/2006/relationships/hyperlink" Id="rId2489" Target="https://raw.githubusercontent.com/validmind/documentation/main/site/about/deployment/virtual-private-validmind.qmd" TargetMode="External" /><Relationship Type="http://schemas.openxmlformats.org/officeDocument/2006/relationships/hyperlink" Id="rId2481" Target="https://raw.githubusercontent.com/validmind/documentation/main/site/about/overview-llm-features.qmd" TargetMode="External" /><Relationship Type="http://schemas.openxmlformats.org/officeDocument/2006/relationships/hyperlink" Id="rId2487" Target="https://raw.githubusercontent.com/validmind/documentation/main/site/about/use-cases/e-23.qmd" TargetMode="External" /><Relationship Type="http://schemas.openxmlformats.org/officeDocument/2006/relationships/hyperlink" Id="rId2486" Target="https://raw.githubusercontent.com/validmind/documentation/main/site/about/use-cases/eu-ai-act.qmd" TargetMode="External" /><Relationship Type="http://schemas.openxmlformats.org/officeDocument/2006/relationships/hyperlink" Id="rId2484" Target="https://raw.githubusercontent.com/validmind/documentation/main/site/about/use-cases/sr-26-2.qmd" TargetMode="External" /><Relationship Type="http://schemas.openxmlformats.org/officeDocument/2006/relationships/hyperlink" Id="rId2485" Target="https://raw.githubusercontent.com/validmind/documentation/main/site/about/use-cases/ss1-23.qmd" TargetMode="External" /><Relationship Type="http://schemas.openxmlformats.org/officeDocument/2006/relationships/hyperlink" Id="rId2480" Target="https://raw.githubusercontent.com/validmind/documentation/main/site/guide/monitoring/ongoing-monitoring.qmd" TargetMode="External" /><Relationship Type="http://schemas.openxmlformats.org/officeDocument/2006/relationships/hyperlink" Id="rId2279" Target="https://raw.githubusercontent.com/vantage-sh/vantage-mcp-server/main/README.md" TargetMode="External" /><Relationship Type="http://schemas.openxmlformats.org/officeDocument/2006/relationships/hyperlink" Id="rId1203" Target="https://raw.githubusercontent.com/vercel/ai/main/LICENSE" TargetMode="External" /><Relationship Type="http://schemas.openxmlformats.org/officeDocument/2006/relationships/hyperlink" Id="rId1200" Target="https://raw.githubusercontent.com/vercel/ai/main/packages/ai/README.md" TargetMode="External" /><Relationship Type="http://schemas.openxmlformats.org/officeDocument/2006/relationships/hyperlink" Id="rId1201" Target="https://raw.githubusercontent.com/vercel/workflow/main/packages/workflow/README.md" TargetMode="External" /><Relationship Type="http://schemas.openxmlformats.org/officeDocument/2006/relationships/hyperlink" Id="rId1259" Target="https://raw.githubusercontent.com/vllm-project/vllm/main/README.md" TargetMode="External" /><Relationship Type="http://schemas.openxmlformats.org/officeDocument/2006/relationships/hyperlink" Id="rId150" Target="https://raw.githubusercontent.com/wandb/weave/master/README.md" TargetMode="External" /><Relationship Type="http://schemas.openxmlformats.org/officeDocument/2006/relationships/hyperlink" Id="rId327" Target="https://reducto.ai/blog/reducto-series-b-funding" TargetMode="External" /><Relationship Type="http://schemas.openxmlformats.org/officeDocument/2006/relationships/hyperlink" Id="rId325" Target="https://reducto.ai/pricing" TargetMode="External" /><Relationship Type="http://schemas.openxmlformats.org/officeDocument/2006/relationships/hyperlink" Id="rId875" Target="https://registry.modelcontextprotocol.io/v0.1/servers?limit=1" TargetMode="External" /><Relationship Type="http://schemas.openxmlformats.org/officeDocument/2006/relationships/hyperlink" Id="rId2150" Target="https://registry.npmjs.org/@auth0/ai" TargetMode="External" /><Relationship Type="http://schemas.openxmlformats.org/officeDocument/2006/relationships/hyperlink" Id="rId2307" Target="https://registry.npmjs.org/@helicone/helpers" TargetMode="External" /><Relationship Type="http://schemas.openxmlformats.org/officeDocument/2006/relationships/hyperlink" Id="rId807" Target="https://registry.npmjs.org/@letta-ai/letta-code" TargetMode="External" /><Relationship Type="http://schemas.openxmlformats.org/officeDocument/2006/relationships/hyperlink" Id="rId1207" Target="https://registry.npmjs.org/ai" TargetMode="External" /><Relationship Type="http://schemas.openxmlformats.org/officeDocument/2006/relationships/hyperlink" Id="rId130" Target="https://registry.npmjs.org/promptfoo" TargetMode="External" /><Relationship Type="http://schemas.openxmlformats.org/officeDocument/2006/relationships/hyperlink" Id="rId1211" Target="https://registry.npmjs.org/workflow" TargetMode="External" /><Relationship Type="http://schemas.openxmlformats.org/officeDocument/2006/relationships/hyperlink" Id="rId685" Target="https://sacra.com/c/turbopuffer/" TargetMode="External" /><Relationship Type="http://schemas.openxmlformats.org/officeDocument/2006/relationships/hyperlink" Id="rId2147" Target="https://security.okta.com/" TargetMode="External" /><Relationship Type="http://schemas.openxmlformats.org/officeDocument/2006/relationships/hyperlink" Id="rId595" Target="https://security.pinecone.io/" TargetMode="External" /><Relationship Type="http://schemas.openxmlformats.org/officeDocument/2006/relationships/hyperlink" Id="rId629" Target="https://siliconangle.com/2023/04/21/weaviate-reels-50m-ai-optimized-vector-database/" TargetMode="External" /><Relationship Type="http://schemas.openxmlformats.org/officeDocument/2006/relationships/hyperlink" Id="rId1525" Target="https://siliconangle.com/2026/10/06/mistral-launches-open-source-mistral-large-4-details-ai-roadmap/" TargetMode="External" /><Relationship Type="http://schemas.openxmlformats.org/officeDocument/2006/relationships/hyperlink" Id="rId1407" Target="https://stripe.com/newsroom/news/stripe-agrees-to-acquire-openrouter" TargetMode="External" /><Relationship Type="http://schemas.openxmlformats.org/officeDocument/2006/relationships/hyperlink" Id="rId787" Target="https://supermemory.ai/docs/overview/security" TargetMode="External" /><Relationship Type="http://schemas.openxmlformats.org/officeDocument/2006/relationships/hyperlink" Id="rId788" Target="https://supermemory.ai/pricing/" TargetMode="External" /><Relationship Type="http://schemas.openxmlformats.org/officeDocument/2006/relationships/hyperlink" Id="rId1617" Target="https://techbriefly.com/2026/07/07/spacexai-rebrand/" TargetMode="External" /><Relationship Type="http://schemas.openxmlformats.org/officeDocument/2006/relationships/hyperlink" Id="rId1633" Target="https://techcommunity.microsoft.com/blog/azure-ai-foundry-blog/introducing-deepseek-v4-flash-and-v4-pro-in-microsoft-foundry/4515174" TargetMode="External" /><Relationship Type="http://schemas.openxmlformats.org/officeDocument/2006/relationships/hyperlink" Id="rId1645" Target="https://techcrunch.com/2025/06/27/germany-tells-apple-google-to-remove-deepseek-from-the-countrys-app-stores" TargetMode="External" /><Relationship Type="http://schemas.openxmlformats.org/officeDocument/2006/relationships/hyperlink" Id="rId2463" Target="https://thenextweb.com/news/collibra-trail-ml-eu-ai-act-market" TargetMode="External" /><Relationship Type="http://schemas.openxmlformats.org/officeDocument/2006/relationships/hyperlink" Id="rId1622" Target="https://therecord.media/grok-sexually-explicit-images-eu-formal-investigation" TargetMode="External" /><Relationship Type="http://schemas.openxmlformats.org/officeDocument/2006/relationships/hyperlink" Id="rId314" Target="https://tracxn.com/d/companies/crawl4ai/__EgBR0RIx6L34MHENV_ItNiaxrP5zsR1oR97-bT7LWmg" TargetMode="External" /><Relationship Type="http://schemas.openxmlformats.org/officeDocument/2006/relationships/hyperlink" Id="rId1549" Target="https://trust.anthropic.com/" TargetMode="External" /><Relationship Type="http://schemas.openxmlformats.org/officeDocument/2006/relationships/hyperlink" Id="rId901" Target="https://trust.browserbase.com/" TargetMode="External" /><Relationship Type="http://schemas.openxmlformats.org/officeDocument/2006/relationships/hyperlink" Id="rId1465" Target="https://trust.cerebras.ai/" TargetMode="External" /><Relationship Type="http://schemas.openxmlformats.org/officeDocument/2006/relationships/hyperlink" Id="rId2294" Target="https://trust.cloudzero.com/" TargetMode="External" /><Relationship Type="http://schemas.openxmlformats.org/officeDocument/2006/relationships/hyperlink" Id="rId77" Target="https://trust.comet.com/" TargetMode="External" /><Relationship Type="http://schemas.openxmlformats.org/officeDocument/2006/relationships/hyperlink" Id="rId2440" Target="https://trust.credo.ai/" TargetMode="External" /><Relationship Type="http://schemas.openxmlformats.org/officeDocument/2006/relationships/hyperlink" Id="rId1166" Target="https://trust.crewai.com/" TargetMode="External" /><Relationship Type="http://schemas.openxmlformats.org/officeDocument/2006/relationships/hyperlink" Id="rId190" Target="https://trust.datadoghq.com/" TargetMode="External" /><Relationship Type="http://schemas.openxmlformats.org/officeDocument/2006/relationships/hyperlink" Id="rId985" Target="https://trust.exa.ai/" TargetMode="External" /><Relationship Type="http://schemas.openxmlformats.org/officeDocument/2006/relationships/hyperlink" Id="rId1287" Target="https://trust.fireworks.ai/" TargetMode="External" /><Relationship Type="http://schemas.openxmlformats.org/officeDocument/2006/relationships/hyperlink" Id="rId1759" Target="https://trust.konghq.com/resources" TargetMode="External" /><Relationship Type="http://schemas.openxmlformats.org/officeDocument/2006/relationships/hyperlink" Id="rId1511" Target="https://trust.openai.com/" TargetMode="External" /><Relationship Type="http://schemas.openxmlformats.org/officeDocument/2006/relationships/hyperlink" Id="rId1401" Target="https://trust.openrouter.ai/" TargetMode="External" /><Relationship Type="http://schemas.openxmlformats.org/officeDocument/2006/relationships/hyperlink" Id="rId2366" Target="https://trust.paloaltonetworks.com/" TargetMode="External" /><Relationship Type="http://schemas.openxmlformats.org/officeDocument/2006/relationships/hyperlink" Id="rId1003" Target="https://trust.tavily.com/faq" TargetMode="External" /><Relationship Type="http://schemas.openxmlformats.org/officeDocument/2006/relationships/hyperlink" Id="rId1050" Target="https://trust.temporal.io/" TargetMode="External" /><Relationship Type="http://schemas.openxmlformats.org/officeDocument/2006/relationships/hyperlink" Id="rId1359" Target="https://trust.together.ai/" TargetMode="External" /><Relationship Type="http://schemas.openxmlformats.org/officeDocument/2006/relationships/hyperlink" Id="rId371" Target="https://trustcenter.cohere.com/" TargetMode="External" /><Relationship Type="http://schemas.openxmlformats.org/officeDocument/2006/relationships/hyperlink" Id="rId670" Target="https://turbopuffer.com/docs/architecture" TargetMode="External" /><Relationship Type="http://schemas.openxmlformats.org/officeDocument/2006/relationships/hyperlink" Id="rId671" Target="https://turbopuffer.com/docs/byoc" TargetMode="External" /><Relationship Type="http://schemas.openxmlformats.org/officeDocument/2006/relationships/hyperlink" Id="rId680" Target="https://turbopuffer.com/docs/regions" TargetMode="External" /><Relationship Type="http://schemas.openxmlformats.org/officeDocument/2006/relationships/hyperlink" Id="rId677" Target="https://turbopuffer.com/docs/security" TargetMode="External" /><Relationship Type="http://schemas.openxmlformats.org/officeDocument/2006/relationships/hyperlink" Id="rId676" Target="https://turbopuffer.com/pricing" TargetMode="External" /><Relationship Type="http://schemas.openxmlformats.org/officeDocument/2006/relationships/hyperlink" Id="rId218" Target="https://unstructured.io/pricing" TargetMode="External" /><Relationship Type="http://schemas.openxmlformats.org/officeDocument/2006/relationships/hyperlink" Id="rId2493" Target="https://validmind.com/platform/" TargetMode="External" /><Relationship Type="http://schemas.openxmlformats.org/officeDocument/2006/relationships/hyperlink" Id="rId155" Target="https://wandb.ai/site/pricing" TargetMode="External" /><Relationship Type="http://schemas.openxmlformats.org/officeDocument/2006/relationships/hyperlink" Id="rId613" Target="https://weaviate.io/blog/weaviate-1-39-release" TargetMode="External" /><Relationship Type="http://schemas.openxmlformats.org/officeDocument/2006/relationships/hyperlink" Id="rId619" Target="https://weaviate.io/blog/weaviate-hipaa-compliant" TargetMode="External" /><Relationship Type="http://schemas.openxmlformats.org/officeDocument/2006/relationships/hyperlink" Id="rId618" Target="https://weaviate.io/blog/weaviate-iso-compliant" TargetMode="External" /><Relationship Type="http://schemas.openxmlformats.org/officeDocument/2006/relationships/hyperlink" Id="rId617" Target="https://weaviate.io/pricing" TargetMode="External" /><Relationship Type="http://schemas.openxmlformats.org/officeDocument/2006/relationships/hyperlink" Id="rId623" Target="https://weaviate.io/products/byoc" TargetMode="External" /><Relationship Type="http://schemas.openxmlformats.org/officeDocument/2006/relationships/hyperlink" Id="rId1694" Target="https://www.alibabacloud.com/blog/alibaba-unveils-qwen3-8-27b-and-releases-weights-of-qwen3-8-flagship-model_603463" TargetMode="External" /><Relationship Type="http://schemas.openxmlformats.org/officeDocument/2006/relationships/hyperlink" Id="rId468" Target="https://www.alibabacloud.com/help/en/model-studio/embedding" TargetMode="External" /><Relationship Type="http://schemas.openxmlformats.org/officeDocument/2006/relationships/hyperlink" Id="rId1695" Target="https://www.alibabacloud.com/help/en/model-studio/model-pricing" TargetMode="External" /><Relationship Type="http://schemas.openxmlformats.org/officeDocument/2006/relationships/hyperlink" Id="rId1702" Target="https://www.alibabacloud.com/help/en/model-studio/regions" TargetMode="External" /><Relationship Type="http://schemas.openxmlformats.org/officeDocument/2006/relationships/hyperlink" Id="rId1544" Target="https://www.anthropic.com/claude-fable-and-mythos-5-1" TargetMode="External" /><Relationship Type="http://schemas.openxmlformats.org/officeDocument/2006/relationships/hyperlink" Id="rId1546" Target="https://www.anthropic.com/claude-haiku-5-5" TargetMode="External" /><Relationship Type="http://schemas.openxmlformats.org/officeDocument/2006/relationships/hyperlink" Id="rId1545" Target="https://www.anthropic.com/claude-opus-5-5" TargetMode="External" /><Relationship Type="http://schemas.openxmlformats.org/officeDocument/2006/relationships/hyperlink" Id="rId1558" Target="https://www.anthropic.com/claude/fable" TargetMode="External" /><Relationship Type="http://schemas.openxmlformats.org/officeDocument/2006/relationships/hyperlink" Id="rId1226" Target="https://www.anthropic.com/engineering/building-agents-with-the-claude-agent-sdk" TargetMode="External" /><Relationship Type="http://schemas.openxmlformats.org/officeDocument/2006/relationships/hyperlink" Id="rId941" Target="https://www.anthropic.com/engineering/equipping-agents-for-the-real-world-with-agent-skills" TargetMode="External" /><Relationship Type="http://schemas.openxmlformats.org/officeDocument/2006/relationships/hyperlink" Id="rId1543" Target="https://www.anthropic.com/news" TargetMode="External" /><Relationship Type="http://schemas.openxmlformats.org/officeDocument/2006/relationships/hyperlink" Id="rId1723" Target="https://www.anthropic.com/news/detecting-and-preventing-distillation-attacks" TargetMode="External" /><Relationship Type="http://schemas.openxmlformats.org/officeDocument/2006/relationships/hyperlink" Id="rId1560" Target="https://www.anthropic.com/news/updates-to-our-consumer-terms" TargetMode="External" /><Relationship Type="http://schemas.openxmlformats.org/officeDocument/2006/relationships/hyperlink" Id="rId1567" Target="https://www.anthropiccopyrightsettlement.com/" TargetMode="External" /><Relationship Type="http://schemas.openxmlformats.org/officeDocument/2006/relationships/hyperlink" Id="rId1569" Target="https://www.authorsalliance.org/2026/07/21/bartz-v-anthropic-settlement-receives-final-approval/" TargetMode="External" /><Relationship Type="http://schemas.openxmlformats.org/officeDocument/2006/relationships/hyperlink" Id="rId181" Target="https://www.axios.com/pro/enterprise-software-deals/2026/02/17/ai-observability-braintrust-80-million-800-million" TargetMode="External" /><Relationship Type="http://schemas.openxmlformats.org/officeDocument/2006/relationships/hyperlink" Id="rId171" Target="https://www.braintrust.dev/blog/security-data-control" TargetMode="External" /><Relationship Type="http://schemas.openxmlformats.org/officeDocument/2006/relationships/hyperlink" Id="rId166" Target="https://www.braintrust.dev/blog/trace-keynote" TargetMode="External" /><Relationship Type="http://schemas.openxmlformats.org/officeDocument/2006/relationships/hyperlink" Id="rId173" Target="https://www.braintrust.dev/docs/integrations/opentelemetry" TargetMode="External" /><Relationship Type="http://schemas.openxmlformats.org/officeDocument/2006/relationships/hyperlink" Id="rId176" Target="https://www.braintrust.dev/docs/security" TargetMode="External" /><Relationship Type="http://schemas.openxmlformats.org/officeDocument/2006/relationships/hyperlink" Id="rId167" Target="https://www.braintrust.dev/pricing" TargetMode="External" /><Relationship Type="http://schemas.openxmlformats.org/officeDocument/2006/relationships/hyperlink" Id="rId2087" Target="https://www.businesswire.com/news/home/20240328765469/en/Skyflow-Raises-$30-Million-led-by-Khosla-Ventures-for-Data-Privacy-in-AI-and-Global-Data-Residency" TargetMode="External" /><Relationship Type="http://schemas.openxmlformats.org/officeDocument/2006/relationships/hyperlink" Id="rId1368" Target="https://www.businesswire.com/news/home/20260701243402/en/Together-AI-Raises-$800-Million-at-$8.3-Billion-Valuation-to-Make-Frontier-AI-Accessible-to-All" TargetMode="External" /><Relationship Type="http://schemas.openxmlformats.org/officeDocument/2006/relationships/hyperlink" Id="rId1363" Target="https://www.businesswire.com/news/home/20260701243402/en/Together-AI-Raises-00-Million-at-.3-Billion-Valuation-to-Make-Frontier-AI-Accessible-to-All" TargetMode="External" /><Relationship Type="http://schemas.openxmlformats.org/officeDocument/2006/relationships/hyperlink" Id="rId1294" Target="https://www.businesswire.com/news/home/20260716264405/en/Fireworks-Raises-a-$1.5-Billion-Series-D-to-Lead-the-Specialized-Intelligence-Revolution" TargetMode="External" /><Relationship Type="http://schemas.openxmlformats.org/officeDocument/2006/relationships/hyperlink" Id="rId1470" Target="https://www.cerebras.ai/press-release/cerebras-systems-announces-pricing-of-initial-public-offering" TargetMode="External" /><Relationship Type="http://schemas.openxmlformats.org/officeDocument/2006/relationships/hyperlink" Id="rId2403" Target="https://www.checkpoint.com/downloads/company/check-point-ai-guardrails-lakera-guard-privacy-datasheet.pdf" TargetMode="External" /><Relationship Type="http://schemas.openxmlformats.org/officeDocument/2006/relationships/hyperlink" Id="rId2393" Target="https://www.checkpoint.com/press-releases/check-point-launches-ai-defense-plane-to-secure-the-agentic-enterprise-at-scale/" TargetMode="External" /><Relationship Type="http://schemas.openxmlformats.org/officeDocument/2006/relationships/hyperlink" Id="rId2402" Target="https://www.checkpoint.com/press-releases/check-point-software-reports-2025-third-quarter-financial-results/" TargetMode="External" /><Relationship Type="http://schemas.openxmlformats.org/officeDocument/2006/relationships/hyperlink" Id="rId1907" Target="https://www.cloudflare.com/trust-hub/compliance-resources/soc-2/" TargetMode="External" /><Relationship Type="http://schemas.openxmlformats.org/officeDocument/2006/relationships/hyperlink" Id="rId2289" Target="https://www.cloudzero.com/blog/token-based-pricing/" TargetMode="External" /><Relationship Type="http://schemas.openxmlformats.org/officeDocument/2006/relationships/hyperlink" Id="rId1624" Target="https://www.cnbc.com/2026/01/26/elon-musk-grok-eu-explicit-images-investigation.html" TargetMode="External" /><Relationship Type="http://schemas.openxmlformats.org/officeDocument/2006/relationships/hyperlink" Id="rId1652" Target="https://www.cnbc.com/2026/07/08/chinese-ai-models-probe-us-lawmakers.html" TargetMode="External" /><Relationship Type="http://schemas.openxmlformats.org/officeDocument/2006/relationships/hyperlink" Id="rId1563" Target="https://www.cnbc.com/2026/08/28/judge-blocks-pentagon-blacklist--anthropic-.html" TargetMode="External" /><Relationship Type="http://schemas.openxmlformats.org/officeDocument/2006/relationships/hyperlink" Id="rId1502" Target="https://www.cnbc.com/2026/09/03/open-ai-astra-gpt-6-cyber.html" TargetMode="External" /><Relationship Type="http://schemas.openxmlformats.org/officeDocument/2006/relationships/hyperlink" Id="rId2454" Target="https://www.collibra.com/company/newsroom/press-releases/collibra-acquires-trail-ml-to-automate-ai-governance-from-policy-to-production" TargetMode="External" /><Relationship Type="http://schemas.openxmlformats.org/officeDocument/2006/relationships/hyperlink" Id="rId2446" Target="https://www.collibra.com/company/newsroom/press-releases/collibra-strengthens-ai-governance-leadership-with-iso-42001-certification-ai-pact-commitment" TargetMode="External" /><Relationship Type="http://schemas.openxmlformats.org/officeDocument/2006/relationships/hyperlink" Id="rId2457" Target="https://www.collibra.com/company/trust-center" TargetMode="External" /><Relationship Type="http://schemas.openxmlformats.org/officeDocument/2006/relationships/hyperlink" Id="rId82" Target="https://www.comet.com/docs/opik/administration/roles_and_permissions" TargetMode="External" /><Relationship Type="http://schemas.openxmlformats.org/officeDocument/2006/relationships/hyperlink" Id="rId79" Target="https://www.comet.com/site/pricing/" TargetMode="External" /><Relationship Type="http://schemas.openxmlformats.org/officeDocument/2006/relationships/hyperlink" Id="rId112" Target="https://www.confident-ai.com/docs/integrations/opentelemetry" TargetMode="External" /><Relationship Type="http://schemas.openxmlformats.org/officeDocument/2006/relationships/hyperlink" Id="rId114" Target="https://www.confident-ai.com/docs/settings/data-residency" TargetMode="External" /><Relationship Type="http://schemas.openxmlformats.org/officeDocument/2006/relationships/hyperlink" Id="rId1649" Target="https://www.congress.gov/crs-product/IF13197" TargetMode="External" /><Relationship Type="http://schemas.openxmlformats.org/officeDocument/2006/relationships/hyperlink" Id="rId328" Target="https://www.cooley.com/news/coverage/2025/2025-10-14-reducto-secures-$75-million-series-b" TargetMode="External" /><Relationship Type="http://schemas.openxmlformats.org/officeDocument/2006/relationships/hyperlink" Id="rId2438" Target="https://www.credo.ai/product" TargetMode="External" /><Relationship Type="http://schemas.openxmlformats.org/officeDocument/2006/relationships/hyperlink" Id="rId1642" Target="https://www.crossborderdataforum.org/generative-ai-and-gdpr-enforcement-in-europe-a-lot-of-noise-one-fine-zero-survivors/" TargetMode="External" /><Relationship Type="http://schemas.openxmlformats.org/officeDocument/2006/relationships/hyperlink" Id="rId242" Target="https://www.eba.europa.eu/publications-and-media/press-releases/european-supervisory-authorities-designate-critical-ict-third-party-providers-under-digital" TargetMode="External" /><Relationship Type="http://schemas.openxmlformats.org/officeDocument/2006/relationships/hyperlink" Id="rId531" Target="https://www.elastic.co/blog/elasticsearch-is-open-source-again" TargetMode="External" /><Relationship Type="http://schemas.openxmlformats.org/officeDocument/2006/relationships/hyperlink" Id="rId451" Target="https://www.elastic.co/blog/whats-new-elastic-9-5-0" TargetMode="External" /><Relationship Type="http://schemas.openxmlformats.org/officeDocument/2006/relationships/hyperlink" Id="rId526" Target="https://www.elastic.co/docs/deploy-manage/security/encrypt-deployment-with-customer-managed-encryption-key" TargetMode="External" /><Relationship Type="http://schemas.openxmlformats.org/officeDocument/2006/relationships/hyperlink" Id="rId453" Target="https://www.elastic.co/docs/explore-analyze/machine-learning/nlp/ml-nlp-jina" TargetMode="External" /><Relationship Type="http://schemas.openxmlformats.org/officeDocument/2006/relationships/hyperlink" Id="rId443" Target="https://www.elastic.co/subscriptions/cloud" TargetMode="External" /><Relationship Type="http://schemas.openxmlformats.org/officeDocument/2006/relationships/hyperlink" Id="rId454" Target="https://www.elastic.co/trust" TargetMode="External" /><Relationship Type="http://schemas.openxmlformats.org/officeDocument/2006/relationships/hyperlink" Id="rId440" Target="https://www.esma.europa.eu/esmas-activities/digital-finance-and-innovation/digital-operational-resilience-act-dora" TargetMode="External" /><Relationship Type="http://schemas.openxmlformats.org/officeDocument/2006/relationships/hyperlink" Id="rId519" Target="https://www.ethicalagentic.ai/privacy-policy" TargetMode="External" /><Relationship Type="http://schemas.openxmlformats.org/officeDocument/2006/relationships/hyperlink" Id="rId1670" Target="https://www.federalregister.gov/documents/2025/01/16/2025-00704/addition-of-entities-to-and-revision-of-entry-on-the-entity-list" TargetMode="External" /><Relationship Type="http://schemas.openxmlformats.org/officeDocument/2006/relationships/hyperlink" Id="rId2262" Target="https://www.finops.org/insights/2026-finops-framework/" TargetMode="External" /><Relationship Type="http://schemas.openxmlformats.org/officeDocument/2006/relationships/hyperlink" Id="rId290" Target="https://www.firecrawl.dev/blog/introducing-alexandria-series-b" TargetMode="External" /><Relationship Type="http://schemas.openxmlformats.org/officeDocument/2006/relationships/hyperlink" Id="rId297" Target="https://www.firecrawl.dev/pricing.md" TargetMode="External" /><Relationship Type="http://schemas.openxmlformats.org/officeDocument/2006/relationships/hyperlink" Id="rId301" Target="https://www.firecrawl.dev/privacy-policy" TargetMode="External" /><Relationship Type="http://schemas.openxmlformats.org/officeDocument/2006/relationships/hyperlink" Id="rId1641" Target="https://www.garanteprivacy.it/web/guest/home/docweb/-/docweb-display/docweb/10098477" TargetMode="External" /><Relationship Type="http://schemas.openxmlformats.org/officeDocument/2006/relationships/hyperlink" Id="rId707" Target="https://www.getzep.com/enterprise/" TargetMode="External" /><Relationship Type="http://schemas.openxmlformats.org/officeDocument/2006/relationships/hyperlink" Id="rId706" Target="https://www.getzep.com/pricing/" TargetMode="External" /><Relationship Type="http://schemas.openxmlformats.org/officeDocument/2006/relationships/hyperlink" Id="rId2027" Target="https://www.harvey.ai/blog/guardrails-ai-joins-harvey" TargetMode="External" /><Relationship Type="http://schemas.openxmlformats.org/officeDocument/2006/relationships/hyperlink" Id="rId2312" Target="https://www.hashicorp.com/en/blog/hashicorp-vault-agentic-iam-is-now-generally-available" TargetMode="External" /><Relationship Type="http://schemas.openxmlformats.org/officeDocument/2006/relationships/hyperlink" Id="rId2316" Target="https://www.hashicorp.com/en/trust/compliance" TargetMode="External" /><Relationship Type="http://schemas.openxmlformats.org/officeDocument/2006/relationships/hyperlink" Id="rId2304" Target="https://www.helicone.ai/blog" TargetMode="External" /><Relationship Type="http://schemas.openxmlformats.org/officeDocument/2006/relationships/hyperlink" Id="rId2305" Target="https://www.helicone.ai/blog/joining-mintlify" TargetMode="External" /><Relationship Type="http://schemas.openxmlformats.org/officeDocument/2006/relationships/hyperlink" Id="rId2381" Target="https://www.hiddenlayer.com/insight/hiddenlayer-achieves-iso-27001-and-renews-soc-2-type-2-compliance" TargetMode="External" /><Relationship Type="http://schemas.openxmlformats.org/officeDocument/2006/relationships/hyperlink" Id="rId2376" Target="https://www.hiddenlayer.com/news/hiddenlayer-100m-series-b-ai-security" TargetMode="External" /><Relationship Type="http://schemas.openxmlformats.org/officeDocument/2006/relationships/hyperlink" Id="rId2383" Target="https://www.hiddenlayer.com/news/hiddenlayer-announces-new-features-to-safeguard-enterprise-ai-models-with-improved-risk-detection" TargetMode="External" /><Relationship Type="http://schemas.openxmlformats.org/officeDocument/2006/relationships/hyperlink" Id="rId1565" Target="https://www.hklaw.com/en/insights/publications/2026/09/dc-circuit-upholds-exclusion-of-anthropic-from-dow-supply-chain" TargetMode="External" /><Relationship Type="http://schemas.openxmlformats.org/officeDocument/2006/relationships/hyperlink" Id="rId2424" Target="https://www.ibm.com/new/announcements/from-governance-policies-to-governance-proof-with-enforcement-tracking-for-watsonx-orchestrate" TargetMode="External" /><Relationship Type="http://schemas.openxmlformats.org/officeDocument/2006/relationships/hyperlink" Id="rId2432" Target="https://www.ibm.com/new/announcements/introducing-fedramp-authorized-watsonx-services-on-aws-govcloud" TargetMode="External" /><Relationship Type="http://schemas.openxmlformats.org/officeDocument/2006/relationships/hyperlink" Id="rId2423" Target="https://www.ibm.com/products/watsonx-governance/pricing" TargetMode="External" /><Relationship Type="http://schemas.openxmlformats.org/officeDocument/2006/relationships/hyperlink" Id="rId1711" Target="https://www.kimi.com/en/blog/kimi-k3" TargetMode="External" /><Relationship Type="http://schemas.openxmlformats.org/officeDocument/2006/relationships/hyperlink" Id="rId1644" Target="https://www.koreatimes.co.kr/amp/southkorea/globalcommunity/20250424/deepseek-transferred-korean-users-data-abroad-without-permission-govt" TargetMode="External" /><Relationship Type="http://schemas.openxmlformats.org/officeDocument/2006/relationships/hyperlink" Id="rId1648" Target="https://www.koreatimes.co.kr/amp/world/20250201/taiwan-bans-government-agencies-from-using-deepseek" TargetMode="External" /><Relationship Type="http://schemas.openxmlformats.org/officeDocument/2006/relationships/hyperlink" Id="rId53" Target="https://www.langchain.com/blog/end-to-end-opentelemetry-langsmith" TargetMode="External" /><Relationship Type="http://schemas.openxmlformats.org/officeDocument/2006/relationships/hyperlink" Id="rId54" Target="https://www.langchain.com/blog/interrupt-2026-overview" TargetMode="External" /><Relationship Type="http://schemas.openxmlformats.org/officeDocument/2006/relationships/hyperlink" Id="rId1031" Target="https://www.langchain.com/blog/langchain-langgraph-1dot0" TargetMode="External" /><Relationship Type="http://schemas.openxmlformats.org/officeDocument/2006/relationships/hyperlink" Id="rId1041" Target="https://www.langchain.com/enterprise" TargetMode="External" /><Relationship Type="http://schemas.openxmlformats.org/officeDocument/2006/relationships/hyperlink" Id="rId62" Target="https://www.langchain.com/pricing" TargetMode="External" /><Relationship Type="http://schemas.openxmlformats.org/officeDocument/2006/relationships/hyperlink" Id="rId243" Target="https://www.legislation.gov.uk/uksi/2026/777/made" TargetMode="External" /><Relationship Type="http://schemas.openxmlformats.org/officeDocument/2006/relationships/hyperlink" Id="rId800" Target="https://www.letta.com/blog/our-next-phase/" TargetMode="External" /><Relationship Type="http://schemas.openxmlformats.org/officeDocument/2006/relationships/hyperlink" Id="rId811" Target="https://www.letta.com/privacy-policy/" TargetMode="External" /><Relationship Type="http://schemas.openxmlformats.org/officeDocument/2006/relationships/hyperlink" Id="rId827" Target="https://www.linuxfoundation.org/press/a2a-protocol-surpasses-150-organizations-lands-in-major-cloud-platforms-and-sees-enterprise-production-use-in-first-year" TargetMode="External" /><Relationship Type="http://schemas.openxmlformats.org/officeDocument/2006/relationships/hyperlink" Id="rId863" Target="https://www.linuxfoundation.org/press/linux-foundation-announces-the-formation-of-the-agentic-ai-foundation" TargetMode="External" /><Relationship Type="http://schemas.openxmlformats.org/officeDocument/2006/relationships/hyperlink" Id="rId1832" Target="https://www.linuxfoundation.org/press/linux-foundation-welcomes-agentgateway-project-to-accelerate-ai-agent-adoption-while-maintaining-security-observability-and-governance" TargetMode="External" /><Relationship Type="http://schemas.openxmlformats.org/officeDocument/2006/relationships/hyperlink" Id="rId25" Target="https://www.linuxfoundation.org/press/press-release/the-mlflow-project-joins-linux-foundation" TargetMode="External" /><Relationship Type="http://schemas.openxmlformats.org/officeDocument/2006/relationships/hyperlink" Id="rId1729" Target="https://www.litellm.ai/pricing" TargetMode="External" /><Relationship Type="http://schemas.openxmlformats.org/officeDocument/2006/relationships/hyperlink" Id="rId1183" Target="https://www.llamaindex.ai/blog/announcing-workflows-1-0-a-lightweight-framework-for-agentic-systems" TargetMode="External" /><Relationship Type="http://schemas.openxmlformats.org/officeDocument/2006/relationships/hyperlink" Id="rId1187" Target="https://www.llamaindex.ai/blog/llamaagents-build-serve-and-deploy-document-agents" TargetMode="External" /><Relationship Type="http://schemas.openxmlformats.org/officeDocument/2006/relationships/hyperlink" Id="rId990" Target="https://www.lw.com/en/news/2026/05/latham-advises-exa-in-series-c" TargetMode="External" /><Relationship Type="http://schemas.openxmlformats.org/officeDocument/2006/relationships/hyperlink" Id="rId1661" Target="https://www.marktechpost.com/2026/08/26/z-ai-releases-glm-5-3-flash-a-320b-a18b-natively-multimodal-moe-with-a-1m-token-context/" TargetMode="External" /><Relationship Type="http://schemas.openxmlformats.org/officeDocument/2006/relationships/hyperlink" Id="rId2466" Target="https://www.modelop.com/ai-governance-software/controls" TargetMode="External" /><Relationship Type="http://schemas.openxmlformats.org/officeDocument/2006/relationships/hyperlink" Id="rId2471" Target="https://www.modelop.com/ai-governance-software/integrations" TargetMode="External" /><Relationship Type="http://schemas.openxmlformats.org/officeDocument/2006/relationships/hyperlink" Id="rId2444" Target="https://www.modelop.com/ai-governance/ai-regulations-standards/sr-11-7" TargetMode="External" /><Relationship Type="http://schemas.openxmlformats.org/officeDocument/2006/relationships/hyperlink" Id="rId2474" Target="https://www.modelop.com/blog/a-milestone-moment-modelop-raises-10-million-to-accelerate-the-growth-of-its-leading-ai-governance-software" TargetMode="External" /><Relationship Type="http://schemas.openxmlformats.org/officeDocument/2006/relationships/hyperlink" Id="rId2469" Target="https://www.modelop.com/blog/modelop-now-available-on-aws-marketplace" TargetMode="External" /><Relationship Type="http://schemas.openxmlformats.org/officeDocument/2006/relationships/hyperlink" Id="rId503" Target="https://www.mongodb.com/company/blog/product-release-announcements/europe-data-residency-for-atlas-embedding-reranking" TargetMode="External" /><Relationship Type="http://schemas.openxmlformats.org/officeDocument/2006/relationships/hyperlink" Id="rId500" Target="https://www.mongodb.com/company/blog/product-release-announcements/introducing-rerank-3-and-native-rerank" TargetMode="External" /><Relationship Type="http://schemas.openxmlformats.org/officeDocument/2006/relationships/hyperlink" Id="rId495" Target="https://www.mongodb.com/company/blog/product-release-announcements/introducing-the-embedding-and-reranking-api-on-mongodb-atlas" TargetMode="External" /><Relationship Type="http://schemas.openxmlformats.org/officeDocument/2006/relationships/hyperlink" Id="rId632" Target="https://www.mongodb.com/company/blog/product-release-announcements/mongodb-search-vector-search-now-run-anywhere" TargetMode="External" /><Relationship Type="http://schemas.openxmlformats.org/officeDocument/2006/relationships/hyperlink" Id="rId496" Target="https://www.mongodb.com/company/blog/product-release-announcements/unlocking-ai-search-introducing-automated-embedding-in-mongodb-vector-search" TargetMode="External" /><Relationship Type="http://schemas.openxmlformats.org/officeDocument/2006/relationships/hyperlink" Id="rId640" Target="https://www.mongodb.com/docs/atlas/security-kms-encryption/" TargetMode="External" /><Relationship Type="http://schemas.openxmlformats.org/officeDocument/2006/relationships/hyperlink" Id="rId636" Target="https://www.mongodb.com/docs/atlas/security/manage-federated-auth/" TargetMode="External" /><Relationship Type="http://schemas.openxmlformats.org/officeDocument/2006/relationships/hyperlink" Id="rId477" Target="https://www.mongodb.com/docs/voyageai/management/api-keys/" TargetMode="External" /><Relationship Type="http://schemas.openxmlformats.org/officeDocument/2006/relationships/hyperlink" Id="rId480" Target="https://www.mongodb.com/docs/voyageai/models/" TargetMode="External" /><Relationship Type="http://schemas.openxmlformats.org/officeDocument/2006/relationships/hyperlink" Id="rId493" Target="https://www.mongodb.com/products/platform/trust" TargetMode="External" /><Relationship Type="http://schemas.openxmlformats.org/officeDocument/2006/relationships/hyperlink" Id="rId643" Target="https://www.mongodb.com/products/platform/trust/soc" TargetMode="External" /><Relationship Type="http://schemas.openxmlformats.org/officeDocument/2006/relationships/hyperlink" Id="rId1316" Target="https://www.morningstar.com/news/business-wire/20260505077157/radixark-launches-with-100-million-in-seed-funding-led-by-accel-to-grow-sglang-and-democratize-frontier-ai-infrastructure" TargetMode="External" /><Relationship Type="http://schemas.openxmlformats.org/officeDocument/2006/relationships/hyperlink" Id="rId1654" Target="https://www.nist.gov/news-events/news/2025/09/caisi-evaluation-deepseek-ai-models-finds-shortcomings-and-risks" TargetMode="External" /><Relationship Type="http://schemas.openxmlformats.org/officeDocument/2006/relationships/hyperlink" Id="rId1668" Target="https://www.nist.gov/news-events/news/2026/07/caisi-assessment-zais-glm-52" TargetMode="External" /><Relationship Type="http://schemas.openxmlformats.org/officeDocument/2006/relationships/hyperlink" Id="rId1707" Target="https://www.nist.gov/news-events/news/2026/07/uk-aisi-caisi-preliminary-assessment-kimi-k3s-cyber-capabilities" TargetMode="External" /><Relationship Type="http://schemas.openxmlformats.org/officeDocument/2006/relationships/hyperlink" Id="rId1659" Target="https://www.nist.gov/news-events/news/2026/09/caisis-assessment-zais-glm-53-cyber-capabilities" TargetMode="External" /><Relationship Type="http://schemas.openxmlformats.org/officeDocument/2006/relationships/hyperlink" Id="rId2139" Target="https://www.okta.com/blog/ai/okta-for-ai-agents-general-availability/" TargetMode="External" /><Relationship Type="http://schemas.openxmlformats.org/officeDocument/2006/relationships/hyperlink" Id="rId2140" Target="https://www.okta.com/newsroom/press-releases/okta-brings-first-class-identity-to-ai-agents-with-agent-sso/" TargetMode="External" /><Relationship Type="http://schemas.openxmlformats.org/officeDocument/2006/relationships/hyperlink" Id="rId2358" Target="https://www.paloaltonetworks.com/ai-security/ai-model-security" TargetMode="External" /><Relationship Type="http://schemas.openxmlformats.org/officeDocument/2006/relationships/hyperlink" Id="rId1805" Target="https://www.paloaltonetworks.com/blog/2026/07/announcing-general-availability-of-prisma-airs-ai-gateway/" TargetMode="External" /><Relationship Type="http://schemas.openxmlformats.org/officeDocument/2006/relationships/hyperlink" Id="rId2342" Target="https://www.paloaltonetworks.com/company/press/2025/palo-alto-networks-completes-acquisition-of-protect-ai" TargetMode="External" /><Relationship Type="http://schemas.openxmlformats.org/officeDocument/2006/relationships/hyperlink" Id="rId1810" Target="https://www.paloaltonetworks.com/company/press/2026/palo-alto-networks-completes-acquisition-of-portkey-to-secure-ai-agents" TargetMode="External" /><Relationship Type="http://schemas.openxmlformats.org/officeDocument/2006/relationships/hyperlink" Id="rId2356" Target="https://www.paloaltonetworks.com/company/press/2026/palo-alto-networks-secures-agentic-ai-with-prisma-airs-3-0" TargetMode="External" /><Relationship Type="http://schemas.openxmlformats.org/officeDocument/2006/relationships/hyperlink" Id="rId599" Target="https://www.pinecone.io/blog/byoc-generally-available/" TargetMode="External" /><Relationship Type="http://schemas.openxmlformats.org/officeDocument/2006/relationships/hyperlink" Id="rId591" Target="https://www.pinecone.io/blog/cascading-retrieval/" TargetMode="External" /><Relationship Type="http://schemas.openxmlformats.org/officeDocument/2006/relationships/hyperlink" Id="rId593" Target="https://www.pinecone.io/newsroom/general-availability-of-pinecone-nexus-proves-knowledge-drives-real-outcomes-for-agentic-ai/" TargetMode="External" /><Relationship Type="http://schemas.openxmlformats.org/officeDocument/2006/relationships/hyperlink" Id="rId609" Target="https://www.pinecone.io/newsroom/next-chapter/" TargetMode="External" /><Relationship Type="http://schemas.openxmlformats.org/officeDocument/2006/relationships/hyperlink" Id="rId608" Target="https://www.pinecone.io/newsroom/pinecone-raises-usd100m-in-series-b-funding-to-provide-long-term-memory-for-ai/" TargetMode="External" /><Relationship Type="http://schemas.openxmlformats.org/officeDocument/2006/relationships/hyperlink" Id="rId592" Target="https://www.pinecone.io/newsroom/zoominfo-pinecone-drn/" TargetMode="External" /><Relationship Type="http://schemas.openxmlformats.org/officeDocument/2006/relationships/hyperlink" Id="rId596" Target="https://www.pinecone.io/security/" TargetMode="External" /><Relationship Type="http://schemas.openxmlformats.org/officeDocument/2006/relationships/hyperlink" Id="rId565" Target="https://www.postgresql.org/about/news/pgvector-082-released-3245/" TargetMode="External" /><Relationship Type="http://schemas.openxmlformats.org/officeDocument/2006/relationships/hyperlink" Id="rId556" Target="https://www.postgresql.org/about/news/pgvector-087-released-3392/" TargetMode="External" /><Relationship Type="http://schemas.openxmlformats.org/officeDocument/2006/relationships/hyperlink" Id="rId1647" Target="https://www.protectivesecurity.gov.au/publications-library/direction-001-2025-deepseek-products-applications-and-web-services" TargetMode="External" /><Relationship Type="http://schemas.openxmlformats.org/officeDocument/2006/relationships/hyperlink" Id="rId2099" Target="https://www.protegrity.com/blog/compliance-cheat-sheet-gdpr-vs-cpra-vs-hipaa-vs-soc/" TargetMode="External" /><Relationship Type="http://schemas.openxmlformats.org/officeDocument/2006/relationships/hyperlink" Id="rId2094" Target="https://www.protegrity.com/news/protegrity-ai-team-edition-to-secure-agentic-workflows" TargetMode="External" /><Relationship Type="http://schemas.openxmlformats.org/officeDocument/2006/relationships/hyperlink" Id="rId2098" Target="https://www.protegrity.com/news/protegrity-awarded-iso-270012013-certification" TargetMode="External" /><Relationship Type="http://schemas.openxmlformats.org/officeDocument/2006/relationships/hyperlink" Id="rId522" Target="https://www.ragie.ai/" TargetMode="External" /><Relationship Type="http://schemas.openxmlformats.org/officeDocument/2006/relationships/hyperlink" Id="rId1697" Target="https://www.scmp.com/tech/article/3362738/alibabas-ai-model-qwen38-max-made-widely-accessible-ahead-open-weights-release" TargetMode="External" /><Relationship Type="http://schemas.openxmlformats.org/officeDocument/2006/relationships/hyperlink" Id="rId2373" Target="https://www.sec.gov/Archives/edgar/data/0001327567/000132756726000015/panw-20260430.htm" TargetMode="External" /><Relationship Type="http://schemas.openxmlformats.org/officeDocument/2006/relationships/hyperlink" Id="rId1816" Target="https://www.sec.gov/Archives/edgar/data/0001327567/000132756726000023/panw-20260731.htm" TargetMode="External" /><Relationship Type="http://schemas.openxmlformats.org/officeDocument/2006/relationships/hyperlink" Id="rId1008" Target="https://www.sec.gov/Archives/edgar/data/0001513845/000110465926052948/nbis-20251231x20f.htm" TargetMode="External" /><Relationship Type="http://schemas.openxmlformats.org/officeDocument/2006/relationships/hyperlink" Id="rId1471" Target="https://www.sec.gov/Archives/edgar/data/0002021728/000162828026056357/cbrs-20260630.htm" TargetMode="External" /><Relationship Type="http://schemas.openxmlformats.org/officeDocument/2006/relationships/hyperlink" Id="rId490" Target="https://www.sec.gov/Archives/edgar/data/1441816/000162828026016799/mdb-20260131.htm" TargetMode="External" /><Relationship Type="http://schemas.openxmlformats.org/officeDocument/2006/relationships/hyperlink" Id="rId2080" Target="https://www.skyflow.com/gdpr-compliance" TargetMode="External" /><Relationship Type="http://schemas.openxmlformats.org/officeDocument/2006/relationships/hyperlink" Id="rId2084" Target="https://www.skyflow.com/security" TargetMode="External" /><Relationship Type="http://schemas.openxmlformats.org/officeDocument/2006/relationships/hyperlink" Id="rId1828" Target="https://www.solo.io/press-releases/enterprise-agentgateway-mcp-labs" TargetMode="External" /><Relationship Type="http://schemas.openxmlformats.org/officeDocument/2006/relationships/hyperlink" Id="rId1014" Target="https://www.tavily.com/blog/tavily-is-joining-nebius" TargetMode="External" /><Relationship Type="http://schemas.openxmlformats.org/officeDocument/2006/relationships/hyperlink" Id="rId1004" Target="https://www.tavily.com/pricing" TargetMode="External" /><Relationship Type="http://schemas.openxmlformats.org/officeDocument/2006/relationships/hyperlink" Id="rId1358" Target="https://www.together.ai/blog/soc-2-compliance" TargetMode="External" /><Relationship Type="http://schemas.openxmlformats.org/officeDocument/2006/relationships/hyperlink" Id="rId689" Target="https://www.trychroma.com/pricing" TargetMode="External" /><Relationship Type="http://schemas.openxmlformats.org/officeDocument/2006/relationships/hyperlink" Id="rId692" Target="https://www.trychroma.com/security" TargetMode="External" /><Relationship Type="http://schemas.openxmlformats.org/officeDocument/2006/relationships/hyperlink" Id="rId2263" Target="https://www.vantage.sh/blog/managed-ai-tags" TargetMode="External" /><Relationship Type="http://schemas.openxmlformats.org/officeDocument/2006/relationships/hyperlink" Id="rId2283" Target="https://www.vantage.sh/legal/security" TargetMode="External" /><Relationship Type="http://schemas.openxmlformats.org/officeDocument/2006/relationships/hyperlink" Id="rId1606" Target="https://x.ai/news/grok-4-7" TargetMode="External" /><Relationship Type="http://schemas.openxmlformats.org/officeDocument/2006/relationships/hyperlink" Id="rId1615" Target="https://x.ai/news/xai-joins-spacex" TargetMode="External" /><Relationship Type="http://schemas.openxmlformats.org/officeDocument/2006/relationships/hyperlink" Id="rId538" Target="https://zilliz.com/news/milvus-3-0-lake-native-vector-database" TargetMode="External" /><Relationship Type="http://schemas.openxmlformats.org/officeDocument/2006/relationships/hyperlink" Id="rId552" Target="https://zilliz.com/news/vector-database-company-zilliz-series-b-extension" TargetMode="External" /><Relationship Type="http://schemas.openxmlformats.org/officeDocument/2006/relationships/hyperlink" Id="rId544" Target="https://zilliz.com/pricing" TargetMode="External" /><Relationship Type="http://schemas.openxmlformats.org/officeDocument/2006/relationships/hyperlink" Id="rId541" Target="https://zilliz.com/trust-cente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Product Technical Appendix</dc:title>
  <dc:creator/>
  <cp:keywords/>
  <dcterms:created xsi:type="dcterms:W3CDTF">2026-10-09T06:33:24Z</dcterms:created>
  <dcterms:modified xsi:type="dcterms:W3CDTF">2026-10-09T06:33:24Z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Enterprise GenAI Full-Stack Architecture, October 2026</vt:lpwstr>
  </property>
</Properties>
</file>