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A5B68">
      <w:pPr>
        <w:rPr>
          <w:rFonts w:hint="eastAsia"/>
          <w:lang w:val="en-US" w:eastAsia="zh-CN"/>
        </w:rPr>
      </w:pPr>
      <w:r>
        <w:rPr>
          <w:rFonts w:hint="eastAsia"/>
          <w:lang w:val="en-US" w:eastAsia="zh-CN"/>
        </w:rPr>
        <w:t>Reviewer 1 &amp; 2：总体肯定，侧重完善细节</w:t>
      </w:r>
    </w:p>
    <w:p w14:paraId="36C057FE">
      <w:pPr>
        <w:rPr>
          <w:rFonts w:hint="eastAsia"/>
          <w:lang w:val="en-US" w:eastAsia="zh-CN"/>
        </w:rPr>
      </w:pPr>
      <w:r>
        <w:rPr>
          <w:rFonts w:hint="eastAsia"/>
          <w:lang w:val="en-US" w:eastAsia="zh-CN"/>
        </w:rPr>
        <w:t>审稿人1完全认可。审稿人2提出了两个核心补充要求：</w:t>
      </w:r>
    </w:p>
    <w:p w14:paraId="682F8665">
      <w:pPr>
        <w:rPr>
          <w:rFonts w:hint="eastAsia"/>
          <w:color w:val="0000FF"/>
          <w:lang w:val="en-US" w:eastAsia="zh-CN"/>
        </w:rPr>
      </w:pPr>
      <w:r>
        <w:rPr>
          <w:rFonts w:hint="eastAsia"/>
          <w:color w:val="0000FF"/>
          <w:lang w:val="en-US" w:eastAsia="zh-CN"/>
        </w:rPr>
        <w:t>问题 1：缺乏计算复杂度和渲染时间的基准测试（Rendering Time Benchmarks）</w:t>
      </w:r>
    </w:p>
    <w:p w14:paraId="402C33DF">
      <w:pPr>
        <w:rPr>
          <w:rFonts w:hint="eastAsia"/>
          <w:lang w:val="en-US" w:eastAsia="zh-CN"/>
        </w:rPr>
      </w:pPr>
      <w:r>
        <w:rPr>
          <w:rFonts w:hint="eastAsia"/>
          <w:lang w:val="en-US" w:eastAsia="zh-CN"/>
        </w:rPr>
        <w:t>审稿意见：需要说明你的算法框架在实际运行时的效率如何。</w:t>
      </w:r>
    </w:p>
    <w:p w14:paraId="22A5FE34">
      <w:pPr>
        <w:rPr>
          <w:rFonts w:hint="eastAsia"/>
          <w:lang w:val="en-US" w:eastAsia="zh-CN"/>
        </w:rPr>
      </w:pPr>
    </w:p>
    <w:p w14:paraId="24EE2C8E">
      <w:pPr>
        <w:rPr>
          <w:rFonts w:hint="eastAsia"/>
          <w:lang w:val="en-US" w:eastAsia="zh-CN"/>
        </w:rPr>
      </w:pPr>
      <w:r>
        <w:rPr>
          <w:rFonts w:hint="eastAsia"/>
          <w:lang w:val="en-US" w:eastAsia="zh-CN"/>
        </w:rPr>
        <w:t>修改建议：</w:t>
      </w:r>
    </w:p>
    <w:p w14:paraId="79EA3241">
      <w:pPr>
        <w:rPr>
          <w:rFonts w:hint="eastAsia"/>
          <w:lang w:val="en-US" w:eastAsia="zh-CN"/>
        </w:rPr>
      </w:pPr>
      <w:r>
        <w:rPr>
          <w:rFonts w:hint="eastAsia"/>
          <w:lang w:val="en-US" w:eastAsia="zh-CN"/>
        </w:rPr>
        <w:t>补充数据表：在一个表格中列出关键步骤（如：Edge Detection, Texture Synthesis, Global Illumination）的平均渲染时间。</w:t>
      </w:r>
    </w:p>
    <w:p w14:paraId="77C7D132">
      <w:pPr>
        <w:rPr>
          <w:rFonts w:hint="eastAsia"/>
          <w:lang w:val="en-US" w:eastAsia="zh-CN"/>
        </w:rPr>
      </w:pPr>
      <w:r>
        <w:rPr>
          <w:rFonts w:hint="eastAsia"/>
          <w:lang w:val="en-US" w:eastAsia="zh-CN"/>
        </w:rPr>
        <w:t>硬件说明：标注测试时使用的显卡（GPU）和内存配置。</w:t>
      </w:r>
    </w:p>
    <w:p w14:paraId="36E4A8F8">
      <w:pPr>
        <w:rPr>
          <w:rFonts w:hint="eastAsia"/>
          <w:lang w:val="en-US" w:eastAsia="zh-CN"/>
        </w:rPr>
      </w:pPr>
      <w:r>
        <w:rPr>
          <w:rFonts w:hint="eastAsia"/>
          <w:lang w:val="en-US" w:eastAsia="zh-CN"/>
        </w:rPr>
        <w:t>结论分析：说明该流程是否能达到实时渲染（Real-time）的要求，或者它作为离线渲染工具的效率优势。</w:t>
      </w:r>
    </w:p>
    <w:p w14:paraId="400209AC">
      <w:pPr>
        <w:rPr>
          <w:rFonts w:hint="eastAsia"/>
          <w:lang w:val="en-US" w:eastAsia="zh-CN"/>
        </w:rPr>
      </w:pPr>
    </w:p>
    <w:p w14:paraId="3807B2BE">
      <w:pPr>
        <w:rPr>
          <w:rFonts w:hint="eastAsia"/>
          <w:color w:val="0000FF"/>
          <w:lang w:val="en-US" w:eastAsia="zh-CN"/>
        </w:rPr>
      </w:pPr>
      <w:r>
        <w:rPr>
          <w:rFonts w:hint="eastAsia"/>
          <w:color w:val="0000FF"/>
          <w:lang w:val="en-US" w:eastAsia="zh-CN"/>
        </w:rPr>
        <w:t>问题 2：案例单一，泛化性（Generalizability）不足</w:t>
      </w:r>
    </w:p>
    <w:p w14:paraId="4FF48DEC">
      <w:pPr>
        <w:rPr>
          <w:rFonts w:hint="eastAsia"/>
          <w:lang w:val="en-US" w:eastAsia="zh-CN"/>
        </w:rPr>
      </w:pPr>
      <w:r>
        <w:rPr>
          <w:rFonts w:hint="eastAsia"/>
          <w:lang w:val="en-US" w:eastAsia="zh-CN"/>
        </w:rPr>
        <w:t>审稿意见：只验证了《八花图》（花鸟画），没验证山水画或人物画。</w:t>
      </w:r>
    </w:p>
    <w:p w14:paraId="4A9846E5">
      <w:pPr>
        <w:rPr>
          <w:rFonts w:hint="eastAsia"/>
          <w:lang w:val="en-US" w:eastAsia="zh-CN"/>
        </w:rPr>
      </w:pPr>
      <w:r>
        <w:rPr>
          <w:rFonts w:hint="eastAsia"/>
          <w:lang w:val="en-US" w:eastAsia="zh-CN"/>
        </w:rPr>
        <w:t>修改建议：</w:t>
      </w:r>
    </w:p>
    <w:p w14:paraId="0B330604">
      <w:pPr>
        <w:rPr>
          <w:rFonts w:hint="eastAsia"/>
          <w:lang w:val="en-US" w:eastAsia="zh-CN"/>
        </w:rPr>
      </w:pPr>
      <w:r>
        <w:rPr>
          <w:rFonts w:hint="eastAsia"/>
          <w:lang w:val="en-US" w:eastAsia="zh-CN"/>
        </w:rPr>
        <w:t>承认局限性：在 Discussion 部分诚恳说明本文侧重于花鸟画的精细还原。</w:t>
      </w:r>
    </w:p>
    <w:p w14:paraId="7099F0D6">
      <w:pPr>
        <w:rPr>
          <w:rFonts w:hint="eastAsia"/>
          <w:lang w:val="en-US" w:eastAsia="zh-CN"/>
        </w:rPr>
      </w:pPr>
      <w:r>
        <w:rPr>
          <w:rFonts w:hint="eastAsia"/>
          <w:lang w:val="en-US" w:eastAsia="zh-CN"/>
        </w:rPr>
        <w:t>增加前瞻说明：简述你的“矩阵”如何逻辑上适配山水画（例如：山水的皴法可以对应哪种噪声算法）。</w:t>
      </w:r>
    </w:p>
    <w:p w14:paraId="747ED565">
      <w:pPr>
        <w:rPr>
          <w:rFonts w:hint="eastAsia"/>
          <w:lang w:val="en-US" w:eastAsia="zh-CN"/>
        </w:rPr>
      </w:pPr>
      <w:r>
        <w:rPr>
          <w:rFonts w:hint="eastAsia"/>
          <w:lang w:val="en-US" w:eastAsia="zh-CN"/>
        </w:rPr>
        <w:t>视觉预实验（可选）：如果时间允许，放一张山水画局部的初步渲染对比图作为附录，证明矩阵的可扩展性。</w:t>
      </w:r>
    </w:p>
    <w:p w14:paraId="3EA45223">
      <w:pPr>
        <w:rPr>
          <w:rFonts w:hint="eastAsia"/>
          <w:lang w:val="en-US" w:eastAsia="zh-CN"/>
        </w:rPr>
      </w:pPr>
    </w:p>
    <w:p w14:paraId="0051AB92">
      <w:pPr>
        <w:rPr>
          <w:rFonts w:hint="eastAsia"/>
          <w:color w:val="auto"/>
          <w:lang w:val="en-US" w:eastAsia="zh-CN"/>
        </w:rPr>
      </w:pPr>
      <w:r>
        <w:rPr>
          <w:rFonts w:hint="eastAsia"/>
          <w:color w:val="auto"/>
          <w:lang w:val="en-US" w:eastAsia="zh-CN"/>
        </w:rPr>
        <w:t>Reviewer 3：核心攻坚战（逻辑与实验严谨性）</w:t>
      </w:r>
    </w:p>
    <w:p w14:paraId="745306B6">
      <w:pPr>
        <w:rPr>
          <w:rFonts w:hint="eastAsia"/>
          <w:lang w:val="en-US" w:eastAsia="zh-CN"/>
        </w:rPr>
      </w:pPr>
      <w:r>
        <w:rPr>
          <w:rFonts w:hint="eastAsia"/>
          <w:lang w:val="en-US" w:eastAsia="zh-CN"/>
        </w:rPr>
        <w:t>审稿人3的意见最犀利，你必须通过“补实验+调表述”来回应。</w:t>
      </w:r>
    </w:p>
    <w:p w14:paraId="4B01020C">
      <w:pPr>
        <w:rPr>
          <w:rFonts w:hint="eastAsia"/>
          <w:color w:val="0000FF"/>
          <w:lang w:val="en-US" w:eastAsia="zh-CN"/>
        </w:rPr>
      </w:pPr>
      <w:r>
        <w:rPr>
          <w:rFonts w:hint="eastAsia"/>
          <w:color w:val="0000FF"/>
          <w:lang w:val="en-US" w:eastAsia="zh-CN"/>
        </w:rPr>
        <w:t>问题 3：矩阵的有效性缺乏“对比实验”</w:t>
      </w:r>
    </w:p>
    <w:p w14:paraId="6E4C0AFD">
      <w:pPr>
        <w:rPr>
          <w:rFonts w:hint="eastAsia"/>
          <w:lang w:val="en-US" w:eastAsia="zh-CN"/>
        </w:rPr>
      </w:pPr>
      <w:r>
        <w:rPr>
          <w:rFonts w:hint="eastAsia"/>
          <w:lang w:val="en-US" w:eastAsia="zh-CN"/>
        </w:rPr>
        <w:t>审稿意见：你提出了匹配矩阵，但没证明“按矩阵选算法”比“随便选”或“凭经验选”更好。</w:t>
      </w:r>
    </w:p>
    <w:p w14:paraId="6525F2D3">
      <w:pPr>
        <w:rPr>
          <w:rFonts w:hint="eastAsia"/>
          <w:lang w:val="en-US" w:eastAsia="zh-CN"/>
        </w:rPr>
      </w:pPr>
      <w:r>
        <w:rPr>
          <w:rFonts w:hint="eastAsia"/>
          <w:lang w:val="en-US" w:eastAsia="zh-CN"/>
        </w:rPr>
        <w:t>修改建议：</w:t>
      </w:r>
    </w:p>
    <w:p w14:paraId="1E396014">
      <w:pPr>
        <w:rPr>
          <w:rFonts w:hint="eastAsia"/>
          <w:lang w:val="en-US" w:eastAsia="zh-CN"/>
        </w:rPr>
      </w:pPr>
      <w:r>
        <w:rPr>
          <w:rFonts w:hint="eastAsia"/>
          <w:lang w:val="en-US" w:eastAsia="zh-CN"/>
        </w:rPr>
        <w:t>补充消融/对比实验（Ablation Study）：选取一个局部（如花瓣），对比三种方案：</w:t>
      </w:r>
    </w:p>
    <w:p w14:paraId="79E79AAE">
      <w:pPr>
        <w:rPr>
          <w:rFonts w:hint="eastAsia"/>
          <w:lang w:val="en-US" w:eastAsia="zh-CN"/>
        </w:rPr>
      </w:pPr>
      <w:r>
        <w:rPr>
          <w:rFonts w:hint="eastAsia"/>
          <w:lang w:val="en-US" w:eastAsia="zh-CN"/>
        </w:rPr>
        <w:t>方案A：本文矩阵推荐组合。</w:t>
      </w:r>
    </w:p>
    <w:p w14:paraId="7C8F266D">
      <w:pPr>
        <w:rPr>
          <w:rFonts w:hint="eastAsia"/>
          <w:lang w:val="en-US" w:eastAsia="zh-CN"/>
        </w:rPr>
      </w:pPr>
      <w:r>
        <w:rPr>
          <w:rFonts w:hint="eastAsia"/>
          <w:lang w:val="en-US" w:eastAsia="zh-CN"/>
        </w:rPr>
        <w:t>方案B：通用NPR算法（默认参数）。</w:t>
      </w:r>
    </w:p>
    <w:p w14:paraId="3857DBFA">
      <w:pPr>
        <w:rPr>
          <w:rFonts w:hint="eastAsia"/>
          <w:lang w:val="en-US" w:eastAsia="zh-CN"/>
        </w:rPr>
      </w:pPr>
      <w:r>
        <w:rPr>
          <w:rFonts w:hint="eastAsia"/>
          <w:lang w:val="en-US" w:eastAsia="zh-CN"/>
        </w:rPr>
        <w:t>方案C：错误的算法匹配（如用硬边缘算法渲染没骨花卉）。</w:t>
      </w:r>
    </w:p>
    <w:p w14:paraId="67071637">
      <w:pPr>
        <w:rPr>
          <w:rFonts w:hint="eastAsia"/>
          <w:lang w:val="en-US" w:eastAsia="zh-CN"/>
        </w:rPr>
      </w:pPr>
      <w:r>
        <w:rPr>
          <w:rFonts w:hint="eastAsia"/>
          <w:lang w:val="en-US" w:eastAsia="zh-CN"/>
        </w:rPr>
        <w:t>量化对比：用你提到的 LPIPS 和 SSIM 指标证明方案A的得分最高。</w:t>
      </w:r>
    </w:p>
    <w:p w14:paraId="22ADDE9A">
      <w:pPr>
        <w:rPr>
          <w:rFonts w:hint="eastAsia"/>
          <w:lang w:val="en-US" w:eastAsia="zh-CN"/>
        </w:rPr>
      </w:pPr>
    </w:p>
    <w:p w14:paraId="34296A42">
      <w:pPr>
        <w:rPr>
          <w:rFonts w:hint="eastAsia"/>
          <w:color w:val="0000FF"/>
          <w:lang w:val="en-US" w:eastAsia="zh-CN"/>
        </w:rPr>
      </w:pPr>
      <w:r>
        <w:rPr>
          <w:rFonts w:hint="eastAsia"/>
          <w:color w:val="0000FF"/>
          <w:lang w:val="en-US" w:eastAsia="zh-CN"/>
        </w:rPr>
        <w:t>问题 4：主观评价实验（问卷）描述过于粗糙</w:t>
      </w:r>
    </w:p>
    <w:p w14:paraId="4CF84AA1">
      <w:pPr>
        <w:rPr>
          <w:rFonts w:hint="eastAsia"/>
          <w:lang w:val="en-US" w:eastAsia="zh-CN"/>
        </w:rPr>
      </w:pPr>
      <w:r>
        <w:rPr>
          <w:rFonts w:hint="eastAsia"/>
          <w:lang w:val="en-US" w:eastAsia="zh-CN"/>
        </w:rPr>
        <w:t>审稿意见：样本量、人员构成、评分标准、统计学显著性（P值）全都没有。</w:t>
      </w:r>
    </w:p>
    <w:p w14:paraId="7B4DA6FF">
      <w:pPr>
        <w:rPr>
          <w:rFonts w:hint="eastAsia"/>
          <w:lang w:val="en-US" w:eastAsia="zh-CN"/>
        </w:rPr>
      </w:pPr>
      <w:r>
        <w:rPr>
          <w:rFonts w:hint="eastAsia"/>
          <w:lang w:val="en-US" w:eastAsia="zh-CN"/>
        </w:rPr>
        <w:t>修改建议：</w:t>
      </w:r>
    </w:p>
    <w:p w14:paraId="46378B73">
      <w:pPr>
        <w:rPr>
          <w:rFonts w:hint="eastAsia"/>
          <w:lang w:val="en-US" w:eastAsia="zh-CN"/>
        </w:rPr>
      </w:pPr>
      <w:r>
        <w:rPr>
          <w:rFonts w:hint="eastAsia"/>
          <w:lang w:val="en-US" w:eastAsia="zh-CN"/>
        </w:rPr>
        <w:t>重写实验设计段落：明确 N=50 的具体构成（如：25位艺术背景，25位计算机背景）。</w:t>
      </w:r>
    </w:p>
    <w:p w14:paraId="28AFDF26">
      <w:pPr>
        <w:rPr>
          <w:rFonts w:hint="eastAsia"/>
          <w:lang w:val="en-US" w:eastAsia="zh-CN"/>
        </w:rPr>
      </w:pPr>
      <w:r>
        <w:rPr>
          <w:rFonts w:hint="eastAsia"/>
          <w:lang w:val="en-US" w:eastAsia="zh-CN"/>
        </w:rPr>
        <w:t>展示统计结果：不要只给平均分。要给出标准差（SD），并进行 T检验或方差分析（ANOVA）。</w:t>
      </w:r>
    </w:p>
    <w:p w14:paraId="7547C468">
      <w:pPr>
        <w:rPr>
          <w:rFonts w:hint="eastAsia"/>
          <w:lang w:val="en-US" w:eastAsia="zh-CN"/>
        </w:rPr>
      </w:pPr>
      <w:r>
        <w:rPr>
          <w:rFonts w:hint="eastAsia"/>
          <w:lang w:val="en-US" w:eastAsia="zh-CN"/>
        </w:rPr>
        <w:t>结论表述：必须写出 "p &lt; 0.05" 或 "p &lt; 0.01"，证明专业组和非专业组的评价具有一致性且结果显著。</w:t>
      </w:r>
    </w:p>
    <w:p w14:paraId="0E8DD41D">
      <w:pPr>
        <w:rPr>
          <w:rFonts w:hint="eastAsia"/>
          <w:lang w:val="en-US" w:eastAsia="zh-CN"/>
        </w:rPr>
      </w:pPr>
    </w:p>
    <w:p w14:paraId="6C132B09">
      <w:pPr>
        <w:rPr>
          <w:rFonts w:hint="eastAsia"/>
          <w:color w:val="4874CB" w:themeColor="accent1"/>
          <w:lang w:val="en-US" w:eastAsia="zh-CN"/>
          <w14:textFill>
            <w14:solidFill>
              <w14:schemeClr w14:val="accent1"/>
            </w14:solidFill>
          </w14:textFill>
        </w:rPr>
      </w:pPr>
      <w:r>
        <w:rPr>
          <w:rFonts w:hint="eastAsia"/>
          <w:color w:val="0000FF"/>
          <w:lang w:val="en-US" w:eastAsia="zh-CN"/>
        </w:rPr>
        <w:t>问题 5：技术实现与艺术术语的矛盾（关于“没骨”法）</w:t>
      </w:r>
    </w:p>
    <w:p w14:paraId="0C72D6D8">
      <w:pPr>
        <w:rPr>
          <w:rFonts w:hint="eastAsia"/>
          <w:lang w:val="en-US" w:eastAsia="zh-CN"/>
        </w:rPr>
      </w:pPr>
      <w:r>
        <w:rPr>
          <w:rFonts w:hint="eastAsia"/>
          <w:lang w:val="en-US" w:eastAsia="zh-CN"/>
        </w:rPr>
        <w:t>审稿意见：你对“海棠花”使用了“噪声扰动轮廓算法”，但“没骨（Mogu）”的核心是不勾勒轮廓的，这在艺术逻辑上不通。</w:t>
      </w:r>
    </w:p>
    <w:p w14:paraId="624C0F0C">
      <w:pPr>
        <w:rPr>
          <w:rFonts w:hint="eastAsia"/>
          <w:lang w:val="en-US" w:eastAsia="zh-CN"/>
        </w:rPr>
      </w:pPr>
      <w:r>
        <w:rPr>
          <w:rFonts w:hint="eastAsia"/>
          <w:lang w:val="en-US" w:eastAsia="zh-CN"/>
        </w:rPr>
        <w:t>修改建议：</w:t>
      </w:r>
    </w:p>
    <w:p w14:paraId="57629AEA">
      <w:pPr>
        <w:rPr>
          <w:rFonts w:hint="eastAsia"/>
          <w:lang w:val="en-US" w:eastAsia="zh-CN"/>
        </w:rPr>
      </w:pPr>
      <w:r>
        <w:rPr>
          <w:rFonts w:hint="eastAsia"/>
          <w:lang w:val="en-US" w:eastAsia="zh-CN"/>
        </w:rPr>
        <w:t>术语修正：如果你的渲染结果确实有线，请检查是否分类错误。</w:t>
      </w:r>
    </w:p>
    <w:p w14:paraId="7B74EF63">
      <w:pPr>
        <w:rPr>
          <w:rFonts w:hint="eastAsia"/>
          <w:lang w:val="en-US" w:eastAsia="zh-CN"/>
        </w:rPr>
      </w:pPr>
      <w:r>
        <w:rPr>
          <w:rFonts w:hint="eastAsia"/>
          <w:lang w:val="en-US" w:eastAsia="zh-CN"/>
        </w:rPr>
        <w:t>技术辩护：如果你的“轮廓算法”是为了模拟颜色边缘的“水分晕染感”或“纸张边缘毛刺”，而不是真的黑线，请在文中明确说明：“此处算法并非生成传统意义上的Ink Outline，而是为了模拟没骨画法中色块边缘的自然渗透效果（Edge Bleeding）。”</w:t>
      </w:r>
    </w:p>
    <w:p w14:paraId="73337C22">
      <w:pPr>
        <w:rPr>
          <w:rFonts w:hint="eastAsia"/>
          <w:lang w:val="en-US" w:eastAsia="zh-CN"/>
        </w:rPr>
      </w:pPr>
    </w:p>
    <w:p w14:paraId="2E30D523">
      <w:pPr>
        <w:rPr>
          <w:rFonts w:hint="eastAsia"/>
          <w:color w:val="0000FF"/>
          <w:lang w:val="en-US" w:eastAsia="zh-CN"/>
        </w:rPr>
      </w:pPr>
      <w:r>
        <w:rPr>
          <w:rFonts w:hint="eastAsia"/>
          <w:color w:val="0000FF"/>
          <w:lang w:val="en-US" w:eastAsia="zh-CN"/>
        </w:rPr>
        <w:t>问题 6：论文写作与格式问题</w:t>
      </w:r>
    </w:p>
    <w:p w14:paraId="322E5AC1">
      <w:pPr>
        <w:rPr>
          <w:rFonts w:hint="eastAsia"/>
          <w:lang w:val="en-US" w:eastAsia="zh-CN"/>
        </w:rPr>
      </w:pPr>
      <w:r>
        <w:rPr>
          <w:rFonts w:hint="eastAsia"/>
          <w:lang w:val="en-US" w:eastAsia="zh-CN"/>
        </w:rPr>
        <w:t>审稿意见：语言略显粗糙，题目不规范。</w:t>
      </w:r>
    </w:p>
    <w:p w14:paraId="7A21F1ED">
      <w:pPr>
        <w:rPr>
          <w:rFonts w:hint="eastAsia"/>
          <w:lang w:val="en-US" w:eastAsia="zh-CN"/>
        </w:rPr>
      </w:pPr>
      <w:r>
        <w:rPr>
          <w:rFonts w:hint="eastAsia"/>
          <w:lang w:val="en-US" w:eastAsia="zh-CN"/>
        </w:rPr>
        <w:t>修改建议：</w:t>
      </w:r>
    </w:p>
    <w:p w14:paraId="660B0FE6">
      <w:pPr>
        <w:rPr>
          <w:rFonts w:hint="eastAsia"/>
          <w:lang w:val="en-US" w:eastAsia="zh-CN"/>
        </w:rPr>
      </w:pPr>
      <w:r>
        <w:rPr>
          <w:rFonts w:hint="eastAsia"/>
          <w:lang w:val="en-US" w:eastAsia="zh-CN"/>
        </w:rPr>
        <w:t>修改题目：按照编辑要求，改为一个简洁的陈述句，去掉冒号。</w:t>
      </w:r>
    </w:p>
    <w:p w14:paraId="15FD3C46">
      <w:pPr>
        <w:rPr>
          <w:rFonts w:hint="eastAsia"/>
          <w:lang w:val="en-US" w:eastAsia="zh-CN"/>
        </w:rPr>
      </w:pPr>
      <w:r>
        <w:rPr>
          <w:rFonts w:hint="eastAsia"/>
          <w:lang w:val="en-US" w:eastAsia="zh-CN"/>
        </w:rPr>
        <w:t>建议题目：A technique-algorithm matching matrix for the 3D digitalization of Chinese painting based on non-photorealistic rendering</w:t>
      </w:r>
    </w:p>
    <w:p w14:paraId="0E85E055">
      <w:pPr>
        <w:rPr>
          <w:rFonts w:hint="eastAsia"/>
          <w:lang w:val="en-US" w:eastAsia="zh-CN"/>
        </w:rPr>
      </w:pPr>
      <w:r>
        <w:rPr>
          <w:rFonts w:hint="eastAsia"/>
          <w:lang w:val="en-US" w:eastAsia="zh-CN"/>
        </w:rPr>
        <w:t>润色：针对 Reviewer 3 提到的“Rough writing”，对全文进行一次学术英语润色。</w:t>
      </w:r>
    </w:p>
    <w:p w14:paraId="047A3DB9">
      <w:pPr>
        <w:rPr>
          <w:rFonts w:hint="eastAsia"/>
          <w:lang w:val="en-US" w:eastAsia="zh-CN"/>
        </w:rPr>
      </w:pPr>
    </w:p>
    <w:p w14:paraId="3AF54977">
      <w:pPr>
        <w:rPr>
          <w:rFonts w:hint="eastAsia"/>
          <w:lang w:val="en-US" w:eastAsia="zh-CN"/>
        </w:rPr>
      </w:pPr>
    </w:p>
    <w:p w14:paraId="3F2AE2BA">
      <w:pPr>
        <w:rPr>
          <w:rFonts w:hint="eastAsia"/>
          <w:lang w:val="en-US" w:eastAsia="zh-CN"/>
        </w:rPr>
      </w:pPr>
    </w:p>
    <w:p w14:paraId="0F1BCD11">
      <w:pPr>
        <w:rPr>
          <w:rFonts w:hint="eastAsia"/>
          <w:lang w:val="en-US" w:eastAsia="zh-CN"/>
        </w:rPr>
      </w:pPr>
    </w:p>
    <w:p w14:paraId="5C59F62E">
      <w:pPr>
        <w:rPr>
          <w:rFonts w:hint="default"/>
          <w:b/>
          <w:bCs/>
          <w:color w:val="0000FF"/>
          <w:sz w:val="44"/>
          <w:szCs w:val="44"/>
          <w:lang w:val="en-US" w:eastAsia="zh-CN"/>
        </w:rPr>
      </w:pPr>
      <w:r>
        <w:rPr>
          <w:rFonts w:hint="eastAsia"/>
          <w:b/>
          <w:bCs/>
          <w:color w:val="0000FF"/>
          <w:sz w:val="44"/>
          <w:szCs w:val="44"/>
          <w:lang w:val="en-US" w:eastAsia="zh-CN"/>
        </w:rPr>
        <w:t>修改内容：</w:t>
      </w:r>
    </w:p>
    <w:p w14:paraId="50029BB3">
      <w:pPr>
        <w:rPr>
          <w:rFonts w:hint="eastAsia"/>
          <w:color w:val="0000FF"/>
          <w:lang w:val="en-US" w:eastAsia="zh-CN"/>
        </w:rPr>
      </w:pPr>
      <w:r>
        <w:rPr>
          <w:rFonts w:hint="eastAsia"/>
          <w:color w:val="0000FF"/>
          <w:lang w:val="en-US" w:eastAsia="zh-CN"/>
        </w:rPr>
        <w:t>问题1修改后文本：</w:t>
      </w:r>
    </w:p>
    <w:p w14:paraId="5D462916">
      <w:pPr>
        <w:rPr>
          <w:rFonts w:hint="eastAsia"/>
          <w:color w:val="0000FF"/>
          <w:lang w:val="en-US" w:eastAsia="zh-CN"/>
        </w:rPr>
      </w:pPr>
      <w:r>
        <w:rPr>
          <w:rFonts w:hint="eastAsia"/>
          <w:color w:val="0000FF"/>
          <w:lang w:val="en-US" w:eastAsia="zh-CN"/>
        </w:rPr>
        <w:t>（对应审稿人2原话：“Accept, contingent on minor clarifications regarding computational complexity and rendering time benchmarks in the revised manuscript.”）</w:t>
      </w:r>
    </w:p>
    <w:p w14:paraId="3369F54E">
      <w:pPr>
        <w:rPr>
          <w:rFonts w:hint="default"/>
          <w:lang w:val="en-US" w:eastAsia="zh-CN"/>
        </w:rPr>
      </w:pPr>
      <w:r>
        <w:rPr>
          <w:rFonts w:hint="default"/>
          <w:lang w:val="en-US" w:eastAsia="zh-CN"/>
        </w:rPr>
        <w:t>为了评估本研究所提出的“技术-算法矩阵”及 3D 数字化工作流的实用性，我们在典型硬件配置的工作站上进行了基准测试。</w:t>
      </w:r>
      <w:r>
        <w:rPr>
          <w:rFonts w:hint="eastAsia"/>
          <w:lang w:val="en-US" w:eastAsia="zh-CN"/>
        </w:rPr>
        <w:t>(</w:t>
      </w:r>
      <w:r>
        <w:rPr>
          <w:rFonts w:hint="default"/>
          <w:lang w:val="en-US" w:eastAsia="zh-CN"/>
        </w:rPr>
        <w:t>we conducted benchmark tests on a workstation with a typical hardware configuration.</w:t>
      </w:r>
      <w:r>
        <w:rPr>
          <w:rFonts w:hint="eastAsia"/>
          <w:lang w:val="en-US" w:eastAsia="zh-CN"/>
        </w:rPr>
        <w:t>)</w:t>
      </w:r>
      <w:r>
        <w:rPr>
          <w:rFonts w:hint="default"/>
          <w:lang w:val="en-US" w:eastAsia="zh-CN"/>
        </w:rPr>
        <w:t>实验平台为：Intel Core i7-10750H CPU @ 2.60 GHz，16 GB 系统内存，NVIDIA GeForce RTX 2070 Super with Max-Q Design（8 GB 显存）。渲染引擎为 Blender Eevee，采样数为 16，输出分辨率为 1920×1080。测试场景为《八花图》的 3D 重建模型，包含 930,422 个三角形。</w:t>
      </w:r>
    </w:p>
    <w:p w14:paraId="6B07B6C5">
      <w:pPr>
        <w:rPr>
          <w:rFonts w:hint="default"/>
          <w:lang w:val="en-US" w:eastAsia="zh-CN"/>
        </w:rPr>
      </w:pPr>
    </w:p>
    <w:p w14:paraId="209CA67A">
      <w:pPr>
        <w:rPr>
          <w:rFonts w:hint="default"/>
          <w:lang w:val="en-US" w:eastAsia="zh-CN"/>
        </w:rPr>
      </w:pPr>
      <w:r>
        <w:rPr>
          <w:rFonts w:hint="default"/>
          <w:lang w:val="en-US" w:eastAsia="zh-CN"/>
        </w:rPr>
        <w:t>从计算过程来看，本工作流的计算开销主要来源于多个非真实感渲染（NPR）模块的组合，尤其是在片段着色阶段（Fragment Shader）对风格化效果的实现。这些算法大多通过图像空间处理或着色器逻辑实现，在当前实验规模下对几何体面数的增加并不敏感。</w:t>
      </w:r>
    </w:p>
    <w:p w14:paraId="218C0F90">
      <w:pPr>
        <w:rPr>
          <w:rFonts w:hint="default"/>
          <w:lang w:val="en-US" w:eastAsia="zh-CN"/>
        </w:rPr>
      </w:pPr>
    </w:p>
    <w:p w14:paraId="16E9F0AC">
      <w:pPr>
        <w:rPr>
          <w:rFonts w:hint="default"/>
          <w:lang w:val="en-US" w:eastAsia="zh-CN"/>
        </w:rPr>
      </w:pPr>
      <w:r>
        <w:rPr>
          <w:rFonts w:hint="default"/>
          <w:lang w:val="en-US" w:eastAsia="zh-CN"/>
        </w:rPr>
        <w:t xml:space="preserve">具体性能数据如下：单帧离线渲染的平均耗时为 4.96 秒（基于 10 帧测试的平均值）。系统内存占用峰值为 1136.72 MB，显存占用峰值为 </w:t>
      </w:r>
      <w:r>
        <w:rPr>
          <w:rFonts w:hint="eastAsia"/>
          <w:lang w:val="en-US" w:eastAsia="zh-CN"/>
        </w:rPr>
        <w:t>3.3</w:t>
      </w:r>
      <w:r>
        <w:rPr>
          <w:rFonts w:hint="default"/>
          <w:lang w:val="en-US" w:eastAsia="zh-CN"/>
        </w:rPr>
        <w:t xml:space="preserve"> GB。在交互预览模式下，3D 视口的平均帧率约为 </w:t>
      </w:r>
      <w:r>
        <w:rPr>
          <w:rFonts w:hint="eastAsia"/>
          <w:lang w:val="en-US" w:eastAsia="zh-CN"/>
        </w:rPr>
        <w:t xml:space="preserve">25 </w:t>
      </w:r>
      <w:r>
        <w:rPr>
          <w:rFonts w:hint="default"/>
          <w:lang w:val="en-US" w:eastAsia="zh-CN"/>
        </w:rPr>
        <w:t>FPS，能够支持艺术家通过 Artist-in-the-loop 机制进行参数调节与视觉反馈。</w:t>
      </w:r>
    </w:p>
    <w:p w14:paraId="40370357">
      <w:pPr>
        <w:rPr>
          <w:rFonts w:hint="default"/>
          <w:lang w:val="en-US" w:eastAsia="zh-CN"/>
        </w:rPr>
      </w:pPr>
    </w:p>
    <w:p w14:paraId="7CD108ED">
      <w:pPr>
        <w:rPr>
          <w:rFonts w:hint="default"/>
          <w:lang w:val="en-US" w:eastAsia="zh-CN"/>
        </w:rPr>
      </w:pPr>
      <w:r>
        <w:rPr>
          <w:rFonts w:hint="eastAsia"/>
          <w:lang w:val="en-US" w:eastAsia="zh-CN"/>
        </w:rPr>
        <w:t>值得注意的是，</w:t>
      </w:r>
      <w:r>
        <w:rPr>
          <w:rFonts w:hint="default"/>
          <w:lang w:val="en-US" w:eastAsia="zh-CN"/>
        </w:rPr>
        <w:t>尽管 Eevee 引擎本身支持实时渲染，但在本研究中，由于引入了多层 NPR 效果叠加及后期处理流程，整体系统更适用于高保真离线渲染场景。这一设计体现了在视觉表现力与计算效率之间的权衡。</w:t>
      </w:r>
    </w:p>
    <w:p w14:paraId="4089A5FD">
      <w:pPr>
        <w:rPr>
          <w:rFonts w:hint="default"/>
          <w:lang w:val="en-US" w:eastAsia="zh-CN"/>
        </w:rPr>
      </w:pPr>
    </w:p>
    <w:p w14:paraId="173AA116">
      <w:pPr>
        <w:rPr>
          <w:rFonts w:hint="default"/>
          <w:lang w:val="en-US" w:eastAsia="zh-CN"/>
        </w:rPr>
      </w:pPr>
    </w:p>
    <w:p w14:paraId="41E65779">
      <w:pPr>
        <w:rPr>
          <w:rFonts w:hint="default"/>
          <w:lang w:val="en-US" w:eastAsia="zh-CN"/>
        </w:rPr>
      </w:pPr>
    </w:p>
    <w:p w14:paraId="21F79FC9">
      <w:pPr>
        <w:rPr>
          <w:rFonts w:hint="eastAsia"/>
          <w:color w:val="0000FF"/>
          <w:lang w:val="en-US" w:eastAsia="zh-CN"/>
        </w:rPr>
      </w:pPr>
      <w:r>
        <w:rPr>
          <w:rFonts w:hint="eastAsia"/>
          <w:color w:val="0000FF"/>
          <w:lang w:val="en-US" w:eastAsia="zh-CN"/>
        </w:rPr>
        <w:t>问题2文中需要修改夸大表达的句子：</w:t>
      </w:r>
    </w:p>
    <w:p w14:paraId="471BE684">
      <w:pPr>
        <w:rPr>
          <w:rFonts w:hint="eastAsia"/>
          <w:color w:val="0000FF"/>
          <w:lang w:val="en-US" w:eastAsia="zh-CN"/>
        </w:rPr>
      </w:pPr>
      <w:r>
        <w:rPr>
          <w:rFonts w:hint="eastAsia"/>
          <w:color w:val="0000FF"/>
          <w:lang w:val="en-US" w:eastAsia="zh-CN"/>
        </w:rPr>
        <w:t>（对应编辑原话：Please ensure the results are accurately reported, any overstated conclusions are rewritten and the limitations of the work fully explained.</w:t>
      </w:r>
      <w:r>
        <w:rPr>
          <w:rFonts w:hint="default"/>
          <w:color w:val="0000FF"/>
          <w:lang w:val="en-US" w:eastAsia="zh-CN"/>
        </w:rPr>
        <w:t> </w:t>
      </w:r>
      <w:r>
        <w:rPr>
          <w:rFonts w:hint="eastAsia"/>
          <w:color w:val="0000FF"/>
          <w:lang w:val="en-US" w:eastAsia="zh-CN"/>
        </w:rPr>
        <w: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24"/>
        <w:gridCol w:w="2904"/>
        <w:gridCol w:w="1818"/>
        <w:gridCol w:w="2400"/>
      </w:tblGrid>
      <w:tr w14:paraId="6BA1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50" w:type="dxa"/>
              <w:left w:w="0" w:type="dxa"/>
              <w:bottom w:w="150" w:type="dxa"/>
              <w:right w:w="240" w:type="dxa"/>
            </w:tcMar>
            <w:vAlign w:val="center"/>
          </w:tcPr>
          <w:p w14:paraId="64040B91">
            <w:pPr>
              <w:keepNext w:val="0"/>
              <w:keepLines w:val="0"/>
              <w:widowControl/>
              <w:suppressLineNumbers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原文位置</w:t>
            </w:r>
          </w:p>
        </w:tc>
        <w:tc>
          <w:tcPr>
            <w:tcW w:w="0" w:type="auto"/>
            <w:tcBorders>
              <w:top w:val="nil"/>
            </w:tcBorders>
            <w:shd w:val="clear" w:color="auto" w:fill="FFFFFF"/>
            <w:tcMar>
              <w:top w:w="150" w:type="dxa"/>
              <w:left w:w="240" w:type="dxa"/>
              <w:bottom w:w="150" w:type="dxa"/>
              <w:right w:w="240" w:type="dxa"/>
            </w:tcMar>
            <w:vAlign w:val="center"/>
          </w:tcPr>
          <w:p w14:paraId="43B025E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原文内容</w:t>
            </w:r>
          </w:p>
        </w:tc>
        <w:tc>
          <w:tcPr>
            <w:tcW w:w="0" w:type="auto"/>
            <w:tcBorders>
              <w:top w:val="nil"/>
            </w:tcBorders>
            <w:shd w:val="clear" w:color="auto" w:fill="FFFFFF"/>
            <w:tcMar>
              <w:top w:w="150" w:type="dxa"/>
              <w:left w:w="240" w:type="dxa"/>
              <w:bottom w:w="150" w:type="dxa"/>
              <w:right w:w="240" w:type="dxa"/>
            </w:tcMar>
            <w:vAlign w:val="center"/>
          </w:tcPr>
          <w:p w14:paraId="350A177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问题</w:t>
            </w:r>
          </w:p>
        </w:tc>
        <w:tc>
          <w:tcPr>
            <w:tcW w:w="0" w:type="auto"/>
            <w:tcBorders>
              <w:top w:val="nil"/>
            </w:tcBorders>
            <w:shd w:val="clear" w:color="auto" w:fill="FFFFFF"/>
            <w:tcMar>
              <w:top w:w="150" w:type="dxa"/>
              <w:left w:w="240" w:type="dxa"/>
              <w:bottom w:w="150" w:type="dxa"/>
              <w:right w:w="240" w:type="dxa"/>
            </w:tcMar>
            <w:vAlign w:val="center"/>
          </w:tcPr>
          <w:p w14:paraId="3267506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修改后内容</w:t>
            </w:r>
          </w:p>
        </w:tc>
      </w:tr>
      <w:tr w14:paraId="75464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420E5F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摘要</w:t>
            </w:r>
            <w:r>
              <w:rPr>
                <w:rFonts w:hint="default" w:ascii="Segoe UI" w:hAnsi="Segoe UI" w:eastAsia="Segoe UI" w:cs="Segoe UI"/>
                <w:i w:val="0"/>
                <w:iCs w:val="0"/>
                <w:caps w:val="0"/>
                <w:color w:val="0F1115"/>
                <w:spacing w:val="0"/>
                <w:kern w:val="0"/>
                <w:sz w:val="22"/>
                <w:szCs w:val="22"/>
                <w:lang w:val="en-US" w:eastAsia="zh-CN" w:bidi="ar"/>
              </w:rPr>
              <w:t> (第69-71行)</w:t>
            </w:r>
          </w:p>
        </w:tc>
        <w:tc>
          <w:tcPr>
            <w:tcW w:w="0" w:type="auto"/>
            <w:shd w:val="clear" w:color="auto" w:fill="FFFFFF"/>
            <w:tcMar>
              <w:top w:w="150" w:type="dxa"/>
              <w:left w:w="240" w:type="dxa"/>
              <w:bottom w:w="150" w:type="dxa"/>
              <w:right w:w="240" w:type="dxa"/>
            </w:tcMar>
            <w:vAlign w:val="center"/>
          </w:tcPr>
          <w:p w14:paraId="077DB9E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“achieving reproduction that balances artistic fidelity with engineering efficiency, and providing a </w:t>
            </w:r>
            <w:r>
              <w:rPr>
                <w:rStyle w:val="7"/>
                <w:rFonts w:hint="default" w:ascii="Segoe UI" w:hAnsi="Segoe UI" w:eastAsia="Segoe UI" w:cs="Segoe UI"/>
                <w:b/>
                <w:bCs/>
                <w:i w:val="0"/>
                <w:iCs w:val="0"/>
                <w:caps w:val="0"/>
                <w:color w:val="0F1115"/>
                <w:spacing w:val="0"/>
                <w:kern w:val="0"/>
                <w:sz w:val="22"/>
                <w:szCs w:val="22"/>
                <w:lang w:val="en-US" w:eastAsia="zh-CN" w:bidi="ar"/>
              </w:rPr>
              <w:t>new pathway</w:t>
            </w:r>
            <w:r>
              <w:rPr>
                <w:rFonts w:hint="default" w:ascii="Segoe UI" w:hAnsi="Segoe UI" w:eastAsia="Segoe UI" w:cs="Segoe UI"/>
                <w:i w:val="0"/>
                <w:iCs w:val="0"/>
                <w:caps w:val="0"/>
                <w:color w:val="0F1115"/>
                <w:spacing w:val="0"/>
                <w:kern w:val="0"/>
                <w:sz w:val="22"/>
                <w:szCs w:val="22"/>
                <w:lang w:val="en-US" w:eastAsia="zh-CN" w:bidi="ar"/>
              </w:rPr>
              <w:t> for intelligent cultural heritage preservation.”</w:t>
            </w:r>
          </w:p>
        </w:tc>
        <w:tc>
          <w:tcPr>
            <w:tcW w:w="0" w:type="auto"/>
            <w:shd w:val="clear" w:color="auto" w:fill="FFFFFF"/>
            <w:tcMar>
              <w:top w:w="150" w:type="dxa"/>
              <w:left w:w="240" w:type="dxa"/>
              <w:bottom w:w="150" w:type="dxa"/>
              <w:right w:w="240" w:type="dxa"/>
            </w:tcMar>
            <w:vAlign w:val="center"/>
          </w:tcPr>
          <w:p w14:paraId="1C63B83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“new pathway” 暗示具有革命性或广泛适用性，但仅基于一个案例。</w:t>
            </w:r>
          </w:p>
        </w:tc>
        <w:tc>
          <w:tcPr>
            <w:tcW w:w="0" w:type="auto"/>
            <w:shd w:val="clear" w:color="auto" w:fill="FFFFFF"/>
            <w:tcMar>
              <w:top w:w="150" w:type="dxa"/>
              <w:left w:w="240" w:type="dxa"/>
              <w:bottom w:w="150" w:type="dxa"/>
              <w:right w:w="0" w:type="dxa"/>
            </w:tcMar>
            <w:vAlign w:val="center"/>
          </w:tcPr>
          <w:p w14:paraId="1D08FB7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“achieving reproduction that balances artistic fidelity with engineering efficiency, and offering </w:t>
            </w:r>
            <w:r>
              <w:rPr>
                <w:rStyle w:val="7"/>
                <w:rFonts w:hint="default" w:ascii="Segoe UI" w:hAnsi="Segoe UI" w:eastAsia="Segoe UI" w:cs="Segoe UI"/>
                <w:b/>
                <w:bCs/>
                <w:i w:val="0"/>
                <w:iCs w:val="0"/>
                <w:caps w:val="0"/>
                <w:color w:val="0F1115"/>
                <w:spacing w:val="0"/>
                <w:kern w:val="0"/>
                <w:sz w:val="22"/>
                <w:szCs w:val="22"/>
                <w:lang w:val="en-US" w:eastAsia="zh-CN" w:bidi="ar"/>
              </w:rPr>
              <w:t>a potential technical reference</w:t>
            </w:r>
            <w:r>
              <w:rPr>
                <w:rFonts w:hint="default" w:ascii="Segoe UI" w:hAnsi="Segoe UI" w:eastAsia="Segoe UI" w:cs="Segoe UI"/>
                <w:i w:val="0"/>
                <w:iCs w:val="0"/>
                <w:caps w:val="0"/>
                <w:color w:val="0F1115"/>
                <w:spacing w:val="0"/>
                <w:kern w:val="0"/>
                <w:sz w:val="22"/>
                <w:szCs w:val="22"/>
                <w:lang w:val="en-US" w:eastAsia="zh-CN" w:bidi="ar"/>
              </w:rPr>
              <w:t> for intelligent cultural heritage preservation.”</w:t>
            </w:r>
          </w:p>
        </w:tc>
      </w:tr>
      <w:tr w14:paraId="3CFCB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AC6287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引言</w:t>
            </w:r>
            <w:r>
              <w:rPr>
                <w:rFonts w:hint="default" w:ascii="Segoe UI" w:hAnsi="Segoe UI" w:eastAsia="Segoe UI" w:cs="Segoe UI"/>
                <w:i w:val="0"/>
                <w:iCs w:val="0"/>
                <w:caps w:val="0"/>
                <w:color w:val="0F1115"/>
                <w:spacing w:val="0"/>
                <w:kern w:val="0"/>
                <w:sz w:val="22"/>
                <w:szCs w:val="22"/>
                <w:lang w:val="en-US" w:eastAsia="zh-CN" w:bidi="ar"/>
              </w:rPr>
              <w:t> (第73-76行)</w:t>
            </w:r>
          </w:p>
        </w:tc>
        <w:tc>
          <w:tcPr>
            <w:tcW w:w="0" w:type="auto"/>
            <w:shd w:val="clear" w:color="auto" w:fill="FFFFFF"/>
            <w:tcMar>
              <w:top w:w="150" w:type="dxa"/>
              <w:left w:w="240" w:type="dxa"/>
              <w:bottom w:w="150" w:type="dxa"/>
              <w:right w:w="240" w:type="dxa"/>
            </w:tcMar>
            <w:vAlign w:val="center"/>
          </w:tcPr>
          <w:p w14:paraId="04E69C2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“Establishment of a Chinese Painting Technique- NPR Algorithm Matching Matrix: ... providing a </w:t>
            </w:r>
            <w:r>
              <w:rPr>
                <w:rStyle w:val="7"/>
                <w:rFonts w:hint="default" w:ascii="Segoe UI" w:hAnsi="Segoe UI" w:eastAsia="Segoe UI" w:cs="Segoe UI"/>
                <w:b/>
                <w:bCs/>
                <w:i w:val="0"/>
                <w:iCs w:val="0"/>
                <w:caps w:val="0"/>
                <w:color w:val="0F1115"/>
                <w:spacing w:val="0"/>
                <w:kern w:val="0"/>
                <w:sz w:val="22"/>
                <w:szCs w:val="22"/>
                <w:lang w:val="en-US" w:eastAsia="zh-CN" w:bidi="ar"/>
              </w:rPr>
              <w:t>systematic basis</w:t>
            </w:r>
            <w:r>
              <w:rPr>
                <w:rFonts w:hint="default" w:ascii="Segoe UI" w:hAnsi="Segoe UI" w:eastAsia="Segoe UI" w:cs="Segoe UI"/>
                <w:i w:val="0"/>
                <w:iCs w:val="0"/>
                <w:caps w:val="0"/>
                <w:color w:val="0F1115"/>
                <w:spacing w:val="0"/>
                <w:kern w:val="0"/>
                <w:sz w:val="22"/>
                <w:szCs w:val="22"/>
                <w:lang w:val="en-US" w:eastAsia="zh-CN" w:bidi="ar"/>
              </w:rPr>
              <w:t> for algorithm selection in the digitalization process.”</w:t>
            </w:r>
          </w:p>
        </w:tc>
        <w:tc>
          <w:tcPr>
            <w:tcW w:w="0" w:type="auto"/>
            <w:shd w:val="clear" w:color="auto" w:fill="FFFFFF"/>
            <w:tcMar>
              <w:top w:w="150" w:type="dxa"/>
              <w:left w:w="240" w:type="dxa"/>
              <w:bottom w:w="150" w:type="dxa"/>
              <w:right w:w="240" w:type="dxa"/>
            </w:tcMar>
            <w:vAlign w:val="center"/>
          </w:tcPr>
          <w:p w14:paraId="0AAF9DD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“systematic basis” 略显绝对，矩阵目前仅在一个案例中验证。</w:t>
            </w:r>
          </w:p>
        </w:tc>
        <w:tc>
          <w:tcPr>
            <w:tcW w:w="0" w:type="auto"/>
            <w:shd w:val="clear" w:color="auto" w:fill="FFFFFF"/>
            <w:tcMar>
              <w:top w:w="150" w:type="dxa"/>
              <w:left w:w="240" w:type="dxa"/>
              <w:bottom w:w="150" w:type="dxa"/>
              <w:right w:w="0" w:type="dxa"/>
            </w:tcMar>
            <w:vAlign w:val="center"/>
          </w:tcPr>
          <w:p w14:paraId="38E6D40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“providing </w:t>
            </w:r>
            <w:r>
              <w:rPr>
                <w:rStyle w:val="7"/>
                <w:rFonts w:hint="default" w:ascii="Segoe UI" w:hAnsi="Segoe UI" w:eastAsia="Segoe UI" w:cs="Segoe UI"/>
                <w:b/>
                <w:bCs/>
                <w:i w:val="0"/>
                <w:iCs w:val="0"/>
                <w:caps w:val="0"/>
                <w:color w:val="0F1115"/>
                <w:spacing w:val="0"/>
                <w:kern w:val="0"/>
                <w:sz w:val="22"/>
                <w:szCs w:val="22"/>
                <w:lang w:val="en-US" w:eastAsia="zh-CN" w:bidi="ar"/>
              </w:rPr>
              <w:t>an exploratory framework</w:t>
            </w:r>
            <w:r>
              <w:rPr>
                <w:rFonts w:hint="default" w:ascii="Segoe UI" w:hAnsi="Segoe UI" w:eastAsia="Segoe UI" w:cs="Segoe UI"/>
                <w:i w:val="0"/>
                <w:iCs w:val="0"/>
                <w:caps w:val="0"/>
                <w:color w:val="0F1115"/>
                <w:spacing w:val="0"/>
                <w:kern w:val="0"/>
                <w:sz w:val="22"/>
                <w:szCs w:val="22"/>
                <w:lang w:val="en-US" w:eastAsia="zh-CN" w:bidi="ar"/>
              </w:rPr>
              <w:t> for algorithm selection in the digitalization process.”</w:t>
            </w:r>
          </w:p>
        </w:tc>
      </w:tr>
      <w:tr w14:paraId="42590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AA2C83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引言</w:t>
            </w:r>
            <w:r>
              <w:rPr>
                <w:rFonts w:hint="default" w:ascii="Segoe UI" w:hAnsi="Segoe UI" w:eastAsia="Segoe UI" w:cs="Segoe UI"/>
                <w:i w:val="0"/>
                <w:iCs w:val="0"/>
                <w:caps w:val="0"/>
                <w:color w:val="0F1115"/>
                <w:spacing w:val="0"/>
                <w:kern w:val="0"/>
                <w:sz w:val="22"/>
                <w:szCs w:val="22"/>
                <w:lang w:val="en-US" w:eastAsia="zh-CN" w:bidi="ar"/>
              </w:rPr>
              <w:t> (第82-85行)</w:t>
            </w:r>
          </w:p>
        </w:tc>
        <w:tc>
          <w:tcPr>
            <w:tcW w:w="0" w:type="auto"/>
            <w:shd w:val="clear" w:color="auto" w:fill="FFFFFF"/>
            <w:tcMar>
              <w:top w:w="150" w:type="dxa"/>
              <w:left w:w="240" w:type="dxa"/>
              <w:bottom w:w="150" w:type="dxa"/>
              <w:right w:w="240" w:type="dxa"/>
            </w:tcMar>
            <w:vAlign w:val="center"/>
          </w:tcPr>
          <w:p w14:paraId="039EE17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“Construction of a </w:t>
            </w:r>
            <w:r>
              <w:rPr>
                <w:rStyle w:val="7"/>
                <w:rFonts w:hint="default" w:ascii="Segoe UI" w:hAnsi="Segoe UI" w:eastAsia="Segoe UI" w:cs="Segoe UI"/>
                <w:b/>
                <w:bCs/>
                <w:i w:val="0"/>
                <w:iCs w:val="0"/>
                <w:caps w:val="0"/>
                <w:color w:val="0F1115"/>
                <w:spacing w:val="0"/>
                <w:kern w:val="0"/>
                <w:sz w:val="22"/>
                <w:szCs w:val="22"/>
                <w:lang w:val="en-US" w:eastAsia="zh-CN" w:bidi="ar"/>
              </w:rPr>
              <w:t>Multidimensional Evaluation System</w:t>
            </w:r>
            <w:r>
              <w:rPr>
                <w:rFonts w:hint="default" w:ascii="Segoe UI" w:hAnsi="Segoe UI" w:eastAsia="Segoe UI" w:cs="Segoe UI"/>
                <w:i w:val="0"/>
                <w:iCs w:val="0"/>
                <w:caps w:val="0"/>
                <w:color w:val="0F1115"/>
                <w:spacing w:val="0"/>
                <w:kern w:val="0"/>
                <w:sz w:val="22"/>
                <w:szCs w:val="22"/>
                <w:lang w:val="en-US" w:eastAsia="zh-CN" w:bidi="ar"/>
              </w:rPr>
              <w:t>: A </w:t>
            </w:r>
            <w:r>
              <w:rPr>
                <w:rStyle w:val="7"/>
                <w:rFonts w:hint="default" w:ascii="Segoe UI" w:hAnsi="Segoe UI" w:eastAsia="Segoe UI" w:cs="Segoe UI"/>
                <w:b/>
                <w:bCs/>
                <w:i w:val="0"/>
                <w:iCs w:val="0"/>
                <w:caps w:val="0"/>
                <w:color w:val="0F1115"/>
                <w:spacing w:val="0"/>
                <w:kern w:val="0"/>
                <w:sz w:val="22"/>
                <w:szCs w:val="22"/>
                <w:lang w:val="en-US" w:eastAsia="zh-CN" w:bidi="ar"/>
              </w:rPr>
              <w:t>comprehensive</w:t>
            </w:r>
            <w:r>
              <w:rPr>
                <w:rFonts w:hint="default" w:ascii="Segoe UI" w:hAnsi="Segoe UI" w:eastAsia="Segoe UI" w:cs="Segoe UI"/>
                <w:i w:val="0"/>
                <w:iCs w:val="0"/>
                <w:caps w:val="0"/>
                <w:color w:val="0F1115"/>
                <w:spacing w:val="0"/>
                <w:kern w:val="0"/>
                <w:sz w:val="22"/>
                <w:szCs w:val="22"/>
                <w:lang w:val="en-US" w:eastAsia="zh-CN" w:bidi="ar"/>
              </w:rPr>
              <w:t> authenticity validation framework is established...”</w:t>
            </w:r>
          </w:p>
        </w:tc>
        <w:tc>
          <w:tcPr>
            <w:tcW w:w="0" w:type="auto"/>
            <w:shd w:val="clear" w:color="auto" w:fill="FFFFFF"/>
            <w:tcMar>
              <w:top w:w="150" w:type="dxa"/>
              <w:left w:w="240" w:type="dxa"/>
              <w:bottom w:w="150" w:type="dxa"/>
              <w:right w:w="240" w:type="dxa"/>
            </w:tcMar>
            <w:vAlign w:val="center"/>
          </w:tcPr>
          <w:p w14:paraId="3F3FCC2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“comprehensive” 暗示评价体系已完备，但主观实验样本量较小。</w:t>
            </w:r>
          </w:p>
        </w:tc>
        <w:tc>
          <w:tcPr>
            <w:tcW w:w="0" w:type="auto"/>
            <w:shd w:val="clear" w:color="auto" w:fill="FFFFFF"/>
            <w:tcMar>
              <w:top w:w="150" w:type="dxa"/>
              <w:left w:w="240" w:type="dxa"/>
              <w:bottom w:w="150" w:type="dxa"/>
              <w:right w:w="0" w:type="dxa"/>
            </w:tcMar>
            <w:vAlign w:val="center"/>
          </w:tcPr>
          <w:p w14:paraId="1EF8EFE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“Construction of a </w:t>
            </w:r>
            <w:r>
              <w:rPr>
                <w:rStyle w:val="7"/>
                <w:rFonts w:hint="default" w:ascii="Segoe UI" w:hAnsi="Segoe UI" w:eastAsia="Segoe UI" w:cs="Segoe UI"/>
                <w:b/>
                <w:bCs/>
                <w:i w:val="0"/>
                <w:iCs w:val="0"/>
                <w:caps w:val="0"/>
                <w:color w:val="0F1115"/>
                <w:spacing w:val="0"/>
                <w:kern w:val="0"/>
                <w:sz w:val="22"/>
                <w:szCs w:val="22"/>
                <w:lang w:val="en-US" w:eastAsia="zh-CN" w:bidi="ar"/>
              </w:rPr>
              <w:t>Multidimensional Evaluation System</w:t>
            </w:r>
            <w:r>
              <w:rPr>
                <w:rFonts w:hint="default" w:ascii="Segoe UI" w:hAnsi="Segoe UI" w:eastAsia="Segoe UI" w:cs="Segoe UI"/>
                <w:i w:val="0"/>
                <w:iCs w:val="0"/>
                <w:caps w:val="0"/>
                <w:color w:val="0F1115"/>
                <w:spacing w:val="0"/>
                <w:kern w:val="0"/>
                <w:sz w:val="22"/>
                <w:szCs w:val="22"/>
                <w:lang w:val="en-US" w:eastAsia="zh-CN" w:bidi="ar"/>
              </w:rPr>
              <w:t>: A </w:t>
            </w:r>
            <w:r>
              <w:rPr>
                <w:rStyle w:val="7"/>
                <w:rFonts w:hint="default" w:ascii="Segoe UI" w:hAnsi="Segoe UI" w:eastAsia="Segoe UI" w:cs="Segoe UI"/>
                <w:b/>
                <w:bCs/>
                <w:i w:val="0"/>
                <w:iCs w:val="0"/>
                <w:caps w:val="0"/>
                <w:color w:val="0F1115"/>
                <w:spacing w:val="0"/>
                <w:kern w:val="0"/>
                <w:sz w:val="22"/>
                <w:szCs w:val="22"/>
                <w:lang w:val="en-US" w:eastAsia="zh-CN" w:bidi="ar"/>
              </w:rPr>
              <w:t>preliminary</w:t>
            </w:r>
            <w:r>
              <w:rPr>
                <w:rFonts w:hint="default" w:ascii="Segoe UI" w:hAnsi="Segoe UI" w:eastAsia="Segoe UI" w:cs="Segoe UI"/>
                <w:i w:val="0"/>
                <w:iCs w:val="0"/>
                <w:caps w:val="0"/>
                <w:color w:val="0F1115"/>
                <w:spacing w:val="0"/>
                <w:kern w:val="0"/>
                <w:sz w:val="22"/>
                <w:szCs w:val="22"/>
                <w:lang w:val="en-US" w:eastAsia="zh-CN" w:bidi="ar"/>
              </w:rPr>
              <w:t> authenticity validation framework is established...”</w:t>
            </w:r>
          </w:p>
        </w:tc>
      </w:tr>
      <w:tr w14:paraId="4B1C1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A2B2C8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第175-177行</w:t>
            </w:r>
            <w:r>
              <w:rPr>
                <w:rFonts w:hint="default" w:ascii="Segoe UI" w:hAnsi="Segoe UI" w:eastAsia="Segoe UI" w:cs="Segoe UI"/>
                <w:i w:val="0"/>
                <w:iCs w:val="0"/>
                <w:caps w:val="0"/>
                <w:color w:val="0F1115"/>
                <w:spacing w:val="0"/>
                <w:kern w:val="0"/>
                <w:sz w:val="22"/>
                <w:szCs w:val="22"/>
                <w:lang w:val="en-US" w:eastAsia="zh-CN" w:bidi="ar"/>
              </w:rPr>
              <w:t> (Related work末尾)</w:t>
            </w:r>
          </w:p>
        </w:tc>
        <w:tc>
          <w:tcPr>
            <w:tcW w:w="0" w:type="auto"/>
            <w:shd w:val="clear" w:color="auto" w:fill="FFFFFF"/>
            <w:tcMar>
              <w:top w:w="150" w:type="dxa"/>
              <w:left w:w="240" w:type="dxa"/>
              <w:bottom w:w="150" w:type="dxa"/>
              <w:right w:w="240" w:type="dxa"/>
            </w:tcMar>
            <w:vAlign w:val="center"/>
          </w:tcPr>
          <w:p w14:paraId="3B089DE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“This study </w:t>
            </w:r>
            <w:r>
              <w:rPr>
                <w:rStyle w:val="7"/>
                <w:rFonts w:hint="default" w:ascii="Segoe UI" w:hAnsi="Segoe UI" w:eastAsia="Segoe UI" w:cs="Segoe UI"/>
                <w:b/>
                <w:bCs/>
                <w:i w:val="0"/>
                <w:iCs w:val="0"/>
                <w:caps w:val="0"/>
                <w:color w:val="0F1115"/>
                <w:spacing w:val="0"/>
                <w:kern w:val="0"/>
                <w:sz w:val="22"/>
                <w:szCs w:val="22"/>
                <w:lang w:val="en-US" w:eastAsia="zh-CN" w:bidi="ar"/>
              </w:rPr>
              <w:t>addresses these gaps</w:t>
            </w:r>
            <w:r>
              <w:rPr>
                <w:rFonts w:hint="default" w:ascii="Segoe UI" w:hAnsi="Segoe UI" w:eastAsia="Segoe UI" w:cs="Segoe UI"/>
                <w:i w:val="0"/>
                <w:iCs w:val="0"/>
                <w:caps w:val="0"/>
                <w:color w:val="0F1115"/>
                <w:spacing w:val="0"/>
                <w:kern w:val="0"/>
                <w:sz w:val="22"/>
                <w:szCs w:val="22"/>
                <w:lang w:val="en-US" w:eastAsia="zh-CN" w:bidi="ar"/>
              </w:rPr>
              <w:t> through a Chinese Painting Technique- Algorithm Matching Matrix...”</w:t>
            </w:r>
          </w:p>
        </w:tc>
        <w:tc>
          <w:tcPr>
            <w:tcW w:w="0" w:type="auto"/>
            <w:shd w:val="clear" w:color="auto" w:fill="FFFFFF"/>
            <w:tcMar>
              <w:top w:w="150" w:type="dxa"/>
              <w:left w:w="240" w:type="dxa"/>
              <w:bottom w:w="150" w:type="dxa"/>
              <w:right w:w="240" w:type="dxa"/>
            </w:tcMar>
            <w:vAlign w:val="center"/>
          </w:tcPr>
          <w:p w14:paraId="3972BB0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“addresses these gaps” 暗示已完全解决，应弱化。</w:t>
            </w:r>
          </w:p>
        </w:tc>
        <w:tc>
          <w:tcPr>
            <w:tcW w:w="0" w:type="auto"/>
            <w:shd w:val="clear" w:color="auto" w:fill="FFFFFF"/>
            <w:tcMar>
              <w:top w:w="150" w:type="dxa"/>
              <w:left w:w="240" w:type="dxa"/>
              <w:bottom w:w="150" w:type="dxa"/>
              <w:right w:w="0" w:type="dxa"/>
            </w:tcMar>
            <w:vAlign w:val="center"/>
          </w:tcPr>
          <w:p w14:paraId="2E9DD73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“This study </w:t>
            </w:r>
            <w:r>
              <w:rPr>
                <w:rStyle w:val="7"/>
                <w:rFonts w:hint="default" w:ascii="Segoe UI" w:hAnsi="Segoe UI" w:eastAsia="Segoe UI" w:cs="Segoe UI"/>
                <w:b/>
                <w:bCs/>
                <w:i w:val="0"/>
                <w:iCs w:val="0"/>
                <w:caps w:val="0"/>
                <w:color w:val="0F1115"/>
                <w:spacing w:val="0"/>
                <w:kern w:val="0"/>
                <w:sz w:val="22"/>
                <w:szCs w:val="22"/>
                <w:lang w:val="en-US" w:eastAsia="zh-CN" w:bidi="ar"/>
              </w:rPr>
              <w:t>attempts to address</w:t>
            </w:r>
            <w:r>
              <w:rPr>
                <w:rFonts w:hint="default" w:ascii="Segoe UI" w:hAnsi="Segoe UI" w:eastAsia="Segoe UI" w:cs="Segoe UI"/>
                <w:i w:val="0"/>
                <w:iCs w:val="0"/>
                <w:caps w:val="0"/>
                <w:color w:val="0F1115"/>
                <w:spacing w:val="0"/>
                <w:kern w:val="0"/>
                <w:sz w:val="22"/>
                <w:szCs w:val="22"/>
                <w:lang w:val="en-US" w:eastAsia="zh-CN" w:bidi="ar"/>
              </w:rPr>
              <w:t> these gaps by proposing a Chinese Painting Technique- Algorithm Matching Matrix...”</w:t>
            </w:r>
          </w:p>
        </w:tc>
      </w:tr>
      <w:tr w14:paraId="25E69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D419B6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第569-571行</w:t>
            </w:r>
            <w:r>
              <w:rPr>
                <w:rFonts w:hint="default" w:ascii="Segoe UI" w:hAnsi="Segoe UI" w:eastAsia="Segoe UI" w:cs="Segoe UI"/>
                <w:i w:val="0"/>
                <w:iCs w:val="0"/>
                <w:caps w:val="0"/>
                <w:color w:val="0F1115"/>
                <w:spacing w:val="0"/>
                <w:kern w:val="0"/>
                <w:sz w:val="22"/>
                <w:szCs w:val="22"/>
                <w:lang w:val="en-US" w:eastAsia="zh-CN" w:bidi="ar"/>
              </w:rPr>
              <w:t> (Discussion中)</w:t>
            </w:r>
          </w:p>
        </w:tc>
        <w:tc>
          <w:tcPr>
            <w:tcW w:w="0" w:type="auto"/>
            <w:shd w:val="clear" w:color="auto" w:fill="FFFFFF"/>
            <w:tcMar>
              <w:top w:w="150" w:type="dxa"/>
              <w:left w:w="240" w:type="dxa"/>
              <w:bottom w:w="150" w:type="dxa"/>
              <w:right w:w="240" w:type="dxa"/>
            </w:tcMar>
            <w:vAlign w:val="center"/>
          </w:tcPr>
          <w:p w14:paraId="5BAFD22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“Crucially, the artist-in-the-loop mechanism ... </w:t>
            </w:r>
            <w:r>
              <w:rPr>
                <w:rStyle w:val="7"/>
                <w:rFonts w:hint="default" w:ascii="Segoe UI" w:hAnsi="Segoe UI" w:eastAsia="Segoe UI" w:cs="Segoe UI"/>
                <w:b/>
                <w:bCs/>
                <w:i w:val="0"/>
                <w:iCs w:val="0"/>
                <w:caps w:val="0"/>
                <w:color w:val="0F1115"/>
                <w:spacing w:val="0"/>
                <w:kern w:val="0"/>
                <w:sz w:val="22"/>
                <w:szCs w:val="22"/>
                <w:lang w:val="en-US" w:eastAsia="zh-CN" w:bidi="ar"/>
              </w:rPr>
              <w:t>ensuring outcomes that align with both technical fidelity and artistic authenticity</w:t>
            </w:r>
            <w:r>
              <w:rPr>
                <w:rFonts w:hint="default" w:ascii="Segoe UI" w:hAnsi="Segoe UI" w:eastAsia="Segoe UI" w:cs="Segoe UI"/>
                <w:i w:val="0"/>
                <w:iCs w:val="0"/>
                <w:caps w:val="0"/>
                <w:color w:val="0F1115"/>
                <w:spacing w:val="0"/>
                <w:kern w:val="0"/>
                <w:sz w:val="22"/>
                <w:szCs w:val="22"/>
                <w:lang w:val="en-US" w:eastAsia="zh-CN" w:bidi="ar"/>
              </w:rPr>
              <w:t>.”</w:t>
            </w:r>
          </w:p>
        </w:tc>
        <w:tc>
          <w:tcPr>
            <w:tcW w:w="0" w:type="auto"/>
            <w:shd w:val="clear" w:color="auto" w:fill="FFFFFF"/>
            <w:tcMar>
              <w:top w:w="150" w:type="dxa"/>
              <w:left w:w="240" w:type="dxa"/>
              <w:bottom w:w="150" w:type="dxa"/>
              <w:right w:w="240" w:type="dxa"/>
            </w:tcMar>
            <w:vAlign w:val="center"/>
          </w:tcPr>
          <w:p w14:paraId="38487D4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“ensuring” 过于绝对，艺术真实性难以完全“保证”。</w:t>
            </w:r>
          </w:p>
        </w:tc>
        <w:tc>
          <w:tcPr>
            <w:tcW w:w="0" w:type="auto"/>
            <w:shd w:val="clear" w:color="auto" w:fill="FFFFFF"/>
            <w:tcMar>
              <w:top w:w="150" w:type="dxa"/>
              <w:left w:w="240" w:type="dxa"/>
              <w:bottom w:w="150" w:type="dxa"/>
              <w:right w:w="0" w:type="dxa"/>
            </w:tcMar>
            <w:vAlign w:val="center"/>
          </w:tcPr>
          <w:p w14:paraId="1561E27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“Crucially, the artist-in-the-loop mechanism ... </w:t>
            </w:r>
            <w:r>
              <w:rPr>
                <w:rStyle w:val="7"/>
                <w:rFonts w:hint="default" w:ascii="Segoe UI" w:hAnsi="Segoe UI" w:eastAsia="Segoe UI" w:cs="Segoe UI"/>
                <w:b/>
                <w:bCs/>
                <w:i w:val="0"/>
                <w:iCs w:val="0"/>
                <w:caps w:val="0"/>
                <w:color w:val="0F1115"/>
                <w:spacing w:val="0"/>
                <w:kern w:val="0"/>
                <w:sz w:val="22"/>
                <w:szCs w:val="22"/>
                <w:lang w:val="en-US" w:eastAsia="zh-CN" w:bidi="ar"/>
              </w:rPr>
              <w:t>helping to align outcomes with both technical fidelity and artistic authenticity</w:t>
            </w:r>
            <w:r>
              <w:rPr>
                <w:rFonts w:hint="default" w:ascii="Segoe UI" w:hAnsi="Segoe UI" w:eastAsia="Segoe UI" w:cs="Segoe UI"/>
                <w:i w:val="0"/>
                <w:iCs w:val="0"/>
                <w:caps w:val="0"/>
                <w:color w:val="0F1115"/>
                <w:spacing w:val="0"/>
                <w:kern w:val="0"/>
                <w:sz w:val="22"/>
                <w:szCs w:val="22"/>
                <w:lang w:val="en-US" w:eastAsia="zh-CN" w:bidi="ar"/>
              </w:rPr>
              <w:t>.”</w:t>
            </w:r>
          </w:p>
        </w:tc>
      </w:tr>
      <w:tr w14:paraId="60F9E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DA11F7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第594-597行</w:t>
            </w:r>
            <w:r>
              <w:rPr>
                <w:rFonts w:hint="default" w:ascii="Segoe UI" w:hAnsi="Segoe UI" w:eastAsia="Segoe UI" w:cs="Segoe UI"/>
                <w:i w:val="0"/>
                <w:iCs w:val="0"/>
                <w:caps w:val="0"/>
                <w:color w:val="0F1115"/>
                <w:spacing w:val="0"/>
                <w:kern w:val="0"/>
                <w:sz w:val="22"/>
                <w:szCs w:val="22"/>
                <w:lang w:val="en-US" w:eastAsia="zh-CN" w:bidi="ar"/>
              </w:rPr>
              <w:t> (Application Value)</w:t>
            </w:r>
          </w:p>
        </w:tc>
        <w:tc>
          <w:tcPr>
            <w:tcW w:w="0" w:type="auto"/>
            <w:shd w:val="clear" w:color="auto" w:fill="FFFFFF"/>
            <w:tcMar>
              <w:top w:w="150" w:type="dxa"/>
              <w:left w:w="240" w:type="dxa"/>
              <w:bottom w:w="150" w:type="dxa"/>
              <w:right w:w="240" w:type="dxa"/>
            </w:tcMar>
            <w:vAlign w:val="center"/>
          </w:tcPr>
          <w:p w14:paraId="716AB94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“In practice, the method provides a </w:t>
            </w:r>
            <w:r>
              <w:rPr>
                <w:rStyle w:val="7"/>
                <w:rFonts w:hint="default" w:ascii="Segoe UI" w:hAnsi="Segoe UI" w:eastAsia="Segoe UI" w:cs="Segoe UI"/>
                <w:b/>
                <w:bCs/>
                <w:i w:val="0"/>
                <w:iCs w:val="0"/>
                <w:caps w:val="0"/>
                <w:color w:val="0F1115"/>
                <w:spacing w:val="0"/>
                <w:kern w:val="0"/>
                <w:sz w:val="22"/>
                <w:szCs w:val="22"/>
                <w:lang w:val="en-US" w:eastAsia="zh-CN" w:bidi="ar"/>
              </w:rPr>
              <w:t>new technical pathway</w:t>
            </w:r>
            <w:r>
              <w:rPr>
                <w:rFonts w:hint="default" w:ascii="Segoe UI" w:hAnsi="Segoe UI" w:eastAsia="Segoe UI" w:cs="Segoe UI"/>
                <w:i w:val="0"/>
                <w:iCs w:val="0"/>
                <w:caps w:val="0"/>
                <w:color w:val="0F1115"/>
                <w:spacing w:val="0"/>
                <w:kern w:val="0"/>
                <w:sz w:val="22"/>
                <w:szCs w:val="22"/>
                <w:lang w:val="en-US" w:eastAsia="zh-CN" w:bidi="ar"/>
              </w:rPr>
              <w:t> for cultural heritage preservation and high-fidelity digital archiving.”</w:t>
            </w:r>
          </w:p>
        </w:tc>
        <w:tc>
          <w:tcPr>
            <w:tcW w:w="0" w:type="auto"/>
            <w:shd w:val="clear" w:color="auto" w:fill="FFFFFF"/>
            <w:tcMar>
              <w:top w:w="150" w:type="dxa"/>
              <w:left w:w="240" w:type="dxa"/>
              <w:bottom w:w="150" w:type="dxa"/>
              <w:right w:w="240" w:type="dxa"/>
            </w:tcMar>
            <w:vAlign w:val="center"/>
          </w:tcPr>
          <w:p w14:paraId="1FCBCA7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同摘要，夸大适用范围。</w:t>
            </w:r>
          </w:p>
        </w:tc>
        <w:tc>
          <w:tcPr>
            <w:tcW w:w="0" w:type="auto"/>
            <w:shd w:val="clear" w:color="auto" w:fill="FFFFFF"/>
            <w:tcMar>
              <w:top w:w="150" w:type="dxa"/>
              <w:left w:w="240" w:type="dxa"/>
              <w:bottom w:w="150" w:type="dxa"/>
              <w:right w:w="0" w:type="dxa"/>
            </w:tcMar>
            <w:vAlign w:val="center"/>
          </w:tcPr>
          <w:p w14:paraId="1A29696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“In practice, the method provides </w:t>
            </w:r>
            <w:r>
              <w:rPr>
                <w:rStyle w:val="7"/>
                <w:rFonts w:hint="default" w:ascii="Segoe UI" w:hAnsi="Segoe UI" w:eastAsia="Segoe UI" w:cs="Segoe UI"/>
                <w:b/>
                <w:bCs/>
                <w:i w:val="0"/>
                <w:iCs w:val="0"/>
                <w:caps w:val="0"/>
                <w:color w:val="0F1115"/>
                <w:spacing w:val="0"/>
                <w:kern w:val="0"/>
                <w:sz w:val="22"/>
                <w:szCs w:val="22"/>
                <w:lang w:val="en-US" w:eastAsia="zh-CN" w:bidi="ar"/>
              </w:rPr>
              <w:t>a potential technical pathway</w:t>
            </w:r>
            <w:r>
              <w:rPr>
                <w:rFonts w:hint="default" w:ascii="Segoe UI" w:hAnsi="Segoe UI" w:eastAsia="Segoe UI" w:cs="Segoe UI"/>
                <w:i w:val="0"/>
                <w:iCs w:val="0"/>
                <w:caps w:val="0"/>
                <w:color w:val="0F1115"/>
                <w:spacing w:val="0"/>
                <w:kern w:val="0"/>
                <w:sz w:val="22"/>
                <w:szCs w:val="22"/>
                <w:lang w:val="en-US" w:eastAsia="zh-CN" w:bidi="ar"/>
              </w:rPr>
              <w:t> for cultural heritage preservation and high-fidelity digital archiving.”</w:t>
            </w:r>
          </w:p>
        </w:tc>
      </w:tr>
      <w:tr w14:paraId="424DC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C38EB3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7"/>
                <w:rFonts w:hint="default" w:ascii="Segoe UI" w:hAnsi="Segoe UI" w:eastAsia="Segoe UI" w:cs="Segoe UI"/>
                <w:b/>
                <w:bCs/>
                <w:i w:val="0"/>
                <w:iCs w:val="0"/>
                <w:caps w:val="0"/>
                <w:color w:val="0F1115"/>
                <w:spacing w:val="0"/>
                <w:kern w:val="0"/>
                <w:sz w:val="22"/>
                <w:szCs w:val="22"/>
                <w:lang w:val="en-US" w:eastAsia="zh-CN" w:bidi="ar"/>
              </w:rPr>
              <w:t>结论</w:t>
            </w:r>
            <w:r>
              <w:rPr>
                <w:rFonts w:hint="default" w:ascii="Segoe UI" w:hAnsi="Segoe UI" w:eastAsia="Segoe UI" w:cs="Segoe UI"/>
                <w:i w:val="0"/>
                <w:iCs w:val="0"/>
                <w:caps w:val="0"/>
                <w:color w:val="0F1115"/>
                <w:spacing w:val="0"/>
                <w:kern w:val="0"/>
                <w:sz w:val="22"/>
                <w:szCs w:val="22"/>
                <w:lang w:val="en-US" w:eastAsia="zh-CN" w:bidi="ar"/>
              </w:rPr>
              <w:t> (第622-624行)</w:t>
            </w:r>
          </w:p>
        </w:tc>
        <w:tc>
          <w:tcPr>
            <w:tcW w:w="0" w:type="auto"/>
            <w:shd w:val="clear" w:color="auto" w:fill="FFFFFF"/>
            <w:tcMar>
              <w:top w:w="150" w:type="dxa"/>
              <w:left w:w="240" w:type="dxa"/>
              <w:bottom w:w="150" w:type="dxa"/>
              <w:right w:w="240" w:type="dxa"/>
            </w:tcMar>
            <w:vAlign w:val="center"/>
          </w:tcPr>
          <w:p w14:paraId="3D6254A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“The method provides a </w:t>
            </w:r>
            <w:r>
              <w:rPr>
                <w:rStyle w:val="7"/>
                <w:rFonts w:hint="default" w:ascii="Segoe UI" w:hAnsi="Segoe UI" w:eastAsia="Segoe UI" w:cs="Segoe UI"/>
                <w:b/>
                <w:bCs/>
                <w:i w:val="0"/>
                <w:iCs w:val="0"/>
                <w:caps w:val="0"/>
                <w:color w:val="0F1115"/>
                <w:spacing w:val="0"/>
                <w:kern w:val="0"/>
                <w:sz w:val="22"/>
                <w:szCs w:val="22"/>
                <w:lang w:val="en-US" w:eastAsia="zh-CN" w:bidi="ar"/>
              </w:rPr>
              <w:t>reusable technical path</w:t>
            </w:r>
            <w:r>
              <w:rPr>
                <w:rFonts w:hint="default" w:ascii="Segoe UI" w:hAnsi="Segoe UI" w:eastAsia="Segoe UI" w:cs="Segoe UI"/>
                <w:i w:val="0"/>
                <w:iCs w:val="0"/>
                <w:caps w:val="0"/>
                <w:color w:val="0F1115"/>
                <w:spacing w:val="0"/>
                <w:kern w:val="0"/>
                <w:sz w:val="22"/>
                <w:szCs w:val="22"/>
                <w:lang w:val="en-US" w:eastAsia="zh-CN" w:bidi="ar"/>
              </w:rPr>
              <w:t> for 3D digitalization of Chinese painting and offers </w:t>
            </w:r>
            <w:r>
              <w:rPr>
                <w:rStyle w:val="7"/>
                <w:rFonts w:hint="default" w:ascii="Segoe UI" w:hAnsi="Segoe UI" w:eastAsia="Segoe UI" w:cs="Segoe UI"/>
                <w:b/>
                <w:bCs/>
                <w:i w:val="0"/>
                <w:iCs w:val="0"/>
                <w:caps w:val="0"/>
                <w:color w:val="0F1115"/>
                <w:spacing w:val="0"/>
                <w:kern w:val="0"/>
                <w:sz w:val="22"/>
                <w:szCs w:val="22"/>
                <w:lang w:val="en-US" w:eastAsia="zh-CN" w:bidi="ar"/>
              </w:rPr>
              <w:t>new perspectives</w:t>
            </w:r>
            <w:r>
              <w:rPr>
                <w:rFonts w:hint="default" w:ascii="Segoe UI" w:hAnsi="Segoe UI" w:eastAsia="Segoe UI" w:cs="Segoe UI"/>
                <w:i w:val="0"/>
                <w:iCs w:val="0"/>
                <w:caps w:val="0"/>
                <w:color w:val="0F1115"/>
                <w:spacing w:val="0"/>
                <w:kern w:val="0"/>
                <w:sz w:val="22"/>
                <w:szCs w:val="22"/>
                <w:lang w:val="en-US" w:eastAsia="zh-CN" w:bidi="ar"/>
              </w:rPr>
              <w:t> for heritage conservation...”</w:t>
            </w:r>
          </w:p>
        </w:tc>
        <w:tc>
          <w:tcPr>
            <w:tcW w:w="0" w:type="auto"/>
            <w:shd w:val="clear" w:color="auto" w:fill="FFFFFF"/>
            <w:tcMar>
              <w:top w:w="150" w:type="dxa"/>
              <w:left w:w="240" w:type="dxa"/>
              <w:bottom w:w="150" w:type="dxa"/>
              <w:right w:w="240" w:type="dxa"/>
            </w:tcMar>
            <w:vAlign w:val="center"/>
          </w:tcPr>
          <w:p w14:paraId="18A56E3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“reusable technical path” 暗示已证明可复用，实际未验证。</w:t>
            </w:r>
          </w:p>
        </w:tc>
        <w:tc>
          <w:tcPr>
            <w:tcW w:w="0" w:type="auto"/>
            <w:shd w:val="clear" w:color="auto" w:fill="FFFFFF"/>
            <w:tcMar>
              <w:top w:w="150" w:type="dxa"/>
              <w:left w:w="240" w:type="dxa"/>
              <w:bottom w:w="150" w:type="dxa"/>
              <w:right w:w="0" w:type="dxa"/>
            </w:tcMar>
            <w:vAlign w:val="center"/>
          </w:tcPr>
          <w:p w14:paraId="2DA0188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“The method provides </w:t>
            </w:r>
            <w:r>
              <w:rPr>
                <w:rStyle w:val="7"/>
                <w:rFonts w:hint="default" w:ascii="Segoe UI" w:hAnsi="Segoe UI" w:eastAsia="Segoe UI" w:cs="Segoe UI"/>
                <w:b/>
                <w:bCs/>
                <w:i w:val="0"/>
                <w:iCs w:val="0"/>
                <w:caps w:val="0"/>
                <w:color w:val="0F1115"/>
                <w:spacing w:val="0"/>
                <w:kern w:val="0"/>
                <w:sz w:val="22"/>
                <w:szCs w:val="22"/>
                <w:lang w:val="en-US" w:eastAsia="zh-CN" w:bidi="ar"/>
              </w:rPr>
              <w:t>a promising technical framework</w:t>
            </w:r>
            <w:r>
              <w:rPr>
                <w:rFonts w:hint="default" w:ascii="Segoe UI" w:hAnsi="Segoe UI" w:eastAsia="Segoe UI" w:cs="Segoe UI"/>
                <w:i w:val="0"/>
                <w:iCs w:val="0"/>
                <w:caps w:val="0"/>
                <w:color w:val="0F1115"/>
                <w:spacing w:val="0"/>
                <w:kern w:val="0"/>
                <w:sz w:val="22"/>
                <w:szCs w:val="22"/>
                <w:lang w:val="en-US" w:eastAsia="zh-CN" w:bidi="ar"/>
              </w:rPr>
              <w:t> for 3D digitalization of Chinese painting and offers </w:t>
            </w:r>
            <w:r>
              <w:rPr>
                <w:rStyle w:val="7"/>
                <w:rFonts w:hint="default" w:ascii="Segoe UI" w:hAnsi="Segoe UI" w:eastAsia="Segoe UI" w:cs="Segoe UI"/>
                <w:b/>
                <w:bCs/>
                <w:i w:val="0"/>
                <w:iCs w:val="0"/>
                <w:caps w:val="0"/>
                <w:color w:val="0F1115"/>
                <w:spacing w:val="0"/>
                <w:kern w:val="0"/>
                <w:sz w:val="22"/>
                <w:szCs w:val="22"/>
                <w:lang w:val="en-US" w:eastAsia="zh-CN" w:bidi="ar"/>
              </w:rPr>
              <w:t>preliminary perspectives</w:t>
            </w:r>
            <w:r>
              <w:rPr>
                <w:rFonts w:hint="default" w:ascii="Segoe UI" w:hAnsi="Segoe UI" w:eastAsia="Segoe UI" w:cs="Segoe UI"/>
                <w:i w:val="0"/>
                <w:iCs w:val="0"/>
                <w:caps w:val="0"/>
                <w:color w:val="0F1115"/>
                <w:spacing w:val="0"/>
                <w:kern w:val="0"/>
                <w:sz w:val="22"/>
                <w:szCs w:val="22"/>
                <w:lang w:val="en-US" w:eastAsia="zh-CN" w:bidi="ar"/>
              </w:rPr>
              <w:t> for heritage conservation...”</w:t>
            </w:r>
          </w:p>
        </w:tc>
      </w:tr>
    </w:tbl>
    <w:p w14:paraId="3AD5D41F">
      <w:pPr>
        <w:rPr>
          <w:rFonts w:hint="default"/>
          <w:lang w:val="en-US" w:eastAsia="zh-CN"/>
        </w:rPr>
      </w:pPr>
    </w:p>
    <w:p w14:paraId="64B039C4">
      <w:pPr>
        <w:rPr>
          <w:rFonts w:hint="default"/>
          <w:lang w:val="en-US" w:eastAsia="zh-CN"/>
        </w:rPr>
      </w:pPr>
    </w:p>
    <w:p w14:paraId="33AE8499">
      <w:pPr>
        <w:rPr>
          <w:rFonts w:hint="eastAsia"/>
          <w:color w:val="0000FF"/>
          <w:lang w:val="en-US" w:eastAsia="zh-CN"/>
        </w:rPr>
      </w:pPr>
      <w:r>
        <w:rPr>
          <w:rFonts w:hint="eastAsia"/>
          <w:color w:val="0000FF"/>
          <w:lang w:val="en-US" w:eastAsia="zh-CN"/>
        </w:rPr>
        <w:t>问题3矩阵的有效性缺乏“对比实验”：</w:t>
      </w:r>
    </w:p>
    <w:p w14:paraId="03315504">
      <w:pPr>
        <w:rPr>
          <w:rFonts w:hint="eastAsia"/>
          <w:color w:val="0000FF"/>
          <w:lang w:val="en-US" w:eastAsia="zh-CN"/>
        </w:rPr>
      </w:pPr>
      <w:r>
        <w:rPr>
          <w:rFonts w:hint="eastAsia"/>
          <w:color w:val="0000FF"/>
          <w:lang w:val="en-US" w:eastAsia="zh-CN"/>
        </w:rPr>
        <w:t>（对应审稿人3原话：The authors propose a matching matrix encompassing 24 algorithms and five major technique categories, yet the case study validation only demonstrates the final outcome of a single algorithmic combination applied to the specific techniques of Eight Flowers. The paper provides no comparative experiments (e.g., ablation studies or comparisons with "mismatched" algorithms) to prove that "following the matrix's guidance" yields quantifiable and significant improvements over "not following the matrix" or "employing other empirical methods." This makes the matrix currently resemble a well-organized literature classification rather than a rigorously validated practical tool. Readers cannot determine whether the presented final result benefits from the correct guidance of the matrix or merely relies on the author's personal experience and intuition.）</w:t>
      </w:r>
    </w:p>
    <w:p w14:paraId="35892DCE">
      <w:pPr>
        <w:rPr>
          <w:rFonts w:hint="eastAsia"/>
          <w:lang w:val="en-US" w:eastAsia="zh-CN"/>
        </w:rPr>
      </w:pPr>
      <w:r>
        <w:rPr>
          <w:rFonts w:hint="eastAsia"/>
          <w:lang w:val="en-US" w:eastAsia="zh-CN"/>
        </w:rPr>
        <w:t>图和数据放在另一个文件里了</w:t>
      </w:r>
    </w:p>
    <w:p w14:paraId="159E1D77">
      <w:pPr>
        <w:rPr>
          <w:rFonts w:hint="eastAsia"/>
          <w:lang w:val="en-US" w:eastAsia="zh-CN"/>
        </w:rPr>
      </w:pPr>
    </w:p>
    <w:p w14:paraId="67DED351">
      <w:pPr>
        <w:rPr>
          <w:rFonts w:hint="eastAsia"/>
          <w:lang w:val="en-US" w:eastAsia="zh-CN"/>
        </w:rPr>
      </w:pPr>
    </w:p>
    <w:p w14:paraId="10477DD3">
      <w:pPr>
        <w:rPr>
          <w:rFonts w:hint="eastAsia"/>
          <w:color w:val="0000FF"/>
          <w:lang w:val="en-US" w:eastAsia="zh-CN"/>
        </w:rPr>
      </w:pPr>
      <w:r>
        <w:rPr>
          <w:rFonts w:hint="eastAsia"/>
          <w:lang w:val="en-US" w:eastAsia="zh-CN"/>
        </w:rPr>
        <w:t>问题4：</w:t>
      </w:r>
      <w:r>
        <w:rPr>
          <w:rFonts w:hint="eastAsia"/>
          <w:color w:val="0000FF"/>
          <w:lang w:val="en-US" w:eastAsia="zh-CN"/>
        </w:rPr>
        <w:t>主观评价实验（问卷）描述过于粗糙</w:t>
      </w:r>
    </w:p>
    <w:p w14:paraId="6BCE1675">
      <w:pPr>
        <w:rPr>
          <w:rFonts w:hint="default"/>
          <w:color w:val="0000FF"/>
          <w:lang w:val="en-US" w:eastAsia="zh-CN"/>
        </w:rPr>
      </w:pPr>
      <w:r>
        <w:rPr>
          <w:rFonts w:hint="eastAsia"/>
          <w:color w:val="0000FF"/>
          <w:lang w:val="en-US" w:eastAsia="zh-CN"/>
        </w:rPr>
        <w:t>（对应审稿人3原话：The description of the subjective evaluation experiment's design is too cursory and lacks credibility. The paper mentions conducting "a questionnaire survey targeting students and practitioners in the fields of Chinese painting and computer graphics," but it completely omits crucial details of the experimental design. For example: the specific number of participants, the comparative materials they viewed, how the scoring criteria were unified to ensure reliability, and the final statistical results (such as means, variances, significance tests). This level of description fails to meet the rigorous standards of academic papers for experimental design, rendering the subjective evaluation section virtually meaningless and its conclusions unverifiable and untrustworthy for readers.）</w:t>
      </w:r>
    </w:p>
    <w:p w14:paraId="09A29A31">
      <w:pPr>
        <w:rPr>
          <w:rFonts w:hint="default"/>
          <w:color w:val="0000FF"/>
          <w:lang w:val="en-US" w:eastAsia="zh-CN"/>
        </w:rPr>
      </w:pPr>
    </w:p>
    <w:p w14:paraId="764A460D">
      <w:pPr>
        <w:rPr>
          <w:rFonts w:hint="default"/>
          <w:color w:val="0000FF"/>
          <w:lang w:val="en-US" w:eastAsia="zh-CN"/>
        </w:rPr>
      </w:pPr>
    </w:p>
    <w:p w14:paraId="591663A0">
      <w:pPr>
        <w:rPr>
          <w:rFonts w:hint="eastAsia"/>
          <w:lang w:val="en-US" w:eastAsia="zh-CN"/>
        </w:rPr>
      </w:pPr>
      <w:r>
        <w:rPr>
          <w:rFonts w:hint="default"/>
          <w:lang w:val="en-US" w:eastAsia="zh-CN"/>
        </w:rPr>
        <w:t>为提高主观评价实验的透明度与可重复性，本研究进一步补充实验设计如下。共招募XX名参与者，其中中国画相关背景XX人、计算机科学背景XX人、艺术理论背景XX人、数字媒体/艺术技术背景XX人、其他相关背景XX人。所有参与者均具有正常或矫正至正常的视力。实验在统一显示条件下进行，采用XX英寸校准显示器，分辨率为XX×XX。测试材料包括本研究结果（项目A）及四个对比项目（项目B–E），并单独提供原作《八花图》数字图像作为参考基准。五个数字化项目以随机顺序呈现并进行匿名处理，以减少项目来源、知名度及研究背景对判断的干扰。</w:t>
      </w:r>
    </w:p>
    <w:p w14:paraId="2DB239EF">
      <w:pPr>
        <w:rPr>
          <w:rFonts w:hint="default"/>
          <w:lang w:val="en-US" w:eastAsia="zh-CN"/>
        </w:rPr>
      </w:pPr>
      <w:r>
        <w:rPr>
          <w:rFonts w:hint="default"/>
          <w:lang w:val="en-US" w:eastAsia="zh-CN"/>
        </w:rPr>
        <w:t>在评分任务中，参与者基于原作参考图，对五个项目在六个维度上进行评价：色彩还原度、笔触自然度、技法再现准确性、艺术表现力、空间感知和整体满意度。所有维度均采用5点Likert量表（1 = 非常不一致，5 = 非常一致）。正式实验开始前，向所有参与者提供统一的书面说明与示例图，以解释各维度的判断标准，并强调评分应以“与原作的接近程度”而非单纯的审美偏好为依据。除量表评分外，实验还设置盲测识别任务，要求参与者从五个项目中强制选择一项“最接近原画”的结果，并对其判断信心进行记录。</w:t>
      </w:r>
    </w:p>
    <w:p w14:paraId="56D8DC75">
      <w:pPr>
        <w:rPr>
          <w:rFonts w:hint="default"/>
          <w:lang w:val="en-US" w:eastAsia="zh-CN"/>
        </w:rPr>
      </w:pPr>
      <w:r>
        <w:rPr>
          <w:rFonts w:hint="default"/>
          <w:lang w:val="en-US" w:eastAsia="zh-CN"/>
        </w:rPr>
        <w:t>各项目在六个维度上的描述性统计结果如表7所示。从均值上看，项目A在六个维度中均处于最高或并列最高水平，其中色彩还原度为XX ± XX，笔触自然度为3.94 ± XX，技法再现准确性为XX ± XX，艺术表现力为XX ± XX，空间感知为XX ± XX，整体满意度为XX ± XX。相较之下，项目B在多数维度上得分最低，例如色彩还原度为XX ± XX，笔触自然度为XX ± XX，整体满意度为XX ± XX；项目C整体表现次优，在色彩还原度（XX ± XX）、笔触自然度（XX ± XX）和整体满意度（XX ± XX）上与项目A最为接近；项目D和项目E则整体处于中间水平。</w:t>
      </w:r>
    </w:p>
    <w:p w14:paraId="46B76237">
      <w:pPr>
        <w:rPr>
          <w:rFonts w:hint="default"/>
          <w:lang w:val="en-US" w:eastAsia="zh-CN"/>
        </w:rPr>
      </w:pPr>
      <w:r>
        <w:rPr>
          <w:rFonts w:hint="default"/>
          <w:lang w:val="en-US" w:eastAsia="zh-CN"/>
        </w:rPr>
        <w:t>为检验五个项目在各维度上的总体差异，本研究首先进行了单因素重复测量方差分析。结果显示，五个项目在六个主观评价维度上均存在显著差异：色彩还原度，F(XX,XX) = XX, p &lt; XX, ηp² = XX；笔触自然度，F(XX,XX) = XX, p &lt; XX, ηp² = XX；技法再现准确性，F(XX,XX) = XX, p &lt; XX, ηp² = XX；艺术表现力，F(XX,XX) = XX, p &lt; XX, ηp² = XX；空间感知，F(XX,XX) = XX, p &lt; XX, ηp² = XX；整体满意度，F(XX,XX) = XX, p &lt; XX, ηp² = XX。随后采用配对样本t检验进行两两比较，其结果与原文报告一致：与次优项目C相比，项目A在色彩还原度上具有显著优势，t(XX) = XX, p &lt; XX；在笔触自然度上同样显著更优，t(XX) = XX, p = XX；在整体满意度上也表现出显著差异，t(XX) = XX, p &lt; XX。其余维度中，项目A在艺术表现力与空间感知上均保持最高均值，但与项目C之间的差异未达到同等显著水平（p &gt; XX）。</w:t>
      </w:r>
    </w:p>
    <w:p w14:paraId="5D995975">
      <w:pPr>
        <w:rPr>
          <w:rFonts w:hint="default"/>
          <w:lang w:val="en-US" w:eastAsia="zh-CN"/>
        </w:rPr>
      </w:pPr>
      <w:r>
        <w:rPr>
          <w:rFonts w:hint="default"/>
          <w:lang w:val="en-US" w:eastAsia="zh-CN"/>
        </w:rPr>
        <w:t>盲测识别结果进一步支持上述趋势。项目A被误认为“最接近原作”的比例达到34%（n = 17），为所有项目中最高；其平均判断信心为XX%（M = XX/XX），低于项目B（XX%, M = XX）、项目D（XX%, M = XX）和项目E（XX%, M = XX），表明参与者在识别项目A时更容易产生犹豫，从侧面反映其与原作在视觉上的接近程度更高。强制选择任务中，各项目得票分布分别为：项目A 17人，项目B 2人，项目C 5人，项目D 6人，项目E 4人，另有16人未做出明确选择。这一结果与后续定性反馈所呈现的整体趋势一致。</w:t>
      </w:r>
    </w:p>
    <w:p w14:paraId="6C10D722">
      <w:pPr>
        <w:rPr>
          <w:rFonts w:hint="default"/>
          <w:lang w:val="en-US" w:eastAsia="zh-CN"/>
        </w:rPr>
      </w:pPr>
      <w:bookmarkStart w:id="0" w:name="_GoBack"/>
      <w:bookmarkEnd w:id="0"/>
    </w:p>
    <w:p w14:paraId="2B1AA2ED">
      <w:pPr>
        <w:rPr>
          <w:rFonts w:hint="default"/>
          <w:lang w:val="en-US" w:eastAsia="zh-CN"/>
        </w:rPr>
      </w:pPr>
      <w:r>
        <w:rPr>
          <w:rFonts w:hint="default"/>
          <w:lang w:val="en-US" w:eastAsia="zh-CN"/>
        </w:rPr>
        <w:t>表7 主观评价各维度的均值与标准差（Mean ± SD）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0"/>
        <w:gridCol w:w="1116"/>
        <w:gridCol w:w="1116"/>
        <w:gridCol w:w="1116"/>
        <w:gridCol w:w="1116"/>
        <w:gridCol w:w="1056"/>
      </w:tblGrid>
      <w:tr w14:paraId="1408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5C6AD94">
            <w:pPr>
              <w:rPr>
                <w:rFonts w:hint="eastAsia"/>
                <w:lang w:val="en-US" w:eastAsia="zh-CN"/>
              </w:rPr>
            </w:pPr>
            <w:r>
              <w:rPr>
                <w:rFonts w:hint="default"/>
                <w:lang w:val="en-US" w:eastAsia="zh-CN"/>
              </w:rPr>
              <w:t>维度</w:t>
            </w:r>
          </w:p>
        </w:tc>
        <w:tc>
          <w:tcPr>
            <w:tcW w:w="0" w:type="auto"/>
            <w:tcBorders>
              <w:top w:val="nil"/>
            </w:tcBorders>
            <w:shd w:val="clear"/>
            <w:tcMar>
              <w:top w:w="150" w:type="dxa"/>
              <w:left w:w="240" w:type="dxa"/>
              <w:bottom w:w="150" w:type="dxa"/>
              <w:right w:w="240" w:type="dxa"/>
            </w:tcMar>
            <w:vAlign w:val="center"/>
          </w:tcPr>
          <w:p w14:paraId="68A30329">
            <w:pPr>
              <w:rPr>
                <w:rFonts w:hint="default"/>
                <w:lang w:val="en-US" w:eastAsia="zh-CN"/>
              </w:rPr>
            </w:pPr>
            <w:r>
              <w:rPr>
                <w:rFonts w:hint="default"/>
                <w:lang w:val="en-US" w:eastAsia="zh-CN"/>
              </w:rPr>
              <w:t>项目A</w:t>
            </w:r>
          </w:p>
        </w:tc>
        <w:tc>
          <w:tcPr>
            <w:tcW w:w="0" w:type="auto"/>
            <w:tcBorders>
              <w:top w:val="nil"/>
            </w:tcBorders>
            <w:shd w:val="clear"/>
            <w:tcMar>
              <w:top w:w="150" w:type="dxa"/>
              <w:left w:w="240" w:type="dxa"/>
              <w:bottom w:w="150" w:type="dxa"/>
              <w:right w:w="240" w:type="dxa"/>
            </w:tcMar>
            <w:vAlign w:val="center"/>
          </w:tcPr>
          <w:p w14:paraId="3145B520">
            <w:pPr>
              <w:rPr>
                <w:rFonts w:hint="default"/>
                <w:lang w:val="en-US" w:eastAsia="zh-CN"/>
              </w:rPr>
            </w:pPr>
            <w:r>
              <w:rPr>
                <w:rFonts w:hint="default"/>
                <w:lang w:val="en-US" w:eastAsia="zh-CN"/>
              </w:rPr>
              <w:t>项目B</w:t>
            </w:r>
          </w:p>
        </w:tc>
        <w:tc>
          <w:tcPr>
            <w:tcW w:w="0" w:type="auto"/>
            <w:tcBorders>
              <w:top w:val="nil"/>
            </w:tcBorders>
            <w:shd w:val="clear"/>
            <w:tcMar>
              <w:top w:w="150" w:type="dxa"/>
              <w:left w:w="240" w:type="dxa"/>
              <w:bottom w:w="150" w:type="dxa"/>
              <w:right w:w="240" w:type="dxa"/>
            </w:tcMar>
            <w:vAlign w:val="center"/>
          </w:tcPr>
          <w:p w14:paraId="33BFAFEF">
            <w:pPr>
              <w:rPr>
                <w:rFonts w:hint="default"/>
                <w:lang w:val="en-US" w:eastAsia="zh-CN"/>
              </w:rPr>
            </w:pPr>
            <w:r>
              <w:rPr>
                <w:rFonts w:hint="default"/>
                <w:lang w:val="en-US" w:eastAsia="zh-CN"/>
              </w:rPr>
              <w:t>项目C</w:t>
            </w:r>
          </w:p>
        </w:tc>
        <w:tc>
          <w:tcPr>
            <w:tcW w:w="0" w:type="auto"/>
            <w:tcBorders>
              <w:top w:val="nil"/>
            </w:tcBorders>
            <w:shd w:val="clear"/>
            <w:tcMar>
              <w:top w:w="150" w:type="dxa"/>
              <w:left w:w="240" w:type="dxa"/>
              <w:bottom w:w="150" w:type="dxa"/>
              <w:right w:w="240" w:type="dxa"/>
            </w:tcMar>
            <w:vAlign w:val="center"/>
          </w:tcPr>
          <w:p w14:paraId="4F4D945A">
            <w:pPr>
              <w:rPr>
                <w:rFonts w:hint="default"/>
                <w:lang w:val="en-US" w:eastAsia="zh-CN"/>
              </w:rPr>
            </w:pPr>
            <w:r>
              <w:rPr>
                <w:rFonts w:hint="default"/>
                <w:lang w:val="en-US" w:eastAsia="zh-CN"/>
              </w:rPr>
              <w:t>项目D</w:t>
            </w:r>
          </w:p>
        </w:tc>
        <w:tc>
          <w:tcPr>
            <w:tcW w:w="0" w:type="auto"/>
            <w:tcBorders>
              <w:top w:val="nil"/>
            </w:tcBorders>
            <w:shd w:val="clear"/>
            <w:tcMar>
              <w:top w:w="150" w:type="dxa"/>
              <w:left w:w="240" w:type="dxa"/>
              <w:bottom w:w="150" w:type="dxa"/>
              <w:right w:w="240" w:type="dxa"/>
            </w:tcMar>
            <w:vAlign w:val="center"/>
          </w:tcPr>
          <w:p w14:paraId="7F968DB7">
            <w:pPr>
              <w:rPr>
                <w:rFonts w:hint="default"/>
                <w:lang w:val="en-US" w:eastAsia="zh-CN"/>
              </w:rPr>
            </w:pPr>
            <w:r>
              <w:rPr>
                <w:rFonts w:hint="default"/>
                <w:lang w:val="en-US" w:eastAsia="zh-CN"/>
              </w:rPr>
              <w:t>项目E</w:t>
            </w:r>
          </w:p>
        </w:tc>
      </w:tr>
      <w:tr w14:paraId="56A08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5449C7A">
            <w:pPr>
              <w:rPr>
                <w:rFonts w:hint="default"/>
                <w:lang w:val="en-US" w:eastAsia="zh-CN"/>
              </w:rPr>
            </w:pPr>
            <w:r>
              <w:rPr>
                <w:rFonts w:hint="default"/>
                <w:lang w:val="en-US" w:eastAsia="zh-CN"/>
              </w:rPr>
              <w:t>色彩还原度</w:t>
            </w:r>
          </w:p>
        </w:tc>
        <w:tc>
          <w:tcPr>
            <w:tcW w:w="0" w:type="auto"/>
            <w:shd w:val="clear"/>
            <w:tcMar>
              <w:top w:w="150" w:type="dxa"/>
              <w:left w:w="240" w:type="dxa"/>
              <w:bottom w:w="150" w:type="dxa"/>
              <w:right w:w="240" w:type="dxa"/>
            </w:tcMar>
            <w:vAlign w:val="center"/>
          </w:tcPr>
          <w:p w14:paraId="629EDCA9">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6F412050">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1007B4B7">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72899CE5">
            <w:pPr>
              <w:rPr>
                <w:rFonts w:hint="default"/>
                <w:lang w:val="en-US" w:eastAsia="zh-CN"/>
              </w:rPr>
            </w:pPr>
            <w:r>
              <w:rPr>
                <w:rFonts w:hint="default"/>
                <w:lang w:val="en-US" w:eastAsia="zh-CN"/>
              </w:rPr>
              <w:t>XX ± XX</w:t>
            </w:r>
          </w:p>
        </w:tc>
        <w:tc>
          <w:tcPr>
            <w:tcW w:w="0" w:type="auto"/>
            <w:shd w:val="clear"/>
            <w:tcMar>
              <w:top w:w="150" w:type="dxa"/>
              <w:left w:w="240" w:type="dxa"/>
              <w:bottom w:w="150" w:type="dxa"/>
              <w:right w:w="0" w:type="dxa"/>
            </w:tcMar>
            <w:vAlign w:val="center"/>
          </w:tcPr>
          <w:p w14:paraId="6D323A50">
            <w:pPr>
              <w:rPr>
                <w:rFonts w:hint="default"/>
                <w:lang w:val="en-US" w:eastAsia="zh-CN"/>
              </w:rPr>
            </w:pPr>
            <w:r>
              <w:rPr>
                <w:rFonts w:hint="default"/>
                <w:lang w:val="en-US" w:eastAsia="zh-CN"/>
              </w:rPr>
              <w:t>XX ± XX</w:t>
            </w:r>
          </w:p>
        </w:tc>
      </w:tr>
      <w:tr w14:paraId="29F18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45EE55">
            <w:pPr>
              <w:rPr>
                <w:rFonts w:hint="default"/>
                <w:lang w:val="en-US" w:eastAsia="zh-CN"/>
              </w:rPr>
            </w:pPr>
            <w:r>
              <w:rPr>
                <w:rFonts w:hint="default"/>
                <w:lang w:val="en-US" w:eastAsia="zh-CN"/>
              </w:rPr>
              <w:t>笔触自然度</w:t>
            </w:r>
          </w:p>
        </w:tc>
        <w:tc>
          <w:tcPr>
            <w:tcW w:w="0" w:type="auto"/>
            <w:shd w:val="clear"/>
            <w:tcMar>
              <w:top w:w="150" w:type="dxa"/>
              <w:left w:w="240" w:type="dxa"/>
              <w:bottom w:w="150" w:type="dxa"/>
              <w:right w:w="240" w:type="dxa"/>
            </w:tcMar>
            <w:vAlign w:val="center"/>
          </w:tcPr>
          <w:p w14:paraId="5E541F7E">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4DE57B2B">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0AA9516C">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645119E1">
            <w:pPr>
              <w:rPr>
                <w:rFonts w:hint="default"/>
                <w:lang w:val="en-US" w:eastAsia="zh-CN"/>
              </w:rPr>
            </w:pPr>
            <w:r>
              <w:rPr>
                <w:rFonts w:hint="default"/>
                <w:lang w:val="en-US" w:eastAsia="zh-CN"/>
              </w:rPr>
              <w:t>XX ± XX</w:t>
            </w:r>
          </w:p>
        </w:tc>
        <w:tc>
          <w:tcPr>
            <w:tcW w:w="0" w:type="auto"/>
            <w:shd w:val="clear"/>
            <w:tcMar>
              <w:top w:w="150" w:type="dxa"/>
              <w:left w:w="240" w:type="dxa"/>
              <w:bottom w:w="150" w:type="dxa"/>
              <w:right w:w="0" w:type="dxa"/>
            </w:tcMar>
            <w:vAlign w:val="center"/>
          </w:tcPr>
          <w:p w14:paraId="41060941">
            <w:pPr>
              <w:rPr>
                <w:rFonts w:hint="default"/>
                <w:lang w:val="en-US" w:eastAsia="zh-CN"/>
              </w:rPr>
            </w:pPr>
            <w:r>
              <w:rPr>
                <w:rFonts w:hint="default"/>
                <w:lang w:val="en-US" w:eastAsia="zh-CN"/>
              </w:rPr>
              <w:t>XX ± XX</w:t>
            </w:r>
          </w:p>
        </w:tc>
      </w:tr>
      <w:tr w14:paraId="0485C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9318CB">
            <w:pPr>
              <w:rPr>
                <w:rFonts w:hint="default"/>
                <w:lang w:val="en-US" w:eastAsia="zh-CN"/>
              </w:rPr>
            </w:pPr>
            <w:r>
              <w:rPr>
                <w:rFonts w:hint="default"/>
                <w:lang w:val="en-US" w:eastAsia="zh-CN"/>
              </w:rPr>
              <w:t>技法再现准确性</w:t>
            </w:r>
          </w:p>
        </w:tc>
        <w:tc>
          <w:tcPr>
            <w:tcW w:w="0" w:type="auto"/>
            <w:shd w:val="clear"/>
            <w:tcMar>
              <w:top w:w="150" w:type="dxa"/>
              <w:left w:w="240" w:type="dxa"/>
              <w:bottom w:w="150" w:type="dxa"/>
              <w:right w:w="240" w:type="dxa"/>
            </w:tcMar>
            <w:vAlign w:val="center"/>
          </w:tcPr>
          <w:p w14:paraId="6F8154FE">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04260C4C">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09F43AA8">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75C291E1">
            <w:pPr>
              <w:rPr>
                <w:rFonts w:hint="default"/>
                <w:lang w:val="en-US" w:eastAsia="zh-CN"/>
              </w:rPr>
            </w:pPr>
            <w:r>
              <w:rPr>
                <w:rFonts w:hint="default"/>
                <w:lang w:val="en-US" w:eastAsia="zh-CN"/>
              </w:rPr>
              <w:t>XX ± XX</w:t>
            </w:r>
          </w:p>
        </w:tc>
        <w:tc>
          <w:tcPr>
            <w:tcW w:w="0" w:type="auto"/>
            <w:shd w:val="clear"/>
            <w:tcMar>
              <w:top w:w="150" w:type="dxa"/>
              <w:left w:w="240" w:type="dxa"/>
              <w:bottom w:w="150" w:type="dxa"/>
              <w:right w:w="0" w:type="dxa"/>
            </w:tcMar>
            <w:vAlign w:val="center"/>
          </w:tcPr>
          <w:p w14:paraId="48E67006">
            <w:pPr>
              <w:rPr>
                <w:rFonts w:hint="default"/>
                <w:lang w:val="en-US" w:eastAsia="zh-CN"/>
              </w:rPr>
            </w:pPr>
            <w:r>
              <w:rPr>
                <w:rFonts w:hint="default"/>
                <w:lang w:val="en-US" w:eastAsia="zh-CN"/>
              </w:rPr>
              <w:t>XX ± XX</w:t>
            </w:r>
          </w:p>
        </w:tc>
      </w:tr>
      <w:tr w14:paraId="40B8D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28B071">
            <w:pPr>
              <w:rPr>
                <w:rFonts w:hint="default"/>
                <w:lang w:val="en-US" w:eastAsia="zh-CN"/>
              </w:rPr>
            </w:pPr>
            <w:r>
              <w:rPr>
                <w:rFonts w:hint="default"/>
                <w:lang w:val="en-US" w:eastAsia="zh-CN"/>
              </w:rPr>
              <w:t>艺术表现力</w:t>
            </w:r>
          </w:p>
        </w:tc>
        <w:tc>
          <w:tcPr>
            <w:tcW w:w="0" w:type="auto"/>
            <w:shd w:val="clear"/>
            <w:tcMar>
              <w:top w:w="150" w:type="dxa"/>
              <w:left w:w="240" w:type="dxa"/>
              <w:bottom w:w="150" w:type="dxa"/>
              <w:right w:w="240" w:type="dxa"/>
            </w:tcMar>
            <w:vAlign w:val="center"/>
          </w:tcPr>
          <w:p w14:paraId="4E20FDD8">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2E65B896">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2EF755D5">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22173AE6">
            <w:pPr>
              <w:rPr>
                <w:rFonts w:hint="default"/>
                <w:lang w:val="en-US" w:eastAsia="zh-CN"/>
              </w:rPr>
            </w:pPr>
            <w:r>
              <w:rPr>
                <w:rFonts w:hint="default"/>
                <w:lang w:val="en-US" w:eastAsia="zh-CN"/>
              </w:rPr>
              <w:t>XX ± XX</w:t>
            </w:r>
          </w:p>
        </w:tc>
        <w:tc>
          <w:tcPr>
            <w:tcW w:w="0" w:type="auto"/>
            <w:shd w:val="clear"/>
            <w:tcMar>
              <w:top w:w="150" w:type="dxa"/>
              <w:left w:w="240" w:type="dxa"/>
              <w:bottom w:w="150" w:type="dxa"/>
              <w:right w:w="0" w:type="dxa"/>
            </w:tcMar>
            <w:vAlign w:val="center"/>
          </w:tcPr>
          <w:p w14:paraId="008E29AE">
            <w:pPr>
              <w:rPr>
                <w:rFonts w:hint="default"/>
                <w:lang w:val="en-US" w:eastAsia="zh-CN"/>
              </w:rPr>
            </w:pPr>
            <w:r>
              <w:rPr>
                <w:rFonts w:hint="default"/>
                <w:lang w:val="en-US" w:eastAsia="zh-CN"/>
              </w:rPr>
              <w:t>XX ± XX</w:t>
            </w:r>
          </w:p>
        </w:tc>
      </w:tr>
      <w:tr w14:paraId="5BFFF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F1172A">
            <w:pPr>
              <w:rPr>
                <w:rFonts w:hint="default"/>
                <w:lang w:val="en-US" w:eastAsia="zh-CN"/>
              </w:rPr>
            </w:pPr>
            <w:r>
              <w:rPr>
                <w:rFonts w:hint="default"/>
                <w:lang w:val="en-US" w:eastAsia="zh-CN"/>
              </w:rPr>
              <w:t>空间感知</w:t>
            </w:r>
          </w:p>
        </w:tc>
        <w:tc>
          <w:tcPr>
            <w:tcW w:w="0" w:type="auto"/>
            <w:shd w:val="clear"/>
            <w:tcMar>
              <w:top w:w="150" w:type="dxa"/>
              <w:left w:w="240" w:type="dxa"/>
              <w:bottom w:w="150" w:type="dxa"/>
              <w:right w:w="240" w:type="dxa"/>
            </w:tcMar>
            <w:vAlign w:val="center"/>
          </w:tcPr>
          <w:p w14:paraId="5E4CBBA9">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4A898EA4">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1F1164B9">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1093BCD2">
            <w:pPr>
              <w:rPr>
                <w:rFonts w:hint="default"/>
                <w:lang w:val="en-US" w:eastAsia="zh-CN"/>
              </w:rPr>
            </w:pPr>
            <w:r>
              <w:rPr>
                <w:rFonts w:hint="default"/>
                <w:lang w:val="en-US" w:eastAsia="zh-CN"/>
              </w:rPr>
              <w:t>XX ± XX</w:t>
            </w:r>
          </w:p>
        </w:tc>
        <w:tc>
          <w:tcPr>
            <w:tcW w:w="0" w:type="auto"/>
            <w:shd w:val="clear"/>
            <w:tcMar>
              <w:top w:w="150" w:type="dxa"/>
              <w:left w:w="240" w:type="dxa"/>
              <w:bottom w:w="150" w:type="dxa"/>
              <w:right w:w="0" w:type="dxa"/>
            </w:tcMar>
            <w:vAlign w:val="center"/>
          </w:tcPr>
          <w:p w14:paraId="2983EBB4">
            <w:pPr>
              <w:rPr>
                <w:rFonts w:hint="default"/>
                <w:lang w:val="en-US" w:eastAsia="zh-CN"/>
              </w:rPr>
            </w:pPr>
            <w:r>
              <w:rPr>
                <w:rFonts w:hint="default"/>
                <w:lang w:val="en-US" w:eastAsia="zh-CN"/>
              </w:rPr>
              <w:t>XX ± XX</w:t>
            </w:r>
          </w:p>
        </w:tc>
      </w:tr>
      <w:tr w14:paraId="02595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E77B3F">
            <w:pPr>
              <w:rPr>
                <w:rFonts w:hint="default"/>
                <w:lang w:val="en-US" w:eastAsia="zh-CN"/>
              </w:rPr>
            </w:pPr>
            <w:r>
              <w:rPr>
                <w:rFonts w:hint="default"/>
                <w:lang w:val="en-US" w:eastAsia="zh-CN"/>
              </w:rPr>
              <w:t>整体满意度</w:t>
            </w:r>
          </w:p>
        </w:tc>
        <w:tc>
          <w:tcPr>
            <w:tcW w:w="0" w:type="auto"/>
            <w:shd w:val="clear"/>
            <w:tcMar>
              <w:top w:w="150" w:type="dxa"/>
              <w:left w:w="240" w:type="dxa"/>
              <w:bottom w:w="150" w:type="dxa"/>
              <w:right w:w="240" w:type="dxa"/>
            </w:tcMar>
            <w:vAlign w:val="center"/>
          </w:tcPr>
          <w:p w14:paraId="7A247418">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1EE1F6A9">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6AA20F81">
            <w:pPr>
              <w:rPr>
                <w:rFonts w:hint="default"/>
                <w:lang w:val="en-US" w:eastAsia="zh-CN"/>
              </w:rPr>
            </w:pPr>
            <w:r>
              <w:rPr>
                <w:rFonts w:hint="default"/>
                <w:lang w:val="en-US" w:eastAsia="zh-CN"/>
              </w:rPr>
              <w:t>XX ± XX</w:t>
            </w:r>
          </w:p>
        </w:tc>
        <w:tc>
          <w:tcPr>
            <w:tcW w:w="0" w:type="auto"/>
            <w:shd w:val="clear"/>
            <w:tcMar>
              <w:top w:w="150" w:type="dxa"/>
              <w:left w:w="240" w:type="dxa"/>
              <w:bottom w:w="150" w:type="dxa"/>
              <w:right w:w="240" w:type="dxa"/>
            </w:tcMar>
            <w:vAlign w:val="center"/>
          </w:tcPr>
          <w:p w14:paraId="643EE432">
            <w:pPr>
              <w:rPr>
                <w:rFonts w:hint="default"/>
                <w:lang w:val="en-US" w:eastAsia="zh-CN"/>
              </w:rPr>
            </w:pPr>
            <w:r>
              <w:rPr>
                <w:rFonts w:hint="default"/>
                <w:lang w:val="en-US" w:eastAsia="zh-CN"/>
              </w:rPr>
              <w:t>XX ± XX</w:t>
            </w:r>
          </w:p>
        </w:tc>
        <w:tc>
          <w:tcPr>
            <w:tcW w:w="0" w:type="auto"/>
            <w:shd w:val="clear"/>
            <w:tcMar>
              <w:top w:w="150" w:type="dxa"/>
              <w:left w:w="240" w:type="dxa"/>
              <w:bottom w:w="150" w:type="dxa"/>
              <w:right w:w="0" w:type="dxa"/>
            </w:tcMar>
            <w:vAlign w:val="center"/>
          </w:tcPr>
          <w:p w14:paraId="1C493717">
            <w:pPr>
              <w:rPr>
                <w:rFonts w:hint="default"/>
                <w:lang w:val="en-US" w:eastAsia="zh-CN"/>
              </w:rPr>
            </w:pPr>
            <w:r>
              <w:rPr>
                <w:rFonts w:hint="default"/>
                <w:lang w:val="en-US" w:eastAsia="zh-CN"/>
              </w:rPr>
              <w:t>XX ± XX</w:t>
            </w:r>
          </w:p>
        </w:tc>
      </w:tr>
    </w:tbl>
    <w:p w14:paraId="2435338B">
      <w:pPr>
        <w:rPr>
          <w:rFonts w:hint="eastAsia"/>
          <w:lang w:val="en-US" w:eastAsia="zh-CN"/>
        </w:rPr>
      </w:pPr>
    </w:p>
    <w:p w14:paraId="56FBB71F">
      <w:pPr>
        <w:rPr>
          <w:rFonts w:hint="eastAsia"/>
          <w:lang w:val="en-US" w:eastAsia="zh-CN"/>
        </w:rPr>
      </w:pPr>
    </w:p>
    <w:p w14:paraId="2BE32901">
      <w:pPr>
        <w:rPr>
          <w:rFonts w:hint="eastAsia"/>
          <w:color w:val="0000FF"/>
          <w:lang w:val="en-US" w:eastAsia="zh-CN"/>
        </w:rPr>
      </w:pPr>
      <w:r>
        <w:rPr>
          <w:rFonts w:hint="eastAsia"/>
          <w:color w:val="0000FF"/>
          <w:lang w:val="en-US" w:eastAsia="zh-CN"/>
        </w:rPr>
        <w:t>问题 5：技术实现与艺术术语的矛盾（关于“没骨”法）</w:t>
      </w:r>
    </w:p>
    <w:p w14:paraId="418DFC7C">
      <w:pPr>
        <w:rPr>
          <w:rFonts w:hint="eastAsia"/>
          <w:color w:val="0000FF"/>
          <w:lang w:val="en-US" w:eastAsia="zh-CN"/>
        </w:rPr>
      </w:pPr>
      <w:r>
        <w:rPr>
          <w:rFonts w:hint="eastAsia"/>
          <w:color w:val="0000FF"/>
          <w:lang w:val="en-US" w:eastAsia="zh-CN"/>
        </w:rPr>
        <w:t>（对应审稿人3原话：The paper mentions numerous algorithms, but its discussion of the implementation details of the selected algorithms and the reasons why they can simulate specific artistic effects remains superficial in the case study section. Concerning Issue 1 (Regarding AT_BO_02 Hidden-line Modeling): The paper states that the crabapple flowers and leaves adopted the same shading and contouring algorithms as the branches, specifically emphasizing the use of a "noise-perturbed contour algorithm" for edge rendering. However, the core characteristic of AT_BO_02 (Mogu/boneless technique) is precisely the absence of ink outlines, relying instead on color and washes to define form. Rendering visible contour lines, even with noise perturbation, seems aesthetically contradictory to the original intent of the Mogu technique.</w:t>
      </w:r>
      <w:r>
        <w:rPr>
          <w:rFonts w:hint="default"/>
          <w:color w:val="0000FF"/>
          <w:lang w:val="en-US" w:eastAsia="zh-CN"/>
        </w:rPr>
        <w:br w:type="textWrapping"/>
      </w:r>
      <w:r>
        <w:rPr>
          <w:rFonts w:hint="default"/>
          <w:color w:val="0000FF"/>
          <w:lang w:val="en-US" w:eastAsia="zh-CN"/>
        </w:rPr>
        <w:t>4)The overall writing is somewhat rough and requires further refinement to meet the high-quality academic standards expected.</w:t>
      </w:r>
      <w:r>
        <w:rPr>
          <w:rFonts w:hint="eastAsia"/>
          <w:color w:val="0000FF"/>
          <w:lang w:val="en-US" w:eastAsia="zh-CN"/>
        </w:rPr>
        <w:t>）</w:t>
      </w:r>
    </w:p>
    <w:p w14:paraId="36F84322">
      <w:pPr>
        <w:rPr>
          <w:rFonts w:hint="eastAsia"/>
          <w:color w:val="0000FF"/>
          <w:lang w:val="en-US" w:eastAsia="zh-CN"/>
        </w:rPr>
      </w:pPr>
    </w:p>
    <w:p w14:paraId="7F5EDE54">
      <w:pPr>
        <w:rPr>
          <w:rFonts w:hint="default"/>
          <w:color w:val="auto"/>
          <w:lang w:val="en-US" w:eastAsia="zh-CN"/>
        </w:rPr>
      </w:pPr>
      <w:r>
        <w:rPr>
          <w:rFonts w:hint="eastAsia"/>
          <w:color w:val="auto"/>
          <w:lang w:val="en-US" w:eastAsia="zh-CN"/>
        </w:rPr>
        <w:t>给审稿人的解释：</w:t>
      </w:r>
    </w:p>
    <w:p w14:paraId="55D2E179">
      <w:pPr>
        <w:rPr>
          <w:rFonts w:hint="eastAsia"/>
          <w:color w:val="auto"/>
          <w:lang w:val="en-US" w:eastAsia="zh-CN"/>
        </w:rPr>
      </w:pPr>
      <w:r>
        <w:rPr>
          <w:rFonts w:hint="eastAsia"/>
          <w:color w:val="auto"/>
          <w:lang w:val="en-US" w:eastAsia="zh-CN"/>
        </w:rPr>
        <w:t>博物馆主流介绍中提到《八花图》是“花叶花瓣用细笔勾描后填色，花萼以浓墨点醒”，</w:t>
      </w:r>
    </w:p>
    <w:p w14:paraId="4725BBBE">
      <w:pPr>
        <w:rPr>
          <w:rFonts w:hint="eastAsia"/>
          <w:color w:val="auto"/>
        </w:rPr>
      </w:pPr>
      <w:r>
        <w:rPr>
          <w:rFonts w:hint="eastAsia"/>
          <w:color w:val="auto"/>
        </w:rPr>
        <w:fldChar w:fldCharType="begin"/>
      </w:r>
      <w:r>
        <w:rPr>
          <w:rFonts w:hint="eastAsia"/>
          <w:color w:val="auto"/>
        </w:rPr>
        <w:instrText xml:space="preserve"> HYPERLINK "https://www.shanghaimuseum.net/resource/museum_files/show_files/special/ggz/zlgs.htm" </w:instrText>
      </w:r>
      <w:r>
        <w:rPr>
          <w:rFonts w:hint="eastAsia"/>
          <w:color w:val="auto"/>
        </w:rPr>
        <w:fldChar w:fldCharType="separate"/>
      </w:r>
      <w:r>
        <w:rPr>
          <w:rStyle w:val="8"/>
          <w:rFonts w:hint="eastAsia"/>
        </w:rPr>
        <w:t>https://www.shanghaimuseum.net/resource/museum_files/show_files/special/ggz/zlgs.htm</w:t>
      </w:r>
      <w:r>
        <w:rPr>
          <w:rFonts w:hint="eastAsia"/>
          <w:color w:val="auto"/>
        </w:rPr>
        <w:fldChar w:fldCharType="end"/>
      </w:r>
    </w:p>
    <w:p w14:paraId="7F50554C">
      <w:pPr>
        <w:rPr>
          <w:rFonts w:hint="default"/>
          <w:color w:val="auto"/>
          <w:lang w:val="en-US" w:eastAsia="zh-CN"/>
        </w:rPr>
      </w:pPr>
      <w:r>
        <w:rPr>
          <w:rFonts w:hint="eastAsia"/>
          <w:color w:val="auto"/>
          <w:lang w:val="en-US" w:eastAsia="zh-CN"/>
        </w:rPr>
        <w:t>主流的研究认为宋末元初,是写实工笔转向水墨写意的关键期，钱选作为元代画家，《八花图》是他风格转变的重要之作，同时也是没骨与工笔结合的代表之作。画作通过一染而就的上色和勾线方法达到“线墨相融”的效果，因此我选择渲染轮廓线的算法，并将颜色和透明度调整到极不明显的数值，达到“线墨相融”的效果，这种画法随遵循工笔画法，但看上去却是没骨画的效果。</w:t>
      </w:r>
    </w:p>
    <w:p w14:paraId="50A3F4E1">
      <w:pPr>
        <w:numPr>
          <w:ilvl w:val="0"/>
          <w:numId w:val="1"/>
        </w:numPr>
        <w:rPr>
          <w:rFonts w:hint="default"/>
          <w:color w:val="auto"/>
          <w:lang w:val="en-US" w:eastAsia="zh-CN"/>
        </w:rPr>
      </w:pPr>
      <w:r>
        <w:rPr>
          <w:rFonts w:hint="default"/>
          <w:color w:val="auto"/>
          <w:lang w:val="en-US" w:eastAsia="zh-CN"/>
        </w:rPr>
        <w:t>吴晓.钱选花鸟画特征研究[D].中国艺术研究院,2018.</w:t>
      </w:r>
    </w:p>
    <w:p w14:paraId="5797FA82">
      <w:pPr>
        <w:numPr>
          <w:ilvl w:val="0"/>
          <w:numId w:val="1"/>
        </w:numPr>
        <w:rPr>
          <w:rFonts w:hint="default"/>
          <w:color w:val="auto"/>
          <w:lang w:val="en-US" w:eastAsia="zh-CN"/>
        </w:rPr>
      </w:pPr>
      <w:r>
        <w:rPr>
          <w:rFonts w:hint="default"/>
          <w:color w:val="auto"/>
          <w:lang w:val="en-US" w:eastAsia="zh-CN"/>
        </w:rPr>
        <w:t>王朵.钱选花鸟画的风格研究[D].西安美术学院,2013.</w:t>
      </w:r>
    </w:p>
    <w:p w14:paraId="0497D686">
      <w:pPr>
        <w:numPr>
          <w:ilvl w:val="0"/>
          <w:numId w:val="0"/>
        </w:numPr>
        <w:rPr>
          <w:rFonts w:hint="default"/>
          <w:color w:val="auto"/>
          <w:lang w:val="en-US" w:eastAsia="zh-CN"/>
        </w:rPr>
      </w:pPr>
    </w:p>
    <w:p w14:paraId="77F3F2D2">
      <w:pPr>
        <w:widowControl w:val="0"/>
        <w:numPr>
          <w:ilvl w:val="0"/>
          <w:numId w:val="0"/>
        </w:numPr>
        <w:jc w:val="both"/>
        <w:rPr>
          <w:rFonts w:hint="default"/>
          <w:color w:val="auto"/>
          <w:lang w:val="en-US" w:eastAsia="zh-CN"/>
        </w:rPr>
      </w:pPr>
    </w:p>
    <w:p w14:paraId="23459FFB">
      <w:pPr>
        <w:widowControl w:val="0"/>
        <w:numPr>
          <w:ilvl w:val="0"/>
          <w:numId w:val="0"/>
        </w:numPr>
        <w:jc w:val="both"/>
        <w:rPr>
          <w:rFonts w:hint="default"/>
          <w:color w:val="auto"/>
          <w:lang w:val="en-US" w:eastAsia="zh-CN"/>
        </w:rPr>
      </w:pPr>
      <w:r>
        <w:rPr>
          <w:rFonts w:hint="eastAsia"/>
          <w:color w:val="auto"/>
          <w:lang w:val="en-US" w:eastAsia="zh-CN"/>
        </w:rPr>
        <w:t>放在正文中的文本：</w:t>
      </w:r>
    </w:p>
    <w:p w14:paraId="2B9934F6">
      <w:pPr>
        <w:rPr>
          <w:rFonts w:hint="default"/>
          <w:color w:val="auto"/>
          <w:lang w:val="en-US" w:eastAsia="zh-CN"/>
        </w:rPr>
      </w:pPr>
      <w:r>
        <w:rPr>
          <w:rFonts w:hint="default"/>
          <w:color w:val="auto"/>
          <w:lang w:val="en-US" w:eastAsia="zh-CN"/>
        </w:rPr>
        <w:t>需要进一步指出的是，《八花图》在绘画史上通常被视为宋末元初花鸟画风格转型的重要案例。这一时期正处于由写实工笔向水墨写意转变的关键阶段，钱选的创作正体现了这种过渡状态。相关研究普遍认为，该作品在技法上融合了工笔与没骨两种路径：一方面保留了细笔勾描的结构基础，另一方面通过“一染而就”的设色方式弱化线条的视觉存在，使画面呈现出“线墨相融”的整体效果。因此，《八花图》不仅是没骨技法发展的重要参照，同时也体现了工笔传统在过渡阶段的延续与变形。</w:t>
      </w:r>
    </w:p>
    <w:p w14:paraId="55302758">
      <w:pPr>
        <w:rPr>
          <w:rFonts w:hint="default"/>
          <w:color w:val="auto"/>
          <w:lang w:val="en-US" w:eastAsia="zh-CN"/>
        </w:rPr>
      </w:pPr>
    </w:p>
    <w:p w14:paraId="0F2A3A79">
      <w:pPr>
        <w:rPr>
          <w:rFonts w:hint="default"/>
          <w:color w:val="auto"/>
          <w:lang w:val="en-US" w:eastAsia="zh-CN"/>
        </w:rPr>
      </w:pPr>
      <w:r>
        <w:rPr>
          <w:rFonts w:hint="default"/>
          <w:color w:val="auto"/>
          <w:lang w:val="en-US" w:eastAsia="zh-CN"/>
        </w:rPr>
        <w:t>基于这一技法特征，本研究在花瓣与叶片的处理上并未强化轮廓线的独立存在，而是通过轮廓检测与参数调控，使边缘转化为低对比度、低不透明度的过渡区域，使其</w:t>
      </w:r>
      <w:r>
        <w:rPr>
          <w:rFonts w:hint="eastAsia"/>
          <w:color w:val="auto"/>
          <w:lang w:val="en-US" w:eastAsia="zh-CN"/>
        </w:rPr>
        <w:t>成为</w:t>
      </w:r>
      <w:r>
        <w:rPr>
          <w:rFonts w:hint="default"/>
          <w:color w:val="auto"/>
          <w:lang w:val="en-US" w:eastAsia="zh-CN"/>
        </w:rPr>
        <w:t>色彩组织</w:t>
      </w:r>
      <w:r>
        <w:rPr>
          <w:rFonts w:hint="eastAsia"/>
          <w:color w:val="auto"/>
          <w:lang w:val="en-US" w:eastAsia="zh-CN"/>
        </w:rPr>
        <w:t>的一部分</w:t>
      </w:r>
      <w:r>
        <w:rPr>
          <w:rFonts w:hint="default"/>
          <w:color w:val="auto"/>
          <w:lang w:val="en-US" w:eastAsia="zh-CN"/>
        </w:rPr>
        <w:t>。该方法既保留了画面必要的形体支撑，又在视觉上接近没骨画法依赖色彩晕染塑形的表现逻辑，从而更贴近原作中“线墨相融”的整体效果。</w:t>
      </w:r>
    </w:p>
    <w:p w14:paraId="66ACA102">
      <w:pPr>
        <w:rPr>
          <w:rFonts w:hint="default"/>
          <w:color w:val="auto"/>
          <w:lang w:val="en-US" w:eastAsia="zh-CN"/>
        </w:rPr>
      </w:pPr>
    </w:p>
    <w:p w14:paraId="67F7C327">
      <w:pPr>
        <w:rPr>
          <w:rFonts w:hint="default"/>
          <w:color w:val="auto"/>
          <w:lang w:val="en-US" w:eastAsia="zh-CN"/>
        </w:rPr>
      </w:pPr>
    </w:p>
    <w:p w14:paraId="37783CC1">
      <w:pPr>
        <w:rPr>
          <w:rFonts w:hint="eastAsia"/>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ans-serif">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42661"/>
    <w:multiLevelType w:val="singleLevel"/>
    <w:tmpl w:val="A2B4266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164811"/>
    <w:rsid w:val="3A2B55BA"/>
    <w:rsid w:val="4B2B4210"/>
    <w:rsid w:val="58496AE7"/>
    <w:rsid w:val="6B065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3023</Words>
  <Characters>6706</Characters>
  <Lines>0</Lines>
  <Paragraphs>0</Paragraphs>
  <TotalTime>130</TotalTime>
  <ScaleCrop>false</ScaleCrop>
  <LinksUpToDate>false</LinksUpToDate>
  <CharactersWithSpaces>7336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2026-04-09T17:31:00Z</dcterms:created>
  <dc:creator>HP</dc:creator>
  <cp:lastModifiedBy>一只兔狗</cp:lastModifiedBy>
  <dcterms:modified xsi:type="dcterms:W3CDTF">2026-04-11T20:37:26Z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eyJoZGlkIjoiYTI3NDgxNWU3ZWUzODU4ZTFiMWNmYTYyZmI3Y2JiZTQiLCJ1c2VySWQiOiI1Nzg4NDI1MDAifQ==</vt:lpwstr>
  </property>
  <property fmtid="{D5CDD505-2E9C-101B-9397-08002B2CF9AE}" pid="4" name="ICV">
    <vt:lpwstr>A10C66B567C84D54986ADEDD46934A4E_12</vt:lpwstr>
  </property>
</Properties>
</file>