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491008"/>
        <w:docPartObj>
          <w:docPartGallery w:val="Cover Pages"/>
          <w:docPartUnique/>
        </w:docPartObj>
      </w:sdtPr>
      <w:sdtEndPr>
        <w:rPr>
          <w:rFonts w:ascii="Helvetica" w:eastAsia="Times New Roman" w:hAnsi="Helvetica" w:cs="Times New Roman"/>
          <w:b/>
          <w:bCs/>
          <w:kern w:val="36"/>
          <w:sz w:val="22"/>
          <w:szCs w:val="22"/>
          <w:lang w:val="en-US"/>
          <w14:ligatures w14:val="none"/>
        </w:rPr>
      </w:sdtEndPr>
      <w:sdtContent>
        <w:p w14:paraId="2DA2647B" w14:textId="0B0162AB" w:rsidR="00C044C9" w:rsidRDefault="00C044C9">
          <w:r>
            <w:rPr>
              <w:noProof/>
            </w:rPr>
            <w:drawing>
              <wp:anchor distT="0" distB="0" distL="114300" distR="114300" simplePos="0" relativeHeight="251658241" behindDoc="0" locked="0" layoutInCell="1" allowOverlap="1" wp14:anchorId="029F71A4" wp14:editId="379281F1">
                <wp:simplePos x="0" y="0"/>
                <wp:positionH relativeFrom="column">
                  <wp:posOffset>-58420</wp:posOffset>
                </wp:positionH>
                <wp:positionV relativeFrom="paragraph">
                  <wp:posOffset>208345</wp:posOffset>
                </wp:positionV>
                <wp:extent cx="4401820" cy="902335"/>
                <wp:effectExtent l="0" t="0" r="0" b="0"/>
                <wp:wrapTopAndBottom/>
                <wp:docPr id="617435907" name="Picture 1" descr="Ingeniería – Universidad Au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geniería – Universidad Austr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1820" cy="902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FB639" w14:textId="448E1DAA" w:rsidR="00C044C9" w:rsidRDefault="00C044C9">
          <w:pPr>
            <w:rPr>
              <w:rFonts w:ascii="Helvetica" w:eastAsia="Times New Roman" w:hAnsi="Helvetica" w:cs="Times New Roman"/>
              <w:b/>
              <w:bCs/>
              <w:kern w:val="36"/>
              <w:sz w:val="22"/>
              <w:szCs w:val="22"/>
              <w:lang w:val="en-US"/>
              <w14:ligatures w14:val="none"/>
            </w:rPr>
          </w:pPr>
          <w:r>
            <w:rPr>
              <w:noProof/>
              <w:lang w:eastAsia="zh-CN"/>
            </w:rPr>
            <mc:AlternateContent>
              <mc:Choice Requires="wps">
                <w:drawing>
                  <wp:anchor distT="0" distB="0" distL="114300" distR="114300" simplePos="0" relativeHeight="251658242" behindDoc="0" locked="0" layoutInCell="1" allowOverlap="1" wp14:anchorId="590CC1F7" wp14:editId="6D6FABBA">
                    <wp:simplePos x="0" y="0"/>
                    <wp:positionH relativeFrom="column">
                      <wp:posOffset>-119743</wp:posOffset>
                    </wp:positionH>
                    <wp:positionV relativeFrom="paragraph">
                      <wp:posOffset>4766764</wp:posOffset>
                    </wp:positionV>
                    <wp:extent cx="5638800" cy="435428"/>
                    <wp:effectExtent l="0" t="0" r="0" b="0"/>
                    <wp:wrapNone/>
                    <wp:docPr id="1479478838" name="Text Box 3"/>
                    <wp:cNvGraphicFramePr/>
                    <a:graphic xmlns:a="http://schemas.openxmlformats.org/drawingml/2006/main">
                      <a:graphicData uri="http://schemas.microsoft.com/office/word/2010/wordprocessingShape">
                        <wps:wsp>
                          <wps:cNvSpPr txBox="1"/>
                          <wps:spPr>
                            <a:xfrm>
                              <a:off x="0" y="0"/>
                              <a:ext cx="5638800" cy="435428"/>
                            </a:xfrm>
                            <a:prstGeom prst="rect">
                              <a:avLst/>
                            </a:prstGeom>
                            <a:noFill/>
                            <a:ln w="6350">
                              <a:noFill/>
                            </a:ln>
                          </wps:spPr>
                          <wps:txbx>
                            <w:txbxContent>
                              <w:p w14:paraId="36C26DE5" w14:textId="76136D30" w:rsidR="00C044C9" w:rsidRPr="00C044C9" w:rsidRDefault="00C044C9">
                                <w:pPr>
                                  <w:rPr>
                                    <w:i/>
                                    <w:iCs/>
                                    <w:color w:val="3A3A3A" w:themeColor="background2" w:themeShade="40"/>
                                    <w:sz w:val="36"/>
                                    <w:szCs w:val="36"/>
                                    <w:lang w:val="en-US"/>
                                  </w:rPr>
                                </w:pPr>
                                <w:proofErr w:type="spellStart"/>
                                <w:r w:rsidRPr="00C044C9">
                                  <w:rPr>
                                    <w:i/>
                                    <w:iCs/>
                                    <w:color w:val="3A3A3A" w:themeColor="background2" w:themeShade="40"/>
                                    <w:sz w:val="36"/>
                                    <w:szCs w:val="36"/>
                                    <w:lang w:val="en-US"/>
                                  </w:rPr>
                                  <w:t>Título</w:t>
                                </w:r>
                                <w:proofErr w:type="spellEnd"/>
                                <w:r w:rsidRPr="00C044C9">
                                  <w:rPr>
                                    <w:i/>
                                    <w:iCs/>
                                    <w:color w:val="3A3A3A" w:themeColor="background2" w:themeShade="40"/>
                                    <w:sz w:val="36"/>
                                    <w:szCs w:val="36"/>
                                    <w:lang w:val="en-US"/>
                                  </w:rPr>
                                  <w:t xml:space="preserve"> del doc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CC1F7" id="_x0000_t202" coordsize="21600,21600" o:spt="202" path="m,l,21600r21600,l21600,xe">
                    <v:stroke joinstyle="miter"/>
                    <v:path gradientshapeok="t" o:connecttype="rect"/>
                  </v:shapetype>
                  <v:shape id="Text Box 3" o:spid="_x0000_s1026" type="#_x0000_t202" style="position:absolute;margin-left:-9.45pt;margin-top:375.35pt;width:444pt;height:34.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" filled="f" stroked="f" strokeweight=".5pt">
                    <v:textbox>
                      <w:txbxContent>
                        <w:p w14:paraId="36C26DE5" w14:textId="76136D30" w:rsidR="00C044C9" w:rsidRPr="00C044C9" w:rsidRDefault="00C044C9">
                          <w:pPr>
                            <w:rPr>
                              <w:i/>
                              <w:iCs/>
                              <w:color w:val="3A3A3A" w:themeColor="background2" w:themeShade="40"/>
                              <w:sz w:val="36"/>
                              <w:szCs w:val="36"/>
                              <w:lang w:val="en-US"/>
                            </w:rPr>
                          </w:pPr>
                          <w:proofErr w:type="spellStart"/>
                          <w:r w:rsidRPr="00C044C9">
                            <w:rPr>
                              <w:i/>
                              <w:iCs/>
                              <w:color w:val="3A3A3A" w:themeColor="background2" w:themeShade="40"/>
                              <w:sz w:val="36"/>
                              <w:szCs w:val="36"/>
                              <w:lang w:val="en-US"/>
                            </w:rPr>
                            <w:t>Título</w:t>
                          </w:r>
                          <w:proofErr w:type="spellEnd"/>
                          <w:r w:rsidRPr="00C044C9">
                            <w:rPr>
                              <w:i/>
                              <w:iCs/>
                              <w:color w:val="3A3A3A" w:themeColor="background2" w:themeShade="40"/>
                              <w:sz w:val="36"/>
                              <w:szCs w:val="36"/>
                              <w:lang w:val="en-US"/>
                            </w:rPr>
                            <w:t xml:space="preserve"> del doc</w:t>
                          </w:r>
                        </w:p>
                      </w:txbxContent>
                    </v:textbox>
                  </v:shape>
                </w:pict>
              </mc:Fallback>
            </mc:AlternateContent>
          </w:r>
          <w:r>
            <w:rPr>
              <w:noProof/>
              <w:lang w:eastAsia="zh-CN"/>
            </w:rPr>
            <mc:AlternateContent>
              <mc:Choice Requires="wps">
                <w:drawing>
                  <wp:anchor distT="0" distB="0" distL="114300" distR="114300" simplePos="0" relativeHeight="251658243" behindDoc="0" locked="0" layoutInCell="1" allowOverlap="1" wp14:anchorId="13B4A4AB" wp14:editId="564981CA">
                    <wp:simplePos x="0" y="0"/>
                    <wp:positionH relativeFrom="column">
                      <wp:posOffset>-119380</wp:posOffset>
                    </wp:positionH>
                    <wp:positionV relativeFrom="paragraph">
                      <wp:posOffset>5517788</wp:posOffset>
                    </wp:positionV>
                    <wp:extent cx="5638800" cy="1121228"/>
                    <wp:effectExtent l="0" t="0" r="0" b="0"/>
                    <wp:wrapNone/>
                    <wp:docPr id="780959634" name="Text Box 3"/>
                    <wp:cNvGraphicFramePr/>
                    <a:graphic xmlns:a="http://schemas.openxmlformats.org/drawingml/2006/main">
                      <a:graphicData uri="http://schemas.microsoft.com/office/word/2010/wordprocessingShape">
                        <wps:wsp>
                          <wps:cNvSpPr txBox="1"/>
                          <wps:spPr>
                            <a:xfrm>
                              <a:off x="0" y="0"/>
                              <a:ext cx="5638800" cy="1121228"/>
                            </a:xfrm>
                            <a:prstGeom prst="rect">
                              <a:avLst/>
                            </a:prstGeom>
                            <a:noFill/>
                            <a:ln w="6350">
                              <a:noFill/>
                            </a:ln>
                          </wps:spPr>
                          <wps:txbx>
                            <w:txbxContent>
                              <w:p w14:paraId="4E2607D2" w14:textId="47C3F41F"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Alvaro, Giuliana</w:t>
                                </w:r>
                              </w:p>
                              <w:p w14:paraId="1ACE3C67" w14:textId="0BB7803A"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Chalup, Sarah</w:t>
                                </w:r>
                              </w:p>
                              <w:p w14:paraId="4DF06266" w14:textId="79100901"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Fontán, Mariana</w:t>
                                </w:r>
                              </w:p>
                              <w:p w14:paraId="7A205594" w14:textId="11505337" w:rsidR="00C044C9" w:rsidRPr="00C044C9" w:rsidRDefault="00C044C9" w:rsidP="00C044C9">
                                <w:pPr>
                                  <w:spacing w:after="0"/>
                                  <w:rPr>
                                    <w:i/>
                                    <w:iCs/>
                                    <w:color w:val="747474" w:themeColor="background2" w:themeShade="80"/>
                                    <w:sz w:val="28"/>
                                    <w:szCs w:val="28"/>
                                    <w:lang w:val="en-US"/>
                                  </w:rPr>
                                </w:pPr>
                                <w:r w:rsidRPr="00C044C9">
                                  <w:rPr>
                                    <w:i/>
                                    <w:iCs/>
                                    <w:color w:val="747474" w:themeColor="background2" w:themeShade="80"/>
                                    <w:sz w:val="28"/>
                                    <w:szCs w:val="28"/>
                                    <w:lang w:val="en-US"/>
                                  </w:rPr>
                                  <w:t>Franco, Agustina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4A4AB" id="_x0000_s1027" type="#_x0000_t202" style="position:absolute;margin-left:-9.4pt;margin-top:434.45pt;width:444pt;height:8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" filled="f" stroked="f" strokeweight=".5pt">
                    <v:textbox>
                      <w:txbxContent>
                        <w:p w14:paraId="4E2607D2" w14:textId="47C3F41F"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Alvaro, Giuliana</w:t>
                          </w:r>
                        </w:p>
                        <w:p w14:paraId="1ACE3C67" w14:textId="0BB7803A"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Chalup, Sarah</w:t>
                          </w:r>
                        </w:p>
                        <w:p w14:paraId="4DF06266" w14:textId="79100901"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Fontán, Mariana</w:t>
                          </w:r>
                        </w:p>
                        <w:p w14:paraId="7A205594" w14:textId="11505337" w:rsidR="00C044C9" w:rsidRPr="00C044C9" w:rsidRDefault="00C044C9" w:rsidP="00C044C9">
                          <w:pPr>
                            <w:spacing w:after="0"/>
                            <w:rPr>
                              <w:i/>
                              <w:iCs/>
                              <w:color w:val="747474" w:themeColor="background2" w:themeShade="80"/>
                              <w:sz w:val="28"/>
                              <w:szCs w:val="28"/>
                              <w:lang w:val="en-US"/>
                            </w:rPr>
                          </w:pPr>
                          <w:r w:rsidRPr="00C044C9">
                            <w:rPr>
                              <w:i/>
                              <w:iCs/>
                              <w:color w:val="747474" w:themeColor="background2" w:themeShade="80"/>
                              <w:sz w:val="28"/>
                              <w:szCs w:val="28"/>
                              <w:lang w:val="en-US"/>
                            </w:rPr>
                            <w:t>Franco, Agustina</w:t>
                          </w:r>
                        </w:p>
                      </w:txbxContent>
                    </v:textbox>
                  </v:shape>
                </w:pict>
              </mc:Fallback>
            </mc:AlternateContent>
          </w:r>
          <w:r>
            <w:rPr>
              <w:noProof/>
              <w:lang w:eastAsia="zh-CN"/>
            </w:rPr>
            <mc:AlternateContent>
              <mc:Choice Requires="wps">
                <w:drawing>
                  <wp:anchor distT="0" distB="0" distL="182880" distR="182880" simplePos="0" relativeHeight="251658240" behindDoc="0" locked="0" layoutInCell="1" allowOverlap="1" wp14:anchorId="6F09AC45" wp14:editId="350BF107">
                    <wp:simplePos x="0" y="0"/>
                    <wp:positionH relativeFrom="margin">
                      <wp:posOffset>-58420</wp:posOffset>
                    </wp:positionH>
                    <wp:positionV relativeFrom="page">
                      <wp:posOffset>5416550</wp:posOffset>
                    </wp:positionV>
                    <wp:extent cx="6053455" cy="798195"/>
                    <wp:effectExtent l="0" t="0" r="4445" b="1905"/>
                    <wp:wrapSquare wrapText="bothSides"/>
                    <wp:docPr id="131" name="Text Box 75"/>
                    <wp:cNvGraphicFramePr/>
                    <a:graphic xmlns:a="http://schemas.openxmlformats.org/drawingml/2006/main">
                      <a:graphicData uri="http://schemas.microsoft.com/office/word/2010/wordprocessingShape">
                        <wps:wsp>
                          <wps:cNvSpPr txBox="1"/>
                          <wps:spPr>
                            <a:xfrm>
                              <a:off x="0" y="0"/>
                              <a:ext cx="6053455" cy="798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A4A107" w14:textId="1025965D" w:rsidR="00C044C9" w:rsidRPr="00C044C9" w:rsidRDefault="00000000">
                                <w:pPr>
                                  <w:pStyle w:val="NoSpacing"/>
                                  <w:spacing w:before="40" w:after="560" w:line="216" w:lineRule="auto"/>
                                  <w:rPr>
                                    <w:rFonts w:ascii="Century Gothic" w:hAnsi="Century Gothic"/>
                                    <w:color w:val="152186"/>
                                    <w:sz w:val="72"/>
                                    <w:szCs w:val="72"/>
                                    <w:lang w:val="es-AR"/>
                                  </w:rPr>
                                </w:pPr>
                                <w:sdt>
                                  <w:sdtPr>
                                    <w:rPr>
                                      <w:rFonts w:ascii="Century Gothic" w:hAnsi="Century Gothic"/>
                                      <w:b/>
                                      <w:bCs/>
                                      <w:color w:val="152186"/>
                                      <w:sz w:val="60"/>
                                      <w:szCs w:val="60"/>
                                      <w:lang w:val="es-A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044C9" w:rsidRPr="00C044C9">
                                      <w:rPr>
                                        <w:rFonts w:ascii="Century Gothic" w:hAnsi="Century Gothic"/>
                                        <w:b/>
                                        <w:bCs/>
                                        <w:color w:val="152186"/>
                                        <w:sz w:val="60"/>
                                        <w:szCs w:val="60"/>
                                        <w:lang w:val="es-AR"/>
                                      </w:rPr>
                                      <w:t>Análisis de Series Temporales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F09AC45" id="Text Box 75" o:spid="_x0000_s1028" type="#_x0000_t202" style="position:absolute;margin-left:-4.6pt;margin-top:426.5pt;width:476.65pt;height:62.85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" filled="f" stroked="f" strokeweight=".5pt">
                    <v:textbox inset="0,0,0,0">
                      <w:txbxContent>
                        <w:p w14:paraId="42A4A107" w14:textId="1025965D" w:rsidR="00C044C9" w:rsidRPr="00C044C9" w:rsidRDefault="00000000">
                          <w:pPr>
                            <w:pStyle w:val="NoSpacing"/>
                            <w:spacing w:before="40" w:after="560" w:line="216" w:lineRule="auto"/>
                            <w:rPr>
                              <w:rFonts w:ascii="Century Gothic" w:hAnsi="Century Gothic"/>
                              <w:color w:val="152186"/>
                              <w:sz w:val="72"/>
                              <w:szCs w:val="72"/>
                              <w:lang w:val="es-AR"/>
                            </w:rPr>
                          </w:pPr>
                          <w:sdt>
                            <w:sdtPr>
                              <w:rPr>
                                <w:rFonts w:ascii="Century Gothic" w:hAnsi="Century Gothic"/>
                                <w:b/>
                                <w:bCs/>
                                <w:color w:val="152186"/>
                                <w:sz w:val="60"/>
                                <w:szCs w:val="60"/>
                                <w:lang w:val="es-A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044C9" w:rsidRPr="00C044C9">
                                <w:rPr>
                                  <w:rFonts w:ascii="Century Gothic" w:hAnsi="Century Gothic"/>
                                  <w:b/>
                                  <w:bCs/>
                                  <w:color w:val="152186"/>
                                  <w:sz w:val="60"/>
                                  <w:szCs w:val="60"/>
                                  <w:lang w:val="es-AR"/>
                                </w:rPr>
                                <w:t>Análisis de Series Temporales</w:t>
                              </w:r>
                            </w:sdtContent>
                          </w:sdt>
                        </w:p>
                      </w:txbxContent>
                    </v:textbox>
                    <w10:wrap type="square" anchorx="margin" anchory="page"/>
                  </v:shape>
                </w:pict>
              </mc:Fallback>
            </mc:AlternateContent>
          </w:r>
          <w:r>
            <w:rPr>
              <w:rFonts w:ascii="Helvetica" w:eastAsia="Times New Roman" w:hAnsi="Helvetica" w:cs="Times New Roman"/>
              <w:b/>
              <w:bCs/>
              <w:kern w:val="36"/>
              <w:sz w:val="22"/>
              <w:szCs w:val="22"/>
              <w:lang w:val="en-US"/>
              <w14:ligatures w14:val="none"/>
            </w:rPr>
            <w:br w:type="page"/>
          </w:r>
        </w:p>
      </w:sdtContent>
    </w:sdt>
    <w:p w14:paraId="4BBF9137" w14:textId="77777777"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lastRenderedPageBreak/>
        <w:t>Resumen Ejecutivo</w:t>
      </w:r>
    </w:p>
    <w:p w14:paraId="4397192E" w14:textId="252687C6" w:rsidR="00C044C9" w:rsidRPr="00C044C9" w:rsidRDefault="00C044C9" w:rsidP="00C044C9">
      <w:pPr>
        <w:spacing w:line="276" w:lineRule="auto"/>
        <w:jc w:val="both"/>
        <w:rPr>
          <w:sz w:val="22"/>
          <w:szCs w:val="22"/>
        </w:rPr>
      </w:pPr>
      <w:r w:rsidRPr="00C044C9">
        <w:rPr>
          <w:sz w:val="22"/>
          <w:szCs w:val="22"/>
        </w:rPr>
        <w:t>AAAA</w:t>
      </w:r>
    </w:p>
    <w:p w14:paraId="26FE09DC" w14:textId="5CB901F5"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t>Tabla de contenido</w:t>
      </w:r>
    </w:p>
    <w:p w14:paraId="5C73178F" w14:textId="3B9A9C7E" w:rsidR="00C044C9" w:rsidRPr="00C044C9" w:rsidRDefault="00C044C9" w:rsidP="00C044C9">
      <w:r>
        <w:t>AAA</w:t>
      </w:r>
    </w:p>
    <w:p w14:paraId="2B899ACF" w14:textId="4DC81852"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t>Introducción</w:t>
      </w:r>
    </w:p>
    <w:p w14:paraId="2E1C1B09" w14:textId="6E61A18D" w:rsidR="00191C7C" w:rsidRDefault="00C044C9" w:rsidP="00C044C9">
      <w:pPr>
        <w:spacing w:line="276" w:lineRule="auto"/>
        <w:jc w:val="both"/>
        <w:rPr>
          <w:sz w:val="22"/>
          <w:szCs w:val="22"/>
        </w:rPr>
      </w:pPr>
      <w:r w:rsidRPr="00C044C9">
        <w:rPr>
          <w:sz w:val="22"/>
          <w:szCs w:val="22"/>
        </w:rPr>
        <w:t>AAA</w:t>
      </w:r>
    </w:p>
    <w:p w14:paraId="0373002E" w14:textId="77777777" w:rsidR="008E1C91" w:rsidRDefault="008E1C91">
      <w:pPr>
        <w:rPr>
          <w:rFonts w:ascii="Century Gothic" w:eastAsiaTheme="majorEastAsia" w:hAnsi="Century Gothic" w:cstheme="majorBidi"/>
          <w:b/>
          <w:bCs/>
          <w:color w:val="152186"/>
          <w:sz w:val="28"/>
          <w:szCs w:val="28"/>
        </w:rPr>
      </w:pPr>
      <w:r>
        <w:rPr>
          <w:rFonts w:ascii="Century Gothic" w:hAnsi="Century Gothic"/>
          <w:b/>
          <w:bCs/>
          <w:color w:val="152186"/>
          <w:sz w:val="28"/>
          <w:szCs w:val="28"/>
        </w:rPr>
        <w:br w:type="page"/>
      </w:r>
    </w:p>
    <w:p w14:paraId="1F3132DF" w14:textId="3FF70B22" w:rsidR="00191C7C" w:rsidRPr="00463589" w:rsidRDefault="00191C7C" w:rsidP="0046358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lastRenderedPageBreak/>
        <w:t xml:space="preserve">Funciones de </w:t>
      </w:r>
      <w:r w:rsidR="00463589" w:rsidRPr="00463589">
        <w:rPr>
          <w:rFonts w:ascii="Century Gothic" w:hAnsi="Century Gothic"/>
          <w:b/>
          <w:bCs/>
          <w:color w:val="152186"/>
          <w:sz w:val="28"/>
          <w:szCs w:val="28"/>
        </w:rPr>
        <w:t>A</w:t>
      </w:r>
      <w:r w:rsidRPr="00463589">
        <w:rPr>
          <w:rFonts w:ascii="Century Gothic" w:hAnsi="Century Gothic"/>
          <w:b/>
          <w:bCs/>
          <w:color w:val="152186"/>
          <w:sz w:val="28"/>
          <w:szCs w:val="28"/>
        </w:rPr>
        <w:t xml:space="preserve">utocorrelación </w:t>
      </w:r>
      <w:r w:rsidR="00463589" w:rsidRPr="00463589">
        <w:rPr>
          <w:rFonts w:ascii="Century Gothic" w:hAnsi="Century Gothic"/>
          <w:b/>
          <w:bCs/>
          <w:color w:val="152186"/>
          <w:sz w:val="28"/>
          <w:szCs w:val="28"/>
        </w:rPr>
        <w:t>y Autocorrelación Parcial</w:t>
      </w:r>
    </w:p>
    <w:p w14:paraId="4C106502" w14:textId="7BCFB7DA" w:rsidR="009E5D3B" w:rsidRPr="009E5D3B" w:rsidRDefault="009E5D3B" w:rsidP="009E5D3B">
      <w:pPr>
        <w:spacing w:line="276" w:lineRule="auto"/>
        <w:jc w:val="both"/>
        <w:rPr>
          <w:i/>
          <w:iCs/>
          <w:color w:val="747474" w:themeColor="background2" w:themeShade="80"/>
          <w:sz w:val="22"/>
          <w:szCs w:val="22"/>
        </w:rPr>
      </w:pPr>
      <w:r w:rsidRPr="009E5D3B">
        <w:rPr>
          <w:i/>
          <w:iCs/>
          <w:color w:val="747474" w:themeColor="background2" w:themeShade="80"/>
          <w:sz w:val="22"/>
          <w:szCs w:val="22"/>
        </w:rPr>
        <w:t>Graficar la FAS, FAC y FACP de las mismas en un solo gráfico y analizarlas. ¿Qué puede inferir de los gráficos? Justificar con teoría</w:t>
      </w:r>
      <w:r>
        <w:rPr>
          <w:i/>
          <w:iCs/>
          <w:color w:val="747474" w:themeColor="background2" w:themeShade="80"/>
          <w:sz w:val="22"/>
          <w:szCs w:val="22"/>
        </w:rPr>
        <w:t xml:space="preserve">. </w:t>
      </w:r>
    </w:p>
    <w:p w14:paraId="4E68081B" w14:textId="6A34380C" w:rsidR="009E5D3B" w:rsidRPr="002D4FDD" w:rsidRDefault="002D4FDD" w:rsidP="002D4FDD">
      <w:pPr>
        <w:pStyle w:val="Heading2"/>
        <w:rPr>
          <w:rFonts w:ascii="Century Gothic" w:hAnsi="Century Gothic"/>
          <w:b/>
          <w:bCs/>
          <w:color w:val="152186"/>
          <w:sz w:val="22"/>
          <w:szCs w:val="22"/>
        </w:rPr>
      </w:pPr>
      <w:r w:rsidRPr="002D4FDD">
        <w:rPr>
          <w:rFonts w:ascii="Century Gothic" w:hAnsi="Century Gothic"/>
          <w:b/>
          <w:bCs/>
          <w:color w:val="152186"/>
          <w:sz w:val="22"/>
          <w:szCs w:val="22"/>
        </w:rPr>
        <w:t>Análisis serie Subte – pasajeros mensuales</w:t>
      </w:r>
    </w:p>
    <w:p w14:paraId="036B81A7" w14:textId="335BD577" w:rsidR="002E5438" w:rsidRPr="002E5438" w:rsidRDefault="00E372A7" w:rsidP="00FE3D37">
      <w:pPr>
        <w:pStyle w:val="Heading2"/>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Al realizar el análisis de la serie </w:t>
      </w:r>
      <w:r w:rsidR="00AF1084">
        <w:rPr>
          <w:rFonts w:asciiTheme="minorHAnsi" w:eastAsiaTheme="minorHAnsi" w:hAnsiTheme="minorHAnsi" w:cstheme="minorBidi"/>
          <w:color w:val="auto"/>
          <w:sz w:val="22"/>
          <w:szCs w:val="22"/>
        </w:rPr>
        <w:t xml:space="preserve">original, </w:t>
      </w:r>
      <w:r>
        <w:rPr>
          <w:rFonts w:asciiTheme="minorHAnsi" w:eastAsiaTheme="minorHAnsi" w:hAnsiTheme="minorHAnsi" w:cstheme="minorBidi"/>
          <w:color w:val="auto"/>
          <w:sz w:val="22"/>
          <w:szCs w:val="22"/>
        </w:rPr>
        <w:t>la FAC presenta</w:t>
      </w:r>
      <w:r w:rsidR="00AF1084">
        <w:rPr>
          <w:rFonts w:asciiTheme="minorHAnsi" w:eastAsiaTheme="minorHAnsi" w:hAnsiTheme="minorHAnsi" w:cstheme="minorBidi"/>
          <w:color w:val="auto"/>
          <w:sz w:val="22"/>
          <w:szCs w:val="22"/>
        </w:rPr>
        <w:t xml:space="preserve"> un decaimiento lento desde un valor inicial </w:t>
      </w:r>
      <w:r w:rsidR="00AF1084" w:rsidRPr="002E5438">
        <w:rPr>
          <w:rFonts w:asciiTheme="minorHAnsi" w:eastAsiaTheme="minorHAnsi" w:hAnsiTheme="minorHAnsi" w:cstheme="minorBidi"/>
          <w:color w:val="auto"/>
          <w:sz w:val="22"/>
          <w:szCs w:val="22"/>
        </w:rPr>
        <w:t>de ~0.9</w:t>
      </w:r>
      <w:r>
        <w:rPr>
          <w:rFonts w:asciiTheme="minorHAnsi" w:eastAsiaTheme="minorHAnsi" w:hAnsiTheme="minorHAnsi" w:cstheme="minorBidi"/>
          <w:color w:val="auto"/>
          <w:sz w:val="22"/>
          <w:szCs w:val="22"/>
        </w:rPr>
        <w:t xml:space="preserve"> que se mantiene positiva y </w:t>
      </w:r>
      <w:r w:rsidR="00FE3D37">
        <w:rPr>
          <w:rFonts w:asciiTheme="minorHAnsi" w:eastAsiaTheme="minorHAnsi" w:hAnsiTheme="minorHAnsi" w:cstheme="minorBidi"/>
          <w:color w:val="auto"/>
          <w:sz w:val="22"/>
          <w:szCs w:val="22"/>
        </w:rPr>
        <w:t xml:space="preserve">significativa durante más de 20 rezagos. Este patrón confirma </w:t>
      </w:r>
      <w:r w:rsidR="002E5438" w:rsidRPr="002E5438">
        <w:rPr>
          <w:rFonts w:asciiTheme="minorHAnsi" w:eastAsiaTheme="minorHAnsi" w:hAnsiTheme="minorHAnsi" w:cstheme="minorBidi"/>
          <w:color w:val="auto"/>
          <w:sz w:val="22"/>
          <w:szCs w:val="22"/>
        </w:rPr>
        <w:t xml:space="preserve">la presencia de una </w:t>
      </w:r>
      <w:r w:rsidR="00FE3D37" w:rsidRPr="00FE3D37">
        <w:rPr>
          <w:rFonts w:asciiTheme="minorHAnsi" w:eastAsiaTheme="minorHAnsi" w:hAnsiTheme="minorHAnsi" w:cstheme="minorBidi"/>
          <w:b/>
          <w:bCs/>
          <w:i/>
          <w:iCs/>
          <w:color w:val="auto"/>
          <w:sz w:val="22"/>
          <w:szCs w:val="22"/>
        </w:rPr>
        <w:t>r</w:t>
      </w:r>
      <w:r w:rsidR="002E5438" w:rsidRPr="00FE3D37">
        <w:rPr>
          <w:rFonts w:asciiTheme="minorHAnsi" w:eastAsiaTheme="minorHAnsi" w:hAnsiTheme="minorHAnsi" w:cstheme="minorBidi"/>
          <w:b/>
          <w:bCs/>
          <w:i/>
          <w:iCs/>
          <w:color w:val="auto"/>
          <w:sz w:val="22"/>
          <w:szCs w:val="22"/>
        </w:rPr>
        <w:t>aíz unitaria</w:t>
      </w:r>
      <w:r w:rsidR="002E5438" w:rsidRPr="002E5438">
        <w:rPr>
          <w:rFonts w:asciiTheme="minorHAnsi" w:eastAsiaTheme="minorHAnsi" w:hAnsiTheme="minorHAnsi" w:cstheme="minorBidi"/>
          <w:color w:val="auto"/>
          <w:sz w:val="22"/>
          <w:szCs w:val="22"/>
        </w:rPr>
        <w:t xml:space="preserve"> y la necesidad de aplicar una diferenciación regular (d=1). La FACP exhibe un único spike significativo en el </w:t>
      </w:r>
      <w:r w:rsidR="00FE3D37">
        <w:rPr>
          <w:rFonts w:asciiTheme="minorHAnsi" w:eastAsiaTheme="minorHAnsi" w:hAnsiTheme="minorHAnsi" w:cstheme="minorBidi"/>
          <w:color w:val="auto"/>
          <w:sz w:val="22"/>
          <w:szCs w:val="22"/>
        </w:rPr>
        <w:t>LAG</w:t>
      </w:r>
      <w:r w:rsidR="002E5438" w:rsidRPr="002E5438">
        <w:rPr>
          <w:rFonts w:asciiTheme="minorHAnsi" w:eastAsiaTheme="minorHAnsi" w:hAnsiTheme="minorHAnsi" w:cstheme="minorBidi"/>
          <w:color w:val="auto"/>
          <w:sz w:val="22"/>
          <w:szCs w:val="22"/>
        </w:rPr>
        <w:t xml:space="preserve"> 1 seguido de una caída inmediata a cero, lo que indica una estructura AR(1) subyacente.</w:t>
      </w:r>
    </w:p>
    <w:p w14:paraId="21D6B751" w14:textId="37B631E9" w:rsidR="002E5438" w:rsidRPr="002E5438" w:rsidRDefault="004461F8" w:rsidP="002E5438">
      <w:pPr>
        <w:pStyle w:val="Heading2"/>
        <w:rPr>
          <w:rFonts w:asciiTheme="minorHAnsi" w:eastAsiaTheme="minorHAnsi" w:hAnsiTheme="minorHAnsi" w:cstheme="minorBidi"/>
          <w:color w:val="auto"/>
          <w:sz w:val="22"/>
          <w:szCs w:val="22"/>
        </w:rPr>
      </w:pPr>
      <w:commentRangeStart w:id="0"/>
      <w:r w:rsidRPr="004450F6">
        <w:rPr>
          <w:rFonts w:asciiTheme="minorHAnsi" w:eastAsiaTheme="minorHAnsi" w:hAnsiTheme="minorHAnsi" w:cstheme="minorBidi"/>
          <w:color w:val="auto"/>
          <w:sz w:val="22"/>
          <w:szCs w:val="22"/>
          <w:highlight w:val="yellow"/>
        </w:rPr>
        <w:t>GRAFICO SERIE ORIGINAL</w:t>
      </w:r>
      <w:commentRangeEnd w:id="0"/>
      <w:r w:rsidRPr="004450F6">
        <w:rPr>
          <w:rStyle w:val="CommentReference"/>
          <w:rFonts w:asciiTheme="minorHAnsi" w:eastAsiaTheme="minorHAnsi" w:hAnsiTheme="minorHAnsi" w:cstheme="minorBidi"/>
          <w:color w:val="auto"/>
          <w:highlight w:val="yellow"/>
        </w:rPr>
        <w:commentReference w:id="0"/>
      </w:r>
    </w:p>
    <w:p w14:paraId="67C8C4B0" w14:textId="776513D8" w:rsidR="004461F8" w:rsidRDefault="004461F8" w:rsidP="005A7A1E">
      <w:pPr>
        <w:pStyle w:val="Heading2"/>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Una vez que se aplica la primera diferencia, la FAC queda casi </w:t>
      </w:r>
      <w:r w:rsidR="00923C74">
        <w:rPr>
          <w:rFonts w:asciiTheme="minorHAnsi" w:eastAsiaTheme="minorHAnsi" w:hAnsiTheme="minorHAnsi" w:cstheme="minorBidi"/>
          <w:color w:val="auto"/>
          <w:sz w:val="22"/>
          <w:szCs w:val="22"/>
        </w:rPr>
        <w:t xml:space="preserve">por completo dentro de las bandas de confianza indicando que el componente de tendencia fue eliminado. No se observan picos claros en los rezagos 12 y 24, </w:t>
      </w:r>
      <w:r w:rsidR="005A7A1E">
        <w:rPr>
          <w:rFonts w:asciiTheme="minorHAnsi" w:eastAsiaTheme="minorHAnsi" w:hAnsiTheme="minorHAnsi" w:cstheme="minorBidi"/>
          <w:color w:val="auto"/>
          <w:sz w:val="22"/>
          <w:szCs w:val="22"/>
        </w:rPr>
        <w:t xml:space="preserve">lo que podría atribuirse al quiebre estructural generado por la pandemia de COVID, cuyos outliers </w:t>
      </w:r>
      <w:r w:rsidR="00633EFB">
        <w:rPr>
          <w:rFonts w:asciiTheme="minorHAnsi" w:eastAsiaTheme="minorHAnsi" w:hAnsiTheme="minorHAnsi" w:cstheme="minorBidi"/>
          <w:color w:val="auto"/>
          <w:sz w:val="22"/>
          <w:szCs w:val="22"/>
        </w:rPr>
        <w:t xml:space="preserve">estarían “enmascarando” la señal estacional de la serie en los cambios. </w:t>
      </w:r>
    </w:p>
    <w:p w14:paraId="221CEA62" w14:textId="77777777" w:rsidR="00633EFB" w:rsidRDefault="00633EFB" w:rsidP="00633EFB">
      <w:r w:rsidRPr="004450F6">
        <w:rPr>
          <w:highlight w:val="yellow"/>
        </w:rPr>
        <w:t>GRAFICO d=1</w:t>
      </w:r>
    </w:p>
    <w:p w14:paraId="45436109" w14:textId="6584EEE6" w:rsidR="002E5438" w:rsidRDefault="00633EFB" w:rsidP="004450F6">
      <w:pPr>
        <w:jc w:val="both"/>
        <w:rPr>
          <w:sz w:val="22"/>
          <w:szCs w:val="22"/>
        </w:rPr>
      </w:pPr>
      <w:r>
        <w:rPr>
          <w:sz w:val="22"/>
          <w:szCs w:val="22"/>
        </w:rPr>
        <w:t xml:space="preserve">Sin embargo, </w:t>
      </w:r>
      <w:r w:rsidR="00075D9E">
        <w:rPr>
          <w:sz w:val="22"/>
          <w:szCs w:val="22"/>
        </w:rPr>
        <w:t xml:space="preserve">debido a que la estacionalidad annual es muy evidente en la FAS original, se procede a aplicar una diferenciación estacional (D=1, s =12) que será luego confirmada </w:t>
      </w:r>
      <w:r w:rsidR="004450F6">
        <w:rPr>
          <w:sz w:val="22"/>
          <w:szCs w:val="22"/>
        </w:rPr>
        <w:t xml:space="preserve">luego en este trabajo con los tests de raíces unitarias. </w:t>
      </w:r>
    </w:p>
    <w:p w14:paraId="6FF69BEA" w14:textId="6F5BD344" w:rsidR="004450F6" w:rsidRDefault="002E5438" w:rsidP="004450F6">
      <w:pPr>
        <w:jc w:val="both"/>
        <w:rPr>
          <w:sz w:val="22"/>
          <w:szCs w:val="22"/>
        </w:rPr>
      </w:pPr>
      <w:r w:rsidRPr="002E5438">
        <w:rPr>
          <w:sz w:val="22"/>
          <w:szCs w:val="22"/>
        </w:rPr>
        <w:t>Con ambas diferenciaciones aplicadas se puede leer la estructura ARIMA</w:t>
      </w:r>
      <w:r w:rsidR="009642C4">
        <w:rPr>
          <w:sz w:val="22"/>
          <w:szCs w:val="22"/>
        </w:rPr>
        <w:t>, con un pico negativo significativo en en LAG 1 de la FAC sugiriendo un compontente MA(1) o SMA(1)</w:t>
      </w:r>
      <w:r w:rsidR="009642C4">
        <w:rPr>
          <w:sz w:val="22"/>
          <w:szCs w:val="22"/>
          <w:vertAlign w:val="subscript"/>
        </w:rPr>
        <w:t>12</w:t>
      </w:r>
      <w:r w:rsidR="009642C4">
        <w:rPr>
          <w:sz w:val="22"/>
          <w:szCs w:val="22"/>
        </w:rPr>
        <w:t xml:space="preserve">. Además, </w:t>
      </w:r>
      <w:r w:rsidR="00BC2B47">
        <w:rPr>
          <w:sz w:val="22"/>
          <w:szCs w:val="22"/>
        </w:rPr>
        <w:t xml:space="preserve">en la FACP </w:t>
      </w:r>
      <w:r w:rsidR="009642C4">
        <w:rPr>
          <w:sz w:val="22"/>
          <w:szCs w:val="22"/>
        </w:rPr>
        <w:t>se observa</w:t>
      </w:r>
      <w:r w:rsidR="00BC2B47">
        <w:rPr>
          <w:sz w:val="22"/>
          <w:szCs w:val="22"/>
        </w:rPr>
        <w:t>n</w:t>
      </w:r>
      <w:r w:rsidR="009642C4">
        <w:rPr>
          <w:sz w:val="22"/>
          <w:szCs w:val="22"/>
        </w:rPr>
        <w:t xml:space="preserve"> pico</w:t>
      </w:r>
      <w:r w:rsidR="00BC2B47">
        <w:rPr>
          <w:sz w:val="22"/>
          <w:szCs w:val="22"/>
        </w:rPr>
        <w:t>s</w:t>
      </w:r>
      <w:r w:rsidR="009642C4">
        <w:rPr>
          <w:sz w:val="22"/>
          <w:szCs w:val="22"/>
        </w:rPr>
        <w:t xml:space="preserve"> negativo</w:t>
      </w:r>
      <w:r w:rsidR="00BC2B47">
        <w:rPr>
          <w:sz w:val="22"/>
          <w:szCs w:val="22"/>
        </w:rPr>
        <w:t>s</w:t>
      </w:r>
      <w:r w:rsidR="009642C4">
        <w:rPr>
          <w:sz w:val="22"/>
          <w:szCs w:val="22"/>
        </w:rPr>
        <w:t xml:space="preserve"> en </w:t>
      </w:r>
      <w:r w:rsidR="00BC2B47">
        <w:rPr>
          <w:sz w:val="22"/>
          <w:szCs w:val="22"/>
        </w:rPr>
        <w:t>los</w:t>
      </w:r>
      <w:r w:rsidR="009642C4">
        <w:rPr>
          <w:sz w:val="22"/>
          <w:szCs w:val="22"/>
        </w:rPr>
        <w:t xml:space="preserve"> LAG 1 y</w:t>
      </w:r>
      <w:r w:rsidR="00BC2B47">
        <w:rPr>
          <w:sz w:val="22"/>
          <w:szCs w:val="22"/>
        </w:rPr>
        <w:t xml:space="preserve"> 12 sugirienco componententes AR(1) y SAR(1). </w:t>
      </w:r>
      <w:r w:rsidR="00297DD0" w:rsidRPr="002E5438">
        <w:rPr>
          <w:sz w:val="22"/>
          <w:szCs w:val="22"/>
        </w:rPr>
        <w:t>Los valores significativos observados alrededor de los rezagos 20-25 se atribuyen a outliers amplificados por la doble diferenciación durante el período COVID, no a estructura ARIMA real.</w:t>
      </w:r>
    </w:p>
    <w:p w14:paraId="79D54F2E" w14:textId="022A8FBE" w:rsidR="002E5438" w:rsidRPr="002E5438" w:rsidRDefault="004450F6" w:rsidP="00297DD0">
      <w:pPr>
        <w:jc w:val="both"/>
        <w:rPr>
          <w:sz w:val="22"/>
          <w:szCs w:val="22"/>
        </w:rPr>
      </w:pPr>
      <w:r w:rsidRPr="004450F6">
        <w:rPr>
          <w:sz w:val="22"/>
          <w:szCs w:val="22"/>
          <w:highlight w:val="yellow"/>
        </w:rPr>
        <w:t>GRAFICOS D=1 s=12</w:t>
      </w:r>
    </w:p>
    <w:p w14:paraId="63E3EA04" w14:textId="749AF39C" w:rsidR="009E5D3B" w:rsidRPr="00FE2A73" w:rsidRDefault="00FE2A73" w:rsidP="002E5438">
      <w:pPr>
        <w:pStyle w:val="Heading2"/>
        <w:rPr>
          <w:rFonts w:ascii="Century Gothic" w:hAnsi="Century Gothic"/>
          <w:b/>
          <w:bCs/>
          <w:color w:val="152186"/>
          <w:sz w:val="22"/>
          <w:szCs w:val="22"/>
        </w:rPr>
      </w:pPr>
      <w:r>
        <w:rPr>
          <w:rFonts w:ascii="Century Gothic" w:hAnsi="Century Gothic"/>
          <w:b/>
          <w:bCs/>
          <w:color w:val="152186"/>
          <w:sz w:val="22"/>
          <w:szCs w:val="22"/>
        </w:rPr>
        <w:lastRenderedPageBreak/>
        <w:t xml:space="preserve">Análisis serie </w:t>
      </w:r>
      <w:r w:rsidR="009E5D3B" w:rsidRPr="00FE2A73">
        <w:rPr>
          <w:rFonts w:ascii="Century Gothic" w:hAnsi="Century Gothic"/>
          <w:b/>
          <w:bCs/>
          <w:color w:val="152186"/>
          <w:sz w:val="22"/>
          <w:szCs w:val="22"/>
        </w:rPr>
        <w:t>Peajes — vehículos mensuales</w:t>
      </w:r>
    </w:p>
    <w:p w14:paraId="4C895D5D" w14:textId="497583B7"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Al realizar el análisis de la serie original, la FAC no presenta el patrón de decaimiento lento típico de una raíz unitaria, sino que parte de ~0.7 y oscila hacia valores negativos, llegando a -0.5 en los rezagos 15-30. Este comportamiento se explica por el quiebre estructural del COVID: el colapso casi total del tránsito en 2020 seguido de una recuperación a niveles superiores a los previos genera autocorrelaciones de signo alternado que distorsionan la función. La FACP muestra spikes significativos en los rezagos 1 y 2.</w:t>
      </w:r>
    </w:p>
    <w:p w14:paraId="51CE7A95" w14:textId="4B603846" w:rsidR="002E6494" w:rsidRP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 SERIE ORIGINAL</w:t>
      </w:r>
    </w:p>
    <w:p w14:paraId="60A08139" w14:textId="399F482A"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Una vez aplicada la primera diferencia, tanto la FAC como la FACP presentan un spike de magnitud ~-0.75 en el LAG 1 que domina completamente ambas funciones. Este spike no representa estructura ARIMA real sino que es el outlier del COVID amplificado por la diferenciación: el cambio mes a mes durante el colapso y la recuperación es tan extremo que absorbe toda la señal de autocorrelación.</w:t>
      </w:r>
    </w:p>
    <w:p w14:paraId="3B2F6776" w14:textId="3BDE9B71" w:rsidR="002E6494" w:rsidRP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 d=1</w:t>
      </w:r>
    </w:p>
    <w:p w14:paraId="4F3EE694" w14:textId="54FE37DD"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Al aplicar adicionalmente la diferenciación estacional (D=1, s=12), el spike del LAG 1 se mantiene con magnitud similar (~-0.5), confirmando que la diferenciación por sí sola no es suficiente para aislar la estructura subyacente de la serie. A diferencia del subte, donde la diferenciación revela los órdenes p, q, P, Q, en la serie de peajes el quiebre estructural contamina todas las etapas del análisis, haciendo imposible identificar los parámetros del modelo a partir de los gráficos. Por este motivo, la incorporación de una variable dummy COVID es indispensable, y los órdenes del modelo serán determinados mediante grilla AIC/BIC con el dummy incluido en el Punto 5.</w:t>
      </w:r>
    </w:p>
    <w:p w14:paraId="437AC542" w14:textId="77777777" w:rsid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GRAFICOS D=1 s=12</w:t>
      </w:r>
    </w:p>
    <w:p w14:paraId="73D1B485" w14:textId="37B2051C" w:rsidR="009E5D3B" w:rsidRPr="00FE2A73" w:rsidRDefault="00FE2A73" w:rsidP="002E6494">
      <w:pPr>
        <w:pStyle w:val="Heading2"/>
        <w:rPr>
          <w:rFonts w:ascii="Century Gothic" w:hAnsi="Century Gothic"/>
          <w:b/>
          <w:bCs/>
          <w:color w:val="152186"/>
          <w:sz w:val="22"/>
          <w:szCs w:val="22"/>
        </w:rPr>
      </w:pPr>
      <w:r>
        <w:rPr>
          <w:rFonts w:ascii="Century Gothic" w:hAnsi="Century Gothic"/>
          <w:b/>
          <w:bCs/>
          <w:color w:val="152186"/>
          <w:sz w:val="22"/>
          <w:szCs w:val="22"/>
        </w:rPr>
        <w:t>Análisis serie</w:t>
      </w:r>
      <w:r w:rsidR="009E5D3B" w:rsidRPr="00FE2A73">
        <w:rPr>
          <w:rFonts w:ascii="Century Gothic" w:hAnsi="Century Gothic"/>
          <w:b/>
          <w:bCs/>
          <w:color w:val="152186"/>
          <w:sz w:val="22"/>
          <w:szCs w:val="22"/>
        </w:rPr>
        <w:t xml:space="preserve"> Precipitaciones — mm mensuales</w:t>
      </w:r>
    </w:p>
    <w:p w14:paraId="4F074482" w14:textId="0859AE72" w:rsidR="009E5D3B" w:rsidRPr="00257D7C" w:rsidRDefault="00850AB3" w:rsidP="009E5D3B">
      <w:pPr>
        <w:spacing w:line="276" w:lineRule="auto"/>
        <w:jc w:val="both"/>
        <w:rPr>
          <w:sz w:val="22"/>
          <w:szCs w:val="22"/>
        </w:rPr>
      </w:pPr>
      <w:r w:rsidRPr="00257D7C">
        <w:rPr>
          <w:sz w:val="22"/>
          <w:szCs w:val="22"/>
        </w:rPr>
        <w:t>En este caso, l</w:t>
      </w:r>
      <w:r w:rsidR="009E5D3B" w:rsidRPr="00257D7C">
        <w:rPr>
          <w:sz w:val="22"/>
          <w:szCs w:val="22"/>
        </w:rPr>
        <w:t xml:space="preserve">a FAS no presenta tendencia ni quiebre estructural visible; la serie fluctúa alrededor de una media estable con varianza aproximadamente constante a lo largo del período, lo que sugiere que es </w:t>
      </w:r>
      <w:r w:rsidR="009E5D3B" w:rsidRPr="00257D7C">
        <w:rPr>
          <w:b/>
          <w:bCs/>
          <w:i/>
          <w:iCs/>
          <w:sz w:val="22"/>
          <w:szCs w:val="22"/>
        </w:rPr>
        <w:t>estacionaria</w:t>
      </w:r>
      <w:r w:rsidR="009E5D3B" w:rsidRPr="00257D7C">
        <w:rPr>
          <w:sz w:val="22"/>
          <w:szCs w:val="22"/>
        </w:rPr>
        <w:t xml:space="preserve"> o requiere, a lo sumo, diferenciación estacional.</w:t>
      </w:r>
    </w:p>
    <w:p w14:paraId="43D75F11" w14:textId="77777777" w:rsidR="00850AB3" w:rsidRPr="00257D7C" w:rsidRDefault="00850AB3" w:rsidP="009E5D3B">
      <w:pPr>
        <w:spacing w:line="276" w:lineRule="auto"/>
        <w:jc w:val="both"/>
        <w:rPr>
          <w:sz w:val="22"/>
          <w:szCs w:val="22"/>
        </w:rPr>
      </w:pPr>
      <w:r w:rsidRPr="00257D7C">
        <w:rPr>
          <w:sz w:val="22"/>
          <w:szCs w:val="22"/>
        </w:rPr>
        <w:t>Luego, l</w:t>
      </w:r>
      <w:r w:rsidR="009E5D3B" w:rsidRPr="00257D7C">
        <w:rPr>
          <w:sz w:val="22"/>
          <w:szCs w:val="22"/>
        </w:rPr>
        <w:t xml:space="preserve">a FAC muestra casi todas las barras dentro de las bandas de confianza. La ausencia de autocorrelación significativa indica que los valores de precipitación mensual son estadísticamente independientes de los meses anteriores. </w:t>
      </w:r>
      <w:r w:rsidRPr="00257D7C">
        <w:rPr>
          <w:sz w:val="22"/>
          <w:szCs w:val="22"/>
        </w:rPr>
        <w:t>De este modo,</w:t>
      </w:r>
      <w:r w:rsidR="009E5D3B" w:rsidRPr="00257D7C">
        <w:rPr>
          <w:sz w:val="22"/>
          <w:szCs w:val="22"/>
        </w:rPr>
        <w:t xml:space="preserve"> un mes lluvioso no </w:t>
      </w:r>
      <w:r w:rsidRPr="00257D7C">
        <w:rPr>
          <w:sz w:val="22"/>
          <w:szCs w:val="22"/>
        </w:rPr>
        <w:t>predice</w:t>
      </w:r>
      <w:r w:rsidR="009E5D3B" w:rsidRPr="00257D7C">
        <w:rPr>
          <w:sz w:val="22"/>
          <w:szCs w:val="22"/>
        </w:rPr>
        <w:t xml:space="preserve"> el siguiente.</w:t>
      </w:r>
    </w:p>
    <w:p w14:paraId="7F801B8C" w14:textId="77777777" w:rsidR="00850AB3" w:rsidRDefault="00850AB3" w:rsidP="009E5D3B">
      <w:pPr>
        <w:spacing w:line="276" w:lineRule="auto"/>
        <w:jc w:val="both"/>
        <w:rPr>
          <w:sz w:val="22"/>
          <w:szCs w:val="22"/>
        </w:rPr>
      </w:pPr>
      <w:r w:rsidRPr="00257D7C">
        <w:rPr>
          <w:sz w:val="22"/>
          <w:szCs w:val="22"/>
        </w:rPr>
        <w:t>Por último, l</w:t>
      </w:r>
      <w:r w:rsidR="009E5D3B" w:rsidRPr="00257D7C">
        <w:rPr>
          <w:sz w:val="22"/>
          <w:szCs w:val="22"/>
        </w:rPr>
        <w:t>a FACP confirma el mismo diagnóstico</w:t>
      </w:r>
      <w:r w:rsidRPr="00257D7C">
        <w:rPr>
          <w:sz w:val="22"/>
          <w:szCs w:val="22"/>
        </w:rPr>
        <w:t xml:space="preserve"> de </w:t>
      </w:r>
      <w:r w:rsidR="009E5D3B" w:rsidRPr="00257D7C">
        <w:rPr>
          <w:sz w:val="22"/>
          <w:szCs w:val="22"/>
        </w:rPr>
        <w:t xml:space="preserve">caída inmediata a cero sin rezagos significativos. La serie se comporta como un </w:t>
      </w:r>
      <w:r w:rsidR="009E5D3B" w:rsidRPr="00257D7C">
        <w:rPr>
          <w:b/>
          <w:bCs/>
          <w:i/>
          <w:iCs/>
          <w:sz w:val="22"/>
          <w:szCs w:val="22"/>
        </w:rPr>
        <w:t>proceso de ruido blanco</w:t>
      </w:r>
      <w:r w:rsidR="009E5D3B" w:rsidRPr="00257D7C">
        <w:rPr>
          <w:sz w:val="22"/>
          <w:szCs w:val="22"/>
        </w:rPr>
        <w:t xml:space="preserve">, posiblemente con una leve componente estacional asociada al ciclo de lluvias </w:t>
      </w:r>
      <w:r w:rsidRPr="00257D7C">
        <w:rPr>
          <w:sz w:val="22"/>
          <w:szCs w:val="22"/>
        </w:rPr>
        <w:t xml:space="preserve">de la Ciudad de Buenos Aires con veranos más lluviosos, </w:t>
      </w:r>
      <w:r w:rsidR="009E5D3B" w:rsidRPr="00257D7C">
        <w:rPr>
          <w:sz w:val="22"/>
          <w:szCs w:val="22"/>
        </w:rPr>
        <w:t>aunque no estadísticamente dominante en estos gráficos.</w:t>
      </w:r>
    </w:p>
    <w:p w14:paraId="4986CA5A" w14:textId="6EBA969E" w:rsidR="009E5D3B" w:rsidRPr="00850AB3" w:rsidRDefault="009E5D3B" w:rsidP="00850AB3">
      <w:pPr>
        <w:pStyle w:val="Heading2"/>
        <w:rPr>
          <w:rFonts w:ascii="Century Gothic" w:hAnsi="Century Gothic"/>
          <w:b/>
          <w:bCs/>
          <w:color w:val="152186"/>
          <w:sz w:val="22"/>
          <w:szCs w:val="22"/>
        </w:rPr>
      </w:pPr>
      <w:r w:rsidRPr="00850AB3">
        <w:rPr>
          <w:rFonts w:ascii="Century Gothic" w:hAnsi="Century Gothic"/>
          <w:b/>
          <w:bCs/>
          <w:color w:val="152186"/>
          <w:sz w:val="22"/>
          <w:szCs w:val="22"/>
        </w:rPr>
        <w:t>Implicancias para el modelado</w:t>
      </w:r>
    </w:p>
    <w:p w14:paraId="345287C6" w14:textId="7D74D6B5" w:rsidR="0083440B" w:rsidRDefault="0083440B" w:rsidP="0083440B">
      <w:pPr>
        <w:spacing w:line="276" w:lineRule="auto"/>
        <w:jc w:val="both"/>
        <w:rPr>
          <w:sz w:val="22"/>
          <w:szCs w:val="22"/>
        </w:rPr>
      </w:pPr>
      <w:r>
        <w:rPr>
          <w:sz w:val="22"/>
          <w:szCs w:val="22"/>
        </w:rPr>
        <w:t xml:space="preserve">Al realizar un análisis conjunto de las tres funciones, se desprenden la siguientes conclusiones preliminares antes de avanzar con el análisis: </w:t>
      </w:r>
    </w:p>
    <w:p w14:paraId="296E5E3E" w14:textId="3DB02A30" w:rsidR="009E5D3B" w:rsidRDefault="0083440B" w:rsidP="0083440B">
      <w:pPr>
        <w:pStyle w:val="ListParagraph"/>
        <w:numPr>
          <w:ilvl w:val="0"/>
          <w:numId w:val="11"/>
        </w:numPr>
        <w:spacing w:line="276" w:lineRule="auto"/>
        <w:jc w:val="both"/>
        <w:rPr>
          <w:sz w:val="22"/>
          <w:szCs w:val="22"/>
        </w:rPr>
      </w:pPr>
      <w:r w:rsidRPr="0083440B">
        <w:rPr>
          <w:sz w:val="22"/>
          <w:szCs w:val="22"/>
        </w:rPr>
        <w:lastRenderedPageBreak/>
        <w:t xml:space="preserve">En primer lugar, las series de Subte y Peajes son series no estacionarias que requieren de, al menos, una diferenciación regular (d=1) y presumiblemente una diferenciacion estacional (D=1, s=12) para poder lograr estacionariedad. Esto será probado formalmente más adelante con los test de raíces unitarias. </w:t>
      </w:r>
    </w:p>
    <w:p w14:paraId="1CC68B23" w14:textId="139DA619" w:rsidR="0083440B" w:rsidRDefault="0083440B" w:rsidP="0083440B">
      <w:pPr>
        <w:pStyle w:val="ListParagraph"/>
        <w:numPr>
          <w:ilvl w:val="0"/>
          <w:numId w:val="11"/>
        </w:numPr>
        <w:spacing w:line="276" w:lineRule="auto"/>
        <w:jc w:val="both"/>
        <w:rPr>
          <w:sz w:val="22"/>
          <w:szCs w:val="22"/>
        </w:rPr>
      </w:pPr>
      <w:r>
        <w:rPr>
          <w:sz w:val="22"/>
          <w:szCs w:val="22"/>
        </w:rPr>
        <w:t xml:space="preserve">En segundo lugar, el </w:t>
      </w:r>
      <w:r w:rsidR="009C7330">
        <w:rPr>
          <w:sz w:val="22"/>
          <w:szCs w:val="22"/>
        </w:rPr>
        <w:t xml:space="preserve">uso de la variable dummy COVID es crítica para la serie de Peajes, cuya FAC se encuentra completamente distorsionada por el quiebre estructural de la pandemia. De no aplicarse esta correción, </w:t>
      </w:r>
      <w:r w:rsidR="00DC0A6A">
        <w:rPr>
          <w:sz w:val="22"/>
          <w:szCs w:val="22"/>
        </w:rPr>
        <w:t xml:space="preserve">no hay modelo ARIMA estándar que pudiese capturar la dinámica subyacente. </w:t>
      </w:r>
    </w:p>
    <w:p w14:paraId="06BF096A" w14:textId="572D4160" w:rsidR="000E0F39" w:rsidRDefault="00DC0A6A" w:rsidP="000E0F39">
      <w:pPr>
        <w:pStyle w:val="ListParagraph"/>
        <w:numPr>
          <w:ilvl w:val="0"/>
          <w:numId w:val="11"/>
        </w:numPr>
        <w:spacing w:line="276" w:lineRule="auto"/>
        <w:jc w:val="both"/>
        <w:rPr>
          <w:sz w:val="22"/>
          <w:szCs w:val="22"/>
        </w:rPr>
      </w:pPr>
      <w:r>
        <w:rPr>
          <w:sz w:val="22"/>
          <w:szCs w:val="22"/>
        </w:rPr>
        <w:t xml:space="preserve">Por último, las Precipitaciones </w:t>
      </w:r>
      <w:r w:rsidR="009E5D3B" w:rsidRPr="00DC0A6A">
        <w:rPr>
          <w:sz w:val="22"/>
          <w:szCs w:val="22"/>
        </w:rPr>
        <w:t>son estacionarias y se utilizarán directamente como variable exógena en el modelo SARIMA-X sin necesidad de transformación</w:t>
      </w:r>
      <w:r>
        <w:rPr>
          <w:sz w:val="22"/>
          <w:szCs w:val="22"/>
        </w:rPr>
        <w:t xml:space="preserve">. </w:t>
      </w:r>
    </w:p>
    <w:p w14:paraId="7E31E3E7" w14:textId="77777777" w:rsidR="000E0F39" w:rsidRDefault="000E0F39">
      <w:pPr>
        <w:rPr>
          <w:sz w:val="22"/>
          <w:szCs w:val="22"/>
        </w:rPr>
      </w:pPr>
      <w:r>
        <w:rPr>
          <w:sz w:val="22"/>
          <w:szCs w:val="22"/>
        </w:rPr>
        <w:br w:type="page"/>
      </w:r>
    </w:p>
    <w:p w14:paraId="058B1607" w14:textId="77777777" w:rsidR="000E0F39" w:rsidRDefault="000E0F39" w:rsidP="000E0F39">
      <w:pPr>
        <w:pStyle w:val="Heading2"/>
        <w:shd w:val="clear" w:color="auto" w:fill="FFFFFF"/>
        <w:spacing w:before="120" w:after="0"/>
        <w:rPr>
          <w:rFonts w:ascii="Roboto" w:hAnsi="Roboto"/>
          <w:color w:val="121212"/>
          <w:sz w:val="34"/>
          <w:szCs w:val="34"/>
        </w:rPr>
      </w:pPr>
      <w:r>
        <w:rPr>
          <w:rFonts w:ascii="Roboto" w:hAnsi="Roboto"/>
          <w:color w:val="121212"/>
          <w:sz w:val="34"/>
          <w:szCs w:val="34"/>
        </w:rPr>
        <w:lastRenderedPageBreak/>
        <w:t xml:space="preserve">REFRENCIAS CLAUDE Y DEMAS </w:t>
      </w:r>
    </w:p>
    <w:p w14:paraId="43D8C49D" w14:textId="77777777" w:rsidR="000E0F39" w:rsidRPr="00FE2A73" w:rsidRDefault="000E0F39" w:rsidP="000E0F39">
      <w:pPr>
        <w:pStyle w:val="Heading2"/>
        <w:shd w:val="clear" w:color="auto" w:fill="FFFFFF"/>
        <w:spacing w:before="120" w:after="0"/>
        <w:rPr>
          <w:rFonts w:ascii="Roboto" w:hAnsi="Roboto"/>
          <w:color w:val="121212"/>
          <w:sz w:val="34"/>
          <w:szCs w:val="34"/>
        </w:rPr>
      </w:pPr>
      <w:r>
        <w:rPr>
          <w:rFonts w:ascii="Roboto" w:hAnsi="Roboto"/>
          <w:color w:val="121212"/>
          <w:sz w:val="34"/>
          <w:szCs w:val="34"/>
        </w:rPr>
        <w:t>Fuentes de datos</w:t>
      </w:r>
    </w:p>
    <w:p w14:paraId="6DFB8C1B" w14:textId="77777777" w:rsidR="000E0F39" w:rsidRDefault="000E0F39" w:rsidP="000E0F39">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Pasajeros de subte (molinetes)</w:t>
      </w:r>
    </w:p>
    <w:p w14:paraId="663AD62D" w14:textId="77777777" w:rsidR="000E0F39" w:rsidRDefault="000E0F39" w:rsidP="000E0F39">
      <w:pPr>
        <w:pStyle w:val="NormalWeb"/>
        <w:numPr>
          <w:ilvl w:val="1"/>
          <w:numId w:val="1"/>
        </w:numPr>
        <w:spacing w:before="0" w:beforeAutospacing="0" w:after="0" w:afterAutospacing="0"/>
        <w:textAlignment w:val="baseline"/>
        <w:rPr>
          <w:rFonts w:ascii="Arial" w:hAnsi="Arial" w:cs="Arial"/>
          <w:color w:val="000000"/>
          <w:sz w:val="22"/>
          <w:szCs w:val="22"/>
        </w:rPr>
      </w:pPr>
      <w:hyperlink r:id="rId12" w:history="1">
        <w:r>
          <w:rPr>
            <w:rStyle w:val="Hyperlink"/>
            <w:rFonts w:ascii="Arial" w:eastAsiaTheme="majorEastAsia" w:hAnsi="Arial" w:cs="Arial"/>
            <w:color w:val="1155CC"/>
            <w:sz w:val="22"/>
            <w:szCs w:val="22"/>
          </w:rPr>
          <w:t>https://data.buenosaires.gob.ar/dataset/subte-viajes-molinetes</w:t>
        </w:r>
      </w:hyperlink>
      <w:r>
        <w:rPr>
          <w:rFonts w:ascii="Arial" w:hAnsi="Arial" w:cs="Arial"/>
          <w:color w:val="000000"/>
          <w:sz w:val="22"/>
          <w:szCs w:val="22"/>
        </w:rPr>
        <w:t> </w:t>
      </w:r>
    </w:p>
    <w:p w14:paraId="7A376B9D" w14:textId="77777777" w:rsidR="000E0F39" w:rsidRDefault="000E0F39" w:rsidP="000E0F39">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Archivos ZIP/CSV por año, desde junio 2013 hasta 2025</w:t>
      </w:r>
    </w:p>
    <w:p w14:paraId="3B285C1F" w14:textId="77777777" w:rsidR="000E0F39" w:rsidRDefault="000E0F39" w:rsidP="000E0F39">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Datos cada 15 minutos por estación y tipo de pasaje</w:t>
      </w:r>
    </w:p>
    <w:p w14:paraId="1662F54B" w14:textId="77777777" w:rsidR="000E0F39" w:rsidRDefault="000E0F39" w:rsidP="000E0F39">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Hay que agregarlos a diario/mensual</w:t>
      </w:r>
    </w:p>
    <w:p w14:paraId="6D690487" w14:textId="77777777" w:rsidR="000E0F39" w:rsidRDefault="000E0F39" w:rsidP="000E0F39">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Flujo vehicular en peajes AUSA</w:t>
      </w:r>
    </w:p>
    <w:p w14:paraId="70DF976A"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hyperlink r:id="rId13" w:history="1">
        <w:r>
          <w:rPr>
            <w:rStyle w:val="Hyperlink"/>
            <w:rFonts w:ascii="Arial" w:eastAsiaTheme="majorEastAsia" w:hAnsi="Arial" w:cs="Arial"/>
            <w:color w:val="1155CC"/>
            <w:sz w:val="22"/>
            <w:szCs w:val="22"/>
          </w:rPr>
          <w:t>https://data.buenosaires.gob.ar/dataset/flujo-vehicular-por-unidades-de-peaje-ausa</w:t>
        </w:r>
      </w:hyperlink>
    </w:p>
    <w:p w14:paraId="4CC0BEC2"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Archivos CSV/ZIP/XLSX por año, desde 2008 hasta 2026</w:t>
      </w:r>
    </w:p>
    <w:p w14:paraId="1962FF0E"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Datos desagregados por hora y unidad de peaje</w:t>
      </w:r>
    </w:p>
    <w:p w14:paraId="05DF891E"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Hay que agregarlos a diario/mensual</w:t>
      </w:r>
    </w:p>
    <w:p w14:paraId="6B9BECE2" w14:textId="77777777" w:rsidR="000E0F39" w:rsidRDefault="000E0F39" w:rsidP="000E0F39">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Precipitaciones</w:t>
      </w:r>
      <w:r>
        <w:rPr>
          <w:rFonts w:ascii="Arial" w:hAnsi="Arial" w:cs="Arial"/>
          <w:color w:val="000000"/>
          <w:sz w:val="22"/>
          <w:szCs w:val="22"/>
        </w:rPr>
        <w:t xml:space="preserve"> en Buenos Aires (Open-Meteo Historical Weather API</w:t>
      </w:r>
    </w:p>
    <w:p w14:paraId="57DB81A7"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hyperlink r:id="rId14" w:history="1">
        <w:r>
          <w:rPr>
            <w:rStyle w:val="Hyperlink"/>
            <w:rFonts w:ascii="Arial" w:eastAsiaTheme="majorEastAsia" w:hAnsi="Arial" w:cs="Arial"/>
            <w:color w:val="1155CC"/>
            <w:sz w:val="22"/>
            <w:szCs w:val="22"/>
          </w:rPr>
          <w:t>https://open-meteo.com/en/docs/historical-weather-api</w:t>
        </w:r>
      </w:hyperlink>
    </w:p>
    <w:p w14:paraId="1B09BE8F"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API gratuita, sin registro necesario</w:t>
      </w:r>
    </w:p>
    <w:p w14:paraId="5FE03416"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Datos diarios desde 1940 hasta hoy</w:t>
      </w:r>
    </w:p>
    <w:p w14:paraId="373B1C6A"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 xml:space="preserve">Para Buenos Aires, un ejemplo de request sería: </w:t>
      </w:r>
      <w:r>
        <w:fldChar w:fldCharType="begin"/>
      </w:r>
      <w:r>
        <w:instrText>HYPERLINK "https://archive-api.open-meteo.com/v1/archive?latitude=-34.60&amp;longitude=-58.37&amp;start_date=2013-06-01&amp;end_date=2025-12-31&amp;daily=precipitation_sum&amp;timezone=America/Argentina/Buenos_Aires"</w:instrText>
      </w:r>
      <w:r>
        <w:fldChar w:fldCharType="separate"/>
      </w:r>
      <w:r>
        <w:rPr>
          <w:rStyle w:val="Hyperlink"/>
          <w:rFonts w:ascii="Arial" w:eastAsiaTheme="majorEastAsia" w:hAnsi="Arial" w:cs="Arial"/>
          <w:color w:val="1155CC"/>
          <w:sz w:val="22"/>
          <w:szCs w:val="22"/>
        </w:rPr>
        <w:t>https://archive-api.open-meteo.com/v1/archive?latitude=-34.60&amp;longitude=-58.37&amp;start_date=2013-06-01&amp;end_date=2025-12-31&amp;daily=precipitation_sum&amp;timezone=America/Argentina/Buenos_Aires</w:t>
      </w:r>
      <w:r>
        <w:fldChar w:fldCharType="end"/>
      </w:r>
    </w:p>
    <w:p w14:paraId="71BDE1FA" w14:textId="77777777" w:rsidR="000E0F39" w:rsidRDefault="000E0F39" w:rsidP="000E0F39">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Devuelve JSON. Se puede pedir CSV agregando &amp;format=csv</w:t>
      </w:r>
    </w:p>
    <w:p w14:paraId="1C931B00" w14:textId="77777777" w:rsidR="000E0F39" w:rsidRDefault="000E0F39" w:rsidP="000E0F39">
      <w:pPr>
        <w:rPr>
          <w:rFonts w:ascii="Times New Roman" w:hAnsi="Times New Roman" w:cs="Times New Roman"/>
        </w:rPr>
      </w:pPr>
    </w:p>
    <w:p w14:paraId="527F871F" w14:textId="77777777" w:rsidR="000E0F39" w:rsidRDefault="000E0F39" w:rsidP="000E0F39">
      <w:pPr>
        <w:pStyle w:val="Heading2"/>
        <w:shd w:val="clear" w:color="auto" w:fill="FFFFFF"/>
        <w:spacing w:before="120" w:after="0"/>
      </w:pPr>
      <w:r>
        <w:rPr>
          <w:rFonts w:ascii="Roboto" w:hAnsi="Roboto"/>
          <w:color w:val="121212"/>
          <w:sz w:val="34"/>
          <w:szCs w:val="34"/>
        </w:rPr>
        <w:t>Tema central del TP</w:t>
      </w:r>
    </w:p>
    <w:p w14:paraId="016F8BFA" w14:textId="77777777" w:rsidR="000E0F39" w:rsidRDefault="000E0F39" w:rsidP="000E0F39"/>
    <w:p w14:paraId="2F59B5E3" w14:textId="77777777" w:rsidR="000E0F39" w:rsidRDefault="000E0F39" w:rsidP="000E0F39">
      <w:pPr>
        <w:pStyle w:val="NormalWeb"/>
        <w:spacing w:before="0" w:beforeAutospacing="0" w:after="0" w:afterAutospacing="0"/>
      </w:pPr>
      <w:r>
        <w:rPr>
          <w:rFonts w:ascii="Arial" w:hAnsi="Arial" w:cs="Arial"/>
          <w:color w:val="000000"/>
          <w:sz w:val="22"/>
          <w:szCs w:val="22"/>
        </w:rPr>
        <w:t>“Movilidad urbana en Buenos Aires: Análisis y pronóstico de pasajeros de Subte, flujo vehicular y su relación con precipitaciones”</w:t>
      </w:r>
    </w:p>
    <w:p w14:paraId="1FA3848F" w14:textId="77777777" w:rsidR="000E0F39" w:rsidRDefault="000E0F39" w:rsidP="000E0F39">
      <w:pPr>
        <w:pStyle w:val="NormalWeb"/>
        <w:shd w:val="clear" w:color="auto" w:fill="FFFFFF"/>
        <w:spacing w:before="120" w:beforeAutospacing="0" w:after="0" w:afterAutospacing="0"/>
      </w:pPr>
      <w:r>
        <w:rPr>
          <w:rFonts w:ascii="Roboto" w:hAnsi="Roboto"/>
          <w:color w:val="121212"/>
          <w:sz w:val="21"/>
          <w:szCs w:val="21"/>
        </w:rPr>
        <w:t>La idea es tratar las tres series no como independientes sino como parte de un sistema: la lluvia impacta en cómo la gente se mueve por la ciudad, lo que conecta las tres series de forma natural y le da coherencia al trabajo.</w:t>
      </w:r>
    </w:p>
    <w:p w14:paraId="5F211EAD" w14:textId="77777777" w:rsidR="000E0F39" w:rsidRDefault="000E0F39" w:rsidP="000E0F39"/>
    <w:p w14:paraId="14A2C84D" w14:textId="77777777" w:rsidR="000E0F39" w:rsidRDefault="000E0F39" w:rsidP="000E0F39">
      <w:pPr>
        <w:pStyle w:val="Heading2"/>
        <w:shd w:val="clear" w:color="auto" w:fill="FFFFFF"/>
        <w:spacing w:before="120" w:after="0"/>
      </w:pPr>
      <w:r>
        <w:rPr>
          <w:rFonts w:ascii="Roboto" w:hAnsi="Roboto"/>
          <w:color w:val="121212"/>
          <w:sz w:val="34"/>
          <w:szCs w:val="34"/>
        </w:rPr>
        <w:t>Hipótesis de trabajo</w:t>
      </w:r>
    </w:p>
    <w:p w14:paraId="43EAEDFE" w14:textId="77777777" w:rsidR="000E0F39" w:rsidRDefault="000E0F39" w:rsidP="000E0F39">
      <w:pPr>
        <w:pStyle w:val="NormalWeb"/>
        <w:numPr>
          <w:ilvl w:val="0"/>
          <w:numId w:val="2"/>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H1 — Subte: La serie de pasajeros presenta una tendencia creciente en largo plazo por crecimiento de la ciudad</w:t>
      </w:r>
    </w:p>
    <w:p w14:paraId="26B8EFB5" w14:textId="77777777" w:rsidR="000E0F39"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H2 —  Subte: Estacionalidad anual marcada con caída en enero/febrero (vacaciones de verano), así como en fines de semana.</w:t>
      </w:r>
    </w:p>
    <w:p w14:paraId="1FD0C2B4" w14:textId="77777777" w:rsidR="000E0F39"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H3 — Subte: Estacionalidad marcada en diferentes horarios del día con picos por la mañana entre las 7 y las 9, y por la tarde de 17 a 19. </w:t>
      </w:r>
    </w:p>
    <w:p w14:paraId="26CA45F7" w14:textId="77777777" w:rsidR="000E0F39"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H4 — Peajes: El flujo vehicular presenta estacionalidad en horarios pico, pero también en fines de semana largos y vacaciones. </w:t>
      </w:r>
    </w:p>
    <w:p w14:paraId="38EACEA7" w14:textId="77777777" w:rsidR="000E0F39" w:rsidRPr="00783D14"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highlight w:val="yellow"/>
        </w:rPr>
      </w:pPr>
      <w:r w:rsidRPr="00783D14">
        <w:rPr>
          <w:rFonts w:ascii="Roboto" w:hAnsi="Roboto"/>
          <w:color w:val="121212"/>
          <w:sz w:val="21"/>
          <w:szCs w:val="21"/>
          <w:highlight w:val="yellow"/>
        </w:rPr>
        <w:lastRenderedPageBreak/>
        <w:t>H5 — Peajes: Las precipitaciones son un regresor significativos para los pasajeros de subte: a mayor lluvia, menos uso de subte por preferencia de movilidad en auto. </w:t>
      </w:r>
    </w:p>
    <w:p w14:paraId="23069FCE" w14:textId="77777777" w:rsidR="000E0F39"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H6 — Precipitaciones: La serie de lluvias mensuales es estacionaria en media (sin tendencia de largo plazo significativa) pero con patrón estacional propio del clima pampeano (más lluvias en otoño/primavera).</w:t>
      </w:r>
    </w:p>
    <w:p w14:paraId="502D7215" w14:textId="77777777" w:rsidR="000E0F39" w:rsidRDefault="000E0F39" w:rsidP="000E0F39">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H7 — Quiebre estructural COVID: La pandemia de 2020-2021 genera un quiebre estructural severo en subte y peajes. Se modelará mediante una variable dummy en el modelo SARIMA-X para no contaminar la estimación.</w:t>
      </w:r>
    </w:p>
    <w:p w14:paraId="7A7E7E12" w14:textId="77777777" w:rsidR="000E0F39" w:rsidRDefault="000E0F39" w:rsidP="000E0F39">
      <w:pPr>
        <w:pStyle w:val="NormalWeb"/>
        <w:shd w:val="clear" w:color="auto" w:fill="FFFFFF"/>
        <w:spacing w:before="120" w:beforeAutospacing="0" w:after="0" w:afterAutospacing="0"/>
      </w:pPr>
    </w:p>
    <w:p w14:paraId="61B76EB3" w14:textId="77777777" w:rsidR="000E0F39" w:rsidRDefault="000E0F39" w:rsidP="000E0F39">
      <w:pPr>
        <w:pStyle w:val="Heading2"/>
        <w:shd w:val="clear" w:color="auto" w:fill="FFFFFF"/>
        <w:spacing w:before="0" w:after="0"/>
      </w:pPr>
      <w:r>
        <w:rPr>
          <w:rFonts w:ascii="Roboto" w:hAnsi="Roboto"/>
          <w:color w:val="121212"/>
          <w:sz w:val="34"/>
          <w:szCs w:val="34"/>
        </w:rPr>
        <w:t>Plan de datos</w:t>
      </w:r>
    </w:p>
    <w:p w14:paraId="551EB419" w14:textId="77777777" w:rsidR="000E0F39" w:rsidRDefault="000E0F39" w:rsidP="000E0F39">
      <w:pPr>
        <w:pStyle w:val="Heading3"/>
        <w:shd w:val="clear" w:color="auto" w:fill="FFFFFF"/>
        <w:spacing w:before="0" w:after="0"/>
      </w:pPr>
      <w:r>
        <w:rPr>
          <w:rFonts w:ascii="Roboto" w:hAnsi="Roboto"/>
          <w:color w:val="121212"/>
          <w:sz w:val="26"/>
          <w:szCs w:val="26"/>
        </w:rPr>
        <w:t>Período de análisis</w:t>
      </w:r>
    </w:p>
    <w:p w14:paraId="15F01294"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Junio 2013 – Diciem</w:t>
      </w:r>
      <w:proofErr w:type="spellStart"/>
      <w:r w:rsidRPr="00B0083A">
        <w:rPr>
          <w:rFonts w:ascii="Roboto" w:hAnsi="Roboto"/>
          <w:color w:val="121212"/>
          <w:sz w:val="21"/>
          <w:szCs w:val="21"/>
          <w:lang w:val="es-AR"/>
        </w:rPr>
        <w:t>bre</w:t>
      </w:r>
      <w:proofErr w:type="spellEnd"/>
      <w:r w:rsidRPr="00B0083A">
        <w:rPr>
          <w:rFonts w:ascii="Roboto" w:hAnsi="Roboto"/>
          <w:color w:val="121212"/>
          <w:sz w:val="21"/>
          <w:szCs w:val="21"/>
          <w:lang w:val="es-AR"/>
        </w:rPr>
        <w:t xml:space="preserve"> 2025</w:t>
      </w:r>
      <w:r>
        <w:rPr>
          <w:rFonts w:ascii="Roboto" w:hAnsi="Roboto"/>
          <w:color w:val="121212"/>
          <w:sz w:val="21"/>
          <w:szCs w:val="21"/>
        </w:rPr>
        <w:t xml:space="preserve"> (aproximadamente 138 observaciones mensuales) con datos por hora. Usar el mismo período para las tres series facilita la comparación y el modelo con regresores.</w:t>
      </w:r>
    </w:p>
    <w:p w14:paraId="36057608" w14:textId="77777777" w:rsidR="000E0F39" w:rsidRDefault="000E0F39" w:rsidP="000E0F39">
      <w:pPr>
        <w:pStyle w:val="Heading3"/>
        <w:shd w:val="clear" w:color="auto" w:fill="FFFFFF"/>
        <w:spacing w:before="0" w:after="0"/>
      </w:pPr>
      <w:r>
        <w:rPr>
          <w:rFonts w:ascii="Roboto" w:hAnsi="Roboto"/>
          <w:color w:val="121212"/>
          <w:sz w:val="26"/>
          <w:szCs w:val="26"/>
        </w:rPr>
        <w:t>Procesamiento de cada fuente</w:t>
      </w:r>
    </w:p>
    <w:p w14:paraId="0A8DE893"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Subte (molinetes):</w:t>
      </w:r>
    </w:p>
    <w:p w14:paraId="012016D0" w14:textId="77777777" w:rsidR="000E0F39" w:rsidRDefault="000E0F39" w:rsidP="000E0F39">
      <w:pPr>
        <w:pStyle w:val="NormalWeb"/>
        <w:numPr>
          <w:ilvl w:val="0"/>
          <w:numId w:val="3"/>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Descargar CSVs por año</w:t>
      </w:r>
    </w:p>
    <w:p w14:paraId="4717E102" w14:textId="77777777" w:rsidR="000E0F39" w:rsidRDefault="000E0F39" w:rsidP="000E0F39">
      <w:pPr>
        <w:pStyle w:val="NormalWeb"/>
        <w:numPr>
          <w:ilvl w:val="0"/>
          <w:numId w:val="3"/>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Agrupar por hora: </w:t>
      </w:r>
      <w:r>
        <w:rPr>
          <w:rFonts w:ascii="Courier New" w:hAnsi="Courier New" w:cs="Courier New"/>
          <w:color w:val="8D2525"/>
          <w:sz w:val="20"/>
          <w:szCs w:val="20"/>
        </w:rPr>
        <w:t>sum(pax_total)</w:t>
      </w:r>
      <w:r>
        <w:rPr>
          <w:rFonts w:ascii="Roboto" w:hAnsi="Roboto"/>
          <w:color w:val="121212"/>
          <w:sz w:val="21"/>
          <w:szCs w:val="21"/>
        </w:rPr>
        <w:t xml:space="preserve"> sumando todos los molinetes y tipos de pasaje</w:t>
      </w:r>
    </w:p>
    <w:p w14:paraId="7A1FF373" w14:textId="77777777" w:rsidR="000E0F39" w:rsidRDefault="000E0F39" w:rsidP="000E0F39">
      <w:pPr>
        <w:pStyle w:val="NormalWeb"/>
        <w:numPr>
          <w:ilvl w:val="0"/>
          <w:numId w:val="3"/>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total de pasajeros en la red</w:t>
      </w:r>
    </w:p>
    <w:p w14:paraId="36CB7365" w14:textId="77777777" w:rsidR="000E0F39" w:rsidRDefault="000E0F39" w:rsidP="000E0F39">
      <w:pPr>
        <w:pStyle w:val="NormalWeb"/>
        <w:shd w:val="clear" w:color="auto" w:fill="FFFFFF"/>
        <w:spacing w:before="120" w:beforeAutospacing="0" w:after="0" w:afterAutospacing="0"/>
      </w:pPr>
      <w:r>
        <w:rPr>
          <w:rFonts w:ascii="Roboto" w:hAnsi="Roboto"/>
          <w:color w:val="121212"/>
          <w:sz w:val="21"/>
          <w:szCs w:val="21"/>
        </w:rPr>
        <w:t>Peajes AUSA:</w:t>
      </w:r>
    </w:p>
    <w:p w14:paraId="3616C3D5" w14:textId="77777777" w:rsidR="000E0F39" w:rsidRDefault="000E0F39" w:rsidP="000E0F39">
      <w:pPr>
        <w:pStyle w:val="NormalWeb"/>
        <w:numPr>
          <w:ilvl w:val="0"/>
          <w:numId w:val="4"/>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Descargar CSVs por año</w:t>
      </w:r>
    </w:p>
    <w:p w14:paraId="22638990" w14:textId="77777777" w:rsidR="000E0F39" w:rsidRDefault="000E0F39" w:rsidP="000E0F39">
      <w:pPr>
        <w:pStyle w:val="NormalWeb"/>
        <w:numPr>
          <w:ilvl w:val="0"/>
          <w:numId w:val="4"/>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Agrupar por hora: </w:t>
      </w:r>
      <w:r>
        <w:rPr>
          <w:rFonts w:ascii="Courier New" w:hAnsi="Courier New" w:cs="Courier New"/>
          <w:color w:val="8D2525"/>
          <w:sz w:val="20"/>
          <w:szCs w:val="20"/>
        </w:rPr>
        <w:t>sum(cantidad)</w:t>
      </w:r>
      <w:r>
        <w:rPr>
          <w:rFonts w:ascii="Roboto" w:hAnsi="Roboto"/>
          <w:color w:val="121212"/>
          <w:sz w:val="21"/>
          <w:szCs w:val="21"/>
        </w:rPr>
        <w:t xml:space="preserve"> de todos los peajes y tipos de vehículo</w:t>
      </w:r>
    </w:p>
    <w:p w14:paraId="5FA12237" w14:textId="77777777" w:rsidR="000E0F39" w:rsidRDefault="000E0F39" w:rsidP="000E0F39">
      <w:pPr>
        <w:pStyle w:val="NormalWeb"/>
        <w:numPr>
          <w:ilvl w:val="0"/>
          <w:numId w:val="4"/>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total de vehículos</w:t>
      </w:r>
    </w:p>
    <w:p w14:paraId="43AA8E11" w14:textId="77777777" w:rsidR="000E0F39" w:rsidRDefault="000E0F39" w:rsidP="000E0F39">
      <w:pPr>
        <w:pStyle w:val="NormalWeb"/>
        <w:shd w:val="clear" w:color="auto" w:fill="FFFFFF"/>
        <w:spacing w:before="120" w:beforeAutospacing="0" w:after="0" w:afterAutospacing="0"/>
      </w:pPr>
      <w:r>
        <w:rPr>
          <w:rFonts w:ascii="Roboto" w:hAnsi="Roboto"/>
          <w:color w:val="121212"/>
          <w:sz w:val="21"/>
          <w:szCs w:val="21"/>
        </w:rPr>
        <w:t>Precipitaciones:</w:t>
      </w:r>
    </w:p>
    <w:p w14:paraId="01190636" w14:textId="77777777" w:rsidR="000E0F39" w:rsidRDefault="000E0F39" w:rsidP="000E0F39">
      <w:pPr>
        <w:pStyle w:val="NormalWeb"/>
        <w:numPr>
          <w:ilvl w:val="0"/>
          <w:numId w:val="5"/>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 xml:space="preserve">Llamar a la API de Open-Meteo con </w:t>
      </w:r>
      <w:r>
        <w:rPr>
          <w:rFonts w:ascii="Courier New" w:hAnsi="Courier New" w:cs="Courier New"/>
          <w:color w:val="8D2525"/>
          <w:sz w:val="20"/>
          <w:szCs w:val="20"/>
        </w:rPr>
        <w:t>daily=precipitation_sum</w:t>
      </w:r>
      <w:r>
        <w:rPr>
          <w:rFonts w:ascii="Roboto" w:hAnsi="Roboto"/>
          <w:color w:val="121212"/>
          <w:sz w:val="21"/>
          <w:szCs w:val="21"/>
        </w:rPr>
        <w:t xml:space="preserve"> para el período completo</w:t>
      </w:r>
    </w:p>
    <w:p w14:paraId="380FE58A" w14:textId="77777777" w:rsidR="000E0F39" w:rsidRDefault="000E0F39" w:rsidP="000E0F39">
      <w:pPr>
        <w:pStyle w:val="NormalWeb"/>
        <w:numPr>
          <w:ilvl w:val="0"/>
          <w:numId w:val="5"/>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Agregar a mensual: </w:t>
      </w:r>
      <w:r>
        <w:rPr>
          <w:rFonts w:ascii="Courier New" w:hAnsi="Courier New" w:cs="Courier New"/>
          <w:color w:val="8D2525"/>
          <w:sz w:val="20"/>
          <w:szCs w:val="20"/>
        </w:rPr>
        <w:t>sum(precipitation_sum)</w:t>
      </w:r>
      <w:r>
        <w:rPr>
          <w:rFonts w:ascii="Roboto" w:hAnsi="Roboto"/>
          <w:color w:val="121212"/>
          <w:sz w:val="21"/>
          <w:szCs w:val="21"/>
        </w:rPr>
        <w:t xml:space="preserve"> por mes</w:t>
      </w:r>
    </w:p>
    <w:p w14:paraId="54E5A125" w14:textId="77777777" w:rsidR="000E0F39" w:rsidRDefault="000E0F39" w:rsidP="000E0F39">
      <w:pPr>
        <w:pStyle w:val="NormalWeb"/>
        <w:numPr>
          <w:ilvl w:val="0"/>
          <w:numId w:val="5"/>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mm de lluvia acumulada en CABA</w:t>
      </w:r>
    </w:p>
    <w:p w14:paraId="0863EEB9" w14:textId="77777777" w:rsidR="000E0F39" w:rsidRDefault="000E0F39" w:rsidP="000E0F39">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Variable dummy COVID</w:t>
      </w:r>
    </w:p>
    <w:p w14:paraId="7CC9E05B"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 xml:space="preserve">Crear una variable binaria: </w:t>
      </w:r>
      <w:r>
        <w:rPr>
          <w:rFonts w:ascii="Courier New" w:hAnsi="Courier New" w:cs="Courier New"/>
          <w:color w:val="8D2525"/>
          <w:sz w:val="20"/>
          <w:szCs w:val="20"/>
        </w:rPr>
        <w:t>1</w:t>
      </w:r>
      <w:r>
        <w:rPr>
          <w:rFonts w:ascii="Roboto" w:hAnsi="Roboto"/>
          <w:color w:val="121212"/>
          <w:sz w:val="21"/>
          <w:szCs w:val="21"/>
        </w:rPr>
        <w:t xml:space="preserve"> para el período marzo 2020 – diciembre 2021, </w:t>
      </w:r>
      <w:r>
        <w:rPr>
          <w:rFonts w:ascii="Courier New" w:hAnsi="Courier New" w:cs="Courier New"/>
          <w:color w:val="8D2525"/>
          <w:sz w:val="20"/>
          <w:szCs w:val="20"/>
        </w:rPr>
        <w:t>0</w:t>
      </w:r>
      <w:r>
        <w:rPr>
          <w:rFonts w:ascii="Roboto" w:hAnsi="Roboto"/>
          <w:color w:val="121212"/>
          <w:sz w:val="21"/>
          <w:szCs w:val="21"/>
        </w:rPr>
        <w:t xml:space="preserve"> el resto. Esto captura el impacto del ASPO y la lenta recuperación sin distorsionar los parámetros del modelo.</w:t>
      </w:r>
    </w:p>
    <w:p w14:paraId="67B10941" w14:textId="77777777" w:rsidR="000E0F39" w:rsidRDefault="002858D2" w:rsidP="000E0F39">
      <w:r>
        <w:rPr>
          <w:noProof/>
        </w:rPr>
        <w:pict w14:anchorId="2C64813C">
          <v:rect id="_x0000_i1029" alt="" style="width:468pt;height:.05pt;mso-width-percent:0;mso-height-percent:0;mso-width-percent:0;mso-height-percent:0" o:hralign="center" o:hrstd="t" o:hr="t" fillcolor="#a0a0a0" stroked="f"/>
        </w:pict>
      </w:r>
    </w:p>
    <w:p w14:paraId="0DBCE8BE" w14:textId="77777777" w:rsidR="000E0F39" w:rsidRDefault="000E0F39" w:rsidP="000E0F39">
      <w:pPr>
        <w:pStyle w:val="Heading2"/>
        <w:shd w:val="clear" w:color="auto" w:fill="FFFFFF"/>
        <w:spacing w:before="120" w:after="0"/>
      </w:pPr>
      <w:r>
        <w:rPr>
          <w:rFonts w:ascii="Roboto" w:hAnsi="Roboto"/>
          <w:color w:val="121212"/>
          <w:sz w:val="34"/>
          <w:szCs w:val="34"/>
        </w:rPr>
        <w:t>Estructura del informe (con contenido sugerido)</w:t>
      </w:r>
    </w:p>
    <w:p w14:paraId="23398A9B" w14:textId="77777777" w:rsidR="000E0F39" w:rsidRDefault="000E0F39" w:rsidP="000E0F39">
      <w:pPr>
        <w:pStyle w:val="Heading3"/>
        <w:shd w:val="clear" w:color="auto" w:fill="FFFFFF"/>
        <w:spacing w:before="0" w:after="0"/>
      </w:pPr>
      <w:r>
        <w:rPr>
          <w:rFonts w:ascii="Roboto" w:hAnsi="Roboto"/>
          <w:color w:val="121212"/>
          <w:sz w:val="26"/>
          <w:szCs w:val="26"/>
        </w:rPr>
        <w:t>i. Carátula</w:t>
      </w:r>
    </w:p>
    <w:p w14:paraId="71871E05"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Título, integrantes, comisión, fecha.</w:t>
      </w:r>
    </w:p>
    <w:p w14:paraId="67978B1E" w14:textId="77777777" w:rsidR="000E0F39" w:rsidRDefault="000E0F39" w:rsidP="000E0F39">
      <w:pPr>
        <w:pStyle w:val="Heading3"/>
        <w:shd w:val="clear" w:color="auto" w:fill="FFFFFF"/>
        <w:spacing w:before="0" w:after="0"/>
      </w:pPr>
      <w:r>
        <w:rPr>
          <w:rFonts w:ascii="Roboto" w:hAnsi="Roboto"/>
          <w:color w:val="121212"/>
          <w:sz w:val="26"/>
          <w:szCs w:val="26"/>
        </w:rPr>
        <w:t>ii. Resumen Ejecutivo (1 página)</w:t>
      </w:r>
    </w:p>
    <w:p w14:paraId="3BC0EDEB"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Qué se estudió, qué datos se usaron, qué modelos se seleccionaron y cuál es el hallazgo principal (ej: la lluvia tiene efecto significativo en el uso del subte; ambas series de movilidad son no estacionarias con estacionalidad marcada de período 12).</w:t>
      </w:r>
    </w:p>
    <w:p w14:paraId="7374190C" w14:textId="77777777" w:rsidR="000E0F39" w:rsidRDefault="000E0F39" w:rsidP="000E0F39">
      <w:pPr>
        <w:pStyle w:val="Heading3"/>
        <w:shd w:val="clear" w:color="auto" w:fill="FFFFFF"/>
        <w:spacing w:before="0" w:after="0"/>
      </w:pPr>
      <w:r>
        <w:rPr>
          <w:rFonts w:ascii="Roboto" w:hAnsi="Roboto"/>
          <w:color w:val="121212"/>
          <w:sz w:val="26"/>
          <w:szCs w:val="26"/>
        </w:rPr>
        <w:lastRenderedPageBreak/>
        <w:t>iii. Índice</w:t>
      </w:r>
    </w:p>
    <w:p w14:paraId="47F1E8E8" w14:textId="77777777" w:rsidR="000E0F39" w:rsidRDefault="000E0F39" w:rsidP="000E0F39">
      <w:pPr>
        <w:pStyle w:val="Heading3"/>
        <w:shd w:val="clear" w:color="auto" w:fill="FFFFFF"/>
        <w:spacing w:before="0" w:after="0"/>
      </w:pPr>
      <w:r>
        <w:rPr>
          <w:rFonts w:ascii="Roboto" w:hAnsi="Roboto"/>
          <w:color w:val="121212"/>
          <w:sz w:val="26"/>
          <w:szCs w:val="26"/>
        </w:rPr>
        <w:t>iv. Introducción</w:t>
      </w:r>
    </w:p>
    <w:p w14:paraId="2680D663" w14:textId="77777777" w:rsidR="000E0F39" w:rsidRDefault="000E0F39" w:rsidP="000E0F39">
      <w:pPr>
        <w:pStyle w:val="NormalWeb"/>
        <w:numPr>
          <w:ilvl w:val="0"/>
          <w:numId w:val="6"/>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Contextualizar la movilidad urbana en CABA como objeto de estudio relevante para la planificación pública</w:t>
      </w:r>
    </w:p>
    <w:p w14:paraId="37AD6018" w14:textId="77777777" w:rsidR="000E0F39" w:rsidRDefault="000E0F39" w:rsidP="000E0F39">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Mencionar la disponibilidad de datos abiertos del GCBA y Open-Meteo</w:t>
      </w:r>
    </w:p>
    <w:p w14:paraId="114C412D" w14:textId="77777777" w:rsidR="000E0F39" w:rsidRDefault="000E0F39" w:rsidP="000E0F39">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Plantear las hipótesis (ver arriba)</w:t>
      </w:r>
    </w:p>
    <w:p w14:paraId="356D27A0" w14:textId="77777777" w:rsidR="000E0F39" w:rsidRDefault="000E0F39" w:rsidP="000E0F39">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Describir brevemente la estructura del informe</w:t>
      </w:r>
    </w:p>
    <w:p w14:paraId="3795FB85" w14:textId="77777777" w:rsidR="000E0F39" w:rsidRDefault="000E0F39" w:rsidP="000E0F39">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 Marco Teórico</w:t>
      </w:r>
    </w:p>
    <w:p w14:paraId="0FDEE15B"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Acá escriben los modelos formalmente. Secciones sugeridas:</w:t>
      </w:r>
    </w:p>
    <w:p w14:paraId="747810D6" w14:textId="77777777" w:rsidR="000E0F39" w:rsidRDefault="000E0F39" w:rsidP="000E0F39">
      <w:pPr>
        <w:pStyle w:val="NormalWeb"/>
        <w:numPr>
          <w:ilvl w:val="0"/>
          <w:numId w:val="7"/>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Definición de serie temporal y estacionariedad (débil/fuerte)</w:t>
      </w:r>
    </w:p>
    <w:p w14:paraId="3D2AC519"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Procesos AR(p), MA(q), ARMA(p,q)</w:t>
      </w:r>
    </w:p>
    <w:p w14:paraId="2CD82461"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Integración y diferenciación: proceso I(d), definición de ARIMA(p,d,q)</w:t>
      </w:r>
    </w:p>
    <w:p w14:paraId="7AF85DF9"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Extensión estacional: SARIMA(p,d,q)(P,D,Q)s con s=12</w:t>
      </w:r>
    </w:p>
    <w:p w14:paraId="253A1743"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Modelo SARIMA-X: incorporación de regresores exógenos</w:t>
      </w:r>
    </w:p>
    <w:p w14:paraId="409B3E48"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Test ADF (hipótesis nula: raíz unitaria)</w:t>
      </w:r>
    </w:p>
    <w:p w14:paraId="1EB11AF0"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Test KPSS (hipótesis nula: estacionariedad)</w:t>
      </w:r>
    </w:p>
    <w:p w14:paraId="0B63274E"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Criterios de información: AIC y BIC</w:t>
      </w:r>
    </w:p>
    <w:p w14:paraId="75E7A510"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FAC y FACP: cómo se usan para identificar el orden del modelo</w:t>
      </w:r>
    </w:p>
    <w:p w14:paraId="52B44CD3" w14:textId="77777777" w:rsidR="000E0F39" w:rsidRDefault="000E0F39" w:rsidP="000E0F39">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Diagnóstico de residuos: Ljung-Box, Jarque-Bera, Q-Q plot</w:t>
      </w:r>
    </w:p>
    <w:p w14:paraId="69F417C9" w14:textId="77777777" w:rsidR="000E0F39" w:rsidRDefault="000E0F39" w:rsidP="000E0F39">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vi. Análisis de Resultados</w:t>
      </w:r>
    </w:p>
    <w:p w14:paraId="544171C1"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Sección por serie (estructura idéntica para las tres):</w:t>
      </w:r>
    </w:p>
    <w:p w14:paraId="6DB5DCFD"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6.1 Pasajeros de Subte</w:t>
      </w:r>
    </w:p>
    <w:p w14:paraId="74EBDAFB"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6.1.1 Gráfico de la serie original</w:t>
      </w:r>
    </w:p>
    <w:p w14:paraId="173CBFCE"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6.1.2 Análisis de estacionariedad y descomposición (STL)</w:t>
      </w:r>
    </w:p>
    <w:p w14:paraId="1096F59D"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6.1.3 FAS, FAC y FACP</w:t>
      </w:r>
    </w:p>
    <w:p w14:paraId="0A594F3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6.1.4 Tests de raíces unitarias (ADF + KPSS)</w:t>
      </w:r>
    </w:p>
    <w:p w14:paraId="1F40E040"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6.1.5 Estimación de modelos SARIMA (grilla de parámetros)</w:t>
      </w:r>
    </w:p>
    <w:p w14:paraId="16E7C6FA"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6.1.6 Selección del modelo (AIC/BIC + significatividad)</w:t>
      </w:r>
    </w:p>
    <w:p w14:paraId="54C9227C"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6.1.7 Train/Test split y métricas (RMSE, MAE, MAPE)</w:t>
      </w:r>
    </w:p>
    <w:p w14:paraId="433CDBB1"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6.1.8 Comparación con modelos alternativos</w:t>
      </w:r>
    </w:p>
    <w:p w14:paraId="10C4FDAE"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6.1.9 Diagnóstico de residuos</w:t>
      </w:r>
    </w:p>
    <w:p w14:paraId="7044B0A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6.1.10 Pronóstico</w:t>
      </w:r>
    </w:p>
    <w:p w14:paraId="163A22EE" w14:textId="77777777" w:rsidR="000E0F39" w:rsidRDefault="000E0F39" w:rsidP="000E0F39"/>
    <w:p w14:paraId="4F5ACEB7"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6.2 Flujo Vehicular en Peajes AUSA</w:t>
      </w:r>
    </w:p>
    <w:p w14:paraId="69B91C8B"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[misma estructura]</w:t>
      </w:r>
    </w:p>
    <w:p w14:paraId="7D88E712" w14:textId="77777777" w:rsidR="000E0F39" w:rsidRDefault="000E0F39" w:rsidP="000E0F39"/>
    <w:p w14:paraId="081590EF"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6.3 Precipitaciones en CABA</w:t>
      </w:r>
    </w:p>
    <w:p w14:paraId="3E65C9CF"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[misma estructura]</w:t>
      </w:r>
    </w:p>
    <w:p w14:paraId="61FBF1C0" w14:textId="77777777" w:rsidR="000E0F39" w:rsidRDefault="000E0F39" w:rsidP="000E0F39"/>
    <w:p w14:paraId="19762DA4"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6.4 Modelo SARIMA-X: Pasajeros de Subte con Precipitaciones</w:t>
      </w:r>
    </w:p>
    <w:p w14:paraId="65C1ACB7"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6.4.1 Justificación del regresor</w:t>
      </w:r>
    </w:p>
    <w:p w14:paraId="520BD4E7"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6.4.2 Incorporación de la dummy COVID</w:t>
      </w:r>
    </w:p>
    <w:p w14:paraId="2AF37564"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6.4.3 Estimación y selección del modelo</w:t>
      </w:r>
    </w:p>
    <w:p w14:paraId="58EB3E24"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6.4.4 Interpretación del coeficiente de precipitaciones</w:t>
      </w:r>
    </w:p>
    <w:p w14:paraId="53BBC97D"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lastRenderedPageBreak/>
        <w:t>  6.4.5 Diagnóstico y pronóstico condicional</w:t>
      </w:r>
    </w:p>
    <w:p w14:paraId="662D9527" w14:textId="77777777" w:rsidR="000E0F39" w:rsidRDefault="000E0F39" w:rsidP="000E0F39">
      <w:pPr>
        <w:pStyle w:val="NormalWeb"/>
        <w:shd w:val="clear" w:color="auto" w:fill="FFFFFF"/>
        <w:spacing w:before="0" w:beforeAutospacing="0" w:after="0" w:afterAutospacing="0"/>
      </w:pPr>
    </w:p>
    <w:p w14:paraId="7DBFE3B6" w14:textId="77777777" w:rsidR="000E0F39" w:rsidRDefault="000E0F39" w:rsidP="000E0F39">
      <w:pPr>
        <w:pStyle w:val="Heading3"/>
        <w:shd w:val="clear" w:color="auto" w:fill="FFFFFF"/>
        <w:spacing w:before="120" w:after="0"/>
      </w:pPr>
      <w:r>
        <w:rPr>
          <w:rFonts w:ascii="Roboto" w:hAnsi="Roboto"/>
          <w:color w:val="121212"/>
          <w:sz w:val="26"/>
          <w:szCs w:val="26"/>
        </w:rPr>
        <w:t>vii. Conclusiones</w:t>
      </w:r>
    </w:p>
    <w:p w14:paraId="458FC88F" w14:textId="77777777" w:rsidR="000E0F39" w:rsidRDefault="000E0F39" w:rsidP="000E0F39">
      <w:pPr>
        <w:pStyle w:val="NormalWeb"/>
        <w:numPr>
          <w:ilvl w:val="0"/>
          <w:numId w:val="8"/>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Las tres series son no estacionarias (requieren diferenciación regular y/o estacional)</w:t>
      </w:r>
    </w:p>
    <w:p w14:paraId="380DF123" w14:textId="77777777" w:rsidR="000E0F39" w:rsidRDefault="000E0F39" w:rsidP="000E0F39">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El subte y los peajes tienen estacionalidad opuesta (o similar — lo dirán los datos)</w:t>
      </w:r>
    </w:p>
    <w:p w14:paraId="09E8A7BB" w14:textId="77777777" w:rsidR="000E0F39" w:rsidRDefault="000E0F39" w:rsidP="000E0F39">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La lluvia tiene (o no) efecto estadísticamente significativo sobre el subte</w:t>
      </w:r>
    </w:p>
    <w:p w14:paraId="3D776682" w14:textId="77777777" w:rsidR="000E0F39" w:rsidRDefault="000E0F39" w:rsidP="000E0F39">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El SARIMA-X supera (o no) al SARIMA puro en métricas de performance</w:t>
      </w:r>
    </w:p>
    <w:p w14:paraId="28A45E32" w14:textId="77777777" w:rsidR="000E0F39" w:rsidRDefault="000E0F39" w:rsidP="000E0F39">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Limitaciones: el quiebre COVID dificulta la estimación; la serie de subte refleja también la expansión de líneas</w:t>
      </w:r>
    </w:p>
    <w:p w14:paraId="44BE7D41" w14:textId="77777777" w:rsidR="000E0F39" w:rsidRDefault="000E0F39" w:rsidP="000E0F39">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viii. Referencias</w:t>
      </w:r>
    </w:p>
    <w:p w14:paraId="5AD7FF54"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APA: Peña (2010), Hyndman &amp; Athanasopoulos (2018), documentación Open-Meteo, portal datos GCBA, etc.</w:t>
      </w:r>
    </w:p>
    <w:p w14:paraId="2B6B15C1" w14:textId="77777777" w:rsidR="000E0F39" w:rsidRDefault="000E0F39" w:rsidP="000E0F39">
      <w:pPr>
        <w:pStyle w:val="Heading3"/>
        <w:shd w:val="clear" w:color="auto" w:fill="FFFFFF"/>
        <w:spacing w:before="0" w:after="0"/>
      </w:pPr>
      <w:r>
        <w:rPr>
          <w:rFonts w:ascii="Roboto" w:hAnsi="Roboto"/>
          <w:color w:val="121212"/>
          <w:sz w:val="26"/>
          <w:szCs w:val="26"/>
        </w:rPr>
        <w:t>ix. Apéndices</w:t>
      </w:r>
    </w:p>
    <w:p w14:paraId="462E5798" w14:textId="77777777" w:rsidR="000E0F39" w:rsidRDefault="000E0F39" w:rsidP="000E0F39">
      <w:pPr>
        <w:pStyle w:val="NormalWeb"/>
        <w:numPr>
          <w:ilvl w:val="0"/>
          <w:numId w:val="9"/>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Código Python completo</w:t>
      </w:r>
    </w:p>
    <w:p w14:paraId="7AE32AD2" w14:textId="77777777" w:rsidR="000E0F39" w:rsidRDefault="000E0F39" w:rsidP="000E0F39">
      <w:pPr>
        <w:pStyle w:val="NormalWeb"/>
        <w:numPr>
          <w:ilvl w:val="0"/>
          <w:numId w:val="9"/>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Tablas completas de modelos estimados</w:t>
      </w:r>
    </w:p>
    <w:p w14:paraId="77EEBADD" w14:textId="77777777" w:rsidR="000E0F39" w:rsidRDefault="000E0F39" w:rsidP="000E0F39">
      <w:pPr>
        <w:pStyle w:val="NormalWeb"/>
        <w:numPr>
          <w:ilvl w:val="0"/>
          <w:numId w:val="9"/>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Gráficos adicionales</w:t>
      </w:r>
    </w:p>
    <w:p w14:paraId="1C83A4CD" w14:textId="77777777" w:rsidR="000E0F39" w:rsidRDefault="002858D2" w:rsidP="000E0F39">
      <w:pPr>
        <w:rPr>
          <w:rFonts w:ascii="Times New Roman" w:hAnsi="Times New Roman"/>
        </w:rPr>
      </w:pPr>
      <w:r>
        <w:rPr>
          <w:noProof/>
        </w:rPr>
        <w:pict w14:anchorId="7BEB50FB">
          <v:rect id="_x0000_i1028" alt="" style="width:468pt;height:.05pt;mso-width-percent:0;mso-height-percent:0;mso-width-percent:0;mso-height-percent:0" o:hralign="center" o:hrstd="t" o:hr="t" fillcolor="#a0a0a0" stroked="f"/>
        </w:pict>
      </w:r>
    </w:p>
    <w:p w14:paraId="01561156" w14:textId="77777777" w:rsidR="000E0F39" w:rsidRDefault="000E0F39" w:rsidP="000E0F39">
      <w:pPr>
        <w:pStyle w:val="Heading2"/>
        <w:shd w:val="clear" w:color="auto" w:fill="FFFFFF"/>
        <w:spacing w:before="120" w:after="0"/>
      </w:pPr>
      <w:r>
        <w:rPr>
          <w:rFonts w:ascii="Roboto" w:hAnsi="Roboto"/>
          <w:color w:val="121212"/>
          <w:sz w:val="34"/>
          <w:szCs w:val="34"/>
        </w:rPr>
        <w:t>Workflow técnico sugerido (Python)</w:t>
      </w:r>
    </w:p>
    <w:p w14:paraId="5DE3C0F2"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1. Descarga y limpieza de datos</w:t>
      </w:r>
    </w:p>
    <w:p w14:paraId="056DE04E"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 subte_raw → aggregate mensual → subte_mensual.csv</w:t>
      </w:r>
    </w:p>
    <w:p w14:paraId="6342CDDA"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 peajes_raw → aggregate mensual → peajes_mensual.csv</w:t>
      </w:r>
    </w:p>
    <w:p w14:paraId="14E002E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 openmeteo_api → aggregate mensual → lluvia_mensual.csv</w:t>
      </w:r>
    </w:p>
    <w:p w14:paraId="70DC4888" w14:textId="77777777" w:rsidR="000E0F39" w:rsidRDefault="000E0F39" w:rsidP="000E0F39"/>
    <w:p w14:paraId="4DD789D5"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2. Por cada serie:</w:t>
      </w:r>
    </w:p>
    <w:p w14:paraId="60CF96F4"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a. Plot serie original</w:t>
      </w:r>
    </w:p>
    <w:p w14:paraId="16DF020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b. Descomposición STL (trend + seasonal + residual)</w:t>
      </w:r>
    </w:p>
    <w:p w14:paraId="045DBC42"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c. Plot FAC + FACP + FAS en una figura</w:t>
      </w:r>
    </w:p>
    <w:p w14:paraId="1B0BF12B"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d. ADF test (con constante, con tendencia)</w:t>
      </w:r>
    </w:p>
    <w:p w14:paraId="342FB326"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e. KPSS test</w:t>
      </w:r>
    </w:p>
    <w:p w14:paraId="24F878F2"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f. Si no estacionaria → diferenciar (d=1, D=1 si hay estacionalidad)</w:t>
      </w:r>
    </w:p>
    <w:p w14:paraId="6B44A1F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g. Grilla SARIMA: p</w:t>
      </w:r>
      <w:r>
        <w:rPr>
          <w:rFonts w:ascii="Cambria Math" w:hAnsi="Cambria Math" w:cs="Cambria Math"/>
          <w:color w:val="14181F"/>
          <w:sz w:val="20"/>
          <w:szCs w:val="20"/>
        </w:rPr>
        <w:t>∈</w:t>
      </w:r>
      <w:r>
        <w:rPr>
          <w:rFonts w:ascii="Courier New" w:hAnsi="Courier New" w:cs="Courier New"/>
          <w:color w:val="14181F"/>
          <w:sz w:val="20"/>
          <w:szCs w:val="20"/>
        </w:rPr>
        <w:t>[0,3], d</w:t>
      </w:r>
      <w:r>
        <w:rPr>
          <w:rFonts w:ascii="Cambria Math" w:hAnsi="Cambria Math" w:cs="Cambria Math"/>
          <w:color w:val="14181F"/>
          <w:sz w:val="20"/>
          <w:szCs w:val="20"/>
        </w:rPr>
        <w:t>∈</w:t>
      </w:r>
      <w:r>
        <w:rPr>
          <w:rFonts w:ascii="Courier New" w:hAnsi="Courier New" w:cs="Courier New"/>
          <w:color w:val="14181F"/>
          <w:sz w:val="20"/>
          <w:szCs w:val="20"/>
        </w:rPr>
        <w:t>[0,1], q</w:t>
      </w:r>
      <w:r>
        <w:rPr>
          <w:rFonts w:ascii="Cambria Math" w:hAnsi="Cambria Math" w:cs="Cambria Math"/>
          <w:color w:val="14181F"/>
          <w:sz w:val="20"/>
          <w:szCs w:val="20"/>
        </w:rPr>
        <w:t>∈</w:t>
      </w:r>
      <w:r>
        <w:rPr>
          <w:rFonts w:ascii="Courier New" w:hAnsi="Courier New" w:cs="Courier New"/>
          <w:color w:val="14181F"/>
          <w:sz w:val="20"/>
          <w:szCs w:val="20"/>
        </w:rPr>
        <w:t>[0,3], P</w:t>
      </w:r>
      <w:r>
        <w:rPr>
          <w:rFonts w:ascii="Cambria Math" w:hAnsi="Cambria Math" w:cs="Cambria Math"/>
          <w:color w:val="14181F"/>
          <w:sz w:val="20"/>
          <w:szCs w:val="20"/>
        </w:rPr>
        <w:t>∈</w:t>
      </w:r>
      <w:r>
        <w:rPr>
          <w:rFonts w:ascii="Courier New" w:hAnsi="Courier New" w:cs="Courier New"/>
          <w:color w:val="14181F"/>
          <w:sz w:val="20"/>
          <w:szCs w:val="20"/>
        </w:rPr>
        <w:t>[0,1], D</w:t>
      </w:r>
      <w:r>
        <w:rPr>
          <w:rFonts w:ascii="Cambria Math" w:hAnsi="Cambria Math" w:cs="Cambria Math"/>
          <w:color w:val="14181F"/>
          <w:sz w:val="20"/>
          <w:szCs w:val="20"/>
        </w:rPr>
        <w:t>∈</w:t>
      </w:r>
      <w:r>
        <w:rPr>
          <w:rFonts w:ascii="Courier New" w:hAnsi="Courier New" w:cs="Courier New"/>
          <w:color w:val="14181F"/>
          <w:sz w:val="20"/>
          <w:szCs w:val="20"/>
        </w:rPr>
        <w:t>[0,1], Q</w:t>
      </w:r>
      <w:r>
        <w:rPr>
          <w:rFonts w:ascii="Cambria Math" w:hAnsi="Cambria Math" w:cs="Cambria Math"/>
          <w:color w:val="14181F"/>
          <w:sz w:val="20"/>
          <w:szCs w:val="20"/>
        </w:rPr>
        <w:t>∈</w:t>
      </w:r>
      <w:r>
        <w:rPr>
          <w:rFonts w:ascii="Courier New" w:hAnsi="Courier New" w:cs="Courier New"/>
          <w:color w:val="14181F"/>
          <w:sz w:val="20"/>
          <w:szCs w:val="20"/>
        </w:rPr>
        <w:t>[0,1], s=12</w:t>
      </w:r>
    </w:p>
    <w:p w14:paraId="4306A0ED"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h. Ordenar por AIC/BIC, seleccionar modelo</w:t>
      </w:r>
    </w:p>
    <w:p w14:paraId="70588B45"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i. Train (hasta dic 2022) / Test (2023-2024)</w:t>
      </w:r>
    </w:p>
    <w:p w14:paraId="0FE3DAD8"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j. Métricas: RMSE, MAE, MAPE</w:t>
      </w:r>
    </w:p>
    <w:p w14:paraId="334F3EDA"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k. Comparar vs: ARIMA sin estacionalidad, suavizado exponencial (ETS)</w:t>
      </w:r>
    </w:p>
    <w:p w14:paraId="022AF562"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l. Diagnóstico de residuos (plot + Ljung-Box + JB)</w:t>
      </w:r>
    </w:p>
    <w:p w14:paraId="45146F51"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m. Forecast 12-24 meses hacia adelante</w:t>
      </w:r>
    </w:p>
    <w:p w14:paraId="3BFF518B" w14:textId="77777777" w:rsidR="000E0F39" w:rsidRDefault="000E0F39" w:rsidP="000E0F39"/>
    <w:p w14:paraId="4CE8072E"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3. SARIMA-X (subte):</w:t>
      </w:r>
    </w:p>
    <w:p w14:paraId="7C6846B3"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a. Preparar matrix de regresores: [lluvia_mensual, dummy_covid]</w:t>
      </w:r>
    </w:p>
    <w:p w14:paraId="476D3CCF"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b. Grilla SARIMA-X igual que paso 2g</w:t>
      </w:r>
    </w:p>
    <w:p w14:paraId="44C2ADBC"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c. Comparar AIC/BIC vs SARIMA puro</w:t>
      </w:r>
    </w:p>
    <w:p w14:paraId="7B8FEBA5"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d. Verificar significatividad del coeficiente de lluvia</w:t>
      </w:r>
    </w:p>
    <w:p w14:paraId="5B501DCA" w14:textId="77777777" w:rsidR="000E0F39" w:rsidRDefault="000E0F39" w:rsidP="000E0F39">
      <w:pPr>
        <w:pStyle w:val="NormalWeb"/>
        <w:spacing w:before="0" w:beforeAutospacing="0" w:after="0" w:afterAutospacing="0"/>
      </w:pPr>
      <w:r>
        <w:rPr>
          <w:rFonts w:ascii="Courier New" w:hAnsi="Courier New" w:cs="Courier New"/>
          <w:color w:val="14181F"/>
          <w:sz w:val="20"/>
          <w:szCs w:val="20"/>
        </w:rPr>
        <w:t>   e. Pronóstico condicional (requiere proyectar la lluvia futura)</w:t>
      </w:r>
    </w:p>
    <w:p w14:paraId="2B93AA2C" w14:textId="77777777" w:rsidR="000E0F39" w:rsidRDefault="000E0F39" w:rsidP="000E0F39">
      <w:pPr>
        <w:pStyle w:val="NormalWeb"/>
        <w:shd w:val="clear" w:color="auto" w:fill="FFFFFF"/>
        <w:spacing w:before="0" w:beforeAutospacing="0" w:after="0" w:afterAutospacing="0"/>
      </w:pPr>
    </w:p>
    <w:p w14:paraId="5AF42104" w14:textId="77777777" w:rsidR="000E0F39" w:rsidRDefault="002858D2" w:rsidP="000E0F39">
      <w:r>
        <w:rPr>
          <w:noProof/>
        </w:rPr>
        <w:pict w14:anchorId="33E0F4AF">
          <v:rect id="_x0000_i1027" alt="" style="width:468pt;height:.05pt;mso-width-percent:0;mso-height-percent:0;mso-width-percent:0;mso-height-percent:0" o:hralign="center" o:hrstd="t" o:hr="t" fillcolor="#a0a0a0" stroked="f"/>
        </w:pict>
      </w:r>
    </w:p>
    <w:p w14:paraId="62A377C8" w14:textId="77777777" w:rsidR="000E0F39" w:rsidRDefault="000E0F39" w:rsidP="000E0F39">
      <w:pPr>
        <w:pStyle w:val="Heading2"/>
        <w:shd w:val="clear" w:color="auto" w:fill="FFFFFF"/>
        <w:spacing w:before="120" w:after="0"/>
      </w:pPr>
      <w:r>
        <w:rPr>
          <w:rFonts w:ascii="Roboto" w:hAnsi="Roboto"/>
          <w:color w:val="121212"/>
          <w:sz w:val="34"/>
          <w:szCs w:val="34"/>
        </w:rPr>
        <w:t>Consideraciones adicionales importantes</w:t>
      </w:r>
    </w:p>
    <w:p w14:paraId="343731FD"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Quiebre COVID: Es el elefante en el habitación. Opciones:</w:t>
      </w:r>
    </w:p>
    <w:p w14:paraId="448573D4" w14:textId="77777777" w:rsidR="000E0F39" w:rsidRDefault="000E0F39" w:rsidP="000E0F39">
      <w:pPr>
        <w:pStyle w:val="NormalWeb"/>
        <w:numPr>
          <w:ilvl w:val="0"/>
          <w:numId w:val="10"/>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 xml:space="preserve">Opción A (recomendada): incluir dummy en SARIMA-X </w:t>
      </w:r>
      <w:r>
        <w:rPr>
          <w:color w:val="121212"/>
          <w:sz w:val="21"/>
          <w:szCs w:val="21"/>
        </w:rPr>
        <w:t>→</w:t>
      </w:r>
      <w:r>
        <w:rPr>
          <w:rFonts w:ascii="Roboto" w:hAnsi="Roboto"/>
          <w:color w:val="121212"/>
          <w:sz w:val="21"/>
          <w:szCs w:val="21"/>
        </w:rPr>
        <w:t xml:space="preserve"> más datos, análisis más rico</w:t>
      </w:r>
    </w:p>
    <w:p w14:paraId="4EB95957" w14:textId="77777777" w:rsidR="000E0F39" w:rsidRDefault="000E0F39" w:rsidP="000E0F39">
      <w:pPr>
        <w:pStyle w:val="NormalWeb"/>
        <w:numPr>
          <w:ilvl w:val="0"/>
          <w:numId w:val="10"/>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Opción B: truncar la serie a 2013-2019, estimar, luego comentar la recuperación post-pandemia</w:t>
      </w:r>
    </w:p>
    <w:p w14:paraId="37A549D4" w14:textId="77777777" w:rsidR="000E0F39" w:rsidRDefault="000E0F39" w:rsidP="000E0F39">
      <w:pPr>
        <w:pStyle w:val="NormalWeb"/>
        <w:shd w:val="clear" w:color="auto" w:fill="FFFFFF"/>
        <w:spacing w:before="120" w:beforeAutospacing="0" w:after="0" w:afterAutospacing="0"/>
      </w:pPr>
      <w:r>
        <w:rPr>
          <w:rFonts w:ascii="Roboto" w:hAnsi="Roboto"/>
          <w:color w:val="121212"/>
          <w:sz w:val="21"/>
          <w:szCs w:val="21"/>
        </w:rPr>
        <w:t xml:space="preserve">Estacionalidad del subte: Pueden encontrar tanto </w:t>
      </w:r>
      <w:r>
        <w:rPr>
          <w:rFonts w:ascii="Courier New" w:hAnsi="Courier New" w:cs="Courier New"/>
          <w:color w:val="8D2525"/>
          <w:sz w:val="20"/>
          <w:szCs w:val="20"/>
        </w:rPr>
        <w:t>s=12</w:t>
      </w:r>
      <w:r>
        <w:rPr>
          <w:rFonts w:ascii="Roboto" w:hAnsi="Roboto"/>
          <w:color w:val="121212"/>
          <w:sz w:val="21"/>
          <w:szCs w:val="21"/>
        </w:rPr>
        <w:t xml:space="preserve"> (anual) como patrones de más corto plazo si agregan semanal. En mensual, </w:t>
      </w:r>
      <w:r>
        <w:rPr>
          <w:rFonts w:ascii="Courier New" w:hAnsi="Courier New" w:cs="Courier New"/>
          <w:color w:val="8D2525"/>
          <w:sz w:val="20"/>
          <w:szCs w:val="20"/>
        </w:rPr>
        <w:t>s=12</w:t>
      </w:r>
      <w:r>
        <w:rPr>
          <w:rFonts w:ascii="Roboto" w:hAnsi="Roboto"/>
          <w:color w:val="121212"/>
          <w:sz w:val="21"/>
          <w:szCs w:val="21"/>
        </w:rPr>
        <w:t xml:space="preserve"> es lo correcto.</w:t>
      </w:r>
    </w:p>
    <w:p w14:paraId="5B0E2115"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Expansión de la red de subte: Las líneas H y E se fueron expandiendo en el período. Podrían mencionarlo como limitación (la serie no es homogénea en estructura).</w:t>
      </w:r>
    </w:p>
    <w:p w14:paraId="4817FF04" w14:textId="77777777" w:rsidR="000E0F39" w:rsidRDefault="000E0F39" w:rsidP="000E0F39">
      <w:pPr>
        <w:pStyle w:val="NormalWeb"/>
        <w:shd w:val="clear" w:color="auto" w:fill="FFFFFF"/>
        <w:spacing w:before="0" w:beforeAutospacing="0" w:after="0" w:afterAutospacing="0"/>
      </w:pPr>
      <w:r>
        <w:rPr>
          <w:rFonts w:ascii="Roboto" w:hAnsi="Roboto"/>
          <w:color w:val="121212"/>
          <w:sz w:val="21"/>
          <w:szCs w:val="21"/>
        </w:rPr>
        <w:t>Normalización para SARIMA-X: Si el orden de magnitud de lluvia y pasajeros difiere mucho, escalar o trabajar con logaritmos puede ayudar.</w:t>
      </w:r>
    </w:p>
    <w:p w14:paraId="5B9F14DE" w14:textId="77777777" w:rsidR="000E0F39" w:rsidRDefault="002858D2" w:rsidP="000E0F39">
      <w:r>
        <w:rPr>
          <w:noProof/>
        </w:rPr>
        <w:pict w14:anchorId="1ED0671B">
          <v:rect id="_x0000_i1026" alt="" style="width:468pt;height:.05pt;mso-width-percent:0;mso-height-percent:0;mso-width-percent:0;mso-height-percent:0" o:hralign="center" o:hrstd="t" o:hr="t" fillcolor="#a0a0a0" stroked="f"/>
        </w:pict>
      </w:r>
    </w:p>
    <w:p w14:paraId="00F06F61" w14:textId="77777777" w:rsidR="000E0F39" w:rsidRDefault="000E0F39" w:rsidP="000E0F39">
      <w:pPr>
        <w:pStyle w:val="Heading2"/>
        <w:shd w:val="clear" w:color="auto" w:fill="FFFFFF"/>
        <w:spacing w:before="120" w:after="0"/>
      </w:pPr>
      <w:r>
        <w:rPr>
          <w:rFonts w:ascii="Roboto" w:hAnsi="Roboto"/>
          <w:color w:val="121212"/>
          <w:sz w:val="34"/>
          <w:szCs w:val="34"/>
        </w:rPr>
        <w:t>División de trabajo sugerida (3 integrantes)</w:t>
      </w:r>
    </w:p>
    <w:tbl>
      <w:tblPr>
        <w:tblW w:w="0" w:type="auto"/>
        <w:tblCellMar>
          <w:top w:w="15" w:type="dxa"/>
          <w:left w:w="15" w:type="dxa"/>
          <w:bottom w:w="15" w:type="dxa"/>
          <w:right w:w="15" w:type="dxa"/>
        </w:tblCellMar>
        <w:tblLook w:val="04A0" w:firstRow="1" w:lastRow="0" w:firstColumn="1" w:lastColumn="0" w:noHBand="0" w:noVBand="1"/>
      </w:tblPr>
      <w:tblGrid>
        <w:gridCol w:w="1175"/>
        <w:gridCol w:w="6342"/>
      </w:tblGrid>
      <w:tr w:rsidR="000E0F39" w14:paraId="681DBE6B" w14:textId="77777777" w:rsidTr="00700DEF">
        <w:trPr>
          <w:trHeight w:val="755"/>
        </w:trPr>
        <w:tc>
          <w:tcPr>
            <w:tcW w:w="0" w:type="auto"/>
            <w:tcBorders>
              <w:right w:val="single" w:sz="6" w:space="0" w:color="000000"/>
            </w:tcBorders>
            <w:tcMar>
              <w:top w:w="100" w:type="dxa"/>
              <w:left w:w="100" w:type="dxa"/>
              <w:bottom w:w="100" w:type="dxa"/>
              <w:right w:w="100" w:type="dxa"/>
            </w:tcMar>
            <w:hideMark/>
          </w:tcPr>
          <w:p w14:paraId="22ED90D7" w14:textId="77777777" w:rsidR="000E0F39" w:rsidRDefault="000E0F39" w:rsidP="00700DEF">
            <w:pPr>
              <w:pStyle w:val="NormalWeb"/>
              <w:spacing w:before="120" w:beforeAutospacing="0" w:after="0" w:afterAutospacing="0"/>
            </w:pPr>
            <w:r>
              <w:rPr>
                <w:rFonts w:ascii="Roboto" w:hAnsi="Roboto"/>
                <w:b/>
                <w:bCs/>
                <w:color w:val="373734"/>
                <w:sz w:val="21"/>
                <w:szCs w:val="21"/>
              </w:rPr>
              <w:t>Integrante</w:t>
            </w:r>
          </w:p>
        </w:tc>
        <w:tc>
          <w:tcPr>
            <w:tcW w:w="0" w:type="auto"/>
            <w:tcBorders>
              <w:left w:val="single" w:sz="6" w:space="0" w:color="000000"/>
            </w:tcBorders>
            <w:tcMar>
              <w:top w:w="100" w:type="dxa"/>
              <w:left w:w="100" w:type="dxa"/>
              <w:bottom w:w="100" w:type="dxa"/>
              <w:right w:w="100" w:type="dxa"/>
            </w:tcMar>
            <w:hideMark/>
          </w:tcPr>
          <w:p w14:paraId="0EDA4F38" w14:textId="77777777" w:rsidR="000E0F39" w:rsidRDefault="000E0F39" w:rsidP="00700DEF">
            <w:pPr>
              <w:pStyle w:val="NormalWeb"/>
              <w:spacing w:before="120" w:beforeAutospacing="0" w:after="0" w:afterAutospacing="0"/>
            </w:pPr>
            <w:r>
              <w:rPr>
                <w:rFonts w:ascii="Roboto" w:hAnsi="Roboto"/>
                <w:b/>
                <w:bCs/>
                <w:color w:val="373734"/>
                <w:sz w:val="21"/>
                <w:szCs w:val="21"/>
              </w:rPr>
              <w:t>Responsabilidad</w:t>
            </w:r>
          </w:p>
        </w:tc>
      </w:tr>
      <w:tr w:rsidR="000E0F39" w14:paraId="4677D814" w14:textId="77777777" w:rsidTr="00700DEF">
        <w:trPr>
          <w:trHeight w:val="755"/>
        </w:trPr>
        <w:tc>
          <w:tcPr>
            <w:tcW w:w="0" w:type="auto"/>
            <w:tcBorders>
              <w:right w:val="single" w:sz="6" w:space="0" w:color="000000"/>
            </w:tcBorders>
            <w:tcMar>
              <w:top w:w="100" w:type="dxa"/>
              <w:left w:w="100" w:type="dxa"/>
              <w:bottom w:w="100" w:type="dxa"/>
              <w:right w:w="100" w:type="dxa"/>
            </w:tcMar>
            <w:hideMark/>
          </w:tcPr>
          <w:p w14:paraId="581EF15D" w14:textId="77777777" w:rsidR="000E0F39" w:rsidRDefault="000E0F39" w:rsidP="00700DEF">
            <w:pPr>
              <w:pStyle w:val="NormalWeb"/>
              <w:spacing w:before="120" w:beforeAutospacing="0" w:after="0" w:afterAutospacing="0"/>
            </w:pPr>
            <w:r>
              <w:rPr>
                <w:rFonts w:ascii="Roboto" w:hAnsi="Roboto"/>
                <w:color w:val="373734"/>
                <w:sz w:val="21"/>
                <w:szCs w:val="21"/>
              </w:rPr>
              <w:t>1</w:t>
            </w:r>
          </w:p>
        </w:tc>
        <w:tc>
          <w:tcPr>
            <w:tcW w:w="0" w:type="auto"/>
            <w:tcBorders>
              <w:left w:val="single" w:sz="6" w:space="0" w:color="000000"/>
            </w:tcBorders>
            <w:tcMar>
              <w:top w:w="100" w:type="dxa"/>
              <w:left w:w="100" w:type="dxa"/>
              <w:bottom w:w="100" w:type="dxa"/>
              <w:right w:w="100" w:type="dxa"/>
            </w:tcMar>
            <w:hideMark/>
          </w:tcPr>
          <w:p w14:paraId="361E60E4" w14:textId="77777777" w:rsidR="000E0F39" w:rsidRDefault="000E0F39" w:rsidP="00700DEF">
            <w:pPr>
              <w:pStyle w:val="NormalWeb"/>
              <w:spacing w:before="120" w:beforeAutospacing="0" w:after="0" w:afterAutospacing="0"/>
            </w:pPr>
            <w:r>
              <w:rPr>
                <w:rFonts w:ascii="Roboto" w:hAnsi="Roboto"/>
                <w:color w:val="373734"/>
                <w:sz w:val="21"/>
                <w:szCs w:val="21"/>
              </w:rPr>
              <w:t>Descarga y procesamiento de datos + análisis serie subte</w:t>
            </w:r>
          </w:p>
        </w:tc>
      </w:tr>
      <w:tr w:rsidR="000E0F39" w14:paraId="3406A8F4" w14:textId="77777777" w:rsidTr="00700DEF">
        <w:trPr>
          <w:trHeight w:val="755"/>
        </w:trPr>
        <w:tc>
          <w:tcPr>
            <w:tcW w:w="0" w:type="auto"/>
            <w:tcBorders>
              <w:right w:val="single" w:sz="6" w:space="0" w:color="000000"/>
            </w:tcBorders>
            <w:tcMar>
              <w:top w:w="100" w:type="dxa"/>
              <w:left w:w="100" w:type="dxa"/>
              <w:bottom w:w="100" w:type="dxa"/>
              <w:right w:w="100" w:type="dxa"/>
            </w:tcMar>
            <w:hideMark/>
          </w:tcPr>
          <w:p w14:paraId="7EA95B84" w14:textId="77777777" w:rsidR="000E0F39" w:rsidRDefault="000E0F39" w:rsidP="00700DEF">
            <w:pPr>
              <w:pStyle w:val="NormalWeb"/>
              <w:spacing w:before="120" w:beforeAutospacing="0" w:after="0" w:afterAutospacing="0"/>
            </w:pPr>
            <w:r>
              <w:rPr>
                <w:rFonts w:ascii="Roboto" w:hAnsi="Roboto"/>
                <w:color w:val="373734"/>
                <w:sz w:val="21"/>
                <w:szCs w:val="21"/>
              </w:rPr>
              <w:t>2</w:t>
            </w:r>
          </w:p>
        </w:tc>
        <w:tc>
          <w:tcPr>
            <w:tcW w:w="0" w:type="auto"/>
            <w:tcBorders>
              <w:left w:val="single" w:sz="6" w:space="0" w:color="000000"/>
            </w:tcBorders>
            <w:tcMar>
              <w:top w:w="100" w:type="dxa"/>
              <w:left w:w="100" w:type="dxa"/>
              <w:bottom w:w="100" w:type="dxa"/>
              <w:right w:w="100" w:type="dxa"/>
            </w:tcMar>
            <w:hideMark/>
          </w:tcPr>
          <w:p w14:paraId="4228D881" w14:textId="77777777" w:rsidR="000E0F39" w:rsidRDefault="000E0F39" w:rsidP="00700DEF">
            <w:pPr>
              <w:pStyle w:val="NormalWeb"/>
              <w:spacing w:before="120" w:beforeAutospacing="0" w:after="0" w:afterAutospacing="0"/>
            </w:pPr>
            <w:r>
              <w:rPr>
                <w:rFonts w:ascii="Roboto" w:hAnsi="Roboto"/>
                <w:color w:val="373734"/>
                <w:sz w:val="21"/>
                <w:szCs w:val="21"/>
              </w:rPr>
              <w:t>Análisis serie peajes + diagnósticos y comparación de modelos</w:t>
            </w:r>
          </w:p>
        </w:tc>
      </w:tr>
      <w:tr w:rsidR="000E0F39" w14:paraId="45D88346" w14:textId="77777777" w:rsidTr="00700DEF">
        <w:trPr>
          <w:trHeight w:val="755"/>
        </w:trPr>
        <w:tc>
          <w:tcPr>
            <w:tcW w:w="0" w:type="auto"/>
            <w:tcBorders>
              <w:right w:val="single" w:sz="6" w:space="0" w:color="000000"/>
            </w:tcBorders>
            <w:tcMar>
              <w:top w:w="100" w:type="dxa"/>
              <w:left w:w="100" w:type="dxa"/>
              <w:bottom w:w="100" w:type="dxa"/>
              <w:right w:w="100" w:type="dxa"/>
            </w:tcMar>
            <w:hideMark/>
          </w:tcPr>
          <w:p w14:paraId="7E8C552E" w14:textId="77777777" w:rsidR="000E0F39" w:rsidRDefault="000E0F39" w:rsidP="00700DEF">
            <w:pPr>
              <w:pStyle w:val="NormalWeb"/>
              <w:spacing w:before="120" w:beforeAutospacing="0" w:after="0" w:afterAutospacing="0"/>
            </w:pPr>
            <w:r>
              <w:rPr>
                <w:rFonts w:ascii="Roboto" w:hAnsi="Roboto"/>
                <w:color w:val="373734"/>
                <w:sz w:val="21"/>
                <w:szCs w:val="21"/>
              </w:rPr>
              <w:t>3</w:t>
            </w:r>
          </w:p>
        </w:tc>
        <w:tc>
          <w:tcPr>
            <w:tcW w:w="0" w:type="auto"/>
            <w:tcBorders>
              <w:left w:val="single" w:sz="6" w:space="0" w:color="000000"/>
            </w:tcBorders>
            <w:tcMar>
              <w:top w:w="100" w:type="dxa"/>
              <w:left w:w="100" w:type="dxa"/>
              <w:bottom w:w="100" w:type="dxa"/>
              <w:right w:w="100" w:type="dxa"/>
            </w:tcMar>
            <w:hideMark/>
          </w:tcPr>
          <w:p w14:paraId="68ACBCEB" w14:textId="77777777" w:rsidR="000E0F39" w:rsidRDefault="000E0F39" w:rsidP="00700DEF">
            <w:pPr>
              <w:pStyle w:val="NormalWeb"/>
              <w:spacing w:before="120" w:beforeAutospacing="0" w:after="0" w:afterAutospacing="0"/>
            </w:pPr>
            <w:r>
              <w:rPr>
                <w:rFonts w:ascii="Roboto" w:hAnsi="Roboto"/>
                <w:color w:val="373734"/>
                <w:sz w:val="21"/>
                <w:szCs w:val="21"/>
              </w:rPr>
              <w:t>Serie precipitaciones + modelo SARIMA-X + redacción del informe</w:t>
            </w:r>
          </w:p>
        </w:tc>
      </w:tr>
    </w:tbl>
    <w:p w14:paraId="1E30F098" w14:textId="77777777" w:rsidR="000E0F39" w:rsidRDefault="002858D2" w:rsidP="000E0F39">
      <w:r>
        <w:rPr>
          <w:noProof/>
        </w:rPr>
        <w:pict w14:anchorId="5826AB28">
          <v:rect id="_x0000_i1025" alt="" style="width:468pt;height:.05pt;mso-width-percent:0;mso-height-percent:0;mso-width-percent:0;mso-height-percent:0" o:hralign="center" o:hrstd="t" o:hr="t" fillcolor="#a0a0a0" stroked="f"/>
        </w:pict>
      </w:r>
    </w:p>
    <w:p w14:paraId="568ABABA" w14:textId="77777777" w:rsidR="000E0F39" w:rsidRDefault="000E0F39" w:rsidP="000E0F39">
      <w:pPr>
        <w:pStyle w:val="NormalWeb"/>
        <w:shd w:val="clear" w:color="auto" w:fill="FFFFFF"/>
        <w:spacing w:before="120" w:beforeAutospacing="0" w:after="0" w:afterAutospacing="0"/>
      </w:pPr>
      <w:r>
        <w:rPr>
          <w:rFonts w:ascii="Roboto" w:hAnsi="Roboto"/>
          <w:color w:val="121212"/>
          <w:sz w:val="21"/>
          <w:szCs w:val="21"/>
        </w:rPr>
        <w:t>¿Querés que empiece a escribir el código de descarga y procesamiento de los datos, o primero armamos la estructura del informe en detalle?</w:t>
      </w:r>
    </w:p>
    <w:p w14:paraId="232A64AA" w14:textId="77777777" w:rsidR="000E0F39" w:rsidRDefault="000E0F39" w:rsidP="000E0F39"/>
    <w:p w14:paraId="72C6FEE3" w14:textId="77777777" w:rsidR="0050637E" w:rsidRPr="000E0F39" w:rsidRDefault="0050637E" w:rsidP="000E0F39">
      <w:pPr>
        <w:spacing w:line="276" w:lineRule="auto"/>
        <w:jc w:val="both"/>
        <w:rPr>
          <w:sz w:val="22"/>
          <w:szCs w:val="22"/>
        </w:rPr>
      </w:pPr>
    </w:p>
    <w:p w14:paraId="207D01E1" w14:textId="77777777" w:rsidR="00BC0DB8" w:rsidRDefault="00BC0DB8" w:rsidP="00BC0DB8">
      <w:pPr>
        <w:spacing w:line="276" w:lineRule="auto"/>
        <w:jc w:val="both"/>
        <w:rPr>
          <w:sz w:val="22"/>
          <w:szCs w:val="22"/>
        </w:rPr>
      </w:pPr>
    </w:p>
    <w:sectPr w:rsidR="00BC0DB8" w:rsidSect="00C044C9">
      <w:footerReference w:type="default" r:id="rId15"/>
      <w:footerReference w:type="first" r:id="rId16"/>
      <w:pgSz w:w="12240" w:h="15840"/>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uliana Alvaro" w:date="2026-04-14T22:18:00Z" w:initials="GA">
    <w:p w14:paraId="1DE1EF7F" w14:textId="41D7CCB7" w:rsidR="004461F8" w:rsidRDefault="004461F8" w:rsidP="004461F8">
      <w:r>
        <w:rPr>
          <w:rStyle w:val="CommentReference"/>
        </w:rPr>
        <w:annotationRef/>
      </w:r>
      <w:r>
        <w:rPr>
          <w:sz w:val="20"/>
          <w:szCs w:val="20"/>
        </w:rPr>
        <w:t xml:space="preserve">Agregar grafico </w:t>
      </w:r>
    </w:p>
    <w:p w14:paraId="63A57F59" w14:textId="77777777" w:rsidR="004461F8" w:rsidRDefault="004461F8" w:rsidP="004461F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57F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6FBE3A" w16cex:dateUtc="2026-04-1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57F59" w16cid:durableId="716FB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1147B" w14:textId="77777777" w:rsidR="002858D2" w:rsidRDefault="002858D2" w:rsidP="00C044C9">
      <w:pPr>
        <w:spacing w:after="0" w:line="240" w:lineRule="auto"/>
      </w:pPr>
      <w:r>
        <w:separator/>
      </w:r>
    </w:p>
  </w:endnote>
  <w:endnote w:type="continuationSeparator" w:id="0">
    <w:p w14:paraId="7C67ECE1" w14:textId="77777777" w:rsidR="002858D2" w:rsidRDefault="002858D2" w:rsidP="00C0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Roboto">
    <w:altName w:val="Ari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9494" w14:textId="21A38E1C" w:rsidR="00C044C9" w:rsidRPr="00C044C9" w:rsidRDefault="00C044C9" w:rsidP="00C044C9">
    <w:pPr>
      <w:pStyle w:val="Footer"/>
      <w:jc w:val="right"/>
      <w:rPr>
        <w:rFonts w:ascii="Century Gothic" w:hAnsi="Century Gothic"/>
        <w:color w:val="747474" w:themeColor="background2" w:themeShade="80"/>
        <w:sz w:val="21"/>
        <w:szCs w:val="21"/>
      </w:rPr>
    </w:pPr>
    <w:r>
      <w:rPr>
        <w:rFonts w:ascii="Century Gothic" w:hAnsi="Century Gothic"/>
        <w:noProof/>
        <w:color w:val="E8E8E8" w:themeColor="background2"/>
        <w:sz w:val="21"/>
        <w:szCs w:val="21"/>
      </w:rPr>
      <mc:AlternateContent>
        <mc:Choice Requires="wps">
          <w:drawing>
            <wp:anchor distT="0" distB="0" distL="114300" distR="114300" simplePos="0" relativeHeight="251658240" behindDoc="0" locked="0" layoutInCell="1" allowOverlap="1" wp14:anchorId="1A8F8145" wp14:editId="312540F9">
              <wp:simplePos x="0" y="0"/>
              <wp:positionH relativeFrom="column">
                <wp:posOffset>-293370</wp:posOffset>
              </wp:positionH>
              <wp:positionV relativeFrom="paragraph">
                <wp:posOffset>97246</wp:posOffset>
              </wp:positionV>
              <wp:extent cx="5736771" cy="0"/>
              <wp:effectExtent l="0" t="12700" r="16510" b="12700"/>
              <wp:wrapNone/>
              <wp:docPr id="2104541247" name="Straight Connector 4"/>
              <wp:cNvGraphicFramePr/>
              <a:graphic xmlns:a="http://schemas.openxmlformats.org/drawingml/2006/main">
                <a:graphicData uri="http://schemas.microsoft.com/office/word/2010/wordprocessingShape">
                  <wps:wsp>
                    <wps:cNvCnPr/>
                    <wps:spPr>
                      <a:xfrm>
                        <a:off x="0" y="0"/>
                        <a:ext cx="5736771" cy="0"/>
                      </a:xfrm>
                      <a:prstGeom prst="line">
                        <a:avLst/>
                      </a:prstGeom>
                      <a:ln>
                        <a:solidFill>
                          <a:srgbClr val="FF9D3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3DE24C"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3.1pt,7.65pt" to="428.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" strokecolor="#ff9d3e" strokeweight="1.5pt">
              <v:stroke joinstyle="miter"/>
            </v:line>
          </w:pict>
        </mc:Fallback>
      </mc:AlternateContent>
    </w:r>
    <w:r w:rsidRPr="00C044C9">
      <w:rPr>
        <w:rFonts w:ascii="Century Gothic" w:hAnsi="Century Gothic"/>
        <w:color w:val="747474" w:themeColor="background2" w:themeShade="80"/>
        <w:sz w:val="21"/>
        <w:szCs w:val="21"/>
      </w:rPr>
      <w:t xml:space="preserve"> </w:t>
    </w:r>
    <w:r w:rsidRPr="00C044C9">
      <w:rPr>
        <w:rFonts w:ascii="Century Gothic" w:hAnsi="Century Gothic"/>
        <w:color w:val="747474" w:themeColor="background2" w:themeShade="80"/>
        <w:sz w:val="21"/>
        <w:szCs w:val="21"/>
      </w:rPr>
      <w:fldChar w:fldCharType="begin"/>
    </w:r>
    <w:r w:rsidRPr="00C044C9">
      <w:rPr>
        <w:rFonts w:ascii="Century Gothic" w:hAnsi="Century Gothic"/>
        <w:color w:val="747474" w:themeColor="background2" w:themeShade="80"/>
        <w:sz w:val="21"/>
        <w:szCs w:val="21"/>
      </w:rPr>
      <w:instrText xml:space="preserve"> PAGE  \* Arabic  \* MERGEFORMAT </w:instrText>
    </w:r>
    <w:r w:rsidRPr="00C044C9">
      <w:rPr>
        <w:rFonts w:ascii="Century Gothic" w:hAnsi="Century Gothic"/>
        <w:color w:val="747474" w:themeColor="background2" w:themeShade="80"/>
        <w:sz w:val="21"/>
        <w:szCs w:val="21"/>
      </w:rPr>
      <w:fldChar w:fldCharType="separate"/>
    </w:r>
    <w:r w:rsidRPr="00C044C9">
      <w:rPr>
        <w:rFonts w:ascii="Century Gothic" w:hAnsi="Century Gothic"/>
        <w:noProof/>
        <w:color w:val="747474" w:themeColor="background2" w:themeShade="80"/>
        <w:sz w:val="21"/>
        <w:szCs w:val="21"/>
      </w:rPr>
      <w:t>2</w:t>
    </w:r>
    <w:r w:rsidRPr="00C044C9">
      <w:rPr>
        <w:rFonts w:ascii="Century Gothic" w:hAnsi="Century Gothic"/>
        <w:color w:val="747474" w:themeColor="background2" w:themeShade="80"/>
        <w:sz w:val="21"/>
        <w:szCs w:val="21"/>
      </w:rPr>
      <w:fldChar w:fldCharType="end"/>
    </w:r>
    <w:r w:rsidRPr="00C044C9">
      <w:rPr>
        <w:rFonts w:ascii="Century Gothic" w:hAnsi="Century Gothic"/>
        <w:color w:val="747474" w:themeColor="background2" w:themeShade="80"/>
        <w:sz w:val="21"/>
        <w:szCs w:val="21"/>
      </w:rPr>
      <w:t xml:space="preserve"> de </w:t>
    </w:r>
    <w:r w:rsidRPr="00C044C9">
      <w:rPr>
        <w:rFonts w:ascii="Century Gothic" w:hAnsi="Century Gothic"/>
        <w:color w:val="747474" w:themeColor="background2" w:themeShade="80"/>
        <w:sz w:val="21"/>
        <w:szCs w:val="21"/>
      </w:rPr>
      <w:fldChar w:fldCharType="begin"/>
    </w:r>
    <w:r w:rsidRPr="00C044C9">
      <w:rPr>
        <w:rFonts w:ascii="Century Gothic" w:hAnsi="Century Gothic"/>
        <w:color w:val="747474" w:themeColor="background2" w:themeShade="80"/>
        <w:sz w:val="21"/>
        <w:szCs w:val="21"/>
      </w:rPr>
      <w:instrText xml:space="preserve"> NUMPAGES  \* Arabic  \* MERGEFORMAT </w:instrText>
    </w:r>
    <w:r w:rsidRPr="00C044C9">
      <w:rPr>
        <w:rFonts w:ascii="Century Gothic" w:hAnsi="Century Gothic"/>
        <w:color w:val="747474" w:themeColor="background2" w:themeShade="80"/>
        <w:sz w:val="21"/>
        <w:szCs w:val="21"/>
      </w:rPr>
      <w:fldChar w:fldCharType="separate"/>
    </w:r>
    <w:r w:rsidRPr="00C044C9">
      <w:rPr>
        <w:rFonts w:ascii="Century Gothic" w:hAnsi="Century Gothic"/>
        <w:noProof/>
        <w:color w:val="747474" w:themeColor="background2" w:themeShade="80"/>
        <w:sz w:val="21"/>
        <w:szCs w:val="21"/>
      </w:rPr>
      <w:t>2</w:t>
    </w:r>
    <w:r w:rsidRPr="00C044C9">
      <w:rPr>
        <w:rFonts w:ascii="Century Gothic" w:hAnsi="Century Gothic"/>
        <w:color w:val="747474" w:themeColor="background2" w:themeShade="80"/>
        <w:sz w:val="21"/>
        <w:szCs w:val="21"/>
      </w:rPr>
      <w:fldChar w:fldCharType="end"/>
    </w:r>
  </w:p>
  <w:p w14:paraId="0ADB46D8" w14:textId="77777777" w:rsidR="00C044C9" w:rsidRDefault="00C04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C11A" w14:textId="77777777" w:rsidR="00C044C9" w:rsidRDefault="00C044C9" w:rsidP="00C044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FE971" w14:textId="77777777" w:rsidR="002858D2" w:rsidRDefault="002858D2" w:rsidP="00C044C9">
      <w:pPr>
        <w:spacing w:after="0" w:line="240" w:lineRule="auto"/>
      </w:pPr>
      <w:r>
        <w:separator/>
      </w:r>
    </w:p>
  </w:footnote>
  <w:footnote w:type="continuationSeparator" w:id="0">
    <w:p w14:paraId="2F615D85" w14:textId="77777777" w:rsidR="002858D2" w:rsidRDefault="002858D2" w:rsidP="00C04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84D"/>
    <w:multiLevelType w:val="multilevel"/>
    <w:tmpl w:val="24B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2EA"/>
    <w:multiLevelType w:val="hybridMultilevel"/>
    <w:tmpl w:val="7D548324"/>
    <w:lvl w:ilvl="0" w:tplc="9A66C1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0C57"/>
    <w:multiLevelType w:val="multilevel"/>
    <w:tmpl w:val="3D5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B3235"/>
    <w:multiLevelType w:val="multilevel"/>
    <w:tmpl w:val="C53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F70AD"/>
    <w:multiLevelType w:val="multilevel"/>
    <w:tmpl w:val="B742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11DCA"/>
    <w:multiLevelType w:val="multilevel"/>
    <w:tmpl w:val="F86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11C27"/>
    <w:multiLevelType w:val="multilevel"/>
    <w:tmpl w:val="867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C5C99"/>
    <w:multiLevelType w:val="multilevel"/>
    <w:tmpl w:val="414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44C33"/>
    <w:multiLevelType w:val="multilevel"/>
    <w:tmpl w:val="219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94F92"/>
    <w:multiLevelType w:val="multilevel"/>
    <w:tmpl w:val="911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C0A00"/>
    <w:multiLevelType w:val="multilevel"/>
    <w:tmpl w:val="A08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11735">
    <w:abstractNumId w:val="4"/>
  </w:num>
  <w:num w:numId="2" w16cid:durableId="330791910">
    <w:abstractNumId w:val="7"/>
  </w:num>
  <w:num w:numId="3" w16cid:durableId="14428028">
    <w:abstractNumId w:val="10"/>
  </w:num>
  <w:num w:numId="4" w16cid:durableId="608464051">
    <w:abstractNumId w:val="0"/>
  </w:num>
  <w:num w:numId="5" w16cid:durableId="1194266359">
    <w:abstractNumId w:val="9"/>
  </w:num>
  <w:num w:numId="6" w16cid:durableId="112215491">
    <w:abstractNumId w:val="8"/>
  </w:num>
  <w:num w:numId="7" w16cid:durableId="2129734293">
    <w:abstractNumId w:val="2"/>
  </w:num>
  <w:num w:numId="8" w16cid:durableId="658465650">
    <w:abstractNumId w:val="5"/>
  </w:num>
  <w:num w:numId="9" w16cid:durableId="90901381">
    <w:abstractNumId w:val="6"/>
  </w:num>
  <w:num w:numId="10" w16cid:durableId="2104304248">
    <w:abstractNumId w:val="3"/>
  </w:num>
  <w:num w:numId="11" w16cid:durableId="697850240">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uliana Alvaro">
    <w15:presenceInfo w15:providerId="Windows Live" w15:userId="6f58ab7e06d71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C9"/>
    <w:rsid w:val="000001A4"/>
    <w:rsid w:val="000117C9"/>
    <w:rsid w:val="00075D9E"/>
    <w:rsid w:val="00091295"/>
    <w:rsid w:val="000B78C8"/>
    <w:rsid w:val="000D0330"/>
    <w:rsid w:val="000E0F39"/>
    <w:rsid w:val="00191C7C"/>
    <w:rsid w:val="00246401"/>
    <w:rsid w:val="00253EF3"/>
    <w:rsid w:val="00257D7C"/>
    <w:rsid w:val="002858D2"/>
    <w:rsid w:val="00297DD0"/>
    <w:rsid w:val="002B0A0E"/>
    <w:rsid w:val="002D4FDD"/>
    <w:rsid w:val="002D7EAB"/>
    <w:rsid w:val="002E5438"/>
    <w:rsid w:val="002E6494"/>
    <w:rsid w:val="00350D63"/>
    <w:rsid w:val="00350FD1"/>
    <w:rsid w:val="003744D4"/>
    <w:rsid w:val="003871B0"/>
    <w:rsid w:val="0039544C"/>
    <w:rsid w:val="003A22DD"/>
    <w:rsid w:val="003C202F"/>
    <w:rsid w:val="00422A09"/>
    <w:rsid w:val="0044505F"/>
    <w:rsid w:val="004450F6"/>
    <w:rsid w:val="004461F8"/>
    <w:rsid w:val="00463589"/>
    <w:rsid w:val="0050637E"/>
    <w:rsid w:val="0053222A"/>
    <w:rsid w:val="00545FD6"/>
    <w:rsid w:val="005752D1"/>
    <w:rsid w:val="00583591"/>
    <w:rsid w:val="005865B9"/>
    <w:rsid w:val="005A7A1E"/>
    <w:rsid w:val="005C5565"/>
    <w:rsid w:val="00633EFB"/>
    <w:rsid w:val="0068144B"/>
    <w:rsid w:val="006A3C8E"/>
    <w:rsid w:val="006C467E"/>
    <w:rsid w:val="006E093E"/>
    <w:rsid w:val="00744AB2"/>
    <w:rsid w:val="00783D14"/>
    <w:rsid w:val="00825AB0"/>
    <w:rsid w:val="0083440B"/>
    <w:rsid w:val="00850AB3"/>
    <w:rsid w:val="008823EB"/>
    <w:rsid w:val="008E1C91"/>
    <w:rsid w:val="008F7C48"/>
    <w:rsid w:val="00905F12"/>
    <w:rsid w:val="0092045B"/>
    <w:rsid w:val="00923C74"/>
    <w:rsid w:val="009406FF"/>
    <w:rsid w:val="00941271"/>
    <w:rsid w:val="009642C4"/>
    <w:rsid w:val="009C7330"/>
    <w:rsid w:val="009E5D3B"/>
    <w:rsid w:val="00A20476"/>
    <w:rsid w:val="00A912AF"/>
    <w:rsid w:val="00AA1032"/>
    <w:rsid w:val="00AF1084"/>
    <w:rsid w:val="00B0083A"/>
    <w:rsid w:val="00B01758"/>
    <w:rsid w:val="00BC0DB8"/>
    <w:rsid w:val="00BC2B47"/>
    <w:rsid w:val="00BD14EA"/>
    <w:rsid w:val="00BE0BCB"/>
    <w:rsid w:val="00C044C9"/>
    <w:rsid w:val="00CF2401"/>
    <w:rsid w:val="00D100E5"/>
    <w:rsid w:val="00D856B2"/>
    <w:rsid w:val="00DC0A6A"/>
    <w:rsid w:val="00DF34DA"/>
    <w:rsid w:val="00E372A7"/>
    <w:rsid w:val="00E55F2D"/>
    <w:rsid w:val="00E72C58"/>
    <w:rsid w:val="00EC3DF6"/>
    <w:rsid w:val="00F011AF"/>
    <w:rsid w:val="00F17A4D"/>
    <w:rsid w:val="00F356F6"/>
    <w:rsid w:val="00FE2A73"/>
    <w:rsid w:val="00FE3D37"/>
    <w:rsid w:val="00FE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593B"/>
  <w15:chartTrackingRefBased/>
  <w15:docId w15:val="{42C5A5B0-A00A-470D-A5A2-5FAB3D0B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4C9"/>
    <w:rPr>
      <w:rFonts w:eastAsiaTheme="majorEastAsia" w:cstheme="majorBidi"/>
      <w:color w:val="272727" w:themeColor="text1" w:themeTint="D8"/>
    </w:rPr>
  </w:style>
  <w:style w:type="paragraph" w:styleId="Title">
    <w:name w:val="Title"/>
    <w:basedOn w:val="Normal"/>
    <w:next w:val="Normal"/>
    <w:link w:val="TitleChar"/>
    <w:uiPriority w:val="10"/>
    <w:qFormat/>
    <w:rsid w:val="00C0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4C9"/>
    <w:pPr>
      <w:spacing w:before="160"/>
      <w:jc w:val="center"/>
    </w:pPr>
    <w:rPr>
      <w:i/>
      <w:iCs/>
      <w:color w:val="404040" w:themeColor="text1" w:themeTint="BF"/>
    </w:rPr>
  </w:style>
  <w:style w:type="character" w:customStyle="1" w:styleId="QuoteChar">
    <w:name w:val="Quote Char"/>
    <w:basedOn w:val="DefaultParagraphFont"/>
    <w:link w:val="Quote"/>
    <w:uiPriority w:val="29"/>
    <w:rsid w:val="00C044C9"/>
    <w:rPr>
      <w:i/>
      <w:iCs/>
      <w:color w:val="404040" w:themeColor="text1" w:themeTint="BF"/>
    </w:rPr>
  </w:style>
  <w:style w:type="paragraph" w:styleId="ListParagraph">
    <w:name w:val="List Paragraph"/>
    <w:basedOn w:val="Normal"/>
    <w:uiPriority w:val="34"/>
    <w:qFormat/>
    <w:rsid w:val="00C044C9"/>
    <w:pPr>
      <w:ind w:left="720"/>
      <w:contextualSpacing/>
    </w:pPr>
  </w:style>
  <w:style w:type="character" w:styleId="IntenseEmphasis">
    <w:name w:val="Intense Emphasis"/>
    <w:basedOn w:val="DefaultParagraphFont"/>
    <w:uiPriority w:val="21"/>
    <w:qFormat/>
    <w:rsid w:val="00C044C9"/>
    <w:rPr>
      <w:i/>
      <w:iCs/>
      <w:color w:val="0F4761" w:themeColor="accent1" w:themeShade="BF"/>
    </w:rPr>
  </w:style>
  <w:style w:type="paragraph" w:styleId="IntenseQuote">
    <w:name w:val="Intense Quote"/>
    <w:basedOn w:val="Normal"/>
    <w:next w:val="Normal"/>
    <w:link w:val="IntenseQuoteChar"/>
    <w:uiPriority w:val="30"/>
    <w:qFormat/>
    <w:rsid w:val="00C04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4C9"/>
    <w:rPr>
      <w:i/>
      <w:iCs/>
      <w:color w:val="0F4761" w:themeColor="accent1" w:themeShade="BF"/>
    </w:rPr>
  </w:style>
  <w:style w:type="character" w:styleId="IntenseReference">
    <w:name w:val="Intense Reference"/>
    <w:basedOn w:val="DefaultParagraphFont"/>
    <w:uiPriority w:val="32"/>
    <w:qFormat/>
    <w:rsid w:val="00C044C9"/>
    <w:rPr>
      <w:b/>
      <w:bCs/>
      <w:smallCaps/>
      <w:color w:val="0F4761" w:themeColor="accent1" w:themeShade="BF"/>
      <w:spacing w:val="5"/>
    </w:rPr>
  </w:style>
  <w:style w:type="paragraph" w:styleId="NormalWeb">
    <w:name w:val="Normal (Web)"/>
    <w:basedOn w:val="Normal"/>
    <w:uiPriority w:val="99"/>
    <w:semiHidden/>
    <w:unhideWhenUsed/>
    <w:rsid w:val="00C044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44C9"/>
    <w:rPr>
      <w:b/>
      <w:bCs/>
    </w:rPr>
  </w:style>
  <w:style w:type="character" w:styleId="HTMLCode">
    <w:name w:val="HTML Code"/>
    <w:basedOn w:val="DefaultParagraphFont"/>
    <w:uiPriority w:val="99"/>
    <w:semiHidden/>
    <w:unhideWhenUsed/>
    <w:rsid w:val="00C044C9"/>
    <w:rPr>
      <w:rFonts w:ascii="Courier New" w:eastAsia="Times New Roman" w:hAnsi="Courier New" w:cs="Courier New"/>
      <w:sz w:val="20"/>
      <w:szCs w:val="20"/>
    </w:rPr>
  </w:style>
  <w:style w:type="paragraph" w:styleId="NoSpacing">
    <w:name w:val="No Spacing"/>
    <w:link w:val="NoSpacingChar"/>
    <w:uiPriority w:val="1"/>
    <w:qFormat/>
    <w:rsid w:val="00C044C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044C9"/>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C04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4C9"/>
  </w:style>
  <w:style w:type="paragraph" w:styleId="Footer">
    <w:name w:val="footer"/>
    <w:basedOn w:val="Normal"/>
    <w:link w:val="FooterChar"/>
    <w:uiPriority w:val="99"/>
    <w:unhideWhenUsed/>
    <w:rsid w:val="00C04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4C9"/>
  </w:style>
  <w:style w:type="character" w:styleId="PageNumber">
    <w:name w:val="page number"/>
    <w:basedOn w:val="DefaultParagraphFont"/>
    <w:uiPriority w:val="99"/>
    <w:semiHidden/>
    <w:unhideWhenUsed/>
    <w:rsid w:val="00C044C9"/>
  </w:style>
  <w:style w:type="character" w:styleId="Hyperlink">
    <w:name w:val="Hyperlink"/>
    <w:basedOn w:val="DefaultParagraphFont"/>
    <w:uiPriority w:val="99"/>
    <w:semiHidden/>
    <w:unhideWhenUsed/>
    <w:rsid w:val="0039544C"/>
    <w:rPr>
      <w:color w:val="0000FF"/>
      <w:u w:val="single"/>
    </w:rPr>
  </w:style>
  <w:style w:type="character" w:styleId="FollowedHyperlink">
    <w:name w:val="FollowedHyperlink"/>
    <w:basedOn w:val="DefaultParagraphFont"/>
    <w:uiPriority w:val="99"/>
    <w:semiHidden/>
    <w:unhideWhenUsed/>
    <w:rsid w:val="00CF2401"/>
    <w:rPr>
      <w:color w:val="96607D" w:themeColor="followedHyperlink"/>
      <w:u w:val="single"/>
    </w:rPr>
  </w:style>
  <w:style w:type="character" w:styleId="CommentReference">
    <w:name w:val="annotation reference"/>
    <w:basedOn w:val="DefaultParagraphFont"/>
    <w:uiPriority w:val="99"/>
    <w:semiHidden/>
    <w:unhideWhenUsed/>
    <w:rsid w:val="008823EB"/>
    <w:rPr>
      <w:sz w:val="16"/>
      <w:szCs w:val="16"/>
    </w:rPr>
  </w:style>
  <w:style w:type="paragraph" w:styleId="CommentText">
    <w:name w:val="annotation text"/>
    <w:basedOn w:val="Normal"/>
    <w:link w:val="CommentTextChar"/>
    <w:uiPriority w:val="99"/>
    <w:semiHidden/>
    <w:unhideWhenUsed/>
    <w:rsid w:val="008823EB"/>
    <w:pPr>
      <w:spacing w:line="240" w:lineRule="auto"/>
    </w:pPr>
    <w:rPr>
      <w:sz w:val="20"/>
      <w:szCs w:val="20"/>
    </w:rPr>
  </w:style>
  <w:style w:type="character" w:customStyle="1" w:styleId="CommentTextChar">
    <w:name w:val="Comment Text Char"/>
    <w:basedOn w:val="DefaultParagraphFont"/>
    <w:link w:val="CommentText"/>
    <w:uiPriority w:val="99"/>
    <w:semiHidden/>
    <w:rsid w:val="008823EB"/>
    <w:rPr>
      <w:sz w:val="20"/>
      <w:szCs w:val="20"/>
    </w:rPr>
  </w:style>
  <w:style w:type="paragraph" w:styleId="CommentSubject">
    <w:name w:val="annotation subject"/>
    <w:basedOn w:val="CommentText"/>
    <w:next w:val="CommentText"/>
    <w:link w:val="CommentSubjectChar"/>
    <w:uiPriority w:val="99"/>
    <w:semiHidden/>
    <w:unhideWhenUsed/>
    <w:rsid w:val="008823EB"/>
    <w:rPr>
      <w:b/>
      <w:bCs/>
    </w:rPr>
  </w:style>
  <w:style w:type="character" w:customStyle="1" w:styleId="CommentSubjectChar">
    <w:name w:val="Comment Subject Char"/>
    <w:basedOn w:val="CommentTextChar"/>
    <w:link w:val="CommentSubject"/>
    <w:uiPriority w:val="99"/>
    <w:semiHidden/>
    <w:rsid w:val="008823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7306">
      <w:bodyDiv w:val="1"/>
      <w:marLeft w:val="0"/>
      <w:marRight w:val="0"/>
      <w:marTop w:val="0"/>
      <w:marBottom w:val="0"/>
      <w:divBdr>
        <w:top w:val="none" w:sz="0" w:space="0" w:color="auto"/>
        <w:left w:val="none" w:sz="0" w:space="0" w:color="auto"/>
        <w:bottom w:val="none" w:sz="0" w:space="0" w:color="auto"/>
        <w:right w:val="none" w:sz="0" w:space="0" w:color="auto"/>
      </w:divBdr>
    </w:div>
    <w:div w:id="711614272">
      <w:bodyDiv w:val="1"/>
      <w:marLeft w:val="0"/>
      <w:marRight w:val="0"/>
      <w:marTop w:val="0"/>
      <w:marBottom w:val="0"/>
      <w:divBdr>
        <w:top w:val="none" w:sz="0" w:space="0" w:color="auto"/>
        <w:left w:val="none" w:sz="0" w:space="0" w:color="auto"/>
        <w:bottom w:val="none" w:sz="0" w:space="0" w:color="auto"/>
        <w:right w:val="none" w:sz="0" w:space="0" w:color="auto"/>
      </w:divBdr>
      <w:divsChild>
        <w:div w:id="16150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ata.buenosaires.gob.ar/dataset/flujo-vehicular-por-unidades-de-peaje-ausa"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buenosaires.gob.ar/dataset/subte-viajes-molinet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open-meteo.com/en/docs/historical-weathe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2177</Words>
  <Characters>12415</Characters>
  <Application>Microsoft Office Word</Application>
  <DocSecurity>0</DocSecurity>
  <Lines>103</Lines>
  <Paragraphs>29</Paragraphs>
  <ScaleCrop>false</ScaleCrop>
  <Company/>
  <LinksUpToDate>false</LinksUpToDate>
  <CharactersWithSpaces>14563</CharactersWithSpaces>
  <SharedDoc>false</SharedDoc>
  <HLinks>
    <vt:vector size="24" baseType="variant">
      <vt:variant>
        <vt:i4>4849756</vt:i4>
      </vt:variant>
      <vt:variant>
        <vt:i4>9</vt:i4>
      </vt:variant>
      <vt:variant>
        <vt:i4>0</vt:i4>
      </vt:variant>
      <vt:variant>
        <vt:i4>5</vt:i4>
      </vt:variant>
      <vt:variant>
        <vt:lpwstr>https://archive-api.open-meteo.com/v1/archive?latitude=-34.60&amp;longitude=-58.37&amp;start_date=2013-06-01&amp;end_date=2025-12-31&amp;daily=precipitation_sum&amp;timezone=America/Argentina/Buenos_Aires</vt:lpwstr>
      </vt:variant>
      <vt:variant>
        <vt:lpwstr/>
      </vt:variant>
      <vt:variant>
        <vt:i4>5832770</vt:i4>
      </vt:variant>
      <vt:variant>
        <vt:i4>6</vt:i4>
      </vt:variant>
      <vt:variant>
        <vt:i4>0</vt:i4>
      </vt:variant>
      <vt:variant>
        <vt:i4>5</vt:i4>
      </vt:variant>
      <vt:variant>
        <vt:lpwstr>https://open-meteo.com/en/docs/historical-weather-api</vt:lpwstr>
      </vt:variant>
      <vt:variant>
        <vt:lpwstr/>
      </vt:variant>
      <vt:variant>
        <vt:i4>2490427</vt:i4>
      </vt:variant>
      <vt:variant>
        <vt:i4>3</vt:i4>
      </vt:variant>
      <vt:variant>
        <vt:i4>0</vt:i4>
      </vt:variant>
      <vt:variant>
        <vt:i4>5</vt:i4>
      </vt:variant>
      <vt:variant>
        <vt:lpwstr>https://data.buenosaires.gob.ar/dataset/flujo-vehicular-por-unidades-de-peaje-ausa</vt:lpwstr>
      </vt:variant>
      <vt:variant>
        <vt:lpwstr/>
      </vt:variant>
      <vt:variant>
        <vt:i4>2883645</vt:i4>
      </vt:variant>
      <vt:variant>
        <vt:i4>0</vt:i4>
      </vt:variant>
      <vt:variant>
        <vt:i4>0</vt:i4>
      </vt:variant>
      <vt:variant>
        <vt:i4>5</vt:i4>
      </vt:variant>
      <vt:variant>
        <vt:lpwstr>https://data.buenosaires.gob.ar/dataset/subte-viajes-molinetes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Series Temporales</dc:title>
  <dc:subject>TITULOOOOO</dc:subject>
  <dc:creator>ALVARO, Giuliana
CHalup, sarah
FONTÁN, MARIANA
franco, agustina</dc:creator>
  <cp:keywords/>
  <dc:description/>
  <cp:lastModifiedBy>Giuliana Alvaro</cp:lastModifiedBy>
  <cp:revision>3</cp:revision>
  <dcterms:created xsi:type="dcterms:W3CDTF">2026-04-17T21:45:00Z</dcterms:created>
  <dcterms:modified xsi:type="dcterms:W3CDTF">2026-04-17T21:46:00Z</dcterms:modified>
</cp:coreProperties>
</file>