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F4C8D" w14:textId="77777777" w:rsidR="006A0E10" w:rsidRDefault="006A0E10" w:rsidP="006A0E10">
      <w:pPr>
        <w:spacing w:after="480"/>
        <w:jc w:val="center"/>
        <w:rPr>
          <w:b/>
          <w:bCs/>
          <w:color w:val="1F3864"/>
          <w:sz w:val="28"/>
          <w:szCs w:val="28"/>
        </w:rPr>
      </w:pPr>
    </w:p>
    <w:p w14:paraId="4127F787" w14:textId="77777777" w:rsidR="006A0E10" w:rsidRDefault="006A0E10" w:rsidP="006A0E10">
      <w:pPr>
        <w:spacing w:after="480"/>
        <w:jc w:val="center"/>
        <w:rPr>
          <w:b/>
          <w:bCs/>
          <w:color w:val="1F3864"/>
          <w:sz w:val="28"/>
          <w:szCs w:val="28"/>
        </w:rPr>
      </w:pPr>
    </w:p>
    <w:p w14:paraId="52EC8278" w14:textId="77777777" w:rsidR="006A0E10" w:rsidRDefault="006A0E10" w:rsidP="006A0E10">
      <w:pPr>
        <w:spacing w:after="480"/>
        <w:jc w:val="center"/>
        <w:rPr>
          <w:b/>
          <w:bCs/>
          <w:color w:val="1F3864"/>
          <w:sz w:val="28"/>
          <w:szCs w:val="28"/>
        </w:rPr>
      </w:pPr>
    </w:p>
    <w:p w14:paraId="6CB07468" w14:textId="354FD6B4" w:rsidR="00A130A3" w:rsidRDefault="00000000" w:rsidP="006A0E10">
      <w:pPr>
        <w:spacing w:after="480"/>
        <w:jc w:val="center"/>
      </w:pPr>
      <w:r>
        <w:rPr>
          <w:b/>
          <w:bCs/>
          <w:color w:val="1F3864"/>
          <w:sz w:val="28"/>
          <w:szCs w:val="28"/>
        </w:rPr>
        <w:t>Universidad Austral</w:t>
      </w:r>
    </w:p>
    <w:p w14:paraId="486EB14B" w14:textId="77777777" w:rsidR="00A130A3" w:rsidRDefault="00000000" w:rsidP="006A0E10">
      <w:pPr>
        <w:spacing w:after="120"/>
        <w:jc w:val="center"/>
      </w:pPr>
      <w:r>
        <w:rPr>
          <w:color w:val="444444"/>
        </w:rPr>
        <w:t>Maestría en Ciencia de Datos</w:t>
      </w:r>
    </w:p>
    <w:p w14:paraId="5994594B" w14:textId="77777777" w:rsidR="00A130A3" w:rsidRDefault="00000000" w:rsidP="006A0E10">
      <w:pPr>
        <w:spacing w:after="800"/>
        <w:jc w:val="center"/>
      </w:pPr>
      <w:r>
        <w:rPr>
          <w:color w:val="444444"/>
        </w:rPr>
        <w:t>Análisis de Series Temporales</w:t>
      </w:r>
    </w:p>
    <w:p w14:paraId="2B32844A" w14:textId="77777777" w:rsidR="00A130A3" w:rsidRDefault="00000000" w:rsidP="006A0E10">
      <w:pPr>
        <w:spacing w:after="240"/>
        <w:jc w:val="center"/>
      </w:pPr>
      <w:r>
        <w:rPr>
          <w:b/>
          <w:bCs/>
          <w:sz w:val="36"/>
          <w:szCs w:val="36"/>
        </w:rPr>
        <w:t>Movilidad Urbana en Buenos Aires:</w:t>
      </w:r>
    </w:p>
    <w:p w14:paraId="4C09CFE4" w14:textId="77777777" w:rsidR="00A130A3" w:rsidRDefault="00000000" w:rsidP="006A0E10">
      <w:pPr>
        <w:spacing w:after="800"/>
        <w:jc w:val="center"/>
      </w:pPr>
      <w:r>
        <w:rPr>
          <w:b/>
          <w:bCs/>
          <w:sz w:val="36"/>
          <w:szCs w:val="36"/>
        </w:rPr>
        <w:t>Subte, Peajes y Precipitaciones</w:t>
      </w:r>
    </w:p>
    <w:p w14:paraId="2F7942D5" w14:textId="77777777" w:rsidR="00A130A3" w:rsidRDefault="00000000" w:rsidP="006A0E10">
      <w:pPr>
        <w:spacing w:after="480"/>
        <w:jc w:val="center"/>
      </w:pPr>
      <w:r>
        <w:rPr>
          <w:color w:val="444444"/>
        </w:rPr>
        <w:t>Trabajo Práctico N° 1</w:t>
      </w:r>
    </w:p>
    <w:p w14:paraId="5A05B986" w14:textId="77777777" w:rsidR="00A130A3" w:rsidRDefault="00000000" w:rsidP="006A0E10">
      <w:pPr>
        <w:spacing w:after="80"/>
        <w:jc w:val="center"/>
      </w:pPr>
      <w:r>
        <w:t>Alvaro, Giuliana • Chalup, Sarah • Fontán, Mariana • Franco, Agustina</w:t>
      </w:r>
    </w:p>
    <w:p w14:paraId="28AB22D9" w14:textId="77777777" w:rsidR="00A130A3" w:rsidRDefault="00000000" w:rsidP="006A0E10">
      <w:pPr>
        <w:spacing w:after="120"/>
        <w:jc w:val="center"/>
      </w:pPr>
      <w:r>
        <w:t>Buenos Aires, abril de 2026</w:t>
      </w:r>
    </w:p>
    <w:p w14:paraId="48649827" w14:textId="77777777" w:rsidR="00A130A3" w:rsidRDefault="00A130A3" w:rsidP="006A0E10">
      <w:pPr>
        <w:pageBreakBefore/>
        <w:jc w:val="both"/>
      </w:pPr>
    </w:p>
    <w:p w14:paraId="562DE848" w14:textId="77777777" w:rsidR="00A130A3" w:rsidRDefault="00000000" w:rsidP="006A0E10">
      <w:pPr>
        <w:pStyle w:val="Heading1"/>
        <w:jc w:val="both"/>
      </w:pPr>
      <w:r>
        <w:t>Resumen</w:t>
      </w:r>
    </w:p>
    <w:p w14:paraId="3A350360" w14:textId="430DD4A8" w:rsidR="00A130A3" w:rsidRDefault="00000000" w:rsidP="006A0E10">
      <w:pPr>
        <w:spacing w:after="160" w:line="276" w:lineRule="auto"/>
        <w:ind w:firstLine="720"/>
        <w:jc w:val="both"/>
      </w:pPr>
      <w:r>
        <w:t xml:space="preserve">Este trabajo analiza tres series temporales vinculadas a la movilidad urbana en la Ciudad Autónoma de Buenos Aires: pasajeros del sistema de </w:t>
      </w:r>
      <w:r w:rsidR="006A0E10">
        <w:t>Subte</w:t>
      </w:r>
      <w:r>
        <w:t xml:space="preserve"> (2013–2025), flujo vehicular en peajes AUSA (2013–2025) y precipitaciones mensuales (2013–2025). El objetivo principal es modelar la dinámica temporal de las series de movilidad mediante la metodología Box-Jenkins, incorporando precipitaciones y una variable dummy de COVID-19 como regresores exógenos en modelos SARIMA-X.</w:t>
      </w:r>
    </w:p>
    <w:p w14:paraId="1ECF3EF6" w14:textId="77777777" w:rsidR="00A130A3" w:rsidRDefault="00000000" w:rsidP="006A0E10">
      <w:pPr>
        <w:spacing w:after="160" w:line="276" w:lineRule="auto"/>
        <w:ind w:firstLine="720"/>
        <w:jc w:val="both"/>
      </w:pPr>
      <w:r>
        <w:t>Las series de subte y peajes son no estacionarias y requieren diferenciación regular (d=1) y estacional (D=1, s=12), confirmado mediante pruebas de Dickey-Fuller Aumentado y KPSS. Las precipitaciones son estacionarias en niveles. Los modelos seleccionados por mínimo AIC son SARIMA(0,1,0)(0,1,1)[12]-X para subte y SARIMA(1,1,0)(1,1,1)[12]-X para peajes. La dummy COVID es el regresor más relevante, estimando una caída del 59% en la demanda del subte y del 32% en el flujo vehicular. Las precipitaciones no resultan estadísticamente significativas en ninguna serie. La evaluación out-of-sample (2024–2025) arroja un MAPE del 28,8% para subte (Rolling Forecast Origin) y 49,4% para peajes; la superioridad del modelo Naive Estacional en el período de test se atribuye al quiebre estructural post-COVID. Se presenta un pronóstico de doce meses para 2026.</w:t>
      </w:r>
    </w:p>
    <w:p w14:paraId="0FAF28FB" w14:textId="77777777" w:rsidR="00A130A3" w:rsidRDefault="00000000" w:rsidP="006A0E10">
      <w:pPr>
        <w:spacing w:after="160" w:line="276" w:lineRule="auto"/>
        <w:jc w:val="both"/>
      </w:pPr>
      <w:r>
        <w:rPr>
          <w:b/>
          <w:bCs/>
        </w:rPr>
        <w:t xml:space="preserve">Palabras clave: </w:t>
      </w:r>
      <w:r>
        <w:rPr>
          <w:i/>
          <w:iCs/>
        </w:rPr>
        <w:t>series temporales, SARIMA-X, movilidad urbana, COVID-19, subte, peajes, Buenos Aires, Box-Jenkins.</w:t>
      </w:r>
    </w:p>
    <w:p w14:paraId="4DC3CED8" w14:textId="77777777" w:rsidR="00A130A3" w:rsidRDefault="00A130A3" w:rsidP="006A0E10">
      <w:pPr>
        <w:pageBreakBefore/>
        <w:jc w:val="both"/>
      </w:pPr>
    </w:p>
    <w:p w14:paraId="6BE30E01" w14:textId="77777777" w:rsidR="00A130A3" w:rsidRDefault="00000000" w:rsidP="006A0E10">
      <w:pPr>
        <w:pStyle w:val="Heading1"/>
        <w:jc w:val="both"/>
      </w:pPr>
      <w:r>
        <w:t>1. Introducción</w:t>
      </w:r>
    </w:p>
    <w:p w14:paraId="009D3EE4" w14:textId="77777777" w:rsidR="00A130A3" w:rsidRDefault="00000000" w:rsidP="006A0E10">
      <w:pPr>
        <w:spacing w:after="160" w:line="276" w:lineRule="auto"/>
        <w:ind w:firstLine="720"/>
        <w:jc w:val="both"/>
      </w:pPr>
      <w:r>
        <w:t>La movilidad urbana constituye un sistema complejo cuya dinámica refleja tanto hábitos sociales como condiciones económicas y ambientales. En la Ciudad Autónoma de Buenos Aires (CABA), el transporte público y el automóvil particular coexisten como modos complementarios cuya demanda responde a factores estructurales —crecimiento poblacional, expansión de la red, variaciones tarifarias— y a perturbaciones exógenas, como las condiciones climáticas o eventos de fuerza mayor.</w:t>
      </w:r>
    </w:p>
    <w:p w14:paraId="2B827457" w14:textId="77777777" w:rsidR="00A130A3" w:rsidRDefault="00000000" w:rsidP="006A0E10">
      <w:pPr>
        <w:spacing w:after="160" w:line="276" w:lineRule="auto"/>
        <w:ind w:firstLine="720"/>
        <w:jc w:val="both"/>
      </w:pPr>
      <w:r>
        <w:t>El período 2013–2025 ofrece un laboratorio de análisis especialmente rico: incluye un ciclo de crecimiento sostenido (2013–2017), una recesión económica (2018–2019), el quiebre estructural más severo del sistema de transporte moderno argentino —la pandemia de COVID-19 (2020–2021)— y una recuperación parcial con comportamientos diferenciados en 2024–2025. Este contexto hace de la modelización estadística tanto un desafío metodológico como una oportunidad para estudiar la respuesta de los modelos SARIMA ante quiebres estructurales.</w:t>
      </w:r>
    </w:p>
    <w:p w14:paraId="46B5FA55" w14:textId="77777777" w:rsidR="00A130A3" w:rsidRDefault="00000000" w:rsidP="006A0E10">
      <w:pPr>
        <w:spacing w:after="160" w:line="276" w:lineRule="auto"/>
        <w:ind w:firstLine="720"/>
        <w:jc w:val="both"/>
      </w:pPr>
      <w:r>
        <w:t>El trabajo persigue tres objetivos. Primero, caracterizar las propiedades estadísticas de las series mediante análisis de estacionariedad y funciones de autocorrelación. Segundo, estimar modelos SARIMA-X que capturen la estructura de dependencia temporal, la estacionalidad anual y el impacto diferencial del COVID-19. Tercero, evaluar la capacidad predictiva out-of-sample y elaborar un pronóstico para 2026.</w:t>
      </w:r>
    </w:p>
    <w:p w14:paraId="25E468B4" w14:textId="77777777" w:rsidR="00A130A3" w:rsidRDefault="00000000" w:rsidP="006A0E10">
      <w:pPr>
        <w:pStyle w:val="Heading1"/>
        <w:jc w:val="both"/>
      </w:pPr>
      <w:r>
        <w:t>2. Marco Teórico</w:t>
      </w:r>
    </w:p>
    <w:p w14:paraId="46918B7F" w14:textId="77777777" w:rsidR="00A130A3" w:rsidRDefault="00000000" w:rsidP="006A0E10">
      <w:pPr>
        <w:pStyle w:val="Heading2"/>
        <w:jc w:val="both"/>
      </w:pPr>
      <w:r>
        <w:t>2.1 Estacionariedad y diferenciación</w:t>
      </w:r>
    </w:p>
    <w:p w14:paraId="58A15343" w14:textId="77777777" w:rsidR="00A130A3" w:rsidRDefault="00000000" w:rsidP="006A0E10">
      <w:pPr>
        <w:spacing w:after="160" w:line="276" w:lineRule="auto"/>
        <w:ind w:firstLine="720"/>
        <w:jc w:val="both"/>
      </w:pPr>
      <w:r>
        <w:t>Un proceso estocástico es estacionario en sentido débil si su media, varianza y covarianza son invariantes al tiempo, dependiendo únicámente del desfase entre observaciones (Peña, 2010). La mayoría de los modelos de series temporales asumen este supuesto, por lo que la presencia de tendencia o estacionalidad exige transformaciones previas. La diferenciación de orden 1 —∆y_t = y_t − y_{t−1}— elimina tendencias lineales, mientras que la diferenciación estacional —∆_s y_t = y_t − y_{t−s}— remueve patrones de frecuencia fija s. Para datos mensuales s = 12, y el orden de integración recomendado no supera d = 1 (Hyndman &amp; Athanasopoulos, 2021).</w:t>
      </w:r>
    </w:p>
    <w:p w14:paraId="40042029" w14:textId="77777777" w:rsidR="00A130A3" w:rsidRDefault="00000000" w:rsidP="006A0E10">
      <w:pPr>
        <w:pStyle w:val="Heading2"/>
        <w:jc w:val="both"/>
      </w:pPr>
      <w:r>
        <w:t>2.2 Modelos SARIMA y SARIMA-X</w:t>
      </w:r>
    </w:p>
    <w:p w14:paraId="7952912B" w14:textId="77777777" w:rsidR="00A130A3" w:rsidRDefault="00000000" w:rsidP="006A0E10">
      <w:pPr>
        <w:spacing w:after="160" w:line="276" w:lineRule="auto"/>
        <w:ind w:firstLine="720"/>
        <w:jc w:val="both"/>
      </w:pPr>
      <w:r>
        <w:t>La metodología Box-Jenkins (Box &amp; Jenkins, 1970) propone un ciclo iterativo de cuatro etapas: (i) identificación mediante FAC y FACP; (ii) estimación por máxima verosimilitud; (iii) diagnóstico de residuos; y (iv) pronóstico. El modelo SARIMA(p,d,q)(P,D,Q)[s] extiende el ARIMA incorporando términos autorregresivos (AR) y de media móvil (MA) de frecuencia estacional. El modelo SARIMA-X agrega regresores exógenos observables —en este trabajo, la precipitación mensual y una dummy COVID— a la ecuación de la media condicional.</w:t>
      </w:r>
    </w:p>
    <w:p w14:paraId="6F981B60" w14:textId="77777777" w:rsidR="00A130A3" w:rsidRDefault="00000000" w:rsidP="006A0E10">
      <w:pPr>
        <w:pStyle w:val="Heading2"/>
        <w:jc w:val="both"/>
      </w:pPr>
      <w:r>
        <w:t>2.3 Criterios de selección y diagnóstico</w:t>
      </w:r>
    </w:p>
    <w:p w14:paraId="395F1C59" w14:textId="77777777" w:rsidR="00A130A3" w:rsidRDefault="00000000" w:rsidP="006A0E10">
      <w:pPr>
        <w:spacing w:after="160" w:line="276" w:lineRule="auto"/>
        <w:ind w:firstLine="720"/>
        <w:jc w:val="both"/>
      </w:pPr>
      <w:r>
        <w:lastRenderedPageBreak/>
        <w:t>La selección entre modelos alternativos se realiza mediante el Criterio de Información de Akaike (AIC) y el Criterio Bayesiano de Schwarz (BIC).</w:t>
      </w:r>
      <w:r>
        <w:rPr>
          <w:rStyle w:val="FootnoteReference"/>
        </w:rPr>
        <w:footnoteReference w:id="1"/>
      </w:r>
      <w:r>
        <w:t xml:space="preserve"> El AIC penaliza la complejidad con 2k (k = nº de parámetros), mientras que el BIC penaliza con k·ln(n), siendo más severo con muestras grandes. El diagnóstico de los residuos incluye el test de Ljung-Box (H₀: los residuos son ruido blanco) y el test de Jarque-Bera (H₀: los residuos son normales).</w:t>
      </w:r>
    </w:p>
    <w:p w14:paraId="10CF6085" w14:textId="77777777" w:rsidR="00A130A3" w:rsidRDefault="00000000" w:rsidP="006A0E10">
      <w:pPr>
        <w:pStyle w:val="Heading1"/>
        <w:jc w:val="both"/>
      </w:pPr>
      <w:r>
        <w:t>3. Hipótesis</w:t>
      </w:r>
    </w:p>
    <w:p w14:paraId="7EB68E27" w14:textId="77777777" w:rsidR="00A130A3" w:rsidRDefault="00000000" w:rsidP="006A0E10">
      <w:pPr>
        <w:spacing w:after="160" w:line="276" w:lineRule="auto"/>
        <w:ind w:firstLine="720"/>
        <w:jc w:val="both"/>
      </w:pPr>
      <w:r>
        <w:t>Se formulan las siguientes hipótesis de investigación:</w:t>
      </w:r>
    </w:p>
    <w:p w14:paraId="3C786514" w14:textId="77777777" w:rsidR="00A130A3" w:rsidRDefault="00000000" w:rsidP="006A0E10">
      <w:pPr>
        <w:pStyle w:val="ListParagraph"/>
        <w:numPr>
          <w:ilvl w:val="0"/>
          <w:numId w:val="2"/>
        </w:numPr>
        <w:spacing w:after="80" w:line="276" w:lineRule="auto"/>
        <w:jc w:val="both"/>
      </w:pPr>
      <w:r>
        <w:t>H1 — No estacionariedad en movilidad: las series de subte y peajes son no estacionarias en niveles y requieren al menos d = 1 para inducir estacionariedad.</w:t>
      </w:r>
    </w:p>
    <w:p w14:paraId="71CA944B" w14:textId="77777777" w:rsidR="00A130A3" w:rsidRDefault="00000000" w:rsidP="006A0E10">
      <w:pPr>
        <w:pStyle w:val="ListParagraph"/>
        <w:numPr>
          <w:ilvl w:val="0"/>
          <w:numId w:val="2"/>
        </w:numPr>
        <w:spacing w:after="80" w:line="276" w:lineRule="auto"/>
        <w:jc w:val="both"/>
      </w:pPr>
      <w:r>
        <w:t>H2 — Estacionalidad anual: ambas series exhiben estacionalidad de período s = 12, que requiere D = 1 en el proceso de modelado.</w:t>
      </w:r>
    </w:p>
    <w:p w14:paraId="03A7EDE5" w14:textId="77777777" w:rsidR="00A130A3" w:rsidRDefault="00000000" w:rsidP="006A0E10">
      <w:pPr>
        <w:pStyle w:val="ListParagraph"/>
        <w:numPr>
          <w:ilvl w:val="0"/>
          <w:numId w:val="2"/>
        </w:numPr>
        <w:spacing w:after="80" w:line="276" w:lineRule="auto"/>
        <w:jc w:val="both"/>
      </w:pPr>
      <w:r>
        <w:t>H3 — Impacto COVID-19: la pandemia generó un quiebre estructural negativo y estadísticamente significativo, capturado por el coeficiente de dummy_covid.</w:t>
      </w:r>
    </w:p>
    <w:p w14:paraId="5C5E2C34" w14:textId="77777777" w:rsidR="00A130A3" w:rsidRDefault="00000000" w:rsidP="006A0E10">
      <w:pPr>
        <w:pStyle w:val="ListParagraph"/>
        <w:numPr>
          <w:ilvl w:val="0"/>
          <w:numId w:val="2"/>
        </w:numPr>
        <w:spacing w:after="80" w:line="276" w:lineRule="auto"/>
        <w:jc w:val="both"/>
      </w:pPr>
      <w:r>
        <w:t>H4 — Efecto de las precipitaciones: la lluvia mensual tiene un efecto positivo y significativo sobre la demanda del subte, por sustitución desde modos activos hacia el transporte subterráneo.</w:t>
      </w:r>
    </w:p>
    <w:p w14:paraId="23D2A1B5" w14:textId="77777777" w:rsidR="00A130A3" w:rsidRDefault="00000000" w:rsidP="006A0E10">
      <w:pPr>
        <w:pStyle w:val="ListParagraph"/>
        <w:numPr>
          <w:ilvl w:val="0"/>
          <w:numId w:val="2"/>
        </w:numPr>
        <w:spacing w:after="80" w:line="276" w:lineRule="auto"/>
        <w:jc w:val="both"/>
      </w:pPr>
      <w:r>
        <w:t>H5 — Ventaja del SARIMA-X: el SARIMA-X supera en criterios de información y métricas de test al SARIMA sin variables exógenas.</w:t>
      </w:r>
    </w:p>
    <w:p w14:paraId="629255EC" w14:textId="77777777" w:rsidR="00A130A3" w:rsidRDefault="00A130A3" w:rsidP="006A0E10">
      <w:pPr>
        <w:spacing w:after="120"/>
        <w:jc w:val="both"/>
      </w:pPr>
    </w:p>
    <w:p w14:paraId="22F72F47" w14:textId="77777777" w:rsidR="00A130A3" w:rsidRDefault="00000000" w:rsidP="006A0E10">
      <w:pPr>
        <w:pStyle w:val="Heading1"/>
        <w:jc w:val="both"/>
      </w:pPr>
      <w:r>
        <w:t>4. Datos</w:t>
      </w:r>
    </w:p>
    <w:p w14:paraId="7FDD89E3" w14:textId="77777777" w:rsidR="00A130A3" w:rsidRDefault="00000000" w:rsidP="006A0E10">
      <w:pPr>
        <w:pStyle w:val="Heading2"/>
        <w:jc w:val="both"/>
      </w:pPr>
      <w:r>
        <w:t>4.1 Fuentes y período de análisis</w:t>
      </w:r>
    </w:p>
    <w:p w14:paraId="1CAF7BE9" w14:textId="79F4F729" w:rsidR="00A130A3" w:rsidRDefault="00000000" w:rsidP="006A0E10">
      <w:pPr>
        <w:spacing w:after="160" w:line="276" w:lineRule="auto"/>
        <w:ind w:firstLine="720"/>
        <w:jc w:val="both"/>
      </w:pPr>
      <w:r>
        <w:t>Las tres series cubren el período junio 2013 – diciembre 2025 (151 observaciones mensuales) y fueron descargadas de fuentes públicas. La Tabla 1 resume sus características principales.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6"/>
        <w:gridCol w:w="1606"/>
        <w:gridCol w:w="806"/>
        <w:gridCol w:w="1806"/>
        <w:gridCol w:w="2402"/>
      </w:tblGrid>
      <w:tr w:rsidR="00A130A3" w14:paraId="687AE368" w14:textId="77777777">
        <w:tblPrEx>
          <w:tblCellMar>
            <w:top w:w="0" w:type="dxa"/>
            <w:bottom w:w="0" w:type="dxa"/>
          </w:tblCellMar>
        </w:tblPrEx>
        <w:trPr>
          <w:tblHeader/>
        </w:trPr>
        <w:tc>
          <w:tcPr>
            <w:tcW w:w="24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13316C98" w14:textId="77777777" w:rsidR="00A130A3" w:rsidRDefault="00000000" w:rsidP="006A0E10">
            <w:pPr>
              <w:jc w:val="both"/>
            </w:pPr>
            <w:r>
              <w:rPr>
                <w:b/>
                <w:bCs/>
                <w:sz w:val="20"/>
                <w:szCs w:val="20"/>
              </w:rPr>
              <w:t>Serie</w:t>
            </w:r>
          </w:p>
        </w:tc>
        <w:tc>
          <w:tcPr>
            <w:tcW w:w="16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6A1FB99D" w14:textId="77777777" w:rsidR="00A130A3" w:rsidRDefault="00000000" w:rsidP="006A0E10">
            <w:pPr>
              <w:jc w:val="both"/>
            </w:pPr>
            <w:r>
              <w:rPr>
                <w:b/>
                <w:bCs/>
                <w:sz w:val="20"/>
                <w:szCs w:val="20"/>
              </w:rPr>
              <w:t>Período</w:t>
            </w:r>
          </w:p>
        </w:tc>
        <w:tc>
          <w:tcPr>
            <w:tcW w:w="8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5E20B74A" w14:textId="77777777" w:rsidR="00A130A3" w:rsidRDefault="00000000" w:rsidP="006A0E10">
            <w:pPr>
              <w:jc w:val="both"/>
            </w:pPr>
            <w:r>
              <w:rPr>
                <w:b/>
                <w:bCs/>
                <w:sz w:val="20"/>
                <w:szCs w:val="20"/>
              </w:rPr>
              <w:t>Obs.</w:t>
            </w:r>
          </w:p>
        </w:tc>
        <w:tc>
          <w:tcPr>
            <w:tcW w:w="18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28248A5F" w14:textId="77777777" w:rsidR="00A130A3" w:rsidRDefault="00000000" w:rsidP="006A0E10">
            <w:pPr>
              <w:jc w:val="both"/>
            </w:pPr>
            <w:r>
              <w:rPr>
                <w:b/>
                <w:bCs/>
                <w:sz w:val="20"/>
                <w:szCs w:val="20"/>
              </w:rPr>
              <w:t>Fuente</w:t>
            </w:r>
          </w:p>
        </w:tc>
        <w:tc>
          <w:tcPr>
            <w:tcW w:w="2402"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1CDD14FD" w14:textId="77777777" w:rsidR="00A130A3" w:rsidRDefault="00000000" w:rsidP="006A0E10">
            <w:pPr>
              <w:jc w:val="both"/>
            </w:pPr>
            <w:r>
              <w:rPr>
                <w:b/>
                <w:bCs/>
                <w:sz w:val="20"/>
                <w:szCs w:val="20"/>
              </w:rPr>
              <w:t>Transformación</w:t>
            </w:r>
          </w:p>
        </w:tc>
      </w:tr>
      <w:tr w:rsidR="00A130A3" w14:paraId="2E92BF16" w14:textId="77777777">
        <w:tblPrEx>
          <w:tblCellMar>
            <w:top w:w="0" w:type="dxa"/>
            <w:bottom w:w="0" w:type="dxa"/>
          </w:tblCellMar>
        </w:tblPrEx>
        <w:tc>
          <w:tcPr>
            <w:tcW w:w="24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D730125" w14:textId="77777777" w:rsidR="00A130A3" w:rsidRDefault="00000000" w:rsidP="006A0E10">
            <w:pPr>
              <w:jc w:val="both"/>
            </w:pPr>
            <w:r>
              <w:rPr>
                <w:sz w:val="20"/>
                <w:szCs w:val="20"/>
              </w:rPr>
              <w:t>Pasajeros Subte</w:t>
            </w:r>
          </w:p>
        </w:tc>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FFFC5A7" w14:textId="77777777" w:rsidR="00A130A3" w:rsidRDefault="00000000" w:rsidP="006A0E10">
            <w:pPr>
              <w:jc w:val="both"/>
            </w:pPr>
            <w:r>
              <w:rPr>
                <w:sz w:val="20"/>
                <w:szCs w:val="20"/>
              </w:rPr>
              <w:t>Jun 2013–Dic 2025</w:t>
            </w:r>
          </w:p>
        </w:tc>
        <w:tc>
          <w:tcPr>
            <w:tcW w:w="8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24E7003" w14:textId="77777777" w:rsidR="00A130A3" w:rsidRDefault="00000000" w:rsidP="006A0E10">
            <w:pPr>
              <w:jc w:val="both"/>
            </w:pPr>
            <w:r>
              <w:rPr>
                <w:sz w:val="20"/>
                <w:szCs w:val="20"/>
              </w:rPr>
              <w:t>151</w:t>
            </w:r>
          </w:p>
        </w:tc>
        <w:tc>
          <w:tcPr>
            <w:tcW w:w="18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62BDC7C" w14:textId="77777777" w:rsidR="00A130A3" w:rsidRDefault="00000000" w:rsidP="006A0E10">
            <w:pPr>
              <w:jc w:val="both"/>
            </w:pPr>
            <w:r>
              <w:rPr>
                <w:sz w:val="20"/>
                <w:szCs w:val="20"/>
              </w:rPr>
              <w:t>GCBA / Sbase</w:t>
            </w:r>
          </w:p>
        </w:tc>
        <w:tc>
          <w:tcPr>
            <w:tcW w:w="240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BB66021" w14:textId="77777777" w:rsidR="00A130A3" w:rsidRDefault="00000000" w:rsidP="006A0E10">
            <w:pPr>
              <w:jc w:val="both"/>
            </w:pPr>
            <w:r>
              <w:rPr>
                <w:sz w:val="20"/>
                <w:szCs w:val="20"/>
              </w:rPr>
              <w:t>log()</w:t>
            </w:r>
          </w:p>
        </w:tc>
      </w:tr>
      <w:tr w:rsidR="00A130A3" w14:paraId="28BAF7A5" w14:textId="77777777">
        <w:tblPrEx>
          <w:tblCellMar>
            <w:top w:w="0" w:type="dxa"/>
            <w:bottom w:w="0" w:type="dxa"/>
          </w:tblCellMar>
        </w:tblPrEx>
        <w:tc>
          <w:tcPr>
            <w:tcW w:w="24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EB97473" w14:textId="77777777" w:rsidR="00A130A3" w:rsidRDefault="00000000" w:rsidP="006A0E10">
            <w:pPr>
              <w:jc w:val="both"/>
            </w:pPr>
            <w:r>
              <w:rPr>
                <w:sz w:val="20"/>
                <w:szCs w:val="20"/>
              </w:rPr>
              <w:t>Flujo Peajes AUSA</w:t>
            </w:r>
          </w:p>
        </w:tc>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BB5483A" w14:textId="77777777" w:rsidR="00A130A3" w:rsidRDefault="00000000" w:rsidP="006A0E10">
            <w:pPr>
              <w:jc w:val="both"/>
            </w:pPr>
            <w:r>
              <w:rPr>
                <w:sz w:val="20"/>
                <w:szCs w:val="20"/>
              </w:rPr>
              <w:t>Jun 2013–Dic 2025</w:t>
            </w:r>
          </w:p>
        </w:tc>
        <w:tc>
          <w:tcPr>
            <w:tcW w:w="8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4A0BADA" w14:textId="77777777" w:rsidR="00A130A3" w:rsidRDefault="00000000" w:rsidP="006A0E10">
            <w:pPr>
              <w:jc w:val="both"/>
            </w:pPr>
            <w:r>
              <w:rPr>
                <w:sz w:val="20"/>
                <w:szCs w:val="20"/>
              </w:rPr>
              <w:t>149</w:t>
            </w:r>
          </w:p>
        </w:tc>
        <w:tc>
          <w:tcPr>
            <w:tcW w:w="18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52D189C" w14:textId="77777777" w:rsidR="00A130A3" w:rsidRDefault="00000000" w:rsidP="006A0E10">
            <w:pPr>
              <w:jc w:val="both"/>
            </w:pPr>
            <w:r>
              <w:rPr>
                <w:sz w:val="20"/>
                <w:szCs w:val="20"/>
              </w:rPr>
              <w:t>GCBA / AUSA</w:t>
            </w:r>
          </w:p>
        </w:tc>
        <w:tc>
          <w:tcPr>
            <w:tcW w:w="240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E15E339" w14:textId="77777777" w:rsidR="00A130A3" w:rsidRDefault="00000000" w:rsidP="006A0E10">
            <w:pPr>
              <w:jc w:val="both"/>
            </w:pPr>
            <w:r>
              <w:rPr>
                <w:sz w:val="20"/>
                <w:szCs w:val="20"/>
              </w:rPr>
              <w:t>log()</w:t>
            </w:r>
          </w:p>
        </w:tc>
      </w:tr>
      <w:tr w:rsidR="00A130A3" w14:paraId="6395B2D6" w14:textId="77777777">
        <w:tblPrEx>
          <w:tblCellMar>
            <w:top w:w="0" w:type="dxa"/>
            <w:bottom w:w="0" w:type="dxa"/>
          </w:tblCellMar>
        </w:tblPrEx>
        <w:tc>
          <w:tcPr>
            <w:tcW w:w="24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7BB4B09" w14:textId="77777777" w:rsidR="00A130A3" w:rsidRDefault="00000000" w:rsidP="006A0E10">
            <w:pPr>
              <w:jc w:val="both"/>
            </w:pPr>
            <w:r>
              <w:rPr>
                <w:sz w:val="20"/>
                <w:szCs w:val="20"/>
              </w:rPr>
              <w:t>Precipitaciones</w:t>
            </w:r>
          </w:p>
        </w:tc>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73A66CB" w14:textId="77777777" w:rsidR="00A130A3" w:rsidRDefault="00000000" w:rsidP="006A0E10">
            <w:pPr>
              <w:jc w:val="both"/>
            </w:pPr>
            <w:r>
              <w:rPr>
                <w:sz w:val="20"/>
                <w:szCs w:val="20"/>
              </w:rPr>
              <w:t>Jun 2013–Dic 2025</w:t>
            </w:r>
          </w:p>
        </w:tc>
        <w:tc>
          <w:tcPr>
            <w:tcW w:w="8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686615E" w14:textId="77777777" w:rsidR="00A130A3" w:rsidRDefault="00000000" w:rsidP="006A0E10">
            <w:pPr>
              <w:jc w:val="both"/>
            </w:pPr>
            <w:r>
              <w:rPr>
                <w:sz w:val="20"/>
                <w:szCs w:val="20"/>
              </w:rPr>
              <w:t>151</w:t>
            </w:r>
          </w:p>
        </w:tc>
        <w:tc>
          <w:tcPr>
            <w:tcW w:w="18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C525B5F" w14:textId="77777777" w:rsidR="00A130A3" w:rsidRDefault="00000000" w:rsidP="006A0E10">
            <w:pPr>
              <w:jc w:val="both"/>
            </w:pPr>
            <w:r>
              <w:rPr>
                <w:sz w:val="20"/>
                <w:szCs w:val="20"/>
              </w:rPr>
              <w:t>Open-Meteo</w:t>
            </w:r>
          </w:p>
        </w:tc>
        <w:tc>
          <w:tcPr>
            <w:tcW w:w="240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E880788" w14:textId="77777777" w:rsidR="00A130A3" w:rsidRDefault="00000000" w:rsidP="006A0E10">
            <w:pPr>
              <w:jc w:val="both"/>
            </w:pPr>
            <w:r>
              <w:rPr>
                <w:sz w:val="20"/>
                <w:szCs w:val="20"/>
              </w:rPr>
              <w:t>Ninguna (exog.)</w:t>
            </w:r>
          </w:p>
        </w:tc>
      </w:tr>
    </w:tbl>
    <w:p w14:paraId="2C8D95A9" w14:textId="45BAC785" w:rsidR="00A130A3" w:rsidRDefault="00000000" w:rsidP="006A0E10">
      <w:pPr>
        <w:spacing w:before="80" w:after="200"/>
        <w:jc w:val="both"/>
        <w:rPr>
          <w:i/>
          <w:iCs/>
          <w:sz w:val="20"/>
          <w:szCs w:val="20"/>
        </w:rPr>
      </w:pPr>
      <w:r>
        <w:rPr>
          <w:i/>
          <w:iCs/>
          <w:sz w:val="20"/>
          <w:szCs w:val="20"/>
        </w:rPr>
        <w:t>Tabla 1. Descripción de las series analizadas.</w:t>
      </w:r>
    </w:p>
    <w:p w14:paraId="7273293C" w14:textId="77777777" w:rsidR="006A0E10" w:rsidRDefault="006A0E10" w:rsidP="006A0E10">
      <w:pPr>
        <w:spacing w:before="80" w:after="200"/>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130A3" w14:paraId="0CB04CC0" w14:textId="77777777">
        <w:tblPrEx>
          <w:tblCellMar>
            <w:top w:w="0" w:type="dxa"/>
            <w:bottom w:w="0" w:type="dxa"/>
          </w:tblCellMar>
        </w:tblPrEx>
        <w:tc>
          <w:tcPr>
            <w:tcW w:w="9026" w:type="dxa"/>
            <w:tcBorders>
              <w:top w:val="single" w:sz="4" w:space="0" w:color="2E5496"/>
              <w:left w:val="single" w:sz="4" w:space="0" w:color="2E5496"/>
              <w:bottom w:val="single" w:sz="4" w:space="0" w:color="2E5496"/>
              <w:right w:val="single" w:sz="4" w:space="0" w:color="2E5496"/>
            </w:tcBorders>
            <w:shd w:val="clear" w:color="auto" w:fill="EEF4FB"/>
            <w:tcMar>
              <w:top w:w="200" w:type="dxa"/>
              <w:left w:w="300" w:type="dxa"/>
              <w:bottom w:w="200" w:type="dxa"/>
              <w:right w:w="300" w:type="dxa"/>
            </w:tcMar>
          </w:tcPr>
          <w:p w14:paraId="4EB32E51" w14:textId="77777777" w:rsidR="00A130A3" w:rsidRDefault="00000000" w:rsidP="006A0E10">
            <w:pPr>
              <w:spacing w:after="60"/>
              <w:jc w:val="both"/>
            </w:pPr>
            <w:r>
              <w:rPr>
                <w:b/>
                <w:bCs/>
                <w:color w:val="2E5496"/>
                <w:sz w:val="22"/>
                <w:szCs w:val="22"/>
              </w:rPr>
              <w:lastRenderedPageBreak/>
              <w:t>[INSERTAR FIGURA 1]</w:t>
            </w:r>
          </w:p>
          <w:p w14:paraId="4B04A810" w14:textId="77777777" w:rsidR="00A130A3" w:rsidRDefault="00000000" w:rsidP="006A0E10">
            <w:pPr>
              <w:jc w:val="both"/>
            </w:pPr>
            <w:r>
              <w:rPr>
                <w:i/>
                <w:iCs/>
                <w:color w:val="444444"/>
                <w:sz w:val="20"/>
                <w:szCs w:val="20"/>
              </w:rPr>
              <w:t>Series temporales originales: pasajeros de subte (mill.), vehículos en peajes (mill.) y precipitaciones mensuales (mm). Período jun 2013 – dic 2025. La banda roja sombreada indica el período COVID-19 (mar 2020 – dic 2021).</w:t>
            </w:r>
          </w:p>
        </w:tc>
      </w:tr>
    </w:tbl>
    <w:p w14:paraId="627D1A8B" w14:textId="77777777" w:rsidR="00A130A3" w:rsidRDefault="00000000" w:rsidP="006A0E10">
      <w:pPr>
        <w:spacing w:before="80" w:after="200"/>
        <w:jc w:val="both"/>
      </w:pPr>
      <w:r>
        <w:rPr>
          <w:i/>
          <w:iCs/>
          <w:sz w:val="20"/>
          <w:szCs w:val="20"/>
        </w:rPr>
        <w:t>Figura 1. Series temporales originales: pasajeros de subte (mill.), vehículos en peajes (mill.) y precipitaciones mensuales (mm). Período jun 2013 – dic 2025. La banda roja sombreada indica el período COVID-19 (mar 2020 – dic 2021).</w:t>
      </w:r>
    </w:p>
    <w:p w14:paraId="74703A8F" w14:textId="77777777" w:rsidR="00A130A3" w:rsidRDefault="00000000" w:rsidP="006A0E10">
      <w:pPr>
        <w:pStyle w:val="Heading2"/>
        <w:jc w:val="both"/>
      </w:pPr>
      <w:r>
        <w:t>4.2 Procesamiento y calidad de datos</w:t>
      </w:r>
    </w:p>
    <w:p w14:paraId="108367A7" w14:textId="2625F1A3" w:rsidR="00A130A3" w:rsidRDefault="00000000" w:rsidP="006A0E10">
      <w:pPr>
        <w:spacing w:after="160" w:line="276" w:lineRule="auto"/>
        <w:ind w:firstLine="720"/>
        <w:jc w:val="both"/>
      </w:pPr>
      <w:r>
        <w:t>Los datos de subte fueron descargados como archivos ZIP anuales del portal GCBA/Sbase, requiriendo detección automática del separador (coma en 2013–2021, punto y coma en 2022–2025), manejo de BOM UTF-8 (2023</w:t>
      </w:r>
      <w:r w:rsidR="006A0E10">
        <w:t xml:space="preserve"> en adelante</w:t>
      </w:r>
      <w:r>
        <w:t>) y remoción de comillas externas por fila. Los datos de peajes presentaron un caso adicional de inconsistencia en el formato de distribución.</w:t>
      </w:r>
      <w:r>
        <w:rPr>
          <w:rStyle w:val="FootnoteReference"/>
        </w:rPr>
        <w:footnoteReference w:id="2"/>
      </w:r>
      <w:r>
        <w:t xml:space="preserve"> Los valores inferiores al 1% de la mediana de cada serie fueron tratados como atípicos extremos y reemplazados por NaN. Las precipitaciones se obtuvieron de Open-Meteo (archive-api.open-meteo.com) y no requirieron imputación.</w:t>
      </w:r>
    </w:p>
    <w:p w14:paraId="1C2C3422" w14:textId="77777777" w:rsidR="00A130A3" w:rsidRDefault="00000000" w:rsidP="006A0E10">
      <w:pPr>
        <w:pStyle w:val="Heading2"/>
        <w:jc w:val="both"/>
      </w:pPr>
      <w:r>
        <w:t>4.3 Transformación logarítmica</w:t>
      </w:r>
    </w:p>
    <w:p w14:paraId="66D8B43F" w14:textId="77777777" w:rsidR="00A130A3" w:rsidRDefault="00000000" w:rsidP="006A0E10">
      <w:pPr>
        <w:spacing w:after="160" w:line="276" w:lineRule="auto"/>
        <w:ind w:firstLine="720"/>
        <w:jc w:val="both"/>
      </w:pPr>
      <w:r>
        <w:t>Se aplicó una transformación logarítmica a las series de subte y peajes.</w:t>
      </w:r>
      <w:r>
        <w:rPr>
          <w:rStyle w:val="FootnoteReference"/>
        </w:rPr>
        <w:footnoteReference w:id="3"/>
      </w:r>
      <w:r>
        <w:t xml:space="preserve"> Esta transformación cumple un doble propósito: (i) estabilizar la varianza, modelando crecimientos porcentuales en lugar de absolutos; y (ii) convertir el quiebre multiplicativo del COVID en uno aditivo, más tratable mediante la variable dummy. La serie de precipitaciones no se transforma, ya que se utiliza directamente como regresor exógeno.</w:t>
      </w:r>
    </w:p>
    <w:p w14:paraId="2287C20F" w14:textId="77777777" w:rsidR="00A130A3" w:rsidRDefault="00000000" w:rsidP="006A0E10">
      <w:pPr>
        <w:pStyle w:val="Heading2"/>
        <w:jc w:val="both"/>
      </w:pPr>
      <w:r>
        <w:t>4.4 Variable dummy COVID-19</w:t>
      </w:r>
    </w:p>
    <w:p w14:paraId="4D2C85E0" w14:textId="77777777" w:rsidR="00A130A3" w:rsidRDefault="00000000" w:rsidP="006A0E10">
      <w:pPr>
        <w:spacing w:after="160" w:line="276" w:lineRule="auto"/>
        <w:ind w:firstLine="720"/>
        <w:jc w:val="both"/>
      </w:pPr>
      <w:r>
        <w:t>Se construyó una variable binaria dummy_covid que toma valor 1 entre marzo de 2020 y diciembre de 2021 (22 meses), capturando el período de restricciones más estrictas (ASPO y DISPO) y la recuperación inicial. A partir de enero de 2022 la variable toma valor 0, asumiendo el retorno al régimen normal.</w:t>
      </w:r>
    </w:p>
    <w:p w14:paraId="4018C6B4" w14:textId="77777777" w:rsidR="00A130A3" w:rsidRDefault="00000000" w:rsidP="006A0E10">
      <w:pPr>
        <w:pStyle w:val="Heading1"/>
        <w:jc w:val="both"/>
      </w:pPr>
      <w:r>
        <w:t>5. Metodología</w:t>
      </w:r>
    </w:p>
    <w:p w14:paraId="118BC98D" w14:textId="77777777" w:rsidR="00A130A3" w:rsidRDefault="00000000" w:rsidP="006A0E10">
      <w:pPr>
        <w:pStyle w:val="Heading2"/>
        <w:jc w:val="both"/>
      </w:pPr>
      <w:r>
        <w:t>5.1 Análisis de estacionariedad</w:t>
      </w:r>
    </w:p>
    <w:p w14:paraId="3ABFD7C0" w14:textId="77777777" w:rsidR="00A130A3" w:rsidRDefault="00000000" w:rsidP="006A0E10">
      <w:pPr>
        <w:spacing w:after="160" w:line="276" w:lineRule="auto"/>
        <w:ind w:firstLine="720"/>
        <w:jc w:val="both"/>
      </w:pPr>
      <w:r>
        <w:t>La estacionariedad de cada serie se verificó visualmente mediante la FAS, la FAC y la FACP, y formalmente mediante las pruebas ADF y KPSS.</w:t>
      </w:r>
      <w:r>
        <w:rPr>
          <w:rStyle w:val="FootnoteReference"/>
        </w:rPr>
        <w:footnoteReference w:id="4"/>
      </w:r>
      <w:r>
        <w:t xml:space="preserve"> El uso conjunto de ambas pruebas provee una conclusión robusta: el ADF parte de la hipótesis nula de no estacionariedad (raíz unitaria), mientras </w:t>
      </w:r>
      <w:r>
        <w:lastRenderedPageBreak/>
        <w:t>que el KPSS parte de la estacionariedad. El rechazo del ADF y la no remoción del KPSS, o viceversa, constituyen evidencia concluyente.</w:t>
      </w:r>
    </w:p>
    <w:p w14:paraId="6CC4BD0F" w14:textId="77777777" w:rsidR="00A130A3" w:rsidRDefault="00000000" w:rsidP="006A0E10">
      <w:pPr>
        <w:pStyle w:val="Heading2"/>
        <w:jc w:val="both"/>
      </w:pPr>
      <w:r>
        <w:t>5.2 Identificación de parámetros</w:t>
      </w:r>
    </w:p>
    <w:p w14:paraId="5295E042" w14:textId="77777777" w:rsidR="00A130A3" w:rsidRDefault="00000000" w:rsidP="006A0E10">
      <w:pPr>
        <w:spacing w:after="160" w:line="276" w:lineRule="auto"/>
        <w:ind w:firstLine="720"/>
        <w:jc w:val="both"/>
      </w:pPr>
      <w:r>
        <w:t>Los parámetros de diferenciación (d=1, D=1, s=12) se determinaron a partir del análisis visual de la FAS, FAC y FACP en niveles y con diferenciaciones sucesivas. La búsqueda en grilla cubrió p,q ∈ {0,1,2} × P,Q ∈ {0,1}, totalizando 36 combinaciones por serie, con EXOG = {lluvia_mm, dummy_covid}. La selección final se realizó por mínimo AIC, verificando consistencia con el BIC.</w:t>
      </w:r>
    </w:p>
    <w:p w14:paraId="5AC92EE6" w14:textId="77777777" w:rsidR="00A130A3" w:rsidRDefault="00000000" w:rsidP="006A0E10">
      <w:pPr>
        <w:pStyle w:val="Heading2"/>
        <w:jc w:val="both"/>
      </w:pPr>
      <w:r>
        <w:t>5.3 Partición train/test</w:t>
      </w:r>
    </w:p>
    <w:p w14:paraId="73190F1C" w14:textId="77777777" w:rsidR="00A130A3" w:rsidRDefault="00000000" w:rsidP="006A0E10">
      <w:pPr>
        <w:spacing w:after="160" w:line="276" w:lineRule="auto"/>
        <w:ind w:firstLine="720"/>
        <w:jc w:val="both"/>
      </w:pPr>
      <w:r>
        <w:t>Las series se dividieron en entrenamiento (junio 2013 – diciembre 2023, 127/126 observaciones) y test (enero 2024 – diciembre 2025, 24 observaciones), asegurando que el período de test sea completamente out-of-sample y que el entrenamiento incluya el período COVID completo.</w:t>
      </w:r>
    </w:p>
    <w:p w14:paraId="2365920B" w14:textId="77777777" w:rsidR="00A130A3" w:rsidRDefault="00000000" w:rsidP="006A0E10">
      <w:pPr>
        <w:pStyle w:val="Heading2"/>
        <w:jc w:val="both"/>
      </w:pPr>
      <w:r>
        <w:t>5.4 Evaluación out-of-sample</w:t>
      </w:r>
    </w:p>
    <w:p w14:paraId="0AA086FE" w14:textId="77777777" w:rsidR="00A130A3" w:rsidRDefault="00000000" w:rsidP="006A0E10">
      <w:pPr>
        <w:spacing w:after="160" w:line="276" w:lineRule="auto"/>
        <w:ind w:firstLine="720"/>
        <w:jc w:val="both"/>
      </w:pPr>
      <w:r>
        <w:t>Se implementaron dos estrategias: (i) forecast estático, que genera todos los pronósticos del período de test en un único paso; y (ii) Rolling Forecast Origin con ventana expandida, que re-entrena el modelo en cada paso incorporando las observaciones pasadas del test.</w:t>
      </w:r>
      <w:r>
        <w:rPr>
          <w:rStyle w:val="FootnoteReference"/>
        </w:rPr>
        <w:footnoteReference w:id="5"/>
      </w:r>
      <w:r>
        <w:t xml:space="preserve"> Las métricas RMSE, MAE y MAPE se calcularon en escala original (exp del log pronosticado).</w:t>
      </w:r>
    </w:p>
    <w:p w14:paraId="4B676D54" w14:textId="77777777" w:rsidR="00A130A3" w:rsidRDefault="00000000" w:rsidP="006A0E10">
      <w:pPr>
        <w:pStyle w:val="Heading2"/>
        <w:jc w:val="both"/>
      </w:pPr>
      <w:r>
        <w:t>5.5 Comparación de modelos</w:t>
      </w:r>
    </w:p>
    <w:p w14:paraId="59DA0C0D" w14:textId="77777777" w:rsidR="00A130A3" w:rsidRDefault="00000000" w:rsidP="006A0E10">
      <w:pPr>
        <w:spacing w:after="160" w:line="276" w:lineRule="auto"/>
        <w:ind w:firstLine="720"/>
        <w:jc w:val="both"/>
      </w:pPr>
      <w:r>
        <w:t>El desempeño del SARIMA-X se contrastó con dos benchmarks: (i) SARIMA sin exógenas (mismo orden); y (ii) Naive Estacional (pronóstico = mismo mes del año anterior). El Naive constituye un benchmark no paramétrico ampliamente utilizado en la literatura de predicción (Hyndman &amp; Athanasopoulos, 2021).</w:t>
      </w:r>
      <w:r>
        <w:rPr>
          <w:rStyle w:val="FootnoteReference"/>
        </w:rPr>
        <w:footnoteReference w:id="6"/>
      </w:r>
    </w:p>
    <w:p w14:paraId="1D0D3514" w14:textId="77777777" w:rsidR="00A130A3" w:rsidRDefault="00000000" w:rsidP="006A0E10">
      <w:pPr>
        <w:pStyle w:val="Heading1"/>
        <w:jc w:val="both"/>
      </w:pPr>
      <w:r>
        <w:t>6. Resultados</w:t>
      </w:r>
    </w:p>
    <w:p w14:paraId="5F7AC9AD" w14:textId="44842E0B" w:rsidR="00A130A3" w:rsidRDefault="00000000" w:rsidP="000219A9">
      <w:pPr>
        <w:pStyle w:val="Heading2"/>
        <w:jc w:val="both"/>
      </w:pPr>
      <w:r>
        <w:t>6.1 Análisis de estacionariedad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130A3" w14:paraId="48E9E7B1" w14:textId="77777777">
        <w:tblPrEx>
          <w:tblCellMar>
            <w:top w:w="0" w:type="dxa"/>
            <w:bottom w:w="0" w:type="dxa"/>
          </w:tblCellMar>
        </w:tblPrEx>
        <w:tc>
          <w:tcPr>
            <w:tcW w:w="9026" w:type="dxa"/>
            <w:tcBorders>
              <w:top w:val="single" w:sz="4" w:space="0" w:color="2E5496"/>
              <w:left w:val="single" w:sz="4" w:space="0" w:color="2E5496"/>
              <w:bottom w:val="single" w:sz="4" w:space="0" w:color="2E5496"/>
              <w:right w:val="single" w:sz="4" w:space="0" w:color="2E5496"/>
            </w:tcBorders>
            <w:shd w:val="clear" w:color="auto" w:fill="EEF4FB"/>
            <w:tcMar>
              <w:top w:w="200" w:type="dxa"/>
              <w:left w:w="300" w:type="dxa"/>
              <w:bottom w:w="200" w:type="dxa"/>
              <w:right w:w="300" w:type="dxa"/>
            </w:tcMar>
          </w:tcPr>
          <w:p w14:paraId="0497D847" w14:textId="77777777" w:rsidR="00A130A3" w:rsidRDefault="00000000" w:rsidP="006A0E10">
            <w:pPr>
              <w:spacing w:after="60"/>
              <w:jc w:val="both"/>
            </w:pPr>
            <w:r>
              <w:rPr>
                <w:b/>
                <w:bCs/>
                <w:color w:val="2E5496"/>
                <w:sz w:val="22"/>
                <w:szCs w:val="22"/>
              </w:rPr>
              <w:t>[INSERTAR FIGURA 2]</w:t>
            </w:r>
          </w:p>
          <w:p w14:paraId="5050DAE2" w14:textId="77777777" w:rsidR="00A130A3" w:rsidRDefault="00000000" w:rsidP="006A0E10">
            <w:pPr>
              <w:jc w:val="both"/>
            </w:pPr>
            <w:r>
              <w:rPr>
                <w:i/>
                <w:iCs/>
                <w:color w:val="444444"/>
                <w:sz w:val="20"/>
                <w:szCs w:val="20"/>
              </w:rPr>
              <w:t>FAS, FAC y FACP de la serie log(pasajeros subte) en tres instancias: nivel original (fila 1), primera diferencia ∆(1) (fila 2) y doble diferenciación ∆(1)·∆(12) (fila 3). Las bandas grises indican los intervalos de confianza al 95%.</w:t>
            </w:r>
          </w:p>
        </w:tc>
      </w:tr>
    </w:tbl>
    <w:p w14:paraId="506A581A" w14:textId="77777777" w:rsidR="00A130A3" w:rsidRDefault="00000000" w:rsidP="006A0E10">
      <w:pPr>
        <w:spacing w:before="80" w:after="200"/>
        <w:jc w:val="both"/>
      </w:pPr>
      <w:r>
        <w:rPr>
          <w:i/>
          <w:iCs/>
          <w:sz w:val="20"/>
          <w:szCs w:val="20"/>
        </w:rPr>
        <w:t>Figura 2. FAS, FAC y FACP de la serie log(pasajeros subte) en tres instancias: nivel original (fila 1), primera diferencia ∆(1) (fila 2) y doble diferenciación ∆(1)·∆(12) (fila 3). Las bandas grises indican los intervalos de confianza al 95%.</w:t>
      </w:r>
    </w:p>
    <w:p w14:paraId="1AC2BF61" w14:textId="77777777" w:rsidR="00A130A3" w:rsidRDefault="00A130A3" w:rsidP="006A0E10">
      <w:pPr>
        <w:spacing w:after="120"/>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130A3" w14:paraId="5C88ADEC" w14:textId="77777777">
        <w:tblPrEx>
          <w:tblCellMar>
            <w:top w:w="0" w:type="dxa"/>
            <w:bottom w:w="0" w:type="dxa"/>
          </w:tblCellMar>
        </w:tblPrEx>
        <w:tc>
          <w:tcPr>
            <w:tcW w:w="9026" w:type="dxa"/>
            <w:tcBorders>
              <w:top w:val="single" w:sz="4" w:space="0" w:color="2E5496"/>
              <w:left w:val="single" w:sz="4" w:space="0" w:color="2E5496"/>
              <w:bottom w:val="single" w:sz="4" w:space="0" w:color="2E5496"/>
              <w:right w:val="single" w:sz="4" w:space="0" w:color="2E5496"/>
            </w:tcBorders>
            <w:shd w:val="clear" w:color="auto" w:fill="EEF4FB"/>
            <w:tcMar>
              <w:top w:w="200" w:type="dxa"/>
              <w:left w:w="300" w:type="dxa"/>
              <w:bottom w:w="200" w:type="dxa"/>
              <w:right w:w="300" w:type="dxa"/>
            </w:tcMar>
          </w:tcPr>
          <w:p w14:paraId="3C34AF3A" w14:textId="77777777" w:rsidR="00A130A3" w:rsidRDefault="00000000" w:rsidP="006A0E10">
            <w:pPr>
              <w:spacing w:after="60"/>
              <w:jc w:val="both"/>
            </w:pPr>
            <w:r>
              <w:rPr>
                <w:b/>
                <w:bCs/>
                <w:color w:val="2E5496"/>
                <w:sz w:val="22"/>
                <w:szCs w:val="22"/>
              </w:rPr>
              <w:lastRenderedPageBreak/>
              <w:t>[INSERTAR FIGURA 3]</w:t>
            </w:r>
          </w:p>
          <w:p w14:paraId="4C330662" w14:textId="77777777" w:rsidR="00A130A3" w:rsidRDefault="00000000" w:rsidP="006A0E10">
            <w:pPr>
              <w:jc w:val="both"/>
            </w:pPr>
            <w:r>
              <w:rPr>
                <w:i/>
                <w:iCs/>
                <w:color w:val="444444"/>
                <w:sz w:val="20"/>
                <w:szCs w:val="20"/>
              </w:rPr>
              <w:t>FAS, FAC y FACP de la serie log(vehículos peajes) en las mismas tres instancias que la Figura 2.</w:t>
            </w:r>
          </w:p>
        </w:tc>
      </w:tr>
    </w:tbl>
    <w:p w14:paraId="02852C27" w14:textId="77777777" w:rsidR="00A130A3" w:rsidRDefault="00000000" w:rsidP="006A0E10">
      <w:pPr>
        <w:spacing w:before="80" w:after="200"/>
        <w:jc w:val="both"/>
      </w:pPr>
      <w:r>
        <w:rPr>
          <w:i/>
          <w:iCs/>
          <w:sz w:val="20"/>
          <w:szCs w:val="20"/>
        </w:rPr>
        <w:t>Figura 3. FAS, FAC y FACP de la serie log(vehículos peajes) en las mismas tres instancias que la Figura 2.</w:t>
      </w:r>
    </w:p>
    <w:p w14:paraId="49FB797B" w14:textId="77777777" w:rsidR="00A130A3" w:rsidRDefault="00A130A3" w:rsidP="006A0E10">
      <w:pPr>
        <w:spacing w:after="120"/>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130A3" w14:paraId="672A0BCB" w14:textId="77777777">
        <w:tblPrEx>
          <w:tblCellMar>
            <w:top w:w="0" w:type="dxa"/>
            <w:bottom w:w="0" w:type="dxa"/>
          </w:tblCellMar>
        </w:tblPrEx>
        <w:tc>
          <w:tcPr>
            <w:tcW w:w="9026" w:type="dxa"/>
            <w:tcBorders>
              <w:top w:val="single" w:sz="4" w:space="0" w:color="2E5496"/>
              <w:left w:val="single" w:sz="4" w:space="0" w:color="2E5496"/>
              <w:bottom w:val="single" w:sz="4" w:space="0" w:color="2E5496"/>
              <w:right w:val="single" w:sz="4" w:space="0" w:color="2E5496"/>
            </w:tcBorders>
            <w:shd w:val="clear" w:color="auto" w:fill="EEF4FB"/>
            <w:tcMar>
              <w:top w:w="200" w:type="dxa"/>
              <w:left w:w="300" w:type="dxa"/>
              <w:bottom w:w="200" w:type="dxa"/>
              <w:right w:w="300" w:type="dxa"/>
            </w:tcMar>
          </w:tcPr>
          <w:p w14:paraId="4F704F0F" w14:textId="77777777" w:rsidR="00A130A3" w:rsidRDefault="00000000" w:rsidP="006A0E10">
            <w:pPr>
              <w:spacing w:after="60"/>
              <w:jc w:val="both"/>
            </w:pPr>
            <w:r>
              <w:rPr>
                <w:b/>
                <w:bCs/>
                <w:color w:val="2E5496"/>
                <w:sz w:val="22"/>
                <w:szCs w:val="22"/>
              </w:rPr>
              <w:t>[INSERTAR FIGURA 4]</w:t>
            </w:r>
          </w:p>
          <w:p w14:paraId="2295C818" w14:textId="77777777" w:rsidR="00A130A3" w:rsidRDefault="00000000" w:rsidP="006A0E10">
            <w:pPr>
              <w:jc w:val="both"/>
            </w:pPr>
            <w:r>
              <w:rPr>
                <w:i/>
                <w:iCs/>
                <w:color w:val="444444"/>
                <w:sz w:val="20"/>
                <w:szCs w:val="20"/>
              </w:rPr>
              <w:t>FAS, FAC y FACP de la serie precipitaciones (mm) en niveles y con diferenciación estacional ∆(12).</w:t>
            </w:r>
          </w:p>
        </w:tc>
      </w:tr>
    </w:tbl>
    <w:p w14:paraId="53136B19" w14:textId="77777777" w:rsidR="00A130A3" w:rsidRDefault="00000000" w:rsidP="006A0E10">
      <w:pPr>
        <w:spacing w:before="80" w:after="200"/>
        <w:jc w:val="both"/>
      </w:pPr>
      <w:r>
        <w:rPr>
          <w:i/>
          <w:iCs/>
          <w:sz w:val="20"/>
          <w:szCs w:val="20"/>
        </w:rPr>
        <w:t>Figura 4. FAS, FAC y FACP de la serie precipitaciones (mm) en niveles y con diferenciación estacional ∆(12).</w:t>
      </w:r>
    </w:p>
    <w:p w14:paraId="4CE2C073" w14:textId="777F4EC0" w:rsidR="00A130A3" w:rsidRDefault="00000000" w:rsidP="000219A9">
      <w:pPr>
        <w:spacing w:after="160" w:line="276" w:lineRule="auto"/>
        <w:ind w:firstLine="720"/>
        <w:jc w:val="both"/>
      </w:pPr>
      <w:r>
        <w:t>Las series de subte y peajes presentan tendencias y quiebres estructurales en la FAS que indican no estacionariedad. La FAC de subte decae lentamente desde ~0.9 sin llegar a cero en 20 rezagos, confirmando raíz unitaria. La serie de precipitaciones oscila en torno a una media estable sin tendencia visible. Las pruebas formales confirman el análisis visual (véase Tabla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6"/>
        <w:gridCol w:w="1506"/>
        <w:gridCol w:w="1506"/>
        <w:gridCol w:w="1706"/>
        <w:gridCol w:w="2002"/>
      </w:tblGrid>
      <w:tr w:rsidR="00A130A3" w14:paraId="5BB5BAB7" w14:textId="77777777">
        <w:tblPrEx>
          <w:tblCellMar>
            <w:top w:w="0" w:type="dxa"/>
            <w:bottom w:w="0" w:type="dxa"/>
          </w:tblCellMar>
        </w:tblPrEx>
        <w:trPr>
          <w:tblHeader/>
        </w:trPr>
        <w:tc>
          <w:tcPr>
            <w:tcW w:w="23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31FDCAC1" w14:textId="77777777" w:rsidR="00A130A3" w:rsidRDefault="00000000" w:rsidP="006A0E10">
            <w:pPr>
              <w:jc w:val="both"/>
            </w:pPr>
            <w:r>
              <w:rPr>
                <w:b/>
                <w:bCs/>
                <w:sz w:val="20"/>
                <w:szCs w:val="20"/>
              </w:rPr>
              <w:t>Serie</w:t>
            </w:r>
          </w:p>
        </w:tc>
        <w:tc>
          <w:tcPr>
            <w:tcW w:w="15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705812D2" w14:textId="77777777" w:rsidR="00A130A3" w:rsidRDefault="00000000" w:rsidP="006A0E10">
            <w:pPr>
              <w:jc w:val="both"/>
            </w:pPr>
            <w:r>
              <w:rPr>
                <w:b/>
                <w:bCs/>
                <w:sz w:val="20"/>
                <w:szCs w:val="20"/>
              </w:rPr>
              <w:t>ADF estadístico</w:t>
            </w:r>
          </w:p>
        </w:tc>
        <w:tc>
          <w:tcPr>
            <w:tcW w:w="15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7DD6F1C7" w14:textId="77777777" w:rsidR="00A130A3" w:rsidRDefault="00000000" w:rsidP="006A0E10">
            <w:pPr>
              <w:jc w:val="both"/>
            </w:pPr>
            <w:r>
              <w:rPr>
                <w:b/>
                <w:bCs/>
                <w:sz w:val="20"/>
                <w:szCs w:val="20"/>
              </w:rPr>
              <w:t>ADF p-valor</w:t>
            </w:r>
          </w:p>
        </w:tc>
        <w:tc>
          <w:tcPr>
            <w:tcW w:w="17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3A066A49" w14:textId="77777777" w:rsidR="00A130A3" w:rsidRDefault="00000000" w:rsidP="006A0E10">
            <w:pPr>
              <w:jc w:val="both"/>
            </w:pPr>
            <w:r>
              <w:rPr>
                <w:b/>
                <w:bCs/>
                <w:sz w:val="20"/>
                <w:szCs w:val="20"/>
              </w:rPr>
              <w:t>KPSS estadístico</w:t>
            </w:r>
          </w:p>
        </w:tc>
        <w:tc>
          <w:tcPr>
            <w:tcW w:w="2002"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23284A43" w14:textId="77777777" w:rsidR="00A130A3" w:rsidRDefault="00000000" w:rsidP="006A0E10">
            <w:pPr>
              <w:jc w:val="both"/>
            </w:pPr>
            <w:r>
              <w:rPr>
                <w:b/>
                <w:bCs/>
                <w:sz w:val="20"/>
                <w:szCs w:val="20"/>
              </w:rPr>
              <w:t>Conclusión</w:t>
            </w:r>
          </w:p>
        </w:tc>
      </w:tr>
      <w:tr w:rsidR="00A130A3" w14:paraId="6017EB1B" w14:textId="77777777">
        <w:tblPrEx>
          <w:tblCellMar>
            <w:top w:w="0" w:type="dxa"/>
            <w:bottom w:w="0" w:type="dxa"/>
          </w:tblCellMar>
        </w:tblPrEx>
        <w:tc>
          <w:tcPr>
            <w:tcW w:w="23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5C8D82B" w14:textId="77777777" w:rsidR="00A130A3" w:rsidRDefault="00000000" w:rsidP="006A0E10">
            <w:pPr>
              <w:jc w:val="both"/>
            </w:pPr>
            <w:r>
              <w:rPr>
                <w:sz w:val="20"/>
                <w:szCs w:val="20"/>
              </w:rPr>
              <w:t>Subte</w:t>
            </w:r>
          </w:p>
        </w:tc>
        <w:tc>
          <w:tcPr>
            <w:tcW w:w="15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519D3B8" w14:textId="77777777" w:rsidR="00A130A3" w:rsidRDefault="00000000" w:rsidP="006A0E10">
            <w:pPr>
              <w:jc w:val="both"/>
            </w:pPr>
            <w:r>
              <w:rPr>
                <w:sz w:val="20"/>
                <w:szCs w:val="20"/>
              </w:rPr>
              <w:t>−2.768</w:t>
            </w:r>
          </w:p>
        </w:tc>
        <w:tc>
          <w:tcPr>
            <w:tcW w:w="15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ADC1B7A" w14:textId="77777777" w:rsidR="00A130A3" w:rsidRDefault="00000000" w:rsidP="006A0E10">
            <w:pPr>
              <w:jc w:val="both"/>
            </w:pPr>
            <w:r>
              <w:rPr>
                <w:sz w:val="20"/>
                <w:szCs w:val="20"/>
              </w:rPr>
              <w:t>0.063</w:t>
            </w:r>
          </w:p>
        </w:tc>
        <w:tc>
          <w:tcPr>
            <w:tcW w:w="17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916E4CC" w14:textId="77777777" w:rsidR="00A130A3" w:rsidRDefault="00000000" w:rsidP="006A0E10">
            <w:pPr>
              <w:jc w:val="both"/>
            </w:pPr>
            <w:r>
              <w:rPr>
                <w:sz w:val="20"/>
                <w:szCs w:val="20"/>
              </w:rPr>
              <w:t>0.599*</w:t>
            </w:r>
          </w:p>
        </w:tc>
        <w:tc>
          <w:tcPr>
            <w:tcW w:w="200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E5438E7" w14:textId="77777777" w:rsidR="00A130A3" w:rsidRDefault="00000000" w:rsidP="006A0E10">
            <w:pPr>
              <w:jc w:val="both"/>
            </w:pPr>
            <w:r>
              <w:rPr>
                <w:sz w:val="20"/>
                <w:szCs w:val="20"/>
              </w:rPr>
              <w:t>No estacionaria</w:t>
            </w:r>
          </w:p>
        </w:tc>
      </w:tr>
      <w:tr w:rsidR="00A130A3" w14:paraId="6B53EA91" w14:textId="77777777">
        <w:tblPrEx>
          <w:tblCellMar>
            <w:top w:w="0" w:type="dxa"/>
            <w:bottom w:w="0" w:type="dxa"/>
          </w:tblCellMar>
        </w:tblPrEx>
        <w:tc>
          <w:tcPr>
            <w:tcW w:w="23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0A347F3" w14:textId="77777777" w:rsidR="00A130A3" w:rsidRDefault="00000000" w:rsidP="006A0E10">
            <w:pPr>
              <w:jc w:val="both"/>
            </w:pPr>
            <w:r>
              <w:rPr>
                <w:sz w:val="20"/>
                <w:szCs w:val="20"/>
              </w:rPr>
              <w:t>Peajes</w:t>
            </w:r>
          </w:p>
        </w:tc>
        <w:tc>
          <w:tcPr>
            <w:tcW w:w="15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30BE049" w14:textId="77777777" w:rsidR="00A130A3" w:rsidRDefault="00000000" w:rsidP="006A0E10">
            <w:pPr>
              <w:jc w:val="both"/>
            </w:pPr>
            <w:r>
              <w:rPr>
                <w:sz w:val="20"/>
                <w:szCs w:val="20"/>
              </w:rPr>
              <w:t>−2.200</w:t>
            </w:r>
          </w:p>
        </w:tc>
        <w:tc>
          <w:tcPr>
            <w:tcW w:w="15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9A83466" w14:textId="77777777" w:rsidR="00A130A3" w:rsidRDefault="00000000" w:rsidP="006A0E10">
            <w:pPr>
              <w:jc w:val="both"/>
            </w:pPr>
            <w:r>
              <w:rPr>
                <w:sz w:val="20"/>
                <w:szCs w:val="20"/>
              </w:rPr>
              <w:t>0.206</w:t>
            </w:r>
          </w:p>
        </w:tc>
        <w:tc>
          <w:tcPr>
            <w:tcW w:w="17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4EF0BC4" w14:textId="77777777" w:rsidR="00A130A3" w:rsidRDefault="00000000" w:rsidP="006A0E10">
            <w:pPr>
              <w:jc w:val="both"/>
            </w:pPr>
            <w:r>
              <w:rPr>
                <w:sz w:val="20"/>
                <w:szCs w:val="20"/>
              </w:rPr>
              <w:t>0.979**</w:t>
            </w:r>
          </w:p>
        </w:tc>
        <w:tc>
          <w:tcPr>
            <w:tcW w:w="200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1A32876" w14:textId="77777777" w:rsidR="00A130A3" w:rsidRDefault="00000000" w:rsidP="006A0E10">
            <w:pPr>
              <w:jc w:val="both"/>
            </w:pPr>
            <w:r>
              <w:rPr>
                <w:sz w:val="20"/>
                <w:szCs w:val="20"/>
              </w:rPr>
              <w:t>No estacionaria</w:t>
            </w:r>
          </w:p>
        </w:tc>
      </w:tr>
      <w:tr w:rsidR="00A130A3" w14:paraId="1C8362C3" w14:textId="77777777">
        <w:tblPrEx>
          <w:tblCellMar>
            <w:top w:w="0" w:type="dxa"/>
            <w:bottom w:w="0" w:type="dxa"/>
          </w:tblCellMar>
        </w:tblPrEx>
        <w:tc>
          <w:tcPr>
            <w:tcW w:w="23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D5AA342" w14:textId="77777777" w:rsidR="00A130A3" w:rsidRDefault="00000000" w:rsidP="006A0E10">
            <w:pPr>
              <w:jc w:val="both"/>
            </w:pPr>
            <w:r>
              <w:rPr>
                <w:sz w:val="20"/>
                <w:szCs w:val="20"/>
              </w:rPr>
              <w:t>Precipitaciones</w:t>
            </w:r>
          </w:p>
        </w:tc>
        <w:tc>
          <w:tcPr>
            <w:tcW w:w="15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935CD1A" w14:textId="77777777" w:rsidR="00A130A3" w:rsidRDefault="00000000" w:rsidP="006A0E10">
            <w:pPr>
              <w:jc w:val="both"/>
            </w:pPr>
            <w:r>
              <w:rPr>
                <w:sz w:val="20"/>
                <w:szCs w:val="20"/>
              </w:rPr>
              <w:t>−11.522</w:t>
            </w:r>
          </w:p>
        </w:tc>
        <w:tc>
          <w:tcPr>
            <w:tcW w:w="15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00A4C24" w14:textId="77777777" w:rsidR="00A130A3" w:rsidRDefault="00000000" w:rsidP="006A0E10">
            <w:pPr>
              <w:jc w:val="both"/>
            </w:pPr>
            <w:r>
              <w:rPr>
                <w:sz w:val="20"/>
                <w:szCs w:val="20"/>
              </w:rPr>
              <w:t>0.000***</w:t>
            </w:r>
          </w:p>
        </w:tc>
        <w:tc>
          <w:tcPr>
            <w:tcW w:w="17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617D7EC" w14:textId="77777777" w:rsidR="00A130A3" w:rsidRDefault="00000000" w:rsidP="006A0E10">
            <w:pPr>
              <w:jc w:val="both"/>
            </w:pPr>
            <w:r>
              <w:rPr>
                <w:sz w:val="20"/>
                <w:szCs w:val="20"/>
              </w:rPr>
              <w:t>0.078</w:t>
            </w:r>
          </w:p>
        </w:tc>
        <w:tc>
          <w:tcPr>
            <w:tcW w:w="200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BC34037" w14:textId="77777777" w:rsidR="00A130A3" w:rsidRDefault="00000000" w:rsidP="006A0E10">
            <w:pPr>
              <w:jc w:val="both"/>
            </w:pPr>
            <w:r>
              <w:rPr>
                <w:sz w:val="20"/>
                <w:szCs w:val="20"/>
              </w:rPr>
              <w:t>Estacionaria</w:t>
            </w:r>
          </w:p>
        </w:tc>
      </w:tr>
    </w:tbl>
    <w:p w14:paraId="77709214" w14:textId="77777777" w:rsidR="00A130A3" w:rsidRDefault="00000000" w:rsidP="006A0E10">
      <w:pPr>
        <w:spacing w:before="80" w:after="200"/>
        <w:jc w:val="both"/>
      </w:pPr>
      <w:r>
        <w:rPr>
          <w:i/>
          <w:iCs/>
          <w:sz w:val="20"/>
          <w:szCs w:val="20"/>
        </w:rPr>
        <w:t>Tabla 2. Pruebas de estacionariedad ADF y KPSS. * p &lt; .05; ** p &lt; .01; *** p &lt; .001.</w:t>
      </w:r>
    </w:p>
    <w:p w14:paraId="34A0EECB" w14:textId="77777777" w:rsidR="00A130A3" w:rsidRDefault="00000000" w:rsidP="006A0E10">
      <w:pPr>
        <w:spacing w:after="160" w:line="276" w:lineRule="auto"/>
        <w:ind w:firstLine="720"/>
        <w:jc w:val="both"/>
      </w:pPr>
      <w:r>
        <w:t>Estos resultados confirman H1 y H2: subte y peajes son no estacionarios en niveles y presentan estacionalidad anual que requiere d = 1, D = 1, s = 12.</w:t>
      </w:r>
    </w:p>
    <w:p w14:paraId="1AE232E4" w14:textId="5D0DA892" w:rsidR="00A130A3" w:rsidRDefault="00000000" w:rsidP="000219A9">
      <w:pPr>
        <w:pStyle w:val="Heading2"/>
        <w:jc w:val="both"/>
      </w:pPr>
      <w:r>
        <w:t>6.2 Selección de modelos SARIMA-X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2606"/>
        <w:gridCol w:w="906"/>
        <w:gridCol w:w="906"/>
        <w:gridCol w:w="1406"/>
        <w:gridCol w:w="1396"/>
      </w:tblGrid>
      <w:tr w:rsidR="00A130A3" w14:paraId="733BC0D2" w14:textId="77777777">
        <w:tblPrEx>
          <w:tblCellMar>
            <w:top w:w="0" w:type="dxa"/>
            <w:bottom w:w="0" w:type="dxa"/>
          </w:tblCellMar>
        </w:tblPrEx>
        <w:trPr>
          <w:tblHeader/>
        </w:trPr>
        <w:tc>
          <w:tcPr>
            <w:tcW w:w="18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72C70CA6" w14:textId="77777777" w:rsidR="00A130A3" w:rsidRDefault="00000000" w:rsidP="006A0E10">
            <w:pPr>
              <w:jc w:val="both"/>
            </w:pPr>
            <w:r>
              <w:rPr>
                <w:b/>
                <w:bCs/>
                <w:sz w:val="20"/>
                <w:szCs w:val="20"/>
              </w:rPr>
              <w:t>Serie</w:t>
            </w:r>
          </w:p>
        </w:tc>
        <w:tc>
          <w:tcPr>
            <w:tcW w:w="26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593D2281" w14:textId="77777777" w:rsidR="00A130A3" w:rsidRDefault="00000000" w:rsidP="006A0E10">
            <w:pPr>
              <w:jc w:val="both"/>
            </w:pPr>
            <w:r>
              <w:rPr>
                <w:b/>
                <w:bCs/>
                <w:sz w:val="20"/>
                <w:szCs w:val="20"/>
              </w:rPr>
              <w:t>Modelo</w:t>
            </w:r>
          </w:p>
        </w:tc>
        <w:tc>
          <w:tcPr>
            <w:tcW w:w="9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1961A5C7" w14:textId="77777777" w:rsidR="00A130A3" w:rsidRDefault="00000000" w:rsidP="006A0E10">
            <w:pPr>
              <w:jc w:val="both"/>
            </w:pPr>
            <w:r>
              <w:rPr>
                <w:b/>
                <w:bCs/>
                <w:sz w:val="20"/>
                <w:szCs w:val="20"/>
              </w:rPr>
              <w:t>AIC</w:t>
            </w:r>
          </w:p>
        </w:tc>
        <w:tc>
          <w:tcPr>
            <w:tcW w:w="9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522180E2" w14:textId="77777777" w:rsidR="00A130A3" w:rsidRDefault="00000000" w:rsidP="006A0E10">
            <w:pPr>
              <w:jc w:val="both"/>
            </w:pPr>
            <w:r>
              <w:rPr>
                <w:b/>
                <w:bCs/>
                <w:sz w:val="20"/>
                <w:szCs w:val="20"/>
              </w:rPr>
              <w:t>BIC</w:t>
            </w:r>
          </w:p>
        </w:tc>
        <w:tc>
          <w:tcPr>
            <w:tcW w:w="14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6A5A43C7" w14:textId="77777777" w:rsidR="00A130A3" w:rsidRDefault="00000000" w:rsidP="006A0E10">
            <w:pPr>
              <w:jc w:val="both"/>
            </w:pPr>
            <w:r>
              <w:rPr>
                <w:b/>
                <w:bCs/>
                <w:sz w:val="20"/>
                <w:szCs w:val="20"/>
              </w:rPr>
              <w:t>LB p-val (lag 12)</w:t>
            </w:r>
          </w:p>
        </w:tc>
        <w:tc>
          <w:tcPr>
            <w:tcW w:w="139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23E715CB" w14:textId="77777777" w:rsidR="00A130A3" w:rsidRDefault="00000000" w:rsidP="006A0E10">
            <w:pPr>
              <w:jc w:val="both"/>
            </w:pPr>
            <w:r>
              <w:rPr>
                <w:b/>
                <w:bCs/>
                <w:sz w:val="20"/>
                <w:szCs w:val="20"/>
              </w:rPr>
              <w:t>JB p-val</w:t>
            </w:r>
          </w:p>
        </w:tc>
      </w:tr>
      <w:tr w:rsidR="00A130A3" w14:paraId="426F3A3A" w14:textId="77777777">
        <w:tblPrEx>
          <w:tblCellMar>
            <w:top w:w="0" w:type="dxa"/>
            <w:bottom w:w="0" w:type="dxa"/>
          </w:tblCellMar>
        </w:tblPrEx>
        <w:tc>
          <w:tcPr>
            <w:tcW w:w="18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6611B58" w14:textId="77777777" w:rsidR="00A130A3" w:rsidRDefault="00000000" w:rsidP="006A0E10">
            <w:pPr>
              <w:jc w:val="both"/>
            </w:pPr>
            <w:r>
              <w:rPr>
                <w:sz w:val="20"/>
                <w:szCs w:val="20"/>
              </w:rPr>
              <w:t>Subte</w:t>
            </w:r>
          </w:p>
        </w:tc>
        <w:tc>
          <w:tcPr>
            <w:tcW w:w="2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662DDC0" w14:textId="77777777" w:rsidR="00A130A3" w:rsidRDefault="00000000" w:rsidP="006A0E10">
            <w:pPr>
              <w:jc w:val="both"/>
            </w:pPr>
            <w:r>
              <w:rPr>
                <w:sz w:val="20"/>
                <w:szCs w:val="20"/>
              </w:rPr>
              <w:t>SARIMA(0,1,0)(0,1,1)[12]-X</w:t>
            </w:r>
          </w:p>
        </w:tc>
        <w:tc>
          <w:tcPr>
            <w:tcW w:w="9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9E20655" w14:textId="77777777" w:rsidR="00A130A3" w:rsidRDefault="00000000" w:rsidP="006A0E10">
            <w:pPr>
              <w:jc w:val="both"/>
            </w:pPr>
            <w:r>
              <w:rPr>
                <w:sz w:val="20"/>
                <w:szCs w:val="20"/>
              </w:rPr>
              <w:t>101.88</w:t>
            </w:r>
          </w:p>
        </w:tc>
        <w:tc>
          <w:tcPr>
            <w:tcW w:w="9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F19E72F" w14:textId="77777777" w:rsidR="00A130A3" w:rsidRDefault="00000000" w:rsidP="006A0E10">
            <w:pPr>
              <w:jc w:val="both"/>
            </w:pPr>
            <w:r>
              <w:rPr>
                <w:sz w:val="20"/>
                <w:szCs w:val="20"/>
              </w:rPr>
              <w:t>111.25</w:t>
            </w:r>
          </w:p>
        </w:tc>
        <w:tc>
          <w:tcPr>
            <w:tcW w:w="14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FC6DD1A" w14:textId="77777777" w:rsidR="00A130A3" w:rsidRDefault="00000000" w:rsidP="006A0E10">
            <w:pPr>
              <w:jc w:val="both"/>
            </w:pPr>
            <w:r>
              <w:rPr>
                <w:sz w:val="20"/>
                <w:szCs w:val="20"/>
              </w:rPr>
              <w:t>0.021*</w:t>
            </w:r>
          </w:p>
        </w:tc>
        <w:tc>
          <w:tcPr>
            <w:tcW w:w="139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B1CFEFF" w14:textId="77777777" w:rsidR="00A130A3" w:rsidRDefault="00000000" w:rsidP="006A0E10">
            <w:pPr>
              <w:jc w:val="both"/>
            </w:pPr>
            <w:r>
              <w:rPr>
                <w:sz w:val="20"/>
                <w:szCs w:val="20"/>
              </w:rPr>
              <w:t>0.000</w:t>
            </w:r>
          </w:p>
        </w:tc>
      </w:tr>
      <w:tr w:rsidR="00A130A3" w14:paraId="65AC4367" w14:textId="77777777">
        <w:tblPrEx>
          <w:tblCellMar>
            <w:top w:w="0" w:type="dxa"/>
            <w:bottom w:w="0" w:type="dxa"/>
          </w:tblCellMar>
        </w:tblPrEx>
        <w:tc>
          <w:tcPr>
            <w:tcW w:w="18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019A8C0" w14:textId="77777777" w:rsidR="00A130A3" w:rsidRDefault="00000000" w:rsidP="006A0E10">
            <w:pPr>
              <w:jc w:val="both"/>
            </w:pPr>
            <w:r>
              <w:rPr>
                <w:sz w:val="20"/>
                <w:szCs w:val="20"/>
              </w:rPr>
              <w:t>Peajes</w:t>
            </w:r>
          </w:p>
        </w:tc>
        <w:tc>
          <w:tcPr>
            <w:tcW w:w="2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36B93E2" w14:textId="77777777" w:rsidR="00A130A3" w:rsidRDefault="00000000" w:rsidP="006A0E10">
            <w:pPr>
              <w:jc w:val="both"/>
            </w:pPr>
            <w:r>
              <w:rPr>
                <w:sz w:val="20"/>
                <w:szCs w:val="20"/>
              </w:rPr>
              <w:t>SARIMA(1,1,0)(1,1,1)[12]-X</w:t>
            </w:r>
          </w:p>
        </w:tc>
        <w:tc>
          <w:tcPr>
            <w:tcW w:w="9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1151F8A" w14:textId="77777777" w:rsidR="00A130A3" w:rsidRDefault="00000000" w:rsidP="006A0E10">
            <w:pPr>
              <w:jc w:val="both"/>
            </w:pPr>
            <w:r>
              <w:rPr>
                <w:sz w:val="20"/>
                <w:szCs w:val="20"/>
              </w:rPr>
              <w:t>193.99</w:t>
            </w:r>
          </w:p>
        </w:tc>
        <w:tc>
          <w:tcPr>
            <w:tcW w:w="9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267D430" w14:textId="77777777" w:rsidR="00A130A3" w:rsidRDefault="00000000" w:rsidP="006A0E10">
            <w:pPr>
              <w:jc w:val="both"/>
            </w:pPr>
            <w:r>
              <w:rPr>
                <w:sz w:val="20"/>
                <w:szCs w:val="20"/>
              </w:rPr>
              <w:t>209.62</w:t>
            </w:r>
          </w:p>
        </w:tc>
        <w:tc>
          <w:tcPr>
            <w:tcW w:w="14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4441439" w14:textId="77777777" w:rsidR="00A130A3" w:rsidRDefault="00000000" w:rsidP="006A0E10">
            <w:pPr>
              <w:jc w:val="both"/>
            </w:pPr>
            <w:r>
              <w:rPr>
                <w:sz w:val="20"/>
                <w:szCs w:val="20"/>
              </w:rPr>
              <w:t>0.753</w:t>
            </w:r>
          </w:p>
        </w:tc>
        <w:tc>
          <w:tcPr>
            <w:tcW w:w="139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2C89FEF" w14:textId="77777777" w:rsidR="00A130A3" w:rsidRDefault="00000000" w:rsidP="006A0E10">
            <w:pPr>
              <w:jc w:val="both"/>
            </w:pPr>
            <w:r>
              <w:rPr>
                <w:sz w:val="20"/>
                <w:szCs w:val="20"/>
              </w:rPr>
              <w:t>0.000</w:t>
            </w:r>
          </w:p>
        </w:tc>
      </w:tr>
    </w:tbl>
    <w:p w14:paraId="1CA2AD60" w14:textId="77777777" w:rsidR="00A130A3" w:rsidRDefault="00000000" w:rsidP="006A0E10">
      <w:pPr>
        <w:spacing w:before="80" w:after="200"/>
        <w:jc w:val="both"/>
      </w:pPr>
      <w:r>
        <w:rPr>
          <w:i/>
          <w:iCs/>
          <w:sz w:val="20"/>
          <w:szCs w:val="20"/>
        </w:rPr>
        <w:t>Tabla 3. Modelos seleccionados. LB = Ljung-Box. JB = Jarque-Bera. * p &lt; .05.</w:t>
      </w:r>
    </w:p>
    <w:p w14:paraId="27E1F605" w14:textId="77777777" w:rsidR="00A130A3" w:rsidRDefault="00000000" w:rsidP="006A0E10">
      <w:pPr>
        <w:spacing w:after="160" w:line="276" w:lineRule="auto"/>
        <w:ind w:firstLine="720"/>
        <w:jc w:val="both"/>
      </w:pPr>
      <w:r>
        <w:t>En ambos modelos, dummy_covid es el coeficiente más relevante: −0.896 en subte (p &lt; .001), implicando una reducción del 59% en el nivel de demanda (1 − e^{−0.896}); y −0.384 en peajes (p = .014), equivalente a una caída del 32%. Esto confirma H3. La variable lluvia_mm no resultó significativa en ninguna serie (subte: p = .322; peajes: p = .825), rechazando H4. Para el modelo de subte, el término ma.S.L12 converge cerca del límite de invertibilidad (coef ≈ −0.987), lo que fue abordado imponiendo la restricción de invertibilidad durante la estimación.</w:t>
      </w:r>
      <w:r>
        <w:rPr>
          <w:rStyle w:val="FootnoteReference"/>
        </w:rPr>
        <w:footnoteReference w:id="7"/>
      </w:r>
    </w:p>
    <w:p w14:paraId="208FBCCF" w14:textId="448251C1" w:rsidR="00A130A3" w:rsidRDefault="00000000" w:rsidP="000219A9">
      <w:pPr>
        <w:pStyle w:val="Heading2"/>
        <w:jc w:val="both"/>
      </w:pPr>
      <w:r>
        <w:lastRenderedPageBreak/>
        <w:t>6.3 Evaluación de performance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130A3" w14:paraId="6A05E5FF" w14:textId="77777777">
        <w:tblPrEx>
          <w:tblCellMar>
            <w:top w:w="0" w:type="dxa"/>
            <w:bottom w:w="0" w:type="dxa"/>
          </w:tblCellMar>
        </w:tblPrEx>
        <w:tc>
          <w:tcPr>
            <w:tcW w:w="9026" w:type="dxa"/>
            <w:tcBorders>
              <w:top w:val="single" w:sz="4" w:space="0" w:color="2E5496"/>
              <w:left w:val="single" w:sz="4" w:space="0" w:color="2E5496"/>
              <w:bottom w:val="single" w:sz="4" w:space="0" w:color="2E5496"/>
              <w:right w:val="single" w:sz="4" w:space="0" w:color="2E5496"/>
            </w:tcBorders>
            <w:shd w:val="clear" w:color="auto" w:fill="EEF4FB"/>
            <w:tcMar>
              <w:top w:w="200" w:type="dxa"/>
              <w:left w:w="300" w:type="dxa"/>
              <w:bottom w:w="200" w:type="dxa"/>
              <w:right w:w="300" w:type="dxa"/>
            </w:tcMar>
          </w:tcPr>
          <w:p w14:paraId="454B1A67" w14:textId="77777777" w:rsidR="00A130A3" w:rsidRDefault="00000000" w:rsidP="006A0E10">
            <w:pPr>
              <w:spacing w:after="60"/>
              <w:jc w:val="both"/>
            </w:pPr>
            <w:r>
              <w:rPr>
                <w:b/>
                <w:bCs/>
                <w:color w:val="2E5496"/>
                <w:sz w:val="22"/>
                <w:szCs w:val="22"/>
              </w:rPr>
              <w:t>[INSERTAR FIGURA 5]</w:t>
            </w:r>
          </w:p>
          <w:p w14:paraId="6D40CD03" w14:textId="77777777" w:rsidR="00A130A3" w:rsidRDefault="00000000" w:rsidP="006A0E10">
            <w:pPr>
              <w:jc w:val="both"/>
            </w:pPr>
            <w:r>
              <w:rPr>
                <w:i/>
                <w:iCs/>
                <w:color w:val="444444"/>
                <w:sz w:val="20"/>
                <w:szCs w:val="20"/>
              </w:rPr>
              <w:t>Forecast estático (izquierda) y Rolling Forecast Origin (derecha) para la serie de pasajeros de subte (escala original, millones). La línea negra es la serie real, la línea roja discontinua el pronóstico, y la banda roja el IC al 95%. La línea vertical punteada gris indica el inicio del período de test (ene 2024).</w:t>
            </w:r>
          </w:p>
        </w:tc>
      </w:tr>
    </w:tbl>
    <w:p w14:paraId="7F5555DA" w14:textId="77777777" w:rsidR="00A130A3" w:rsidRDefault="00000000" w:rsidP="006A0E10">
      <w:pPr>
        <w:spacing w:before="80" w:after="200"/>
        <w:jc w:val="both"/>
      </w:pPr>
      <w:r>
        <w:rPr>
          <w:i/>
          <w:iCs/>
          <w:sz w:val="20"/>
          <w:szCs w:val="20"/>
        </w:rPr>
        <w:t>Figura 5. Forecast estático (izquierda) y Rolling Forecast Origin (derecha) para la serie de pasajeros de subte (escala original, millones). La línea negra es la serie real, la línea roja discontinua el pronóstico, y la banda roja el IC al 95%. La línea vertical punteada gris indica el inicio del período de test (ene 2024).</w:t>
      </w:r>
    </w:p>
    <w:p w14:paraId="07CB93D2" w14:textId="77777777" w:rsidR="00A130A3" w:rsidRDefault="00A130A3" w:rsidP="006A0E10">
      <w:pPr>
        <w:spacing w:after="120"/>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130A3" w14:paraId="496BADAA" w14:textId="77777777">
        <w:tblPrEx>
          <w:tblCellMar>
            <w:top w:w="0" w:type="dxa"/>
            <w:bottom w:w="0" w:type="dxa"/>
          </w:tblCellMar>
        </w:tblPrEx>
        <w:tc>
          <w:tcPr>
            <w:tcW w:w="9026" w:type="dxa"/>
            <w:tcBorders>
              <w:top w:val="single" w:sz="4" w:space="0" w:color="2E5496"/>
              <w:left w:val="single" w:sz="4" w:space="0" w:color="2E5496"/>
              <w:bottom w:val="single" w:sz="4" w:space="0" w:color="2E5496"/>
              <w:right w:val="single" w:sz="4" w:space="0" w:color="2E5496"/>
            </w:tcBorders>
            <w:shd w:val="clear" w:color="auto" w:fill="EEF4FB"/>
            <w:tcMar>
              <w:top w:w="200" w:type="dxa"/>
              <w:left w:w="300" w:type="dxa"/>
              <w:bottom w:w="200" w:type="dxa"/>
              <w:right w:w="300" w:type="dxa"/>
            </w:tcMar>
          </w:tcPr>
          <w:p w14:paraId="27F289ED" w14:textId="77777777" w:rsidR="00A130A3" w:rsidRDefault="00000000" w:rsidP="006A0E10">
            <w:pPr>
              <w:spacing w:after="60"/>
              <w:jc w:val="both"/>
            </w:pPr>
            <w:r>
              <w:rPr>
                <w:b/>
                <w:bCs/>
                <w:color w:val="2E5496"/>
                <w:sz w:val="22"/>
                <w:szCs w:val="22"/>
              </w:rPr>
              <w:t>[INSERTAR FIGURA 6]</w:t>
            </w:r>
          </w:p>
          <w:p w14:paraId="1EA20A23" w14:textId="77777777" w:rsidR="00A130A3" w:rsidRDefault="00000000" w:rsidP="006A0E10">
            <w:pPr>
              <w:jc w:val="both"/>
            </w:pPr>
            <w:r>
              <w:rPr>
                <w:i/>
                <w:iCs/>
                <w:color w:val="444444"/>
                <w:sz w:val="20"/>
                <w:szCs w:val="20"/>
              </w:rPr>
              <w:t>Forecast estático y Rolling Forecast Origin para la serie de flujo vehicular en peajes (escala original, millones de vehículos).</w:t>
            </w:r>
          </w:p>
        </w:tc>
      </w:tr>
    </w:tbl>
    <w:p w14:paraId="42F24181" w14:textId="77777777" w:rsidR="00A130A3" w:rsidRDefault="00000000" w:rsidP="006A0E10">
      <w:pPr>
        <w:spacing w:before="80" w:after="200"/>
        <w:jc w:val="both"/>
      </w:pPr>
      <w:r>
        <w:rPr>
          <w:i/>
          <w:iCs/>
          <w:sz w:val="20"/>
          <w:szCs w:val="20"/>
        </w:rPr>
        <w:t>Figura 6. Forecast estático y Rolling Forecast Origin para la serie de flujo vehicular en peajes (escala original, millones de vehículos).</w:t>
      </w:r>
    </w:p>
    <w:p w14:paraId="62C7B72C" w14:textId="77777777" w:rsidR="00A130A3" w:rsidRDefault="00A130A3" w:rsidP="006A0E10">
      <w:pPr>
        <w:spacing w:after="120"/>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6"/>
        <w:gridCol w:w="2506"/>
        <w:gridCol w:w="1406"/>
        <w:gridCol w:w="1406"/>
        <w:gridCol w:w="2102"/>
      </w:tblGrid>
      <w:tr w:rsidR="00A130A3" w14:paraId="2F268281" w14:textId="77777777">
        <w:tblPrEx>
          <w:tblCellMar>
            <w:top w:w="0" w:type="dxa"/>
            <w:bottom w:w="0" w:type="dxa"/>
          </w:tblCellMar>
        </w:tblPrEx>
        <w:trPr>
          <w:tblHeader/>
        </w:trPr>
        <w:tc>
          <w:tcPr>
            <w:tcW w:w="16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22CAED80" w14:textId="77777777" w:rsidR="00A130A3" w:rsidRDefault="00000000" w:rsidP="006A0E10">
            <w:pPr>
              <w:jc w:val="both"/>
            </w:pPr>
            <w:r>
              <w:rPr>
                <w:b/>
                <w:bCs/>
                <w:sz w:val="20"/>
                <w:szCs w:val="20"/>
              </w:rPr>
              <w:t>Serie</w:t>
            </w:r>
          </w:p>
        </w:tc>
        <w:tc>
          <w:tcPr>
            <w:tcW w:w="25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5E060B29" w14:textId="77777777" w:rsidR="00A130A3" w:rsidRDefault="00000000" w:rsidP="006A0E10">
            <w:pPr>
              <w:jc w:val="both"/>
            </w:pPr>
            <w:r>
              <w:rPr>
                <w:b/>
                <w:bCs/>
                <w:sz w:val="20"/>
                <w:szCs w:val="20"/>
              </w:rPr>
              <w:t>Método</w:t>
            </w:r>
          </w:p>
        </w:tc>
        <w:tc>
          <w:tcPr>
            <w:tcW w:w="14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28E6FE8F" w14:textId="77777777" w:rsidR="00A130A3" w:rsidRDefault="00000000" w:rsidP="006A0E10">
            <w:pPr>
              <w:jc w:val="both"/>
            </w:pPr>
            <w:r>
              <w:rPr>
                <w:b/>
                <w:bCs/>
                <w:sz w:val="20"/>
                <w:szCs w:val="20"/>
              </w:rPr>
              <w:t>RMSE</w:t>
            </w:r>
          </w:p>
        </w:tc>
        <w:tc>
          <w:tcPr>
            <w:tcW w:w="14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40C0858C" w14:textId="77777777" w:rsidR="00A130A3" w:rsidRDefault="00000000" w:rsidP="006A0E10">
            <w:pPr>
              <w:jc w:val="both"/>
            </w:pPr>
            <w:r>
              <w:rPr>
                <w:b/>
                <w:bCs/>
                <w:sz w:val="20"/>
                <w:szCs w:val="20"/>
              </w:rPr>
              <w:t>MAE</w:t>
            </w:r>
          </w:p>
        </w:tc>
        <w:tc>
          <w:tcPr>
            <w:tcW w:w="2102"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34D01E48" w14:textId="77777777" w:rsidR="00A130A3" w:rsidRDefault="00000000" w:rsidP="006A0E10">
            <w:pPr>
              <w:jc w:val="both"/>
            </w:pPr>
            <w:r>
              <w:rPr>
                <w:b/>
                <w:bCs/>
                <w:sz w:val="20"/>
                <w:szCs w:val="20"/>
              </w:rPr>
              <w:t>MAPE (%)</w:t>
            </w:r>
          </w:p>
        </w:tc>
      </w:tr>
      <w:tr w:rsidR="00A130A3" w14:paraId="6B61F2E7" w14:textId="77777777">
        <w:tblPrEx>
          <w:tblCellMar>
            <w:top w:w="0" w:type="dxa"/>
            <w:bottom w:w="0" w:type="dxa"/>
          </w:tblCellMar>
        </w:tblPrEx>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3695A3D" w14:textId="77777777" w:rsidR="00A130A3" w:rsidRDefault="00000000" w:rsidP="006A0E10">
            <w:pPr>
              <w:jc w:val="both"/>
            </w:pPr>
            <w:r>
              <w:rPr>
                <w:sz w:val="20"/>
                <w:szCs w:val="20"/>
              </w:rPr>
              <w:t>Subte</w:t>
            </w:r>
          </w:p>
        </w:tc>
        <w:tc>
          <w:tcPr>
            <w:tcW w:w="25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BB7CC06" w14:textId="77777777" w:rsidR="00A130A3" w:rsidRDefault="00000000" w:rsidP="006A0E10">
            <w:pPr>
              <w:jc w:val="both"/>
            </w:pPr>
            <w:r>
              <w:rPr>
                <w:sz w:val="20"/>
                <w:szCs w:val="20"/>
              </w:rPr>
              <w:t>Forecast estático</w:t>
            </w:r>
          </w:p>
        </w:tc>
        <w:tc>
          <w:tcPr>
            <w:tcW w:w="14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51AD161" w14:textId="77777777" w:rsidR="00A130A3" w:rsidRDefault="00000000" w:rsidP="006A0E10">
            <w:pPr>
              <w:jc w:val="both"/>
            </w:pPr>
            <w:r>
              <w:rPr>
                <w:sz w:val="20"/>
                <w:szCs w:val="20"/>
              </w:rPr>
              <w:t>8.576.313</w:t>
            </w:r>
          </w:p>
        </w:tc>
        <w:tc>
          <w:tcPr>
            <w:tcW w:w="14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0DF4FDB" w14:textId="77777777" w:rsidR="00A130A3" w:rsidRDefault="00000000" w:rsidP="006A0E10">
            <w:pPr>
              <w:jc w:val="both"/>
            </w:pPr>
            <w:r>
              <w:rPr>
                <w:sz w:val="20"/>
                <w:szCs w:val="20"/>
              </w:rPr>
              <w:t>7.939.419</w:t>
            </w:r>
          </w:p>
        </w:tc>
        <w:tc>
          <w:tcPr>
            <w:tcW w:w="210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2074154" w14:textId="77777777" w:rsidR="00A130A3" w:rsidRDefault="00000000" w:rsidP="006A0E10">
            <w:pPr>
              <w:jc w:val="both"/>
            </w:pPr>
            <w:r>
              <w:rPr>
                <w:sz w:val="20"/>
                <w:szCs w:val="20"/>
              </w:rPr>
              <w:t>46,5%</w:t>
            </w:r>
          </w:p>
        </w:tc>
      </w:tr>
      <w:tr w:rsidR="00A130A3" w14:paraId="02CC95E5" w14:textId="77777777">
        <w:tblPrEx>
          <w:tblCellMar>
            <w:top w:w="0" w:type="dxa"/>
            <w:bottom w:w="0" w:type="dxa"/>
          </w:tblCellMar>
        </w:tblPrEx>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7B07B63" w14:textId="77777777" w:rsidR="00A130A3" w:rsidRDefault="00000000" w:rsidP="006A0E10">
            <w:pPr>
              <w:jc w:val="both"/>
            </w:pPr>
            <w:r>
              <w:rPr>
                <w:sz w:val="20"/>
                <w:szCs w:val="20"/>
              </w:rPr>
              <w:t>Subte</w:t>
            </w:r>
          </w:p>
        </w:tc>
        <w:tc>
          <w:tcPr>
            <w:tcW w:w="25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87A4BEC" w14:textId="77777777" w:rsidR="00A130A3" w:rsidRDefault="00000000" w:rsidP="006A0E10">
            <w:pPr>
              <w:jc w:val="both"/>
            </w:pPr>
            <w:r>
              <w:rPr>
                <w:sz w:val="20"/>
                <w:szCs w:val="20"/>
              </w:rPr>
              <w:t>Rolling Forecast Origin</w:t>
            </w:r>
          </w:p>
        </w:tc>
        <w:tc>
          <w:tcPr>
            <w:tcW w:w="14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6BF7719" w14:textId="77777777" w:rsidR="00A130A3" w:rsidRDefault="00000000" w:rsidP="006A0E10">
            <w:pPr>
              <w:jc w:val="both"/>
            </w:pPr>
            <w:r>
              <w:rPr>
                <w:sz w:val="20"/>
                <w:szCs w:val="20"/>
              </w:rPr>
              <w:t>4.910.451</w:t>
            </w:r>
          </w:p>
        </w:tc>
        <w:tc>
          <w:tcPr>
            <w:tcW w:w="14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A48D62B" w14:textId="77777777" w:rsidR="00A130A3" w:rsidRDefault="00000000" w:rsidP="006A0E10">
            <w:pPr>
              <w:jc w:val="both"/>
            </w:pPr>
            <w:r>
              <w:rPr>
                <w:sz w:val="20"/>
                <w:szCs w:val="20"/>
              </w:rPr>
              <w:t>3.977.505</w:t>
            </w:r>
          </w:p>
        </w:tc>
        <w:tc>
          <w:tcPr>
            <w:tcW w:w="210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74D1287" w14:textId="77777777" w:rsidR="00A130A3" w:rsidRDefault="00000000" w:rsidP="006A0E10">
            <w:pPr>
              <w:jc w:val="both"/>
            </w:pPr>
            <w:r>
              <w:rPr>
                <w:sz w:val="20"/>
                <w:szCs w:val="20"/>
              </w:rPr>
              <w:t>28,8%</w:t>
            </w:r>
          </w:p>
        </w:tc>
      </w:tr>
      <w:tr w:rsidR="00A130A3" w14:paraId="191A4808" w14:textId="77777777">
        <w:tblPrEx>
          <w:tblCellMar>
            <w:top w:w="0" w:type="dxa"/>
            <w:bottom w:w="0" w:type="dxa"/>
          </w:tblCellMar>
        </w:tblPrEx>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D9F254A" w14:textId="77777777" w:rsidR="00A130A3" w:rsidRDefault="00000000" w:rsidP="006A0E10">
            <w:pPr>
              <w:jc w:val="both"/>
            </w:pPr>
            <w:r>
              <w:rPr>
                <w:sz w:val="20"/>
                <w:szCs w:val="20"/>
              </w:rPr>
              <w:t>Peajes</w:t>
            </w:r>
          </w:p>
        </w:tc>
        <w:tc>
          <w:tcPr>
            <w:tcW w:w="25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D668371" w14:textId="77777777" w:rsidR="00A130A3" w:rsidRDefault="00000000" w:rsidP="006A0E10">
            <w:pPr>
              <w:jc w:val="both"/>
            </w:pPr>
            <w:r>
              <w:rPr>
                <w:sz w:val="20"/>
                <w:szCs w:val="20"/>
              </w:rPr>
              <w:t>Forecast estático</w:t>
            </w:r>
          </w:p>
        </w:tc>
        <w:tc>
          <w:tcPr>
            <w:tcW w:w="14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0CD64AF" w14:textId="77777777" w:rsidR="00A130A3" w:rsidRDefault="00000000" w:rsidP="006A0E10">
            <w:pPr>
              <w:jc w:val="both"/>
            </w:pPr>
            <w:r>
              <w:rPr>
                <w:sz w:val="20"/>
                <w:szCs w:val="20"/>
              </w:rPr>
              <w:t>7.301.409</w:t>
            </w:r>
          </w:p>
        </w:tc>
        <w:tc>
          <w:tcPr>
            <w:tcW w:w="14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29C773A" w14:textId="77777777" w:rsidR="00A130A3" w:rsidRDefault="00000000" w:rsidP="006A0E10">
            <w:pPr>
              <w:jc w:val="both"/>
            </w:pPr>
            <w:r>
              <w:rPr>
                <w:sz w:val="20"/>
                <w:szCs w:val="20"/>
              </w:rPr>
              <w:t>6.700.347</w:t>
            </w:r>
          </w:p>
        </w:tc>
        <w:tc>
          <w:tcPr>
            <w:tcW w:w="210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796A3E4" w14:textId="77777777" w:rsidR="00A130A3" w:rsidRDefault="00000000" w:rsidP="006A0E10">
            <w:pPr>
              <w:jc w:val="both"/>
            </w:pPr>
            <w:r>
              <w:rPr>
                <w:sz w:val="20"/>
                <w:szCs w:val="20"/>
              </w:rPr>
              <w:t>58,7%</w:t>
            </w:r>
          </w:p>
        </w:tc>
      </w:tr>
      <w:tr w:rsidR="00A130A3" w14:paraId="0814A56F" w14:textId="77777777">
        <w:tblPrEx>
          <w:tblCellMar>
            <w:top w:w="0" w:type="dxa"/>
            <w:bottom w:w="0" w:type="dxa"/>
          </w:tblCellMar>
        </w:tblPrEx>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04A2B75" w14:textId="77777777" w:rsidR="00A130A3" w:rsidRDefault="00000000" w:rsidP="006A0E10">
            <w:pPr>
              <w:jc w:val="both"/>
            </w:pPr>
            <w:r>
              <w:rPr>
                <w:sz w:val="20"/>
                <w:szCs w:val="20"/>
              </w:rPr>
              <w:t>Peajes</w:t>
            </w:r>
          </w:p>
        </w:tc>
        <w:tc>
          <w:tcPr>
            <w:tcW w:w="25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871E518" w14:textId="77777777" w:rsidR="00A130A3" w:rsidRDefault="00000000" w:rsidP="006A0E10">
            <w:pPr>
              <w:jc w:val="both"/>
            </w:pPr>
            <w:r>
              <w:rPr>
                <w:sz w:val="20"/>
                <w:szCs w:val="20"/>
              </w:rPr>
              <w:t>Rolling Forecast Origin</w:t>
            </w:r>
          </w:p>
        </w:tc>
        <w:tc>
          <w:tcPr>
            <w:tcW w:w="14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46EAF66" w14:textId="77777777" w:rsidR="00A130A3" w:rsidRDefault="00000000" w:rsidP="006A0E10">
            <w:pPr>
              <w:jc w:val="both"/>
            </w:pPr>
            <w:r>
              <w:rPr>
                <w:sz w:val="20"/>
                <w:szCs w:val="20"/>
              </w:rPr>
              <w:t>8.767.302</w:t>
            </w:r>
          </w:p>
        </w:tc>
        <w:tc>
          <w:tcPr>
            <w:tcW w:w="14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54BA230" w14:textId="77777777" w:rsidR="00A130A3" w:rsidRDefault="00000000" w:rsidP="006A0E10">
            <w:pPr>
              <w:jc w:val="both"/>
            </w:pPr>
            <w:r>
              <w:rPr>
                <w:sz w:val="20"/>
                <w:szCs w:val="20"/>
              </w:rPr>
              <w:t>4.528.885</w:t>
            </w:r>
          </w:p>
        </w:tc>
        <w:tc>
          <w:tcPr>
            <w:tcW w:w="210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199E5E1" w14:textId="77777777" w:rsidR="00A130A3" w:rsidRDefault="00000000" w:rsidP="006A0E10">
            <w:pPr>
              <w:jc w:val="both"/>
            </w:pPr>
            <w:r>
              <w:rPr>
                <w:sz w:val="20"/>
                <w:szCs w:val="20"/>
              </w:rPr>
              <w:t>49,4%</w:t>
            </w:r>
          </w:p>
        </w:tc>
      </w:tr>
    </w:tbl>
    <w:p w14:paraId="1B1B4BC0" w14:textId="77777777" w:rsidR="00A130A3" w:rsidRDefault="00000000" w:rsidP="006A0E10">
      <w:pPr>
        <w:spacing w:before="80" w:after="200"/>
        <w:jc w:val="both"/>
      </w:pPr>
      <w:r>
        <w:rPr>
          <w:i/>
          <w:iCs/>
          <w:sz w:val="20"/>
          <w:szCs w:val="20"/>
        </w:rPr>
        <w:t>Tabla 4. Métricas de performance en escala original (pasajeros / vehículos).</w:t>
      </w:r>
    </w:p>
    <w:p w14:paraId="0135BB1D" w14:textId="77777777" w:rsidR="00A130A3" w:rsidRDefault="00000000" w:rsidP="006A0E10">
      <w:pPr>
        <w:pStyle w:val="Heading2"/>
        <w:jc w:val="both"/>
      </w:pPr>
      <w:r>
        <w:t>6.4 Comparación de modelos</w:t>
      </w:r>
    </w:p>
    <w:p w14:paraId="055805C4" w14:textId="77777777" w:rsidR="00A130A3" w:rsidRDefault="00A130A3" w:rsidP="006A0E10">
      <w:pPr>
        <w:spacing w:after="120"/>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130A3" w14:paraId="4F78ABE7" w14:textId="77777777">
        <w:tblPrEx>
          <w:tblCellMar>
            <w:top w:w="0" w:type="dxa"/>
            <w:bottom w:w="0" w:type="dxa"/>
          </w:tblCellMar>
        </w:tblPrEx>
        <w:tc>
          <w:tcPr>
            <w:tcW w:w="9026" w:type="dxa"/>
            <w:tcBorders>
              <w:top w:val="single" w:sz="4" w:space="0" w:color="2E5496"/>
              <w:left w:val="single" w:sz="4" w:space="0" w:color="2E5496"/>
              <w:bottom w:val="single" w:sz="4" w:space="0" w:color="2E5496"/>
              <w:right w:val="single" w:sz="4" w:space="0" w:color="2E5496"/>
            </w:tcBorders>
            <w:shd w:val="clear" w:color="auto" w:fill="EEF4FB"/>
            <w:tcMar>
              <w:top w:w="200" w:type="dxa"/>
              <w:left w:w="300" w:type="dxa"/>
              <w:bottom w:w="200" w:type="dxa"/>
              <w:right w:w="300" w:type="dxa"/>
            </w:tcMar>
          </w:tcPr>
          <w:p w14:paraId="1CE1F135" w14:textId="77777777" w:rsidR="00A130A3" w:rsidRDefault="00000000" w:rsidP="006A0E10">
            <w:pPr>
              <w:spacing w:after="60"/>
              <w:jc w:val="both"/>
            </w:pPr>
            <w:r>
              <w:rPr>
                <w:b/>
                <w:bCs/>
                <w:color w:val="2E5496"/>
                <w:sz w:val="22"/>
                <w:szCs w:val="22"/>
              </w:rPr>
              <w:t>[INSERTAR FIGURA 7]</w:t>
            </w:r>
          </w:p>
          <w:p w14:paraId="22EF400B" w14:textId="77777777" w:rsidR="00A130A3" w:rsidRDefault="00000000" w:rsidP="006A0E10">
            <w:pPr>
              <w:jc w:val="both"/>
            </w:pPr>
            <w:r>
              <w:rPr>
                <w:i/>
                <w:iCs/>
                <w:color w:val="444444"/>
                <w:sz w:val="20"/>
                <w:szCs w:val="20"/>
              </w:rPr>
              <w:t>Comparación de pronósticos en el período de test para subte (superior) y peajes (inferior): SARIMA-X (rojo discontinuo), SARIMA sin exógenas (violeta punteado) y Naive Estacional (dorado). La línea negra es la serie real.</w:t>
            </w:r>
          </w:p>
        </w:tc>
      </w:tr>
    </w:tbl>
    <w:p w14:paraId="6367A8D0" w14:textId="77777777" w:rsidR="00A130A3" w:rsidRDefault="00000000" w:rsidP="006A0E10">
      <w:pPr>
        <w:spacing w:before="80" w:after="200"/>
        <w:jc w:val="both"/>
      </w:pPr>
      <w:r>
        <w:rPr>
          <w:i/>
          <w:iCs/>
          <w:sz w:val="20"/>
          <w:szCs w:val="20"/>
        </w:rPr>
        <w:t>Figura 7. Comparación de pronósticos en el período de test para subte (superior) y peajes (inferior): SARIMA-X (rojo discontinuo), SARIMA sin exógenas (violeta punteado) y Naive Estacional (dorado). La línea negra es la serie real.</w:t>
      </w:r>
    </w:p>
    <w:p w14:paraId="1AC422FC" w14:textId="77777777" w:rsidR="00A130A3" w:rsidRDefault="00A130A3" w:rsidP="006A0E10">
      <w:pPr>
        <w:spacing w:after="120"/>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6"/>
        <w:gridCol w:w="1506"/>
        <w:gridCol w:w="1506"/>
        <w:gridCol w:w="1506"/>
        <w:gridCol w:w="1802"/>
      </w:tblGrid>
      <w:tr w:rsidR="00A130A3" w14:paraId="190383FE" w14:textId="77777777">
        <w:tblPrEx>
          <w:tblCellMar>
            <w:top w:w="0" w:type="dxa"/>
            <w:bottom w:w="0" w:type="dxa"/>
          </w:tblCellMar>
        </w:tblPrEx>
        <w:trPr>
          <w:tblHeader/>
        </w:trPr>
        <w:tc>
          <w:tcPr>
            <w:tcW w:w="27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717ED4D7" w14:textId="77777777" w:rsidR="00A130A3" w:rsidRDefault="00000000" w:rsidP="006A0E10">
            <w:pPr>
              <w:jc w:val="both"/>
            </w:pPr>
            <w:r>
              <w:rPr>
                <w:b/>
                <w:bCs/>
                <w:sz w:val="20"/>
                <w:szCs w:val="20"/>
              </w:rPr>
              <w:t>Modelo</w:t>
            </w:r>
          </w:p>
        </w:tc>
        <w:tc>
          <w:tcPr>
            <w:tcW w:w="15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29B83E42" w14:textId="77777777" w:rsidR="00A130A3" w:rsidRDefault="00000000" w:rsidP="006A0E10">
            <w:pPr>
              <w:jc w:val="both"/>
            </w:pPr>
            <w:r>
              <w:rPr>
                <w:b/>
                <w:bCs/>
                <w:sz w:val="20"/>
                <w:szCs w:val="20"/>
              </w:rPr>
              <w:t>RMSE Subte</w:t>
            </w:r>
          </w:p>
        </w:tc>
        <w:tc>
          <w:tcPr>
            <w:tcW w:w="15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1C393116" w14:textId="77777777" w:rsidR="00A130A3" w:rsidRDefault="00000000" w:rsidP="006A0E10">
            <w:pPr>
              <w:jc w:val="both"/>
            </w:pPr>
            <w:r>
              <w:rPr>
                <w:b/>
                <w:bCs/>
                <w:sz w:val="20"/>
                <w:szCs w:val="20"/>
              </w:rPr>
              <w:t>MAPE Subte</w:t>
            </w:r>
          </w:p>
        </w:tc>
        <w:tc>
          <w:tcPr>
            <w:tcW w:w="15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591CDAEE" w14:textId="77777777" w:rsidR="00A130A3" w:rsidRDefault="00000000" w:rsidP="006A0E10">
            <w:pPr>
              <w:jc w:val="both"/>
            </w:pPr>
            <w:r>
              <w:rPr>
                <w:b/>
                <w:bCs/>
                <w:sz w:val="20"/>
                <w:szCs w:val="20"/>
              </w:rPr>
              <w:t>RMSE Peajes</w:t>
            </w:r>
          </w:p>
        </w:tc>
        <w:tc>
          <w:tcPr>
            <w:tcW w:w="1802"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4307B04E" w14:textId="77777777" w:rsidR="00A130A3" w:rsidRDefault="00000000" w:rsidP="006A0E10">
            <w:pPr>
              <w:jc w:val="both"/>
            </w:pPr>
            <w:r>
              <w:rPr>
                <w:b/>
                <w:bCs/>
                <w:sz w:val="20"/>
                <w:szCs w:val="20"/>
              </w:rPr>
              <w:t>MAPE Peajes</w:t>
            </w:r>
          </w:p>
        </w:tc>
      </w:tr>
      <w:tr w:rsidR="00A130A3" w14:paraId="4327170F" w14:textId="77777777">
        <w:tblPrEx>
          <w:tblCellMar>
            <w:top w:w="0" w:type="dxa"/>
            <w:bottom w:w="0" w:type="dxa"/>
          </w:tblCellMar>
        </w:tblPrEx>
        <w:tc>
          <w:tcPr>
            <w:tcW w:w="27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6EB7114" w14:textId="77777777" w:rsidR="00A130A3" w:rsidRDefault="00000000" w:rsidP="006A0E10">
            <w:pPr>
              <w:jc w:val="both"/>
            </w:pPr>
            <w:r>
              <w:rPr>
                <w:sz w:val="20"/>
                <w:szCs w:val="20"/>
              </w:rPr>
              <w:t>SARIMA-X (seleccionado)</w:t>
            </w:r>
          </w:p>
        </w:tc>
        <w:tc>
          <w:tcPr>
            <w:tcW w:w="15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15DE2E3" w14:textId="77777777" w:rsidR="00A130A3" w:rsidRDefault="00000000" w:rsidP="006A0E10">
            <w:pPr>
              <w:jc w:val="both"/>
            </w:pPr>
            <w:r>
              <w:rPr>
                <w:sz w:val="20"/>
                <w:szCs w:val="20"/>
              </w:rPr>
              <w:t>8.576.313</w:t>
            </w:r>
          </w:p>
        </w:tc>
        <w:tc>
          <w:tcPr>
            <w:tcW w:w="15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9D5D10C" w14:textId="77777777" w:rsidR="00A130A3" w:rsidRDefault="00000000" w:rsidP="006A0E10">
            <w:pPr>
              <w:jc w:val="both"/>
            </w:pPr>
            <w:r>
              <w:rPr>
                <w:sz w:val="20"/>
                <w:szCs w:val="20"/>
              </w:rPr>
              <w:t>46,5%</w:t>
            </w:r>
          </w:p>
        </w:tc>
        <w:tc>
          <w:tcPr>
            <w:tcW w:w="15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AC15DC6" w14:textId="77777777" w:rsidR="00A130A3" w:rsidRDefault="00000000" w:rsidP="006A0E10">
            <w:pPr>
              <w:jc w:val="both"/>
            </w:pPr>
            <w:r>
              <w:rPr>
                <w:sz w:val="20"/>
                <w:szCs w:val="20"/>
              </w:rPr>
              <w:t>7.301.409</w:t>
            </w:r>
          </w:p>
        </w:tc>
        <w:tc>
          <w:tcPr>
            <w:tcW w:w="180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73764EA" w14:textId="77777777" w:rsidR="00A130A3" w:rsidRDefault="00000000" w:rsidP="006A0E10">
            <w:pPr>
              <w:jc w:val="both"/>
            </w:pPr>
            <w:r>
              <w:rPr>
                <w:sz w:val="20"/>
                <w:szCs w:val="20"/>
              </w:rPr>
              <w:t>58,7%</w:t>
            </w:r>
          </w:p>
        </w:tc>
      </w:tr>
      <w:tr w:rsidR="00A130A3" w14:paraId="52B4332E" w14:textId="77777777">
        <w:tblPrEx>
          <w:tblCellMar>
            <w:top w:w="0" w:type="dxa"/>
            <w:bottom w:w="0" w:type="dxa"/>
          </w:tblCellMar>
        </w:tblPrEx>
        <w:tc>
          <w:tcPr>
            <w:tcW w:w="27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DAC812D" w14:textId="77777777" w:rsidR="00A130A3" w:rsidRDefault="00000000" w:rsidP="006A0E10">
            <w:pPr>
              <w:jc w:val="both"/>
            </w:pPr>
            <w:r>
              <w:rPr>
                <w:sz w:val="20"/>
                <w:szCs w:val="20"/>
              </w:rPr>
              <w:t>SARIMA sin exógenas</w:t>
            </w:r>
          </w:p>
        </w:tc>
        <w:tc>
          <w:tcPr>
            <w:tcW w:w="15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DE4764F" w14:textId="77777777" w:rsidR="00A130A3" w:rsidRDefault="00000000" w:rsidP="006A0E10">
            <w:pPr>
              <w:jc w:val="both"/>
            </w:pPr>
            <w:r>
              <w:rPr>
                <w:sz w:val="20"/>
                <w:szCs w:val="20"/>
              </w:rPr>
              <w:t>9.170.491</w:t>
            </w:r>
          </w:p>
        </w:tc>
        <w:tc>
          <w:tcPr>
            <w:tcW w:w="15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09BA22B" w14:textId="77777777" w:rsidR="00A130A3" w:rsidRDefault="00000000" w:rsidP="006A0E10">
            <w:pPr>
              <w:jc w:val="both"/>
            </w:pPr>
            <w:r>
              <w:rPr>
                <w:sz w:val="20"/>
                <w:szCs w:val="20"/>
              </w:rPr>
              <w:t>49,4%</w:t>
            </w:r>
          </w:p>
        </w:tc>
        <w:tc>
          <w:tcPr>
            <w:tcW w:w="15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DA93400" w14:textId="77777777" w:rsidR="00A130A3" w:rsidRDefault="00000000" w:rsidP="006A0E10">
            <w:pPr>
              <w:jc w:val="both"/>
            </w:pPr>
            <w:r>
              <w:rPr>
                <w:sz w:val="20"/>
                <w:szCs w:val="20"/>
              </w:rPr>
              <w:t>5.857.425</w:t>
            </w:r>
          </w:p>
        </w:tc>
        <w:tc>
          <w:tcPr>
            <w:tcW w:w="180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F3C9885" w14:textId="77777777" w:rsidR="00A130A3" w:rsidRDefault="00000000" w:rsidP="006A0E10">
            <w:pPr>
              <w:jc w:val="both"/>
            </w:pPr>
            <w:r>
              <w:rPr>
                <w:sz w:val="20"/>
                <w:szCs w:val="20"/>
              </w:rPr>
              <w:t>43,7%</w:t>
            </w:r>
          </w:p>
        </w:tc>
      </w:tr>
      <w:tr w:rsidR="00A130A3" w14:paraId="5E82B556" w14:textId="77777777">
        <w:tblPrEx>
          <w:tblCellMar>
            <w:top w:w="0" w:type="dxa"/>
            <w:bottom w:w="0" w:type="dxa"/>
          </w:tblCellMar>
        </w:tblPrEx>
        <w:tc>
          <w:tcPr>
            <w:tcW w:w="27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61C5821" w14:textId="77777777" w:rsidR="00A130A3" w:rsidRDefault="00000000" w:rsidP="006A0E10">
            <w:pPr>
              <w:jc w:val="both"/>
            </w:pPr>
            <w:r>
              <w:rPr>
                <w:sz w:val="20"/>
                <w:szCs w:val="20"/>
              </w:rPr>
              <w:t>Naive Estacional</w:t>
            </w:r>
          </w:p>
        </w:tc>
        <w:tc>
          <w:tcPr>
            <w:tcW w:w="15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86DE3D2" w14:textId="77777777" w:rsidR="00A130A3" w:rsidRDefault="00000000" w:rsidP="006A0E10">
            <w:pPr>
              <w:jc w:val="both"/>
            </w:pPr>
            <w:r>
              <w:rPr>
                <w:sz w:val="20"/>
                <w:szCs w:val="20"/>
              </w:rPr>
              <w:t>4.069.668</w:t>
            </w:r>
          </w:p>
        </w:tc>
        <w:tc>
          <w:tcPr>
            <w:tcW w:w="15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AC9D677" w14:textId="77777777" w:rsidR="00A130A3" w:rsidRDefault="00000000" w:rsidP="006A0E10">
            <w:pPr>
              <w:jc w:val="both"/>
            </w:pPr>
            <w:r>
              <w:rPr>
                <w:sz w:val="20"/>
                <w:szCs w:val="20"/>
              </w:rPr>
              <w:t>18,3%</w:t>
            </w:r>
          </w:p>
        </w:tc>
        <w:tc>
          <w:tcPr>
            <w:tcW w:w="15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C3571A5" w14:textId="77777777" w:rsidR="00A130A3" w:rsidRDefault="00000000" w:rsidP="006A0E10">
            <w:pPr>
              <w:jc w:val="both"/>
            </w:pPr>
            <w:r>
              <w:rPr>
                <w:sz w:val="20"/>
                <w:szCs w:val="20"/>
              </w:rPr>
              <w:t>2.927.520</w:t>
            </w:r>
          </w:p>
        </w:tc>
        <w:tc>
          <w:tcPr>
            <w:tcW w:w="180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9557552" w14:textId="77777777" w:rsidR="00A130A3" w:rsidRDefault="00000000" w:rsidP="006A0E10">
            <w:pPr>
              <w:jc w:val="both"/>
            </w:pPr>
            <w:r>
              <w:rPr>
                <w:sz w:val="20"/>
                <w:szCs w:val="20"/>
              </w:rPr>
              <w:t>18,8%</w:t>
            </w:r>
          </w:p>
        </w:tc>
      </w:tr>
    </w:tbl>
    <w:p w14:paraId="57738952" w14:textId="77777777" w:rsidR="00A130A3" w:rsidRDefault="00000000" w:rsidP="006A0E10">
      <w:pPr>
        <w:spacing w:before="80" w:after="200"/>
        <w:jc w:val="both"/>
      </w:pPr>
      <w:r>
        <w:rPr>
          <w:i/>
          <w:iCs/>
          <w:sz w:val="20"/>
          <w:szCs w:val="20"/>
        </w:rPr>
        <w:t>Tabla 5. Comparación de modelos en el período de test (forecast estático).</w:t>
      </w:r>
    </w:p>
    <w:p w14:paraId="0667E9E8" w14:textId="77777777" w:rsidR="00A130A3" w:rsidRDefault="00000000" w:rsidP="006A0E10">
      <w:pPr>
        <w:spacing w:after="160" w:line="276" w:lineRule="auto"/>
        <w:ind w:firstLine="720"/>
        <w:jc w:val="both"/>
      </w:pPr>
      <w:r>
        <w:lastRenderedPageBreak/>
        <w:t>El SARIMA-X supera al SARIMA sin exógenas en subte (MAPE 46,5% vs. 49,4%), confirmando parcialmente H5. En peajes, la relación se invierte. El Naive Estacional supera a ambos modelos paramétricos; este resultado se discute en la Sección 7.</w:t>
      </w:r>
    </w:p>
    <w:p w14:paraId="5B8517F6" w14:textId="77777777" w:rsidR="00A130A3" w:rsidRDefault="00000000" w:rsidP="006A0E10">
      <w:pPr>
        <w:pStyle w:val="Heading2"/>
        <w:jc w:val="both"/>
      </w:pPr>
      <w:r>
        <w:t>6.5 Diagnóstico de residuos</w:t>
      </w:r>
    </w:p>
    <w:p w14:paraId="1BF5186E" w14:textId="77777777" w:rsidR="00A130A3" w:rsidRDefault="00A130A3" w:rsidP="006A0E10">
      <w:pPr>
        <w:spacing w:after="120"/>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130A3" w14:paraId="679CFF76" w14:textId="77777777">
        <w:tblPrEx>
          <w:tblCellMar>
            <w:top w:w="0" w:type="dxa"/>
            <w:bottom w:w="0" w:type="dxa"/>
          </w:tblCellMar>
        </w:tblPrEx>
        <w:tc>
          <w:tcPr>
            <w:tcW w:w="9026" w:type="dxa"/>
            <w:tcBorders>
              <w:top w:val="single" w:sz="4" w:space="0" w:color="2E5496"/>
              <w:left w:val="single" w:sz="4" w:space="0" w:color="2E5496"/>
              <w:bottom w:val="single" w:sz="4" w:space="0" w:color="2E5496"/>
              <w:right w:val="single" w:sz="4" w:space="0" w:color="2E5496"/>
            </w:tcBorders>
            <w:shd w:val="clear" w:color="auto" w:fill="EEF4FB"/>
            <w:tcMar>
              <w:top w:w="200" w:type="dxa"/>
              <w:left w:w="300" w:type="dxa"/>
              <w:bottom w:w="200" w:type="dxa"/>
              <w:right w:w="300" w:type="dxa"/>
            </w:tcMar>
          </w:tcPr>
          <w:p w14:paraId="24B6E232" w14:textId="77777777" w:rsidR="00A130A3" w:rsidRDefault="00000000" w:rsidP="006A0E10">
            <w:pPr>
              <w:spacing w:after="60"/>
              <w:jc w:val="both"/>
            </w:pPr>
            <w:r>
              <w:rPr>
                <w:b/>
                <w:bCs/>
                <w:color w:val="2E5496"/>
                <w:sz w:val="22"/>
                <w:szCs w:val="22"/>
              </w:rPr>
              <w:t>[INSERTAR FIGURA 8]</w:t>
            </w:r>
          </w:p>
          <w:p w14:paraId="17104E6A" w14:textId="77777777" w:rsidR="00A130A3" w:rsidRDefault="00000000" w:rsidP="006A0E10">
            <w:pPr>
              <w:jc w:val="both"/>
            </w:pPr>
            <w:r>
              <w:rPr>
                <w:i/>
                <w:iCs/>
                <w:color w:val="444444"/>
                <w:sz w:val="20"/>
                <w:szCs w:val="20"/>
              </w:rPr>
              <w:t>Diagnóstico de residuos del modelo SARIMA(0,1,0)(0,1,1)[12]-X para subte: (a) residuos en el tiempo; (b) FAC de residuos con bandas de confianza al 95%; (c) gráfico QQ vs. distribución normal. Las líneas verticales grises indican los rezagos 12 y 24.</w:t>
            </w:r>
          </w:p>
        </w:tc>
      </w:tr>
    </w:tbl>
    <w:p w14:paraId="0D015299" w14:textId="77777777" w:rsidR="00A130A3" w:rsidRDefault="00000000" w:rsidP="006A0E10">
      <w:pPr>
        <w:spacing w:before="80" w:after="200"/>
        <w:jc w:val="both"/>
      </w:pPr>
      <w:r>
        <w:rPr>
          <w:i/>
          <w:iCs/>
          <w:sz w:val="20"/>
          <w:szCs w:val="20"/>
        </w:rPr>
        <w:t>Figura 8. Diagnóstico de residuos del modelo SARIMA(0,1,0)(0,1,1)[12]-X para subte: (a) residuos en el tiempo; (b) FAC de residuos con bandas de confianza al 95%; (c) gráfico QQ vs. distribución normal. Las líneas verticales grises indican los rezagos 12 y 24.</w:t>
      </w:r>
    </w:p>
    <w:p w14:paraId="06CA6D4F" w14:textId="77777777" w:rsidR="00A130A3" w:rsidRDefault="00A130A3" w:rsidP="006A0E10">
      <w:pPr>
        <w:spacing w:after="120"/>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130A3" w14:paraId="701370F9" w14:textId="77777777">
        <w:tblPrEx>
          <w:tblCellMar>
            <w:top w:w="0" w:type="dxa"/>
            <w:bottom w:w="0" w:type="dxa"/>
          </w:tblCellMar>
        </w:tblPrEx>
        <w:tc>
          <w:tcPr>
            <w:tcW w:w="9026" w:type="dxa"/>
            <w:tcBorders>
              <w:top w:val="single" w:sz="4" w:space="0" w:color="2E5496"/>
              <w:left w:val="single" w:sz="4" w:space="0" w:color="2E5496"/>
              <w:bottom w:val="single" w:sz="4" w:space="0" w:color="2E5496"/>
              <w:right w:val="single" w:sz="4" w:space="0" w:color="2E5496"/>
            </w:tcBorders>
            <w:shd w:val="clear" w:color="auto" w:fill="EEF4FB"/>
            <w:tcMar>
              <w:top w:w="200" w:type="dxa"/>
              <w:left w:w="300" w:type="dxa"/>
              <w:bottom w:w="200" w:type="dxa"/>
              <w:right w:w="300" w:type="dxa"/>
            </w:tcMar>
          </w:tcPr>
          <w:p w14:paraId="1ED02C3E" w14:textId="77777777" w:rsidR="00A130A3" w:rsidRDefault="00000000" w:rsidP="006A0E10">
            <w:pPr>
              <w:spacing w:after="60"/>
              <w:jc w:val="both"/>
            </w:pPr>
            <w:r>
              <w:rPr>
                <w:b/>
                <w:bCs/>
                <w:color w:val="2E5496"/>
                <w:sz w:val="22"/>
                <w:szCs w:val="22"/>
              </w:rPr>
              <w:t>[INSERTAR FIGURA 9]</w:t>
            </w:r>
          </w:p>
          <w:p w14:paraId="333E175F" w14:textId="77777777" w:rsidR="00A130A3" w:rsidRDefault="00000000" w:rsidP="006A0E10">
            <w:pPr>
              <w:jc w:val="both"/>
            </w:pPr>
            <w:r>
              <w:rPr>
                <w:i/>
                <w:iCs/>
                <w:color w:val="444444"/>
                <w:sz w:val="20"/>
                <w:szCs w:val="20"/>
              </w:rPr>
              <w:t>Diagnóstico de residuos del modelo SARIMA(1,1,0)(1,1,1)[12]-X para peajes. Misma disposición que la Figura 8.</w:t>
            </w:r>
          </w:p>
        </w:tc>
      </w:tr>
    </w:tbl>
    <w:p w14:paraId="34E1FC04" w14:textId="77777777" w:rsidR="00A130A3" w:rsidRDefault="00000000" w:rsidP="006A0E10">
      <w:pPr>
        <w:spacing w:before="80" w:after="200"/>
        <w:jc w:val="both"/>
      </w:pPr>
      <w:r>
        <w:rPr>
          <w:i/>
          <w:iCs/>
          <w:sz w:val="20"/>
          <w:szCs w:val="20"/>
        </w:rPr>
        <w:t>Figura 9. Diagnóstico de residuos del modelo SARIMA(1,1,0)(1,1,1)[12]-X para peajes. Misma disposición que la Figura 8.</w:t>
      </w:r>
    </w:p>
    <w:p w14:paraId="5C8DED28" w14:textId="77777777" w:rsidR="00A130A3" w:rsidRDefault="00A130A3" w:rsidP="006A0E10">
      <w:pPr>
        <w:spacing w:after="120"/>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6"/>
        <w:gridCol w:w="1306"/>
        <w:gridCol w:w="1506"/>
        <w:gridCol w:w="1306"/>
        <w:gridCol w:w="1306"/>
        <w:gridCol w:w="1996"/>
      </w:tblGrid>
      <w:tr w:rsidR="00A130A3" w14:paraId="770CCC3D" w14:textId="77777777">
        <w:tblPrEx>
          <w:tblCellMar>
            <w:top w:w="0" w:type="dxa"/>
            <w:bottom w:w="0" w:type="dxa"/>
          </w:tblCellMar>
        </w:tblPrEx>
        <w:trPr>
          <w:tblHeader/>
        </w:trPr>
        <w:tc>
          <w:tcPr>
            <w:tcW w:w="16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4BD01137" w14:textId="77777777" w:rsidR="00A130A3" w:rsidRDefault="00000000" w:rsidP="006A0E10">
            <w:pPr>
              <w:jc w:val="both"/>
            </w:pPr>
            <w:r>
              <w:rPr>
                <w:b/>
                <w:bCs/>
                <w:sz w:val="20"/>
                <w:szCs w:val="20"/>
              </w:rPr>
              <w:t>Serie</w:t>
            </w:r>
          </w:p>
        </w:tc>
        <w:tc>
          <w:tcPr>
            <w:tcW w:w="13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08314439" w14:textId="77777777" w:rsidR="00A130A3" w:rsidRDefault="00000000" w:rsidP="006A0E10">
            <w:pPr>
              <w:jc w:val="both"/>
            </w:pPr>
            <w:r>
              <w:rPr>
                <w:b/>
                <w:bCs/>
                <w:sz w:val="20"/>
                <w:szCs w:val="20"/>
              </w:rPr>
              <w:t>LB lag 6</w:t>
            </w:r>
          </w:p>
        </w:tc>
        <w:tc>
          <w:tcPr>
            <w:tcW w:w="15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6512FEFE" w14:textId="77777777" w:rsidR="00A130A3" w:rsidRDefault="00000000" w:rsidP="006A0E10">
            <w:pPr>
              <w:jc w:val="both"/>
            </w:pPr>
            <w:r>
              <w:rPr>
                <w:b/>
                <w:bCs/>
                <w:sz w:val="20"/>
                <w:szCs w:val="20"/>
              </w:rPr>
              <w:t>LB lag 12</w:t>
            </w:r>
          </w:p>
        </w:tc>
        <w:tc>
          <w:tcPr>
            <w:tcW w:w="13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24CD50A2" w14:textId="77777777" w:rsidR="00A130A3" w:rsidRDefault="00000000" w:rsidP="006A0E10">
            <w:pPr>
              <w:jc w:val="both"/>
            </w:pPr>
            <w:r>
              <w:rPr>
                <w:b/>
                <w:bCs/>
                <w:sz w:val="20"/>
                <w:szCs w:val="20"/>
              </w:rPr>
              <w:t>LB lag 24</w:t>
            </w:r>
          </w:p>
        </w:tc>
        <w:tc>
          <w:tcPr>
            <w:tcW w:w="13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739B2214" w14:textId="77777777" w:rsidR="00A130A3" w:rsidRDefault="00000000" w:rsidP="006A0E10">
            <w:pPr>
              <w:jc w:val="both"/>
            </w:pPr>
            <w:r>
              <w:rPr>
                <w:b/>
                <w:bCs/>
                <w:sz w:val="20"/>
                <w:szCs w:val="20"/>
              </w:rPr>
              <w:t>JB p-val</w:t>
            </w:r>
          </w:p>
        </w:tc>
        <w:tc>
          <w:tcPr>
            <w:tcW w:w="199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21774132" w14:textId="77777777" w:rsidR="00A130A3" w:rsidRDefault="00000000" w:rsidP="006A0E10">
            <w:pPr>
              <w:jc w:val="both"/>
            </w:pPr>
            <w:r>
              <w:rPr>
                <w:b/>
                <w:bCs/>
                <w:sz w:val="20"/>
                <w:szCs w:val="20"/>
              </w:rPr>
              <w:t>Heteroced. (H)</w:t>
            </w:r>
          </w:p>
        </w:tc>
      </w:tr>
      <w:tr w:rsidR="00A130A3" w14:paraId="45CC1F52" w14:textId="77777777">
        <w:tblPrEx>
          <w:tblCellMar>
            <w:top w:w="0" w:type="dxa"/>
            <w:bottom w:w="0" w:type="dxa"/>
          </w:tblCellMar>
        </w:tblPrEx>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1043F63" w14:textId="77777777" w:rsidR="00A130A3" w:rsidRDefault="00000000" w:rsidP="006A0E10">
            <w:pPr>
              <w:jc w:val="both"/>
            </w:pPr>
            <w:r>
              <w:rPr>
                <w:sz w:val="20"/>
                <w:szCs w:val="20"/>
              </w:rPr>
              <w:t>Subte</w:t>
            </w:r>
          </w:p>
        </w:tc>
        <w:tc>
          <w:tcPr>
            <w:tcW w:w="13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B00A323" w14:textId="77777777" w:rsidR="00A130A3" w:rsidRDefault="00000000" w:rsidP="006A0E10">
            <w:pPr>
              <w:jc w:val="both"/>
            </w:pPr>
            <w:r>
              <w:rPr>
                <w:sz w:val="20"/>
                <w:szCs w:val="20"/>
              </w:rPr>
              <w:t>1.000</w:t>
            </w:r>
          </w:p>
        </w:tc>
        <w:tc>
          <w:tcPr>
            <w:tcW w:w="15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27F5E51" w14:textId="77777777" w:rsidR="00A130A3" w:rsidRDefault="00000000" w:rsidP="006A0E10">
            <w:pPr>
              <w:jc w:val="both"/>
            </w:pPr>
            <w:r>
              <w:rPr>
                <w:sz w:val="20"/>
                <w:szCs w:val="20"/>
              </w:rPr>
              <w:t>0.021*</w:t>
            </w:r>
          </w:p>
        </w:tc>
        <w:tc>
          <w:tcPr>
            <w:tcW w:w="13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B5212C8" w14:textId="77777777" w:rsidR="00A130A3" w:rsidRDefault="00000000" w:rsidP="006A0E10">
            <w:pPr>
              <w:jc w:val="both"/>
            </w:pPr>
            <w:r>
              <w:rPr>
                <w:sz w:val="20"/>
                <w:szCs w:val="20"/>
              </w:rPr>
              <w:t>0.449</w:t>
            </w:r>
          </w:p>
        </w:tc>
        <w:tc>
          <w:tcPr>
            <w:tcW w:w="13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6A755D5" w14:textId="77777777" w:rsidR="00A130A3" w:rsidRDefault="00000000" w:rsidP="006A0E10">
            <w:pPr>
              <w:jc w:val="both"/>
            </w:pPr>
            <w:r>
              <w:rPr>
                <w:sz w:val="20"/>
                <w:szCs w:val="20"/>
              </w:rPr>
              <w:t>0.000</w:t>
            </w:r>
          </w:p>
        </w:tc>
        <w:tc>
          <w:tcPr>
            <w:tcW w:w="199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C947151" w14:textId="77777777" w:rsidR="00A130A3" w:rsidRDefault="00000000" w:rsidP="006A0E10">
            <w:pPr>
              <w:jc w:val="both"/>
            </w:pPr>
            <w:r>
              <w:rPr>
                <w:sz w:val="20"/>
                <w:szCs w:val="20"/>
              </w:rPr>
              <w:t>11.44 (p = .000)</w:t>
            </w:r>
          </w:p>
        </w:tc>
      </w:tr>
      <w:tr w:rsidR="00A130A3" w14:paraId="750CD060" w14:textId="77777777">
        <w:tblPrEx>
          <w:tblCellMar>
            <w:top w:w="0" w:type="dxa"/>
            <w:bottom w:w="0" w:type="dxa"/>
          </w:tblCellMar>
        </w:tblPrEx>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2DA6009" w14:textId="77777777" w:rsidR="00A130A3" w:rsidRDefault="00000000" w:rsidP="006A0E10">
            <w:pPr>
              <w:jc w:val="both"/>
            </w:pPr>
            <w:r>
              <w:rPr>
                <w:sz w:val="20"/>
                <w:szCs w:val="20"/>
              </w:rPr>
              <w:t>Peajes</w:t>
            </w:r>
          </w:p>
        </w:tc>
        <w:tc>
          <w:tcPr>
            <w:tcW w:w="13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EA30B8A" w14:textId="77777777" w:rsidR="00A130A3" w:rsidRDefault="00000000" w:rsidP="006A0E10">
            <w:pPr>
              <w:jc w:val="both"/>
            </w:pPr>
            <w:r>
              <w:rPr>
                <w:sz w:val="20"/>
                <w:szCs w:val="20"/>
              </w:rPr>
              <w:t>0.657</w:t>
            </w:r>
          </w:p>
        </w:tc>
        <w:tc>
          <w:tcPr>
            <w:tcW w:w="15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FFE97E7" w14:textId="77777777" w:rsidR="00A130A3" w:rsidRDefault="00000000" w:rsidP="006A0E10">
            <w:pPr>
              <w:jc w:val="both"/>
            </w:pPr>
            <w:r>
              <w:rPr>
                <w:sz w:val="20"/>
                <w:szCs w:val="20"/>
              </w:rPr>
              <w:t>0.753</w:t>
            </w:r>
          </w:p>
        </w:tc>
        <w:tc>
          <w:tcPr>
            <w:tcW w:w="13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51672E7" w14:textId="77777777" w:rsidR="00A130A3" w:rsidRDefault="00000000" w:rsidP="006A0E10">
            <w:pPr>
              <w:jc w:val="both"/>
            </w:pPr>
            <w:r>
              <w:rPr>
                <w:sz w:val="20"/>
                <w:szCs w:val="20"/>
              </w:rPr>
              <w:t>0.501</w:t>
            </w:r>
          </w:p>
        </w:tc>
        <w:tc>
          <w:tcPr>
            <w:tcW w:w="13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942D6AC" w14:textId="77777777" w:rsidR="00A130A3" w:rsidRDefault="00000000" w:rsidP="006A0E10">
            <w:pPr>
              <w:jc w:val="both"/>
            </w:pPr>
            <w:r>
              <w:rPr>
                <w:sz w:val="20"/>
                <w:szCs w:val="20"/>
              </w:rPr>
              <w:t>0.000</w:t>
            </w:r>
          </w:p>
        </w:tc>
        <w:tc>
          <w:tcPr>
            <w:tcW w:w="199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4323449" w14:textId="77777777" w:rsidR="00A130A3" w:rsidRDefault="00000000" w:rsidP="006A0E10">
            <w:pPr>
              <w:jc w:val="both"/>
            </w:pPr>
            <w:r>
              <w:rPr>
                <w:sz w:val="20"/>
                <w:szCs w:val="20"/>
              </w:rPr>
              <w:t>148.72 (p = .000)</w:t>
            </w:r>
          </w:p>
        </w:tc>
      </w:tr>
    </w:tbl>
    <w:p w14:paraId="07A2D662" w14:textId="77777777" w:rsidR="00A130A3" w:rsidRDefault="00000000" w:rsidP="006A0E10">
      <w:pPr>
        <w:spacing w:before="80" w:after="200"/>
        <w:jc w:val="both"/>
      </w:pPr>
      <w:r>
        <w:rPr>
          <w:i/>
          <w:iCs/>
          <w:sz w:val="20"/>
          <w:szCs w:val="20"/>
        </w:rPr>
        <w:t>Tabla 6. Diagnóstico de residuos. LB = Ljung-Box (H₀: ruido blanco). JB = Jarque-Bera (H₀: normalidad). * p &lt; .05.</w:t>
      </w:r>
    </w:p>
    <w:p w14:paraId="0D072979" w14:textId="77777777" w:rsidR="00A130A3" w:rsidRDefault="00000000" w:rsidP="006A0E10">
      <w:pPr>
        <w:spacing w:after="160" w:line="276" w:lineRule="auto"/>
        <w:ind w:firstLine="720"/>
        <w:jc w:val="both"/>
      </w:pPr>
      <w:r>
        <w:t>El modelo de peajes produce residuos que son ruido blanco en todos los lags (LB p &gt; .65). En subte, el Ljung-Box rechaza marginalmente en lag 12 (p = .021), indicando estructura estacional residual. Ambos modelos rechazan la normalidad de residuos (kurtosis 12.6 y 8.98 respectivamente), atribuible a los valores extremos del período COVID.</w:t>
      </w:r>
      <w:r>
        <w:rPr>
          <w:rStyle w:val="FootnoteReference"/>
        </w:rPr>
        <w:footnoteReference w:id="8"/>
      </w:r>
      <w:r>
        <w:t xml:space="preserve"> La heterocedasticidad severa en peajes (H = 148.7) refleja la varianza cambiante entre los tres sub-períodos (pre-COVID, COVID, post-COVID).</w:t>
      </w:r>
    </w:p>
    <w:p w14:paraId="66CEBF73" w14:textId="77777777" w:rsidR="00A130A3" w:rsidRDefault="00000000" w:rsidP="006A0E10">
      <w:pPr>
        <w:pStyle w:val="Heading2"/>
        <w:jc w:val="both"/>
      </w:pPr>
      <w:r>
        <w:t>6.6 Pronóstico 2026</w:t>
      </w:r>
    </w:p>
    <w:p w14:paraId="24939D55" w14:textId="77777777" w:rsidR="00A130A3" w:rsidRDefault="00A130A3" w:rsidP="006A0E10">
      <w:pPr>
        <w:spacing w:after="120"/>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130A3" w14:paraId="65958A0A" w14:textId="77777777">
        <w:tblPrEx>
          <w:tblCellMar>
            <w:top w:w="0" w:type="dxa"/>
            <w:bottom w:w="0" w:type="dxa"/>
          </w:tblCellMar>
        </w:tblPrEx>
        <w:tc>
          <w:tcPr>
            <w:tcW w:w="9026" w:type="dxa"/>
            <w:tcBorders>
              <w:top w:val="single" w:sz="4" w:space="0" w:color="2E5496"/>
              <w:left w:val="single" w:sz="4" w:space="0" w:color="2E5496"/>
              <w:bottom w:val="single" w:sz="4" w:space="0" w:color="2E5496"/>
              <w:right w:val="single" w:sz="4" w:space="0" w:color="2E5496"/>
            </w:tcBorders>
            <w:shd w:val="clear" w:color="auto" w:fill="EEF4FB"/>
            <w:tcMar>
              <w:top w:w="200" w:type="dxa"/>
              <w:left w:w="300" w:type="dxa"/>
              <w:bottom w:w="200" w:type="dxa"/>
              <w:right w:w="300" w:type="dxa"/>
            </w:tcMar>
          </w:tcPr>
          <w:p w14:paraId="4E0797B3" w14:textId="77777777" w:rsidR="00A130A3" w:rsidRDefault="00000000" w:rsidP="006A0E10">
            <w:pPr>
              <w:spacing w:after="60"/>
              <w:jc w:val="both"/>
            </w:pPr>
            <w:r>
              <w:rPr>
                <w:b/>
                <w:bCs/>
                <w:color w:val="2E5496"/>
                <w:sz w:val="22"/>
                <w:szCs w:val="22"/>
              </w:rPr>
              <w:t>[INSERTAR FIGURA 10]</w:t>
            </w:r>
          </w:p>
          <w:p w14:paraId="1453955B" w14:textId="77777777" w:rsidR="00A130A3" w:rsidRDefault="00000000" w:rsidP="006A0E10">
            <w:pPr>
              <w:jc w:val="both"/>
            </w:pPr>
            <w:r>
              <w:rPr>
                <w:i/>
                <w:iCs/>
                <w:color w:val="444444"/>
                <w:sz w:val="20"/>
                <w:szCs w:val="20"/>
              </w:rPr>
              <w:t>Pronóstico enero–diciembre 2026 para pasajeros de subte (escala original, millones). Se muestran los últimos tres años de historial (línea azul), el valor puntual pronosticado (línea roja discontinua) y el IC al 95% (banda roja). La línea gris punteada indica el último dato observado (dic 2025).</w:t>
            </w:r>
          </w:p>
        </w:tc>
      </w:tr>
    </w:tbl>
    <w:p w14:paraId="34DD9480" w14:textId="77777777" w:rsidR="00A130A3" w:rsidRDefault="00000000" w:rsidP="006A0E10">
      <w:pPr>
        <w:spacing w:before="80" w:after="200"/>
        <w:jc w:val="both"/>
      </w:pPr>
      <w:r>
        <w:rPr>
          <w:i/>
          <w:iCs/>
          <w:sz w:val="20"/>
          <w:szCs w:val="20"/>
        </w:rPr>
        <w:lastRenderedPageBreak/>
        <w:t>Figura 10. Pronóstico enero–diciembre 2026 para pasajeros de subte (escala original, millones). Se muestran los últimos tres años de historial (línea azul), el valor puntual pronosticado (línea roja discontinua) y el IC al 95% (banda roja). La línea gris punteada indica el último dato observado (dic 2025).</w:t>
      </w:r>
    </w:p>
    <w:p w14:paraId="3396B76F" w14:textId="77777777" w:rsidR="00A130A3" w:rsidRDefault="00A130A3" w:rsidP="006A0E10">
      <w:pPr>
        <w:spacing w:after="120"/>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130A3" w14:paraId="0F4CC8BB" w14:textId="77777777">
        <w:tblPrEx>
          <w:tblCellMar>
            <w:top w:w="0" w:type="dxa"/>
            <w:bottom w:w="0" w:type="dxa"/>
          </w:tblCellMar>
        </w:tblPrEx>
        <w:tc>
          <w:tcPr>
            <w:tcW w:w="9026" w:type="dxa"/>
            <w:tcBorders>
              <w:top w:val="single" w:sz="4" w:space="0" w:color="2E5496"/>
              <w:left w:val="single" w:sz="4" w:space="0" w:color="2E5496"/>
              <w:bottom w:val="single" w:sz="4" w:space="0" w:color="2E5496"/>
              <w:right w:val="single" w:sz="4" w:space="0" w:color="2E5496"/>
            </w:tcBorders>
            <w:shd w:val="clear" w:color="auto" w:fill="EEF4FB"/>
            <w:tcMar>
              <w:top w:w="200" w:type="dxa"/>
              <w:left w:w="300" w:type="dxa"/>
              <w:bottom w:w="200" w:type="dxa"/>
              <w:right w:w="300" w:type="dxa"/>
            </w:tcMar>
          </w:tcPr>
          <w:p w14:paraId="3807FB5C" w14:textId="77777777" w:rsidR="00A130A3" w:rsidRDefault="00000000" w:rsidP="006A0E10">
            <w:pPr>
              <w:spacing w:after="60"/>
              <w:jc w:val="both"/>
            </w:pPr>
            <w:r>
              <w:rPr>
                <w:b/>
                <w:bCs/>
                <w:color w:val="2E5496"/>
                <w:sz w:val="22"/>
                <w:szCs w:val="22"/>
              </w:rPr>
              <w:t>[INSERTAR FIGURA 11]</w:t>
            </w:r>
          </w:p>
          <w:p w14:paraId="2542D0B0" w14:textId="77777777" w:rsidR="00A130A3" w:rsidRDefault="00000000" w:rsidP="006A0E10">
            <w:pPr>
              <w:jc w:val="both"/>
            </w:pPr>
            <w:r>
              <w:rPr>
                <w:i/>
                <w:iCs/>
                <w:color w:val="444444"/>
                <w:sz w:val="20"/>
                <w:szCs w:val="20"/>
              </w:rPr>
              <w:t>Pronóstico enero–diciembre 2026 para flujo vehicular en peajes. Misma disposición que la Figura 10.</w:t>
            </w:r>
          </w:p>
        </w:tc>
      </w:tr>
    </w:tbl>
    <w:p w14:paraId="0FBD6AC7" w14:textId="77777777" w:rsidR="00A130A3" w:rsidRDefault="00000000" w:rsidP="006A0E10">
      <w:pPr>
        <w:spacing w:before="80" w:after="200"/>
        <w:jc w:val="both"/>
      </w:pPr>
      <w:r>
        <w:rPr>
          <w:i/>
          <w:iCs/>
          <w:sz w:val="20"/>
          <w:szCs w:val="20"/>
        </w:rPr>
        <w:t>Figura 11. Pronóstico enero–diciembre 2026 para flujo vehicular en peajes. Misma disposición que la Figura 10.</w:t>
      </w:r>
    </w:p>
    <w:p w14:paraId="70B61AA6" w14:textId="77777777" w:rsidR="00A130A3" w:rsidRDefault="00A130A3" w:rsidP="006A0E10">
      <w:pPr>
        <w:spacing w:after="120"/>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6"/>
        <w:gridCol w:w="1606"/>
        <w:gridCol w:w="2006"/>
        <w:gridCol w:w="1606"/>
        <w:gridCol w:w="2402"/>
      </w:tblGrid>
      <w:tr w:rsidR="00A130A3" w14:paraId="41B00168" w14:textId="77777777">
        <w:tblPrEx>
          <w:tblCellMar>
            <w:top w:w="0" w:type="dxa"/>
            <w:bottom w:w="0" w:type="dxa"/>
          </w:tblCellMar>
        </w:tblPrEx>
        <w:trPr>
          <w:tblHeader/>
        </w:trPr>
        <w:tc>
          <w:tcPr>
            <w:tcW w:w="14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152941A7" w14:textId="77777777" w:rsidR="00A130A3" w:rsidRDefault="00000000" w:rsidP="006A0E10">
            <w:pPr>
              <w:jc w:val="both"/>
            </w:pPr>
            <w:r>
              <w:rPr>
                <w:b/>
                <w:bCs/>
                <w:sz w:val="20"/>
                <w:szCs w:val="20"/>
              </w:rPr>
              <w:t>Período</w:t>
            </w:r>
          </w:p>
        </w:tc>
        <w:tc>
          <w:tcPr>
            <w:tcW w:w="16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6AC853FF" w14:textId="77777777" w:rsidR="00A130A3" w:rsidRDefault="00000000" w:rsidP="006A0E10">
            <w:pPr>
              <w:jc w:val="both"/>
            </w:pPr>
            <w:r>
              <w:rPr>
                <w:b/>
                <w:bCs/>
                <w:sz w:val="20"/>
                <w:szCs w:val="20"/>
              </w:rPr>
              <w:t>Subte pron.</w:t>
            </w:r>
          </w:p>
        </w:tc>
        <w:tc>
          <w:tcPr>
            <w:tcW w:w="20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224B3D8C" w14:textId="77777777" w:rsidR="00A130A3" w:rsidRDefault="00000000" w:rsidP="006A0E10">
            <w:pPr>
              <w:jc w:val="both"/>
            </w:pPr>
            <w:r>
              <w:rPr>
                <w:b/>
                <w:bCs/>
                <w:sz w:val="20"/>
                <w:szCs w:val="20"/>
              </w:rPr>
              <w:t>Subte IC 95%</w:t>
            </w:r>
          </w:p>
        </w:tc>
        <w:tc>
          <w:tcPr>
            <w:tcW w:w="1606"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3B84EA84" w14:textId="77777777" w:rsidR="00A130A3" w:rsidRDefault="00000000" w:rsidP="006A0E10">
            <w:pPr>
              <w:jc w:val="both"/>
            </w:pPr>
            <w:r>
              <w:rPr>
                <w:b/>
                <w:bCs/>
                <w:sz w:val="20"/>
                <w:szCs w:val="20"/>
              </w:rPr>
              <w:t>Peajes pron.</w:t>
            </w:r>
          </w:p>
        </w:tc>
        <w:tc>
          <w:tcPr>
            <w:tcW w:w="2402" w:type="dxa"/>
            <w:tcBorders>
              <w:top w:val="single" w:sz="4" w:space="0" w:color="AAAAAA"/>
              <w:left w:val="single" w:sz="4" w:space="0" w:color="AAAAAA"/>
              <w:bottom w:val="single" w:sz="4" w:space="0" w:color="AAAAAA"/>
              <w:right w:val="single" w:sz="4" w:space="0" w:color="AAAAAA"/>
            </w:tcBorders>
            <w:shd w:val="clear" w:color="auto" w:fill="D6E4F7"/>
            <w:tcMar>
              <w:top w:w="80" w:type="dxa"/>
              <w:left w:w="120" w:type="dxa"/>
              <w:bottom w:w="80" w:type="dxa"/>
              <w:right w:w="120" w:type="dxa"/>
            </w:tcMar>
            <w:vAlign w:val="center"/>
          </w:tcPr>
          <w:p w14:paraId="7525AECE" w14:textId="77777777" w:rsidR="00A130A3" w:rsidRDefault="00000000" w:rsidP="006A0E10">
            <w:pPr>
              <w:jc w:val="both"/>
            </w:pPr>
            <w:r>
              <w:rPr>
                <w:b/>
                <w:bCs/>
                <w:sz w:val="20"/>
                <w:szCs w:val="20"/>
              </w:rPr>
              <w:t>Peajes IC 95%</w:t>
            </w:r>
          </w:p>
        </w:tc>
      </w:tr>
      <w:tr w:rsidR="00A130A3" w14:paraId="4CBF3A8D" w14:textId="77777777">
        <w:tblPrEx>
          <w:tblCellMar>
            <w:top w:w="0" w:type="dxa"/>
            <w:bottom w:w="0" w:type="dxa"/>
          </w:tblCellMar>
        </w:tblPrEx>
        <w:tc>
          <w:tcPr>
            <w:tcW w:w="14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832D444" w14:textId="77777777" w:rsidR="00A130A3" w:rsidRDefault="00000000" w:rsidP="006A0E10">
            <w:pPr>
              <w:jc w:val="both"/>
            </w:pPr>
            <w:r>
              <w:rPr>
                <w:sz w:val="20"/>
                <w:szCs w:val="20"/>
              </w:rPr>
              <w:t>Ene 2026</w:t>
            </w:r>
          </w:p>
        </w:tc>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105F43D" w14:textId="77777777" w:rsidR="00A130A3" w:rsidRDefault="00000000" w:rsidP="006A0E10">
            <w:pPr>
              <w:jc w:val="both"/>
            </w:pPr>
            <w:r>
              <w:rPr>
                <w:sz w:val="20"/>
                <w:szCs w:val="20"/>
              </w:rPr>
              <w:t>15.847.157</w:t>
            </w:r>
          </w:p>
        </w:tc>
        <w:tc>
          <w:tcPr>
            <w:tcW w:w="20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C77C991" w14:textId="77777777" w:rsidR="00A130A3" w:rsidRDefault="00000000" w:rsidP="006A0E10">
            <w:pPr>
              <w:jc w:val="both"/>
            </w:pPr>
            <w:r>
              <w:rPr>
                <w:sz w:val="20"/>
                <w:szCs w:val="20"/>
              </w:rPr>
              <w:t>[7,1M – 35,6M]</w:t>
            </w:r>
          </w:p>
        </w:tc>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A7C6776" w14:textId="77777777" w:rsidR="00A130A3" w:rsidRDefault="00000000" w:rsidP="006A0E10">
            <w:pPr>
              <w:jc w:val="both"/>
            </w:pPr>
            <w:r>
              <w:rPr>
                <w:sz w:val="20"/>
                <w:szCs w:val="20"/>
              </w:rPr>
              <w:t>10.561.510</w:t>
            </w:r>
          </w:p>
        </w:tc>
        <w:tc>
          <w:tcPr>
            <w:tcW w:w="240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19A0504" w14:textId="77777777" w:rsidR="00A130A3" w:rsidRDefault="00000000" w:rsidP="006A0E10">
            <w:pPr>
              <w:jc w:val="both"/>
            </w:pPr>
            <w:r>
              <w:rPr>
                <w:sz w:val="20"/>
                <w:szCs w:val="20"/>
              </w:rPr>
              <w:t>[3,5M – 31,7M]</w:t>
            </w:r>
          </w:p>
        </w:tc>
      </w:tr>
      <w:tr w:rsidR="00A130A3" w14:paraId="506B0F7D" w14:textId="77777777">
        <w:tblPrEx>
          <w:tblCellMar>
            <w:top w:w="0" w:type="dxa"/>
            <w:bottom w:w="0" w:type="dxa"/>
          </w:tblCellMar>
        </w:tblPrEx>
        <w:tc>
          <w:tcPr>
            <w:tcW w:w="14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F3613BB" w14:textId="77777777" w:rsidR="00A130A3" w:rsidRDefault="00000000" w:rsidP="006A0E10">
            <w:pPr>
              <w:jc w:val="both"/>
            </w:pPr>
            <w:r>
              <w:rPr>
                <w:sz w:val="20"/>
                <w:szCs w:val="20"/>
              </w:rPr>
              <w:t>Abr 2026</w:t>
            </w:r>
          </w:p>
        </w:tc>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89FC4FA" w14:textId="77777777" w:rsidR="00A130A3" w:rsidRDefault="00000000" w:rsidP="006A0E10">
            <w:pPr>
              <w:jc w:val="both"/>
            </w:pPr>
            <w:r>
              <w:rPr>
                <w:sz w:val="20"/>
                <w:szCs w:val="20"/>
              </w:rPr>
              <w:t>17.586.831</w:t>
            </w:r>
          </w:p>
        </w:tc>
        <w:tc>
          <w:tcPr>
            <w:tcW w:w="20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4546EB4" w14:textId="77777777" w:rsidR="00A130A3" w:rsidRDefault="00000000" w:rsidP="006A0E10">
            <w:pPr>
              <w:jc w:val="both"/>
            </w:pPr>
            <w:r>
              <w:rPr>
                <w:sz w:val="20"/>
                <w:szCs w:val="20"/>
              </w:rPr>
              <w:t>[3,5M – 88,7M]</w:t>
            </w:r>
          </w:p>
        </w:tc>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627DEF6" w14:textId="77777777" w:rsidR="00A130A3" w:rsidRDefault="00000000" w:rsidP="006A0E10">
            <w:pPr>
              <w:jc w:val="both"/>
            </w:pPr>
            <w:r>
              <w:rPr>
                <w:sz w:val="20"/>
                <w:szCs w:val="20"/>
              </w:rPr>
              <w:t>10.254.238</w:t>
            </w:r>
          </w:p>
        </w:tc>
        <w:tc>
          <w:tcPr>
            <w:tcW w:w="240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2A1489B" w14:textId="77777777" w:rsidR="00A130A3" w:rsidRDefault="00000000" w:rsidP="006A0E10">
            <w:pPr>
              <w:jc w:val="both"/>
            </w:pPr>
            <w:r>
              <w:rPr>
                <w:sz w:val="20"/>
                <w:szCs w:val="20"/>
              </w:rPr>
              <w:t>[2,2M – 48,5M]</w:t>
            </w:r>
          </w:p>
        </w:tc>
      </w:tr>
      <w:tr w:rsidR="00A130A3" w14:paraId="22996BE7" w14:textId="77777777">
        <w:tblPrEx>
          <w:tblCellMar>
            <w:top w:w="0" w:type="dxa"/>
            <w:bottom w:w="0" w:type="dxa"/>
          </w:tblCellMar>
        </w:tblPrEx>
        <w:tc>
          <w:tcPr>
            <w:tcW w:w="14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63E1C8E" w14:textId="77777777" w:rsidR="00A130A3" w:rsidRDefault="00000000" w:rsidP="006A0E10">
            <w:pPr>
              <w:jc w:val="both"/>
            </w:pPr>
            <w:r>
              <w:rPr>
                <w:sz w:val="20"/>
                <w:szCs w:val="20"/>
              </w:rPr>
              <w:t>Jul 2026</w:t>
            </w:r>
          </w:p>
        </w:tc>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7DA4DE1" w14:textId="77777777" w:rsidR="00A130A3" w:rsidRDefault="00000000" w:rsidP="006A0E10">
            <w:pPr>
              <w:jc w:val="both"/>
            </w:pPr>
            <w:r>
              <w:rPr>
                <w:sz w:val="20"/>
                <w:szCs w:val="20"/>
              </w:rPr>
              <w:t>18.315.079</w:t>
            </w:r>
          </w:p>
        </w:tc>
        <w:tc>
          <w:tcPr>
            <w:tcW w:w="20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CEA5F7E" w14:textId="77777777" w:rsidR="00A130A3" w:rsidRDefault="00000000" w:rsidP="006A0E10">
            <w:pPr>
              <w:jc w:val="both"/>
            </w:pPr>
            <w:r>
              <w:rPr>
                <w:sz w:val="20"/>
                <w:szCs w:val="20"/>
              </w:rPr>
              <w:t>[2,2M – 155,7M]</w:t>
            </w:r>
          </w:p>
        </w:tc>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65E4BCD" w14:textId="77777777" w:rsidR="00A130A3" w:rsidRDefault="00000000" w:rsidP="006A0E10">
            <w:pPr>
              <w:jc w:val="both"/>
            </w:pPr>
            <w:r>
              <w:rPr>
                <w:sz w:val="20"/>
                <w:szCs w:val="20"/>
              </w:rPr>
              <w:t>13.665.661</w:t>
            </w:r>
          </w:p>
        </w:tc>
        <w:tc>
          <w:tcPr>
            <w:tcW w:w="240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A8EC7F3" w14:textId="77777777" w:rsidR="00A130A3" w:rsidRDefault="00000000" w:rsidP="006A0E10">
            <w:pPr>
              <w:jc w:val="both"/>
            </w:pPr>
            <w:r>
              <w:rPr>
                <w:sz w:val="20"/>
                <w:szCs w:val="20"/>
              </w:rPr>
              <w:t>[1,9M – 97,4M]</w:t>
            </w:r>
          </w:p>
        </w:tc>
      </w:tr>
      <w:tr w:rsidR="00A130A3" w14:paraId="1EE3E9C9" w14:textId="77777777">
        <w:tblPrEx>
          <w:tblCellMar>
            <w:top w:w="0" w:type="dxa"/>
            <w:bottom w:w="0" w:type="dxa"/>
          </w:tblCellMar>
        </w:tblPrEx>
        <w:tc>
          <w:tcPr>
            <w:tcW w:w="14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2CD405A" w14:textId="77777777" w:rsidR="00A130A3" w:rsidRDefault="00000000" w:rsidP="006A0E10">
            <w:pPr>
              <w:jc w:val="both"/>
            </w:pPr>
            <w:r>
              <w:rPr>
                <w:sz w:val="20"/>
                <w:szCs w:val="20"/>
              </w:rPr>
              <w:t>Oct 2026</w:t>
            </w:r>
          </w:p>
        </w:tc>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72AA8D1" w14:textId="77777777" w:rsidR="00A130A3" w:rsidRDefault="00000000" w:rsidP="006A0E10">
            <w:pPr>
              <w:jc w:val="both"/>
            </w:pPr>
            <w:r>
              <w:rPr>
                <w:sz w:val="20"/>
                <w:szCs w:val="20"/>
              </w:rPr>
              <w:t>17.709.154</w:t>
            </w:r>
          </w:p>
        </w:tc>
        <w:tc>
          <w:tcPr>
            <w:tcW w:w="20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A9B37F6" w14:textId="77777777" w:rsidR="00A130A3" w:rsidRDefault="00000000" w:rsidP="006A0E10">
            <w:pPr>
              <w:jc w:val="both"/>
            </w:pPr>
            <w:r>
              <w:rPr>
                <w:sz w:val="20"/>
                <w:szCs w:val="20"/>
              </w:rPr>
              <w:t>[1,4M – 228,3M]</w:t>
            </w:r>
          </w:p>
        </w:tc>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FBEB0A2" w14:textId="77777777" w:rsidR="00A130A3" w:rsidRDefault="00000000" w:rsidP="006A0E10">
            <w:pPr>
              <w:jc w:val="both"/>
            </w:pPr>
            <w:r>
              <w:rPr>
                <w:sz w:val="20"/>
                <w:szCs w:val="20"/>
              </w:rPr>
              <w:t>14.569.283</w:t>
            </w:r>
          </w:p>
        </w:tc>
        <w:tc>
          <w:tcPr>
            <w:tcW w:w="240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18B0FA5" w14:textId="77777777" w:rsidR="00A130A3" w:rsidRDefault="00000000" w:rsidP="006A0E10">
            <w:pPr>
              <w:jc w:val="both"/>
            </w:pPr>
            <w:r>
              <w:rPr>
                <w:sz w:val="20"/>
                <w:szCs w:val="20"/>
              </w:rPr>
              <w:t>[1,5M – 142,7M]</w:t>
            </w:r>
          </w:p>
        </w:tc>
      </w:tr>
      <w:tr w:rsidR="00A130A3" w14:paraId="4B23B600" w14:textId="77777777">
        <w:tblPrEx>
          <w:tblCellMar>
            <w:top w:w="0" w:type="dxa"/>
            <w:bottom w:w="0" w:type="dxa"/>
          </w:tblCellMar>
        </w:tblPrEx>
        <w:tc>
          <w:tcPr>
            <w:tcW w:w="14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88C8A61" w14:textId="77777777" w:rsidR="00A130A3" w:rsidRDefault="00000000" w:rsidP="006A0E10">
            <w:pPr>
              <w:jc w:val="both"/>
            </w:pPr>
            <w:r>
              <w:rPr>
                <w:sz w:val="20"/>
                <w:szCs w:val="20"/>
              </w:rPr>
              <w:t>Dic 2026</w:t>
            </w:r>
          </w:p>
        </w:tc>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2A57438" w14:textId="77777777" w:rsidR="00A130A3" w:rsidRDefault="00000000" w:rsidP="006A0E10">
            <w:pPr>
              <w:jc w:val="both"/>
            </w:pPr>
            <w:r>
              <w:rPr>
                <w:sz w:val="20"/>
                <w:szCs w:val="20"/>
              </w:rPr>
              <w:t>17.896.619</w:t>
            </w:r>
          </w:p>
        </w:tc>
        <w:tc>
          <w:tcPr>
            <w:tcW w:w="20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0685F0A" w14:textId="77777777" w:rsidR="00A130A3" w:rsidRDefault="00000000" w:rsidP="006A0E10">
            <w:pPr>
              <w:jc w:val="both"/>
            </w:pPr>
            <w:r>
              <w:rPr>
                <w:sz w:val="20"/>
                <w:szCs w:val="20"/>
              </w:rPr>
              <w:t>[1,1M – 294M]</w:t>
            </w:r>
          </w:p>
        </w:tc>
        <w:tc>
          <w:tcPr>
            <w:tcW w:w="1606"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F12BC2E" w14:textId="77777777" w:rsidR="00A130A3" w:rsidRDefault="00000000" w:rsidP="006A0E10">
            <w:pPr>
              <w:jc w:val="both"/>
            </w:pPr>
            <w:r>
              <w:rPr>
                <w:sz w:val="20"/>
                <w:szCs w:val="20"/>
              </w:rPr>
              <w:t>14.597.003</w:t>
            </w:r>
          </w:p>
        </w:tc>
        <w:tc>
          <w:tcPr>
            <w:tcW w:w="2402"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CC9F75E" w14:textId="77777777" w:rsidR="00A130A3" w:rsidRDefault="00000000" w:rsidP="006A0E10">
            <w:pPr>
              <w:jc w:val="both"/>
            </w:pPr>
            <w:r>
              <w:rPr>
                <w:sz w:val="20"/>
                <w:szCs w:val="20"/>
              </w:rPr>
              <w:t>[1,2M – 173M]</w:t>
            </w:r>
          </w:p>
        </w:tc>
      </w:tr>
    </w:tbl>
    <w:p w14:paraId="340A0A92" w14:textId="77777777" w:rsidR="00A130A3" w:rsidRDefault="00000000" w:rsidP="006A0E10">
      <w:pPr>
        <w:spacing w:before="80" w:after="200"/>
        <w:jc w:val="both"/>
      </w:pPr>
      <w:r>
        <w:rPr>
          <w:i/>
          <w:iCs/>
          <w:sz w:val="20"/>
          <w:szCs w:val="20"/>
        </w:rPr>
        <w:t>Tabla 7. Pronóstico para meses seleccionados de 2026. Los valores puntuales son coherentes con los niveles de 2025; los ICs amplios en subte reflejan la cercanía del término MA estacional al límite de invertibilidad.</w:t>
      </w:r>
    </w:p>
    <w:p w14:paraId="00446473" w14:textId="77777777" w:rsidR="00A130A3" w:rsidRDefault="00000000" w:rsidP="006A0E10">
      <w:pPr>
        <w:pStyle w:val="Heading1"/>
        <w:jc w:val="both"/>
      </w:pPr>
      <w:r>
        <w:t>7. Discusión</w:t>
      </w:r>
    </w:p>
    <w:p w14:paraId="5ACE4859" w14:textId="77777777" w:rsidR="00A130A3" w:rsidRDefault="00000000" w:rsidP="006A0E10">
      <w:pPr>
        <w:pStyle w:val="Heading2"/>
        <w:jc w:val="both"/>
      </w:pPr>
      <w:r>
        <w:t>7.1 El impacto asimétrico del COVID-19</w:t>
      </w:r>
    </w:p>
    <w:p w14:paraId="36BA5D7E" w14:textId="77777777" w:rsidR="00A130A3" w:rsidRDefault="00000000" w:rsidP="006A0E10">
      <w:pPr>
        <w:spacing w:after="160" w:line="276" w:lineRule="auto"/>
        <w:ind w:firstLine="720"/>
        <w:jc w:val="both"/>
      </w:pPr>
      <w:r>
        <w:t>La pandemia redujo la demanda del subte en un 59% versus un 32% en peajes. Esta asimetría refleja que durante el ASPO el automóvil fue el modo preferido para los desplazamientos esenciales permitidos, mientras el transporte público quedó prácticamente paralizado. Desde una perspectiva de planificación urbana, esto sugiere que subte y peajes son sustitutos imperfectos ante restricciones de movilidad, con mayor elasticidad de sustitución en crisis que en condiciones normales.</w:t>
      </w:r>
    </w:p>
    <w:p w14:paraId="26A186DD" w14:textId="77777777" w:rsidR="00A130A3" w:rsidRDefault="00000000" w:rsidP="006A0E10">
      <w:pPr>
        <w:spacing w:after="160" w:line="276" w:lineRule="auto"/>
        <w:ind w:firstLine="720"/>
        <w:jc w:val="both"/>
      </w:pPr>
      <w:r>
        <w:t>La recuperación post-COVID es también asimétrica: el subte no retornó a sus niveles previos a la pandemia al cierre del período analizado, mientras que el flujo vehicular superó los valores históricos en 2024–2025. Este cambio estructural en el patrón de movilidad genera la brecha train/test que explica los errores elevados en la evaluación out-of-sample.</w:t>
      </w:r>
    </w:p>
    <w:p w14:paraId="1DBF88D4" w14:textId="77777777" w:rsidR="00A130A3" w:rsidRDefault="00000000" w:rsidP="006A0E10">
      <w:pPr>
        <w:pStyle w:val="Heading2"/>
        <w:jc w:val="both"/>
      </w:pPr>
      <w:r>
        <w:t>7.2 Por qué el Naive supera al SARIMA-X</w:t>
      </w:r>
    </w:p>
    <w:p w14:paraId="57F0FDDD" w14:textId="77777777" w:rsidR="00A130A3" w:rsidRDefault="00000000" w:rsidP="006A0E10">
      <w:pPr>
        <w:spacing w:after="160" w:line="276" w:lineRule="auto"/>
        <w:ind w:firstLine="720"/>
        <w:jc w:val="both"/>
      </w:pPr>
      <w:r>
        <w:t>La superioridad del modelo Naive Estacional sobre el SARIMA-X en el período de test (MAPE 18,3% vs. 46,5%) no implica que sea un mejor modelo en sentido general, sino que el benchmark tiene acceso implícito a información del régimen post-COVID que el SARIMA no tiene al momento del entrenamiento.</w:t>
      </w:r>
      <w:r>
        <w:rPr>
          <w:rStyle w:val="FootnoteReference"/>
        </w:rPr>
        <w:footnoteReference w:id="9"/>
      </w:r>
      <w:r>
        <w:t xml:space="preserve"> Una comparación más justa requeriría una partición de entrenamiento más reciente, o </w:t>
      </w:r>
      <w:r>
        <w:lastRenderedPageBreak/>
        <w:t>un modelo de cambio de régimen que endogeneice el quiebre estructural (e.g., Markov-switching ARIMA).</w:t>
      </w:r>
    </w:p>
    <w:p w14:paraId="5347E0C0" w14:textId="77777777" w:rsidR="00A130A3" w:rsidRDefault="00000000" w:rsidP="006A0E10">
      <w:pPr>
        <w:pStyle w:val="Heading2"/>
        <w:jc w:val="both"/>
      </w:pPr>
      <w:r>
        <w:t>7.3 La hipótesis de la lluvia: rechazada a escala mensual</w:t>
      </w:r>
    </w:p>
    <w:p w14:paraId="0785FAF2" w14:textId="77777777" w:rsidR="00A130A3" w:rsidRDefault="00000000" w:rsidP="006A0E10">
      <w:pPr>
        <w:spacing w:after="160" w:line="276" w:lineRule="auto"/>
        <w:ind w:firstLine="720"/>
        <w:jc w:val="both"/>
      </w:pPr>
      <w:r>
        <w:t>La no-significatividad de lluvia_mm rechaza H4. Esto es consistente con la escala temporal utilizada: la precipitación mensual agrega episodios lluviosos y secos, diluyendo el efecto comportamental que la lluvia genera en la movilidad diaria. Estudios previos encuentran efectos significativos a frecuencia diaria o semanal (Guo et al., 2007), lo que sugiere que el impacto existe pero opera a granularidades más finas que las analizadas aquí.</w:t>
      </w:r>
    </w:p>
    <w:p w14:paraId="39F8DD8C" w14:textId="77777777" w:rsidR="00A130A3" w:rsidRDefault="00000000" w:rsidP="006A0E10">
      <w:pPr>
        <w:pStyle w:val="Heading2"/>
        <w:jc w:val="both"/>
      </w:pPr>
      <w:r>
        <w:t>7.4 Limitaciones del análisis</w:t>
      </w:r>
    </w:p>
    <w:p w14:paraId="1B581037" w14:textId="77777777" w:rsidR="00A130A3" w:rsidRDefault="00000000" w:rsidP="006A0E10">
      <w:pPr>
        <w:spacing w:after="160" w:line="276" w:lineRule="auto"/>
        <w:ind w:firstLine="720"/>
        <w:jc w:val="both"/>
      </w:pPr>
      <w:r>
        <w:t>Las principales limitaciones son: (i) la escala mensual diluye efectos de corto plazo (lluvia, feriados, huelgas); (ii) el quiebre estructural post-COVID genera una asimetría train/test que los modelos SARIMA estándar no capturan sin recurrir a una dummy; (iii) el término MA estacional cercano al límite de invertibilidad en subte produce intervalos de confianza muy amplios en el pronóstico de largo plazo; y (iv) la heterocedasticidad severa en peajes sugiere que un modelo GARCH sobre los residuos mejoraría la estimación de la varianza condicional.</w:t>
      </w:r>
    </w:p>
    <w:p w14:paraId="1C72C4FB" w14:textId="77777777" w:rsidR="00A130A3" w:rsidRDefault="00000000" w:rsidP="006A0E10">
      <w:pPr>
        <w:pStyle w:val="Heading1"/>
        <w:jc w:val="both"/>
      </w:pPr>
      <w:r>
        <w:t>8. Conclusiones</w:t>
      </w:r>
    </w:p>
    <w:p w14:paraId="79FB9118" w14:textId="77777777" w:rsidR="00A130A3" w:rsidRDefault="00000000" w:rsidP="006A0E10">
      <w:pPr>
        <w:spacing w:after="160" w:line="276" w:lineRule="auto"/>
        <w:ind w:firstLine="720"/>
        <w:jc w:val="both"/>
      </w:pPr>
      <w:r>
        <w:t>Este trabajo analizó la dinámica temporal de la movilidad urbana en Buenos Aires mediante modelos SARIMA-X para el período 2013–2025. Los principales hallazgos son:</w:t>
      </w:r>
    </w:p>
    <w:p w14:paraId="42FA4399" w14:textId="77777777" w:rsidR="00A130A3" w:rsidRDefault="00000000" w:rsidP="006A0E10">
      <w:pPr>
        <w:pStyle w:val="ListParagraph"/>
        <w:numPr>
          <w:ilvl w:val="0"/>
          <w:numId w:val="2"/>
        </w:numPr>
        <w:spacing w:after="80" w:line="276" w:lineRule="auto"/>
        <w:jc w:val="both"/>
      </w:pPr>
      <w:r>
        <w:t>H1 y H2 confirmadas: las series de subte y peajes son no estacionarias (ADF y KPSS confirman d = 1, D = 1, s = 12); las precipitaciones son estacionarias en niveles.</w:t>
      </w:r>
    </w:p>
    <w:p w14:paraId="1600246B" w14:textId="77777777" w:rsidR="00A130A3" w:rsidRDefault="00000000" w:rsidP="006A0E10">
      <w:pPr>
        <w:pStyle w:val="ListParagraph"/>
        <w:numPr>
          <w:ilvl w:val="0"/>
          <w:numId w:val="2"/>
        </w:numPr>
        <w:spacing w:after="80" w:line="276" w:lineRule="auto"/>
        <w:jc w:val="both"/>
      </w:pPr>
      <w:r>
        <w:t>H3 confirmada: el COVID-19 redujo la demanda del subte en un 59% y el flujo vehicular en peajes en un 32%, con asimetría que refleja la sustitución hacia el automóvil durante las restricciones.</w:t>
      </w:r>
    </w:p>
    <w:p w14:paraId="1E81DC90" w14:textId="77777777" w:rsidR="00A130A3" w:rsidRDefault="00000000" w:rsidP="006A0E10">
      <w:pPr>
        <w:pStyle w:val="ListParagraph"/>
        <w:numPr>
          <w:ilvl w:val="0"/>
          <w:numId w:val="2"/>
        </w:numPr>
        <w:spacing w:after="80" w:line="276" w:lineRule="auto"/>
        <w:jc w:val="both"/>
      </w:pPr>
      <w:r>
        <w:t>H4 rechazada: las precipitaciones no tienen efecto significativo sobre la movilidad a escala mensual. El efecto opera a frecuencias más altas.</w:t>
      </w:r>
    </w:p>
    <w:p w14:paraId="76F742EC" w14:textId="77777777" w:rsidR="00A130A3" w:rsidRDefault="00000000" w:rsidP="006A0E10">
      <w:pPr>
        <w:pStyle w:val="ListParagraph"/>
        <w:numPr>
          <w:ilvl w:val="0"/>
          <w:numId w:val="2"/>
        </w:numPr>
        <w:spacing w:after="80" w:line="276" w:lineRule="auto"/>
        <w:jc w:val="both"/>
      </w:pPr>
      <w:r>
        <w:t>H5 parcialmente confirmada: el SARIMA-X supera al SARIMA sin exógenas en subte, pero ambos son superados por el Naive Estacional en el período de test, resultado atribuible al quiebre estructural post-COVID.</w:t>
      </w:r>
    </w:p>
    <w:p w14:paraId="06CF43EF" w14:textId="77777777" w:rsidR="00A130A3" w:rsidRDefault="00000000" w:rsidP="006A0E10">
      <w:pPr>
        <w:pStyle w:val="ListParagraph"/>
        <w:numPr>
          <w:ilvl w:val="0"/>
          <w:numId w:val="2"/>
        </w:numPr>
        <w:spacing w:after="80" w:line="276" w:lineRule="auto"/>
        <w:jc w:val="both"/>
      </w:pPr>
      <w:r>
        <w:t>El pronóstico de 2026 sitúa el subte en 15–19 millones de pasajeros mensuales y los peajes en 10–15 millones de vehículos, con valores puntuales coherentes con los niveles de 2025.</w:t>
      </w:r>
    </w:p>
    <w:p w14:paraId="586DE663" w14:textId="77777777" w:rsidR="00A130A3" w:rsidRDefault="00A130A3" w:rsidP="006A0E10">
      <w:pPr>
        <w:spacing w:after="120"/>
        <w:jc w:val="both"/>
      </w:pPr>
    </w:p>
    <w:p w14:paraId="0B2C5782" w14:textId="77777777" w:rsidR="00A130A3" w:rsidRDefault="00000000" w:rsidP="006A0E10">
      <w:pPr>
        <w:spacing w:after="160" w:line="276" w:lineRule="auto"/>
        <w:ind w:firstLine="720"/>
        <w:jc w:val="both"/>
      </w:pPr>
      <w:r>
        <w:t>Para investigaciones futuras se sugiere: (i) replicar el análisis con datos semanales o diarios para capturar el efecto de la lluvia y de feriados; (ii) explorar modelos de cambio de régimen (Markov-switching ARIMA) para endogenizar el quiebre COVID; y (iii) incorporar variables socioeconómicas —precio del transporte público, costo del combustible, empleo— como regresores exógenos adicionales.</w:t>
      </w:r>
    </w:p>
    <w:p w14:paraId="3F25CD26" w14:textId="77777777" w:rsidR="00A130A3" w:rsidRDefault="00000000" w:rsidP="006A0E10">
      <w:pPr>
        <w:pStyle w:val="Heading1"/>
        <w:jc w:val="both"/>
      </w:pPr>
      <w:r>
        <w:t>Referencias</w:t>
      </w:r>
    </w:p>
    <w:p w14:paraId="283C0A1E" w14:textId="77777777" w:rsidR="00A130A3" w:rsidRDefault="00000000" w:rsidP="006A0E10">
      <w:pPr>
        <w:spacing w:after="160" w:line="276" w:lineRule="auto"/>
        <w:ind w:left="720" w:hanging="720"/>
        <w:jc w:val="both"/>
      </w:pPr>
      <w:r>
        <w:lastRenderedPageBreak/>
        <w:t xml:space="preserve">Box, G. E. P., &amp; Jenkins, G. M. (1970). </w:t>
      </w:r>
      <w:r>
        <w:rPr>
          <w:i/>
          <w:iCs/>
        </w:rPr>
        <w:t>Time series analysis: Forecasting and control</w:t>
      </w:r>
      <w:r>
        <w:t>. Holden-Day.</w:t>
      </w:r>
    </w:p>
    <w:p w14:paraId="225CD62D" w14:textId="77777777" w:rsidR="00A130A3" w:rsidRDefault="00000000" w:rsidP="006A0E10">
      <w:pPr>
        <w:spacing w:after="160" w:line="276" w:lineRule="auto"/>
        <w:ind w:left="720" w:hanging="720"/>
        <w:jc w:val="both"/>
      </w:pPr>
      <w:r>
        <w:t xml:space="preserve">Burnham, K. P., &amp; Anderson, D. R. (2002). </w:t>
      </w:r>
      <w:r>
        <w:rPr>
          <w:i/>
          <w:iCs/>
        </w:rPr>
        <w:t>Model selection and multimodel inference: A practical information-theoretic approach</w:t>
      </w:r>
      <w:r>
        <w:t xml:space="preserve"> (2nd ed.). Springer.</w:t>
      </w:r>
    </w:p>
    <w:p w14:paraId="5E913571" w14:textId="77777777" w:rsidR="00A130A3" w:rsidRDefault="00000000" w:rsidP="006A0E10">
      <w:pPr>
        <w:spacing w:after="160" w:line="276" w:lineRule="auto"/>
        <w:ind w:left="720" w:hanging="720"/>
        <w:jc w:val="both"/>
      </w:pPr>
      <w:r>
        <w:t xml:space="preserve">Guo, Z., Wilson, N. H. M., &amp; Rahbee, A. (2007). Impact of weather on transit ridership in Chicago, Illinois. </w:t>
      </w:r>
      <w:r>
        <w:rPr>
          <w:i/>
          <w:iCs/>
        </w:rPr>
        <w:t>Transportation Research Record, 2034</w:t>
      </w:r>
      <w:r>
        <w:t>(1), 3–10. https://doi.org/10.3141/2034-01</w:t>
      </w:r>
    </w:p>
    <w:p w14:paraId="03BC19A1" w14:textId="77777777" w:rsidR="00A130A3" w:rsidRDefault="00000000" w:rsidP="006A0E10">
      <w:pPr>
        <w:spacing w:after="160" w:line="276" w:lineRule="auto"/>
        <w:ind w:left="720" w:hanging="720"/>
        <w:jc w:val="both"/>
      </w:pPr>
      <w:r>
        <w:t xml:space="preserve">Hyndman, R. J., &amp; Athanasopoulos, G. (2021). </w:t>
      </w:r>
      <w:r>
        <w:rPr>
          <w:i/>
          <w:iCs/>
        </w:rPr>
        <w:t>Forecasting: Principles and practice</w:t>
      </w:r>
      <w:r>
        <w:t xml:space="preserve"> (3rd ed.). OTexts. https://otexts.com/fpp3/</w:t>
      </w:r>
    </w:p>
    <w:p w14:paraId="622FE657" w14:textId="77777777" w:rsidR="00A130A3" w:rsidRDefault="00000000" w:rsidP="006A0E10">
      <w:pPr>
        <w:spacing w:after="160" w:line="276" w:lineRule="auto"/>
        <w:ind w:left="720" w:hanging="720"/>
        <w:jc w:val="both"/>
      </w:pPr>
      <w:r>
        <w:t xml:space="preserve">Peña, D. (2010). </w:t>
      </w:r>
      <w:r>
        <w:rPr>
          <w:i/>
          <w:iCs/>
        </w:rPr>
        <w:t>Análisis de series temporales</w:t>
      </w:r>
      <w:r>
        <w:t>. Alianza Editorial.</w:t>
      </w:r>
    </w:p>
    <w:p w14:paraId="62A481ED" w14:textId="77777777" w:rsidR="00A130A3" w:rsidRDefault="00000000" w:rsidP="006A0E10">
      <w:pPr>
        <w:spacing w:after="160" w:line="276" w:lineRule="auto"/>
        <w:ind w:left="720" w:hanging="720"/>
        <w:jc w:val="both"/>
      </w:pPr>
      <w:r>
        <w:t xml:space="preserve">Seabold, S., &amp; Perktold, J. (2010). Statsmodels: Econometric and statistical modeling with Python. </w:t>
      </w:r>
      <w:r>
        <w:rPr>
          <w:i/>
          <w:iCs/>
        </w:rPr>
        <w:t>Proceedings of the 9th Python in Science Conference</w:t>
      </w:r>
      <w:r>
        <w:t>, 57–61. https://doi.org/10.25080/Majora-92bf1922-011</w:t>
      </w:r>
    </w:p>
    <w:p w14:paraId="5C1957A2" w14:textId="77777777" w:rsidR="00A130A3" w:rsidRDefault="00000000" w:rsidP="006A0E10">
      <w:pPr>
        <w:spacing w:after="160" w:line="276" w:lineRule="auto"/>
        <w:ind w:left="720" w:hanging="720"/>
        <w:jc w:val="both"/>
      </w:pPr>
      <w:r>
        <w:t xml:space="preserve">Tashman, L. J. (2000). Out-of-sample tests of forecasting accuracy: An analysis and review. </w:t>
      </w:r>
      <w:r>
        <w:rPr>
          <w:i/>
          <w:iCs/>
        </w:rPr>
        <w:t>International Journal of Forecasting, 16</w:t>
      </w:r>
      <w:r>
        <w:t>(4), 437–450. https://doi.org/10.1016/S0169-2070(00)00065-0</w:t>
      </w:r>
    </w:p>
    <w:sectPr w:rsidR="00A130A3" w:rsidSect="0000395C">
      <w:headerReference w:type="default" r:id="rId7"/>
      <w:footerReference w:type="default" r:id="rId8"/>
      <w:pgSz w:w="11906" w:h="16838"/>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313DF" w14:textId="77777777" w:rsidR="002125F3" w:rsidRDefault="002125F3">
      <w:r>
        <w:separator/>
      </w:r>
    </w:p>
  </w:endnote>
  <w:endnote w:type="continuationSeparator" w:id="0">
    <w:p w14:paraId="2CF15E32" w14:textId="77777777" w:rsidR="002125F3" w:rsidRDefault="002125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F56AD" w14:textId="77777777" w:rsidR="00A130A3" w:rsidRDefault="00000000">
    <w:pPr>
      <w:pBdr>
        <w:top w:val="single" w:sz="4" w:space="1" w:color="AAAAAA"/>
      </w:pBdr>
      <w:jc w:val="center"/>
    </w:pPr>
    <w:r>
      <w:rPr>
        <w:color w:val="666666"/>
        <w:sz w:val="18"/>
        <w:szCs w:val="18"/>
      </w:rPr>
      <w:t xml:space="preserve">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00395C">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BB0F2" w14:textId="77777777" w:rsidR="002125F3" w:rsidRDefault="002125F3">
      <w:r>
        <w:separator/>
      </w:r>
    </w:p>
  </w:footnote>
  <w:footnote w:type="continuationSeparator" w:id="0">
    <w:p w14:paraId="3E3D96CD" w14:textId="77777777" w:rsidR="002125F3" w:rsidRDefault="002125F3">
      <w:r>
        <w:continuationSeparator/>
      </w:r>
    </w:p>
  </w:footnote>
  <w:footnote w:id="1">
    <w:p w14:paraId="4682C257" w14:textId="77777777" w:rsidR="00A130A3" w:rsidRDefault="00000000">
      <w:r>
        <w:rPr>
          <w:rStyle w:val="FootnoteReference"/>
        </w:rPr>
        <w:footnoteRef/>
      </w:r>
      <w:r>
        <w:rPr>
          <w:sz w:val="18"/>
          <w:szCs w:val="18"/>
        </w:rPr>
        <w:t>El AIC penaliza la complejidad con 2k, donde k es el número de parámetros. El BIC penaliza con k·ln(n), siendo más severo con muestras grandes. Cuando ambos criterios coinciden en el modelo ganador, la elección es robusta a la elección del criterio (Burnham &amp; Anderson, 2002).</w:t>
      </w:r>
    </w:p>
  </w:footnote>
  <w:footnote w:id="2">
    <w:p w14:paraId="21666CF5" w14:textId="77777777" w:rsidR="00A130A3" w:rsidRDefault="00000000">
      <w:r>
        <w:rPr>
          <w:rStyle w:val="FootnoteReference"/>
        </w:rPr>
        <w:footnoteRef/>
      </w:r>
      <w:r>
        <w:rPr>
          <w:sz w:val="18"/>
          <w:szCs w:val="18"/>
        </w:rPr>
        <w:t>El portal GCBA/AUSA distribuye el archivo de 2025 con extensión .zip pero formato RAR interno (magic bytes Rar!\x1a\x07). La detección se realizó por inspección de los primeros bytes del contenido descargado, no por la extensión del archivo.</w:t>
      </w:r>
    </w:p>
  </w:footnote>
  <w:footnote w:id="3">
    <w:p w14:paraId="716EB550" w14:textId="77777777" w:rsidR="00A130A3" w:rsidRDefault="00000000">
      <w:r>
        <w:rPr>
          <w:rStyle w:val="FootnoteReference"/>
        </w:rPr>
        <w:footnoteRef/>
      </w:r>
      <w:r>
        <w:rPr>
          <w:sz w:val="18"/>
          <w:szCs w:val="18"/>
        </w:rPr>
        <w:t>La transformación logarítmica se eligió frente a otras alternativas (cambio de ventana de entrenamiento, dummy de recuperación post-COVID) por su capacidad de estabilizar la varianza y convertir el quiebre multiplicativo en uno aditivo, tratado luego con la dummy COVID. Véase Hyndman y Athanasopoulos (2021, cap. 3).</w:t>
      </w:r>
    </w:p>
  </w:footnote>
  <w:footnote w:id="4">
    <w:p w14:paraId="3F2EB4C0" w14:textId="77777777" w:rsidR="00A130A3" w:rsidRDefault="00000000">
      <w:r>
        <w:rPr>
          <w:rStyle w:val="FootnoteReference"/>
        </w:rPr>
        <w:footnoteRef/>
      </w:r>
      <w:r>
        <w:rPr>
          <w:sz w:val="18"/>
          <w:szCs w:val="18"/>
        </w:rPr>
        <w:t>Las pruebas ADF se realizaron con selección automática del número de rezagos por criterio AIC (autolag='AIC'). Las pruebas KPSS se realizaron bajo la hipótesis de nivel constante (regression='c'). Ambas se implementaron con el paquete statsmodels (Seabold &amp; Perktold, 2010).</w:t>
      </w:r>
    </w:p>
  </w:footnote>
  <w:footnote w:id="5">
    <w:p w14:paraId="7DD8F8CC" w14:textId="77777777" w:rsidR="00A130A3" w:rsidRDefault="00000000">
      <w:r>
        <w:rPr>
          <w:rStyle w:val="FootnoteReference"/>
        </w:rPr>
        <w:footnoteRef/>
      </w:r>
      <w:r>
        <w:rPr>
          <w:sz w:val="18"/>
          <w:szCs w:val="18"/>
        </w:rPr>
        <w:t>El Rolling Forecast Origin con ventana expandida difiere del backtesting con ventana fija (sliding window): en la ventana expandida el conjunto de entrenamiento crece en cada paso, incorporando la historia completa disponible. Ver Tashman (2000) para una discusión sobre estrategias de evaluación out-of-sample.</w:t>
      </w:r>
    </w:p>
  </w:footnote>
  <w:footnote w:id="6">
    <w:p w14:paraId="07CD9C27" w14:textId="77777777" w:rsidR="00A130A3" w:rsidRDefault="00000000">
      <w:r>
        <w:rPr>
          <w:rStyle w:val="FootnoteReference"/>
        </w:rPr>
        <w:footnoteRef/>
      </w:r>
      <w:r>
        <w:rPr>
          <w:sz w:val="18"/>
          <w:szCs w:val="18"/>
        </w:rPr>
        <w:t>La superioridad del Naive Estacional en el período de test no implica que sea preferible para la planificación: su intervalo de confianza efectivo es el rango observado en el año anterior, lo que no cuantifica la incertidumbre de forma probabilística. El SARIMA-X provee intervalos formalmente derivados del modelo estocástico.</w:t>
      </w:r>
    </w:p>
  </w:footnote>
  <w:footnote w:id="7">
    <w:p w14:paraId="75EC492D" w14:textId="77777777" w:rsidR="00A130A3" w:rsidRDefault="00000000">
      <w:r>
        <w:rPr>
          <w:rStyle w:val="FootnoteReference"/>
        </w:rPr>
        <w:footnoteRef/>
      </w:r>
      <w:r>
        <w:rPr>
          <w:sz w:val="18"/>
          <w:szCs w:val="18"/>
        </w:rPr>
        <w:t>La restricción enforce_invertibility=True fue necesaria porque el modelo irrestricto converge a ma.S.L12 ≈ −1.0002, estrictamente fuera del espacio de invertibilidad, produciendo una matriz de covarianza singular (std err = 325) e intervalos de confianza no finitos en el pronóstico.</w:t>
      </w:r>
    </w:p>
  </w:footnote>
  <w:footnote w:id="8">
    <w:p w14:paraId="04C0285B" w14:textId="77777777" w:rsidR="00A130A3" w:rsidRDefault="00000000">
      <w:r>
        <w:rPr>
          <w:rStyle w:val="FootnoteReference"/>
        </w:rPr>
        <w:footnoteRef/>
      </w:r>
      <w:r>
        <w:rPr>
          <w:sz w:val="18"/>
          <w:szCs w:val="18"/>
        </w:rPr>
        <w:t>La kurtosis de 12.6 (subte) y 8.98 (peajes) indica distribuciones leptocúrticas con colas pesadas. En presencia de outliers COVID, el test de Jarque-Bera rechazará normalidad casi con certeza, por lo que su rechazo no invalida el modelo sino que señala la presencia de observaciones atípicas identificables.</w:t>
      </w:r>
    </w:p>
  </w:footnote>
  <w:footnote w:id="9">
    <w:p w14:paraId="5AD8D8D7" w14:textId="77777777" w:rsidR="0000395C" w:rsidRDefault="0000395C"/>
    <w:p w14:paraId="4C038945" w14:textId="77777777" w:rsidR="00000000" w:rsidRDefault="0000000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070A0" w14:textId="77777777" w:rsidR="00A130A3" w:rsidRDefault="00000000">
    <w:pPr>
      <w:pBdr>
        <w:bottom w:val="single" w:sz="4" w:space="1" w:color="AAAAAA"/>
      </w:pBdr>
      <w:spacing w:after="120"/>
      <w:jc w:val="right"/>
    </w:pPr>
    <w:r>
      <w:rPr>
        <w:color w:val="666666"/>
        <w:sz w:val="18"/>
        <w:szCs w:val="18"/>
      </w:rPr>
      <w:t>Movilidad Urbana en Buenos Aires — Análisis de Series Temporales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B81DE7"/>
    <w:multiLevelType w:val="hybridMultilevel"/>
    <w:tmpl w:val="A2A041AE"/>
    <w:lvl w:ilvl="0" w:tplc="0F0808AA">
      <w:start w:val="1"/>
      <w:numFmt w:val="bullet"/>
      <w:lvlText w:val="•"/>
      <w:lvlJc w:val="left"/>
      <w:pPr>
        <w:ind w:left="720" w:hanging="360"/>
      </w:pPr>
    </w:lvl>
    <w:lvl w:ilvl="1" w:tplc="B2608DEE">
      <w:start w:val="1"/>
      <w:numFmt w:val="bullet"/>
      <w:lvlText w:val="◦"/>
      <w:lvlJc w:val="left"/>
      <w:pPr>
        <w:ind w:left="1080" w:hanging="360"/>
      </w:pPr>
    </w:lvl>
    <w:lvl w:ilvl="2" w:tplc="7B444CB8">
      <w:numFmt w:val="decimal"/>
      <w:lvlText w:val=""/>
      <w:lvlJc w:val="left"/>
    </w:lvl>
    <w:lvl w:ilvl="3" w:tplc="C16489E4">
      <w:numFmt w:val="decimal"/>
      <w:lvlText w:val=""/>
      <w:lvlJc w:val="left"/>
    </w:lvl>
    <w:lvl w:ilvl="4" w:tplc="96B41CF4">
      <w:numFmt w:val="decimal"/>
      <w:lvlText w:val=""/>
      <w:lvlJc w:val="left"/>
    </w:lvl>
    <w:lvl w:ilvl="5" w:tplc="3E8AADF0">
      <w:numFmt w:val="decimal"/>
      <w:lvlText w:val=""/>
      <w:lvlJc w:val="left"/>
    </w:lvl>
    <w:lvl w:ilvl="6" w:tplc="48208270">
      <w:numFmt w:val="decimal"/>
      <w:lvlText w:val=""/>
      <w:lvlJc w:val="left"/>
    </w:lvl>
    <w:lvl w:ilvl="7" w:tplc="749AAE86">
      <w:numFmt w:val="decimal"/>
      <w:lvlText w:val=""/>
      <w:lvlJc w:val="left"/>
    </w:lvl>
    <w:lvl w:ilvl="8" w:tplc="BF780CA0">
      <w:numFmt w:val="decimal"/>
      <w:lvlText w:val=""/>
      <w:lvlJc w:val="left"/>
    </w:lvl>
  </w:abstractNum>
  <w:abstractNum w:abstractNumId="1" w15:restartNumberingAfterBreak="0">
    <w:nsid w:val="7AEE5FEF"/>
    <w:multiLevelType w:val="hybridMultilevel"/>
    <w:tmpl w:val="3452A41E"/>
    <w:lvl w:ilvl="0" w:tplc="7BEED742">
      <w:start w:val="1"/>
      <w:numFmt w:val="bullet"/>
      <w:lvlText w:val="●"/>
      <w:lvlJc w:val="left"/>
      <w:pPr>
        <w:ind w:left="720" w:hanging="360"/>
      </w:pPr>
    </w:lvl>
    <w:lvl w:ilvl="1" w:tplc="93F0C5C2">
      <w:start w:val="1"/>
      <w:numFmt w:val="bullet"/>
      <w:lvlText w:val="○"/>
      <w:lvlJc w:val="left"/>
      <w:pPr>
        <w:ind w:left="1440" w:hanging="360"/>
      </w:pPr>
    </w:lvl>
    <w:lvl w:ilvl="2" w:tplc="36CCA0C6">
      <w:start w:val="1"/>
      <w:numFmt w:val="bullet"/>
      <w:lvlText w:val="■"/>
      <w:lvlJc w:val="left"/>
      <w:pPr>
        <w:ind w:left="2160" w:hanging="360"/>
      </w:pPr>
    </w:lvl>
    <w:lvl w:ilvl="3" w:tplc="7C5662C4">
      <w:start w:val="1"/>
      <w:numFmt w:val="bullet"/>
      <w:lvlText w:val="●"/>
      <w:lvlJc w:val="left"/>
      <w:pPr>
        <w:ind w:left="2880" w:hanging="360"/>
      </w:pPr>
    </w:lvl>
    <w:lvl w:ilvl="4" w:tplc="4DF2B7EE">
      <w:start w:val="1"/>
      <w:numFmt w:val="bullet"/>
      <w:lvlText w:val="○"/>
      <w:lvlJc w:val="left"/>
      <w:pPr>
        <w:ind w:left="3600" w:hanging="360"/>
      </w:pPr>
    </w:lvl>
    <w:lvl w:ilvl="5" w:tplc="AEB6112A">
      <w:start w:val="1"/>
      <w:numFmt w:val="bullet"/>
      <w:lvlText w:val="■"/>
      <w:lvlJc w:val="left"/>
      <w:pPr>
        <w:ind w:left="4320" w:hanging="360"/>
      </w:pPr>
    </w:lvl>
    <w:lvl w:ilvl="6" w:tplc="EE526182">
      <w:start w:val="1"/>
      <w:numFmt w:val="bullet"/>
      <w:lvlText w:val="●"/>
      <w:lvlJc w:val="left"/>
      <w:pPr>
        <w:ind w:left="5040" w:hanging="360"/>
      </w:pPr>
    </w:lvl>
    <w:lvl w:ilvl="7" w:tplc="5560B068">
      <w:start w:val="1"/>
      <w:numFmt w:val="bullet"/>
      <w:lvlText w:val="●"/>
      <w:lvlJc w:val="left"/>
      <w:pPr>
        <w:ind w:left="5760" w:hanging="360"/>
      </w:pPr>
    </w:lvl>
    <w:lvl w:ilvl="8" w:tplc="0960298E">
      <w:start w:val="1"/>
      <w:numFmt w:val="bullet"/>
      <w:lvlText w:val="●"/>
      <w:lvlJc w:val="left"/>
      <w:pPr>
        <w:ind w:left="6480" w:hanging="360"/>
      </w:pPr>
    </w:lvl>
  </w:abstractNum>
  <w:num w:numId="1" w16cid:durableId="560483991">
    <w:abstractNumId w:val="1"/>
    <w:lvlOverride w:ilvl="0">
      <w:startOverride w:val="1"/>
    </w:lvlOverride>
  </w:num>
  <w:num w:numId="2" w16cid:durableId="17215153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30A3"/>
    <w:rsid w:val="0000395C"/>
    <w:rsid w:val="000219A9"/>
    <w:rsid w:val="002125F3"/>
    <w:rsid w:val="006A0E10"/>
    <w:rsid w:val="00740165"/>
    <w:rsid w:val="00A130A3"/>
  </w:rsids>
  <m:mathPr>
    <m:mathFont m:val="Cambria Math"/>
    <m:brkBin m:val="before"/>
    <m:brkBinSub m:val="--"/>
    <m:smallFrac m:val="0"/>
    <m:dispDef/>
    <m:lMargin m:val="0"/>
    <m:rMargin m:val="0"/>
    <m:defJc m:val="centerGroup"/>
    <m:wrapIndent m:val="1440"/>
    <m:intLim m:val="subSup"/>
    <m:naryLim m:val="undOvr"/>
  </m:mathPr>
  <w:themeFontLang w:val="en-AR"/>
  <w:clrSchemeMapping w:bg1="light1" w:t1="dark1" w:bg2="light2" w:t2="dark2" w:accent1="accent1" w:accent2="accent2" w:accent3="accent3" w:accent4="accent4" w:accent5="accent5" w:accent6="accent6" w:hyperlink="hyperlink" w:followedHyperlink="followedHyperlink"/>
  <w:decimalSymbol w:val="."/>
  <w:listSeparator w:val=","/>
  <w14:docId w14:val="02CB2B82"/>
  <w15:docId w15:val="{2CBAA21E-EA02-3B42-8F7E-701ABE070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A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5496"/>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12</Pages>
  <Words>3440</Words>
  <Characters>19614</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Giuliana Alvaro</cp:lastModifiedBy>
  <cp:revision>2</cp:revision>
  <dcterms:created xsi:type="dcterms:W3CDTF">2026-04-17T22:31:00Z</dcterms:created>
  <dcterms:modified xsi:type="dcterms:W3CDTF">2026-04-17T23:46:00Z</dcterms:modified>
</cp:coreProperties>
</file>