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CONTRAT DE PRÊT « COUP DE POUCE »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(Décret wallon du 28/04/2016)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20"/>
          <w:szCs w:val="20"/>
        </w:rPr>
      </w:pPr>
      <w:r>
        <w:rPr>
          <w:rFonts w:ascii="NimbusSanL-ReguItal" w:hAnsi="NimbusSanL-ReguItal" w:cs="NimbusSanL-ReguItal"/>
          <w:sz w:val="20"/>
          <w:szCs w:val="20"/>
        </w:rPr>
        <w:t>Le présent contrat constitue le modèle établi en vertu du décret wallon du 28/04/2016 et de l’arrêté du gouvernement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20"/>
          <w:szCs w:val="20"/>
        </w:rPr>
      </w:pPr>
      <w:r>
        <w:rPr>
          <w:rFonts w:ascii="NimbusSanL-ReguItal" w:hAnsi="NimbusSanL-ReguItal" w:cs="NimbusSanL-ReguItal"/>
          <w:sz w:val="20"/>
          <w:szCs w:val="20"/>
        </w:rPr>
        <w:t>wallon du 22/09/2016.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20"/>
          <w:szCs w:val="20"/>
        </w:rPr>
      </w:pPr>
      <w:r>
        <w:rPr>
          <w:rFonts w:ascii="NimbusSanL-ReguItal" w:hAnsi="NimbusSanL-ReguItal" w:cs="NimbusSanL-ReguItal"/>
          <w:sz w:val="20"/>
          <w:szCs w:val="20"/>
        </w:rPr>
        <w:t>Aux fins de l’octroi de la mesure fiscale visée par ledit décret, les parties ne sont pas autorisées à y apporter de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20"/>
          <w:szCs w:val="20"/>
        </w:rPr>
      </w:pPr>
      <w:r>
        <w:rPr>
          <w:rFonts w:ascii="NimbusSanL-ReguItal" w:hAnsi="NimbusSanL-ReguItal" w:cs="NimbusSanL-ReguItal"/>
          <w:sz w:val="20"/>
          <w:szCs w:val="20"/>
        </w:rPr>
        <w:t>modification, ni à employer un autre modèle.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ENTRE, D’UNE PART :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Le prêteur</w:t>
      </w:r>
      <w:r>
        <w:rPr>
          <w:rFonts w:ascii="NimbusSanL-Regu" w:hAnsi="NimbusSanL-Regu" w:cs="NimbusSanL-Regu"/>
          <w:sz w:val="17"/>
          <w:szCs w:val="17"/>
        </w:rPr>
        <w:t xml:space="preserve">1 </w:t>
      </w:r>
      <w:r>
        <w:rPr>
          <w:rFonts w:ascii="NimbusSanL-Regu" w:hAnsi="NimbusSanL-Regu" w:cs="NimbusSanL-Regu"/>
          <w:sz w:val="20"/>
          <w:szCs w:val="20"/>
        </w:rPr>
        <w:t xml:space="preserve">: </w:t>
      </w:r>
      <w:r>
        <w:rPr>
          <w:rFonts w:ascii="NimbusSanL-Bold" w:hAnsi="NimbusSanL-Bold" w:cs="NimbusSanL-Bold"/>
          <w:b/>
          <w:bCs/>
          <w:sz w:val="20"/>
          <w:szCs w:val="20"/>
        </w:rPr>
        <w:t>Nicolas BUTACIDE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Rue du Tergnia 27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5060 Tamines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850324-101-15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nicolas.butacide@gmail.com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8"/>
          <w:szCs w:val="18"/>
        </w:rPr>
      </w:pPr>
      <w:r>
        <w:rPr>
          <w:rFonts w:ascii="NimbusSanL-ReguItal" w:hAnsi="NimbusSanL-ReguItal" w:cs="NimbusSanL-ReguItal"/>
          <w:sz w:val="18"/>
          <w:szCs w:val="18"/>
        </w:rPr>
        <w:t>[pour un prêteur : nom, prénom, rue et numéro, code postal et commune, numéro du registre national, adresse e-mail]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 xml:space="preserve">ci-après dénommé « </w:t>
      </w:r>
      <w:r>
        <w:rPr>
          <w:rFonts w:ascii="NimbusSanL-ReguItal" w:hAnsi="NimbusSanL-ReguItal" w:cs="NimbusSanL-ReguItal"/>
          <w:sz w:val="20"/>
          <w:szCs w:val="20"/>
        </w:rPr>
        <w:t xml:space="preserve">le Prêteur </w:t>
      </w:r>
      <w:r>
        <w:rPr>
          <w:rFonts w:ascii="NimbusSanL-Regu" w:hAnsi="NimbusSanL-Regu" w:cs="NimbusSanL-Regu"/>
          <w:sz w:val="20"/>
          <w:szCs w:val="20"/>
        </w:rPr>
        <w:t>»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ET, D’AUTRE PART :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L’emprunteur</w:t>
      </w:r>
      <w:r>
        <w:rPr>
          <w:rFonts w:ascii="NimbusSanL-Regu" w:hAnsi="NimbusSanL-Regu" w:cs="NimbusSanL-Regu"/>
          <w:sz w:val="17"/>
          <w:szCs w:val="17"/>
        </w:rPr>
        <w:t xml:space="preserve">2 </w:t>
      </w:r>
      <w:r>
        <w:rPr>
          <w:rFonts w:ascii="NimbusSanL-Regu" w:hAnsi="NimbusSanL-Regu" w:cs="NimbusSanL-Regu"/>
          <w:sz w:val="20"/>
          <w:szCs w:val="20"/>
        </w:rPr>
        <w:t xml:space="preserve">: </w:t>
      </w:r>
      <w:r>
        <w:rPr>
          <w:rFonts w:ascii="NimbusSanL-Bold" w:hAnsi="NimbusSanL-Bold" w:cs="NimbusSanL-Bold"/>
          <w:b/>
          <w:bCs/>
          <w:sz w:val="20"/>
          <w:szCs w:val="20"/>
        </w:rPr>
        <w:t>BSD SPRL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 xml:space="preserve">Siège d'exploitation : </w:t>
      </w:r>
      <w:r>
        <w:rPr>
          <w:rFonts w:ascii="NimbusSanL-Bold" w:hAnsi="NimbusSanL-Bold" w:cs="NimbusSanL-Bold"/>
          <w:b/>
          <w:bCs/>
          <w:sz w:val="20"/>
          <w:szCs w:val="20"/>
        </w:rPr>
        <w:t xml:space="preserve">rue du </w:t>
      </w:r>
      <w:proofErr w:type="spellStart"/>
      <w:r>
        <w:rPr>
          <w:rFonts w:ascii="NimbusSanL-Bold" w:hAnsi="NimbusSanL-Bold" w:cs="NimbusSanL-Bold"/>
          <w:b/>
          <w:bCs/>
          <w:sz w:val="20"/>
          <w:szCs w:val="20"/>
        </w:rPr>
        <w:t>tergnia</w:t>
      </w:r>
      <w:proofErr w:type="spellEnd"/>
      <w:r>
        <w:rPr>
          <w:rFonts w:ascii="NimbusSanL-Bold" w:hAnsi="NimbusSanL-Bold" w:cs="NimbusSanL-Bold"/>
          <w:b/>
          <w:bCs/>
          <w:sz w:val="20"/>
          <w:szCs w:val="20"/>
        </w:rPr>
        <w:t xml:space="preserve"> 27, 5060 SAMBREVILLE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 xml:space="preserve">Siège social : </w:t>
      </w:r>
      <w:r>
        <w:rPr>
          <w:rFonts w:ascii="NimbusSanL-Bold" w:hAnsi="NimbusSanL-Bold" w:cs="NimbusSanL-Bold"/>
          <w:b/>
          <w:bCs/>
          <w:sz w:val="20"/>
          <w:szCs w:val="20"/>
        </w:rPr>
        <w:t>identique au siège d’exploitation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butagazzz@hotmail.com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 xml:space="preserve">Numéro d'inscription à la Banque Carrefour des Entreprises : </w:t>
      </w:r>
      <w:r>
        <w:rPr>
          <w:rFonts w:ascii="NimbusSanL-Bold" w:hAnsi="NimbusSanL-Bold" w:cs="NimbusSanL-Bold"/>
          <w:b/>
          <w:bCs/>
          <w:sz w:val="20"/>
          <w:szCs w:val="20"/>
        </w:rPr>
        <w:t>BE810.173.494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NICOLAS BUTACIDE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GERANT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RUEDU TERGNIA 27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5060 SAMBREVILLE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840112-114-70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8"/>
          <w:szCs w:val="18"/>
        </w:rPr>
      </w:pPr>
      <w:r>
        <w:rPr>
          <w:rFonts w:ascii="NimbusSanL-ReguItal" w:hAnsi="NimbusSanL-ReguItal" w:cs="NimbusSanL-ReguItal"/>
          <w:sz w:val="18"/>
          <w:szCs w:val="18"/>
        </w:rPr>
        <w:t>[pour un emprunteur qui est un indépendant : nom, prénom, rue et numéro, code postal et commune, numéro du registre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8"/>
          <w:szCs w:val="18"/>
        </w:rPr>
      </w:pPr>
      <w:r>
        <w:rPr>
          <w:rFonts w:ascii="NimbusSanL-ReguItal" w:hAnsi="NimbusSanL-ReguItal" w:cs="NimbusSanL-ReguItal"/>
          <w:sz w:val="18"/>
          <w:szCs w:val="18"/>
        </w:rPr>
        <w:t>national, adresse e-mail, l'adresse du siège d'exploitation en Wallonie et le numéro d'inscription à la Banque Carrefour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8"/>
          <w:szCs w:val="18"/>
        </w:rPr>
      </w:pPr>
      <w:r>
        <w:rPr>
          <w:rFonts w:ascii="NimbusSanL-ReguItal" w:hAnsi="NimbusSanL-ReguItal" w:cs="NimbusSanL-ReguItal"/>
          <w:sz w:val="18"/>
          <w:szCs w:val="18"/>
        </w:rPr>
        <w:t>des Entreprises]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8"/>
          <w:szCs w:val="18"/>
        </w:rPr>
      </w:pPr>
      <w:r>
        <w:rPr>
          <w:rFonts w:ascii="NimbusSanL-ReguItal" w:hAnsi="NimbusSanL-ReguItal" w:cs="NimbusSanL-ReguItal"/>
          <w:sz w:val="18"/>
          <w:szCs w:val="18"/>
        </w:rPr>
        <w:t>[pour un emprunteur qui est une personne morale : nom de la personne morale, forme juridique et adresses du siège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8"/>
          <w:szCs w:val="18"/>
        </w:rPr>
      </w:pPr>
      <w:r>
        <w:rPr>
          <w:rFonts w:ascii="NimbusSanL-ReguItal" w:hAnsi="NimbusSanL-ReguItal" w:cs="NimbusSanL-ReguItal"/>
          <w:sz w:val="18"/>
          <w:szCs w:val="18"/>
        </w:rPr>
        <w:t>social et du siège d'exploitation en Wallonie, adresse e-mail, numéro d'inscription à la Banque Carrefour des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8"/>
          <w:szCs w:val="18"/>
        </w:rPr>
      </w:pPr>
      <w:r>
        <w:rPr>
          <w:rFonts w:ascii="NimbusSanL-ReguItal" w:hAnsi="NimbusSanL-ReguItal" w:cs="NimbusSanL-ReguItal"/>
          <w:sz w:val="18"/>
          <w:szCs w:val="18"/>
        </w:rPr>
        <w:t>Entreprises, suivi du nom, prénom, rue et numéro, code postal et commune, numéro du registre national et de la qualité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5"/>
          <w:szCs w:val="15"/>
        </w:rPr>
      </w:pPr>
      <w:r>
        <w:rPr>
          <w:rFonts w:ascii="NimbusSanL-ReguItal" w:hAnsi="NimbusSanL-ReguItal" w:cs="NimbusSanL-ReguItal"/>
          <w:sz w:val="18"/>
          <w:szCs w:val="18"/>
        </w:rPr>
        <w:t>des personnes représentant la personne morale lors de la conclusion du prêt « coup de pouce ».]</w:t>
      </w:r>
      <w:r>
        <w:rPr>
          <w:rFonts w:ascii="NimbusSanL-ReguItal" w:hAnsi="NimbusSanL-ReguItal" w:cs="NimbusSanL-ReguItal"/>
          <w:sz w:val="15"/>
          <w:szCs w:val="15"/>
        </w:rPr>
        <w:t>3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 xml:space="preserve">ci-après dénommé « </w:t>
      </w:r>
      <w:r>
        <w:rPr>
          <w:rFonts w:ascii="NimbusSanL-ReguItal" w:hAnsi="NimbusSanL-ReguItal" w:cs="NimbusSanL-ReguItal"/>
          <w:sz w:val="20"/>
          <w:szCs w:val="20"/>
        </w:rPr>
        <w:t xml:space="preserve">l’Emprunteur </w:t>
      </w:r>
      <w:r>
        <w:rPr>
          <w:rFonts w:ascii="NimbusSanL-Regu" w:hAnsi="NimbusSanL-Regu" w:cs="NimbusSanL-Regu"/>
          <w:sz w:val="20"/>
          <w:szCs w:val="20"/>
        </w:rPr>
        <w:t>»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 xml:space="preserve">Désignées ensemble, « </w:t>
      </w:r>
      <w:r>
        <w:rPr>
          <w:rFonts w:ascii="NimbusSanL-ReguItal" w:hAnsi="NimbusSanL-ReguItal" w:cs="NimbusSanL-ReguItal"/>
          <w:sz w:val="20"/>
          <w:szCs w:val="20"/>
        </w:rPr>
        <w:t xml:space="preserve">les Parties </w:t>
      </w:r>
      <w:r>
        <w:rPr>
          <w:rFonts w:ascii="NimbusSanL-Regu" w:hAnsi="NimbusSanL-Regu" w:cs="NimbusSanL-Regu"/>
          <w:sz w:val="20"/>
          <w:szCs w:val="20"/>
        </w:rPr>
        <w:t xml:space="preserve">» et individuellement « </w:t>
      </w:r>
      <w:r>
        <w:rPr>
          <w:rFonts w:ascii="NimbusSanL-ReguItal" w:hAnsi="NimbusSanL-ReguItal" w:cs="NimbusSanL-ReguItal"/>
          <w:sz w:val="20"/>
          <w:szCs w:val="20"/>
        </w:rPr>
        <w:t xml:space="preserve">la Partie </w:t>
      </w:r>
      <w:r>
        <w:rPr>
          <w:rFonts w:ascii="NimbusSanL-Regu" w:hAnsi="NimbusSanL-Regu" w:cs="NimbusSanL-Regu"/>
          <w:sz w:val="20"/>
          <w:szCs w:val="20"/>
        </w:rPr>
        <w:t>» ;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Page 1 sur 5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IL EST CONCLU UN CONTRAT DE PRÊT ASSORTI DES CONDITIONS SUIVANTES :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Article 1</w:t>
      </w:r>
      <w:r>
        <w:rPr>
          <w:rFonts w:ascii="NimbusSanL-Regu" w:hAnsi="NimbusSanL-Regu" w:cs="NimbusSanL-Regu"/>
          <w:sz w:val="17"/>
          <w:szCs w:val="17"/>
        </w:rPr>
        <w:t xml:space="preserve">er </w:t>
      </w:r>
      <w:r>
        <w:rPr>
          <w:rFonts w:ascii="NimbusSanL-Regu" w:hAnsi="NimbusSanL-Regu" w:cs="NimbusSanL-Regu"/>
          <w:sz w:val="20"/>
          <w:szCs w:val="20"/>
        </w:rPr>
        <w:t>– Objet du contrat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 xml:space="preserve">Le Prêteur accorde à l'Emprunteur, qui accepte, un prêt, d’un montant en principal de </w:t>
      </w:r>
      <w:r>
        <w:rPr>
          <w:rFonts w:ascii="NimbusSanL-Bold" w:hAnsi="NimbusSanL-Bold" w:cs="NimbusSanL-Bold"/>
          <w:b/>
          <w:bCs/>
          <w:sz w:val="20"/>
          <w:szCs w:val="20"/>
        </w:rPr>
        <w:t>vingt mille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euros</w:t>
      </w:r>
      <w:r>
        <w:rPr>
          <w:rFonts w:ascii="NimbusSanL-Regu" w:hAnsi="NimbusSanL-Regu" w:cs="NimbusSanL-Regu"/>
          <w:sz w:val="17"/>
          <w:szCs w:val="17"/>
        </w:rPr>
        <w:t xml:space="preserve">4 </w:t>
      </w:r>
      <w:r>
        <w:rPr>
          <w:rFonts w:ascii="NimbusSanL-Regu" w:hAnsi="NimbusSanL-Regu" w:cs="NimbusSanL-Regu"/>
          <w:sz w:val="20"/>
          <w:szCs w:val="20"/>
        </w:rPr>
        <w:t>(</w:t>
      </w:r>
      <w:r>
        <w:rPr>
          <w:rFonts w:ascii="NimbusSanL-Bold" w:hAnsi="NimbusSanL-Bold" w:cs="NimbusSanL-Bold"/>
          <w:b/>
          <w:bCs/>
          <w:sz w:val="20"/>
          <w:szCs w:val="20"/>
        </w:rPr>
        <w:t>20.000,00 €</w:t>
      </w:r>
      <w:r>
        <w:rPr>
          <w:rFonts w:ascii="NimbusSanL-Regu" w:hAnsi="NimbusSanL-Regu" w:cs="NimbusSanL-Regu"/>
          <w:sz w:val="20"/>
          <w:szCs w:val="20"/>
        </w:rPr>
        <w:t>)</w:t>
      </w:r>
      <w:r>
        <w:rPr>
          <w:rFonts w:ascii="NimbusSanL-Regu" w:hAnsi="NimbusSanL-Regu" w:cs="NimbusSanL-Regu"/>
          <w:sz w:val="17"/>
          <w:szCs w:val="17"/>
        </w:rPr>
        <w:t xml:space="preserve">5 </w:t>
      </w:r>
      <w:r>
        <w:rPr>
          <w:rFonts w:ascii="NimbusSanL-Regu" w:hAnsi="NimbusSanL-Regu" w:cs="NimbusSanL-Regu"/>
          <w:sz w:val="20"/>
          <w:szCs w:val="20"/>
        </w:rPr>
        <w:t>et ce conformément aux modalités définies au présent contrat, sans préjudice des conditions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posées par le Décret du 28/04/2016 et par l’Arrêté du Gouvernement wallon du 22/09/2016.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N.B. : Le montant du prêt « coup de pouce »</w:t>
      </w:r>
      <w:r>
        <w:rPr>
          <w:rFonts w:ascii="NimbusSanL-Regu" w:hAnsi="NimbusSanL-Regu" w:cs="NimbusSanL-Regu"/>
          <w:sz w:val="12"/>
          <w:szCs w:val="12"/>
        </w:rPr>
        <w:t xml:space="preserve">6 </w:t>
      </w:r>
      <w:r>
        <w:rPr>
          <w:rFonts w:ascii="NimbusSanL-Regu" w:hAnsi="NimbusSanL-Regu" w:cs="NimbusSanL-Regu"/>
          <w:sz w:val="20"/>
          <w:szCs w:val="20"/>
        </w:rPr>
        <w:t>ainsi que le montant cumulé de plusieurs « prêts coup de pouce »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ne peuvent pas être supérieurs à 50.000 EUR par prêteur.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Le montant du « prêt coup de pouce » ainsi que le montant cumulé de plusieurs « prêts coup de pouce » ne peut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pas être supérieur à 100.000 EUR par emprunteur.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Article 2 – Destination du prêt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Le présent prêt est destiné à :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FINANCEMENT STOCK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N.B. : L’article 6 du Décret wallon du 28/04/2016 impose que l’emprunteur affecte exclusivement les fonds prêtés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dans le cadre du prêt Coup de Pouce à la réalisation de l’activité de son entreprise, à l’exclusion de toute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affectation à des fins privées.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lastRenderedPageBreak/>
        <w:t xml:space="preserve">L’Emprunteur ne peut pas prêter les fonds empruntés à une personne morale, existante ou à constituer, dont </w:t>
      </w:r>
      <w:proofErr w:type="spellStart"/>
      <w:r>
        <w:rPr>
          <w:rFonts w:ascii="NimbusSanL-Regu" w:hAnsi="NimbusSanL-Regu" w:cs="NimbusSanL-Regu"/>
          <w:sz w:val="20"/>
          <w:szCs w:val="20"/>
        </w:rPr>
        <w:t>luimême</w:t>
      </w:r>
      <w:proofErr w:type="spellEnd"/>
      <w:r>
        <w:rPr>
          <w:rFonts w:ascii="NimbusSanL-Regu" w:hAnsi="NimbusSanL-Regu" w:cs="NimbusSanL-Regu"/>
          <w:sz w:val="20"/>
          <w:szCs w:val="20"/>
        </w:rPr>
        <w:t>,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son conjoint ou son cohabitant légal est associé, actionnaire, administrateur, gérant, délégué à la gestion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journalière ou détenteur d’un mandat similaire au sein de cette personne morale.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L’emprunteur ne peut pas investir les fonds empruntés dans le capital d’une personne morale, existante ou à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constituer, dont lui-même, son conjoint ou son cohabitant légal est associé, actionnaire, administrateur, gérant,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délégué à la gestion journalière ou détenteur d’un mandat similaire au sein de cette personne morale.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L’Emprunteur ne peut utiliser les fonds empruntés pour une distribution de dividendes ou pour l’acquisition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d’actions ou parts, ni pour consentir des prêts.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Article 3 – Libération des fonds prêtés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Le Prêteur affirme avoir versé à l’Emprunteur, qui le reconnaît, le montant prêté en principal. A cet égard, copie d’un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extrait de compte probant est joint à la demande d’enregistrement.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Le défaut de cette pièce probante prive le Prêteur du bénéfice de la mesure fiscale organisée par le Décret wallon.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Page 2 sur 5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Article 4 – Entrée en vigueur et durée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La date de conclusion du présent prêt est celle du versement par le Prêteur à l’Emprunteur du montant prêté en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principal, telle qu’elle ressort de l’extrait de compte bancaire.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 xml:space="preserve">La durée du prêt est fixée à </w:t>
      </w:r>
      <w:r>
        <w:rPr>
          <w:rFonts w:ascii="NimbusSanL-Bold" w:hAnsi="NimbusSanL-Bold" w:cs="NimbusSanL-Bold"/>
          <w:b/>
          <w:bCs/>
          <w:sz w:val="20"/>
          <w:szCs w:val="20"/>
        </w:rPr>
        <w:t xml:space="preserve">6 </w:t>
      </w:r>
      <w:r>
        <w:rPr>
          <w:rFonts w:ascii="NimbusSanL-Regu" w:hAnsi="NimbusSanL-Regu" w:cs="NimbusSanL-Regu"/>
          <w:sz w:val="20"/>
          <w:szCs w:val="20"/>
        </w:rPr>
        <w:t>(</w:t>
      </w:r>
      <w:r>
        <w:rPr>
          <w:rFonts w:ascii="NimbusSanL-Bold" w:hAnsi="NimbusSanL-Bold" w:cs="NimbusSanL-Bold"/>
          <w:b/>
          <w:bCs/>
          <w:sz w:val="20"/>
          <w:szCs w:val="20"/>
        </w:rPr>
        <w:t xml:space="preserve">six </w:t>
      </w:r>
      <w:r>
        <w:rPr>
          <w:rFonts w:ascii="NimbusSanL-Regu" w:hAnsi="NimbusSanL-Regu" w:cs="NimbusSanL-Regu"/>
          <w:sz w:val="20"/>
          <w:szCs w:val="20"/>
        </w:rPr>
        <w:t xml:space="preserve">) ans </w:t>
      </w:r>
      <w:r>
        <w:rPr>
          <w:rFonts w:ascii="NimbusSanL-Regu" w:hAnsi="NimbusSanL-Regu" w:cs="NimbusSanL-Regu"/>
          <w:sz w:val="17"/>
          <w:szCs w:val="17"/>
        </w:rPr>
        <w:t xml:space="preserve">7 </w:t>
      </w:r>
      <w:r>
        <w:rPr>
          <w:rFonts w:ascii="NimbusSanL-Regu" w:hAnsi="NimbusSanL-Regu" w:cs="NimbusSanL-Regu"/>
          <w:sz w:val="20"/>
          <w:szCs w:val="20"/>
        </w:rPr>
        <w:t>à compter de la date de sa conclusion.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Article 5 – Intérêts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 xml:space="preserve">Le présent prêt est productif d’un intérêt fixe annuel de </w:t>
      </w:r>
      <w:r>
        <w:rPr>
          <w:rFonts w:ascii="NimbusSanL-Bold" w:hAnsi="NimbusSanL-Bold" w:cs="NimbusSanL-Bold"/>
          <w:b/>
          <w:bCs/>
          <w:sz w:val="20"/>
          <w:szCs w:val="20"/>
        </w:rPr>
        <w:t xml:space="preserve">deux virgule deux cent cinquante </w:t>
      </w:r>
      <w:r>
        <w:rPr>
          <w:rFonts w:ascii="NimbusSanL-Regu" w:hAnsi="NimbusSanL-Regu" w:cs="NimbusSanL-Regu"/>
          <w:sz w:val="20"/>
          <w:szCs w:val="20"/>
        </w:rPr>
        <w:t>pour cent (</w:t>
      </w:r>
      <w:r>
        <w:rPr>
          <w:rFonts w:ascii="NimbusSanL-Bold" w:hAnsi="NimbusSanL-Bold" w:cs="NimbusSanL-Bold"/>
          <w:b/>
          <w:bCs/>
          <w:sz w:val="20"/>
          <w:szCs w:val="20"/>
        </w:rPr>
        <w:t xml:space="preserve">2.250 </w:t>
      </w:r>
      <w:r>
        <w:rPr>
          <w:rFonts w:ascii="NimbusSanL-Regu" w:hAnsi="NimbusSanL-Regu" w:cs="NimbusSanL-Regu"/>
          <w:sz w:val="20"/>
          <w:szCs w:val="20"/>
        </w:rPr>
        <w:t>%)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N.B. Le taux convenu ne peut être supérieur au taux légal en vigueur à la date de conclusion du prêt, ni inférieur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à la moitié de ce taux légal.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L’emprunteur a l’obligation légale de déduire du montant des intérêts versés au prêteur le précompte mobilier dû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sur ceux-ci afin de verser cette somme directement au S.P.F. – FINANCES.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Les intérêts seront versés annuellement par l’Emprunteur au Prêteur, au moyen d’un virement bancaire, à la date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anniversaire de la conclusion du prêt.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Article 6 – Remboursement du prêt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L'Emprunteur s’engage à rembourser le montant prêté en principal, en une fois, à la date de son échéance, telle que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stipulée à l’article 4.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Aucun remboursement anticipé, total ou partiel, n’est autorisé, à moins que celui-ci n’intervienne dans le strict cadre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des hypothèses visées à l’article 4, § 2 du Décret wallon du 28/04/2016.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Lorsque, dans les hypothèses reprises à l’article 4, § 2 du Décret wallon du 28/04/2016, le Prêteur choisi de rendre le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prêt appelable par anticipation, il en informe l’Emprunteur par lettre recommandée à la Poste avec accusé de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réception. Le Prêteur en informe ensuite la SOWALFIN dans les trois mois de la survenance de l'événement qui est à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l'origine de la dénonciation du prêt.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Article 7 – Versements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Tout versement devant être effectué au profit du Prêteur en vertu du présent contrat sera réalisé sur le compte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 xml:space="preserve">bancaire ouvert par celui-ci sous le numéro IBAN </w:t>
      </w:r>
      <w:r>
        <w:rPr>
          <w:rFonts w:ascii="NimbusSanL-Bold" w:hAnsi="NimbusSanL-Bold" w:cs="NimbusSanL-Bold"/>
          <w:b/>
          <w:bCs/>
          <w:sz w:val="20"/>
          <w:szCs w:val="20"/>
        </w:rPr>
        <w:t>be43 0682 5132 4401</w:t>
      </w:r>
      <w:r>
        <w:rPr>
          <w:rFonts w:ascii="NimbusSanL-Regu" w:hAnsi="NimbusSanL-Regu" w:cs="NimbusSanL-Regu"/>
          <w:sz w:val="20"/>
          <w:szCs w:val="20"/>
        </w:rPr>
        <w:t xml:space="preserve">, auprès de la banque </w:t>
      </w:r>
      <w:r>
        <w:rPr>
          <w:rFonts w:ascii="NimbusSanL-Bold" w:hAnsi="NimbusSanL-Bold" w:cs="NimbusSanL-Bold"/>
          <w:b/>
          <w:bCs/>
          <w:sz w:val="20"/>
          <w:szCs w:val="20"/>
        </w:rPr>
        <w:t>BELFIUS</w:t>
      </w:r>
      <w:r>
        <w:rPr>
          <w:rFonts w:ascii="NimbusSanL-Regu" w:hAnsi="NimbusSanL-Regu" w:cs="NimbusSanL-Regu"/>
          <w:sz w:val="20"/>
          <w:szCs w:val="20"/>
        </w:rPr>
        <w:t>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Tout versement devant être effectué au profit de l’Emprunteur en vertu du présent contrat sera réalisé sur le compte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 xml:space="preserve">bancaire ouvert par celui-ci sous le numéro IBAN </w:t>
      </w:r>
      <w:r>
        <w:rPr>
          <w:rFonts w:ascii="NimbusSanL-Bold" w:hAnsi="NimbusSanL-Bold" w:cs="NimbusSanL-Bold"/>
          <w:b/>
          <w:bCs/>
          <w:sz w:val="20"/>
          <w:szCs w:val="20"/>
        </w:rPr>
        <w:t>BE19 3631 0410 7312</w:t>
      </w:r>
      <w:r>
        <w:rPr>
          <w:rFonts w:ascii="NimbusSanL-Regu" w:hAnsi="NimbusSanL-Regu" w:cs="NimbusSanL-Regu"/>
          <w:sz w:val="20"/>
          <w:szCs w:val="20"/>
        </w:rPr>
        <w:t xml:space="preserve">, auprès de la banque </w:t>
      </w:r>
      <w:r>
        <w:rPr>
          <w:rFonts w:ascii="NimbusSanL-Bold" w:hAnsi="NimbusSanL-Bold" w:cs="NimbusSanL-Bold"/>
          <w:b/>
          <w:bCs/>
          <w:sz w:val="20"/>
          <w:szCs w:val="20"/>
        </w:rPr>
        <w:t>ING</w:t>
      </w:r>
      <w:r>
        <w:rPr>
          <w:rFonts w:ascii="NimbusSanL-Regu" w:hAnsi="NimbusSanL-Regu" w:cs="NimbusSanL-Regu"/>
          <w:sz w:val="20"/>
          <w:szCs w:val="20"/>
        </w:rPr>
        <w:t>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Article 8 – Subordination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lastRenderedPageBreak/>
        <w:t>Le présent prêt est subordonné tant aux dettes dont l’Emprunteur est déjà redevable au moment de sa conclusion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qu’à ses dettes futures</w:t>
      </w:r>
      <w:r>
        <w:rPr>
          <w:rFonts w:ascii="NimbusSanL-Regu" w:hAnsi="NimbusSanL-Regu" w:cs="NimbusSanL-Regu"/>
          <w:sz w:val="17"/>
          <w:szCs w:val="17"/>
        </w:rPr>
        <w:t>[8]</w:t>
      </w:r>
      <w:r>
        <w:rPr>
          <w:rFonts w:ascii="NimbusSanL-Regu" w:hAnsi="NimbusSanL-Regu" w:cs="NimbusSanL-Regu"/>
          <w:sz w:val="20"/>
          <w:szCs w:val="20"/>
        </w:rPr>
        <w:t>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Page 3 sur 5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Article 9 – Déclarations communes – Engagement particulier de l’Emprunteur.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Les Parties déclarent que les énonciations du présent contrat sont sincères, véritables et complètes.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Le Prêteur et l'Emprunteur déclarent, chacun en ce qui le concerne, qu'ils ont connaissance de l’ensemble des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conditions posées par le Décret wallon du 28/04/2016 et l’arrêt du Gouvernement Wallon du 22/09/2016 qu’ils les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remplissent, et qu’ils continueront à les remplir durant toute la durée du présent prêt.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Dans ce contexte, l’Emprunteur s’engage à adresser une attestation au Prêteur, au plus tard le 31 janvier de chaque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 xml:space="preserve">année, confirmant qu’il remplissait, au cours de l’année précédente, l’ensemble des conditions dont question </w:t>
      </w:r>
      <w:proofErr w:type="spellStart"/>
      <w:r>
        <w:rPr>
          <w:rFonts w:ascii="NimbusSanL-Regu" w:hAnsi="NimbusSanL-Regu" w:cs="NimbusSanL-Regu"/>
          <w:sz w:val="20"/>
          <w:szCs w:val="20"/>
        </w:rPr>
        <w:t>cidessus</w:t>
      </w:r>
      <w:proofErr w:type="spellEnd"/>
      <w:r>
        <w:rPr>
          <w:rFonts w:ascii="NimbusSanL-Regu" w:hAnsi="NimbusSanL-Regu" w:cs="NimbusSanL-Regu"/>
          <w:sz w:val="20"/>
          <w:szCs w:val="20"/>
        </w:rPr>
        <w:t>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Ladite attestation émise par l’Emprunteur doit également mentionner le montant des intérêts versés par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l’Emprunteur au Prêteur pendant l’année écoulée.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Article 10 – Compensation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Les Parties renoncent à se prévaloir du bénéfice d’une quelconque compensation en ce qui concerne la relation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juridique née du présent prêt.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Article 11 – Exhaustivité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Le présent contrat constitue la totalité des accords conclus entre les Parties, relatifs à l'objet des présentes. Il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remplace et annule tout autre accord antérieur, verbal ou écrit, qui serait intervenu entre Parties sur le même objet.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Article 12 – Incessibilité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Sans préjudice des hypothèse réservées par le décret du 28/04/2016 relatif au « prêt coup de pouce », et ses arrêtés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d'exécution, ni le présent contrat de prêt, ni les droits et obligations qui y sont attachés, ne peuvent être cédés,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entièrement ou partiellement, à des tiers.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Article 13 – Capacité des Parties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Les Parties déclarent et garantissent qu'elles sont capables et habilitées à conclure le présent contrat et à exécuter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l'ensemble des obligations qui en découlent.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Article 14 – Notifications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Pour les besoins de la présente convention, chaque Partie fait élection de domicile à son siège social statutaire ou à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son domicile légal tel que renseigné en tête des présentes.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Article 15 – Juridictions compétentes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L'ensemble des litiges relatifs à l'interprétation, l'exécution et la validité du présent contrat seront soumis à la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compétence des juridictions de l’arrondissement du domicile de l’Emprunteur.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Article 16 – Droit applicable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Le présent contrat de prêt est soumis au droit belge.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Page 4 sur 5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Fait à . . . . . . . . . . . . . . . . . . . . . . . . . . . . . . . . . . . . . le . . . . . . . . . . . . . . . . en trois exemplaires originaux, dont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un est destiné à chaque partie et un qui doit être transmis à l'instance désignée par arrêté du Gouvernement wallon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dans le cadre de la demande d’enregistrement du « prêt coup de pouce ».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Signatures :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____________________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Pour le Prêteur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_____________________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Pour l’Emprunteur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5"/>
          <w:szCs w:val="15"/>
        </w:rPr>
        <w:t xml:space="preserve">1 </w:t>
      </w:r>
      <w:r>
        <w:rPr>
          <w:rFonts w:ascii="NimbusSanL-Regu" w:hAnsi="NimbusSanL-Regu" w:cs="NimbusSanL-Regu"/>
          <w:sz w:val="18"/>
          <w:szCs w:val="18"/>
        </w:rPr>
        <w:t>Au sens des articles 2 et 3 du décret du 28/04/2016.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5"/>
          <w:szCs w:val="15"/>
        </w:rPr>
        <w:t xml:space="preserve">2 </w:t>
      </w:r>
      <w:r>
        <w:rPr>
          <w:rFonts w:ascii="NimbusSanL-Regu" w:hAnsi="NimbusSanL-Regu" w:cs="NimbusSanL-Regu"/>
          <w:sz w:val="18"/>
          <w:szCs w:val="18"/>
        </w:rPr>
        <w:t>Au sens des articles 2 et 3 du décret du 28/04/2016.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5"/>
          <w:szCs w:val="15"/>
        </w:rPr>
        <w:lastRenderedPageBreak/>
        <w:t xml:space="preserve">3 </w:t>
      </w:r>
      <w:r>
        <w:rPr>
          <w:rFonts w:ascii="NimbusSanL-Regu" w:hAnsi="NimbusSanL-Regu" w:cs="NimbusSanL-Regu"/>
          <w:sz w:val="18"/>
          <w:szCs w:val="18"/>
        </w:rPr>
        <w:t>Une copie de l’extrait de l’inscription à la BCE doit être, sous peine de perte de la mesure fiscale concédée par le décret,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8"/>
          <w:szCs w:val="18"/>
        </w:rPr>
        <w:t>annexée à la demande d’enregistrement du prêt.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5"/>
          <w:szCs w:val="15"/>
        </w:rPr>
        <w:t xml:space="preserve">4 </w:t>
      </w:r>
      <w:r>
        <w:rPr>
          <w:rFonts w:ascii="NimbusSanL-Regu" w:hAnsi="NimbusSanL-Regu" w:cs="NimbusSanL-Regu"/>
          <w:sz w:val="18"/>
          <w:szCs w:val="18"/>
        </w:rPr>
        <w:t>Montant du prêt en toutes lettres.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5"/>
          <w:szCs w:val="15"/>
        </w:rPr>
        <w:t xml:space="preserve">5 </w:t>
      </w:r>
      <w:r>
        <w:rPr>
          <w:rFonts w:ascii="NimbusSanL-Regu" w:hAnsi="NimbusSanL-Regu" w:cs="NimbusSanL-Regu"/>
          <w:sz w:val="18"/>
          <w:szCs w:val="18"/>
        </w:rPr>
        <w:t>Montant du prêt en chiffres.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5"/>
          <w:szCs w:val="15"/>
        </w:rPr>
        <w:t xml:space="preserve">6 </w:t>
      </w:r>
      <w:r>
        <w:rPr>
          <w:rFonts w:ascii="NimbusSanL-Regu" w:hAnsi="NimbusSanL-Regu" w:cs="NimbusSanL-Regu"/>
          <w:sz w:val="18"/>
          <w:szCs w:val="18"/>
        </w:rPr>
        <w:t>Au sens du Décret du 28/04/2016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5"/>
          <w:szCs w:val="15"/>
        </w:rPr>
        <w:t xml:space="preserve">7 </w:t>
      </w:r>
      <w:r>
        <w:rPr>
          <w:rFonts w:ascii="NimbusSanL-Regu" w:hAnsi="NimbusSanL-Regu" w:cs="NimbusSanL-Regu"/>
          <w:sz w:val="18"/>
          <w:szCs w:val="18"/>
        </w:rPr>
        <w:t>Le choix de la durée doit être opéré en biffant les mentions inutiles.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5"/>
          <w:szCs w:val="15"/>
        </w:rPr>
        <w:t xml:space="preserve">8 </w:t>
      </w:r>
      <w:r>
        <w:rPr>
          <w:rFonts w:ascii="NimbusSanL-Regu" w:hAnsi="NimbusSanL-Regu" w:cs="NimbusSanL-Regu"/>
          <w:sz w:val="18"/>
          <w:szCs w:val="18"/>
        </w:rPr>
        <w:t>Ainsi, en cas de concours entre les créanciers de l’emprunteur avant la fin de la durée du prêt, la créance du prêteur ne sera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8"/>
          <w:szCs w:val="18"/>
        </w:rPr>
        <w:t>honorée qu’après paiement de celle des autres créanciers. Il ne sera traité sur un pied d’égalité qu’avec les autres créanciers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8"/>
          <w:szCs w:val="18"/>
        </w:rPr>
        <w:t>subordonnés, s'il en existe, et notamment sans y être limité, avec tous les autres créanciers qui ont conclu un Prêt Coup de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8"/>
          <w:szCs w:val="18"/>
        </w:rPr>
        <w:t>Pousse, que leur prêt soit né avant ou après la conclusion du présent prêt. Le caractère subordonné ne concerne que le</w:t>
      </w:r>
    </w:p>
    <w:p w:rsidR="00E14849" w:rsidRDefault="00E14849" w:rsidP="00E1484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8"/>
          <w:szCs w:val="18"/>
        </w:rPr>
        <w:t>montant en principal et non les intérêts.</w:t>
      </w:r>
    </w:p>
    <w:p w:rsidR="00A83E90" w:rsidRDefault="00E14849" w:rsidP="00E14849">
      <w:r>
        <w:rPr>
          <w:rFonts w:ascii="NimbusSanL-Regu" w:hAnsi="NimbusSanL-Regu" w:cs="NimbusSanL-Regu"/>
          <w:sz w:val="20"/>
          <w:szCs w:val="20"/>
        </w:rPr>
        <w:t>Page 5 sur 5</w:t>
      </w:r>
      <w:bookmarkStart w:id="0" w:name="_GoBack"/>
      <w:bookmarkEnd w:id="0"/>
    </w:p>
    <w:sectPr w:rsidR="00A83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49"/>
    <w:rsid w:val="00A83E90"/>
    <w:rsid w:val="00E1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20C7C-7160-455F-9399-6EE35B69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1545</Words>
  <Characters>8503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Butacide</dc:creator>
  <cp:keywords/>
  <dc:description/>
  <cp:lastModifiedBy>Nicolas Butacide</cp:lastModifiedBy>
  <cp:revision>1</cp:revision>
  <dcterms:created xsi:type="dcterms:W3CDTF">2017-01-09T11:17:00Z</dcterms:created>
  <dcterms:modified xsi:type="dcterms:W3CDTF">2017-01-09T11:19:00Z</dcterms:modified>
</cp:coreProperties>
</file>