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Arial" w:cs="Arial" w:eastAsia="Arial" w:hAnsi="Arial"/>
          <w:b/>
          <w:bCs/>
          <w:i w:val="false"/>
          <w:iCs w:val="false"/>
          <w:color w:val="1F3864"/>
          <w:sz w:val="24"/>
          <w:szCs w:val="24"/>
        </w:rPr>
        <w:t xml:space="preserve">ASSOCIAZIONE CULTURALE COMETA ETS</w:t>
      </w:r>
    </w:p>
    <w:p>
      <w:pPr>
        <w:pBdr>
          <w:bottom w:val="single" w:color="1F3864" w:sz="8" w:space="8"/>
        </w:pBdr>
        <w:spacing w:after="700" w:before="60"/>
        <w:jc w:val="center"/>
      </w:pPr>
      <w:r>
        <w:rPr>
          <w:rFonts w:ascii="Arial" w:cs="Arial" w:eastAsia="Arial" w:hAnsi="Arial"/>
          <w:b w:val="false"/>
          <w:bCs w:val="false"/>
          <w:i w:val="false"/>
          <w:iCs w:val="false"/>
          <w:color w:val="2E5C8A"/>
          <w:sz w:val="19"/>
          <w:szCs w:val="19"/>
        </w:rPr>
        <w:t xml:space="preserve">Progetto SAI · PROG-684-PR · Santa Elisabetta (AG)</w:t>
      </w:r>
    </w:p>
    <w:p>
      <w:pPr>
        <w:spacing w:after="160"/>
        <w:jc w:val="center"/>
      </w:pPr>
      <w:r>
        <w:rPr>
          <w:rFonts w:ascii="Arial" w:cs="Arial" w:eastAsia="Arial" w:hAnsi="Arial"/>
          <w:b/>
          <w:bCs/>
          <w:i w:val="false"/>
          <w:iCs w:val="false"/>
          <w:color w:val="1F3864"/>
          <w:sz w:val="44"/>
          <w:szCs w:val="44"/>
        </w:rPr>
        <w:t xml:space="preserve">RELAZIONE TECNICA</w:t>
      </w:r>
    </w:p>
    <w:p>
      <w:pPr>
        <w:spacing w:after="120"/>
        <w:jc w:val="center"/>
      </w:pPr>
      <w:r>
        <w:rPr>
          <w:rFonts w:ascii="Arial" w:cs="Arial" w:eastAsia="Arial" w:hAnsi="Arial"/>
          <w:b/>
          <w:bCs/>
          <w:i w:val="false"/>
          <w:iCs w:val="false"/>
          <w:color w:val="333333"/>
          <w:sz w:val="30"/>
          <w:szCs w:val="30"/>
        </w:rPr>
        <w:t xml:space="preserve">SERVIZIO DI ORIENTAMENTO</w:t>
      </w:r>
    </w:p>
    <w:p>
      <w:pPr>
        <w:spacing w:after="500"/>
        <w:jc w:val="center"/>
      </w:pPr>
      <w:r>
        <w:rPr>
          <w:rFonts w:ascii="Arial" w:cs="Arial" w:eastAsia="Arial" w:hAnsi="Arial"/>
          <w:b/>
          <w:bCs/>
          <w:i w:val="false"/>
          <w:iCs w:val="false"/>
          <w:color w:val="333333"/>
          <w:sz w:val="30"/>
          <w:szCs w:val="30"/>
        </w:rPr>
        <w:t xml:space="preserve">E ACCOMPAGNAMENTO ALL’INSERIMENTO LAVORATIVO</w:t>
      </w:r>
    </w:p>
    <w:p>
      <w:pPr>
        <w:spacing w:after="800"/>
        <w:jc w:val="center"/>
      </w:pPr>
      <w:r>
        <w:rPr>
          <w:rFonts w:ascii="Times New Roman" w:cs="Times New Roman" w:eastAsia="Times New Roman" w:hAnsi="Times New Roman"/>
          <w:b w:val="false"/>
          <w:bCs w:val="false"/>
          <w:i/>
          <w:iCs/>
          <w:color w:val="2E5C8A"/>
          <w:sz w:val="24"/>
          <w:szCs w:val="24"/>
        </w:rPr>
        <w:t xml:space="preserve">Annualità 2026 — stato di attuazione al 4 agosto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6650"/>
      </w:tblGrid>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Ente attuatore</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Associazione Culturale Cometa ETS</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Progetto</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PROG-684-PR — SAI Santa Elisabetta</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Annualità di riferimento</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2026</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Servizio oggetto della relazione</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Orientamento e accompagnamento all’inserimento lavorativo</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Beneficiari in carico</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50 posizioni</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Azioni di orientamento documentate</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128</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Linea di intervento borse lavoro</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Dotazione € 30.000,00 da Piano Finanziario</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Dati aggiornati al</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Orientamento: 27/07/2026 — Borse lavoro: 04/08/2026</w:t>
            </w:r>
          </w:p>
        </w:tc>
      </w:tr>
      <w:tr>
        <w:tc>
          <w:tcPr>
            <w:tcW w:type="dxa" w:w="298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Redatta da</w:t>
            </w:r>
          </w:p>
        </w:tc>
        <w:tc>
          <w:tcPr>
            <w:tcW w:type="dxa" w:w="665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Consulente all’orientamento al lavoro</w:t>
            </w:r>
          </w:p>
        </w:tc>
      </w:tr>
      <w:tr>
        <w:tc>
          <w:tcPr>
            <w:tcW w:type="dxa" w:w="298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Destinatari</w:t>
            </w:r>
          </w:p>
        </w:tc>
        <w:tc>
          <w:tcPr>
            <w:tcW w:type="dxa" w:w="665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Coordinamento di progetto — Ente titolare — Servizio Centrale SAI</w:t>
            </w:r>
          </w:p>
        </w:tc>
      </w:tr>
    </w:tbl>
    <w:p>
      <w:pPr>
        <w:spacing w:after="60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D5B7" w:sz="4"/>
              <w:left w:val="single" w:color="B45309" w:sz="18"/>
              <w:bottom w:val="single" w:color="E8D5B7" w:sz="4"/>
              <w:right w:val="single" w:color="E8D5B7" w:sz="4"/>
            </w:tcBorders>
            <w:shd w:fill="FDF6EC" w:color="auto" w:val="clear"/>
            <w:tcMar>
              <w:top w:type="dxa" w:w="160"/>
              <w:left w:type="dxa" w:w="200"/>
              <w:bottom w:type="dxa" w:w="160"/>
              <w:right w:type="dxa" w:w="200"/>
            </w:tcMar>
          </w:tcPr>
          <w:p>
            <w:pPr>
              <w:spacing w:after="90" w:line="240"/>
            </w:pPr>
            <w:r>
              <w:rPr>
                <w:rFonts w:ascii="Arial" w:cs="Arial" w:eastAsia="Arial" w:hAnsi="Arial"/>
                <w:b/>
                <w:bCs/>
                <w:i w:val="false"/>
                <w:iCs w:val="false"/>
                <w:color w:val="B45309"/>
                <w:sz w:val="19"/>
                <w:szCs w:val="19"/>
              </w:rPr>
              <w:t xml:space="preserve">Trattamento dei dati personali</w:t>
            </w:r>
          </w:p>
          <w:p>
            <w:pPr>
              <w:spacing w:after="0" w:line="264"/>
              <w:jc w:val="both"/>
            </w:pPr>
            <w:r>
              <w:rPr>
                <w:rFonts w:ascii="Times New Roman" w:cs="Times New Roman" w:eastAsia="Times New Roman" w:hAnsi="Times New Roman"/>
                <w:b w:val="false"/>
                <w:bCs w:val="false"/>
                <w:i w:val="false"/>
                <w:iCs w:val="false"/>
                <w:sz w:val="19"/>
                <w:szCs w:val="19"/>
              </w:rPr>
              <w:t xml:space="preserve">Il presente documento espone in forma aggregata i dati relativi a cinquanta beneficiari titolari di protezione internazionale e richiedenti asilo. I nominativi compaiono nel solo prospetto dei percorsi di inserimento retribuiti, per il quale sono necessari ai fini della rendicontazione. Il trattamento avviene ai sensi del Reg. UE 2016/679 e del D.Lgs. 196/2003 come modificato dal D.Lgs. 101/2018, per le sole finalità di monitoraggio e rendicontazione del progetto. La circolazione è riservata ai soggetti istituzionalmente coinvolti nella gestione del progetto.</w:t>
            </w:r>
          </w:p>
        </w:tc>
      </w:tr>
    </w:tbl>
    <w:p>
      <w:r>
        <w:br w:type="page"/>
      </w:r>
    </w:p>
    <w:p>
      <w:pPr>
        <w:pStyle w:val="Heading1"/>
        <w:pBdr>
          <w:bottom w:val="single" w:color="1F3864" w:sz="8" w:space="6"/>
        </w:pBdr>
        <w:spacing w:after="180" w:before="0"/>
      </w:pPr>
      <w:r>
        <w:rPr>
          <w:rFonts w:ascii="Arial" w:cs="Arial" w:eastAsia="Arial" w:hAnsi="Arial"/>
          <w:b/>
          <w:bCs/>
          <w:i w:val="false"/>
          <w:iCs w:val="false"/>
          <w:color w:val="1F3864"/>
          <w:sz w:val="26"/>
          <w:szCs w:val="26"/>
        </w:rPr>
        <w:t xml:space="preserve">INDICE</w:t>
      </w:r>
    </w:p>
    <w:p>
      <w:pPr>
        <w:spacing w:after="70" w:line="240"/>
        <w:ind w:left="0"/>
        <w:jc w:val="left"/>
      </w:pPr>
      <w:r>
        <w:rPr>
          <w:rFonts w:ascii="Times New Roman" w:cs="Times New Roman" w:eastAsia="Times New Roman" w:hAnsi="Times New Roman"/>
          <w:b/>
          <w:bCs/>
          <w:i w:val="false"/>
          <w:iCs w:val="false"/>
          <w:sz w:val="21"/>
          <w:szCs w:val="21"/>
        </w:rPr>
        <w:t xml:space="preserve">1.  Dati identificativi e oggetto della relazione</w:t>
      </w:r>
    </w:p>
    <w:p>
      <w:pPr>
        <w:spacing w:after="70" w:line="240"/>
        <w:ind w:left="0"/>
        <w:jc w:val="left"/>
      </w:pPr>
      <w:r>
        <w:rPr>
          <w:rFonts w:ascii="Times New Roman" w:cs="Times New Roman" w:eastAsia="Times New Roman" w:hAnsi="Times New Roman"/>
          <w:b/>
          <w:bCs/>
          <w:i w:val="false"/>
          <w:iCs w:val="false"/>
          <w:sz w:val="21"/>
          <w:szCs w:val="21"/>
        </w:rPr>
        <w:t xml:space="preserve">2.  Nota metodologica e fonti</w:t>
      </w:r>
    </w:p>
    <w:p>
      <w:pPr>
        <w:spacing w:after="70" w:line="240"/>
        <w:ind w:left="0"/>
        <w:jc w:val="left"/>
      </w:pPr>
      <w:r>
        <w:rPr>
          <w:rFonts w:ascii="Times New Roman" w:cs="Times New Roman" w:eastAsia="Times New Roman" w:hAnsi="Times New Roman"/>
          <w:b/>
          <w:bCs/>
          <w:i w:val="false"/>
          <w:iCs w:val="false"/>
          <w:sz w:val="21"/>
          <w:szCs w:val="21"/>
        </w:rPr>
        <w:t xml:space="preserve">3.  Quadro normativo e di riferimento</w:t>
      </w:r>
    </w:p>
    <w:p>
      <w:pPr>
        <w:spacing w:after="70" w:line="240"/>
        <w:ind w:left="0"/>
        <w:jc w:val="left"/>
      </w:pPr>
      <w:r>
        <w:rPr>
          <w:rFonts w:ascii="Times New Roman" w:cs="Times New Roman" w:eastAsia="Times New Roman" w:hAnsi="Times New Roman"/>
          <w:b/>
          <w:bCs/>
          <w:i w:val="false"/>
          <w:iCs w:val="false"/>
          <w:sz w:val="21"/>
          <w:szCs w:val="21"/>
        </w:rPr>
        <w:t xml:space="preserve">4.  Struttura organizzativa del servizio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4.1.  Figure di riferimento e funzioni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4.2.  Monte ore e articolazione del presidio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4.3.  Effetti misurabili del rafforzamento estivo</w:t>
      </w:r>
    </w:p>
    <w:p>
      <w:pPr>
        <w:spacing w:after="70" w:line="240"/>
        <w:ind w:left="0"/>
        <w:jc w:val="left"/>
      </w:pPr>
      <w:r>
        <w:rPr>
          <w:rFonts w:ascii="Times New Roman" w:cs="Times New Roman" w:eastAsia="Times New Roman" w:hAnsi="Times New Roman"/>
          <w:b/>
          <w:bCs/>
          <w:i w:val="false"/>
          <w:iCs w:val="false"/>
          <w:sz w:val="21"/>
          <w:szCs w:val="21"/>
        </w:rPr>
        <w:t xml:space="preserve">5.  Metodologia dell’intervento</w:t>
      </w:r>
    </w:p>
    <w:p>
      <w:pPr>
        <w:spacing w:after="70" w:line="240"/>
        <w:ind w:left="0"/>
        <w:jc w:val="left"/>
      </w:pPr>
      <w:r>
        <w:rPr>
          <w:rFonts w:ascii="Times New Roman" w:cs="Times New Roman" w:eastAsia="Times New Roman" w:hAnsi="Times New Roman"/>
          <w:b/>
          <w:bCs/>
          <w:i w:val="false"/>
          <w:iCs w:val="false"/>
          <w:sz w:val="21"/>
          <w:szCs w:val="21"/>
        </w:rPr>
        <w:t xml:space="preserve">6.  Le azioni realizzate a favore dei beneficiari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6.1.  Quadro complessivo delle azioni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6.2.  Gli incontri individuali di orientamento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6.3.  La redazione e l’aggiornamento dei curriculum</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6.4.  La determinazione delle competenze</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6.5.  Tempestività e continuità della presa in carico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6.6.  Le azioni di accompagnamento non tracciate</w:t>
      </w:r>
    </w:p>
    <w:p>
      <w:pPr>
        <w:spacing w:after="70" w:line="240"/>
        <w:ind w:left="0"/>
        <w:jc w:val="left"/>
      </w:pPr>
      <w:r>
        <w:rPr>
          <w:rFonts w:ascii="Times New Roman" w:cs="Times New Roman" w:eastAsia="Times New Roman" w:hAnsi="Times New Roman"/>
          <w:b/>
          <w:bCs/>
          <w:i w:val="false"/>
          <w:iCs w:val="false"/>
          <w:sz w:val="21"/>
          <w:szCs w:val="21"/>
        </w:rPr>
        <w:t xml:space="preserve">7.  Le borse lavoro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7.1.  Prospetto dei percorsi attivati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7.2.  Stato di avanzamento e analisi</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7.3.  Quadro economico della linea di intervento</w:t>
      </w:r>
    </w:p>
    <w:p>
      <w:pPr>
        <w:spacing w:after="70" w:line="240"/>
        <w:ind w:left="500"/>
        <w:jc w:val="left"/>
      </w:pPr>
      <w:r>
        <w:rPr>
          <w:rFonts w:ascii="Times New Roman" w:cs="Times New Roman" w:eastAsia="Times New Roman" w:hAnsi="Times New Roman"/>
          <w:b w:val="false"/>
          <w:bCs w:val="false"/>
          <w:i w:val="false"/>
          <w:iCs w:val="false"/>
          <w:sz w:val="21"/>
          <w:szCs w:val="21"/>
        </w:rPr>
        <w:t xml:space="preserve">7.4.  Dall’orientamento all’inserimento</w:t>
      </w:r>
    </w:p>
    <w:p>
      <w:pPr>
        <w:spacing w:after="70" w:line="240"/>
        <w:ind w:left="0"/>
        <w:jc w:val="left"/>
      </w:pPr>
      <w:r>
        <w:rPr>
          <w:rFonts w:ascii="Times New Roman" w:cs="Times New Roman" w:eastAsia="Times New Roman" w:hAnsi="Times New Roman"/>
          <w:b/>
          <w:bCs/>
          <w:i w:val="false"/>
          <w:iCs w:val="false"/>
          <w:sz w:val="21"/>
          <w:szCs w:val="21"/>
        </w:rPr>
        <w:t xml:space="preserve">8.  Tirocini, esiti occupazionali e formazione</w:t>
      </w:r>
    </w:p>
    <w:p>
      <w:pPr>
        <w:spacing w:after="70" w:line="240"/>
        <w:ind w:left="0"/>
        <w:jc w:val="left"/>
      </w:pPr>
      <w:r>
        <w:rPr>
          <w:rFonts w:ascii="Times New Roman" w:cs="Times New Roman" w:eastAsia="Times New Roman" w:hAnsi="Times New Roman"/>
          <w:b/>
          <w:bCs/>
          <w:i w:val="false"/>
          <w:iCs w:val="false"/>
          <w:sz w:val="21"/>
          <w:szCs w:val="21"/>
        </w:rPr>
        <w:t xml:space="preserve">9.  La rete territoriale</w:t>
      </w:r>
    </w:p>
    <w:p>
      <w:pPr>
        <w:spacing w:after="70" w:line="240"/>
        <w:ind w:left="0"/>
        <w:jc w:val="left"/>
      </w:pPr>
      <w:r>
        <w:rPr>
          <w:rFonts w:ascii="Times New Roman" w:cs="Times New Roman" w:eastAsia="Times New Roman" w:hAnsi="Times New Roman"/>
          <w:b/>
          <w:bCs/>
          <w:i w:val="false"/>
          <w:iCs w:val="false"/>
          <w:sz w:val="21"/>
          <w:szCs w:val="21"/>
        </w:rPr>
        <w:t xml:space="preserve">10.  Criticità rilevate e azioni correttive</w:t>
      </w:r>
    </w:p>
    <w:p>
      <w:pPr>
        <w:spacing w:after="70" w:line="240"/>
        <w:ind w:left="0"/>
        <w:jc w:val="left"/>
      </w:pPr>
      <w:r>
        <w:rPr>
          <w:rFonts w:ascii="Times New Roman" w:cs="Times New Roman" w:eastAsia="Times New Roman" w:hAnsi="Times New Roman"/>
          <w:b/>
          <w:bCs/>
          <w:i w:val="false"/>
          <w:iCs w:val="false"/>
          <w:sz w:val="21"/>
          <w:szCs w:val="21"/>
        </w:rPr>
        <w:t xml:space="preserve">11.  Indicatori di monitoraggio</w:t>
      </w:r>
    </w:p>
    <w:p>
      <w:pPr>
        <w:spacing w:after="70" w:line="240"/>
        <w:ind w:left="0"/>
        <w:jc w:val="left"/>
      </w:pPr>
      <w:r>
        <w:rPr>
          <w:rFonts w:ascii="Times New Roman" w:cs="Times New Roman" w:eastAsia="Times New Roman" w:hAnsi="Times New Roman"/>
          <w:b/>
          <w:bCs/>
          <w:i w:val="false"/>
          <w:iCs w:val="false"/>
          <w:sz w:val="21"/>
          <w:szCs w:val="21"/>
        </w:rPr>
        <w:t xml:space="preserve">12.  Programmazione agosto – dicembre 2026</w:t>
      </w:r>
    </w:p>
    <w:p>
      <w:pPr>
        <w:spacing w:after="70" w:line="240"/>
        <w:ind w:left="0"/>
        <w:jc w:val="left"/>
      </w:pPr>
      <w:r>
        <w:rPr>
          <w:rFonts w:ascii="Times New Roman" w:cs="Times New Roman" w:eastAsia="Times New Roman" w:hAnsi="Times New Roman"/>
          <w:b/>
          <w:bCs/>
          <w:i w:val="false"/>
          <w:iCs w:val="false"/>
          <w:sz w:val="21"/>
          <w:szCs w:val="21"/>
        </w:rPr>
        <w:t xml:space="preserve">13.  Conclusioni</w:t>
      </w:r>
    </w:p>
    <w:p>
      <w:r>
        <w:br w:type="page"/>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 DATI IDENTIFICATIVI E OGGETTO DELLA RELAZIONE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presente relazione dà conto della strutturazione e dello stato di attuazione del servizio di </w:t>
      </w:r>
      <w:r>
        <w:rPr>
          <w:rFonts w:ascii="Times New Roman" w:cs="Times New Roman" w:eastAsia="Times New Roman" w:hAnsi="Times New Roman"/>
          <w:b/>
          <w:bCs/>
          <w:i w:val="false"/>
          <w:iCs w:val="false"/>
          <w:sz w:val="21"/>
          <w:szCs w:val="21"/>
        </w:rPr>
        <w:t xml:space="preserve">orientamento e accompagnamento all’inserimento lavorativo</w:t>
      </w:r>
      <w:r>
        <w:rPr>
          <w:rFonts w:ascii="Times New Roman" w:cs="Times New Roman" w:eastAsia="Times New Roman" w:hAnsi="Times New Roman"/>
          <w:b w:val="false"/>
          <w:bCs w:val="false"/>
          <w:i w:val="false"/>
          <w:iCs w:val="false"/>
          <w:sz w:val="21"/>
          <w:szCs w:val="21"/>
        </w:rPr>
        <w:t xml:space="preserve"> nell’ambito del progetto SAI </w:t>
      </w:r>
      <w:r>
        <w:rPr>
          <w:rFonts w:ascii="Times New Roman" w:cs="Times New Roman" w:eastAsia="Times New Roman" w:hAnsi="Times New Roman"/>
          <w:b/>
          <w:bCs/>
          <w:i w:val="false"/>
          <w:iCs w:val="false"/>
          <w:sz w:val="21"/>
          <w:szCs w:val="21"/>
        </w:rPr>
        <w:t xml:space="preserve">PROG-684-PR — Santa Elisabetta</w:t>
      </w:r>
      <w:r>
        <w:rPr>
          <w:rFonts w:ascii="Times New Roman" w:cs="Times New Roman" w:eastAsia="Times New Roman" w:hAnsi="Times New Roman"/>
          <w:b w:val="false"/>
          <w:bCs w:val="false"/>
          <w:i w:val="false"/>
          <w:iCs w:val="false"/>
          <w:sz w:val="21"/>
          <w:szCs w:val="21"/>
        </w:rPr>
        <w:t xml:space="preserve">, gestito dall’Associazione Culturale Cometa ETS, con riferimento all’annualità 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documento è centrato sulle </w:t>
      </w:r>
      <w:r>
        <w:rPr>
          <w:rFonts w:ascii="Times New Roman" w:cs="Times New Roman" w:eastAsia="Times New Roman" w:hAnsi="Times New Roman"/>
          <w:b/>
          <w:bCs/>
          <w:i w:val="false"/>
          <w:iCs w:val="false"/>
          <w:sz w:val="21"/>
          <w:szCs w:val="21"/>
        </w:rPr>
        <w:t xml:space="preserve">azioni messe in atto dal servizio</w:t>
      </w:r>
      <w:r>
        <w:rPr>
          <w:rFonts w:ascii="Times New Roman" w:cs="Times New Roman" w:eastAsia="Times New Roman" w:hAnsi="Times New Roman"/>
          <w:b w:val="false"/>
          <w:bCs w:val="false"/>
          <w:i w:val="false"/>
          <w:iCs w:val="false"/>
          <w:sz w:val="21"/>
          <w:szCs w:val="21"/>
        </w:rPr>
        <w:t xml:space="preserve"> e restituisce i dati dell’utenza in forma prevalentemente aggregata. Il servizio ha in carico </w:t>
      </w:r>
      <w:r>
        <w:rPr>
          <w:rFonts w:ascii="Times New Roman" w:cs="Times New Roman" w:eastAsia="Times New Roman" w:hAnsi="Times New Roman"/>
          <w:b/>
          <w:bCs/>
          <w:i w:val="false"/>
          <w:iCs w:val="false"/>
          <w:sz w:val="21"/>
          <w:szCs w:val="21"/>
        </w:rPr>
        <w:t xml:space="preserve">cinquanta beneficiari</w:t>
      </w:r>
      <w:r>
        <w:rPr>
          <w:rFonts w:ascii="Times New Roman" w:cs="Times New Roman" w:eastAsia="Times New Roman" w:hAnsi="Times New Roman"/>
          <w:b w:val="false"/>
          <w:bCs w:val="false"/>
          <w:i w:val="false"/>
          <w:iCs w:val="false"/>
          <w:sz w:val="21"/>
          <w:szCs w:val="21"/>
        </w:rPr>
        <w:t xml:space="preserve">, in favore dei quali ha erogato </w:t>
      </w:r>
      <w:r>
        <w:rPr>
          <w:rFonts w:ascii="Times New Roman" w:cs="Times New Roman" w:eastAsia="Times New Roman" w:hAnsi="Times New Roman"/>
          <w:b/>
          <w:bCs/>
          <w:i w:val="false"/>
          <w:iCs w:val="false"/>
          <w:sz w:val="21"/>
          <w:szCs w:val="21"/>
        </w:rPr>
        <w:t xml:space="preserve">centoventotto azioni documentate</w:t>
      </w:r>
      <w:r>
        <w:rPr>
          <w:rFonts w:ascii="Times New Roman" w:cs="Times New Roman" w:eastAsia="Times New Roman" w:hAnsi="Times New Roman"/>
          <w:b w:val="false"/>
          <w:bCs w:val="false"/>
          <w:i w:val="false"/>
          <w:iCs w:val="false"/>
          <w:sz w:val="21"/>
          <w:szCs w:val="21"/>
        </w:rPr>
        <w:t xml:space="preserve"> fra incontri individuali di orientamento, redazione e aggiornamento dei curriculum e determinazione delle competenze, oltre agli adempimenti amministrativi propedeutici, alle attività di gruppo, alla ricerca attiva e alla mediazione linguistica applicata al contesto lavorativo.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dieci borse lavoro e il tirocinio extracurriculare attivati costituiscono l’esito terminale di questo processo e riguardano una quota minoritaria dell’utenza: leggerli isolatamente restituirebbe una rappresentazione parziale e sottostimata dell’attività svolta. L’obiettivo del servizio, coerentemente con quanto previsto dal sistema SAI, non si esaurisce nell’attivazione di misure di inserimento, ma consiste nell’accompagnare ciascun beneficiario verso una condizione di autonomia lavorativa sostenibile oltre la durata dell’accoglienza.</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2. NOTA METODOLOGICA E FONTI</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Resoconto orientamento aggiornato al 27/07/2026</w:t>
      </w:r>
      <w:r>
        <w:rPr>
          <w:rFonts w:ascii="Times New Roman" w:cs="Times New Roman" w:eastAsia="Times New Roman" w:hAnsi="Times New Roman"/>
          <w:b w:val="false"/>
          <w:bCs w:val="false"/>
          <w:i w:val="false"/>
          <w:iCs w:val="false"/>
          <w:sz w:val="21"/>
          <w:szCs w:val="21"/>
        </w:rPr>
        <w:t xml:space="preserve"> — registro delle attività di orientamento su cinquanta posizioni, con tracciamento delle date di colloquio, redazione del curriculum e determinazione delle competenze, comprensivo degli aggiornamenti successivi. Alimenta i §§ 6 e 11.</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Prospetto Borse Lavoro aggiornato al 04/08/2026</w:t>
      </w:r>
      <w:r>
        <w:rPr>
          <w:rFonts w:ascii="Times New Roman" w:cs="Times New Roman" w:eastAsia="Times New Roman" w:hAnsi="Times New Roman"/>
          <w:b w:val="false"/>
          <w:bCs w:val="false"/>
          <w:i w:val="false"/>
          <w:iCs w:val="false"/>
          <w:sz w:val="21"/>
          <w:szCs w:val="21"/>
        </w:rPr>
        <w:t xml:space="preserve"> — registro dei percorsi di inserimento retribuiti, con soggetto ospitante, sede, settore, date, importo impegnato e stato. Alimenta i §§ 7 e 9.</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Informazioni sull’organico e sull’operatività del servizio</w:t>
      </w:r>
      <w:r>
        <w:rPr>
          <w:rFonts w:ascii="Times New Roman" w:cs="Times New Roman" w:eastAsia="Times New Roman" w:hAnsi="Times New Roman"/>
          <w:b w:val="false"/>
          <w:bCs w:val="false"/>
          <w:i w:val="false"/>
          <w:iCs w:val="false"/>
          <w:sz w:val="21"/>
          <w:szCs w:val="21"/>
        </w:rPr>
        <w:t xml:space="preserve"> trasmesse dal Coordinamento di progetto (§§ 4 e 6.6).</w:t>
      </w:r>
    </w:p>
    <w:p>
      <w:pPr>
        <w:pStyle w:val="ListParagraph"/>
        <w:numPr>
          <w:ilvl w:val="0"/>
          <w:numId w:val="2"/>
        </w:numPr>
        <w:spacing w:after="90" w:line="276"/>
        <w:jc w:val="both"/>
      </w:pPr>
      <w:r>
        <w:rPr>
          <w:rFonts w:ascii="Times New Roman" w:cs="Times New Roman" w:eastAsia="Times New Roman" w:hAnsi="Times New Roman"/>
          <w:b/>
          <w:bCs/>
          <w:i w:val="false"/>
          <w:iCs w:val="false"/>
          <w:sz w:val="21"/>
          <w:szCs w:val="21"/>
        </w:rPr>
        <w:t xml:space="preserve">Manuale operativo SAI, edizione 2025</w:t>
      </w:r>
      <w:r>
        <w:rPr>
          <w:rFonts w:ascii="Times New Roman" w:cs="Times New Roman" w:eastAsia="Times New Roman" w:hAnsi="Times New Roman"/>
          <w:b w:val="false"/>
          <w:bCs w:val="false"/>
          <w:i w:val="false"/>
          <w:iCs w:val="false"/>
          <w:sz w:val="21"/>
          <w:szCs w:val="21"/>
        </w:rPr>
        <w:t xml:space="preserve">, del Servizio Centrale, per la denominazione dei servizi, la tassonomia degli strumenti e i riferimenti normativi (§ 3).</w:t>
      </w:r>
    </w:p>
    <w:p>
      <w:pPr>
        <w:spacing w:after="4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documento distingue fra ciò che risulta </w:t>
      </w:r>
      <w:r>
        <w:rPr>
          <w:rFonts w:ascii="Times New Roman" w:cs="Times New Roman" w:eastAsia="Times New Roman" w:hAnsi="Times New Roman"/>
          <w:b/>
          <w:bCs/>
          <w:i w:val="false"/>
          <w:iCs w:val="false"/>
          <w:sz w:val="21"/>
          <w:szCs w:val="21"/>
        </w:rPr>
        <w:t xml:space="preserve">documentato</w:t>
      </w:r>
      <w:r>
        <w:rPr>
          <w:rFonts w:ascii="Times New Roman" w:cs="Times New Roman" w:eastAsia="Times New Roman" w:hAnsi="Times New Roman"/>
          <w:b w:val="false"/>
          <w:bCs w:val="false"/>
          <w:i w:val="false"/>
          <w:iCs w:val="false"/>
          <w:sz w:val="21"/>
          <w:szCs w:val="21"/>
        </w:rPr>
        <w:t xml:space="preserve"> dalle fonti, ciò che costituisce </w:t>
      </w:r>
      <w:r>
        <w:rPr>
          <w:rFonts w:ascii="Times New Roman" w:cs="Times New Roman" w:eastAsia="Times New Roman" w:hAnsi="Times New Roman"/>
          <w:b/>
          <w:bCs/>
          <w:i w:val="false"/>
          <w:iCs w:val="false"/>
          <w:sz w:val="21"/>
          <w:szCs w:val="21"/>
        </w:rPr>
        <w:t xml:space="preserve">impianto metodologico</w:t>
      </w:r>
      <w:r>
        <w:rPr>
          <w:rFonts w:ascii="Times New Roman" w:cs="Times New Roman" w:eastAsia="Times New Roman" w:hAnsi="Times New Roman"/>
          <w:b w:val="false"/>
          <w:bCs w:val="false"/>
          <w:i w:val="false"/>
          <w:iCs w:val="false"/>
          <w:sz w:val="21"/>
          <w:szCs w:val="21"/>
        </w:rPr>
        <w:t xml:space="preserve"> del servizio (§ 5) e ciò che è </w:t>
      </w:r>
      <w:r>
        <w:rPr>
          <w:rFonts w:ascii="Times New Roman" w:cs="Times New Roman" w:eastAsia="Times New Roman" w:hAnsi="Times New Roman"/>
          <w:b/>
          <w:bCs/>
          <w:i w:val="false"/>
          <w:iCs w:val="false"/>
          <w:sz w:val="21"/>
          <w:szCs w:val="21"/>
        </w:rPr>
        <w:t xml:space="preserve">proposta di programmazione</w:t>
      </w:r>
      <w:r>
        <w:rPr>
          <w:rFonts w:ascii="Times New Roman" w:cs="Times New Roman" w:eastAsia="Times New Roman" w:hAnsi="Times New Roman"/>
          <w:b w:val="false"/>
          <w:bCs w:val="false"/>
          <w:i w:val="false"/>
          <w:iCs w:val="false"/>
          <w:sz w:val="21"/>
          <w:szCs w:val="21"/>
        </w:rPr>
        <w:t xml:space="preserve"> del consulente (§§ 8, 12). Va precisato che le azioni descritte al § 6.6 sono effettivamente erogate ma prive di tracciamento quantitativo: il dato di centoventotto azioni costituisce pertanto una </w:t>
      </w:r>
      <w:r>
        <w:rPr>
          <w:rFonts w:ascii="Times New Roman" w:cs="Times New Roman" w:eastAsia="Times New Roman" w:hAnsi="Times New Roman"/>
          <w:b/>
          <w:bCs/>
          <w:i w:val="false"/>
          <w:iCs w:val="false"/>
          <w:sz w:val="21"/>
          <w:szCs w:val="21"/>
        </w:rPr>
        <w:t xml:space="preserve">stima per difetto</w:t>
      </w:r>
      <w:r>
        <w:rPr>
          <w:rFonts w:ascii="Times New Roman" w:cs="Times New Roman" w:eastAsia="Times New Roman" w:hAnsi="Times New Roman"/>
          <w:b w:val="false"/>
          <w:bCs w:val="false"/>
          <w:i w:val="false"/>
          <w:iCs w:val="false"/>
          <w:sz w:val="21"/>
          <w:szCs w:val="21"/>
        </w:rPr>
        <w:t xml:space="preserve"> del volume di attività complessivamente svolto.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due fonti hanno date di aggiornamento diverse e non condividono una chiave identificativa: l’incrocio è stato effettuato per nominativo, con riconciliazione manuale delle grafie difformi.</w:t>
      </w:r>
    </w:p>
    <w:p>
      <w:pPr>
        <w:spacing w:after="6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8D5B7" w:sz="4"/>
              <w:left w:val="single" w:color="B45309" w:sz="18"/>
              <w:bottom w:val="single" w:color="E8D5B7" w:sz="4"/>
              <w:right w:val="single" w:color="E8D5B7" w:sz="4"/>
            </w:tcBorders>
            <w:shd w:fill="FDF6EC" w:color="auto" w:val="clear"/>
            <w:tcMar>
              <w:top w:type="dxa" w:w="160"/>
              <w:left w:type="dxa" w:w="200"/>
              <w:bottom w:type="dxa" w:w="160"/>
              <w:right w:type="dxa" w:w="200"/>
            </w:tcMar>
          </w:tcPr>
          <w:p>
            <w:pPr>
              <w:spacing w:after="90" w:line="240"/>
            </w:pPr>
            <w:r>
              <w:rPr>
                <w:rFonts w:ascii="Arial" w:cs="Arial" w:eastAsia="Arial" w:hAnsi="Arial"/>
                <w:b/>
                <w:bCs/>
                <w:i w:val="false"/>
                <w:iCs w:val="false"/>
                <w:color w:val="B45309"/>
                <w:sz w:val="19"/>
                <w:szCs w:val="19"/>
              </w:rPr>
              <w:t xml:space="preserve">Elementi da integrare a cura del Servizio</w:t>
            </w:r>
          </w:p>
          <w:p>
            <w:pPr>
              <w:spacing w:after="90" w:line="264"/>
              <w:jc w:val="both"/>
            </w:pPr>
            <w:r>
              <w:rPr>
                <w:rFonts w:ascii="Times New Roman" w:cs="Times New Roman" w:eastAsia="Times New Roman" w:hAnsi="Times New Roman"/>
                <w:b w:val="false"/>
                <w:bCs w:val="false"/>
                <w:i w:val="false"/>
                <w:iCs w:val="false"/>
                <w:sz w:val="19"/>
                <w:szCs w:val="19"/>
              </w:rPr>
              <w:t xml:space="preserve">I punti seguenti sono contrassegnati nel testo dalla dicitura </w:t>
            </w:r>
            <w:r>
              <w:rPr>
                <w:rFonts w:ascii="Times New Roman" w:cs="Times New Roman" w:eastAsia="Times New Roman" w:hAnsi="Times New Roman"/>
                <w:b/>
                <w:bCs/>
                <w:i/>
                <w:iCs/>
                <w:color w:val="B45309"/>
                <w:sz w:val="19"/>
                <w:szCs w:val="19"/>
              </w:rPr>
              <w:t xml:space="preserve">da integrare</w:t>
            </w:r>
            <w:r>
              <w:rPr>
                <w:rFonts w:ascii="Times New Roman" w:cs="Times New Roman" w:eastAsia="Times New Roman" w:hAnsi="Times New Roman"/>
                <w:b w:val="false"/>
                <w:bCs w:val="false"/>
                <w:i w:val="false"/>
                <w:iCs w:val="false"/>
                <w:sz w:val="19"/>
                <w:szCs w:val="19"/>
              </w:rPr>
              <w:t xml:space="preserve"> e vanno completati prima della trasmissione formale:</w:t>
            </w:r>
          </w:p>
          <w:p>
            <w:pPr>
              <w:spacing w:after="90" w:line="264"/>
              <w:jc w:val="both"/>
            </w:pPr>
            <w:r>
              <w:rPr>
                <w:rFonts w:ascii="Times New Roman" w:cs="Times New Roman" w:eastAsia="Times New Roman" w:hAnsi="Times New Roman"/>
                <w:b w:val="false"/>
                <w:bCs w:val="false"/>
                <w:i w:val="false"/>
                <w:iCs w:val="false"/>
                <w:sz w:val="19"/>
                <w:szCs w:val="19"/>
              </w:rPr>
              <w:t xml:space="preserve">•  elenco dei beneficiari assunti con contratto di lavoro nel 2026, con tipologia contrattuale e decorrenza (§ 8.2);</w:t>
            </w:r>
          </w:p>
          <w:p>
            <w:pPr>
              <w:spacing w:after="90" w:line="264"/>
              <w:jc w:val="both"/>
            </w:pPr>
            <w:r>
              <w:rPr>
                <w:rFonts w:ascii="Times New Roman" w:cs="Times New Roman" w:eastAsia="Times New Roman" w:hAnsi="Times New Roman"/>
                <w:b w:val="false"/>
                <w:bCs w:val="false"/>
                <w:i w:val="false"/>
                <w:iCs w:val="false"/>
                <w:sz w:val="19"/>
                <w:szCs w:val="19"/>
              </w:rPr>
              <w:t xml:space="preserve">•  elenco dei corsi di formazione frequentati, con ente erogatore, periodo e attestati conseguiti (§ 8.3);</w:t>
            </w:r>
          </w:p>
          <w:p>
            <w:pPr>
              <w:spacing w:after="90" w:line="264"/>
              <w:jc w:val="both"/>
            </w:pPr>
            <w:r>
              <w:rPr>
                <w:rFonts w:ascii="Times New Roman" w:cs="Times New Roman" w:eastAsia="Times New Roman" w:hAnsi="Times New Roman"/>
                <w:b w:val="false"/>
                <w:bCs w:val="false"/>
                <w:i w:val="false"/>
                <w:iCs w:val="false"/>
                <w:sz w:val="19"/>
                <w:szCs w:val="19"/>
              </w:rPr>
              <w:t xml:space="preserve">•  estremi delle convenzioni sottoscritte con i soggetti ospitanti e delle relative coperture assicurative (§ 9);</w:t>
            </w:r>
          </w:p>
          <w:p>
            <w:pPr>
              <w:spacing w:after="0" w:line="264"/>
              <w:jc w:val="both"/>
            </w:pPr>
            <w:r>
              <w:rPr>
                <w:rFonts w:ascii="Times New Roman" w:cs="Times New Roman" w:eastAsia="Times New Roman" w:hAnsi="Times New Roman"/>
                <w:b w:val="false"/>
                <w:bCs w:val="false"/>
                <w:i w:val="false"/>
                <w:iCs w:val="false"/>
                <w:sz w:val="19"/>
                <w:szCs w:val="19"/>
              </w:rPr>
              <w:t xml:space="preserve">•  denominazione del Centro per l’Impiego territorialmente competente e del CPIA di riferimento (§ 9).</w:t>
            </w:r>
          </w:p>
        </w:tc>
      </w:tr>
    </w:tbl>
    <w:p>
      <w:pPr>
        <w:spacing w:after="160"/>
      </w:pPr>
      <w:r>
        <w:rPr>
          <w:rFonts w:ascii="Times New Roman" w:cs="Times New Roman" w:eastAsia="Times New Roman" w:hAnsi="Times New Roman"/>
          <w:b w:val="false"/>
          <w:bCs w:val="false"/>
          <w:i w:val="false"/>
          <w:iCs w:val="false"/>
          <w:sz w:val="21"/>
          <w:szCs w:val="21"/>
        </w:rPr>
        <w:t xml:space="preserve"/>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3. QUADRO NORMATIVO E DI RIFERIMENTO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si colloca nel sistema di accoglienza integrata disciplinato dall’</w:t>
      </w:r>
      <w:r>
        <w:rPr>
          <w:rFonts w:ascii="Times New Roman" w:cs="Times New Roman" w:eastAsia="Times New Roman" w:hAnsi="Times New Roman"/>
          <w:b/>
          <w:bCs/>
          <w:i w:val="false"/>
          <w:iCs w:val="false"/>
          <w:sz w:val="21"/>
          <w:szCs w:val="21"/>
        </w:rPr>
        <w:t xml:space="preserve">art. 1-sexies del D.L. 416/1989</w:t>
      </w:r>
      <w:r>
        <w:rPr>
          <w:rFonts w:ascii="Times New Roman" w:cs="Times New Roman" w:eastAsia="Times New Roman" w:hAnsi="Times New Roman"/>
          <w:b w:val="false"/>
          <w:bCs w:val="false"/>
          <w:i w:val="false"/>
          <w:iCs w:val="false"/>
          <w:sz w:val="21"/>
          <w:szCs w:val="21"/>
        </w:rPr>
        <w:t xml:space="preserve">, convertito dalla L. 39/1990, come modificato dal </w:t>
      </w:r>
      <w:r>
        <w:rPr>
          <w:rFonts w:ascii="Times New Roman" w:cs="Times New Roman" w:eastAsia="Times New Roman" w:hAnsi="Times New Roman"/>
          <w:b/>
          <w:bCs/>
          <w:i w:val="false"/>
          <w:iCs w:val="false"/>
          <w:sz w:val="21"/>
          <w:szCs w:val="21"/>
        </w:rPr>
        <w:t xml:space="preserve">D.L. 130/2020</w:t>
      </w:r>
      <w:r>
        <w:rPr>
          <w:rFonts w:ascii="Times New Roman" w:cs="Times New Roman" w:eastAsia="Times New Roman" w:hAnsi="Times New Roman"/>
          <w:b w:val="false"/>
          <w:bCs w:val="false"/>
          <w:i w:val="false"/>
          <w:iCs w:val="false"/>
          <w:sz w:val="21"/>
          <w:szCs w:val="21"/>
        </w:rPr>
        <w:t xml:space="preserve">, convertito dalla </w:t>
      </w:r>
      <w:r>
        <w:rPr>
          <w:rFonts w:ascii="Times New Roman" w:cs="Times New Roman" w:eastAsia="Times New Roman" w:hAnsi="Times New Roman"/>
          <w:b/>
          <w:bCs/>
          <w:i w:val="false"/>
          <w:iCs w:val="false"/>
          <w:sz w:val="21"/>
          <w:szCs w:val="21"/>
        </w:rPr>
        <w:t xml:space="preserve">L. 173/2020</w:t>
      </w:r>
      <w:r>
        <w:rPr>
          <w:rFonts w:ascii="Times New Roman" w:cs="Times New Roman" w:eastAsia="Times New Roman" w:hAnsi="Times New Roman"/>
          <w:b w:val="false"/>
          <w:bCs w:val="false"/>
          <w:i w:val="false"/>
          <w:iCs w:val="false"/>
          <w:sz w:val="21"/>
          <w:szCs w:val="21"/>
        </w:rPr>
        <w:t xml:space="preserve">, che ha istituito il Sistema di Accoglienza e Integrazione in sostituzione del precedente SIPROIMI. Il decreto ministeriale di riferimento, richiamato dal Manuale operativo SAI nella sua edizione 2025, è il </w:t>
      </w:r>
      <w:r>
        <w:rPr>
          <w:rFonts w:ascii="Times New Roman" w:cs="Times New Roman" w:eastAsia="Times New Roman" w:hAnsi="Times New Roman"/>
          <w:b/>
          <w:bCs/>
          <w:i w:val="false"/>
          <w:iCs w:val="false"/>
          <w:sz w:val="21"/>
          <w:szCs w:val="21"/>
        </w:rPr>
        <w:t xml:space="preserve">DM 18 novembre 2019</w:t>
      </w:r>
      <w:r>
        <w:rPr>
          <w:rFonts w:ascii="Times New Roman" w:cs="Times New Roman" w:eastAsia="Times New Roman" w:hAnsi="Times New Roman"/>
          <w:b w:val="false"/>
          <w:bCs w:val="false"/>
          <w:i w:val="false"/>
          <w:iCs w:val="false"/>
          <w:sz w:val="21"/>
          <w:szCs w:val="21"/>
        </w:rPr>
        <w:t xml:space="preserve">, il cui art. 5 pone in capo all’ente locale titolare l’obbligo di «un costante monitoraggio e controllo sull’attuazione dei progetti, sull’erogazione dei servizi di accoglienza e sulla corretta gestione amministrativa»: obbligo nel quale la presente relazione si inscrive.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i w:val="false"/>
          <w:iCs w:val="false"/>
          <w:sz w:val="21"/>
          <w:szCs w:val="21"/>
        </w:rPr>
        <w:t xml:space="preserve">orientamento e accompagnamento all’inserimento lavorativo</w:t>
      </w:r>
      <w:r>
        <w:rPr>
          <w:rFonts w:ascii="Times New Roman" w:cs="Times New Roman" w:eastAsia="Times New Roman" w:hAnsi="Times New Roman"/>
          <w:b w:val="false"/>
          <w:bCs w:val="false"/>
          <w:i w:val="false"/>
          <w:iCs w:val="false"/>
          <w:sz w:val="21"/>
          <w:szCs w:val="21"/>
        </w:rPr>
        <w:t xml:space="preserve"> figura fra i servizi che l’ente attuatore è tenuto a garantire ed è oggetto di una sezione dedicata del Manuale, che ne articola gli strumenti in una tassonomia qui assunta come griglia espositiva: orientamento al territorio, curriculum vitae, bilancio di competenze, certificazione delle competenze, istruzione degli adulti, formazione professionale, tirocinio, </w:t>
      </w:r>
      <w:r>
        <w:rPr>
          <w:rFonts w:ascii="Times New Roman" w:cs="Times New Roman" w:eastAsia="Times New Roman" w:hAnsi="Times New Roman"/>
          <w:b/>
          <w:bCs/>
          <w:i w:val="false"/>
          <w:iCs w:val="false"/>
          <w:sz w:val="21"/>
          <w:szCs w:val="21"/>
        </w:rPr>
        <w:t xml:space="preserve">borsa lavoro</w:t>
      </w:r>
      <w:r>
        <w:rPr>
          <w:rFonts w:ascii="Times New Roman" w:cs="Times New Roman" w:eastAsia="Times New Roman" w:hAnsi="Times New Roman"/>
          <w:b w:val="false"/>
          <w:bCs w:val="false"/>
          <w:i w:val="false"/>
          <w:iCs w:val="false"/>
          <w:sz w:val="21"/>
          <w:szCs w:val="21"/>
        </w:rPr>
        <w:t xml:space="preserve">, apprendistato, ricerca del lavoro, preparazione al colloquio e lavoro autonomo.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Due indicazioni del Manuale rilevano per la lettura dei dati esposti nel seguito. La prima è che, indipendentemente dal titolo di soggiorno posseduto, restano </w:t>
      </w:r>
      <w:r>
        <w:rPr>
          <w:rFonts w:ascii="Times New Roman" w:cs="Times New Roman" w:eastAsia="Times New Roman" w:hAnsi="Times New Roman"/>
          <w:b/>
          <w:bCs/>
          <w:i w:val="false"/>
          <w:iCs w:val="false"/>
          <w:sz w:val="21"/>
          <w:szCs w:val="21"/>
        </w:rPr>
        <w:t xml:space="preserve">sempre attivabili in favore di tutti gli accolti</w:t>
      </w:r>
      <w:r>
        <w:rPr>
          <w:rFonts w:ascii="Times New Roman" w:cs="Times New Roman" w:eastAsia="Times New Roman" w:hAnsi="Times New Roman"/>
          <w:b w:val="false"/>
          <w:bCs w:val="false"/>
          <w:i w:val="false"/>
          <w:iCs w:val="false"/>
          <w:sz w:val="21"/>
          <w:szCs w:val="21"/>
        </w:rPr>
        <w:t xml:space="preserve"> le misure propedeutiche — apprendimento della lingua, ricostruzione delle competenze, compilazione del curriculum, preparazione ai colloqui: è la ragione per cui la copertura degli strumenti di orientamento è, ed è corretto che sia, più ampia di quella degli inserimenti retribuiti. La seconda riguarda la </w:t>
      </w:r>
      <w:r>
        <w:rPr>
          <w:rFonts w:ascii="Times New Roman" w:cs="Times New Roman" w:eastAsia="Times New Roman" w:hAnsi="Times New Roman"/>
          <w:b/>
          <w:bCs/>
          <w:i w:val="false"/>
          <w:iCs w:val="false"/>
          <w:sz w:val="21"/>
          <w:szCs w:val="21"/>
        </w:rPr>
        <w:t xml:space="preserve">borsa lavoro</w:t>
      </w:r>
      <w:r>
        <w:rPr>
          <w:rFonts w:ascii="Times New Roman" w:cs="Times New Roman" w:eastAsia="Times New Roman" w:hAnsi="Times New Roman"/>
          <w:b w:val="false"/>
          <w:bCs w:val="false"/>
          <w:i w:val="false"/>
          <w:iCs w:val="false"/>
          <w:sz w:val="21"/>
          <w:szCs w:val="21"/>
        </w:rPr>
        <w:t xml:space="preserve">, qualificata come «strumento di transizione che può agevolare l’ingresso nel mercato lavorativo attraverso un’esperienza di formazione in azienda», al quale «potrà seguire l’instaurazione di un rapporto di lavoro». Il § 8.1 documenta un caso in cui questa transizione si è realizzata.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Completano il quadro le Linee guida sui </w:t>
      </w:r>
      <w:r>
        <w:rPr>
          <w:rFonts w:ascii="Times New Roman" w:cs="Times New Roman" w:eastAsia="Times New Roman" w:hAnsi="Times New Roman"/>
          <w:b/>
          <w:bCs/>
          <w:i w:val="false"/>
          <w:iCs w:val="false"/>
          <w:sz w:val="21"/>
          <w:szCs w:val="21"/>
        </w:rPr>
        <w:t xml:space="preserve">tirocini extracurriculari</w:t>
      </w:r>
      <w:r>
        <w:rPr>
          <w:rFonts w:ascii="Times New Roman" w:cs="Times New Roman" w:eastAsia="Times New Roman" w:hAnsi="Times New Roman"/>
          <w:b w:val="false"/>
          <w:bCs w:val="false"/>
          <w:i w:val="false"/>
          <w:iCs w:val="false"/>
          <w:sz w:val="21"/>
          <w:szCs w:val="21"/>
        </w:rPr>
        <w:t xml:space="preserve"> approvate in sede di Conferenza Stato-Regioni — da ultimo con l’Accordo del 17 maggio 2023 — e la disciplina di recepimento della Regione Siciliana; il </w:t>
      </w:r>
      <w:r>
        <w:rPr>
          <w:rFonts w:ascii="Times New Roman" w:cs="Times New Roman" w:eastAsia="Times New Roman" w:hAnsi="Times New Roman"/>
          <w:b/>
          <w:bCs/>
          <w:i w:val="false"/>
          <w:iCs w:val="false"/>
          <w:sz w:val="21"/>
          <w:szCs w:val="21"/>
        </w:rPr>
        <w:t xml:space="preserve">D.Lgs. 81/2008</w:t>
      </w:r>
      <w:r>
        <w:rPr>
          <w:rFonts w:ascii="Times New Roman" w:cs="Times New Roman" w:eastAsia="Times New Roman" w:hAnsi="Times New Roman"/>
          <w:b w:val="false"/>
          <w:bCs w:val="false"/>
          <w:i w:val="false"/>
          <w:iCs w:val="false"/>
          <w:sz w:val="21"/>
          <w:szCs w:val="21"/>
        </w:rPr>
        <w:t xml:space="preserve"> per la formazione obbligatoria in materia di sicurezza; il </w:t>
      </w:r>
      <w:r>
        <w:rPr>
          <w:rFonts w:ascii="Times New Roman" w:cs="Times New Roman" w:eastAsia="Times New Roman" w:hAnsi="Times New Roman"/>
          <w:b/>
          <w:bCs/>
          <w:i w:val="false"/>
          <w:iCs w:val="false"/>
          <w:sz w:val="21"/>
          <w:szCs w:val="21"/>
        </w:rPr>
        <w:t xml:space="preserve">D.Lgs. 286/1998</w:t>
      </w:r>
      <w:r>
        <w:rPr>
          <w:rFonts w:ascii="Times New Roman" w:cs="Times New Roman" w:eastAsia="Times New Roman" w:hAnsi="Times New Roman"/>
          <w:b w:val="false"/>
          <w:bCs w:val="false"/>
          <w:i w:val="false"/>
          <w:iCs w:val="false"/>
          <w:sz w:val="21"/>
          <w:szCs w:val="21"/>
        </w:rPr>
        <w:t xml:space="preserve"> quanto ai titoli di soggiorno che consentono l’accesso al lavoro; il </w:t>
      </w:r>
      <w:r>
        <w:rPr>
          <w:rFonts w:ascii="Times New Roman" w:cs="Times New Roman" w:eastAsia="Times New Roman" w:hAnsi="Times New Roman"/>
          <w:b/>
          <w:bCs/>
          <w:i w:val="false"/>
          <w:iCs w:val="false"/>
          <w:sz w:val="21"/>
          <w:szCs w:val="21"/>
        </w:rPr>
        <w:t xml:space="preserve">Reg. UE 2016/679</w:t>
      </w:r>
      <w:r>
        <w:rPr>
          <w:rFonts w:ascii="Times New Roman" w:cs="Times New Roman" w:eastAsia="Times New Roman" w:hAnsi="Times New Roman"/>
          <w:b w:val="false"/>
          <w:bCs w:val="false"/>
          <w:i w:val="false"/>
          <w:iCs w:val="false"/>
          <w:sz w:val="21"/>
          <w:szCs w:val="21"/>
        </w:rPr>
        <w:t xml:space="preserve"> per il trattamento dei dati.</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4. STRUTTURA ORGANIZZATIVA DEL SERVIZIO</w:t>
      </w:r>
    </w:p>
    <w:p>
      <w:pPr>
        <w:pStyle w:val="Heading2"/>
        <w:spacing w:after="120" w:before="260"/>
      </w:pPr>
      <w:r>
        <w:rPr>
          <w:rFonts w:ascii="Arial" w:cs="Arial" w:eastAsia="Arial" w:hAnsi="Arial"/>
          <w:b/>
          <w:bCs/>
          <w:i w:val="false"/>
          <w:iCs w:val="false"/>
          <w:color w:val="2E5C8A"/>
          <w:sz w:val="23"/>
          <w:szCs w:val="23"/>
        </w:rPr>
        <w:t xml:space="preserve">4.1 Figure di riferimento e funzioni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024"/>
        <w:gridCol w:w="1542"/>
        <w:gridCol w:w="3662"/>
      </w:tblGrid>
      <w:tr>
        <w:trPr>
          <w:tblHeader/>
        </w:trPr>
        <w:tc>
          <w:tcPr>
            <w:tcW w:type="dxa" w:w="24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Nominativo</w:t>
            </w:r>
          </w:p>
        </w:tc>
        <w:tc>
          <w:tcPr>
            <w:tcW w:type="dxa" w:w="202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Ruolo</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Impegno</w:t>
            </w:r>
          </w:p>
        </w:tc>
        <w:tc>
          <w:tcPr>
            <w:tcW w:type="dxa" w:w="366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Periodo di riferimento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Tiziana Graceffa</w:t>
            </w:r>
          </w:p>
        </w:tc>
        <w:tc>
          <w:tcPr>
            <w:tcW w:type="dxa" w:w="202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Orientatrice al lavoro — titolare del servizio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5 ore settimanali</w:t>
            </w:r>
          </w:p>
        </w:tc>
        <w:tc>
          <w:tcPr>
            <w:tcW w:type="dxa" w:w="366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Intera annualità 2026</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Giuseppe Lo Presti Seminerio</w:t>
            </w:r>
          </w:p>
        </w:tc>
        <w:tc>
          <w:tcPr>
            <w:tcW w:type="dxa" w:w="202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Collaboratore orientatore al lavoro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15 ore settimanali</w:t>
            </w:r>
          </w:p>
        </w:tc>
        <w:tc>
          <w:tcPr>
            <w:tcW w:type="dxa" w:w="366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Dal 07/07/2026 al 30/09/2026</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w:t>
      </w:r>
      <w:r>
        <w:rPr>
          <w:rFonts w:ascii="Times New Roman" w:cs="Times New Roman" w:eastAsia="Times New Roman" w:hAnsi="Times New Roman"/>
          <w:b/>
          <w:bCs/>
          <w:i w:val="false"/>
          <w:iCs w:val="false"/>
          <w:sz w:val="21"/>
          <w:szCs w:val="21"/>
        </w:rPr>
        <w:t xml:space="preserve">orientatrice al lavoro</w:t>
      </w:r>
      <w:r>
        <w:rPr>
          <w:rFonts w:ascii="Times New Roman" w:cs="Times New Roman" w:eastAsia="Times New Roman" w:hAnsi="Times New Roman"/>
          <w:b w:val="false"/>
          <w:bCs w:val="false"/>
          <w:i w:val="false"/>
          <w:iCs w:val="false"/>
          <w:sz w:val="21"/>
          <w:szCs w:val="21"/>
        </w:rPr>
        <w:t xml:space="preserve"> presidia l’intero ciclo del servizio: presa in carico e conduzione degli incontri individuali; determinazione delle competenze e ricostruzione del profilo professionale; redazione e aggiornamento dei curriculum; progettazione individualizzata in raccordo con l’équipe multidisciplinare; scouting aziendale e matching; istruttoria e gestione amministrativa delle borse lavoro, comprensiva di convenzioni, progetti formativi, coperture assicurative e liquidazione delle mensilità; tutoraggio in itinere con visite in azienda; rapporti istituzionali con Centri per l’Impiego, Agenzie per il Lavoro, enti promotori e CPIA; monitoraggio e rendicontazione.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w:t>
      </w:r>
      <w:r>
        <w:rPr>
          <w:rFonts w:ascii="Times New Roman" w:cs="Times New Roman" w:eastAsia="Times New Roman" w:hAnsi="Times New Roman"/>
          <w:b/>
          <w:bCs/>
          <w:i w:val="false"/>
          <w:iCs w:val="false"/>
          <w:sz w:val="21"/>
          <w:szCs w:val="21"/>
        </w:rPr>
        <w:t xml:space="preserve">collaboratore orientatore al lavoro</w:t>
      </w:r>
      <w:r>
        <w:rPr>
          <w:rFonts w:ascii="Times New Roman" w:cs="Times New Roman" w:eastAsia="Times New Roman" w:hAnsi="Times New Roman"/>
          <w:b w:val="false"/>
          <w:bCs w:val="false"/>
          <w:i w:val="false"/>
          <w:iCs w:val="false"/>
          <w:sz w:val="21"/>
          <w:szCs w:val="21"/>
        </w:rPr>
        <w:t xml:space="preserve">, con incarico dal 7 luglio al 30 settembre 2026 per quindici ore settimanali, fornisce supporto operativo nella fase di maggiore intensità: affiancamento negli incontri individuali e conduzione delle attività di gruppo; accompagnamento dei beneficiari presso soggetti ospitanti, Centri per l’Impiego e uffici pubblici; supporto documentale su curriculum, identità digitale e pratiche connesse al titolo di soggiorno; monitoraggio in azienda; recupero dell’arretrato sulle prese in carico; tenuta della documentazione di servizio.</w:t>
      </w:r>
    </w:p>
    <w:p>
      <w:pPr>
        <w:pStyle w:val="Heading2"/>
        <w:spacing w:after="120" w:before="260"/>
      </w:pPr>
      <w:r>
        <w:rPr>
          <w:rFonts w:ascii="Arial" w:cs="Arial" w:eastAsia="Arial" w:hAnsi="Arial"/>
          <w:b/>
          <w:bCs/>
          <w:i w:val="false"/>
          <w:iCs w:val="false"/>
          <w:color w:val="2E5C8A"/>
          <w:sz w:val="23"/>
          <w:szCs w:val="23"/>
        </w:rPr>
        <w:t xml:space="preserve">4.2 Monte ore e articolazione del presidio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542"/>
        <w:gridCol w:w="1735"/>
        <w:gridCol w:w="1542"/>
        <w:gridCol w:w="1928"/>
      </w:tblGrid>
      <w:tr>
        <w:trPr>
          <w:tblHeader/>
        </w:trPr>
        <w:tc>
          <w:tcPr>
            <w:tcW w:type="dxa" w:w="289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Figura</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Ore sett.</w:t>
            </w:r>
          </w:p>
        </w:tc>
        <w:tc>
          <w:tcPr>
            <w:tcW w:type="dxa" w:w="173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Settimane</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Ore</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Periodo</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Tiziana Graceffa</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5,0</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52,0</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260,0</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Annualità 2026</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Giuseppe Lo Presti Seminerio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15,0</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12,3</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184,5</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07/07 – 30/09/2026</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 annuo del servizio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444,5</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 trimestre di sovrapposizione la capacità settimanale passa da 5 a </w:t>
      </w:r>
      <w:r>
        <w:rPr>
          <w:rFonts w:ascii="Times New Roman" w:cs="Times New Roman" w:eastAsia="Times New Roman" w:hAnsi="Times New Roman"/>
          <w:b/>
          <w:bCs/>
          <w:i w:val="false"/>
          <w:iCs w:val="false"/>
          <w:sz w:val="21"/>
          <w:szCs w:val="21"/>
        </w:rPr>
        <w:t xml:space="preserve">20 ore</w:t>
      </w:r>
      <w:r>
        <w:rPr>
          <w:rFonts w:ascii="Times New Roman" w:cs="Times New Roman" w:eastAsia="Times New Roman" w:hAnsi="Times New Roman"/>
          <w:b w:val="false"/>
          <w:bCs w:val="false"/>
          <w:i w:val="false"/>
          <w:iCs w:val="false"/>
          <w:sz w:val="21"/>
          <w:szCs w:val="21"/>
        </w:rPr>
        <w:t xml:space="preserve">. Sul piano annuo il monte ore complessivo corrisponde a </w:t>
      </w:r>
      <w:r>
        <w:rPr>
          <w:rFonts w:ascii="Times New Roman" w:cs="Times New Roman" w:eastAsia="Times New Roman" w:hAnsi="Times New Roman"/>
          <w:b/>
          <w:bCs/>
          <w:i w:val="false"/>
          <w:iCs w:val="false"/>
          <w:sz w:val="21"/>
          <w:szCs w:val="21"/>
        </w:rPr>
        <w:t xml:space="preserve">8,9 ore per beneficiario in carico</w:t>
      </w:r>
      <w:r>
        <w:rPr>
          <w:rFonts w:ascii="Times New Roman" w:cs="Times New Roman" w:eastAsia="Times New Roman" w:hAnsi="Times New Roman"/>
          <w:b w:val="false"/>
          <w:bCs w:val="false"/>
          <w:i w:val="false"/>
          <w:iCs w:val="false"/>
          <w:sz w:val="21"/>
          <w:szCs w:val="21"/>
        </w:rPr>
        <w:t xml:space="preserve">; considerando la sola orientatrice, il rapporto scende a </w:t>
      </w:r>
      <w:r>
        <w:rPr>
          <w:rFonts w:ascii="Times New Roman" w:cs="Times New Roman" w:eastAsia="Times New Roman" w:hAnsi="Times New Roman"/>
          <w:b/>
          <w:bCs/>
          <w:i w:val="false"/>
          <w:iCs w:val="false"/>
          <w:sz w:val="21"/>
          <w:szCs w:val="21"/>
        </w:rPr>
        <w:t xml:space="preserve">5,2 ore per beneficiario</w:t>
      </w:r>
      <w:r>
        <w:rPr>
          <w:rFonts w:ascii="Times New Roman" w:cs="Times New Roman" w:eastAsia="Times New Roman" w:hAnsi="Times New Roman"/>
          <w:b w:val="false"/>
          <w:bCs w:val="false"/>
          <w:i w:val="false"/>
          <w:iCs w:val="false"/>
          <w:sz w:val="21"/>
          <w:szCs w:val="21"/>
        </w:rPr>
        <w:t xml:space="preserve">, comprensive di incontri individuali, determinazione delle competenze, curriculum, scouting, gestione amministrativa e tutoraggio.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Quest’ultimo dato è la chiave di lettura di gran parte delle criticità esposte al § 10: </w:t>
      </w:r>
      <w:r>
        <w:rPr>
          <w:rFonts w:ascii="Times New Roman" w:cs="Times New Roman" w:eastAsia="Times New Roman" w:hAnsi="Times New Roman"/>
          <w:b/>
          <w:bCs/>
          <w:i w:val="false"/>
          <w:iCs w:val="false"/>
          <w:sz w:val="21"/>
          <w:szCs w:val="21"/>
        </w:rPr>
        <w:t xml:space="preserve">cinque ore all’anno per beneficiario</w:t>
      </w:r>
      <w:r>
        <w:rPr>
          <w:rFonts w:ascii="Times New Roman" w:cs="Times New Roman" w:eastAsia="Times New Roman" w:hAnsi="Times New Roman"/>
          <w:b w:val="false"/>
          <w:bCs w:val="false"/>
          <w:i w:val="false"/>
          <w:iCs w:val="false"/>
          <w:sz w:val="21"/>
          <w:szCs w:val="21"/>
        </w:rPr>
        <w:t xml:space="preserve"> non consentono, simultaneamente, di presidiare i nuovi ingressi, mantenere aggiornate le posizioni in carico, condurre lo scouting e gestire l’amministrazione degli inserimenti. Le scelte operative documentate nel seguito — copertura ampia sugli strumenti propedeutici, copertura selettiva sulla determinazione delle competenze, tempi di primo contatto dilatati — vanno lette come effetti di questo vincolo, non come carenze di impostazione.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cinque ore ordinarie sono articolate in </w:t>
      </w:r>
      <w:r>
        <w:rPr>
          <w:rFonts w:ascii="Times New Roman" w:cs="Times New Roman" w:eastAsia="Times New Roman" w:hAnsi="Times New Roman"/>
          <w:b/>
          <w:bCs/>
          <w:i w:val="false"/>
          <w:iCs w:val="false"/>
          <w:sz w:val="21"/>
          <w:szCs w:val="21"/>
        </w:rPr>
        <w:t xml:space="preserve">due ore di incontri individuali</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i w:val="false"/>
          <w:iCs w:val="false"/>
          <w:sz w:val="21"/>
          <w:szCs w:val="21"/>
        </w:rPr>
        <w:t xml:space="preserve">un’ora di scouting aziendale</w:t>
      </w:r>
      <w:r>
        <w:rPr>
          <w:rFonts w:ascii="Times New Roman" w:cs="Times New Roman" w:eastAsia="Times New Roman" w:hAnsi="Times New Roman"/>
          <w:b w:val="false"/>
          <w:bCs w:val="false"/>
          <w:i w:val="false"/>
          <w:iCs w:val="false"/>
          <w:sz w:val="21"/>
          <w:szCs w:val="21"/>
        </w:rPr>
        <w:t xml:space="preserve"> e cura dei rapporti con la rete, </w:t>
      </w:r>
      <w:r>
        <w:rPr>
          <w:rFonts w:ascii="Times New Roman" w:cs="Times New Roman" w:eastAsia="Times New Roman" w:hAnsi="Times New Roman"/>
          <w:b/>
          <w:bCs/>
          <w:i w:val="false"/>
          <w:iCs w:val="false"/>
          <w:sz w:val="21"/>
          <w:szCs w:val="21"/>
        </w:rPr>
        <w:t xml:space="preserve">un’ora di tutoraggio</w:t>
      </w:r>
      <w:r>
        <w:rPr>
          <w:rFonts w:ascii="Times New Roman" w:cs="Times New Roman" w:eastAsia="Times New Roman" w:hAnsi="Times New Roman"/>
          <w:b w:val="false"/>
          <w:bCs w:val="false"/>
          <w:i w:val="false"/>
          <w:iCs w:val="false"/>
          <w:sz w:val="21"/>
          <w:szCs w:val="21"/>
        </w:rPr>
        <w:t xml:space="preserve"> sui percorsi in corso e </w:t>
      </w:r>
      <w:r>
        <w:rPr>
          <w:rFonts w:ascii="Times New Roman" w:cs="Times New Roman" w:eastAsia="Times New Roman" w:hAnsi="Times New Roman"/>
          <w:b/>
          <w:bCs/>
          <w:i w:val="false"/>
          <w:iCs w:val="false"/>
          <w:sz w:val="21"/>
          <w:szCs w:val="21"/>
        </w:rPr>
        <w:t xml:space="preserve">un’ora di gestione amministrativa e documentale</w:t>
      </w:r>
      <w:r>
        <w:rPr>
          <w:rFonts w:ascii="Times New Roman" w:cs="Times New Roman" w:eastAsia="Times New Roman" w:hAnsi="Times New Roman"/>
          <w:b w:val="false"/>
          <w:bCs w:val="false"/>
          <w:i w:val="false"/>
          <w:iCs w:val="false"/>
          <w:sz w:val="21"/>
          <w:szCs w:val="21"/>
        </w:rPr>
        <w:t xml:space="preserve">. Le quindici ore aggiuntive del trimestre estivo sono destinate prioritariamente al recupero dell’arretrato sulle prese in carico, agli accompagnamenti esterni e al monitoraggio in azienda.</w:t>
      </w:r>
    </w:p>
    <w:p>
      <w:pPr>
        <w:pStyle w:val="Heading2"/>
        <w:spacing w:after="120" w:before="260"/>
      </w:pPr>
      <w:r>
        <w:rPr>
          <w:rFonts w:ascii="Arial" w:cs="Arial" w:eastAsia="Arial" w:hAnsi="Arial"/>
          <w:b/>
          <w:bCs/>
          <w:i w:val="false"/>
          <w:iCs w:val="false"/>
          <w:color w:val="2E5C8A"/>
          <w:sz w:val="23"/>
          <w:szCs w:val="23"/>
        </w:rPr>
        <w:t xml:space="preserve">4.3 Effetti misurabili del rafforzamento estivo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L’ingresso del collaboratore produce un effetto immediato e quantificabile sul volume di attività erogata, documentato dalla distribuzione mensile delle azioni registrate nel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964"/>
        <w:gridCol w:w="964"/>
        <w:gridCol w:w="964"/>
        <w:gridCol w:w="964"/>
        <w:gridCol w:w="964"/>
        <w:gridCol w:w="964"/>
        <w:gridCol w:w="964"/>
        <w:gridCol w:w="962"/>
      </w:tblGrid>
      <w:tr>
        <w:trPr>
          <w:tblHeader/>
        </w:trPr>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Mese 2026</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Gen</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Feb</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Mar</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Apr</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Mag</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Giu</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Lug</w:t>
            </w:r>
          </w:p>
        </w:tc>
        <w:tc>
          <w:tcPr>
            <w:tcW w:type="dxa" w:w="96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Tot</w:t>
            </w:r>
          </w:p>
        </w:tc>
      </w:tr>
      <w:tr>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Azioni registrate</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12</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17</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7</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17</w:t>
            </w:r>
          </w:p>
        </w:tc>
        <w:tc>
          <w:tcPr>
            <w:tcW w:type="dxa" w:w="96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63</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Delle </w:t>
      </w:r>
      <w:r>
        <w:rPr>
          <w:rFonts w:ascii="Times New Roman" w:cs="Times New Roman" w:eastAsia="Times New Roman" w:hAnsi="Times New Roman"/>
          <w:b/>
          <w:bCs/>
          <w:i w:val="false"/>
          <w:iCs w:val="false"/>
          <w:sz w:val="21"/>
          <w:szCs w:val="21"/>
        </w:rPr>
        <w:t xml:space="preserve">17 azioni</w:t>
      </w:r>
      <w:r>
        <w:rPr>
          <w:rFonts w:ascii="Times New Roman" w:cs="Times New Roman" w:eastAsia="Times New Roman" w:hAnsi="Times New Roman"/>
          <w:b w:val="false"/>
          <w:bCs w:val="false"/>
          <w:i w:val="false"/>
          <w:iCs w:val="false"/>
          <w:sz w:val="21"/>
          <w:szCs w:val="21"/>
        </w:rPr>
        <w:t xml:space="preserve"> registrate a luglio, </w:t>
      </w:r>
      <w:r>
        <w:rPr>
          <w:rFonts w:ascii="Times New Roman" w:cs="Times New Roman" w:eastAsia="Times New Roman" w:hAnsi="Times New Roman"/>
          <w:b/>
          <w:bCs/>
          <w:i w:val="false"/>
          <w:iCs w:val="false"/>
          <w:sz w:val="21"/>
          <w:szCs w:val="21"/>
        </w:rPr>
        <w:t xml:space="preserve">16 sono successive al 7 del mese</w:t>
      </w:r>
      <w:r>
        <w:rPr>
          <w:rFonts w:ascii="Times New Roman" w:cs="Times New Roman" w:eastAsia="Times New Roman" w:hAnsi="Times New Roman"/>
          <w:b w:val="false"/>
          <w:bCs w:val="false"/>
          <w:i w:val="false"/>
          <w:iCs w:val="false"/>
          <w:sz w:val="21"/>
          <w:szCs w:val="21"/>
        </w:rPr>
        <w:t xml:space="preserve">, data di decorrenza dell’incarico di collaborazione. Rapportando i volumi ai giorni effettivi, il bimestre maggio-giugno registra 4 azioni in 61 giorni, mentre il periodo dal 7 al 27 luglio ne registra 16 in 20 giorni: la produttività giornaliera passa da 0,07 a 0,80 azioni, con un incremento di oltre dodici volte a fronte di una quadruplicazione delle ore disponibili.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confronto va assunto con la cautela che impone la brevità del periodo osservato — tre settimane non costituiscono una serie storica, e il resoconto è aggiornato al 27 luglio. Nondimeno la coincidenza fra la decorrenza dell’incarico e la ripresa dell’attività è netta, e il fatto che l’incremento sia </w:t>
      </w:r>
      <w:r>
        <w:rPr>
          <w:rFonts w:ascii="Times New Roman" w:cs="Times New Roman" w:eastAsia="Times New Roman" w:hAnsi="Times New Roman"/>
          <w:b/>
          <w:bCs/>
          <w:i w:val="false"/>
          <w:iCs w:val="false"/>
          <w:sz w:val="21"/>
          <w:szCs w:val="21"/>
        </w:rPr>
        <w:t xml:space="preserve">più che proporzionale</w:t>
      </w:r>
      <w:r>
        <w:rPr>
          <w:rFonts w:ascii="Times New Roman" w:cs="Times New Roman" w:eastAsia="Times New Roman" w:hAnsi="Times New Roman"/>
          <w:b w:val="false"/>
          <w:bCs w:val="false"/>
          <w:i w:val="false"/>
          <w:iCs w:val="false"/>
          <w:sz w:val="21"/>
          <w:szCs w:val="21"/>
        </w:rPr>
        <w:t xml:space="preserve"> rispetto alle ore aggiunte suggerisce che il servizio, nella configurazione a cinque ore, operasse al di sotto della propria soglia di efficienza: una quota rilevante del tempo era assorbita da attività non comprimibili, lasciando un margine residuo minimo per il contatto diretto con i beneficiari. Il dato costituisce l’argomento tecnico più solido a sostegno della </w:t>
      </w:r>
      <w:r>
        <w:rPr>
          <w:rFonts w:ascii="Times New Roman" w:cs="Times New Roman" w:eastAsia="Times New Roman" w:hAnsi="Times New Roman"/>
          <w:b/>
          <w:bCs/>
          <w:i w:val="false"/>
          <w:iCs w:val="false"/>
          <w:sz w:val="21"/>
          <w:szCs w:val="21"/>
        </w:rPr>
        <w:t xml:space="preserve">prosecuzione dell’incarico oltre il 30 settembre 2026</w:t>
      </w:r>
      <w:r>
        <w:rPr>
          <w:rFonts w:ascii="Times New Roman" w:cs="Times New Roman" w:eastAsia="Times New Roman" w:hAnsi="Times New Roman"/>
          <w:b w:val="false"/>
          <w:bCs w:val="false"/>
          <w:i w:val="false"/>
          <w:iCs w:val="false"/>
          <w:sz w:val="21"/>
          <w:szCs w:val="21"/>
        </w:rPr>
        <w:t xml:space="preserv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5. METODOLOGIA DELL’INTERVENTO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adotta un modello per fasi successive, ciascuna con esiti verificabili, che consente di ricostruire in ogni momento il punto del percorso in cui ciascun beneficiario si colloca. Le fasi 2, 3 e 5 corrispondono alle azioni tracciate nel registro di servizio e quantificate al § 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2313"/>
        <w:gridCol w:w="4337"/>
        <w:gridCol w:w="2506"/>
      </w:tblGrid>
      <w:tr>
        <w:trPr>
          <w:tblHeader/>
        </w:trPr>
        <w:tc>
          <w:tcPr>
            <w:tcW w:type="dxa" w:w="48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
            </w:r>
          </w:p>
        </w:tc>
        <w:tc>
          <w:tcPr>
            <w:tcW w:type="dxa" w:w="231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Fase</w:t>
            </w:r>
          </w:p>
        </w:tc>
        <w:tc>
          <w:tcPr>
            <w:tcW w:type="dxa" w:w="433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Contenuto</w:t>
            </w:r>
          </w:p>
        </w:tc>
        <w:tc>
          <w:tcPr>
            <w:tcW w:type="dxa" w:w="250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Esito</w:t>
            </w:r>
          </w:p>
        </w:tc>
      </w:tr>
      <w:tr>
        <w:tc>
          <w:tcPr>
            <w:tcW w:type="dxa" w:w="48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Accoglienza e orientamento al territorio</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Primo contatto, restituzione del funzionamento del mercato del lavoro locale e dei servizi competenti</w:t>
            </w:r>
          </w:p>
        </w:tc>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Standard: entro 30 giorni dall’ingresso</w:t>
            </w:r>
          </w:p>
        </w:tc>
      </w:tr>
      <w:tr>
        <w:tc>
          <w:tcPr>
            <w:tcW w:type="dxa" w:w="48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Incontro individuale di orientamento</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Biografia formativa e lavorativa, verifica documentale, livello linguistico, aspettative professionali</w:t>
            </w:r>
          </w:p>
        </w:tc>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Scheda individuale aperta — azione tracciata</w:t>
            </w:r>
          </w:p>
        </w:tc>
      </w:tr>
      <w:tr>
        <w:tc>
          <w:tcPr>
            <w:tcW w:type="dxa" w:w="48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Redazione del curriculum vitae</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Costruzione in formato europeo, con valorizzazione delle esperienze non documentate da titoli</w:t>
            </w:r>
          </w:p>
        </w:tc>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CV consegnato — azione tracciata</w:t>
            </w:r>
          </w:p>
        </w:tc>
      </w:tr>
      <w:tr>
        <w:tc>
          <w:tcPr>
            <w:tcW w:type="dxa" w:w="48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Regolarizzazione della posizione amministrativa</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Codice fiscale, SPID, DID, iscrizione al CPI, apertura del conto corrente</w:t>
            </w:r>
          </w:p>
        </w:tc>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Accesso alle misure di politica attiva</w:t>
            </w:r>
          </w:p>
        </w:tc>
      </w:tr>
      <w:tr>
        <w:tc>
          <w:tcPr>
            <w:tcW w:type="dxa" w:w="48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Determinazione delle competenze</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Ricostruzione strutturata del bagaglio di competenze e rilevazione dei vincoli oggettivi</w:t>
            </w:r>
          </w:p>
        </w:tc>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Profilo professionale definito — azione tracciata</w:t>
            </w:r>
          </w:p>
        </w:tc>
      </w:tr>
      <w:tr>
        <w:tc>
          <w:tcPr>
            <w:tcW w:type="dxa" w:w="48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Empowerment e preparazione al colloquio</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Ricerca attiva, simulazione del colloquio, contrattualistica, diritti e doveri, sicurezza</w:t>
            </w:r>
          </w:p>
        </w:tc>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Prevalentemente in forma di gruppo</w:t>
            </w:r>
          </w:p>
        </w:tc>
      </w:tr>
      <w:tr>
        <w:tc>
          <w:tcPr>
            <w:tcW w:type="dxa" w:w="48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7</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Scouting e matching</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Individuazione del soggetto ospitante coerente con profilo, logistica e prospettive del settore</w:t>
            </w:r>
          </w:p>
        </w:tc>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Abbinamento definito</w:t>
            </w:r>
          </w:p>
        </w:tc>
      </w:tr>
      <w:tr>
        <w:tc>
          <w:tcPr>
            <w:tcW w:type="dxa" w:w="48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Attivazione della misura</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Convenzione, progetto formativo, coperture assicurative, obblighi formativi in materia di sicurezza</w:t>
            </w:r>
          </w:p>
        </w:tc>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lavoro o tirocinio avviato</w:t>
            </w:r>
          </w:p>
        </w:tc>
      </w:tr>
      <w:tr>
        <w:tc>
          <w:tcPr>
            <w:tcW w:type="dxa" w:w="48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9</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Tutoraggio in itinere</w:t>
            </w:r>
          </w:p>
        </w:tc>
        <w:tc>
          <w:tcPr>
            <w:tcW w:type="dxa" w:w="4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Visite in azienda, raccordo con il tutor aziendale, registri di presenza, verifica degli obiettivi</w:t>
            </w:r>
          </w:p>
        </w:tc>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Intercettazione precoce dei disallineamenti</w:t>
            </w:r>
          </w:p>
        </w:tc>
      </w:tr>
      <w:tr>
        <w:tc>
          <w:tcPr>
            <w:tcW w:type="dxa" w:w="48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Valutazione finale e transizione</w:t>
            </w:r>
          </w:p>
        </w:tc>
        <w:tc>
          <w:tcPr>
            <w:tcW w:type="dxa" w:w="4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Valutazione congiunta, attestazione delle competenze, definizione dello sbocco</w:t>
            </w:r>
          </w:p>
        </w:tc>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Assunzione, tirocinio o ricerca attiva</w:t>
            </w:r>
          </w:p>
        </w:tc>
      </w:tr>
    </w:tbl>
    <w:p>
      <w:pPr>
        <w:spacing w:after="160"/>
      </w:pPr>
      <w:r>
        <w:rPr>
          <w:rFonts w:ascii="Times New Roman" w:cs="Times New Roman" w:eastAsia="Times New Roman" w:hAnsi="Times New Roman"/>
          <w:b w:val="false"/>
          <w:bCs w:val="false"/>
          <w:i w:val="false"/>
          <w:iCs w:val="false"/>
          <w:sz w:val="21"/>
          <w:szCs w:val="21"/>
        </w:rPr>
        <w:t xml:space="preserve"/>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6. LE AZIONI REALIZZATE A FAVORE DEI BENEFICIARI</w:t>
      </w:r>
    </w:p>
    <w:p>
      <w:pPr>
        <w:pStyle w:val="Heading2"/>
        <w:spacing w:after="120" w:before="260"/>
      </w:pPr>
      <w:r>
        <w:rPr>
          <w:rFonts w:ascii="Arial" w:cs="Arial" w:eastAsia="Arial" w:hAnsi="Arial"/>
          <w:b/>
          <w:bCs/>
          <w:i w:val="false"/>
          <w:iCs w:val="false"/>
          <w:color w:val="2E5C8A"/>
          <w:sz w:val="23"/>
          <w:szCs w:val="23"/>
        </w:rPr>
        <w:t xml:space="preserve">6.1 Quadro complessivo delle azioni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ha in carico </w:t>
      </w:r>
      <w:r>
        <w:rPr>
          <w:rFonts w:ascii="Times New Roman" w:cs="Times New Roman" w:eastAsia="Times New Roman" w:hAnsi="Times New Roman"/>
          <w:b/>
          <w:bCs/>
          <w:i w:val="false"/>
          <w:iCs w:val="false"/>
          <w:sz w:val="21"/>
          <w:szCs w:val="21"/>
        </w:rPr>
        <w:t xml:space="preserve">cinquanta posizioni</w:t>
      </w:r>
      <w:r>
        <w:rPr>
          <w:rFonts w:ascii="Times New Roman" w:cs="Times New Roman" w:eastAsia="Times New Roman" w:hAnsi="Times New Roman"/>
          <w:b w:val="false"/>
          <w:bCs w:val="false"/>
          <w:i w:val="false"/>
          <w:iCs w:val="false"/>
          <w:sz w:val="21"/>
          <w:szCs w:val="21"/>
        </w:rPr>
        <w:t xml:space="preserve">, di cui quarantasei riferite a beneficiari singoli e quattro a componenti di nuclei familiari. Gli ingressi si distribuiscono in otto nel 2024, ventidue nel 2025 e venti nei primi sette mesi del 2026: un flusso medio di quasi </w:t>
      </w:r>
      <w:r>
        <w:rPr>
          <w:rFonts w:ascii="Times New Roman" w:cs="Times New Roman" w:eastAsia="Times New Roman" w:hAnsi="Times New Roman"/>
          <w:b/>
          <w:bCs/>
          <w:i w:val="false"/>
          <w:iCs w:val="false"/>
          <w:sz w:val="21"/>
          <w:szCs w:val="21"/>
        </w:rPr>
        <w:t xml:space="preserve">tre nuovi beneficiari al mese</w:t>
      </w:r>
      <w:r>
        <w:rPr>
          <w:rFonts w:ascii="Times New Roman" w:cs="Times New Roman" w:eastAsia="Times New Roman" w:hAnsi="Times New Roman"/>
          <w:b w:val="false"/>
          <w:bCs w:val="false"/>
          <w:i w:val="false"/>
          <w:iCs w:val="false"/>
          <w:sz w:val="21"/>
          <w:szCs w:val="21"/>
        </w:rPr>
        <w:t xml:space="preserve"> nell’anno in corso, a fronte di un servizio dimensionato fino a luglio su cinque ore settimanali. Undici beneficiari concludono il percorso di accoglienza entro il 31 dicembre 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registro traccia tre azioni strutturate — incontro individuale di orientamento, redazione del curriculum, determinazione delle competenze — rilevandone sia l’erogazione iniziale sia i successivi aggiornamenti. Complessivamente risultano registrate </w:t>
      </w:r>
      <w:r>
        <w:rPr>
          <w:rFonts w:ascii="Times New Roman" w:cs="Times New Roman" w:eastAsia="Times New Roman" w:hAnsi="Times New Roman"/>
          <w:b/>
          <w:bCs/>
          <w:i w:val="false"/>
          <w:iCs w:val="false"/>
          <w:sz w:val="21"/>
          <w:szCs w:val="21"/>
        </w:rPr>
        <w:t xml:space="preserve">128 azioni</w:t>
      </w:r>
      <w:r>
        <w:rPr>
          <w:rFonts w:ascii="Times New Roman" w:cs="Times New Roman" w:eastAsia="Times New Roman" w:hAnsi="Times New Roman"/>
          <w:b w:val="false"/>
          <w:bCs w:val="false"/>
          <w:i w:val="false"/>
          <w:iCs w:val="false"/>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4"/>
        <w:gridCol w:w="1349"/>
        <w:gridCol w:w="1349"/>
        <w:gridCol w:w="1542"/>
        <w:gridCol w:w="2314"/>
      </w:tblGrid>
      <w:tr>
        <w:trPr>
          <w:tblHeader/>
        </w:trPr>
        <w:tc>
          <w:tcPr>
            <w:tcW w:type="dxa" w:w="308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Azione</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Beneficiari</w:t>
            </w:r>
          </w:p>
        </w:tc>
        <w:tc>
          <w:tcPr>
            <w:tcW w:type="dxa" w:w="134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Copertura</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Azioni totali</w:t>
            </w:r>
          </w:p>
        </w:tc>
        <w:tc>
          <w:tcPr>
            <w:tcW w:type="dxa" w:w="231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di cui aggiornamenti</w:t>
            </w:r>
          </w:p>
        </w:tc>
      </w:tr>
      <w:tr>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Incontro individuale di orientamento</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41</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82,0%</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48</w:t>
            </w:r>
          </w:p>
        </w:tc>
        <w:tc>
          <w:tcPr>
            <w:tcW w:type="dxa" w:w="231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7</w:t>
            </w:r>
          </w:p>
        </w:tc>
      </w:tr>
      <w:tr>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Curriculum vitae</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43</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86,0%</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61</w:t>
            </w:r>
          </w:p>
        </w:tc>
        <w:tc>
          <w:tcPr>
            <w:tcW w:type="dxa" w:w="231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18</w:t>
            </w:r>
          </w:p>
        </w:tc>
      </w:tr>
      <w:tr>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Determinazione delle competenze</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19</w:t>
            </w:r>
          </w:p>
        </w:tc>
        <w:tc>
          <w:tcPr>
            <w:tcW w:type="dxa" w:w="134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38,0%</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19</w:t>
            </w:r>
          </w:p>
        </w:tc>
        <w:tc>
          <w:tcPr>
            <w:tcW w:type="dxa" w:w="231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w:t>
            </w:r>
          </w:p>
        </w:tc>
      </w:tr>
      <w:tr>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 azioni registrate</w:t>
            </w: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p>
        </w:tc>
        <w:tc>
          <w:tcPr>
            <w:tcW w:type="dxa" w:w="134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128</w:t>
            </w:r>
          </w:p>
        </w:tc>
        <w:tc>
          <w:tcPr>
            <w:tcW w:type="dxa" w:w="231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25</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Quarantatré beneficiari su cinquanta (</w:t>
      </w:r>
      <w:r>
        <w:rPr>
          <w:rFonts w:ascii="Times New Roman" w:cs="Times New Roman" w:eastAsia="Times New Roman" w:hAnsi="Times New Roman"/>
          <w:b/>
          <w:bCs/>
          <w:i w:val="false"/>
          <w:iCs w:val="false"/>
          <w:sz w:val="21"/>
          <w:szCs w:val="21"/>
        </w:rPr>
        <w:t xml:space="preserve">86,0%</w:t>
      </w:r>
      <w:r>
        <w:rPr>
          <w:rFonts w:ascii="Times New Roman" w:cs="Times New Roman" w:eastAsia="Times New Roman" w:hAnsi="Times New Roman"/>
          <w:b w:val="false"/>
          <w:bCs w:val="false"/>
          <w:i w:val="false"/>
          <w:iCs w:val="false"/>
          <w:sz w:val="21"/>
          <w:szCs w:val="21"/>
        </w:rPr>
        <w:t xml:space="preserve">) sono stati raggiunti da almeno un’azione; la media è di </w:t>
      </w:r>
      <w:r>
        <w:rPr>
          <w:rFonts w:ascii="Times New Roman" w:cs="Times New Roman" w:eastAsia="Times New Roman" w:hAnsi="Times New Roman"/>
          <w:b/>
          <w:bCs/>
          <w:i w:val="false"/>
          <w:iCs w:val="false"/>
          <w:sz w:val="21"/>
          <w:szCs w:val="21"/>
        </w:rPr>
        <w:t xml:space="preserve">2,6 azioni per beneficiario in carico</w:t>
      </w:r>
      <w:r>
        <w:rPr>
          <w:rFonts w:ascii="Times New Roman" w:cs="Times New Roman" w:eastAsia="Times New Roman" w:hAnsi="Times New Roman"/>
          <w:b w:val="false"/>
          <w:bCs w:val="false"/>
          <w:i w:val="false"/>
          <w:iCs w:val="false"/>
          <w:sz w:val="21"/>
          <w:szCs w:val="21"/>
        </w:rPr>
        <w:t xml:space="preserve">, che sale a 3,0 sui soli beneficiari attivati. I venticinque aggiornamenti — un quinto del totale — documentano che il servizio non si limita alla presa in carico iniziale ma </w:t>
      </w:r>
      <w:r>
        <w:rPr>
          <w:rFonts w:ascii="Times New Roman" w:cs="Times New Roman" w:eastAsia="Times New Roman" w:hAnsi="Times New Roman"/>
          <w:b/>
          <w:bCs/>
          <w:i w:val="false"/>
          <w:iCs w:val="false"/>
          <w:sz w:val="21"/>
          <w:szCs w:val="21"/>
        </w:rPr>
        <w:t xml:space="preserve">mantiene le posizioni in aggiornamento nel tempo</w:t>
      </w:r>
      <w:r>
        <w:rPr>
          <w:rFonts w:ascii="Times New Roman" w:cs="Times New Roman" w:eastAsia="Times New Roman" w:hAnsi="Times New Roman"/>
          <w:b w:val="false"/>
          <w:bCs w:val="false"/>
          <w:i w:val="false"/>
          <w:iCs w:val="false"/>
          <w:sz w:val="21"/>
          <w:szCs w:val="21"/>
        </w:rPr>
        <w:t xml:space="preserve">. La distribuzione per anno mostra una progressione coerente con la crescita dell’utenza: 13 azioni nel 2024, </w:t>
      </w:r>
      <w:r>
        <w:rPr>
          <w:rFonts w:ascii="Times New Roman" w:cs="Times New Roman" w:eastAsia="Times New Roman" w:hAnsi="Times New Roman"/>
          <w:b/>
          <w:bCs/>
          <w:i w:val="false"/>
          <w:iCs w:val="false"/>
          <w:sz w:val="21"/>
          <w:szCs w:val="21"/>
        </w:rPr>
        <w:t xml:space="preserve">52 nel 2025</w:t>
      </w:r>
      <w:r>
        <w:rPr>
          <w:rFonts w:ascii="Times New Roman" w:cs="Times New Roman" w:eastAsia="Times New Roman" w:hAnsi="Times New Roman"/>
          <w:b w:val="false"/>
          <w:bCs w:val="false"/>
          <w:i w:val="false"/>
          <w:iCs w:val="false"/>
          <w:sz w:val="21"/>
          <w:szCs w:val="21"/>
        </w:rPr>
        <w:t xml:space="preserve">, </w:t>
      </w:r>
      <w:r>
        <w:rPr>
          <w:rFonts w:ascii="Times New Roman" w:cs="Times New Roman" w:eastAsia="Times New Roman" w:hAnsi="Times New Roman"/>
          <w:b/>
          <w:bCs/>
          <w:i w:val="false"/>
          <w:iCs w:val="false"/>
          <w:sz w:val="21"/>
          <w:szCs w:val="21"/>
        </w:rPr>
        <w:t xml:space="preserve">63 nei primi sette mesi del 2026</w:t>
      </w:r>
      <w:r>
        <w:rPr>
          <w:rFonts w:ascii="Times New Roman" w:cs="Times New Roman" w:eastAsia="Times New Roman" w:hAnsi="Times New Roman"/>
          <w:b w:val="false"/>
          <w:bCs w:val="false"/>
          <w:i w:val="false"/>
          <w:iCs w:val="false"/>
          <w:sz w:val="21"/>
          <w:szCs w:val="21"/>
        </w:rPr>
        <w:t xml:space="preserve"> — il volume del solo 2026 parziale supera già quello dell’intero anno precedente.</w:t>
      </w:r>
    </w:p>
    <w:p>
      <w:pPr>
        <w:pStyle w:val="Heading2"/>
        <w:spacing w:after="120" w:before="260"/>
      </w:pPr>
      <w:r>
        <w:rPr>
          <w:rFonts w:ascii="Arial" w:cs="Arial" w:eastAsia="Arial" w:hAnsi="Arial"/>
          <w:b/>
          <w:bCs/>
          <w:i w:val="false"/>
          <w:iCs w:val="false"/>
          <w:color w:val="2E5C8A"/>
          <w:sz w:val="23"/>
          <w:szCs w:val="23"/>
        </w:rPr>
        <w:t xml:space="preserve">6.2 Gli incontri individuali di orientamento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L’incontro individuale è lo strumento di ingresso del servizio e il momento in cui si costruisce la relazione con il beneficiario. Ha per oggetto la ricostruzione della biografia formativa e lavorativa, la verifica della posizione documentale rispetto all’accesso al lavoro, la rilevazione del livello di competenza linguistica, l’emersione delle aspettative professionali e la restituzione del funzionamento del mercato del lavoro locale — comprese le informazioni sui rischi connessi al lavoro irregolare.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Sono stati condotti </w:t>
      </w:r>
      <w:r>
        <w:rPr>
          <w:rFonts w:ascii="Times New Roman" w:cs="Times New Roman" w:eastAsia="Times New Roman" w:hAnsi="Times New Roman"/>
          <w:b/>
          <w:bCs/>
          <w:i w:val="false"/>
          <w:iCs w:val="false"/>
          <w:sz w:val="21"/>
          <w:szCs w:val="21"/>
        </w:rPr>
        <w:t xml:space="preserve">48 incontri</w:t>
      </w:r>
      <w:r>
        <w:rPr>
          <w:rFonts w:ascii="Times New Roman" w:cs="Times New Roman" w:eastAsia="Times New Roman" w:hAnsi="Times New Roman"/>
          <w:b w:val="false"/>
          <w:bCs w:val="false"/>
          <w:i w:val="false"/>
          <w:iCs w:val="false"/>
          <w:sz w:val="21"/>
          <w:szCs w:val="21"/>
        </w:rPr>
        <w:t xml:space="preserve"> in favore di </w:t>
      </w:r>
      <w:r>
        <w:rPr>
          <w:rFonts w:ascii="Times New Roman" w:cs="Times New Roman" w:eastAsia="Times New Roman" w:hAnsi="Times New Roman"/>
          <w:b/>
          <w:bCs/>
          <w:i w:val="false"/>
          <w:iCs w:val="false"/>
          <w:sz w:val="21"/>
          <w:szCs w:val="21"/>
        </w:rPr>
        <w:t xml:space="preserve">41 beneficiari</w:t>
      </w:r>
      <w:r>
        <w:rPr>
          <w:rFonts w:ascii="Times New Roman" w:cs="Times New Roman" w:eastAsia="Times New Roman" w:hAnsi="Times New Roman"/>
          <w:b w:val="false"/>
          <w:bCs w:val="false"/>
          <w:i w:val="false"/>
          <w:iCs w:val="false"/>
          <w:sz w:val="21"/>
          <w:szCs w:val="21"/>
        </w:rPr>
        <w:t xml:space="preserve">, con una copertura dell’</w:t>
      </w:r>
      <w:r>
        <w:rPr>
          <w:rFonts w:ascii="Times New Roman" w:cs="Times New Roman" w:eastAsia="Times New Roman" w:hAnsi="Times New Roman"/>
          <w:b/>
          <w:bCs/>
          <w:i w:val="false"/>
          <w:iCs w:val="false"/>
          <w:sz w:val="21"/>
          <w:szCs w:val="21"/>
        </w:rPr>
        <w:t xml:space="preserve">82,0%</w:t>
      </w:r>
      <w:r>
        <w:rPr>
          <w:rFonts w:ascii="Times New Roman" w:cs="Times New Roman" w:eastAsia="Times New Roman" w:hAnsi="Times New Roman"/>
          <w:b w:val="false"/>
          <w:bCs w:val="false"/>
          <w:i w:val="false"/>
          <w:iCs w:val="false"/>
          <w:sz w:val="21"/>
          <w:szCs w:val="21"/>
        </w:rPr>
        <w:t xml:space="preserve">. Sette incontri sono configurati come </w:t>
      </w:r>
      <w:r>
        <w:rPr>
          <w:rFonts w:ascii="Times New Roman" w:cs="Times New Roman" w:eastAsia="Times New Roman" w:hAnsi="Times New Roman"/>
          <w:b/>
          <w:bCs/>
          <w:i w:val="false"/>
          <w:iCs w:val="false"/>
          <w:sz w:val="21"/>
          <w:szCs w:val="21"/>
        </w:rPr>
        <w:t xml:space="preserve">aggiornamenti</w:t>
      </w:r>
      <w:r>
        <w:rPr>
          <w:rFonts w:ascii="Times New Roman" w:cs="Times New Roman" w:eastAsia="Times New Roman" w:hAnsi="Times New Roman"/>
          <w:b w:val="false"/>
          <w:bCs w:val="false"/>
          <w:i w:val="false"/>
          <w:iCs w:val="false"/>
          <w:sz w:val="21"/>
          <w:szCs w:val="21"/>
        </w:rPr>
        <w:t xml:space="preserve"> di posizioni già in carico: sette beneficiari hanno cioè beneficiato di un secondo colloquio a distanza di tempo, a seguito del mutare delle condizioni personali o dell’avvicinarsi di un’opportunità di inserimento. Nel 2026 ne sono stati condotti </w:t>
      </w:r>
      <w:r>
        <w:rPr>
          <w:rFonts w:ascii="Times New Roman" w:cs="Times New Roman" w:eastAsia="Times New Roman" w:hAnsi="Times New Roman"/>
          <w:b/>
          <w:bCs/>
          <w:i w:val="false"/>
          <w:iCs w:val="false"/>
          <w:sz w:val="21"/>
          <w:szCs w:val="21"/>
        </w:rPr>
        <w:t xml:space="preserve">21</w:t>
      </w:r>
      <w:r>
        <w:rPr>
          <w:rFonts w:ascii="Times New Roman" w:cs="Times New Roman" w:eastAsia="Times New Roman" w:hAnsi="Times New Roman"/>
          <w:b w:val="false"/>
          <w:bCs w:val="false"/>
          <w:i w:val="false"/>
          <w:iCs w:val="false"/>
          <w:sz w:val="21"/>
          <w:szCs w:val="21"/>
        </w:rPr>
        <w:t xml:space="preserve">, a fronte dei 20 dell’intero 2025 e dei 7 del 2024.</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nove posizioni prive di incontro corrispondono a sette beneficiari non ancora presi in carico, con ingressi compresi fra marzo e giugno 2026 (§ 10.1), e a due posizioni che presentano curriculum senza colloquio a monte, verosimile lacuna di registrazione (§ 10.7).</w:t>
      </w:r>
    </w:p>
    <w:p>
      <w:pPr>
        <w:pStyle w:val="Heading2"/>
        <w:spacing w:after="120" w:before="260"/>
      </w:pPr>
      <w:r>
        <w:rPr>
          <w:rFonts w:ascii="Arial" w:cs="Arial" w:eastAsia="Arial" w:hAnsi="Arial"/>
          <w:b/>
          <w:bCs/>
          <w:i w:val="false"/>
          <w:iCs w:val="false"/>
          <w:color w:val="2E5C8A"/>
          <w:sz w:val="23"/>
          <w:szCs w:val="23"/>
        </w:rPr>
        <w:t xml:space="preserve">6.3 La redazione e l’aggiornamento dei curriculum</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curriculum registra la copertura più elevata del servizio, </w:t>
      </w:r>
      <w:r>
        <w:rPr>
          <w:rFonts w:ascii="Times New Roman" w:cs="Times New Roman" w:eastAsia="Times New Roman" w:hAnsi="Times New Roman"/>
          <w:b/>
          <w:bCs/>
          <w:i w:val="false"/>
          <w:iCs w:val="false"/>
          <w:sz w:val="21"/>
          <w:szCs w:val="21"/>
        </w:rPr>
        <w:t xml:space="preserve">86,0%</w:t>
      </w:r>
      <w:r>
        <w:rPr>
          <w:rFonts w:ascii="Times New Roman" w:cs="Times New Roman" w:eastAsia="Times New Roman" w:hAnsi="Times New Roman"/>
          <w:b w:val="false"/>
          <w:bCs w:val="false"/>
          <w:i w:val="false"/>
          <w:iCs w:val="false"/>
          <w:sz w:val="21"/>
          <w:szCs w:val="21"/>
        </w:rPr>
        <w:t xml:space="preserve"> (43 beneficiari), e il maggior volume di azioni: </w:t>
      </w:r>
      <w:r>
        <w:rPr>
          <w:rFonts w:ascii="Times New Roman" w:cs="Times New Roman" w:eastAsia="Times New Roman" w:hAnsi="Times New Roman"/>
          <w:b/>
          <w:bCs/>
          <w:i w:val="false"/>
          <w:iCs w:val="false"/>
          <w:sz w:val="21"/>
          <w:szCs w:val="21"/>
        </w:rPr>
        <w:t xml:space="preserve">61 in totale, di cui 18 aggiornamenti</w:t>
      </w:r>
      <w:r>
        <w:rPr>
          <w:rFonts w:ascii="Times New Roman" w:cs="Times New Roman" w:eastAsia="Times New Roman" w:hAnsi="Times New Roman"/>
          <w:b w:val="false"/>
          <w:bCs w:val="false"/>
          <w:i w:val="false"/>
          <w:iCs w:val="false"/>
          <w:sz w:val="21"/>
          <w:szCs w:val="21"/>
        </w:rPr>
        <w:t xml:space="preserve">. Oltre un terzo dei curriculum è stato dunque rivisto almeno una volta, e in tre casi due o più volte.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dato è qualitativamente significativo. L’aggiornamento non è un adempimento formale: presuppone un contatto con il beneficiario, la rilevazione di un’esperienza nuova da inserire e una rielaborazione condivisa del profilo. Costituisce pertanto un </w:t>
      </w:r>
      <w:r>
        <w:rPr>
          <w:rFonts w:ascii="Times New Roman" w:cs="Times New Roman" w:eastAsia="Times New Roman" w:hAnsi="Times New Roman"/>
          <w:b/>
          <w:bCs/>
          <w:i w:val="false"/>
          <w:iCs w:val="false"/>
          <w:sz w:val="21"/>
          <w:szCs w:val="21"/>
        </w:rPr>
        <w:t xml:space="preserve">indicatore indiretto della continuità della relazione di servizio</w:t>
      </w:r>
      <w:r>
        <w:rPr>
          <w:rFonts w:ascii="Times New Roman" w:cs="Times New Roman" w:eastAsia="Times New Roman" w:hAnsi="Times New Roman"/>
          <w:b w:val="false"/>
          <w:bCs w:val="false"/>
          <w:i w:val="false"/>
          <w:iCs w:val="false"/>
          <w:sz w:val="21"/>
          <w:szCs w:val="21"/>
        </w:rPr>
        <w:t xml:space="preserve"> oltre il momento della presa in carico, ed è coerente con l’indicazione del Manuale operativo SAI secondo cui il curriculum, se costruito con attenzione, svolge una funzione ricostruttiva prossima a quella del bilancio di competenze.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 2026 sono state registrate </w:t>
      </w:r>
      <w:r>
        <w:rPr>
          <w:rFonts w:ascii="Times New Roman" w:cs="Times New Roman" w:eastAsia="Times New Roman" w:hAnsi="Times New Roman"/>
          <w:b/>
          <w:bCs/>
          <w:i w:val="false"/>
          <w:iCs w:val="false"/>
          <w:sz w:val="21"/>
          <w:szCs w:val="21"/>
        </w:rPr>
        <w:t xml:space="preserve">30 azioni sul curriculum</w:t>
      </w:r>
      <w:r>
        <w:rPr>
          <w:rFonts w:ascii="Times New Roman" w:cs="Times New Roman" w:eastAsia="Times New Roman" w:hAnsi="Times New Roman"/>
          <w:b w:val="false"/>
          <w:bCs w:val="false"/>
          <w:i w:val="false"/>
          <w:iCs w:val="false"/>
          <w:sz w:val="21"/>
          <w:szCs w:val="21"/>
        </w:rPr>
        <w:t xml:space="preserve">, contro le 25 dell’intero 2025: è la voce che cresce più rapidamente e quella su cui si concentra prevalentemente l’attività successiva all’ingresso del collaboratore.</w:t>
      </w:r>
    </w:p>
    <w:p>
      <w:pPr>
        <w:pStyle w:val="Heading2"/>
        <w:spacing w:after="120" w:before="260"/>
      </w:pPr>
      <w:r>
        <w:rPr>
          <w:rFonts w:ascii="Arial" w:cs="Arial" w:eastAsia="Arial" w:hAnsi="Arial"/>
          <w:b/>
          <w:bCs/>
          <w:i w:val="false"/>
          <w:iCs w:val="false"/>
          <w:color w:val="2E5C8A"/>
          <w:sz w:val="23"/>
          <w:szCs w:val="23"/>
        </w:rPr>
        <w:t xml:space="preserve">6.4 La determinazione delle competenze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determinazione delle competenze consiste nella ricostruzione strutturata del bagaglio posseduto, comprensivo delle competenze acquisite in contesti non formali e informali nel Paese di origine o lungo il percorso migratorio — spesso non documentate da titoli e per questo sistematicamente sottostimate — con rilevazione parallela dei vincoli oggettivi: livello di italiano L2, possesso della patente, disponibilità alla mobilità, scadenza del titolo di soggiorno, obblighi di cura familiari.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Risulta effettuata per </w:t>
      </w:r>
      <w:r>
        <w:rPr>
          <w:rFonts w:ascii="Times New Roman" w:cs="Times New Roman" w:eastAsia="Times New Roman" w:hAnsi="Times New Roman"/>
          <w:b/>
          <w:bCs/>
          <w:i w:val="false"/>
          <w:iCs w:val="false"/>
          <w:sz w:val="21"/>
          <w:szCs w:val="21"/>
        </w:rPr>
        <w:t xml:space="preserve">19 beneficiari (38,0%)</w:t>
      </w:r>
      <w:r>
        <w:rPr>
          <w:rFonts w:ascii="Times New Roman" w:cs="Times New Roman" w:eastAsia="Times New Roman" w:hAnsi="Times New Roman"/>
          <w:b w:val="false"/>
          <w:bCs w:val="false"/>
          <w:i w:val="false"/>
          <w:iCs w:val="false"/>
          <w:sz w:val="21"/>
          <w:szCs w:val="21"/>
        </w:rPr>
        <w:t xml:space="preserve">, senza aggiornamenti registrati: è la copertura più contenuta fra le tre azioni tracciate. Il dato va letto secondo una duplice chiave. La prima è </w:t>
      </w:r>
      <w:r>
        <w:rPr>
          <w:rFonts w:ascii="Times New Roman" w:cs="Times New Roman" w:eastAsia="Times New Roman" w:hAnsi="Times New Roman"/>
          <w:b/>
          <w:bCs/>
          <w:i w:val="false"/>
          <w:iCs w:val="false"/>
          <w:sz w:val="21"/>
          <w:szCs w:val="21"/>
        </w:rPr>
        <w:t xml:space="preserve">metodologica</w:t>
      </w:r>
      <w:r>
        <w:rPr>
          <w:rFonts w:ascii="Times New Roman" w:cs="Times New Roman" w:eastAsia="Times New Roman" w:hAnsi="Times New Roman"/>
          <w:b w:val="false"/>
          <w:bCs w:val="false"/>
          <w:i w:val="false"/>
          <w:iCs w:val="false"/>
          <w:sz w:val="21"/>
          <w:szCs w:val="21"/>
        </w:rPr>
        <w:t xml:space="preserve">: il Manuale operativo SAI qualifica il bilancio di competenze come «uno degli strumenti più complessi» del servizio, richiedente una figura esperta e più incontri strutturati, e il servizio lo attiva pertanto in modo selettivo, a valle del colloquio e del curriculum, per i beneficiari con progetto professionale definito o candidati a un inserimento a breve termine. La seconda è </w:t>
      </w:r>
      <w:r>
        <w:rPr>
          <w:rFonts w:ascii="Times New Roman" w:cs="Times New Roman" w:eastAsia="Times New Roman" w:hAnsi="Times New Roman"/>
          <w:b/>
          <w:bCs/>
          <w:i w:val="false"/>
          <w:iCs w:val="false"/>
          <w:sz w:val="21"/>
          <w:szCs w:val="21"/>
        </w:rPr>
        <w:t xml:space="preserve">di capacità</w:t>
      </w:r>
      <w:r>
        <w:rPr>
          <w:rFonts w:ascii="Times New Roman" w:cs="Times New Roman" w:eastAsia="Times New Roman" w:hAnsi="Times New Roman"/>
          <w:b w:val="false"/>
          <w:bCs w:val="false"/>
          <w:i w:val="false"/>
          <w:iCs w:val="false"/>
          <w:sz w:val="21"/>
          <w:szCs w:val="21"/>
        </w:rPr>
        <w:t xml:space="preserve">: il 44,0% dei beneficiari dispone di colloquio e curriculum ma non della determinazione, e che tale platea ecceda in numero quella dei beneficiari che lo strumento hanno ricevuto indica che, accanto alla selezione metodologica, opera un vincolo di monte ore.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segnala che i diciannove beneficiari con determinazione delle competenze </w:t>
      </w:r>
      <w:r>
        <w:rPr>
          <w:rFonts w:ascii="Times New Roman" w:cs="Times New Roman" w:eastAsia="Times New Roman" w:hAnsi="Times New Roman"/>
          <w:b/>
          <w:bCs/>
          <w:i w:val="false"/>
          <w:iCs w:val="false"/>
          <w:sz w:val="21"/>
          <w:szCs w:val="21"/>
        </w:rPr>
        <w:t xml:space="preserve">coincidono esattamente con quelli dotati del percorso completo</w:t>
      </w:r>
      <w:r>
        <w:rPr>
          <w:rFonts w:ascii="Times New Roman" w:cs="Times New Roman" w:eastAsia="Times New Roman" w:hAnsi="Times New Roman"/>
          <w:b w:val="false"/>
          <w:bCs w:val="false"/>
          <w:i w:val="false"/>
          <w:iCs w:val="false"/>
          <w:sz w:val="21"/>
          <w:szCs w:val="21"/>
        </w:rPr>
        <w:t xml:space="preserve">: non si registra alcun caso di determinazione effettuata in assenza degli strumenti propedeutici, il che conferma il rispetto della sequenza metodologica.</w:t>
      </w:r>
    </w:p>
    <w:p>
      <w:pPr>
        <w:pStyle w:val="Heading2"/>
        <w:spacing w:after="120" w:before="260"/>
      </w:pPr>
      <w:r>
        <w:rPr>
          <w:rFonts w:ascii="Arial" w:cs="Arial" w:eastAsia="Arial" w:hAnsi="Arial"/>
          <w:b/>
          <w:bCs/>
          <w:i w:val="false"/>
          <w:iCs w:val="false"/>
          <w:color w:val="2E5C8A"/>
          <w:sz w:val="23"/>
          <w:szCs w:val="23"/>
        </w:rPr>
        <w:t xml:space="preserve">6.5 Tempestività e continuità della presa in carico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L’intervallo fra ingresso in progetto e primo incontro di orientamento costituisce l’indicatore più severo fra quelli rilevabili dal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928"/>
        <w:gridCol w:w="3469"/>
      </w:tblGrid>
      <w:tr>
        <w:trPr>
          <w:tblHeader/>
        </w:trPr>
        <w:tc>
          <w:tcPr>
            <w:tcW w:type="dxa" w:w="424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Indicatore</w:t>
            </w:r>
          </w:p>
        </w:tc>
        <w:tc>
          <w:tcPr>
            <w:tcW w:type="dxa" w:w="192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Valore</w:t>
            </w:r>
          </w:p>
        </w:tc>
        <w:tc>
          <w:tcPr>
            <w:tcW w:type="dxa" w:w="346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Lettura</w:t>
            </w:r>
          </w:p>
        </w:tc>
      </w:tr>
      <w:tr>
        <w:tc>
          <w:tcPr>
            <w:tcW w:type="dxa" w:w="424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Tempo mediano</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51 giorni</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Rappresentativo del comportamento tipico</w:t>
            </w:r>
          </w:p>
        </w:tc>
      </w:tr>
      <w:tr>
        <w:tc>
          <w:tcPr>
            <w:tcW w:type="dxa" w:w="424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Tempo medio</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95 giorni</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Appesantito dai casi più risalenti</w:t>
            </w:r>
          </w:p>
        </w:tc>
      </w:tr>
      <w:tr>
        <w:tc>
          <w:tcPr>
            <w:tcW w:type="dxa" w:w="424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Prese in carico entro 30 giorni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29,3%</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Al di sotto dello standard assunto</w:t>
            </w:r>
          </w:p>
        </w:tc>
      </w:tr>
      <w:tr>
        <w:tc>
          <w:tcPr>
            <w:tcW w:type="dxa" w:w="424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Prese in carico entro 60 giorni</w:t>
            </w:r>
          </w:p>
        </w:tc>
        <w:tc>
          <w:tcPr>
            <w:tcW w:type="dxa" w:w="192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56,1%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p>
        </w:tc>
      </w:tr>
      <w:tr>
        <w:tc>
          <w:tcPr>
            <w:tcW w:type="dxa" w:w="424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Prese in carico entro 90 giorni</w:t>
            </w:r>
          </w:p>
        </w:tc>
        <w:tc>
          <w:tcPr>
            <w:tcW w:type="dxa" w:w="192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65,9%</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Un terzo delle posizioni oltre il trimestre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divaricazione fra mediana e media indica una distribuzione asimmetrica: il comportamento tipico del servizio è sensibilmente migliore di quanto la media suggerisca, ma cinque casi oltre i duecento giorni — riferiti in prevalenza a ingressi del 2024 e del 2025, precedenti all’attuale assetto — ne appesantiscono il valore. Il dato va imputato al dimensionamento e non alla metodologia: con venti nuovi ingressi nei primi sette mesi del 2026 e cinque ore settimanali, il servizio ha dovuto scegliere fra il mantenimento delle posizioni in carico e l’intercettazione dei nuovi arrivi.</w:t>
      </w:r>
    </w:p>
    <w:p>
      <w:pPr>
        <w:pStyle w:val="Heading2"/>
        <w:spacing w:after="120" w:before="260"/>
      </w:pPr>
      <w:r>
        <w:rPr>
          <w:rFonts w:ascii="Arial" w:cs="Arial" w:eastAsia="Arial" w:hAnsi="Arial"/>
          <w:b/>
          <w:bCs/>
          <w:i w:val="false"/>
          <w:iCs w:val="false"/>
          <w:color w:val="2E5C8A"/>
          <w:sz w:val="23"/>
          <w:szCs w:val="23"/>
        </w:rPr>
        <w:t xml:space="preserve">6.6 Le azioni di accompagnamento non tracciate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Accanto alle tre azioni registrate, il servizio eroga quattro tipologie di intervento prive di tracciamento quantitativo dedicato, la cui omissione dai registri comporta una sottostima del volume di attività in sede di rendicontazione.</w:t>
      </w:r>
    </w:p>
    <w:p>
      <w:pPr>
        <w:spacing w:after="140" w:before="0" w:line="276"/>
        <w:jc w:val="both"/>
      </w:pPr>
      <w:r>
        <w:rPr>
          <w:rFonts w:ascii="Times New Roman" w:cs="Times New Roman" w:eastAsia="Times New Roman" w:hAnsi="Times New Roman"/>
          <w:b/>
          <w:bCs/>
          <w:i w:val="false"/>
          <w:iCs w:val="false"/>
          <w:sz w:val="21"/>
          <w:szCs w:val="21"/>
        </w:rPr>
        <w:t xml:space="preserve">Adempimenti amministrativi propedeutici.</w:t>
      </w:r>
      <w:r>
        <w:rPr>
          <w:rFonts w:ascii="Times New Roman" w:cs="Times New Roman" w:eastAsia="Times New Roman" w:hAnsi="Times New Roman"/>
          <w:b w:val="false"/>
          <w:bCs w:val="false"/>
          <w:i w:val="false"/>
          <w:iCs w:val="false"/>
          <w:sz w:val="21"/>
          <w:szCs w:val="21"/>
        </w:rPr>
        <w:t xml:space="preserve"> Iscrizione al Centro per l’Impiego, dichiarazione di immediata disponibilità, attivazione dell’identità digitale, codice fiscale, apertura del conto corrente per l’accredito delle indennità, pratiche connesse al titolo di soggiorno. Sono attività a elevato assorbimento di tempo — richiedono nella generalità dei casi l’accompagnamento fisico del beneficiario e una funzione di mediazione pratica — e a bassa visibilità, poiché non producono un documento intestato al servizio. Costituiscono tuttavia condizione necessaria di ogni inserimento successivo: la loro mancata cura è la più frequente causa di ritardo nell’avvio dei percorsi.</w:t>
      </w:r>
    </w:p>
    <w:p>
      <w:pPr>
        <w:spacing w:after="140" w:before="0" w:line="276"/>
        <w:jc w:val="both"/>
      </w:pPr>
      <w:r>
        <w:rPr>
          <w:rFonts w:ascii="Times New Roman" w:cs="Times New Roman" w:eastAsia="Times New Roman" w:hAnsi="Times New Roman"/>
          <w:b/>
          <w:bCs/>
          <w:i w:val="false"/>
          <w:iCs w:val="false"/>
          <w:sz w:val="21"/>
          <w:szCs w:val="21"/>
        </w:rPr>
        <w:t xml:space="preserve">Laboratori e attività di gruppo.</w:t>
      </w:r>
      <w:r>
        <w:rPr>
          <w:rFonts w:ascii="Times New Roman" w:cs="Times New Roman" w:eastAsia="Times New Roman" w:hAnsi="Times New Roman"/>
          <w:b w:val="false"/>
          <w:bCs w:val="false"/>
          <w:i w:val="false"/>
          <w:iCs w:val="false"/>
          <w:sz w:val="21"/>
          <w:szCs w:val="21"/>
        </w:rPr>
        <w:t xml:space="preserve"> Incontri collettivi sul funzionamento del mercato del lavoro locale, simulazioni del colloquio di selezione, moduli informativi su contrattualistica, busta paga, diritti e doveri del lavoratore e nozioni di sicurezza. In un servizio dimensionato su cinquanta beneficiari e un monte ore contenuto la modalità di gruppo presenta un </w:t>
      </w:r>
      <w:r>
        <w:rPr>
          <w:rFonts w:ascii="Times New Roman" w:cs="Times New Roman" w:eastAsia="Times New Roman" w:hAnsi="Times New Roman"/>
          <w:b/>
          <w:bCs/>
          <w:i w:val="false"/>
          <w:iCs w:val="false"/>
          <w:sz w:val="21"/>
          <w:szCs w:val="21"/>
        </w:rPr>
        <w:t xml:space="preserve">rapporto costo-beneficio nettamente favorevole</w:t>
      </w:r>
      <w:r>
        <w:rPr>
          <w:rFonts w:ascii="Times New Roman" w:cs="Times New Roman" w:eastAsia="Times New Roman" w:hAnsi="Times New Roman"/>
          <w:b w:val="false"/>
          <w:bCs w:val="false"/>
          <w:i w:val="false"/>
          <w:iCs w:val="false"/>
          <w:sz w:val="21"/>
          <w:szCs w:val="21"/>
        </w:rPr>
        <w:t xml:space="preserve">: raggiunge simultaneamente più beneficiari sui contenuti standardizzabili, liberando l’incontro individuale per ciò che richiede una relazione personale.</w:t>
      </w:r>
    </w:p>
    <w:p>
      <w:pPr>
        <w:spacing w:after="140" w:before="0" w:line="276"/>
        <w:jc w:val="both"/>
      </w:pPr>
      <w:r>
        <w:rPr>
          <w:rFonts w:ascii="Times New Roman" w:cs="Times New Roman" w:eastAsia="Times New Roman" w:hAnsi="Times New Roman"/>
          <w:b/>
          <w:bCs/>
          <w:i w:val="false"/>
          <w:iCs w:val="false"/>
          <w:sz w:val="21"/>
          <w:szCs w:val="21"/>
        </w:rPr>
        <w:t xml:space="preserve">Ricerca attiva e invio delle candidature.</w:t>
      </w:r>
      <w:r>
        <w:rPr>
          <w:rFonts w:ascii="Times New Roman" w:cs="Times New Roman" w:eastAsia="Times New Roman" w:hAnsi="Times New Roman"/>
          <w:b w:val="false"/>
          <w:bCs w:val="false"/>
          <w:i w:val="false"/>
          <w:iCs w:val="false"/>
          <w:sz w:val="21"/>
          <w:szCs w:val="21"/>
        </w:rPr>
        <w:t xml:space="preserve"> Individuazione delle offerte, predisposizione e invio delle candidature, contatti diretti con le imprese per conto del beneficiario, preparazione ai colloqui di selezione. L’attività opera su una platea più ampia di quella degli inserimenti formalizzati: rispetto ai ventidue beneficiari istruiti e privi di inserimento (§ 7.4), la ricerca attiva costituisce il principale canale di servizio disponibile, ed è destinata ad assumere rilievo crescente per i beneficiari in uscita dal progetto.</w:t>
      </w:r>
    </w:p>
    <w:p>
      <w:pPr>
        <w:spacing w:after="140" w:before="0" w:line="276"/>
        <w:jc w:val="both"/>
      </w:pPr>
      <w:r>
        <w:rPr>
          <w:rFonts w:ascii="Times New Roman" w:cs="Times New Roman" w:eastAsia="Times New Roman" w:hAnsi="Times New Roman"/>
          <w:b/>
          <w:bCs/>
          <w:i w:val="false"/>
          <w:iCs w:val="false"/>
          <w:sz w:val="21"/>
          <w:szCs w:val="21"/>
        </w:rPr>
        <w:t xml:space="preserve">Mediazione linguistica applicata al lavoro.</w:t>
      </w:r>
      <w:r>
        <w:rPr>
          <w:rFonts w:ascii="Times New Roman" w:cs="Times New Roman" w:eastAsia="Times New Roman" w:hAnsi="Times New Roman"/>
          <w:b w:val="false"/>
          <w:bCs w:val="false"/>
          <w:i w:val="false"/>
          <w:iCs w:val="false"/>
          <w:sz w:val="21"/>
          <w:szCs w:val="21"/>
        </w:rPr>
        <w:t xml:space="preserve"> Traduzione e spiegazione della documentazione contrattuale, mediazione nei rapporti con il tutor aziendale, alfabetizzazione al lessico professionale del settore di inserimento, supporto nella comprensione delle disposizioni di sicurezza. La funzione è direttamente connessa alla </w:t>
      </w:r>
      <w:r>
        <w:rPr>
          <w:rFonts w:ascii="Times New Roman" w:cs="Times New Roman" w:eastAsia="Times New Roman" w:hAnsi="Times New Roman"/>
          <w:b/>
          <w:bCs/>
          <w:i w:val="false"/>
          <w:iCs w:val="false"/>
          <w:sz w:val="21"/>
          <w:szCs w:val="21"/>
        </w:rPr>
        <w:t xml:space="preserve">tenuta dei percorsi</w:t>
      </w:r>
      <w:r>
        <w:rPr>
          <w:rFonts w:ascii="Times New Roman" w:cs="Times New Roman" w:eastAsia="Times New Roman" w:hAnsi="Times New Roman"/>
          <w:b w:val="false"/>
          <w:bCs w:val="false"/>
          <w:i w:val="false"/>
          <w:iCs w:val="false"/>
          <w:sz w:val="21"/>
          <w:szCs w:val="21"/>
        </w:rPr>
        <w:t xml:space="preserve">: l’unica interruzione registrata nell’annualità — un beneficiario inserito nel commercio, con percorso cessato al terzo giorno — è compatibile con una difficoltà di natura linguistico-relazionale in un contesto di vendita al pubblico, benché le cause non risultino formalmente accertate.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l’introduzione del tracciamento di queste azioni secondo il format proposto al § 12.2, che ne consentirebbe la valorizzazione in rendicontazione.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7. LE BORSE LAVORO</w:t>
      </w:r>
    </w:p>
    <w:p>
      <w:pPr>
        <w:pStyle w:val="Heading2"/>
        <w:spacing w:after="120" w:before="260"/>
      </w:pPr>
      <w:r>
        <w:rPr>
          <w:rFonts w:ascii="Arial" w:cs="Arial" w:eastAsia="Arial" w:hAnsi="Arial"/>
          <w:b/>
          <w:bCs/>
          <w:i w:val="false"/>
          <w:iCs w:val="false"/>
          <w:color w:val="2E5C8A"/>
          <w:sz w:val="23"/>
          <w:szCs w:val="23"/>
        </w:rPr>
        <w:t xml:space="preserve">7.1 Prospetto dei percorsi attivati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Nell’annualità 2026 sono stati progettati dieci percorsi di borsa lavoro in favore di nove beneficiari distinti, pari al 18,0% dell’utenza in carico. Il valore unitario standard è di € 1.500,00 per tre mensilità.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7"/>
        <w:gridCol w:w="1494"/>
        <w:gridCol w:w="1446"/>
        <w:gridCol w:w="964"/>
        <w:gridCol w:w="964"/>
        <w:gridCol w:w="848"/>
        <w:gridCol w:w="848"/>
        <w:gridCol w:w="810"/>
        <w:gridCol w:w="1927"/>
      </w:tblGrid>
      <w:tr>
        <w:trPr>
          <w:tblHeader/>
        </w:trPr>
        <w:tc>
          <w:tcPr>
            <w:tcW w:type="dxa" w:w="33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N.</w:t>
            </w:r>
          </w:p>
        </w:tc>
        <w:tc>
          <w:tcPr>
            <w:tcW w:type="dxa" w:w="149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Beneficiario</w:t>
            </w:r>
          </w:p>
        </w:tc>
        <w:tc>
          <w:tcPr>
            <w:tcW w:type="dxa" w:w="144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Soggetto ospitante</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Sede</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Settore</w:t>
            </w:r>
          </w:p>
        </w:tc>
        <w:tc>
          <w:tcPr>
            <w:tcW w:type="dxa" w:w="8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Inizio</w:t>
            </w:r>
          </w:p>
        </w:tc>
        <w:tc>
          <w:tcPr>
            <w:tcW w:type="dxa" w:w="8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Fine</w:t>
            </w:r>
          </w:p>
        </w:tc>
        <w:tc>
          <w:tcPr>
            <w:tcW w:type="dxa" w:w="8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right"/>
            </w:pPr>
            <w:r>
              <w:rPr>
                <w:rFonts w:ascii="Arial" w:cs="Arial" w:eastAsia="Arial" w:hAnsi="Arial"/>
                <w:b/>
                <w:bCs/>
                <w:i w:val="false"/>
                <w:iCs w:val="false"/>
                <w:color w:val="FFFFFF"/>
                <w:sz w:val="15"/>
                <w:szCs w:val="15"/>
              </w:rPr>
              <w:t xml:space="preserve">Importo €</w:t>
            </w:r>
          </w:p>
        </w:tc>
        <w:tc>
          <w:tcPr>
            <w:tcW w:type="dxa" w:w="192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Stato</w:t>
            </w:r>
          </w:p>
        </w:tc>
      </w:tr>
      <w:tr>
        <w:tc>
          <w:tcPr>
            <w:tcW w:type="dxa" w:w="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149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VINCENT Gift</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MARLOT</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Ristorazione</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09/02/2026</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08/05/2026</w:t>
            </w:r>
          </w:p>
        </w:tc>
        <w:tc>
          <w:tcPr>
            <w:tcW w:type="dxa" w:w="8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Conclusa — saldata</w:t>
            </w:r>
          </w:p>
        </w:tc>
      </w:tr>
      <w:tr>
        <w:tc>
          <w:tcPr>
            <w:tcW w:type="dxa" w:w="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w:t>
            </w:r>
          </w:p>
        </w:tc>
        <w:tc>
          <w:tcPr>
            <w:tcW w:type="dxa" w:w="149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TRAORE Baba</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Butera Alfonso</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Artigianato</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20/04/2026</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17/07/2026</w:t>
            </w:r>
          </w:p>
        </w:tc>
        <w:tc>
          <w:tcPr>
            <w:tcW w:type="dxa" w:w="8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Conclusa — erogate 2 mensilità</w:t>
            </w:r>
          </w:p>
        </w:tc>
      </w:tr>
      <w:tr>
        <w:tc>
          <w:tcPr>
            <w:tcW w:type="dxa" w:w="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w:t>
            </w:r>
          </w:p>
        </w:tc>
        <w:tc>
          <w:tcPr>
            <w:tcW w:type="dxa" w:w="149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CAMARA Ousmane</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Edilizia</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30/03/2026</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29/06/2026</w:t>
            </w:r>
          </w:p>
        </w:tc>
        <w:tc>
          <w:tcPr>
            <w:tcW w:type="dxa" w:w="8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Conclusa — pagata</w:t>
            </w:r>
          </w:p>
        </w:tc>
      </w:tr>
      <w:tr>
        <w:tc>
          <w:tcPr>
            <w:tcW w:type="dxa" w:w="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w:t>
            </w:r>
          </w:p>
        </w:tc>
        <w:tc>
          <w:tcPr>
            <w:tcW w:type="dxa" w:w="149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MARONG Ablie</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 Trasporti</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Trasporti</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18/05/2026</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17/08/2026</w:t>
            </w:r>
          </w:p>
        </w:tc>
        <w:tc>
          <w:tcPr>
            <w:tcW w:type="dxa" w:w="8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w:t>
            </w:r>
          </w:p>
        </w:tc>
      </w:tr>
      <w:tr>
        <w:tc>
          <w:tcPr>
            <w:tcW w:type="dxa" w:w="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w:t>
            </w:r>
          </w:p>
        </w:tc>
        <w:tc>
          <w:tcPr>
            <w:tcW w:type="dxa" w:w="149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TALEEM Usama</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 Bibite</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Commercio</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08/06/2026</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07/09/2026</w:t>
            </w:r>
          </w:p>
        </w:tc>
        <w:tc>
          <w:tcPr>
            <w:tcW w:type="dxa" w:w="8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w:t>
            </w:r>
          </w:p>
        </w:tc>
        <w:tc>
          <w:tcPr>
            <w:tcW w:type="dxa" w:w="192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Interrotta l'11/06/2026</w:t>
            </w:r>
          </w:p>
        </w:tc>
      </w:tr>
      <w:tr>
        <w:tc>
          <w:tcPr>
            <w:tcW w:type="dxa" w:w="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w:t>
            </w:r>
          </w:p>
        </w:tc>
        <w:tc>
          <w:tcPr>
            <w:tcW w:type="dxa" w:w="149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HAWLADER Omar</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Comune di S. Elisabetta</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Ente pubblico</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08/06/2026</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07/09/2026</w:t>
            </w:r>
          </w:p>
        </w:tc>
        <w:tc>
          <w:tcPr>
            <w:tcW w:type="dxa" w:w="8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w:t>
            </w:r>
          </w:p>
        </w:tc>
        <w:tc>
          <w:tcPr>
            <w:tcW w:type="dxa" w:w="192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Non avviata — ri-orientato (cfr. n. 10)</w:t>
            </w:r>
          </w:p>
        </w:tc>
      </w:tr>
      <w:tr>
        <w:tc>
          <w:tcPr>
            <w:tcW w:type="dxa" w:w="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7</w:t>
            </w:r>
          </w:p>
        </w:tc>
        <w:tc>
          <w:tcPr>
            <w:tcW w:type="dxa" w:w="149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ISLAM Md Jahidul</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Comune di S. Elisabetta</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Ente pubblico</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08/06/2026</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07/09/2026</w:t>
            </w:r>
          </w:p>
        </w:tc>
        <w:tc>
          <w:tcPr>
            <w:tcW w:type="dxa" w:w="8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w:t>
            </w:r>
          </w:p>
        </w:tc>
        <w:tc>
          <w:tcPr>
            <w:tcW w:type="dxa" w:w="192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Non avviata — da ricollocare</w:t>
            </w:r>
          </w:p>
        </w:tc>
      </w:tr>
      <w:tr>
        <w:tc>
          <w:tcPr>
            <w:tcW w:type="dxa" w:w="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w:t>
            </w:r>
          </w:p>
        </w:tc>
        <w:tc>
          <w:tcPr>
            <w:tcW w:type="dxa" w:w="149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MANNEH Abubacarr</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Galvano</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Artigianato</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29/06/2026</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25/09/2026</w:t>
            </w:r>
          </w:p>
        </w:tc>
        <w:tc>
          <w:tcPr>
            <w:tcW w:type="dxa" w:w="8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w:t>
            </w:r>
          </w:p>
        </w:tc>
      </w:tr>
      <w:tr>
        <w:tc>
          <w:tcPr>
            <w:tcW w:type="dxa" w:w="33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9</w:t>
            </w:r>
          </w:p>
        </w:tc>
        <w:tc>
          <w:tcPr>
            <w:tcW w:type="dxa" w:w="149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KRUBALLY Sainey</w:t>
            </w:r>
          </w:p>
        </w:tc>
        <w:tc>
          <w:tcPr>
            <w:tcW w:type="dxa" w:w="144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Bar Ibis</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Commercio</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29/06/2026</w:t>
            </w:r>
          </w:p>
        </w:tc>
        <w:tc>
          <w:tcPr>
            <w:tcW w:type="dxa" w:w="8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27/09/2026</w:t>
            </w:r>
          </w:p>
        </w:tc>
        <w:tc>
          <w:tcPr>
            <w:tcW w:type="dxa" w:w="8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w:t>
            </w:r>
          </w:p>
        </w:tc>
      </w:tr>
      <w:tr>
        <w:tc>
          <w:tcPr>
            <w:tcW w:type="dxa" w:w="33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w:t>
            </w:r>
          </w:p>
        </w:tc>
        <w:tc>
          <w:tcPr>
            <w:tcW w:type="dxa" w:w="149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HAWLADER Omar</w:t>
            </w:r>
          </w:p>
        </w:tc>
        <w:tc>
          <w:tcPr>
            <w:tcW w:type="dxa" w:w="144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Costa's</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Canicattì</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Ristorazione</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03/08/2026</w:t>
            </w:r>
          </w:p>
        </w:tc>
        <w:tc>
          <w:tcPr>
            <w:tcW w:type="dxa" w:w="8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02/11/2026</w:t>
            </w:r>
          </w:p>
        </w:tc>
        <w:tc>
          <w:tcPr>
            <w:tcW w:type="dxa" w:w="8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6"/>
                <w:szCs w:val="16"/>
              </w:rPr>
              <w:t xml:space="preserve">1.500,00</w:t>
            </w:r>
          </w:p>
        </w:tc>
        <w:tc>
          <w:tcPr>
            <w:tcW w:type="dxa" w:w="192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 corso — avviata il 03/08</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line="264"/>
        <w:jc w:val="both"/>
      </w:pPr>
      <w:r>
        <w:rPr>
          <w:rFonts w:ascii="Times New Roman" w:cs="Times New Roman" w:eastAsia="Times New Roman" w:hAnsi="Times New Roman"/>
          <w:b w:val="false"/>
          <w:bCs w:val="false"/>
          <w:i/>
          <w:iCs/>
          <w:color w:val="5A5A5A"/>
          <w:sz w:val="18"/>
          <w:szCs w:val="18"/>
        </w:rPr>
        <w:t xml:space="preserve">Fonte: Prospetto Borse Lavoro, dati al 04/08/2026. Le posizioni nn. 6 e 10 fanno capo al medesimo beneficiario: la seconda costituisce ri-orientamento a seguito del mancato avvio della prima.</w:t>
      </w:r>
    </w:p>
    <w:p>
      <w:pPr>
        <w:pStyle w:val="Heading2"/>
        <w:spacing w:after="120" w:before="260"/>
      </w:pPr>
      <w:r>
        <w:rPr>
          <w:rFonts w:ascii="Arial" w:cs="Arial" w:eastAsia="Arial" w:hAnsi="Arial"/>
          <w:b/>
          <w:bCs/>
          <w:i w:val="false"/>
          <w:iCs w:val="false"/>
          <w:color w:val="2E5C8A"/>
          <w:sz w:val="23"/>
          <w:szCs w:val="23"/>
        </w:rPr>
        <w:t xml:space="preserve">7.2 Stato di avanzamento e analisi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964"/>
        <w:gridCol w:w="5783"/>
      </w:tblGrid>
      <w:tr>
        <w:trPr>
          <w:tblHeader/>
        </w:trPr>
        <w:tc>
          <w:tcPr>
            <w:tcW w:type="dxa" w:w="289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Stato</w:t>
            </w:r>
          </w:p>
        </w:tc>
        <w:tc>
          <w:tcPr>
            <w:tcW w:type="dxa" w:w="96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578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Note</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Conclusi regolarmente</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Tutte le mensilità previste completate</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 corso alla data</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Conclusioni fra il 17/08 e il 02/11/2026</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Interrotti</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Interruzione al terzo giorno dall’avvio</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Non avviati</w:t>
            </w:r>
          </w:p>
        </w:tc>
        <w:tc>
          <w:tcPr>
            <w:tcW w:type="dxa" w:w="96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Entrambi presso il Comune di Santa Elisabetta</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Totale</w:t>
            </w:r>
          </w:p>
        </w:tc>
        <w:tc>
          <w:tcPr>
            <w:tcW w:type="dxa" w:w="96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10</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w:t>
      </w:r>
      <w:r>
        <w:rPr>
          <w:rFonts w:ascii="Times New Roman" w:cs="Times New Roman" w:eastAsia="Times New Roman" w:hAnsi="Times New Roman"/>
          <w:b/>
          <w:bCs/>
          <w:i w:val="false"/>
          <w:iCs w:val="false"/>
          <w:sz w:val="21"/>
          <w:szCs w:val="21"/>
        </w:rPr>
        <w:t xml:space="preserve">tasso di avvio</w:t>
      </w:r>
      <w:r>
        <w:rPr>
          <w:rFonts w:ascii="Times New Roman" w:cs="Times New Roman" w:eastAsia="Times New Roman" w:hAnsi="Times New Roman"/>
          <w:b w:val="false"/>
          <w:bCs w:val="false"/>
          <w:i w:val="false"/>
          <w:iCs w:val="false"/>
          <w:sz w:val="21"/>
          <w:szCs w:val="21"/>
        </w:rPr>
        <w:t xml:space="preserve"> si attesta all’</w:t>
      </w:r>
      <w:r>
        <w:rPr>
          <w:rFonts w:ascii="Times New Roman" w:cs="Times New Roman" w:eastAsia="Times New Roman" w:hAnsi="Times New Roman"/>
          <w:b/>
          <w:bCs/>
          <w:i w:val="false"/>
          <w:iCs w:val="false"/>
          <w:sz w:val="21"/>
          <w:szCs w:val="21"/>
        </w:rPr>
        <w:t xml:space="preserve">80,0%</w:t>
      </w:r>
      <w:r>
        <w:rPr>
          <w:rFonts w:ascii="Times New Roman" w:cs="Times New Roman" w:eastAsia="Times New Roman" w:hAnsi="Times New Roman"/>
          <w:b w:val="false"/>
          <w:bCs w:val="false"/>
          <w:i w:val="false"/>
          <w:iCs w:val="false"/>
          <w:sz w:val="21"/>
          <w:szCs w:val="21"/>
        </w:rPr>
        <w:t xml:space="preserve">, valore soddisfacente ma che sconta interamente il blocco delle due posizioni presso l’Ente pubblico: tutte le posizioni presso soggetti privati sono state regolarmente avviate. Il </w:t>
      </w:r>
      <w:r>
        <w:rPr>
          <w:rFonts w:ascii="Times New Roman" w:cs="Times New Roman" w:eastAsia="Times New Roman" w:hAnsi="Times New Roman"/>
          <w:b/>
          <w:bCs/>
          <w:i w:val="false"/>
          <w:iCs w:val="false"/>
          <w:sz w:val="21"/>
          <w:szCs w:val="21"/>
        </w:rPr>
        <w:t xml:space="preserve">tasso di interruzione</w:t>
      </w:r>
      <w:r>
        <w:rPr>
          <w:rFonts w:ascii="Times New Roman" w:cs="Times New Roman" w:eastAsia="Times New Roman" w:hAnsi="Times New Roman"/>
          <w:b w:val="false"/>
          <w:bCs w:val="false"/>
          <w:i w:val="false"/>
          <w:iCs w:val="false"/>
          <w:sz w:val="21"/>
          <w:szCs w:val="21"/>
        </w:rPr>
        <w:t xml:space="preserve">, calcolato sui soli percorsi avviati, è pari al </w:t>
      </w:r>
      <w:r>
        <w:rPr>
          <w:rFonts w:ascii="Times New Roman" w:cs="Times New Roman" w:eastAsia="Times New Roman" w:hAnsi="Times New Roman"/>
          <w:b/>
          <w:bCs/>
          <w:i w:val="false"/>
          <w:iCs w:val="false"/>
          <w:sz w:val="21"/>
          <w:szCs w:val="21"/>
        </w:rPr>
        <w:t xml:space="preserve">12,5%</w:t>
      </w:r>
      <w:r>
        <w:rPr>
          <w:rFonts w:ascii="Times New Roman" w:cs="Times New Roman" w:eastAsia="Times New Roman" w:hAnsi="Times New Roman"/>
          <w:b w:val="false"/>
          <w:bCs w:val="false"/>
          <w:i w:val="false"/>
          <w:iCs w:val="false"/>
          <w:sz w:val="21"/>
          <w:szCs w:val="21"/>
        </w:rPr>
        <w:t xml:space="preserve">, dato contenuto e in linea con quanto fisiologicamente atteso. Nessuno dei percorsi conclusi si è interrotto anticipatamente.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Sul piano settoriale i percorsi si distribuiscono su </w:t>
      </w:r>
      <w:r>
        <w:rPr>
          <w:rFonts w:ascii="Times New Roman" w:cs="Times New Roman" w:eastAsia="Times New Roman" w:hAnsi="Times New Roman"/>
          <w:b/>
          <w:bCs/>
          <w:i w:val="false"/>
          <w:iCs w:val="false"/>
          <w:sz w:val="21"/>
          <w:szCs w:val="21"/>
        </w:rPr>
        <w:t xml:space="preserve">sei settori</w:t>
      </w:r>
      <w:r>
        <w:rPr>
          <w:rFonts w:ascii="Times New Roman" w:cs="Times New Roman" w:eastAsia="Times New Roman" w:hAnsi="Times New Roman"/>
          <w:b w:val="false"/>
          <w:bCs w:val="false"/>
          <w:i w:val="false"/>
          <w:iCs w:val="false"/>
          <w:sz w:val="21"/>
          <w:szCs w:val="21"/>
        </w:rPr>
        <w:t xml:space="preserve">: ristorazione e artigianato con due posizioni ciascuno, commercio con due, ente pubblico con due, edilizia e trasporti con una. Sul piano territoriale sei percorsi si svolgono a </w:t>
      </w:r>
      <w:r>
        <w:rPr>
          <w:rFonts w:ascii="Times New Roman" w:cs="Times New Roman" w:eastAsia="Times New Roman" w:hAnsi="Times New Roman"/>
          <w:b/>
          <w:bCs/>
          <w:i w:val="false"/>
          <w:iCs w:val="false"/>
          <w:sz w:val="21"/>
          <w:szCs w:val="21"/>
        </w:rPr>
        <w:t xml:space="preserve">Santa Elisabetta</w:t>
      </w:r>
      <w:r>
        <w:rPr>
          <w:rFonts w:ascii="Times New Roman" w:cs="Times New Roman" w:eastAsia="Times New Roman" w:hAnsi="Times New Roman"/>
          <w:b w:val="false"/>
          <w:bCs w:val="false"/>
          <w:i w:val="false"/>
          <w:iCs w:val="false"/>
          <w:sz w:val="21"/>
          <w:szCs w:val="21"/>
        </w:rPr>
        <w:t xml:space="preserve">, tre a </w:t>
      </w:r>
      <w:r>
        <w:rPr>
          <w:rFonts w:ascii="Times New Roman" w:cs="Times New Roman" w:eastAsia="Times New Roman" w:hAnsi="Times New Roman"/>
          <w:b/>
          <w:bCs/>
          <w:i w:val="false"/>
          <w:iCs w:val="false"/>
          <w:sz w:val="21"/>
          <w:szCs w:val="21"/>
        </w:rPr>
        <w:t xml:space="preserve">Raffadali</w:t>
      </w:r>
      <w:r>
        <w:rPr>
          <w:rFonts w:ascii="Times New Roman" w:cs="Times New Roman" w:eastAsia="Times New Roman" w:hAnsi="Times New Roman"/>
          <w:b w:val="false"/>
          <w:bCs w:val="false"/>
          <w:i w:val="false"/>
          <w:iCs w:val="false"/>
          <w:sz w:val="21"/>
          <w:szCs w:val="21"/>
        </w:rPr>
        <w:t xml:space="preserve"> (circa 8 km) e uno a </w:t>
      </w:r>
      <w:r>
        <w:rPr>
          <w:rFonts w:ascii="Times New Roman" w:cs="Times New Roman" w:eastAsia="Times New Roman" w:hAnsi="Times New Roman"/>
          <w:b/>
          <w:bCs/>
          <w:i w:val="false"/>
          <w:iCs w:val="false"/>
          <w:sz w:val="21"/>
          <w:szCs w:val="21"/>
        </w:rPr>
        <w:t xml:space="preserve">Canicattì</w:t>
      </w:r>
      <w:r>
        <w:rPr>
          <w:rFonts w:ascii="Times New Roman" w:cs="Times New Roman" w:eastAsia="Times New Roman" w:hAnsi="Times New Roman"/>
          <w:b w:val="false"/>
          <w:bCs w:val="false"/>
          <w:i w:val="false"/>
          <w:iCs w:val="false"/>
          <w:sz w:val="21"/>
          <w:szCs w:val="21"/>
        </w:rPr>
        <w:t xml:space="preserve"> (circa 30 km): l’apertura su quest’ultimo bacino, intervenuta nell’agosto 2026, amplia il raggio di azione del servizio ma introduce un fattore di attenzione sulla mobilità dei beneficiari, il cui costo incide su un’indennità mensile di € 500,00.</w:t>
      </w:r>
    </w:p>
    <w:p>
      <w:pPr>
        <w:pStyle w:val="Heading2"/>
        <w:spacing w:after="120" w:before="260"/>
      </w:pPr>
      <w:r>
        <w:rPr>
          <w:rFonts w:ascii="Arial" w:cs="Arial" w:eastAsia="Arial" w:hAnsi="Arial"/>
          <w:b/>
          <w:bCs/>
          <w:i w:val="false"/>
          <w:iCs w:val="false"/>
          <w:color w:val="2E5C8A"/>
          <w:sz w:val="23"/>
          <w:szCs w:val="23"/>
        </w:rPr>
        <w:t xml:space="preserve">7.3 Quadro economico della linea di intervento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41"/>
        <w:gridCol w:w="1735"/>
        <w:gridCol w:w="1253"/>
        <w:gridCol w:w="2409"/>
      </w:tblGrid>
      <w:tr>
        <w:trPr>
          <w:tblHeader/>
        </w:trPr>
        <w:tc>
          <w:tcPr>
            <w:tcW w:type="dxa" w:w="424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Voce</w:t>
            </w:r>
          </w:p>
        </w:tc>
        <w:tc>
          <w:tcPr>
            <w:tcW w:type="dxa" w:w="173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right"/>
            </w:pPr>
            <w:r>
              <w:rPr>
                <w:rFonts w:ascii="Arial" w:cs="Arial" w:eastAsia="Arial" w:hAnsi="Arial"/>
                <w:b/>
                <w:bCs/>
                <w:i w:val="false"/>
                <w:iCs w:val="false"/>
                <w:color w:val="FFFFFF"/>
                <w:sz w:val="16"/>
                <w:szCs w:val="16"/>
              </w:rPr>
              <w:t xml:space="preserve">Importo €</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Quota</w:t>
            </w:r>
          </w:p>
        </w:tc>
        <w:tc>
          <w:tcPr>
            <w:tcW w:type="dxa" w:w="240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Note</w:t>
            </w:r>
          </w:p>
        </w:tc>
      </w:tr>
      <w:tr>
        <w:tc>
          <w:tcPr>
            <w:tcW w:type="dxa" w:w="424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Dotazione da Piano Finanziario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30.000,00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100,0%</w:t>
            </w:r>
          </w:p>
        </w:tc>
        <w:tc>
          <w:tcPr>
            <w:tcW w:type="dxa" w:w="240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Linea borse lavoro</w:t>
            </w:r>
          </w:p>
        </w:tc>
      </w:tr>
      <w:tr>
        <w:tc>
          <w:tcPr>
            <w:tcW w:type="dxa" w:w="424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Importo impegnato</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10.500,00</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35,0%</w:t>
            </w:r>
          </w:p>
        </w:tc>
        <w:tc>
          <w:tcPr>
            <w:tcW w:type="dxa" w:w="240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7 borse × € 1.500,00</w:t>
            </w:r>
          </w:p>
        </w:tc>
      </w:tr>
      <w:tr>
        <w:tc>
          <w:tcPr>
            <w:tcW w:type="dxa" w:w="424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 cui erogato e documentato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4.000,00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13,3%</w:t>
            </w:r>
          </w:p>
        </w:tc>
        <w:tc>
          <w:tcPr>
            <w:tcW w:type="dxa" w:w="240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Su tre percorsi conclusi</w:t>
            </w:r>
          </w:p>
        </w:tc>
      </w:tr>
      <w:tr>
        <w:tc>
          <w:tcPr>
            <w:tcW w:type="dxa" w:w="424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 cui da erogare su impegni assunti</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val="false"/>
                <w:bCs w:val="false"/>
                <w:i w:val="false"/>
                <w:iCs w:val="false"/>
                <w:sz w:val="17"/>
                <w:szCs w:val="17"/>
              </w:rPr>
              <w:t xml:space="preserve">6.500,00</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21,7%</w:t>
            </w:r>
          </w:p>
        </w:tc>
        <w:tc>
          <w:tcPr>
            <w:tcW w:type="dxa" w:w="240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Percorsi in corso e saldi</w:t>
            </w:r>
          </w:p>
        </w:tc>
      </w:tr>
      <w:tr>
        <w:tc>
          <w:tcPr>
            <w:tcW w:type="dxa" w:w="424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Residuo disponibile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right"/>
            </w:pPr>
            <w:r>
              <w:rPr>
                <w:rFonts w:ascii="Times New Roman" w:cs="Times New Roman" w:eastAsia="Times New Roman" w:hAnsi="Times New Roman"/>
                <w:b/>
                <w:bCs/>
                <w:i w:val="false"/>
                <w:iCs w:val="false"/>
                <w:sz w:val="17"/>
                <w:szCs w:val="17"/>
              </w:rPr>
              <w:t xml:space="preserve">19.500,00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val="false"/>
                <w:iCs w:val="false"/>
                <w:sz w:val="17"/>
                <w:szCs w:val="17"/>
              </w:rPr>
              <w:t xml:space="preserve">65,0%</w:t>
            </w:r>
          </w:p>
        </w:tc>
        <w:tc>
          <w:tcPr>
            <w:tcW w:type="dxa" w:w="240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Riprogrammabile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residuo di </w:t>
      </w:r>
      <w:r>
        <w:rPr>
          <w:rFonts w:ascii="Times New Roman" w:cs="Times New Roman" w:eastAsia="Times New Roman" w:hAnsi="Times New Roman"/>
          <w:b/>
          <w:bCs/>
          <w:i w:val="false"/>
          <w:iCs w:val="false"/>
          <w:sz w:val="21"/>
          <w:szCs w:val="21"/>
        </w:rPr>
        <w:t xml:space="preserve">€ 19.500,00</w:t>
      </w:r>
      <w:r>
        <w:rPr>
          <w:rFonts w:ascii="Times New Roman" w:cs="Times New Roman" w:eastAsia="Times New Roman" w:hAnsi="Times New Roman"/>
          <w:b w:val="false"/>
          <w:bCs w:val="false"/>
          <w:i w:val="false"/>
          <w:iCs w:val="false"/>
          <w:sz w:val="21"/>
          <w:szCs w:val="21"/>
        </w:rPr>
        <w:t xml:space="preserve"> corrisponde, a valori unitari invariati, a una capacità teorica di </w:t>
      </w:r>
      <w:r>
        <w:rPr>
          <w:rFonts w:ascii="Times New Roman" w:cs="Times New Roman" w:eastAsia="Times New Roman" w:hAnsi="Times New Roman"/>
          <w:b/>
          <w:bCs/>
          <w:i w:val="false"/>
          <w:iCs w:val="false"/>
          <w:sz w:val="21"/>
          <w:szCs w:val="21"/>
        </w:rPr>
        <w:t xml:space="preserve">tredici ulteriori percorsi trimestrali</w:t>
      </w:r>
      <w:r>
        <w:rPr>
          <w:rFonts w:ascii="Times New Roman" w:cs="Times New Roman" w:eastAsia="Times New Roman" w:hAnsi="Times New Roman"/>
          <w:b w:val="false"/>
          <w:bCs w:val="false"/>
          <w:i w:val="false"/>
          <w:iCs w:val="false"/>
          <w:sz w:val="21"/>
          <w:szCs w:val="21"/>
        </w:rPr>
        <w:t xml:space="preserve">. Poiché una borsa attivata entro settembre può completare le tre mensilità entro la chiusura dell’annualità, e poiché il servizio dispone di una platea di ventidue beneficiari già istruiti e privi di inserimento, esiste un margine concreto per un recupero sostanziale del livello di impegno.</w:t>
      </w:r>
    </w:p>
    <w:p>
      <w:pPr>
        <w:pStyle w:val="Heading2"/>
        <w:spacing w:after="120" w:before="260"/>
      </w:pPr>
      <w:r>
        <w:rPr>
          <w:rFonts w:ascii="Arial" w:cs="Arial" w:eastAsia="Arial" w:hAnsi="Arial"/>
          <w:b/>
          <w:bCs/>
          <w:i w:val="false"/>
          <w:iCs w:val="false"/>
          <w:color w:val="2E5C8A"/>
          <w:sz w:val="23"/>
          <w:szCs w:val="23"/>
        </w:rPr>
        <w:t xml:space="preserve">7.4 Dall’orientamento all’inserimento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L’incrocio fra i due archivi consente di ricostruire la progressione dei beneficiari lungo il percorso di servizio.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1253"/>
        <w:gridCol w:w="1253"/>
        <w:gridCol w:w="3084"/>
      </w:tblGrid>
      <w:tr>
        <w:trPr>
          <w:tblHeader/>
        </w:trPr>
        <w:tc>
          <w:tcPr>
            <w:tcW w:type="dxa" w:w="4048"/>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Stadio del percorso</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N.</w:t>
            </w:r>
          </w:p>
        </w:tc>
        <w:tc>
          <w:tcPr>
            <w:tcW w:type="dxa" w:w="125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6"/>
                <w:szCs w:val="16"/>
              </w:rPr>
              <w:t xml:space="preserve">Quota</w:t>
            </w:r>
          </w:p>
        </w:tc>
        <w:tc>
          <w:tcPr>
            <w:tcW w:type="dxa" w:w="3084"/>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6"/>
                <w:szCs w:val="16"/>
              </w:rPr>
              <w:t xml:space="preserve">Osservazioni</w:t>
            </w:r>
          </w:p>
        </w:tc>
      </w:tr>
      <w:tr>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Beneficiari in carico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50</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100,0%</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Platea complessiva del servizio</w:t>
            </w:r>
          </w:p>
        </w:tc>
      </w:tr>
      <w:tr>
        <w:tc>
          <w:tcPr>
            <w:tcW w:type="dxa" w:w="40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curriculum vitae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43</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86,0%</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Strumento a copertura più ampia</w:t>
            </w:r>
          </w:p>
        </w:tc>
      </w:tr>
      <w:tr>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incontro di orientamento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41</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82,0%</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Due posizioni con CV senza colloquio</w:t>
            </w:r>
          </w:p>
        </w:tc>
      </w:tr>
      <w:tr>
        <w:tc>
          <w:tcPr>
            <w:tcW w:type="dxa" w:w="40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determinazione delle competenze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19</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38,0%</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Attivazione selettiva — cfr. § 6.4</w:t>
            </w:r>
          </w:p>
        </w:tc>
      </w:tr>
      <w:tr>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borsa lavoro attivata</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9</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18,0%</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Dieci percorsi su nove beneficiari</w:t>
            </w:r>
          </w:p>
        </w:tc>
      </w:tr>
      <w:tr>
        <w:tc>
          <w:tcPr>
            <w:tcW w:type="dxa" w:w="4048"/>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tirocinio extracurriculare</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1</w:t>
            </w:r>
          </w:p>
        </w:tc>
        <w:tc>
          <w:tcPr>
            <w:tcW w:type="dxa" w:w="125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2,0%</w:t>
            </w:r>
          </w:p>
        </w:tc>
        <w:tc>
          <w:tcPr>
            <w:tcW w:type="dxa" w:w="3084"/>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Transizione documentata al § 8.1</w:t>
            </w:r>
          </w:p>
        </w:tc>
      </w:tr>
      <w:tr>
        <w:tc>
          <w:tcPr>
            <w:tcW w:type="dxa" w:w="4048"/>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con contratto di lavoro</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iCs/>
                <w:color w:val="B45309"/>
                <w:sz w:val="17"/>
                <w:szCs w:val="17"/>
              </w:rPr>
              <w:t xml:space="preserve">da int.</w:t>
            </w:r>
          </w:p>
        </w:tc>
        <w:tc>
          <w:tcPr>
            <w:tcW w:type="dxa" w:w="125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bCs/>
                <w:i/>
                <w:iCs/>
                <w:color w:val="B45309"/>
                <w:sz w:val="17"/>
                <w:szCs w:val="17"/>
              </w:rPr>
              <w:t xml:space="preserve">da int.</w:t>
            </w:r>
          </w:p>
        </w:tc>
        <w:tc>
          <w:tcPr>
            <w:tcW w:type="dxa" w:w="3084"/>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Dato da acquisire — cfr. § 8.2</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lettura complessiva restituisce un servizio con </w:t>
      </w:r>
      <w:r>
        <w:rPr>
          <w:rFonts w:ascii="Times New Roman" w:cs="Times New Roman" w:eastAsia="Times New Roman" w:hAnsi="Times New Roman"/>
          <w:b/>
          <w:bCs/>
          <w:i w:val="false"/>
          <w:iCs w:val="false"/>
          <w:sz w:val="21"/>
          <w:szCs w:val="21"/>
        </w:rPr>
        <w:t xml:space="preserve">presa in carico ampia e conversione contenuta</w:t>
      </w:r>
      <w:r>
        <w:rPr>
          <w:rFonts w:ascii="Times New Roman" w:cs="Times New Roman" w:eastAsia="Times New Roman" w:hAnsi="Times New Roman"/>
          <w:b w:val="false"/>
          <w:bCs w:val="false"/>
          <w:i w:val="false"/>
          <w:iCs w:val="false"/>
          <w:sz w:val="21"/>
          <w:szCs w:val="21"/>
        </w:rPr>
        <w:t xml:space="preserve">. L’82% dell’utenza è stato orientato, ma solo il 18% ha avuto accesso a un inserimento retribuito: </w:t>
      </w:r>
      <w:r>
        <w:rPr>
          <w:rFonts w:ascii="Times New Roman" w:cs="Times New Roman" w:eastAsia="Times New Roman" w:hAnsi="Times New Roman"/>
          <w:b/>
          <w:bCs/>
          <w:i w:val="false"/>
          <w:iCs w:val="false"/>
          <w:sz w:val="21"/>
          <w:szCs w:val="21"/>
        </w:rPr>
        <w:t xml:space="preserve">ventidue beneficiari dispongono di colloquio e curriculum senza alcun inserimento attivato</w:t>
      </w:r>
      <w:r>
        <w:rPr>
          <w:rFonts w:ascii="Times New Roman" w:cs="Times New Roman" w:eastAsia="Times New Roman" w:hAnsi="Times New Roman"/>
          <w:b w:val="false"/>
          <w:bCs w:val="false"/>
          <w:i w:val="false"/>
          <w:iCs w:val="false"/>
          <w:sz w:val="21"/>
          <w:szCs w:val="21"/>
        </w:rPr>
        <w:t xml:space="preserve">. Il collo di bottiglia non si colloca dunque nella fase istruttoria, che funziona, ma nella disponibilità di posti presso i soggetti ospitanti e nella capacità di scouting, attività alla quale la configurazione ordinaria destina una sola ora settimanale.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 discende un’indicazione operativa netta: nel periodo residuo il </w:t>
      </w:r>
      <w:r>
        <w:rPr>
          <w:rFonts w:ascii="Times New Roman" w:cs="Times New Roman" w:eastAsia="Times New Roman" w:hAnsi="Times New Roman"/>
          <w:b/>
          <w:bCs/>
          <w:i w:val="false"/>
          <w:iCs w:val="false"/>
          <w:sz w:val="21"/>
          <w:szCs w:val="21"/>
        </w:rPr>
        <w:t xml:space="preserve">rendimento marginale più elevato non si ottiene ampliando ulteriormente la presa in carico, ma convertendo in inserimenti la platea già istruita</w:t>
      </w:r>
      <w:r>
        <w:rPr>
          <w:rFonts w:ascii="Times New Roman" w:cs="Times New Roman" w:eastAsia="Times New Roman" w:hAnsi="Times New Roman"/>
          <w:b w:val="false"/>
          <w:bCs w:val="false"/>
          <w:i w:val="false"/>
          <w:iCs w:val="false"/>
          <w:sz w:val="21"/>
          <w:szCs w:val="21"/>
        </w:rPr>
        <w:t xml:space="preserve">. I ventidue beneficiari in attesa costituiscono una riserva immediatamente disponibile, che il residuo di dotazione è ampiamente capiente ad assorbire.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8. TIROCINI, ESITI OCCUPAZIONALI E FORMAZIONE</w:t>
      </w:r>
    </w:p>
    <w:p>
      <w:pPr>
        <w:pStyle w:val="Heading3"/>
        <w:spacing w:after="100" w:before="180"/>
      </w:pPr>
      <w:r>
        <w:rPr>
          <w:rFonts w:ascii="Arial" w:cs="Arial" w:eastAsia="Arial" w:hAnsi="Arial"/>
          <w:b/>
          <w:bCs/>
          <w:i w:val="false"/>
          <w:iCs w:val="false"/>
          <w:color w:val="333333"/>
          <w:sz w:val="21"/>
          <w:szCs w:val="21"/>
        </w:rPr>
        <w:t xml:space="preserve">8.1  Tirocinio extracurriculare attivato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95"/>
        <w:gridCol w:w="6843"/>
      </w:tblGrid>
      <w:tr>
        <w:tc>
          <w:tcPr>
            <w:tcW w:type="dxa" w:w="27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Beneficiario</w:t>
            </w:r>
          </w:p>
        </w:tc>
        <w:tc>
          <w:tcPr>
            <w:tcW w:type="dxa" w:w="68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VINCENT Gift</w:t>
            </w:r>
          </w:p>
        </w:tc>
      </w:tr>
      <w:tr>
        <w:tc>
          <w:tcPr>
            <w:tcW w:type="dxa" w:w="27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Soggetto ospitante</w:t>
            </w:r>
          </w:p>
        </w:tc>
        <w:tc>
          <w:tcPr>
            <w:tcW w:type="dxa" w:w="684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Ditta MARLOT — Raffadali (AG) — settore ristorazione</w:t>
            </w:r>
          </w:p>
        </w:tc>
      </w:tr>
      <w:tr>
        <w:tc>
          <w:tcPr>
            <w:tcW w:type="dxa" w:w="27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Soggetto promotore</w:t>
            </w:r>
          </w:p>
        </w:tc>
        <w:tc>
          <w:tcPr>
            <w:tcW w:type="dxa" w:w="68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APL UIL CST — Agenzia per il Lavoro</w:t>
            </w:r>
          </w:p>
        </w:tc>
      </w:tr>
      <w:tr>
        <w:tc>
          <w:tcPr>
            <w:tcW w:type="dxa" w:w="279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Periodo</w:t>
            </w:r>
          </w:p>
        </w:tc>
        <w:tc>
          <w:tcPr>
            <w:tcW w:type="dxa" w:w="684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Dal 01/06/2026 al 30/11/2026 — sei mesi</w:t>
            </w:r>
          </w:p>
        </w:tc>
      </w:tr>
      <w:tr>
        <w:tc>
          <w:tcPr>
            <w:tcW w:type="dxa" w:w="279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7"/>
                <w:szCs w:val="17"/>
              </w:rPr>
              <w:t xml:space="preserve">Percorso pregresso</w:t>
            </w:r>
          </w:p>
        </w:tc>
        <w:tc>
          <w:tcPr>
            <w:tcW w:type="dxa" w:w="68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Presa in carico a gennaio 2026, curriculum a febbraio, borsa lavoro presso il medesimo soggetto ospitante da febbraio a maggio, regolarmente conclusa e saldata; determinazione delle competenze a giugno, a valle dell’esperienza in azienda</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caso documenta per intero la sequenza che il servizio assume come modello di riferimento. La borsa lavoro, misura interna al progetto, ha svolto la funzione di </w:t>
      </w:r>
      <w:r>
        <w:rPr>
          <w:rFonts w:ascii="Times New Roman" w:cs="Times New Roman" w:eastAsia="Times New Roman" w:hAnsi="Times New Roman"/>
          <w:b/>
          <w:bCs/>
          <w:i w:val="false"/>
          <w:iCs w:val="false"/>
          <w:sz w:val="21"/>
          <w:szCs w:val="21"/>
        </w:rPr>
        <w:t xml:space="preserve">strumento di ingresso e di verifica reciproca</w:t>
      </w:r>
      <w:r>
        <w:rPr>
          <w:rFonts w:ascii="Times New Roman" w:cs="Times New Roman" w:eastAsia="Times New Roman" w:hAnsi="Times New Roman"/>
          <w:b w:val="false"/>
          <w:bCs w:val="false"/>
          <w:i w:val="false"/>
          <w:iCs w:val="false"/>
          <w:sz w:val="21"/>
          <w:szCs w:val="21"/>
        </w:rPr>
        <w:t xml:space="preserve">; conclusasi positivamente e consolidato il rapporto fiduciario con l’impresa, il percorso è proseguito con una misura di politica attiva </w:t>
      </w:r>
      <w:r>
        <w:rPr>
          <w:rFonts w:ascii="Times New Roman" w:cs="Times New Roman" w:eastAsia="Times New Roman" w:hAnsi="Times New Roman"/>
          <w:b/>
          <w:bCs/>
          <w:i w:val="false"/>
          <w:iCs w:val="false"/>
          <w:sz w:val="21"/>
          <w:szCs w:val="21"/>
        </w:rPr>
        <w:t xml:space="preserve">ordinaria</w:t>
      </w:r>
      <w:r>
        <w:rPr>
          <w:rFonts w:ascii="Times New Roman" w:cs="Times New Roman" w:eastAsia="Times New Roman" w:hAnsi="Times New Roman"/>
          <w:b w:val="false"/>
          <w:bCs w:val="false"/>
          <w:i w:val="false"/>
          <w:iCs w:val="false"/>
          <w:sz w:val="21"/>
          <w:szCs w:val="21"/>
        </w:rPr>
        <w:t xml:space="preserve">, promossa da un’Agenzia per il Lavoro accreditata e di durata doppia rispetto alla borsa.</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transizione produce tre effetti convergenti: </w:t>
      </w:r>
      <w:r>
        <w:rPr>
          <w:rFonts w:ascii="Times New Roman" w:cs="Times New Roman" w:eastAsia="Times New Roman" w:hAnsi="Times New Roman"/>
          <w:b/>
          <w:bCs/>
          <w:i w:val="false"/>
          <w:iCs w:val="false"/>
          <w:sz w:val="21"/>
          <w:szCs w:val="21"/>
        </w:rPr>
        <w:t xml:space="preserve">alleggerisce la dotazione di progetto</w:t>
      </w:r>
      <w:r>
        <w:rPr>
          <w:rFonts w:ascii="Times New Roman" w:cs="Times New Roman" w:eastAsia="Times New Roman" w:hAnsi="Times New Roman"/>
          <w:b w:val="false"/>
          <w:bCs w:val="false"/>
          <w:i w:val="false"/>
          <w:iCs w:val="false"/>
          <w:sz w:val="21"/>
          <w:szCs w:val="21"/>
        </w:rPr>
        <w:t xml:space="preserve">, poiché indennità e coperture assicurative gravano sui soggetti ospitante e promotore anziché sul budget SAI; colloca il beneficiario in un </w:t>
      </w:r>
      <w:r>
        <w:rPr>
          <w:rFonts w:ascii="Times New Roman" w:cs="Times New Roman" w:eastAsia="Times New Roman" w:hAnsi="Times New Roman"/>
          <w:b/>
          <w:bCs/>
          <w:i w:val="false"/>
          <w:iCs w:val="false"/>
          <w:sz w:val="21"/>
          <w:szCs w:val="21"/>
        </w:rPr>
        <w:t xml:space="preserve">rapporto formalizzato secondo la disciplina ordinaria</w:t>
      </w:r>
      <w:r>
        <w:rPr>
          <w:rFonts w:ascii="Times New Roman" w:cs="Times New Roman" w:eastAsia="Times New Roman" w:hAnsi="Times New Roman"/>
          <w:b w:val="false"/>
          <w:bCs w:val="false"/>
          <w:i w:val="false"/>
          <w:iCs w:val="false"/>
          <w:sz w:val="21"/>
          <w:szCs w:val="21"/>
        </w:rPr>
        <w:t xml:space="preserve">, dotato di valore certificativo spendibile nel mercato del lavoro; configura una </w:t>
      </w:r>
      <w:r>
        <w:rPr>
          <w:rFonts w:ascii="Times New Roman" w:cs="Times New Roman" w:eastAsia="Times New Roman" w:hAnsi="Times New Roman"/>
          <w:b/>
          <w:bCs/>
          <w:i w:val="false"/>
          <w:iCs w:val="false"/>
          <w:sz w:val="21"/>
          <w:szCs w:val="21"/>
        </w:rPr>
        <w:t xml:space="preserve">prospettiva concreta di assunzione</w:t>
      </w:r>
      <w:r>
        <w:rPr>
          <w:rFonts w:ascii="Times New Roman" w:cs="Times New Roman" w:eastAsia="Times New Roman" w:hAnsi="Times New Roman"/>
          <w:b w:val="false"/>
          <w:bCs w:val="false"/>
          <w:i w:val="false"/>
          <w:iCs w:val="false"/>
          <w:sz w:val="21"/>
          <w:szCs w:val="21"/>
        </w:rPr>
        <w:t xml:space="preserve"> al termine del tirocinio, esito che il Manuale operativo SAI indica come sbocco naturale della borsa lavoro.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l’assunzione di questa sequenza quale </w:t>
      </w:r>
      <w:r>
        <w:rPr>
          <w:rFonts w:ascii="Times New Roman" w:cs="Times New Roman" w:eastAsia="Times New Roman" w:hAnsi="Times New Roman"/>
          <w:b/>
          <w:bCs/>
          <w:i w:val="false"/>
          <w:iCs w:val="false"/>
          <w:sz w:val="21"/>
          <w:szCs w:val="21"/>
        </w:rPr>
        <w:t xml:space="preserve">standard operativo del servizio</w:t>
      </w:r>
      <w:r>
        <w:rPr>
          <w:rFonts w:ascii="Times New Roman" w:cs="Times New Roman" w:eastAsia="Times New Roman" w:hAnsi="Times New Roman"/>
          <w:b w:val="false"/>
          <w:bCs w:val="false"/>
          <w:i w:val="false"/>
          <w:iCs w:val="false"/>
          <w:sz w:val="21"/>
          <w:szCs w:val="21"/>
        </w:rPr>
        <w:t xml:space="preserve">: per ciascuna borsa in scadenza la valutazione di trasformabilità in tirocinio dovrebbe essere avviata sistematicamente nei trenta giorni antecedenti la conclusione, in raccordo con il soggetto promotore. I candidati immediati sono i due beneficiari con borsa già conclusa e uscita dal progetto nel 2026.</w:t>
      </w:r>
    </w:p>
    <w:p>
      <w:pPr>
        <w:pStyle w:val="Heading3"/>
        <w:spacing w:after="100" w:before="180"/>
      </w:pPr>
      <w:r>
        <w:rPr>
          <w:rFonts w:ascii="Arial" w:cs="Arial" w:eastAsia="Arial" w:hAnsi="Arial"/>
          <w:b/>
          <w:bCs/>
          <w:i w:val="false"/>
          <w:iCs w:val="false"/>
          <w:color w:val="333333"/>
          <w:sz w:val="21"/>
          <w:szCs w:val="21"/>
        </w:rPr>
        <w:t xml:space="preserve">8.2  Esiti occupazionali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Coordinamento di progetto segnala che nell’annualità </w:t>
      </w:r>
      <w:r>
        <w:rPr>
          <w:rFonts w:ascii="Times New Roman" w:cs="Times New Roman" w:eastAsia="Times New Roman" w:hAnsi="Times New Roman"/>
          <w:b/>
          <w:bCs/>
          <w:i w:val="false"/>
          <w:iCs w:val="false"/>
          <w:sz w:val="21"/>
          <w:szCs w:val="21"/>
        </w:rPr>
        <w:t xml:space="preserve">alcuni beneficiari hanno conseguito un rapporto di lavoro</w:t>
      </w:r>
      <w:r>
        <w:rPr>
          <w:rFonts w:ascii="Times New Roman" w:cs="Times New Roman" w:eastAsia="Times New Roman" w:hAnsi="Times New Roman"/>
          <w:b w:val="false"/>
          <w:bCs w:val="false"/>
          <w:i w:val="false"/>
          <w:iCs w:val="false"/>
          <w:sz w:val="21"/>
          <w:szCs w:val="21"/>
        </w:rPr>
        <w:t xml:space="preserve"> al di fuori delle misure interne al progetto. Il dato costituisce l’esito di maggior rilievo dell’intero servizio, in quanto misura il conseguimento dell’obiettivo finale dell’accoglienza integrata — l’autonomia lavorativa — e non il semplice accesso a una misura di sostegno.</w:t>
      </w:r>
    </w:p>
    <w:p>
      <w:pPr>
        <w:spacing w:after="140" w:before="0" w:line="276"/>
        <w:jc w:val="both"/>
      </w:pPr>
      <w:r>
        <w:rPr>
          <w:rFonts w:ascii="Times New Roman" w:cs="Times New Roman" w:eastAsia="Times New Roman" w:hAnsi="Times New Roman"/>
          <w:b/>
          <w:bCs/>
          <w:i/>
          <w:iCs/>
          <w:color w:val="B45309"/>
          <w:sz w:val="21"/>
          <w:szCs w:val="21"/>
        </w:rPr>
        <w:t xml:space="preserve">Sezione da completare a cura del Servizio con l’elenco dei beneficiari assunti, la tipologia contrattuale, il soggetto datoriale e la decorrenza.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2120"/>
        <w:gridCol w:w="2120"/>
        <w:gridCol w:w="1542"/>
        <w:gridCol w:w="1543"/>
      </w:tblGrid>
      <w:tr>
        <w:trPr>
          <w:tblHeader/>
        </w:trPr>
        <w:tc>
          <w:tcPr>
            <w:tcW w:type="dxa" w:w="231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Beneficiario</w:t>
            </w:r>
          </w:p>
        </w:tc>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Datore di lavoro</w:t>
            </w:r>
          </w:p>
        </w:tc>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Tipologia contrattuale</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Decorrenza</w:t>
            </w:r>
          </w:p>
        </w:tc>
        <w:tc>
          <w:tcPr>
            <w:tcW w:type="dxa" w:w="154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Percorso pregresso</w:t>
            </w:r>
          </w:p>
        </w:tc>
      </w:tr>
      <w:tr>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c>
          <w:tcPr>
            <w:tcW w:type="dxa" w:w="154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r>
      <w:tr>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integrare</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c>
          <w:tcPr>
            <w:tcW w:type="dxa" w:w="154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iCs/>
                <w:color w:val="B45309"/>
                <w:sz w:val="16"/>
                <w:szCs w:val="16"/>
              </w:rPr>
              <w:t xml:space="preserve">da int.</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Una volta acquisito il dato sarà possibile calcolare il </w:t>
      </w:r>
      <w:r>
        <w:rPr>
          <w:rFonts w:ascii="Times New Roman" w:cs="Times New Roman" w:eastAsia="Times New Roman" w:hAnsi="Times New Roman"/>
          <w:b/>
          <w:bCs/>
          <w:i w:val="false"/>
          <w:iCs w:val="false"/>
          <w:sz w:val="21"/>
          <w:szCs w:val="21"/>
        </w:rPr>
        <w:t xml:space="preserve">tasso di inserimento occupazionale</w:t>
      </w:r>
      <w:r>
        <w:rPr>
          <w:rFonts w:ascii="Times New Roman" w:cs="Times New Roman" w:eastAsia="Times New Roman" w:hAnsi="Times New Roman"/>
          <w:b w:val="false"/>
          <w:bCs w:val="false"/>
          <w:i w:val="false"/>
          <w:iCs w:val="false"/>
          <w:sz w:val="21"/>
          <w:szCs w:val="21"/>
        </w:rPr>
        <w:t xml:space="preserve">, indicatore di esito più rilevante ai fini della valutazione del servizio, da inserire stabilmente nel set del § 11. Si raccomanda inoltre di estendere la rilevazione ai </w:t>
      </w:r>
      <w:r>
        <w:rPr>
          <w:rFonts w:ascii="Times New Roman" w:cs="Times New Roman" w:eastAsia="Times New Roman" w:hAnsi="Times New Roman"/>
          <w:b/>
          <w:bCs/>
          <w:i w:val="false"/>
          <w:iCs w:val="false"/>
          <w:sz w:val="21"/>
          <w:szCs w:val="21"/>
        </w:rPr>
        <w:t xml:space="preserve">beneficiari usciti dal progetto</w:t>
      </w:r>
      <w:r>
        <w:rPr>
          <w:rFonts w:ascii="Times New Roman" w:cs="Times New Roman" w:eastAsia="Times New Roman" w:hAnsi="Times New Roman"/>
          <w:b w:val="false"/>
          <w:bCs w:val="false"/>
          <w:i w:val="false"/>
          <w:iCs w:val="false"/>
          <w:sz w:val="21"/>
          <w:szCs w:val="21"/>
        </w:rPr>
        <w:t xml:space="preserve">, mediante un follow-up a sei e dodici mesi dall’uscita: è la sola modalità che consente di verificare la tenuta dell’autonomia raggiunta oltre la durata dell’accoglienza.</w:t>
      </w:r>
    </w:p>
    <w:p>
      <w:pPr>
        <w:pStyle w:val="Heading3"/>
        <w:spacing w:after="100" w:before="180"/>
      </w:pPr>
      <w:r>
        <w:rPr>
          <w:rFonts w:ascii="Arial" w:cs="Arial" w:eastAsia="Arial" w:hAnsi="Arial"/>
          <w:b/>
          <w:bCs/>
          <w:i w:val="false"/>
          <w:iCs w:val="false"/>
          <w:color w:val="333333"/>
          <w:sz w:val="21"/>
          <w:szCs w:val="21"/>
        </w:rPr>
        <w:t xml:space="preserve">8.3  Percorsi di formazione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Coordinamento segnala che </w:t>
      </w:r>
      <w:r>
        <w:rPr>
          <w:rFonts w:ascii="Times New Roman" w:cs="Times New Roman" w:eastAsia="Times New Roman" w:hAnsi="Times New Roman"/>
          <w:b/>
          <w:bCs/>
          <w:i w:val="false"/>
          <w:iCs w:val="false"/>
          <w:sz w:val="21"/>
          <w:szCs w:val="21"/>
        </w:rPr>
        <w:t xml:space="preserve">alcuni beneficiari hanno frequentato percorsi formativi</w:t>
      </w:r>
      <w:r>
        <w:rPr>
          <w:rFonts w:ascii="Times New Roman" w:cs="Times New Roman" w:eastAsia="Times New Roman" w:hAnsi="Times New Roman"/>
          <w:b w:val="false"/>
          <w:bCs w:val="false"/>
          <w:i w:val="false"/>
          <w:iCs w:val="false"/>
          <w:sz w:val="21"/>
          <w:szCs w:val="21"/>
        </w:rPr>
        <w:t xml:space="preserve"> nel corso dell’annualità. L’attività non è tracciata nel registro di orientamento, che rileva le sole azioni strutturate. </w:t>
      </w:r>
      <w:r>
        <w:rPr>
          <w:rFonts w:ascii="Times New Roman" w:cs="Times New Roman" w:eastAsia="Times New Roman" w:hAnsi="Times New Roman"/>
          <w:b/>
          <w:bCs/>
          <w:i/>
          <w:iCs/>
          <w:color w:val="B45309"/>
          <w:sz w:val="21"/>
          <w:szCs w:val="21"/>
        </w:rPr>
        <w:t xml:space="preserve">Sezione da completare a cura del Servizio con l’elenco dei corsi erogati, i beneficiari coinvolti, l’ente erogatore, il periodo e gli attestati conseguiti.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Nell’ambito della funzione consulenziale si segnalano di seguito le azioni formative che, alla luce dei profili presi in carico e dei settori di inserimento attivati, appaiono prioritarie per il periodo residuo: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4626"/>
        <w:gridCol w:w="2121"/>
      </w:tblGrid>
      <w:tr>
        <w:trPr>
          <w:tblHeader/>
        </w:trPr>
        <w:tc>
          <w:tcPr>
            <w:tcW w:type="dxa" w:w="289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Azione formativa</w:t>
            </w:r>
          </w:p>
        </w:tc>
        <w:tc>
          <w:tcPr>
            <w:tcW w:type="dxa" w:w="462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Destinatari e motivazione</w:t>
            </w:r>
          </w:p>
        </w:tc>
        <w:tc>
          <w:tcPr>
            <w:tcW w:type="dxa" w:w="2121"/>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Priorità</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Salute e sicurezza sul lavoro (D.Lgs. 81/2008)</w:t>
            </w:r>
          </w:p>
        </w:tc>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Tutti i beneficiari inseriti; obbligo di legge presupposto all’avvio di ogni percorso, con specifica per settore di rischio</w:t>
            </w:r>
          </w:p>
        </w:tc>
        <w:tc>
          <w:tcPr>
            <w:tcW w:type="dxa" w:w="212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Alta — obbligo</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HACCP — igiene e sicurezza alimentare</w:t>
            </w:r>
          </w:p>
        </w:tc>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inseriti in ristorazione e commercio alimentare (4 posizioni su 10); requisito richiesto dalle imprese</w:t>
            </w:r>
          </w:p>
        </w:tc>
        <w:tc>
          <w:tcPr>
            <w:tcW w:type="dxa" w:w="212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Alta</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Alfabetizzazione L2 e certificazione A2 presso CPIA</w:t>
            </w:r>
          </w:p>
        </w:tc>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competenza linguistica insufficiente al contesto lavorativo; fattore di rischio per la tenuta dei percorsi</w:t>
            </w:r>
          </w:p>
        </w:tc>
        <w:tc>
          <w:tcPr>
            <w:tcW w:type="dxa" w:w="212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Alta</w:t>
            </w:r>
          </w:p>
        </w:tc>
      </w:tr>
      <w:tr>
        <w:tc>
          <w:tcPr>
            <w:tcW w:type="dxa" w:w="289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Patente di guida cat. B e patentino carrelli elevatori</w:t>
            </w:r>
          </w:p>
        </w:tc>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inseriti fuori dal comune di residenza o nei settori edilizia, trasporti e logistica</w:t>
            </w:r>
          </w:p>
        </w:tc>
        <w:tc>
          <w:tcPr>
            <w:tcW w:type="dxa" w:w="2121"/>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Media</w:t>
            </w:r>
          </w:p>
        </w:tc>
      </w:tr>
      <w:tr>
        <w:tc>
          <w:tcPr>
            <w:tcW w:type="dxa" w:w="289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Percorsi professionalizzanti regionali</w:t>
            </w:r>
          </w:p>
        </w:tc>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con progetto professionale definito; da programmare sulle finestre di avviso</w:t>
            </w:r>
          </w:p>
        </w:tc>
        <w:tc>
          <w:tcPr>
            <w:tcW w:type="dxa" w:w="2121"/>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Da verificare</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in particolare la </w:t>
      </w:r>
      <w:r>
        <w:rPr>
          <w:rFonts w:ascii="Times New Roman" w:cs="Times New Roman" w:eastAsia="Times New Roman" w:hAnsi="Times New Roman"/>
          <w:b/>
          <w:bCs/>
          <w:i w:val="false"/>
          <w:iCs w:val="false"/>
          <w:sz w:val="21"/>
          <w:szCs w:val="21"/>
        </w:rPr>
        <w:t xml:space="preserve">verifica sistematica dell’assolvimento degli obblighi formativi in materia di sicurezza</w:t>
      </w:r>
      <w:r>
        <w:rPr>
          <w:rFonts w:ascii="Times New Roman" w:cs="Times New Roman" w:eastAsia="Times New Roman" w:hAnsi="Times New Roman"/>
          <w:b w:val="false"/>
          <w:bCs w:val="false"/>
          <w:i w:val="false"/>
          <w:iCs w:val="false"/>
          <w:sz w:val="21"/>
          <w:szCs w:val="21"/>
        </w:rPr>
        <w:t xml:space="preserve"> per tutti i percorsi in corso, trattandosi di adempimento di legge la cui omissione espone il progetto e i soggetti ospitanti a responsabilità.</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9. LA RETE TERRITORIALE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 costruzione della rete costituisce la precondizione di ogni inserimento e rappresenta, in un contesto di piccoli comuni dell’entroterra agrigentino, l’attività a più elevata intensità relazionale fra quelle svolte dal servizio. Nell’annualità sono stati attivati </w:t>
      </w:r>
      <w:r>
        <w:rPr>
          <w:rFonts w:ascii="Times New Roman" w:cs="Times New Roman" w:eastAsia="Times New Roman" w:hAnsi="Times New Roman"/>
          <w:b/>
          <w:bCs/>
          <w:i w:val="false"/>
          <w:iCs w:val="false"/>
          <w:sz w:val="21"/>
          <w:szCs w:val="21"/>
        </w:rPr>
        <w:t xml:space="preserve">nove soggetti ospitanti</w:t>
      </w:r>
      <w:r>
        <w:rPr>
          <w:rFonts w:ascii="Times New Roman" w:cs="Times New Roman" w:eastAsia="Times New Roman" w:hAnsi="Times New Roman"/>
          <w:b w:val="false"/>
          <w:bCs w:val="false"/>
          <w:i w:val="false"/>
          <w:iCs w:val="false"/>
          <w:sz w:val="21"/>
          <w:szCs w:val="21"/>
        </w:rPr>
        <w:t xml:space="preserve"> su tre comuni e sei settori economici.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1542"/>
        <w:gridCol w:w="1542"/>
        <w:gridCol w:w="675"/>
        <w:gridCol w:w="3469"/>
      </w:tblGrid>
      <w:tr>
        <w:trPr>
          <w:tblHeader/>
        </w:trPr>
        <w:tc>
          <w:tcPr>
            <w:tcW w:type="dxa" w:w="241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Soggetto ospitante</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Settore</w:t>
            </w:r>
          </w:p>
        </w:tc>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Sede</w:t>
            </w:r>
          </w:p>
        </w:tc>
        <w:tc>
          <w:tcPr>
            <w:tcW w:type="dxa" w:w="67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Ben.</w:t>
            </w:r>
          </w:p>
        </w:tc>
        <w:tc>
          <w:tcPr>
            <w:tcW w:type="dxa" w:w="3469"/>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Stato della collaborazione</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MARLOT</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Ristorazione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Borsa conclusa + tirocinio in corso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Butera Alfonso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Artigianato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concluso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Edilizia</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concluso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 Trasporti</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Trasporti</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Raffadali</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in corso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Fragapane Bibite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Commercio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interrotto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Comune di S. Elisabetta</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Ente pubblico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Convenzione da perfezionare</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Galvano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Artigianato</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in corso</w:t>
            </w:r>
          </w:p>
        </w:tc>
      </w:tr>
      <w:tr>
        <w:tc>
          <w:tcPr>
            <w:tcW w:type="dxa" w:w="241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Bar Ibis</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Commercio</w:t>
            </w:r>
          </w:p>
        </w:tc>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 Elisabetta</w:t>
            </w:r>
          </w:p>
        </w:tc>
        <w:tc>
          <w:tcPr>
            <w:tcW w:type="dxa" w:w="67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Percorso in corso</w:t>
            </w:r>
          </w:p>
        </w:tc>
      </w:tr>
      <w:tr>
        <w:tc>
          <w:tcPr>
            <w:tcW w:type="dxa" w:w="241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Ditta Costa's</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Ristorazione</w:t>
            </w:r>
          </w:p>
        </w:tc>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Canicattì</w:t>
            </w:r>
          </w:p>
        </w:tc>
        <w:tc>
          <w:tcPr>
            <w:tcW w:type="dxa" w:w="67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c>
          <w:tcPr>
            <w:tcW w:type="dxa" w:w="346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Apertura su nuovo bacino</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Accanto alle imprese, il servizio ha consolidato il raccordo con il </w:t>
      </w:r>
      <w:r>
        <w:rPr>
          <w:rFonts w:ascii="Times New Roman" w:cs="Times New Roman" w:eastAsia="Times New Roman" w:hAnsi="Times New Roman"/>
          <w:b/>
          <w:bCs/>
          <w:i w:val="false"/>
          <w:iCs w:val="false"/>
          <w:sz w:val="21"/>
          <w:szCs w:val="21"/>
        </w:rPr>
        <w:t xml:space="preserve">Comune di Santa Elisabetta</w:t>
      </w:r>
      <w:r>
        <w:rPr>
          <w:rFonts w:ascii="Times New Roman" w:cs="Times New Roman" w:eastAsia="Times New Roman" w:hAnsi="Times New Roman"/>
          <w:b w:val="false"/>
          <w:bCs w:val="false"/>
          <w:i w:val="false"/>
          <w:iCs w:val="false"/>
          <w:sz w:val="21"/>
          <w:szCs w:val="21"/>
        </w:rPr>
        <w:t xml:space="preserve">, Ente titolare del progetto e nell’annualità anche soggetto ospitante; con </w:t>
      </w:r>
      <w:r>
        <w:rPr>
          <w:rFonts w:ascii="Times New Roman" w:cs="Times New Roman" w:eastAsia="Times New Roman" w:hAnsi="Times New Roman"/>
          <w:b/>
          <w:bCs/>
          <w:i w:val="false"/>
          <w:iCs w:val="false"/>
          <w:sz w:val="21"/>
          <w:szCs w:val="21"/>
        </w:rPr>
        <w:t xml:space="preserve">APL UIL CST</w:t>
      </w:r>
      <w:r>
        <w:rPr>
          <w:rFonts w:ascii="Times New Roman" w:cs="Times New Roman" w:eastAsia="Times New Roman" w:hAnsi="Times New Roman"/>
          <w:b w:val="false"/>
          <w:bCs w:val="false"/>
          <w:i w:val="false"/>
          <w:iCs w:val="false"/>
          <w:sz w:val="21"/>
          <w:szCs w:val="21"/>
        </w:rPr>
        <w:t xml:space="preserve">, Agenzia per il Lavoro promotrice del tirocinio attivato — acquisizione di maggior valore strutturale dell’annualità, in quanto consente di accedere a strumenti di politica attiva ordinari, esterni al perimetro finanziario del progetto; con il </w:t>
      </w:r>
      <w:r>
        <w:rPr>
          <w:rFonts w:ascii="Times New Roman" w:cs="Times New Roman" w:eastAsia="Times New Roman" w:hAnsi="Times New Roman"/>
          <w:b/>
          <w:bCs/>
          <w:i w:val="false"/>
          <w:iCs w:val="false"/>
          <w:sz w:val="21"/>
          <w:szCs w:val="21"/>
        </w:rPr>
        <w:t xml:space="preserve">Centro per l’Impiego</w:t>
      </w:r>
      <w:r>
        <w:rPr>
          <w:rFonts w:ascii="Times New Roman" w:cs="Times New Roman" w:eastAsia="Times New Roman" w:hAnsi="Times New Roman"/>
          <w:b w:val="false"/>
          <w:bCs w:val="false"/>
          <w:i w:val="false"/>
          <w:iCs w:val="false"/>
          <w:sz w:val="21"/>
          <w:szCs w:val="21"/>
        </w:rPr>
        <w:t xml:space="preserve"> territorialmente competente per iscrizioni e dichiarazioni di immediata disponibilità </w:t>
      </w:r>
      <w:r>
        <w:rPr>
          <w:rFonts w:ascii="Times New Roman" w:cs="Times New Roman" w:eastAsia="Times New Roman" w:hAnsi="Times New Roman"/>
          <w:b/>
          <w:bCs/>
          <w:i/>
          <w:iCs/>
          <w:color w:val="B45309"/>
          <w:sz w:val="21"/>
          <w:szCs w:val="21"/>
        </w:rPr>
        <w:t xml:space="preserve">denominazione da integrare</w:t>
      </w:r>
      <w:r>
        <w:rPr>
          <w:rFonts w:ascii="Times New Roman" w:cs="Times New Roman" w:eastAsia="Times New Roman" w:hAnsi="Times New Roman"/>
          <w:b w:val="false"/>
          <w:bCs w:val="false"/>
          <w:i w:val="false"/>
          <w:iCs w:val="false"/>
          <w:sz w:val="21"/>
          <w:szCs w:val="21"/>
        </w:rPr>
        <w:t xml:space="preserve">; e con il </w:t>
      </w:r>
      <w:r>
        <w:rPr>
          <w:rFonts w:ascii="Times New Roman" w:cs="Times New Roman" w:eastAsia="Times New Roman" w:hAnsi="Times New Roman"/>
          <w:b/>
          <w:bCs/>
          <w:i w:val="false"/>
          <w:iCs w:val="false"/>
          <w:sz w:val="21"/>
          <w:szCs w:val="21"/>
        </w:rPr>
        <w:t xml:space="preserve">CPIA</w:t>
      </w:r>
      <w:r>
        <w:rPr>
          <w:rFonts w:ascii="Times New Roman" w:cs="Times New Roman" w:eastAsia="Times New Roman" w:hAnsi="Times New Roman"/>
          <w:b w:val="false"/>
          <w:bCs w:val="false"/>
          <w:i w:val="false"/>
          <w:iCs w:val="false"/>
          <w:sz w:val="21"/>
          <w:szCs w:val="21"/>
        </w:rPr>
        <w:t xml:space="preserve"> per i percorsi di alfabetizzazione </w:t>
      </w:r>
      <w:r>
        <w:rPr>
          <w:rFonts w:ascii="Times New Roman" w:cs="Times New Roman" w:eastAsia="Times New Roman" w:hAnsi="Times New Roman"/>
          <w:b/>
          <w:bCs/>
          <w:i/>
          <w:iCs/>
          <w:color w:val="B45309"/>
          <w:sz w:val="21"/>
          <w:szCs w:val="21"/>
        </w:rPr>
        <w:t xml:space="preserve">sede da integrare</w:t>
      </w:r>
      <w:r>
        <w:rPr>
          <w:rFonts w:ascii="Times New Roman" w:cs="Times New Roman" w:eastAsia="Times New Roman" w:hAnsi="Times New Roman"/>
          <w:b w:val="false"/>
          <w:bCs w:val="false"/>
          <w:i w:val="false"/>
          <w:iCs w:val="false"/>
          <w:sz w:val="21"/>
          <w:szCs w:val="21"/>
        </w:rPr>
        <w:t xml:space="preser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azioni di implementazione realizzate comprendono lo </w:t>
      </w:r>
      <w:r>
        <w:rPr>
          <w:rFonts w:ascii="Times New Roman" w:cs="Times New Roman" w:eastAsia="Times New Roman" w:hAnsi="Times New Roman"/>
          <w:b/>
          <w:bCs/>
          <w:i w:val="false"/>
          <w:iCs w:val="false"/>
          <w:sz w:val="21"/>
          <w:szCs w:val="21"/>
        </w:rPr>
        <w:t xml:space="preserve">scouting diretto</w:t>
      </w:r>
      <w:r>
        <w:rPr>
          <w:rFonts w:ascii="Times New Roman" w:cs="Times New Roman" w:eastAsia="Times New Roman" w:hAnsi="Times New Roman"/>
          <w:b w:val="false"/>
          <w:bCs w:val="false"/>
          <w:i w:val="false"/>
          <w:iCs w:val="false"/>
          <w:sz w:val="21"/>
          <w:szCs w:val="21"/>
        </w:rPr>
        <w:t xml:space="preserve"> presso le imprese del territorio, l’</w:t>
      </w:r>
      <w:r>
        <w:rPr>
          <w:rFonts w:ascii="Times New Roman" w:cs="Times New Roman" w:eastAsia="Times New Roman" w:hAnsi="Times New Roman"/>
          <w:b/>
          <w:bCs/>
          <w:i w:val="false"/>
          <w:iCs w:val="false"/>
          <w:sz w:val="21"/>
          <w:szCs w:val="21"/>
        </w:rPr>
        <w:t xml:space="preserve">estensione del bacino</w:t>
      </w:r>
      <w:r>
        <w:rPr>
          <w:rFonts w:ascii="Times New Roman" w:cs="Times New Roman" w:eastAsia="Times New Roman" w:hAnsi="Times New Roman"/>
          <w:b w:val="false"/>
          <w:bCs w:val="false"/>
          <w:i w:val="false"/>
          <w:iCs w:val="false"/>
          <w:sz w:val="21"/>
          <w:szCs w:val="21"/>
        </w:rPr>
        <w:t xml:space="preserve"> oltre i confini comunali, la </w:t>
      </w:r>
      <w:r>
        <w:rPr>
          <w:rFonts w:ascii="Times New Roman" w:cs="Times New Roman" w:eastAsia="Times New Roman" w:hAnsi="Times New Roman"/>
          <w:b/>
          <w:bCs/>
          <w:i w:val="false"/>
          <w:iCs w:val="false"/>
          <w:sz w:val="21"/>
          <w:szCs w:val="21"/>
        </w:rPr>
        <w:t xml:space="preserve">diversificazione settoriale</w:t>
      </w:r>
      <w:r>
        <w:rPr>
          <w:rFonts w:ascii="Times New Roman" w:cs="Times New Roman" w:eastAsia="Times New Roman" w:hAnsi="Times New Roman"/>
          <w:b w:val="false"/>
          <w:bCs w:val="false"/>
          <w:i w:val="false"/>
          <w:iCs w:val="false"/>
          <w:sz w:val="21"/>
          <w:szCs w:val="21"/>
        </w:rPr>
        <w:t xml:space="preserve"> su sei settori distinti, il </w:t>
      </w:r>
      <w:r>
        <w:rPr>
          <w:rFonts w:ascii="Times New Roman" w:cs="Times New Roman" w:eastAsia="Times New Roman" w:hAnsi="Times New Roman"/>
          <w:b/>
          <w:bCs/>
          <w:i w:val="false"/>
          <w:iCs w:val="false"/>
          <w:sz w:val="21"/>
          <w:szCs w:val="21"/>
        </w:rPr>
        <w:t xml:space="preserve">coinvolgimento di un’Agenzia accreditata</w:t>
      </w:r>
      <w:r>
        <w:rPr>
          <w:rFonts w:ascii="Times New Roman" w:cs="Times New Roman" w:eastAsia="Times New Roman" w:hAnsi="Times New Roman"/>
          <w:b w:val="false"/>
          <w:bCs w:val="false"/>
          <w:i w:val="false"/>
          <w:iCs w:val="false"/>
          <w:sz w:val="21"/>
          <w:szCs w:val="21"/>
        </w:rPr>
        <w:t xml:space="preserve"> in qualità di soggetto promotore e la </w:t>
      </w:r>
      <w:r>
        <w:rPr>
          <w:rFonts w:ascii="Times New Roman" w:cs="Times New Roman" w:eastAsia="Times New Roman" w:hAnsi="Times New Roman"/>
          <w:b/>
          <w:bCs/>
          <w:i w:val="false"/>
          <w:iCs w:val="false"/>
          <w:sz w:val="21"/>
          <w:szCs w:val="21"/>
        </w:rPr>
        <w:t xml:space="preserve">fidelizzazione dei soggetti ospitanti</w:t>
      </w:r>
      <w:r>
        <w:rPr>
          <w:rFonts w:ascii="Times New Roman" w:cs="Times New Roman" w:eastAsia="Times New Roman" w:hAnsi="Times New Roman"/>
          <w:b w:val="false"/>
          <w:bCs w:val="false"/>
          <w:i w:val="false"/>
          <w:iCs w:val="false"/>
          <w:sz w:val="21"/>
          <w:szCs w:val="21"/>
        </w:rPr>
        <w:t xml:space="preserve">, come attesta il caso della Ditta MARLOT, che ha proseguito la collaborazione oltre la conclusione della borsa mediante l’accoglimento del successivo tirocinio.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rapporto fra dimensione dell’utenza e dimensione della rete costituisce il vincolo strutturale del servizio: </w:t>
      </w:r>
      <w:r>
        <w:rPr>
          <w:rFonts w:ascii="Times New Roman" w:cs="Times New Roman" w:eastAsia="Times New Roman" w:hAnsi="Times New Roman"/>
          <w:b/>
          <w:bCs/>
          <w:i w:val="false"/>
          <w:iCs w:val="false"/>
          <w:sz w:val="21"/>
          <w:szCs w:val="21"/>
        </w:rPr>
        <w:t xml:space="preserve">cinquanta beneficiari a fronte di nove soggetti ospitanti</w:t>
      </w:r>
      <w:r>
        <w:rPr>
          <w:rFonts w:ascii="Times New Roman" w:cs="Times New Roman" w:eastAsia="Times New Roman" w:hAnsi="Times New Roman"/>
          <w:b w:val="false"/>
          <w:bCs w:val="false"/>
          <w:i w:val="false"/>
          <w:iCs w:val="false"/>
          <w:sz w:val="21"/>
          <w:szCs w:val="21"/>
        </w:rPr>
        <w:t xml:space="preserve"> determinano una capacità di assorbimento largamente inferiore alla domanda potenziale. L’ampliamento della base di imprese è pertanto la leva a più elevato impatto sul tasso di inserimento, più ancora dell’incremento delle risorse finanziarie, ad oggi impegnate solo per un terzo.</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10. CRITICITÀ RILEVATE E AZIONI CORRETTIVE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L’analisi consente di isolare sette aree di criticità, ciascuna ricondotta all’evidenza che la sostiene, alla lettura interpretativa e all’azione correttiva proposta.</w:t>
      </w:r>
    </w:p>
    <w:p>
      <w:pPr>
        <w:pStyle w:val="Heading3"/>
        <w:spacing w:after="100" w:before="180"/>
      </w:pPr>
      <w:r>
        <w:rPr>
          <w:rFonts w:ascii="Arial" w:cs="Arial" w:eastAsia="Arial" w:hAnsi="Arial"/>
          <w:b/>
          <w:bCs/>
          <w:i w:val="false"/>
          <w:iCs w:val="false"/>
          <w:color w:val="333333"/>
          <w:sz w:val="21"/>
          <w:szCs w:val="21"/>
        </w:rPr>
        <w:t xml:space="preserve">10.1  Tempi di presa in carico e posizioni non ancora raggiunte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Fra ingresso in progetto e primo colloquio intercorrono mediamente 95 giorni, con mediana di 51: solo il 29,3% dei beneficiari è intercettato entro trenta giorni. Sette posizioni, tutte relative a ingressi compresi fra marzo e giugno 2026, non presentano ancora alcuna azione registrata.</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dato è imputabile al dimensionamento e non alla metodologia. Con venti nuovi ingressi nei primi sette mesi dell’anno e cinque ore settimanali di presidio, il servizio ha dovuto scegliere fra il mantenimento delle posizioni già in carico e l’intercettazione dei nuovi arrivi, privilegiando la prima: lo stock è stato presidiato, il flusso si è accumulato.</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Protocollo di primo contatto entro trenta giorni dall’ingresso, con calendarizzazione automatica all’atto della segnalazione da parte dell’équipe; recupero delle sette posizioni scoperte entro il 30 settembre 2026, con precedenza a quella in uscita dal progetto ad agosto.</w:t>
      </w:r>
    </w:p>
    <w:p>
      <w:pPr>
        <w:pStyle w:val="Heading3"/>
        <w:spacing w:after="100" w:before="180"/>
      </w:pPr>
      <w:r>
        <w:rPr>
          <w:rFonts w:ascii="Arial" w:cs="Arial" w:eastAsia="Arial" w:hAnsi="Arial"/>
          <w:b/>
          <w:bCs/>
          <w:i w:val="false"/>
          <w:iCs w:val="false"/>
          <w:color w:val="333333"/>
          <w:sz w:val="21"/>
          <w:szCs w:val="21"/>
        </w:rPr>
        <w:t xml:space="preserve">10.2  Copertura contenuta della determinazione delle competenze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La determinazione delle competenze è stata effettuata per il 38,0% dei beneficiari in carico. Il 44,0% dispone di colloquio e curriculum ma non della determinazione.</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dato ha duplice natura. Riflette una selezione metodologica coerente con il Manuale operativo SAI, che qualifica il bilancio di competenze come lo strumento più complesso del servizio e ne raccomanda l’impiego per i beneficiari con progetto professionale definito. Sconta al tempo stesso un arretrato dovuto al monte ore: uno strumento che richiede più incontri per beneficiario è strutturalmente il primo a essere razionato.</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Esplicitazione del criterio di attivazione dello strumento, così che la selettività risulti una scelta documentata anziché un esito implicito, e recupero prioritario sui beneficiari già istruiti e su quelli in uscita nel 2026. Obiettivo di copertura al 60% entro fine annualità.</w:t>
      </w:r>
    </w:p>
    <w:p>
      <w:pPr>
        <w:pStyle w:val="Heading3"/>
        <w:spacing w:after="100" w:before="180"/>
      </w:pPr>
      <w:r>
        <w:rPr>
          <w:rFonts w:ascii="Arial" w:cs="Arial" w:eastAsia="Arial" w:hAnsi="Arial"/>
          <w:b/>
          <w:bCs/>
          <w:i w:val="false"/>
          <w:iCs w:val="false"/>
          <w:color w:val="333333"/>
          <w:sz w:val="21"/>
          <w:szCs w:val="21"/>
        </w:rPr>
        <w:t xml:space="preserve">10.3  Bassa conversione fra orientamento e inserimento</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L’82,0% dell’utenza è stato orientato, ma solo il 18,0% ha avuto accesso a una borsa lavoro. Ventidue beneficiari dispongono di colloquio e curriculum senza alcun inserimento attivato. La rete conta nove soggetti ospitanti, di cui tre riconducibili alla medesima denominazione imprenditoriale.</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collo di bottiglia non è nella fase istruttoria, che funziona, ma nella disponibilità di posti presso i soggetti ospitanti e nella capacità di scouting, alla quale la configurazione ordinaria destina una sola ora settimanale. Cinquanta beneficiari a fronte di nove imprese determinano una capacità di assorbimento largamente inferiore alla domanda potenziale.</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Riequilibrio dell’allocazione oraria a favore dello scouting nel periodo di presenza del collaboratore, con obiettivo di cinque nuovi soggetti ospitanti entro dicembre 2026 e costruzione di un albo delle imprese disponibili, con protocolli quadro che riducano i tempi di attivazione delle singole posizioni.</w:t>
      </w:r>
    </w:p>
    <w:p>
      <w:pPr>
        <w:pStyle w:val="Heading3"/>
        <w:spacing w:after="100" w:before="180"/>
      </w:pPr>
      <w:r>
        <w:rPr>
          <w:rFonts w:ascii="Arial" w:cs="Arial" w:eastAsia="Arial" w:hAnsi="Arial"/>
          <w:b/>
          <w:bCs/>
          <w:i w:val="false"/>
          <w:iCs w:val="false"/>
          <w:color w:val="333333"/>
          <w:sz w:val="21"/>
          <w:szCs w:val="21"/>
        </w:rPr>
        <w:t xml:space="preserve">10.4  Criticità sui percorsi di inserimento attivati</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Due borse su dieci non sono state avviate, entrambe presso il Comune di Santa Elisabetta, unico soggetto pubblico della rete. Una terza è stata interrotta al terzo giorno dall’avvio.</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Il mancato avvio è a monte dell’inserimento e le cause non risultano allo stato chiarite; l’impatto è concentrato, poiché tutte le posizioni presso soggetti privati sono state regolarmente avviate. L’interruzione precoce indica invece un disallineamento non emerso in fase di matching: il beneficiario disponeva dell’intero percorso istruttorio, il che circoscrive il problema all’abbinamento e non alla presa in carico.</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Interlocuzione formale con il Comune per accertare le ragioni del mancato avvio e definire tempi certi di attivazione; in subordine, riallocazione su impresa privata entro il 15 settembre. Introduzione di un colloquio tripartito pre-inserimento fra beneficiario, tutor aziendale e orientatore, e di una settimana di prova osservativa.</w:t>
      </w:r>
    </w:p>
    <w:p>
      <w:pPr>
        <w:pStyle w:val="Heading3"/>
        <w:spacing w:after="100" w:before="180"/>
      </w:pPr>
      <w:r>
        <w:rPr>
          <w:rFonts w:ascii="Arial" w:cs="Arial" w:eastAsia="Arial" w:hAnsi="Arial"/>
          <w:b/>
          <w:bCs/>
          <w:i w:val="false"/>
          <w:iCs w:val="false"/>
          <w:color w:val="333333"/>
          <w:sz w:val="21"/>
          <w:szCs w:val="21"/>
        </w:rPr>
        <w:t xml:space="preserve">10.5  Sotto-impegno della dotazione finanziaria</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Al 04/08/2026 risulta impegnato il 35,0% della dotazione borse lavoro (€ 10.500,00 su € 30.000,00) ed erogato il 13,3%. Il residuo disponibile ammonta a € 19.500,00.</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Concorrono a determinarlo la concentrazione delle attivazioni nel secondo trimestre, il mancato avvio di due posizioni e l’interruzione di una terza. Restano cinque mesi di annualità e una platea di ventidue beneficiari già istruiti, che costituisce una riserva immediatamente disponibile.</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Piano di impegno accelerato agosto-dicembre con obiettivo minimo di 6-8 nuove attivazioni, attingendo prioritariamente ai beneficiari già dotati di determinazione delle competenze, così da portare l’impegno complessivo oltre il 70% della dotazione.</w:t>
      </w:r>
    </w:p>
    <w:p>
      <w:pPr>
        <w:pStyle w:val="Heading3"/>
        <w:spacing w:after="100" w:before="180"/>
      </w:pPr>
      <w:r>
        <w:rPr>
          <w:rFonts w:ascii="Arial" w:cs="Arial" w:eastAsia="Arial" w:hAnsi="Arial"/>
          <w:b/>
          <w:bCs/>
          <w:i w:val="false"/>
          <w:iCs w:val="false"/>
          <w:color w:val="333333"/>
          <w:sz w:val="21"/>
          <w:szCs w:val="21"/>
        </w:rPr>
        <w:t xml:space="preserve">10.6  Dimensionamento del monte ore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Il servizio ha operato fino al 6 luglio 2026 con cinque ore settimanali a fronte di cinquanta beneficiari in carico, pari a 5,2 ore annue per persona. L’ingresso del collaboratore ha portato la capacità settimanale a venti ore.</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Cinque ore annue per beneficiario non consentono di presidiare simultaneamente i nuovi ingressi, l’aggiornamento delle posizioni in carico, lo scouting aziendale e l’amministrazione degli inserimenti. È il vincolo da cui discendono direttamente le criticità 1, 2 e 3. Il rafforzamento estivo ha prodotto un effetto immediato e misurabile sul volume di attività erogata (§ 4.3).</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Valutazione della prosecuzione dell’incarico di collaborazione oltre il 30 settembre 2026, in coincidenza con la fase di riprogrammazione e di impiego del residuo di dotazione, e sua considerazione nella costruzione del piano finanziario della successiva annualità.</w:t>
      </w:r>
    </w:p>
    <w:p>
      <w:pPr>
        <w:pStyle w:val="Heading3"/>
        <w:spacing w:after="100" w:before="180"/>
      </w:pPr>
      <w:r>
        <w:rPr>
          <w:rFonts w:ascii="Arial" w:cs="Arial" w:eastAsia="Arial" w:hAnsi="Arial"/>
          <w:b/>
          <w:bCs/>
          <w:i w:val="false"/>
          <w:iCs w:val="false"/>
          <w:color w:val="333333"/>
          <w:sz w:val="21"/>
          <w:szCs w:val="21"/>
        </w:rPr>
        <w:t xml:space="preserve">10.7  Qualità dei sistemi di rilevazione</w:t>
      </w:r>
    </w:p>
    <w:p>
      <w:pPr>
        <w:spacing w:after="90" w:before="0" w:line="276"/>
        <w:jc w:val="both"/>
      </w:pPr>
      <w:r>
        <w:rPr>
          <w:rFonts w:ascii="Times New Roman" w:cs="Times New Roman" w:eastAsia="Times New Roman" w:hAnsi="Times New Roman"/>
          <w:b/>
          <w:bCs/>
          <w:i w:val="false"/>
          <w:iCs w:val="false"/>
          <w:sz w:val="21"/>
          <w:szCs w:val="21"/>
        </w:rPr>
        <w:t xml:space="preserve">Evidenza.</w:t>
      </w:r>
      <w:r>
        <w:rPr>
          <w:rFonts w:ascii="Times New Roman" w:cs="Times New Roman" w:eastAsia="Times New Roman" w:hAnsi="Times New Roman"/>
          <w:b w:val="false"/>
          <w:bCs w:val="false"/>
          <w:i w:val="false"/>
          <w:iCs w:val="false"/>
          <w:sz w:val="21"/>
          <w:szCs w:val="21"/>
        </w:rPr>
        <w:t xml:space="preserve"> I due archivi in uso non condividono una chiave identificativa e impiegano grafie difformi per i medesimi beneficiari. Il prospetto borse utilizza la colonna «Interruzione» per registrare lo stato dei pagamenti. Il resoconto orientamento presenta due date di ingresso malformate, una sequenza di aggiornamenti non cronologica, due posizioni con curriculum privo di colloquio a monte e nove prive della data di fine progetto.</w:t>
      </w:r>
    </w:p>
    <w:p>
      <w:pPr>
        <w:spacing w:after="90" w:before="0" w:line="276"/>
        <w:jc w:val="both"/>
      </w:pPr>
      <w:r>
        <w:rPr>
          <w:rFonts w:ascii="Times New Roman" w:cs="Times New Roman" w:eastAsia="Times New Roman" w:hAnsi="Times New Roman"/>
          <w:b/>
          <w:bCs/>
          <w:i w:val="false"/>
          <w:iCs w:val="false"/>
          <w:sz w:val="21"/>
          <w:szCs w:val="21"/>
        </w:rPr>
        <w:t xml:space="preserve">Analisi.</w:t>
      </w:r>
      <w:r>
        <w:rPr>
          <w:rFonts w:ascii="Times New Roman" w:cs="Times New Roman" w:eastAsia="Times New Roman" w:hAnsi="Times New Roman"/>
          <w:b w:val="false"/>
          <w:bCs w:val="false"/>
          <w:i w:val="false"/>
          <w:iCs w:val="false"/>
          <w:sz w:val="21"/>
          <w:szCs w:val="21"/>
        </w:rPr>
        <w:t xml:space="preserve"> Nessuna delle anomalie incide sulla sostanza delle attività svolte, ma la sovrapposizione fra dati di stato e dati contabili e l’assenza di una chiave comune impediscono il calcolo automatico degli indicatori. Soprattutto, i registri non tracciano una parte rilevante dell’attività erogata, che risulta pertanto sottostimata in sede di rendicontazione.</w:t>
      </w:r>
    </w:p>
    <w:p>
      <w:pPr>
        <w:spacing w:after="200" w:before="0" w:line="276"/>
        <w:jc w:val="both"/>
      </w:pPr>
      <w:r>
        <w:rPr>
          <w:rFonts w:ascii="Times New Roman" w:cs="Times New Roman" w:eastAsia="Times New Roman" w:hAnsi="Times New Roman"/>
          <w:b/>
          <w:bCs/>
          <w:i w:val="false"/>
          <w:iCs w:val="false"/>
          <w:sz w:val="21"/>
          <w:szCs w:val="21"/>
        </w:rPr>
        <w:t xml:space="preserve">Azione correttiva.</w:t>
      </w:r>
      <w:r>
        <w:rPr>
          <w:rFonts w:ascii="Times New Roman" w:cs="Times New Roman" w:eastAsia="Times New Roman" w:hAnsi="Times New Roman"/>
          <w:b w:val="false"/>
          <w:bCs w:val="false"/>
          <w:i w:val="false"/>
          <w:iCs w:val="false"/>
          <w:sz w:val="21"/>
          <w:szCs w:val="21"/>
        </w:rPr>
        <w:t xml:space="preserve"> Adozione del format revisionato proposto al § 12.2, con chiave identificativa unica condivisa fra gli archivi, separazione fra stato del percorso e movimentazione economica, e introduzione del tracciamento delle azioni oggi non registrate.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11. INDICATORI DI MONITORAGGIO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propone l’adozione stabile del set seguente, con rilevazione trimestrale, quale strumento di autovalutazione del servizio e di documentazione dei risultati in sede di rendicontazione.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5783"/>
        <w:gridCol w:w="2313"/>
      </w:tblGrid>
      <w:tr>
        <w:trPr>
          <w:tblHeader/>
        </w:trPr>
        <w:tc>
          <w:tcPr>
            <w:tcW w:type="dxa" w:w="154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Area</w:t>
            </w:r>
          </w:p>
        </w:tc>
        <w:tc>
          <w:tcPr>
            <w:tcW w:type="dxa" w:w="578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Indicatore</w:t>
            </w:r>
          </w:p>
        </w:tc>
        <w:tc>
          <w:tcPr>
            <w:tcW w:type="dxa" w:w="2313"/>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Valore alla data</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in carico al servizio</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50</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Ingressi in progetto nel 2026</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20</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Utenza</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Uscite previste entro il 31/12/2026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11</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di orientamento registrate</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128</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di cui erogate nel 2026</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63</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Aggiornamenti su posizioni già in carico</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25</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Azioni per beneficiario in carico</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2,6</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Beneficiari raggiunti da almeno un’azione</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86,0%</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 del colloquio di orientamento</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82,0%</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 del curriculum vitae</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86,0%</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Copertura della determinazione delle competenze</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38,0%</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Tempestività</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Tempo mediano ingresso → primo colloquio</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51 gg</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Tempestività</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Prese in carico entro 30 giorni</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29,3%</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Percorsi di borsa lavoro progettati</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10</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Tasso di avvio delle borse</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80,0%</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Tasso di interruzione</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12,5%</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Tasso di accesso alla borsa lavoro</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18,0%</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Inserimenti</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Tirocini extracurriculari formalizzati</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Rete</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Soggetti ospitanti attivati</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9</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Monte ore annuo del servizio</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444,5 h</w:t>
            </w:r>
          </w:p>
        </w:tc>
      </w:tr>
      <w:tr>
        <w:tc>
          <w:tcPr>
            <w:tcW w:type="dxa" w:w="154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578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Ore disponibili per beneficiario</w:t>
            </w:r>
          </w:p>
        </w:tc>
        <w:tc>
          <w:tcPr>
            <w:tcW w:type="dxa" w:w="2313"/>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8,9 h</w:t>
            </w:r>
          </w:p>
        </w:tc>
      </w:tr>
      <w:tr>
        <w:tc>
          <w:tcPr>
            <w:tcW w:type="dxa" w:w="154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Risorse</w:t>
            </w:r>
          </w:p>
        </w:tc>
        <w:tc>
          <w:tcPr>
            <w:tcW w:type="dxa" w:w="578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Budget borse lavoro impegnato</w:t>
            </w:r>
          </w:p>
        </w:tc>
        <w:tc>
          <w:tcPr>
            <w:tcW w:type="dxa" w:w="2313"/>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35,0%</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line="264"/>
        <w:jc w:val="both"/>
      </w:pPr>
      <w:r>
        <w:rPr>
          <w:rFonts w:ascii="Times New Roman" w:cs="Times New Roman" w:eastAsia="Times New Roman" w:hAnsi="Times New Roman"/>
          <w:b w:val="false"/>
          <w:bCs w:val="false"/>
          <w:i/>
          <w:iCs/>
          <w:color w:val="5A5A5A"/>
          <w:sz w:val="18"/>
          <w:szCs w:val="18"/>
        </w:rPr>
        <w:t xml:space="preserve">Dati di orientamento al 27/07/2026; dati di inserimento e di budget al 04/08/2026.</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quadro restituisce un servizio </w:t>
      </w:r>
      <w:r>
        <w:rPr>
          <w:rFonts w:ascii="Times New Roman" w:cs="Times New Roman" w:eastAsia="Times New Roman" w:hAnsi="Times New Roman"/>
          <w:b/>
          <w:bCs/>
          <w:i w:val="false"/>
          <w:iCs w:val="false"/>
          <w:sz w:val="21"/>
          <w:szCs w:val="21"/>
        </w:rPr>
        <w:t xml:space="preserve">efficace nella fase istruttoria</w:t>
      </w:r>
      <w:r>
        <w:rPr>
          <w:rFonts w:ascii="Times New Roman" w:cs="Times New Roman" w:eastAsia="Times New Roman" w:hAnsi="Times New Roman"/>
          <w:b w:val="false"/>
          <w:bCs w:val="false"/>
          <w:i w:val="false"/>
          <w:iCs w:val="false"/>
          <w:sz w:val="21"/>
          <w:szCs w:val="21"/>
        </w:rPr>
        <w:t xml:space="preserve"> — coperture dell’82% e dell’86% sugli strumenti propedeutici, 128 azioni documentate, rete di nove soggetti ospitanti — e con una </w:t>
      </w:r>
      <w:r>
        <w:rPr>
          <w:rFonts w:ascii="Times New Roman" w:cs="Times New Roman" w:eastAsia="Times New Roman" w:hAnsi="Times New Roman"/>
          <w:b/>
          <w:bCs/>
          <w:i w:val="false"/>
          <w:iCs w:val="false"/>
          <w:sz w:val="21"/>
          <w:szCs w:val="21"/>
        </w:rPr>
        <w:t xml:space="preserve">capacità dimostrata di produrre transizioni qualificate</w:t>
      </w:r>
      <w:r>
        <w:rPr>
          <w:rFonts w:ascii="Times New Roman" w:cs="Times New Roman" w:eastAsia="Times New Roman" w:hAnsi="Times New Roman"/>
          <w:b w:val="false"/>
          <w:bCs w:val="false"/>
          <w:i w:val="false"/>
          <w:iCs w:val="false"/>
          <w:sz w:val="21"/>
          <w:szCs w:val="21"/>
        </w:rPr>
        <w:t xml:space="preserve">, come attesta il tirocinio formalizzato. I margini di miglioramento si concentrano su tre fronti: la </w:t>
      </w:r>
      <w:r>
        <w:rPr>
          <w:rFonts w:ascii="Times New Roman" w:cs="Times New Roman" w:eastAsia="Times New Roman" w:hAnsi="Times New Roman"/>
          <w:b/>
          <w:bCs/>
          <w:i w:val="false"/>
          <w:iCs w:val="false"/>
          <w:sz w:val="21"/>
          <w:szCs w:val="21"/>
        </w:rPr>
        <w:t xml:space="preserve">tempestività</w:t>
      </w:r>
      <w:r>
        <w:rPr>
          <w:rFonts w:ascii="Times New Roman" w:cs="Times New Roman" w:eastAsia="Times New Roman" w:hAnsi="Times New Roman"/>
          <w:b w:val="false"/>
          <w:bCs w:val="false"/>
          <w:i w:val="false"/>
          <w:iCs w:val="false"/>
          <w:sz w:val="21"/>
          <w:szCs w:val="21"/>
        </w:rPr>
        <w:t xml:space="preserve"> della presa in carico, la </w:t>
      </w:r>
      <w:r>
        <w:rPr>
          <w:rFonts w:ascii="Times New Roman" w:cs="Times New Roman" w:eastAsia="Times New Roman" w:hAnsi="Times New Roman"/>
          <w:b/>
          <w:bCs/>
          <w:i w:val="false"/>
          <w:iCs w:val="false"/>
          <w:sz w:val="21"/>
          <w:szCs w:val="21"/>
        </w:rPr>
        <w:t xml:space="preserve">conversione</w:t>
      </w:r>
      <w:r>
        <w:rPr>
          <w:rFonts w:ascii="Times New Roman" w:cs="Times New Roman" w:eastAsia="Times New Roman" w:hAnsi="Times New Roman"/>
          <w:b w:val="false"/>
          <w:bCs w:val="false"/>
          <w:i w:val="false"/>
          <w:iCs w:val="false"/>
          <w:sz w:val="21"/>
          <w:szCs w:val="21"/>
        </w:rPr>
        <w:t xml:space="preserve"> fra istruttoria e inserimento e l’</w:t>
      </w:r>
      <w:r>
        <w:rPr>
          <w:rFonts w:ascii="Times New Roman" w:cs="Times New Roman" w:eastAsia="Times New Roman" w:hAnsi="Times New Roman"/>
          <w:b/>
          <w:bCs/>
          <w:i w:val="false"/>
          <w:iCs w:val="false"/>
          <w:sz w:val="21"/>
          <w:szCs w:val="21"/>
        </w:rPr>
        <w:t xml:space="preserve">impiego della dotazione finanziaria</w:t>
      </w:r>
      <w:r>
        <w:rPr>
          <w:rFonts w:ascii="Times New Roman" w:cs="Times New Roman" w:eastAsia="Times New Roman" w:hAnsi="Times New Roman"/>
          <w:b w:val="false"/>
          <w:bCs w:val="false"/>
          <w:i w:val="false"/>
          <w:iCs w:val="false"/>
          <w:sz w:val="21"/>
          <w:szCs w:val="21"/>
        </w:rPr>
        <w:t xml:space="preserve">, ferma al 35%. Si raccomanda l’integrazione del set con il tasso di inserimento occupazionale (§ 8.2) e con indicatori di volume sulle azioni oggi non tracciate.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12. PROGRAMMAZIONE AGOSTO – DICEMBRE 2026</w:t>
      </w:r>
    </w:p>
    <w:p>
      <w:pPr>
        <w:pStyle w:val="Heading3"/>
        <w:spacing w:after="100" w:before="180"/>
      </w:pPr>
      <w:r>
        <w:rPr>
          <w:rFonts w:ascii="Arial" w:cs="Arial" w:eastAsia="Arial" w:hAnsi="Arial"/>
          <w:b/>
          <w:bCs/>
          <w:i w:val="false"/>
          <w:iCs w:val="false"/>
          <w:color w:val="333333"/>
          <w:sz w:val="21"/>
          <w:szCs w:val="21"/>
        </w:rPr>
        <w:t xml:space="preserve">12.1  Cronoprogramma delle azioni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2120"/>
        <w:gridCol w:w="1735"/>
        <w:gridCol w:w="1157"/>
      </w:tblGrid>
      <w:tr>
        <w:trPr>
          <w:tblHeader/>
        </w:trPr>
        <w:tc>
          <w:tcPr>
            <w:tcW w:type="dxa" w:w="462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Azione</w:t>
            </w:r>
          </w:p>
        </w:tc>
        <w:tc>
          <w:tcPr>
            <w:tcW w:type="dxa" w:w="2120"/>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Soggetto responsabile</w:t>
            </w:r>
          </w:p>
        </w:tc>
        <w:tc>
          <w:tcPr>
            <w:tcW w:type="dxa" w:w="1735"/>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Termine</w:t>
            </w:r>
          </w:p>
        </w:tc>
        <w:tc>
          <w:tcPr>
            <w:tcW w:type="dxa" w:w="1157"/>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center"/>
            </w:pPr>
            <w:r>
              <w:rPr>
                <w:rFonts w:ascii="Arial" w:cs="Arial" w:eastAsia="Arial" w:hAnsi="Arial"/>
                <w:b/>
                <w:bCs/>
                <w:i w:val="false"/>
                <w:iCs w:val="false"/>
                <w:color w:val="FFFFFF"/>
                <w:sz w:val="15"/>
                <w:szCs w:val="15"/>
              </w:rPr>
              <w:t xml:space="preserve">Priorità</w:t>
            </w:r>
          </w:p>
        </w:tc>
      </w:tr>
      <w:tr>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Riprogrammazione della posizione interrotta prima dell’uscita dal progetto</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06/08/2026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Urgente</w:t>
            </w:r>
          </w:p>
        </w:tc>
      </w:tr>
      <w:tr>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Presa in carico del beneficiario in uscita dal progetto ad agosto</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14/08/2026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Urgente</w:t>
            </w:r>
          </w:p>
        </w:tc>
      </w:tr>
      <w:tr>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Verifica di prosecuzione dell’incarico di collaborazione oltre il 30/09/2026</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Coordinamento</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Urgente</w:t>
            </w:r>
          </w:p>
        </w:tc>
      </w:tr>
      <w:tr>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Ricollocazione della posizione non avviata su nuovo soggetto ospitante</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collaboratore</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15/09/2026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Colloqui di presa in carico delle sette posizioni prive di azioni registrate</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collaboratore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Interlocuzione con il Comune e perfezionamento della convenzione di ospitalità</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Coordinamento</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30/09/2026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Definizione del piano formativo (sicurezza, HACCP, alfabetizzazione L2)</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Équipe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30/09/2026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Valutazione di trasformazione in tirocinio delle borse in scadenza</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APL</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30 gg prima di ogni scadenza</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Recupero della determinazione delle competenze sui beneficiari già istruiti</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31/12/2026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Attivazione di nuove borse sul residuo di € 19.500,00 (obiettivo 6-8 percorsi)</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31/12/2026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Alta</w:t>
            </w:r>
          </w:p>
        </w:tc>
      </w:tr>
      <w:tr>
        <w:tc>
          <w:tcPr>
            <w:tcW w:type="dxa" w:w="462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Campagna di scouting per cinque nuovi soggetti ospitanti</w:t>
            </w:r>
          </w:p>
        </w:tc>
        <w:tc>
          <w:tcPr>
            <w:tcW w:type="dxa" w:w="2120"/>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 + collaboratore</w:t>
            </w:r>
          </w:p>
        </w:tc>
        <w:tc>
          <w:tcPr>
            <w:tcW w:type="dxa" w:w="1735"/>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31/12/2026</w:t>
            </w:r>
          </w:p>
        </w:tc>
        <w:tc>
          <w:tcPr>
            <w:tcW w:type="dxa" w:w="1157"/>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Media</w:t>
            </w:r>
          </w:p>
        </w:tc>
      </w:tr>
      <w:tr>
        <w:tc>
          <w:tcPr>
            <w:tcW w:type="dxa" w:w="462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Adozione del format revisionato dei registri e della chiave identificativa unica</w:t>
            </w:r>
          </w:p>
        </w:tc>
        <w:tc>
          <w:tcPr>
            <w:tcW w:type="dxa" w:w="2120"/>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Orientatrice</w:t>
            </w:r>
          </w:p>
        </w:tc>
        <w:tc>
          <w:tcPr>
            <w:tcW w:type="dxa" w:w="1735"/>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15/09/2026</w:t>
            </w:r>
          </w:p>
        </w:tc>
        <w:tc>
          <w:tcPr>
            <w:tcW w:type="dxa" w:w="1157"/>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6"/>
                <w:szCs w:val="16"/>
              </w:rPr>
              <w:t xml:space="preserve">Media</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Le tre azioni classificate come urgenti hanno termini entro il mese di agosto e riguardano posizioni con uscita imminente dal progetto o decisioni organizzative a effetto immediato: il loro slittamento comporterebbe la perdita definitiva della finestra utile di intervento.</w:t>
      </w:r>
    </w:p>
    <w:p>
      <w:pPr>
        <w:pStyle w:val="Heading3"/>
        <w:spacing w:after="100" w:before="180"/>
      </w:pPr>
      <w:r>
        <w:rPr>
          <w:rFonts w:ascii="Arial" w:cs="Arial" w:eastAsia="Arial" w:hAnsi="Arial"/>
          <w:b/>
          <w:bCs/>
          <w:i w:val="false"/>
          <w:iCs w:val="false"/>
          <w:color w:val="333333"/>
          <w:sz w:val="21"/>
          <w:szCs w:val="21"/>
        </w:rPr>
        <w:t xml:space="preserve">12.2  Revisione dei registri di servizio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 due prospetti in uso assolvono la funzione di registro ma non consentono il calcolo diretto degli indicatori né la riconciliazione contabile, e non tracciano una parte rilevante delle azioni erogate. Si propone un archivio unico a chiave identificativa condivisa, articolato nei blocchi seguenti: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Blocco</w:t>
            </w:r>
          </w:p>
        </w:tc>
        <w:tc>
          <w:tcPr>
            <w:tcW w:type="dxa" w:w="7132"/>
            <w:tcBorders>
              <w:top w:val="single" w:color="1F3864" w:sz="4"/>
              <w:left w:val="single" w:color="1F3864" w:sz="4"/>
              <w:bottom w:val="single" w:color="1F3864" w:sz="4"/>
              <w:right w:val="single" w:color="1F3864" w:sz="4"/>
            </w:tcBorders>
            <w:shd w:fill="1F3864" w:color="auto" w:val="clear"/>
            <w:tcMar>
              <w:top w:type="dxa" w:w="70"/>
              <w:left w:type="dxa" w:w="100"/>
              <w:bottom w:type="dxa" w:w="70"/>
              <w:right w:type="dxa" w:w="100"/>
            </w:tcMar>
            <w:vAlign w:val="center"/>
          </w:tcPr>
          <w:p>
            <w:pPr>
              <w:spacing w:after="0" w:line="240"/>
              <w:jc w:val="left"/>
            </w:pPr>
            <w:r>
              <w:rPr>
                <w:rFonts w:ascii="Arial" w:cs="Arial" w:eastAsia="Arial" w:hAnsi="Arial"/>
                <w:b/>
                <w:bCs/>
                <w:i w:val="false"/>
                <w:iCs w:val="false"/>
                <w:color w:val="FFFFFF"/>
                <w:sz w:val="15"/>
                <w:szCs w:val="15"/>
              </w:rPr>
              <w:t xml:space="preserve">Contenuto</w:t>
            </w:r>
          </w:p>
        </w:tc>
      </w:tr>
      <w:tr>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Anagrafica</w:t>
            </w:r>
          </w:p>
        </w:tc>
        <w:tc>
          <w:tcPr>
            <w:tcW w:type="dxa" w:w="713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ID beneficiario (chiave unica) · Protocollo · Nominativo · Data di ingresso · Data di fine progetto</w:t>
            </w:r>
          </w:p>
        </w:tc>
      </w:tr>
      <w:tr>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Orientamento</w:t>
            </w:r>
          </w:p>
        </w:tc>
        <w:tc>
          <w:tcPr>
            <w:tcW w:type="dxa" w:w="713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Incontro individuale, curriculum e determinazione delle competenze: data di prima erogazione, date degli aggiornamenti, operatore</w:t>
            </w:r>
          </w:p>
        </w:tc>
      </w:tr>
      <w:tr>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Adempimenti</w:t>
            </w:r>
          </w:p>
        </w:tc>
        <w:tc>
          <w:tcPr>
            <w:tcW w:type="dxa" w:w="713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Codice fiscale · SPID · DID · Iscrizione CPI · Conto corrente · Titolo di soggiorno e scadenza</w:t>
            </w:r>
          </w:p>
        </w:tc>
      </w:tr>
      <w:tr>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Azioni non individuali</w:t>
            </w:r>
          </w:p>
        </w:tc>
        <w:tc>
          <w:tcPr>
            <w:tcW w:type="dxa" w:w="713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Partecipazione ad attività di gruppo · Candidature inviate ed esiti · Interventi di mediazione linguistica</w:t>
            </w:r>
          </w:p>
        </w:tc>
      </w:tr>
      <w:tr>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Formazione</w:t>
            </w:r>
          </w:p>
        </w:tc>
        <w:tc>
          <w:tcPr>
            <w:tcW w:type="dxa" w:w="713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Corso · Ente erogatore · Periodo · Attestato conseguito</w:t>
            </w:r>
          </w:p>
        </w:tc>
      </w:tr>
      <w:tr>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Inserimento</w:t>
            </w:r>
          </w:p>
        </w:tc>
        <w:tc>
          <w:tcPr>
            <w:tcW w:type="dxa" w:w="713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Tipo di misura · Soggetto ospitante · Sede · Settore · Date di inizio, fine prevista e fine effettiva</w:t>
            </w:r>
          </w:p>
        </w:tc>
      </w:tr>
      <w:tr>
        <w:tc>
          <w:tcPr>
            <w:tcW w:type="dxa" w:w="2506"/>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Economia</w:t>
            </w:r>
          </w:p>
        </w:tc>
        <w:tc>
          <w:tcPr>
            <w:tcW w:type="dxa" w:w="7132"/>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Importo impegnato · Importo erogato · Residuo · Estremi del mandato di pagamento</w:t>
            </w:r>
          </w:p>
        </w:tc>
      </w:tr>
      <w:tr>
        <w:tc>
          <w:tcPr>
            <w:tcW w:type="dxa" w:w="2506"/>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bCs/>
                <w:i w:val="false"/>
                <w:iCs w:val="false"/>
                <w:sz w:val="16"/>
                <w:szCs w:val="16"/>
              </w:rPr>
              <w:t xml:space="preserve">Stato ed esito</w:t>
            </w:r>
          </w:p>
        </w:tc>
        <w:tc>
          <w:tcPr>
            <w:tcW w:type="dxa" w:w="7132"/>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6"/>
                <w:szCs w:val="16"/>
              </w:rPr>
              <w:t xml:space="preserve">Stato del percorso · Motivo di interruzione · Esito finale · Follow-up a 6 e 12 mesi dall’uscita</w:t>
            </w:r>
          </w:p>
        </w:tc>
      </w:tr>
    </w:tbl>
    <w:p>
      <w:pPr>
        <w:spacing w:after="160"/>
      </w:pPr>
      <w:r>
        <w:rPr>
          <w:rFonts w:ascii="Times New Roman" w:cs="Times New Roman" w:eastAsia="Times New Roman" w:hAnsi="Times New Roman"/>
          <w:b w:val="false"/>
          <w:bCs w:val="false"/>
          <w:i w:val="false"/>
          <w:iCs w:val="false"/>
          <w:sz w:val="21"/>
          <w:szCs w:val="21"/>
        </w:rPr>
        <w:t xml:space="preserve"/>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L’adozione consentirebbe di generare automaticamente gli indicatori del § 11, di disporre in ogni momento del quadro di impegno e di erogazione e soprattutto di </w:t>
      </w:r>
      <w:r>
        <w:rPr>
          <w:rFonts w:ascii="Times New Roman" w:cs="Times New Roman" w:eastAsia="Times New Roman" w:hAnsi="Times New Roman"/>
          <w:b/>
          <w:bCs/>
          <w:i w:val="false"/>
          <w:iCs w:val="false"/>
          <w:sz w:val="21"/>
          <w:szCs w:val="21"/>
        </w:rPr>
        <w:t xml:space="preserve">valorizzare in rendicontazione la quota di attività oggi non tracciata</w:t>
      </w:r>
      <w:r>
        <w:rPr>
          <w:rFonts w:ascii="Times New Roman" w:cs="Times New Roman" w:eastAsia="Times New Roman" w:hAnsi="Times New Roman"/>
          <w:b w:val="false"/>
          <w:bCs w:val="false"/>
          <w:i w:val="false"/>
          <w:iCs w:val="false"/>
          <w:sz w:val="21"/>
          <w:szCs w:val="21"/>
        </w:rPr>
        <w:t xml:space="preserve">.</w:t>
      </w:r>
    </w:p>
    <w:p>
      <w:pPr>
        <w:pStyle w:val="Heading1"/>
        <w:pBdr>
          <w:bottom w:val="single" w:color="1F3864" w:sz="8" w:space="6"/>
        </w:pBdr>
        <w:spacing w:after="180" w:before="360"/>
      </w:pPr>
      <w:r>
        <w:rPr>
          <w:rFonts w:ascii="Arial" w:cs="Arial" w:eastAsia="Arial" w:hAnsi="Arial"/>
          <w:b/>
          <w:bCs/>
          <w:i w:val="false"/>
          <w:iCs w:val="false"/>
          <w:color w:val="1F3864"/>
          <w:sz w:val="26"/>
          <w:szCs w:val="26"/>
        </w:rPr>
        <w:t xml:space="preserve">13. CONCLUSIONI</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servizio di orientamento e accompagnamento all’inserimento lavorativo del progetto SAI PROG-684-PR di Santa Elisabetta si presenta come un dispositivo </w:t>
      </w:r>
      <w:r>
        <w:rPr>
          <w:rFonts w:ascii="Times New Roman" w:cs="Times New Roman" w:eastAsia="Times New Roman" w:hAnsi="Times New Roman"/>
          <w:b/>
          <w:bCs/>
          <w:i w:val="false"/>
          <w:iCs w:val="false"/>
          <w:sz w:val="21"/>
          <w:szCs w:val="21"/>
        </w:rPr>
        <w:t xml:space="preserve">strutturato, metodologicamente coerente ed efficace nella fase istruttoria</w:t>
      </w:r>
      <w:r>
        <w:rPr>
          <w:rFonts w:ascii="Times New Roman" w:cs="Times New Roman" w:eastAsia="Times New Roman" w:hAnsi="Times New Roman"/>
          <w:b w:val="false"/>
          <w:bCs w:val="false"/>
          <w:i w:val="false"/>
          <w:iCs w:val="false"/>
          <w:sz w:val="21"/>
          <w:szCs w:val="21"/>
        </w:rPr>
        <w:t xml:space="preserve">, che opera tuttavia in condizioni di sotto-dimensionamento rispetto all’utenza in carico.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L’annualità registra </w:t>
      </w:r>
      <w:r>
        <w:rPr>
          <w:rFonts w:ascii="Times New Roman" w:cs="Times New Roman" w:eastAsia="Times New Roman" w:hAnsi="Times New Roman"/>
          <w:b/>
          <w:bCs/>
          <w:i w:val="false"/>
          <w:iCs w:val="false"/>
          <w:sz w:val="21"/>
          <w:szCs w:val="21"/>
        </w:rPr>
        <w:t xml:space="preserve">cinquanta beneficiari in carico</w:t>
      </w:r>
      <w:r>
        <w:rPr>
          <w:rFonts w:ascii="Times New Roman" w:cs="Times New Roman" w:eastAsia="Times New Roman" w:hAnsi="Times New Roman"/>
          <w:b w:val="false"/>
          <w:bCs w:val="false"/>
          <w:i w:val="false"/>
          <w:iCs w:val="false"/>
          <w:sz w:val="21"/>
          <w:szCs w:val="21"/>
        </w:rPr>
        <w:t xml:space="preserve"> e </w:t>
      </w:r>
      <w:r>
        <w:rPr>
          <w:rFonts w:ascii="Times New Roman" w:cs="Times New Roman" w:eastAsia="Times New Roman" w:hAnsi="Times New Roman"/>
          <w:b/>
          <w:bCs/>
          <w:i w:val="false"/>
          <w:iCs w:val="false"/>
          <w:sz w:val="21"/>
          <w:szCs w:val="21"/>
        </w:rPr>
        <w:t xml:space="preserve">128 azioni di orientamento documentate</w:t>
      </w:r>
      <w:r>
        <w:rPr>
          <w:rFonts w:ascii="Times New Roman" w:cs="Times New Roman" w:eastAsia="Times New Roman" w:hAnsi="Times New Roman"/>
          <w:b w:val="false"/>
          <w:bCs w:val="false"/>
          <w:i w:val="false"/>
          <w:iCs w:val="false"/>
          <w:sz w:val="21"/>
          <w:szCs w:val="21"/>
        </w:rPr>
        <w:t xml:space="preserve">, con coperture dell’82% e dell’86% sui due strumenti propedeutici e venticinque aggiornamenti su posizioni già in carico — indice di una relazione di servizio mantenuta nel tempo e non esaurita nella presa in carico iniziale. A queste si affiancano gli adempimenti amministrativi, le attività di gruppo, la ricerca attiva e la mediazione linguistica, che i registri non rilevano e che rendono il dato una stima per difetto. Sul versante degli inserimenti: </w:t>
      </w:r>
      <w:r>
        <w:rPr>
          <w:rFonts w:ascii="Times New Roman" w:cs="Times New Roman" w:eastAsia="Times New Roman" w:hAnsi="Times New Roman"/>
          <w:b/>
          <w:bCs/>
          <w:i w:val="false"/>
          <w:iCs w:val="false"/>
          <w:sz w:val="21"/>
          <w:szCs w:val="21"/>
        </w:rPr>
        <w:t xml:space="preserve">dieci percorsi di borsa lavoro</w:t>
      </w:r>
      <w:r>
        <w:rPr>
          <w:rFonts w:ascii="Times New Roman" w:cs="Times New Roman" w:eastAsia="Times New Roman" w:hAnsi="Times New Roman"/>
          <w:b w:val="false"/>
          <w:bCs w:val="false"/>
          <w:i w:val="false"/>
          <w:iCs w:val="false"/>
          <w:sz w:val="21"/>
          <w:szCs w:val="21"/>
        </w:rPr>
        <w:t xml:space="preserve"> per nove beneficiari, </w:t>
      </w:r>
      <w:r>
        <w:rPr>
          <w:rFonts w:ascii="Times New Roman" w:cs="Times New Roman" w:eastAsia="Times New Roman" w:hAnsi="Times New Roman"/>
          <w:b/>
          <w:bCs/>
          <w:i w:val="false"/>
          <w:iCs w:val="false"/>
          <w:sz w:val="21"/>
          <w:szCs w:val="21"/>
        </w:rPr>
        <w:t xml:space="preserve">nove soggetti ospitanti</w:t>
      </w:r>
      <w:r>
        <w:rPr>
          <w:rFonts w:ascii="Times New Roman" w:cs="Times New Roman" w:eastAsia="Times New Roman" w:hAnsi="Times New Roman"/>
          <w:b w:val="false"/>
          <w:bCs w:val="false"/>
          <w:i w:val="false"/>
          <w:iCs w:val="false"/>
          <w:sz w:val="21"/>
          <w:szCs w:val="21"/>
        </w:rPr>
        <w:t xml:space="preserve"> su tre comuni e sei settori, </w:t>
      </w:r>
      <w:r>
        <w:rPr>
          <w:rFonts w:ascii="Times New Roman" w:cs="Times New Roman" w:eastAsia="Times New Roman" w:hAnsi="Times New Roman"/>
          <w:b/>
          <w:bCs/>
          <w:i w:val="false"/>
          <w:iCs w:val="false"/>
          <w:sz w:val="21"/>
          <w:szCs w:val="21"/>
        </w:rPr>
        <w:t xml:space="preserve">un tirocinio extracurriculare</w:t>
      </w:r>
      <w:r>
        <w:rPr>
          <w:rFonts w:ascii="Times New Roman" w:cs="Times New Roman" w:eastAsia="Times New Roman" w:hAnsi="Times New Roman"/>
          <w:b w:val="false"/>
          <w:bCs w:val="false"/>
          <w:i w:val="false"/>
          <w:iCs w:val="false"/>
          <w:sz w:val="21"/>
          <w:szCs w:val="21"/>
        </w:rPr>
        <w:t xml:space="preserve"> presso un’Agenzia per il Lavoro accreditata e alcuni rapporti di lavoro conseguiti, la cui puntuale rilevazione è raccomandata al § 8.2.</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vincolo dominante è quello </w:t>
      </w:r>
      <w:r>
        <w:rPr>
          <w:rFonts w:ascii="Times New Roman" w:cs="Times New Roman" w:eastAsia="Times New Roman" w:hAnsi="Times New Roman"/>
          <w:b/>
          <w:bCs/>
          <w:i w:val="false"/>
          <w:iCs w:val="false"/>
          <w:sz w:val="21"/>
          <w:szCs w:val="21"/>
        </w:rPr>
        <w:t xml:space="preserve">delle risorse professionali disponibili</w:t>
      </w:r>
      <w:r>
        <w:rPr>
          <w:rFonts w:ascii="Times New Roman" w:cs="Times New Roman" w:eastAsia="Times New Roman" w:hAnsi="Times New Roman"/>
          <w:b w:val="false"/>
          <w:bCs w:val="false"/>
          <w:i w:val="false"/>
          <w:iCs w:val="false"/>
          <w:sz w:val="21"/>
          <w:szCs w:val="21"/>
        </w:rPr>
        <w:t xml:space="preserve">. Cinque ore settimanali per cinquanta beneficiari equivalgono a 5,2 ore annue per persona, insufficienti a presidiare simultaneamente i nuovi ingressi, l’aggiornamento delle posizioni in carico, lo scouting aziendale e l’amministrazione degli inserimenti. Da questo vincolo discendono direttamente le criticità di maggior peso: i tempi di presa in carico, le sette posizioni non ancora raggiunte e la copertura contenuta della determinazione delle competenze. L’ingresso del collaboratore per quindici ore settimanali ha prodotto un effetto immediato e misurabile — sedici delle diciassette azioni di luglio sono successive al 7 del mese — che costituisce l’argomento più solido a sostegno della </w:t>
      </w:r>
      <w:r>
        <w:rPr>
          <w:rFonts w:ascii="Times New Roman" w:cs="Times New Roman" w:eastAsia="Times New Roman" w:hAnsi="Times New Roman"/>
          <w:b/>
          <w:bCs/>
          <w:i w:val="false"/>
          <w:iCs w:val="false"/>
          <w:sz w:val="21"/>
          <w:szCs w:val="21"/>
        </w:rPr>
        <w:t xml:space="preserve">prosecuzione dell’incarico oltre il 30 settembre 2026</w:t>
      </w:r>
      <w:r>
        <w:rPr>
          <w:rFonts w:ascii="Times New Roman" w:cs="Times New Roman" w:eastAsia="Times New Roman" w:hAnsi="Times New Roman"/>
          <w:b w:val="false"/>
          <w:bCs w:val="false"/>
          <w:i w:val="false"/>
          <w:iCs w:val="false"/>
          <w:sz w:val="21"/>
          <w:szCs w:val="21"/>
        </w:rPr>
        <w:t xml:space="preserve">.</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Il secondo nodo è la </w:t>
      </w:r>
      <w:r>
        <w:rPr>
          <w:rFonts w:ascii="Times New Roman" w:cs="Times New Roman" w:eastAsia="Times New Roman" w:hAnsi="Times New Roman"/>
          <w:b/>
          <w:bCs/>
          <w:i w:val="false"/>
          <w:iCs w:val="false"/>
          <w:sz w:val="21"/>
          <w:szCs w:val="21"/>
        </w:rPr>
        <w:t xml:space="preserve">conversione fra istruttoria e inserimento</w:t>
      </w:r>
      <w:r>
        <w:rPr>
          <w:rFonts w:ascii="Times New Roman" w:cs="Times New Roman" w:eastAsia="Times New Roman" w:hAnsi="Times New Roman"/>
          <w:b w:val="false"/>
          <w:bCs w:val="false"/>
          <w:i w:val="false"/>
          <w:iCs w:val="false"/>
          <w:sz w:val="21"/>
          <w:szCs w:val="21"/>
        </w:rPr>
        <w:t xml:space="preserve">. Ventidue beneficiari dispongono di colloquio e curriculum senza alcun inserimento attivato, a fronte di un residuo di dotazione di € 19.500,00 e di una rete di soli nove soggetti ospitanti. Il collo di bottiglia non è finanziario né istruttorio, ma risiede nella capacità di scouting, alla quale la configurazione ordinaria destina un’ora settimanale. Nel periodo residuo il rendimento più elevato si ottiene convertendo in inserimenti la platea già istruita e ampliando la base di imprese, non estendendo ulteriormente la presa in carico.</w:t>
      </w:r>
    </w:p>
    <w:p>
      <w:pPr>
        <w:spacing w:after="140" w:before="0" w:line="276"/>
        <w:jc w:val="both"/>
      </w:pPr>
      <w:r>
        <w:rPr>
          <w:rFonts w:ascii="Times New Roman" w:cs="Times New Roman" w:eastAsia="Times New Roman" w:hAnsi="Times New Roman"/>
          <w:b w:val="false"/>
          <w:bCs w:val="false"/>
          <w:i w:val="false"/>
          <w:iCs w:val="false"/>
          <w:sz w:val="21"/>
          <w:szCs w:val="21"/>
        </w:rPr>
        <w:t xml:space="preserve">Si raccomanda infine, quale indirizzo strategico per il periodo residuo e per la programmazione della successiva annualità, l’assunzione della </w:t>
      </w:r>
      <w:r>
        <w:rPr>
          <w:rFonts w:ascii="Times New Roman" w:cs="Times New Roman" w:eastAsia="Times New Roman" w:hAnsi="Times New Roman"/>
          <w:b/>
          <w:bCs/>
          <w:i w:val="false"/>
          <w:iCs w:val="false"/>
          <w:sz w:val="21"/>
          <w:szCs w:val="21"/>
        </w:rPr>
        <w:t xml:space="preserve">sequenza incontro di orientamento → curriculum → determinazione delle competenze → borsa lavoro → tirocinio → rapporto di lavoro</w:t>
      </w:r>
      <w:r>
        <w:rPr>
          <w:rFonts w:ascii="Times New Roman" w:cs="Times New Roman" w:eastAsia="Times New Roman" w:hAnsi="Times New Roman"/>
          <w:b w:val="false"/>
          <w:bCs w:val="false"/>
          <w:i w:val="false"/>
          <w:iCs w:val="false"/>
          <w:sz w:val="21"/>
          <w:szCs w:val="21"/>
        </w:rPr>
        <w:t xml:space="preserve"> quale standard operativo esplicito, con verifica sistematica del passaggio di stadio per ciascun beneficiario. Il caso documentato al § 8.1 dimostra che la sequenza funziona: si tratta di renderla la regola anziché l’eccezione. È il modo in cui una misura di accoglienza produce autonomia anziché dipendenza.</w:t>
      </w:r>
    </w:p>
    <w:p>
      <w:pPr>
        <w:spacing w:after="50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r>
              <w:rPr>
                <w:rFonts w:ascii="Times New Roman" w:cs="Times New Roman" w:eastAsia="Times New Roman" w:hAnsi="Times New Roman"/>
                <w:b w:val="false"/>
                <w:bCs w:val="false"/>
                <w:i w:val="false"/>
                <w:iCs w:val="false"/>
                <w:sz w:val="17"/>
                <w:szCs w:val="17"/>
              </w:rPr>
              <w:t xml:space="preserve">Santa Elisabetta, 4 agosto 2026</w:t>
            </w:r>
          </w:p>
        </w:tc>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Il Consulente all’orientamento al lavoro</w:t>
            </w:r>
          </w:p>
        </w:tc>
      </w:tr>
      <w:tr>
        <w:tc>
          <w:tcPr>
            <w:tcW w:type="dxa" w:w="481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left"/>
            </w:pPr>
          </w:p>
        </w:tc>
        <w:tc>
          <w:tcPr>
            <w:tcW w:type="dxa" w:w="4819"/>
            <w:tcBorders>
              <w:top w:val="single" w:color="B4C3D8" w:sz="4"/>
              <w:left w:val="single" w:color="B4C3D8" w:sz="4"/>
              <w:bottom w:val="single" w:color="B4C3D8" w:sz="4"/>
              <w:right w:val="single" w:color="B4C3D8" w:sz="4"/>
            </w:tcBorders>
            <w:shd w:fill="F1F5FA" w:color="auto" w:val="clear"/>
            <w:tcMar>
              <w:top w:type="dxa" w:w="70"/>
              <w:left w:type="dxa" w:w="100"/>
              <w:bottom w:type="dxa" w:w="70"/>
              <w:right w:type="dxa" w:w="100"/>
            </w:tcMar>
            <w:vAlign w:val="center"/>
          </w:tcPr>
          <w:p>
            <w:pPr>
              <w:spacing w:after="0" w:line="240"/>
              <w:jc w:val="center"/>
            </w:pPr>
          </w:p>
        </w:tc>
      </w:tr>
      <w:tr>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left"/>
            </w:pPr>
          </w:p>
        </w:tc>
        <w:tc>
          <w:tcPr>
            <w:tcW w:type="dxa" w:w="4819"/>
            <w:tcBorders>
              <w:top w:val="single" w:color="B4C3D8" w:sz="4"/>
              <w:left w:val="single" w:color="B4C3D8" w:sz="4"/>
              <w:bottom w:val="single" w:color="B4C3D8" w:sz="4"/>
              <w:right w:val="single" w:color="B4C3D8" w:sz="4"/>
            </w:tcBorders>
            <w:tcMar>
              <w:top w:type="dxa" w:w="70"/>
              <w:left w:type="dxa" w:w="100"/>
              <w:bottom w:type="dxa" w:w="70"/>
              <w:right w:type="dxa" w:w="100"/>
            </w:tcMar>
            <w:vAlign w:val="center"/>
          </w:tcPr>
          <w:p>
            <w:pPr>
              <w:spacing w:after="0" w:line="240"/>
              <w:jc w:val="center"/>
            </w:pPr>
            <w:r>
              <w:rPr>
                <w:rFonts w:ascii="Times New Roman" w:cs="Times New Roman" w:eastAsia="Times New Roman" w:hAnsi="Times New Roman"/>
                <w:b w:val="false"/>
                <w:bCs w:val="false"/>
                <w:i w:val="false"/>
                <w:iCs w:val="false"/>
                <w:sz w:val="17"/>
                <w:szCs w:val="17"/>
              </w:rPr>
              <w:t xml:space="preserve">_______________________________</w:t>
            </w:r>
          </w:p>
        </w:tc>
      </w:tr>
    </w:tbl>
    <w:p>
      <w:pPr>
        <w:spacing w:after="300"/>
      </w:pPr>
      <w:r>
        <w:rPr>
          <w:rFonts w:ascii="Times New Roman" w:cs="Times New Roman" w:eastAsia="Times New Roman" w:hAnsi="Times New Roman"/>
          <w:b w:val="false"/>
          <w:bCs w:val="false"/>
          <w:i w:val="false"/>
          <w:iCs w:val="false"/>
          <w:sz w:val="21"/>
          <w:szCs w:val="21"/>
        </w:rPr>
        <w:t xml:space="preserve"/>
      </w:r>
    </w:p>
    <w:p>
      <w:pPr>
        <w:spacing w:after="60"/>
      </w:pPr>
      <w:r>
        <w:rPr>
          <w:rFonts w:ascii="Times New Roman" w:cs="Times New Roman" w:eastAsia="Times New Roman" w:hAnsi="Times New Roman"/>
          <w:b w:val="false"/>
          <w:bCs w:val="false"/>
          <w:i w:val="false"/>
          <w:iCs w:val="false"/>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B4C3D8" w:sz="4"/>
              <w:left w:val="single" w:color="1F3864" w:sz="18"/>
              <w:bottom w:val="single" w:color="B4C3D8" w:sz="4"/>
              <w:right w:val="single" w:color="B4C3D8" w:sz="4"/>
            </w:tcBorders>
            <w:shd w:fill="F5F7FA" w:color="auto" w:val="clear"/>
            <w:tcMar>
              <w:top w:type="dxa" w:w="160"/>
              <w:left w:type="dxa" w:w="200"/>
              <w:bottom w:type="dxa" w:w="160"/>
              <w:right w:type="dxa" w:w="200"/>
            </w:tcMar>
          </w:tcPr>
          <w:p>
            <w:pPr>
              <w:spacing w:after="90" w:line="240"/>
            </w:pPr>
            <w:r>
              <w:rPr>
                <w:rFonts w:ascii="Arial" w:cs="Arial" w:eastAsia="Arial" w:hAnsi="Arial"/>
                <w:b/>
                <w:bCs/>
                <w:i w:val="false"/>
                <w:iCs w:val="false"/>
                <w:color w:val="1F3864"/>
                <w:sz w:val="19"/>
                <w:szCs w:val="19"/>
              </w:rPr>
              <w:t xml:space="preserve">Allegati alla presente relazione</w:t>
            </w:r>
          </w:p>
          <w:p>
            <w:pPr>
              <w:spacing w:after="90" w:line="264"/>
              <w:jc w:val="both"/>
            </w:pPr>
            <w:r>
              <w:rPr>
                <w:rFonts w:ascii="Times New Roman" w:cs="Times New Roman" w:eastAsia="Times New Roman" w:hAnsi="Times New Roman"/>
                <w:b/>
                <w:bCs/>
                <w:i w:val="false"/>
                <w:iCs w:val="false"/>
                <w:sz w:val="19"/>
                <w:szCs w:val="19"/>
              </w:rPr>
              <w:t xml:space="preserve">All. 1</w:t>
            </w:r>
            <w:r>
              <w:rPr>
                <w:rFonts w:ascii="Times New Roman" w:cs="Times New Roman" w:eastAsia="Times New Roman" w:hAnsi="Times New Roman"/>
                <w:b w:val="false"/>
                <w:bCs w:val="false"/>
                <w:i w:val="false"/>
                <w:iCs w:val="false"/>
                <w:sz w:val="19"/>
                <w:szCs w:val="19"/>
              </w:rPr>
              <w:t xml:space="preserve"> — Resoconto orientamento aggiornato al 27/07/2026.</w:t>
            </w:r>
          </w:p>
          <w:p>
            <w:pPr>
              <w:spacing w:after="90" w:line="264"/>
              <w:jc w:val="both"/>
            </w:pPr>
            <w:r>
              <w:rPr>
                <w:rFonts w:ascii="Times New Roman" w:cs="Times New Roman" w:eastAsia="Times New Roman" w:hAnsi="Times New Roman"/>
                <w:b/>
                <w:bCs/>
                <w:i w:val="false"/>
                <w:iCs w:val="false"/>
                <w:sz w:val="19"/>
                <w:szCs w:val="19"/>
              </w:rPr>
              <w:t xml:space="preserve">All. 2</w:t>
            </w:r>
            <w:r>
              <w:rPr>
                <w:rFonts w:ascii="Times New Roman" w:cs="Times New Roman" w:eastAsia="Times New Roman" w:hAnsi="Times New Roman"/>
                <w:b w:val="false"/>
                <w:bCs w:val="false"/>
                <w:i w:val="false"/>
                <w:iCs w:val="false"/>
                <w:sz w:val="19"/>
                <w:szCs w:val="19"/>
              </w:rPr>
              <w:t xml:space="preserve"> — Prospetto Borse Lavoro aggiornato al 04/08/2026.</w:t>
            </w:r>
          </w:p>
          <w:p>
            <w:pPr>
              <w:spacing w:after="90" w:line="264"/>
              <w:jc w:val="both"/>
            </w:pPr>
            <w:r>
              <w:rPr>
                <w:rFonts w:ascii="Times New Roman" w:cs="Times New Roman" w:eastAsia="Times New Roman" w:hAnsi="Times New Roman"/>
                <w:b/>
                <w:bCs/>
                <w:i w:val="false"/>
                <w:iCs w:val="false"/>
                <w:sz w:val="19"/>
                <w:szCs w:val="19"/>
              </w:rPr>
              <w:t xml:space="preserve">All. 3</w:t>
            </w:r>
            <w:r>
              <w:rPr>
                <w:rFonts w:ascii="Times New Roman" w:cs="Times New Roman" w:eastAsia="Times New Roman" w:hAnsi="Times New Roman"/>
                <w:b w:val="false"/>
                <w:bCs w:val="false"/>
                <w:i w:val="false"/>
                <w:iCs w:val="false"/>
                <w:sz w:val="19"/>
                <w:szCs w:val="19"/>
              </w:rPr>
              <w:t xml:space="preserve"> — Elenco dei beneficiari assunti con contratto di lavoro nel 2026. </w:t>
            </w:r>
            <w:r>
              <w:rPr>
                <w:rFonts w:ascii="Times New Roman" w:cs="Times New Roman" w:eastAsia="Times New Roman" w:hAnsi="Times New Roman"/>
                <w:b/>
                <w:bCs/>
                <w:i/>
                <w:iCs/>
                <w:color w:val="B45309"/>
                <w:sz w:val="19"/>
                <w:szCs w:val="19"/>
              </w:rPr>
              <w:t xml:space="preserve">Da allegare.</w:t>
            </w:r>
          </w:p>
          <w:p>
            <w:pPr>
              <w:spacing w:after="90" w:line="264"/>
              <w:jc w:val="both"/>
            </w:pPr>
            <w:r>
              <w:rPr>
                <w:rFonts w:ascii="Times New Roman" w:cs="Times New Roman" w:eastAsia="Times New Roman" w:hAnsi="Times New Roman"/>
                <w:b/>
                <w:bCs/>
                <w:i w:val="false"/>
                <w:iCs w:val="false"/>
                <w:sz w:val="19"/>
                <w:szCs w:val="19"/>
              </w:rPr>
              <w:t xml:space="preserve">All. 4</w:t>
            </w:r>
            <w:r>
              <w:rPr>
                <w:rFonts w:ascii="Times New Roman" w:cs="Times New Roman" w:eastAsia="Times New Roman" w:hAnsi="Times New Roman"/>
                <w:b w:val="false"/>
                <w:bCs w:val="false"/>
                <w:i w:val="false"/>
                <w:iCs w:val="false"/>
                <w:sz w:val="19"/>
                <w:szCs w:val="19"/>
              </w:rPr>
              <w:t xml:space="preserve"> — Elenco dei percorsi formativi erogati e attestati conseguiti. </w:t>
            </w:r>
            <w:r>
              <w:rPr>
                <w:rFonts w:ascii="Times New Roman" w:cs="Times New Roman" w:eastAsia="Times New Roman" w:hAnsi="Times New Roman"/>
                <w:b/>
                <w:bCs/>
                <w:i/>
                <w:iCs/>
                <w:color w:val="B45309"/>
                <w:sz w:val="19"/>
                <w:szCs w:val="19"/>
              </w:rPr>
              <w:t xml:space="preserve">Da allegare.</w:t>
            </w:r>
          </w:p>
          <w:p>
            <w:pPr>
              <w:spacing w:after="90" w:line="264"/>
              <w:jc w:val="both"/>
            </w:pPr>
            <w:r>
              <w:rPr>
                <w:rFonts w:ascii="Times New Roman" w:cs="Times New Roman" w:eastAsia="Times New Roman" w:hAnsi="Times New Roman"/>
                <w:b/>
                <w:bCs/>
                <w:i w:val="false"/>
                <w:iCs w:val="false"/>
                <w:sz w:val="19"/>
                <w:szCs w:val="19"/>
              </w:rPr>
              <w:t xml:space="preserve">All. 5</w:t>
            </w:r>
            <w:r>
              <w:rPr>
                <w:rFonts w:ascii="Times New Roman" w:cs="Times New Roman" w:eastAsia="Times New Roman" w:hAnsi="Times New Roman"/>
                <w:b w:val="false"/>
                <w:bCs w:val="false"/>
                <w:i w:val="false"/>
                <w:iCs w:val="false"/>
                <w:sz w:val="19"/>
                <w:szCs w:val="19"/>
              </w:rPr>
              <w:t xml:space="preserve"> — Convenzioni con i soggetti ospitanti e coperture assicurative. </w:t>
            </w:r>
            <w:r>
              <w:rPr>
                <w:rFonts w:ascii="Times New Roman" w:cs="Times New Roman" w:eastAsia="Times New Roman" w:hAnsi="Times New Roman"/>
                <w:b/>
                <w:bCs/>
                <w:i/>
                <w:iCs/>
                <w:color w:val="B45309"/>
                <w:sz w:val="19"/>
                <w:szCs w:val="19"/>
              </w:rPr>
              <w:t xml:space="preserve">Da allegare.</w:t>
            </w:r>
          </w:p>
          <w:p>
            <w:pPr>
              <w:spacing w:after="0" w:line="264"/>
              <w:jc w:val="both"/>
            </w:pPr>
            <w:r>
              <w:rPr>
                <w:rFonts w:ascii="Times New Roman" w:cs="Times New Roman" w:eastAsia="Times New Roman" w:hAnsi="Times New Roman"/>
                <w:b/>
                <w:bCs/>
                <w:i w:val="false"/>
                <w:iCs w:val="false"/>
                <w:sz w:val="19"/>
                <w:szCs w:val="19"/>
              </w:rPr>
              <w:t xml:space="preserve">All. 6</w:t>
            </w:r>
            <w:r>
              <w:rPr>
                <w:rFonts w:ascii="Times New Roman" w:cs="Times New Roman" w:eastAsia="Times New Roman" w:hAnsi="Times New Roman"/>
                <w:b w:val="false"/>
                <w:bCs w:val="false"/>
                <w:i w:val="false"/>
                <w:iCs w:val="false"/>
                <w:sz w:val="19"/>
                <w:szCs w:val="19"/>
              </w:rPr>
              <w:t xml:space="preserve"> — Progetto formativo e convenzione del tirocinio extracurriculare. </w:t>
            </w:r>
            <w:r>
              <w:rPr>
                <w:rFonts w:ascii="Times New Roman" w:cs="Times New Roman" w:eastAsia="Times New Roman" w:hAnsi="Times New Roman"/>
                <w:b/>
                <w:bCs/>
                <w:i/>
                <w:iCs/>
                <w:color w:val="B45309"/>
                <w:sz w:val="19"/>
                <w:szCs w:val="19"/>
              </w:rPr>
              <w:t xml:space="preserve">Da allegare.</w:t>
            </w:r>
          </w:p>
        </w:tc>
      </w:tr>
    </w:tbl>
    <w:p>
      <w:pPr>
        <w:spacing w:after="160"/>
      </w:pPr>
      <w:r>
        <w:rPr>
          <w:rFonts w:ascii="Times New Roman" w:cs="Times New Roman" w:eastAsia="Times New Roman" w:hAnsi="Times New Roman"/>
          <w:b w:val="false"/>
          <w:bCs w:val="false"/>
          <w:i w:val="false"/>
          <w:iCs w:val="false"/>
          <w:sz w:val="21"/>
          <w:szCs w:val="21"/>
        </w:rPr>
        <w:t xml:space="preserve"/>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4C3D8" w:sz="4" w:space="4"/>
      </w:pBdr>
      <w:spacing w:before="60"/>
      <w:jc w:val="center"/>
    </w:pPr>
    <w:r>
      <w:rPr>
        <w:rFonts w:ascii="Arial" w:cs="Arial" w:eastAsia="Arial" w:hAnsi="Arial"/>
        <w:b w:val="false"/>
        <w:bCs w:val="false"/>
        <w:i w:val="false"/>
        <w:iCs w:val="false"/>
        <w:color w:val="7A7A7A"/>
        <w:sz w:val="15"/>
        <w:szCs w:val="15"/>
      </w:rPr>
      <w:t xml:space="preserve">Associazione Culturale Cometa ETS — documento riservato  —  pag. </w:t>
    </w:r>
    <w:r>
      <w:rPr>
        <w:rFonts w:ascii="Arial" w:cs="Arial" w:eastAsia="Arial" w:hAnsi="Arial"/>
        <w:color w:val="7A7A7A"/>
        <w:sz w:val="15"/>
        <w:szCs w:val="15"/>
      </w:rPr>
      <w:fldChar w:fldCharType="begin"/>
      <w:instrText xml:space="preserve">PAGE</w:instrText>
      <w:fldChar w:fldCharType="separate"/>
      <w:fldChar w:fldCharType="end"/>
    </w:r>
    <w:r>
      <w:rPr>
        <w:rFonts w:ascii="Arial" w:cs="Arial" w:eastAsia="Arial" w:hAnsi="Arial"/>
        <w:b w:val="false"/>
        <w:bCs w:val="false"/>
        <w:i w:val="false"/>
        <w:iCs w:val="false"/>
        <w:color w:val="7A7A7A"/>
        <w:sz w:val="15"/>
        <w:szCs w:val="15"/>
      </w:rPr>
      <w:t xml:space="preserve"> di </w:t>
    </w:r>
    <w:r>
      <w:rPr>
        <w:rFonts w:ascii="Arial" w:cs="Arial" w:eastAsia="Arial" w:hAnsi="Arial"/>
        <w:color w:val="7A7A7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0"/>
      </w:pPr>
    </w:lvl>
    <w:lvl w:ilvl="1" w15:tentative="1">
      <w:start w:val="1"/>
      <w:numFmt w:val="bullet"/>
      <w:lvlText w:val="–"/>
      <w:lvlJc w:val="left"/>
      <w:pPr>
        <w:ind w:left="720" w:hanging="2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Relazione tecnica — Servizio di orientamento al lavoro — SAI PROG-684-PR Santa Elisabetta 2026</dc:title>
  <dc:creator>Consulente all’orientamento al lavoro</dc:creator>
  <dc:description>Strutturazione del servizio di orientamento al lavoro, borse lavoro, rete territoriale, tirocini e formazione. Annualità 2026.</dc:description>
  <cp:lastModifiedBy>Un-named</cp:lastModifiedBy>
  <cp:revision>1</cp:revision>
  <dcterms:created xsi:type="dcterms:W3CDTF">2026-08-05T14:29:04.685Z</dcterms:created>
  <dcterms:modified xsi:type="dcterms:W3CDTF">2026-08-05T14:29:04.685Z</dcterms:modified>
</cp:coreProperties>
</file>

<file path=docProps/custom.xml><?xml version="1.0" encoding="utf-8"?>
<Properties xmlns="http://schemas.openxmlformats.org/officeDocument/2006/custom-properties" xmlns:vt="http://schemas.openxmlformats.org/officeDocument/2006/docPropsVTypes"/>
</file>