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6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X. FOCUS TERRITORIALE: SANTA ELISABETTA E AREA DI RIFERIMENTO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D5B7" w:sz="4"/>
              <w:left w:val="single" w:color="B45309" w:sz="18"/>
              <w:bottom w:val="single" w:color="E8D5B7" w:sz="4"/>
              <w:right w:val="single" w:color="E8D5B7" w:sz="4"/>
            </w:tcBorders>
            <w:shd w:fill="FD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Nota per l’inserimento</w:t>
            </w:r>
          </w:p>
          <w:p>
            <w:pPr>
              <w:spacing w:after="9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Il presente testo è una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bozza destinata al capitolo «Focus territoriale»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della Mappatura SAI Agrigento. La numerazione dei paragrafi (X.1, X.2 …) va sostituita con quella del documento di destinazione.</w:t>
            </w:r>
          </w:p>
          <w:p>
            <w:pPr>
              <w:spacing w:after="9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 aziende elencate al § X.3 sono le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sole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di cui si dispone di riscontro documentale diretto, in quanto hanno ospitato un beneficiario del progetto. Non costituiscono un censimento del tessuto imprenditoriale locale: i §§ X.1 e X.2 ne descrivono la struttura su base statistica, senza nominare imprese non verificate.</w:t>
            </w:r>
          </w:p>
          <w:p>
            <w:pPr>
              <w:spacing w:after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dati sul numero di imprese registrate provengono da fonte secondaria e vanno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verificati presso la Camera di Commercio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prima della trasmissione formale del documento.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3"/>
          <w:szCs w:val="23"/>
        </w:rPr>
        <w:t xml:space="preserve">X.1 Il contesto demografico e territoriale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Santa Elisabetta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è un comune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2.208 abitanti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su una superficie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16,17 km²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con una densità di 137 abitanti per km² e un’altitudine di 421 metri sul livello del mare. È il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comune più piccolo per superficie territoriale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del libero consorzio comunale di Agrigento. Il centro sorge a breve distanza da Raffadali, dal quale storicamente dipende: fu fondato nel 1620 per iniziativa del signore di Raffadali e popolato in larga parte da famiglie provenienti da quel comune.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La dimensione demografica è l’elemento che condiziona in misura maggiore l’attività del servizio di orientamento al lavoro. Un bacino di poco più di duemila residenti non è in grado di esprimere una domanda di lavoro capace di assorbire il numero di beneficiari in accoglienza: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l’area di riferimento operativa del servizio non coincide con il territorio comunale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e si estende necessariamente ai centri limitrofi e ai due poli maggiori dell’area, il capoluogo e Canicattì.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542"/>
        <w:gridCol w:w="1542"/>
        <w:gridCol w:w="3855"/>
      </w:tblGrid>
      <w:tr>
        <w:trPr>
          <w:tblHeader/>
        </w:trPr>
        <w:tc>
          <w:tcPr>
            <w:tcW w:type="dxa" w:w="2699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Comune</w:t>
            </w:r>
          </w:p>
        </w:tc>
        <w:tc>
          <w:tcPr>
            <w:tcW w:type="dxa" w:w="15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Abitanti</w:t>
            </w:r>
          </w:p>
        </w:tc>
        <w:tc>
          <w:tcPr>
            <w:tcW w:type="dxa" w:w="15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Superficie</w:t>
            </w:r>
          </w:p>
        </w:tc>
        <w:tc>
          <w:tcPr>
            <w:tcW w:type="dxa" w:w="385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Rilievo per il servizio</w:t>
            </w:r>
          </w:p>
        </w:tc>
      </w:tr>
      <w:tr>
        <w:tc>
          <w:tcPr>
            <w:tcW w:type="dxa" w:w="2699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Santa Elisabetta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2.208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16,17 km²</w:t>
            </w:r>
          </w:p>
        </w:tc>
        <w:tc>
          <w:tcPr>
            <w:tcW w:type="dxa" w:w="3855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Sede del progetto; bacino di prossimità</w:t>
            </w:r>
          </w:p>
        </w:tc>
      </w:tr>
      <w:tr>
        <w:tc>
          <w:tcPr>
            <w:tcW w:type="dxa" w:w="2699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Raffadali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11.769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22,30 km²</w:t>
            </w:r>
          </w:p>
        </w:tc>
        <w:tc>
          <w:tcPr>
            <w:tcW w:type="dxa" w:w="3855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Primo bacino di riferimento — circa 4 km</w:t>
            </w:r>
          </w:p>
        </w:tc>
      </w:tr>
      <w:tr>
        <w:tc>
          <w:tcPr>
            <w:tcW w:type="dxa" w:w="2699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Agrigento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55.118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243,57 km²</w:t>
            </w:r>
          </w:p>
        </w:tc>
        <w:tc>
          <w:tcPr>
            <w:tcW w:type="dxa" w:w="3855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Capoluogo; servizi per il lavoro e CPI</w:t>
            </w:r>
          </w:p>
        </w:tc>
      </w:tr>
      <w:tr>
        <w:tc>
          <w:tcPr>
            <w:tcW w:type="dxa" w:w="2699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Canicattì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34.249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91,86 km²</w:t>
            </w:r>
          </w:p>
        </w:tc>
        <w:tc>
          <w:tcPr>
            <w:tcW w:type="dxa" w:w="3855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Secondo polo economico dell’area</w:t>
            </w:r>
          </w:p>
        </w:tc>
      </w:tr>
      <w:tr>
        <w:tc>
          <w:tcPr>
            <w:tcW w:type="dxa" w:w="2699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Aragona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8.669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74,77 km²</w:t>
            </w:r>
          </w:p>
        </w:tc>
        <w:tc>
          <w:tcPr>
            <w:tcW w:type="dxa" w:w="3855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Bacino intermedio verso il capoluogo</w:t>
            </w:r>
          </w:p>
        </w:tc>
      </w:tr>
      <w:tr>
        <w:tc>
          <w:tcPr>
            <w:tcW w:type="dxa" w:w="2699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Sant’Angelo Muxaro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1.119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64,52 km²</w:t>
            </w:r>
          </w:p>
        </w:tc>
        <w:tc>
          <w:tcPr>
            <w:tcW w:type="dxa" w:w="3855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Comune confinante — circa 5 km</w:t>
            </w:r>
          </w:p>
        </w:tc>
      </w:tr>
      <w:tr>
        <w:tc>
          <w:tcPr>
            <w:tcW w:type="dxa" w:w="2699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Joppolo Giancaxio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1.064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19,14 km²</w:t>
            </w:r>
          </w:p>
        </w:tc>
        <w:tc>
          <w:tcPr>
            <w:tcW w:type="dxa" w:w="3855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Comune confinante — circa 5 km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Popolazione e superficie: stime ISTAT al 1° gennaio 2026. Le distanze sono espresse in linea d’aria e vanno intese come indicative: la percorrenza stradale effettiva è superiore.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La gerarchia dei bacini è netta.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Raffadali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a pochi chilometri e con una popolazione cinque volte superiore, costituisce il primo mercato accessibile e di fatto l’estensione naturale del territorio comunale.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Agrigento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Canicattì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con una popolazione rispettivamente venticinque e quindici volte quella di Santa Elisabetta, rappresentano i poli in grado di offrire varietà di mansioni e presenza di imprese strutturate, al prezzo di un onere di mobilità significativamente maggiore. I comuni confinanti minori — Sant’Angelo Muxaro e Joppolo Giancaxio, entrambi sotto i 1.200 abitanti — non aggiungono capacità di assorbimento apprezzabile.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3"/>
          <w:szCs w:val="23"/>
        </w:rPr>
        <w:t xml:space="preserve">X.2 Il tessuto imprenditoriale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Il numero di imprese registrate restituisce con chiarezza lo squilibrio fra il comune sede del progetto e il primo bacino limitrofo: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163 imprese a Santa Elisabetta a fronte di 842 a Raffadali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oltre cinque volte tanto. Rapportato alla popolazione, il dato indica una densità imprenditoriale sostanzialmente allineata fra i due comuni; in valore assoluto, tuttavia, è la sola scala di Raffadali a rendere praticabile una attività di scouting continuativa.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Sul piano della composizione settoriale, 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agricoltura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costituisce l’attività prevalente dell’economia agrigentina, assorbendo circa il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28% delle attività produttive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provinciali. A Santa Elisabetta le produzioni caratteristiche sono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pistacchi, mandorle e cereali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Il settore primario, e con esso l’indotto della trasformazione e della commercializzazione dei prodotti agricoli, rappresenta pertanto il comparto a più elevato potenziale di assorbimento dell’area, ad oggi non presidiato dalla rete del progetto.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Il tessuto è composto in prevalenza da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imprese di piccolissima dimensione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spesso a conduzione familiare e prive di una funzione strutturata di gestione del personale. Questa caratteristica ha due conseguenze dirette sull’attività di orientamento. La prima è che l’attivazione di una borsa lavoro o di un tirocinio dipende dal rapporto fiduciario costruito con il titolare, e non da una procedura di selezione: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il lavoro di rete è quindi relazionale e non replicabile per via amministrativa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La seconda è che ogni singola impresa può ospitare, di norma, un solo beneficiario per volta, il che rende il numero di soggetti ospitanti in rete — e non la dotazione finanziaria disponibile — il vero fattore limitante degli inserimenti.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I dati sul numero di imprese registrate e sulla composizione settoriale provinciale provengono da fonti secondarie e vanno verificati presso la Camera di Commercio competente prima della trasmissione formale del documento.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3"/>
          <w:szCs w:val="23"/>
        </w:rPr>
        <w:t xml:space="preserve">X.3 Le aziende della rete attivata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Il progetto ha attivato nell’annualità 2026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nove soggetti ospitanti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distribuiti su tre comuni e sei settori economici. Si tratta delle imprese e degli enti che hanno effettivamente accolto un beneficiario nell’ambito di un percorso di borsa lavoro o di tirocinio, e che costituiscono pertanto la rete territoriale operativa del servizio.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542"/>
        <w:gridCol w:w="1542"/>
        <w:gridCol w:w="867"/>
        <w:gridCol w:w="3374"/>
      </w:tblGrid>
      <w:tr>
        <w:trPr>
          <w:tblHeader/>
        </w:trPr>
        <w:tc>
          <w:tcPr>
            <w:tcW w:type="dxa" w:w="23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Soggetto ospitante</w:t>
            </w:r>
          </w:p>
        </w:tc>
        <w:tc>
          <w:tcPr>
            <w:tcW w:type="dxa" w:w="15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Settore</w:t>
            </w:r>
          </w:p>
        </w:tc>
        <w:tc>
          <w:tcPr>
            <w:tcW w:type="dxa" w:w="15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Sede</w:t>
            </w:r>
          </w:p>
        </w:tc>
        <w:tc>
          <w:tcPr>
            <w:tcW w:type="dxa" w:w="867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Ben.</w:t>
            </w:r>
          </w:p>
        </w:tc>
        <w:tc>
          <w:tcPr>
            <w:tcW w:type="dxa" w:w="337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Stato della collaborazione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Butera Alfonso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Artigianato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S. Elisabetta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Percorso concluso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Ditta Galvano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Artigianato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S. Elisabetta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Percorso in corso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Bar Ibis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Commercio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S. Elisabetta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Percorso in corso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Fragapane Bibite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Commercio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S. Elisabetta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Percorso interrotto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Comune di S. Elisabetta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Ente pubblico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S. Elisabetta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Convenzione da perfezionare — nessun avvio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Ditta MARLOT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Ristorazione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Raffadali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Borsa conclusa + tirocinio extracurriculare in corso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Fragapane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Edilizia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Raffadali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Percorso concluso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Fragapane Trasporti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Trasporti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Raffadali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Percorso in corso</w:t>
            </w:r>
          </w:p>
        </w:tc>
      </w:tr>
      <w:tr>
        <w:tc>
          <w:tcPr>
            <w:tcW w:type="dxa" w:w="2313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Ditta Costa’s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Ristorazione</w:t>
            </w:r>
          </w:p>
        </w:tc>
        <w:tc>
          <w:tcPr>
            <w:tcW w:type="dxa" w:w="1542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Canicattì</w:t>
            </w:r>
          </w:p>
        </w:tc>
        <w:tc>
          <w:tcPr>
            <w:tcW w:type="dxa" w:w="867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7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Nuovo inserimento — apertura su nuovo bacino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Fonte: Prospetto Borse Lavoro del progetto SAI PROG-684-PR, dati al 4 agosto 2026. La colonna «Ben.» indica il numero di beneficiari ospitati nell’annualità.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La distribuzione territoriale della rete riflette la gerarchia dei bacini descritta al § X.1: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cinque soggetti a Santa Elisabetta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tre a Raffadali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uno a Canicattì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Quest’ultimo, attivato nell’agosto 2026, rappresenta la prima apertura del progetto sul secondo polo economico dell’area e costituisce un precedente operativo di rilievo per l’ampliamento della rete.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Sul piano settoriale i nove soggetti coprono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artigianato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commercio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con due posizioni ciascuno,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ristorazione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con due,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ente pubblico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con due,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edilizia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trasporti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con una. Va segnalato che tre delle posizioni fanno capo a realtà riconducibili alla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medesima denominazione imprenditoriale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operanti peraltro in settori distinti: il dato testimonia la solidità del rapporto costruito con un interlocutore disponibile, ma espone il progetto a una dipendenza da un numero ristretto di soggetti.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Comune di Santa Elisabetta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merita una considerazione specifica, in quanto unico soggetto pubblico della rete e al tempo stesso Ente titolare del progetto. Entrambe le posizioni programmate presso di esso non sono state avviate, mentre tutte le posizioni presso soggetti privati lo sono state regolarmente: la criticità è concentrata sul versante della collaborazione istituzionale e richiede un intervento mirato.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3"/>
          <w:szCs w:val="23"/>
        </w:rPr>
        <w:t xml:space="preserve">X.4 Lettura per il servizio di orientamento al lavoro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Il confronto fra la dimensione dell’utenza e la dimensione della rete restituisce il vincolo strutturale dell’intervento: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cinquanta beneficiari in carico a fronte di nove soggetti ospitanti attivati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Poiché le imprese dell’area, per dimensione media, possono ospitare di norma un solo beneficiario per volta, la capacità di assorbimento della rete risulta largamente inferiore alla domanda potenziale.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Ne discende che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l’ampliamento della base di imprese ospitanti costituisce la leva a più elevato impatto sul tasso di inserimento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più ancora dell’incremento delle risorse finanziarie disponibili. Le tre direttrici di sviluppo che il quadro territoriale suggerisce sono le seguenti.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048"/>
        <w:gridCol w:w="3084"/>
      </w:tblGrid>
      <w:tr>
        <w:trPr>
          <w:tblHeader/>
        </w:trPr>
        <w:tc>
          <w:tcPr>
            <w:tcW w:type="dxa" w:w="25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Direttrice</w:t>
            </w:r>
          </w:p>
        </w:tc>
        <w:tc>
          <w:tcPr>
            <w:tcW w:type="dxa" w:w="404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Motivazione</w:t>
            </w:r>
          </w:p>
        </w:tc>
        <w:tc>
          <w:tcPr>
            <w:tcW w:type="dxa" w:w="308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Azione proposta</w:t>
            </w:r>
          </w:p>
        </w:tc>
      </w:tr>
      <w:tr>
        <w:tc>
          <w:tcPr>
            <w:tcW w:type="dxa" w:w="2506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Consolidamento su Raffadali</w:t>
            </w:r>
          </w:p>
        </w:tc>
        <w:tc>
          <w:tcPr>
            <w:tcW w:type="dxa" w:w="4048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Primo bacino accessibile, con oltre cinquecento imprese in più rispetto al comune sede e onere di mobilità contenuto</w:t>
            </w:r>
          </w:p>
        </w:tc>
        <w:tc>
          <w:tcPr>
            <w:tcW w:type="dxa" w:w="308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Scouting sistematico; obiettivo di tre nuovi soggetti ospitanti</w:t>
            </w:r>
          </w:p>
        </w:tc>
      </w:tr>
      <w:tr>
        <w:tc>
          <w:tcPr>
            <w:tcW w:type="dxa" w:w="2506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Apertura al settore agricolo e all’indotto</w:t>
            </w:r>
          </w:p>
        </w:tc>
        <w:tc>
          <w:tcPr>
            <w:tcW w:type="dxa" w:w="4048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Comparto prevalente dell’economia provinciale, oggi del tutto assente dalla rete; produzioni locali di pistacchi, mandorle e cereali</w:t>
            </w:r>
          </w:p>
        </w:tc>
        <w:tc>
          <w:tcPr>
            <w:tcW w:type="dxa" w:w="308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shd w:fill="F1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Contatto con aziende agricole e cooperative di trasformazione; verifica della stagionalità</w:t>
            </w:r>
          </w:p>
        </w:tc>
      </w:tr>
      <w:tr>
        <w:tc>
          <w:tcPr>
            <w:tcW w:type="dxa" w:w="2506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Presidio del polo di Canicattì</w:t>
            </w:r>
          </w:p>
        </w:tc>
        <w:tc>
          <w:tcPr>
            <w:tcW w:type="dxa" w:w="4048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Secondo polo economico dell’area, con presenza di imprese strutturate; già aperto con un primo inserimento</w:t>
            </w:r>
          </w:p>
        </w:tc>
        <w:tc>
          <w:tcPr>
            <w:tcW w:type="dxa" w:w="3084"/>
            <w:tcBorders>
              <w:top w:val="single" w:color="B4C3D8" w:sz="4"/>
              <w:left w:val="single" w:color="B4C3D8" w:sz="4"/>
              <w:bottom w:val="single" w:color="B4C3D8" w:sz="4"/>
              <w:right w:val="single" w:color="B4C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Consolidamento del rapporto avviato; verifica preventiva della sostenibilità degli spostamenti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Il tema della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mobilità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attraversa tutte e tre le direttrici e va affrontato in via preliminare. Quattro dei dieci percorsi attivati nell’annualità hanno sede fuori dal comune di residenza del beneficiario. Su un’indennità mensile di € 500,00, il costo e i tempi del trasporto pubblico extraurbano incidono in misura non trascurabile e costituiscono, al tempo stesso, un fattore di rischio per la tenuta dei percorsi più distanti e un limite oggettivo al bacino di imprese effettivamente proponibili. La verifica della disponibilità di abbonamenti agevolati e la valutazione di una voce di rimborso spese di trasporto nella riprogrammazione del piano finanziario sono pertanto condizioni abilitanti dell’ampliamento della rete, e non misure accessorie.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3D8" w:sz="4" w:space="4"/>
      </w:pBdr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A7A7A"/>
        <w:sz w:val="15"/>
        <w:szCs w:val="15"/>
      </w:rPr>
      <w:t xml:space="preserve">Bozza per inserimento — Focus territoriale Santa Elisabetta  —  pag.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7A7A7A"/>
        <w:sz w:val="15"/>
        <w:szCs w:val="15"/>
      </w:rPr>
      <w:t xml:space="preserve"> di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0"/>
      </w:pPr>
    </w:lvl>
    <w:lvl w:ilvl="1" w15:tentative="1">
      <w:start w:val="1"/>
      <w:numFmt w:val="bullet"/>
      <w:lvlText w:val="–"/>
      <w:lvlJc w:val="left"/>
      <w:pPr>
        <w:ind w:left="72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tecnica — Servizio di orientamento al lavoro — SAI PROG-684-PR Santa Elisabetta 2026</dc:title>
  <dc:creator>Consulente all’orientamento al lavoro</dc:creator>
  <dc:description>Strutturazione del servizio di orientamento al lavoro, borse lavoro, rete territoriale, tirocini e formazione. Annualità 2026.</dc:description>
  <cp:lastModifiedBy>Un-named</cp:lastModifiedBy>
  <cp:revision>1</cp:revision>
  <dcterms:created xsi:type="dcterms:W3CDTF">2026-08-10T13:41:54.439Z</dcterms:created>
  <dcterms:modified xsi:type="dcterms:W3CDTF">2026-08-10T13:41:54.451Z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