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1A773A">
        <w:rPr>
          <w:lang w:val="es-AR"/>
        </w:rPr>
        <w:t>7</w:t>
      </w:r>
      <w:r w:rsidR="00C2785A">
        <w:rPr>
          <w:lang w:val="es-AR"/>
        </w:rPr>
        <w:t>6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1A773A">
        <w:rPr>
          <w:rFonts w:ascii="Arial" w:hAnsi="Arial"/>
          <w:sz w:val="24"/>
          <w:lang w:val="es-AR"/>
        </w:rPr>
        <w:t>1</w:t>
      </w:r>
      <w:r w:rsidR="00057A0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extraordinaria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C2785A">
        <w:rPr>
          <w:rFonts w:ascii="Arial" w:hAnsi="Arial"/>
          <w:b/>
          <w:sz w:val="24"/>
          <w:lang w:val="es-AR"/>
        </w:rPr>
        <w:t>2</w:t>
      </w:r>
      <w:r w:rsidR="001A773A">
        <w:rPr>
          <w:rFonts w:ascii="Arial" w:hAnsi="Arial"/>
          <w:b/>
          <w:sz w:val="24"/>
          <w:lang w:val="es-AR"/>
        </w:rPr>
        <w:t>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A773A">
        <w:rPr>
          <w:rFonts w:ascii="Arial" w:hAnsi="Arial"/>
          <w:b/>
          <w:sz w:val="24"/>
          <w:lang w:val="es-AR"/>
        </w:rPr>
        <w:t>m</w:t>
      </w:r>
      <w:r w:rsidR="00057A01">
        <w:rPr>
          <w:rFonts w:ascii="Arial" w:hAnsi="Arial"/>
          <w:b/>
          <w:sz w:val="24"/>
          <w:lang w:val="es-AR"/>
        </w:rPr>
        <w:t>a</w:t>
      </w:r>
      <w:r w:rsidR="001A773A">
        <w:rPr>
          <w:rFonts w:ascii="Arial" w:hAnsi="Arial"/>
          <w:b/>
          <w:sz w:val="24"/>
          <w:lang w:val="es-AR"/>
        </w:rPr>
        <w:t>yo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1A773A">
        <w:rPr>
          <w:rFonts w:ascii="Arial" w:hAnsi="Arial"/>
          <w:sz w:val="24"/>
          <w:lang w:val="es-AR"/>
        </w:rPr>
        <w:t>1</w:t>
      </w:r>
      <w:r w:rsidR="00057A0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por la cual se </w:t>
      </w:r>
      <w:r w:rsidR="001A773A">
        <w:rPr>
          <w:rFonts w:ascii="Arial" w:hAnsi="Arial" w:cs="Arial"/>
          <w:sz w:val="24"/>
          <w:lang w:val="es-ES"/>
        </w:rPr>
        <w:t>contrata</w:t>
      </w:r>
      <w:r w:rsidR="00C2785A" w:rsidRPr="00C2785A">
        <w:rPr>
          <w:rFonts w:ascii="Arial" w:hAnsi="Arial" w:cs="Arial"/>
          <w:sz w:val="24"/>
          <w:lang w:val="es-ES"/>
        </w:rPr>
        <w:t xml:space="preserve"> al </w:t>
      </w:r>
      <w:r w:rsidR="00C2785A" w:rsidRPr="00C2785A">
        <w:rPr>
          <w:rFonts w:ascii="Arial" w:hAnsi="Arial" w:cs="Arial"/>
          <w:b/>
          <w:bCs/>
          <w:sz w:val="24"/>
          <w:lang w:val="es-ES"/>
        </w:rPr>
        <w:t xml:space="preserve">Dr. </w:t>
      </w:r>
      <w:r w:rsidR="001A773A">
        <w:rPr>
          <w:rFonts w:ascii="Arial" w:hAnsi="Arial"/>
          <w:b/>
          <w:bCs/>
          <w:sz w:val="24"/>
          <w:lang w:val="es-AR"/>
        </w:rPr>
        <w:t>Carlos José GONZALÍA (</w:t>
      </w:r>
      <w:proofErr w:type="spellStart"/>
      <w:r w:rsidR="001A773A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1A773A">
        <w:rPr>
          <w:rFonts w:ascii="Arial" w:hAnsi="Arial" w:cs="Arial"/>
          <w:b/>
          <w:bCs/>
          <w:sz w:val="24"/>
          <w:lang w:val="es-ES_tradnl"/>
        </w:rPr>
        <w:t>. 7718)</w:t>
      </w:r>
      <w:r w:rsidR="00C2785A">
        <w:rPr>
          <w:rFonts w:ascii="Arial" w:hAnsi="Arial" w:cs="Arial"/>
          <w:sz w:val="24"/>
          <w:lang w:val="es-ES"/>
        </w:rPr>
        <w:t xml:space="preserve">, </w:t>
      </w:r>
      <w:r w:rsidR="001A773A">
        <w:rPr>
          <w:rFonts w:ascii="Arial" w:hAnsi="Arial"/>
          <w:sz w:val="24"/>
          <w:lang w:val="es-AR"/>
        </w:rPr>
        <w:t xml:space="preserve">para cumplir funciones </w:t>
      </w:r>
      <w:r w:rsidR="001A773A">
        <w:rPr>
          <w:rFonts w:ascii="Arial" w:hAnsi="Arial"/>
          <w:color w:val="000000"/>
          <w:sz w:val="24"/>
          <w:lang w:val="es-AR"/>
        </w:rPr>
        <w:t xml:space="preserve">docentes equivalentes a un cargo de Profesor Adjunto con dedicación </w:t>
      </w:r>
      <w:proofErr w:type="spellStart"/>
      <w:r w:rsidR="001A773A">
        <w:rPr>
          <w:rFonts w:ascii="Arial" w:hAnsi="Arial"/>
          <w:color w:val="000000"/>
          <w:sz w:val="24"/>
          <w:lang w:val="es-AR"/>
        </w:rPr>
        <w:t>semiexclusiva</w:t>
      </w:r>
      <w:proofErr w:type="spellEnd"/>
      <w:r w:rsidR="001A773A">
        <w:rPr>
          <w:rFonts w:ascii="Arial" w:hAnsi="Arial"/>
          <w:color w:val="000000"/>
          <w:sz w:val="24"/>
          <w:lang w:val="es-AR"/>
        </w:rPr>
        <w:t xml:space="preserve"> y de investigación</w:t>
      </w:r>
      <w:r w:rsidR="001A773A" w:rsidRPr="001E1FBF">
        <w:rPr>
          <w:rFonts w:ascii="Arial" w:hAnsi="Arial"/>
          <w:sz w:val="24"/>
          <w:lang w:val="es-AR"/>
        </w:rPr>
        <w:t xml:space="preserve"> en  el Área: I</w:t>
      </w:r>
      <w:r w:rsidR="001A773A">
        <w:rPr>
          <w:rFonts w:ascii="Arial" w:hAnsi="Arial"/>
          <w:sz w:val="24"/>
          <w:lang w:val="es-AR"/>
        </w:rPr>
        <w:t>II</w:t>
      </w:r>
      <w:r w:rsidR="001A773A" w:rsidRPr="001E1FBF">
        <w:rPr>
          <w:rFonts w:ascii="Arial" w:hAnsi="Arial"/>
          <w:sz w:val="24"/>
          <w:lang w:val="es-AR"/>
        </w:rPr>
        <w:t xml:space="preserve">, Disciplina: </w:t>
      </w:r>
      <w:r w:rsidR="001A773A">
        <w:rPr>
          <w:rFonts w:ascii="Arial" w:hAnsi="Arial"/>
          <w:sz w:val="24"/>
          <w:lang w:val="es-AR"/>
        </w:rPr>
        <w:t xml:space="preserve">Desarrollo de </w:t>
      </w:r>
      <w:r w:rsidR="001A773A" w:rsidRPr="001E1FBF">
        <w:rPr>
          <w:rFonts w:ascii="Arial" w:hAnsi="Arial"/>
          <w:sz w:val="24"/>
          <w:lang w:val="es-AR"/>
        </w:rPr>
        <w:t>Sistemas,</w:t>
      </w:r>
      <w:r w:rsidR="001A773A" w:rsidRPr="0024240F">
        <w:rPr>
          <w:rFonts w:ascii="Arial" w:hAnsi="Arial"/>
          <w:color w:val="000000"/>
          <w:sz w:val="24"/>
          <w:lang w:val="es-AR"/>
        </w:rPr>
        <w:t xml:space="preserve"> en el Departamento de Ciencias e Ingeniería de la Computación</w:t>
      </w:r>
      <w:r w:rsidR="001A773A">
        <w:rPr>
          <w:rFonts w:ascii="Arial" w:hAnsi="Arial"/>
          <w:color w:val="000000"/>
          <w:sz w:val="24"/>
          <w:lang w:val="es-AR"/>
        </w:rPr>
        <w:t>, a partir del 1 de abril y hasta el 31 de julio de 2009 inclusive.</w:t>
      </w:r>
      <w:r w:rsidR="001A773A">
        <w:rPr>
          <w:rFonts w:ascii="Arial" w:hAnsi="Arial"/>
          <w:sz w:val="24"/>
          <w:lang w:val="es-AR"/>
        </w:rPr>
        <w:t>-</w:t>
      </w:r>
      <w:r w:rsidR="00F23A4D" w:rsidRPr="00F23A4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981813"/>
    <w:rsid w:val="009D01DD"/>
    <w:rsid w:val="00A25E3A"/>
    <w:rsid w:val="00A76ECE"/>
    <w:rsid w:val="00AC1AAA"/>
    <w:rsid w:val="00AD3A12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2025-07-06T05:07:00Z</dcterms:created>
  <dcterms:modified xsi:type="dcterms:W3CDTF">2025-07-06T05:07:00Z</dcterms:modified>
</cp:coreProperties>
</file>