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4AA1">
      <w:pPr>
        <w:pStyle w:val="Textoindependiente"/>
        <w:jc w:val="center"/>
        <w:rPr>
          <w:b/>
        </w:rPr>
      </w:pPr>
      <w:r>
        <w:rPr>
          <w:rFonts w:ascii="Arial" w:hAnsi="Arial"/>
          <w:b/>
          <w:sz w:val="32"/>
        </w:rPr>
        <w:t>Anexo  I   *   CDCC-017</w:t>
      </w:r>
      <w:r>
        <w:rPr>
          <w:rFonts w:ascii="Arial" w:hAnsi="Arial"/>
          <w:b/>
          <w:sz w:val="32"/>
        </w:rPr>
        <w:t>/</w:t>
      </w:r>
      <w:r>
        <w:rPr>
          <w:rFonts w:ascii="Arial" w:hAnsi="Arial"/>
          <w:b/>
          <w:sz w:val="32"/>
        </w:rPr>
        <w:t>96</w:t>
      </w:r>
    </w:p>
    <w:p w:rsidR="00000000" w:rsidRDefault="00084AA1">
      <w:pPr>
        <w:pStyle w:val="Ttulo1"/>
        <w:jc w:val="center"/>
      </w:pPr>
      <w:r>
        <w:t xml:space="preserve">Reglamento  Interno de </w:t>
      </w:r>
    </w:p>
    <w:p w:rsidR="00000000" w:rsidRDefault="00084AA1">
      <w:pPr>
        <w:pStyle w:val="Ttulo1"/>
        <w:jc w:val="center"/>
      </w:pPr>
      <w:r>
        <w:t>Proyectos de Investigación Departamentales</w:t>
      </w:r>
    </w:p>
    <w:p w:rsidR="00000000" w:rsidRDefault="00084AA1"/>
    <w:p w:rsidR="00000000" w:rsidRDefault="00084AA1">
      <w:pPr>
        <w:ind w:left="1418" w:hanging="1418"/>
        <w:jc w:val="both"/>
        <w:rPr>
          <w:rFonts w:ascii="Arial" w:hAnsi="Arial"/>
          <w:sz w:val="24"/>
        </w:rPr>
      </w:pPr>
      <w:r>
        <w:rPr>
          <w:rFonts w:ascii="Arial" w:hAnsi="Arial"/>
          <w:b/>
          <w:sz w:val="24"/>
        </w:rPr>
        <w:t>*     Art. 1</w:t>
      </w:r>
      <w:r>
        <w:rPr>
          <w:rFonts w:ascii="Arial" w:hAnsi="Arial"/>
          <w:b/>
          <w:sz w:val="24"/>
        </w:rPr>
        <w:sym w:font="Symbol" w:char="F0B0"/>
      </w:r>
      <w:r>
        <w:rPr>
          <w:rFonts w:ascii="Arial" w:hAnsi="Arial"/>
          <w:b/>
          <w:sz w:val="24"/>
        </w:rPr>
        <w:t>.-</w:t>
      </w:r>
      <w:r>
        <w:rPr>
          <w:rFonts w:ascii="Arial" w:hAnsi="Arial"/>
          <w:sz w:val="24"/>
        </w:rPr>
        <w:t xml:space="preserve"> Aceptar la reglamentación de la SeCyt con las providencias explicitadas en los siguientes artículos.-   </w:t>
      </w:r>
    </w:p>
    <w:p w:rsidR="00000000" w:rsidRDefault="00084AA1">
      <w:pPr>
        <w:jc w:val="both"/>
        <w:rPr>
          <w:rFonts w:ascii="Arial" w:hAnsi="Arial"/>
          <w:sz w:val="24"/>
        </w:rPr>
      </w:pPr>
    </w:p>
    <w:p w:rsidR="00000000" w:rsidRDefault="00084AA1">
      <w:pPr>
        <w:ind w:left="1418" w:hanging="1418"/>
        <w:jc w:val="both"/>
        <w:rPr>
          <w:rFonts w:ascii="Arial" w:hAnsi="Arial"/>
          <w:sz w:val="24"/>
        </w:rPr>
      </w:pPr>
      <w:r>
        <w:rPr>
          <w:rFonts w:ascii="Arial" w:hAnsi="Arial"/>
          <w:b/>
          <w:sz w:val="24"/>
        </w:rPr>
        <w:t>*     Art. 2</w:t>
      </w:r>
      <w:r>
        <w:rPr>
          <w:rFonts w:ascii="Arial" w:hAnsi="Arial"/>
          <w:b/>
          <w:sz w:val="24"/>
        </w:rPr>
        <w:sym w:font="Symbol" w:char="F0B0"/>
      </w:r>
      <w:r>
        <w:rPr>
          <w:rFonts w:ascii="Arial" w:hAnsi="Arial"/>
          <w:b/>
          <w:sz w:val="24"/>
        </w:rPr>
        <w:t xml:space="preserve">.- </w:t>
      </w:r>
      <w:r>
        <w:rPr>
          <w:rFonts w:ascii="Arial" w:hAnsi="Arial"/>
          <w:sz w:val="24"/>
        </w:rPr>
        <w:t>El Director del Proyect</w:t>
      </w:r>
      <w:r>
        <w:rPr>
          <w:rFonts w:ascii="Arial" w:hAnsi="Arial"/>
          <w:sz w:val="24"/>
        </w:rPr>
        <w:t>o de Grupo de Investigaciones (PGI) deberá ser pro-fesor con dedicación exclusiva o semiexclusiva del Departamento de Cien-cias de la Computación.-</w:t>
      </w:r>
    </w:p>
    <w:p w:rsidR="00000000" w:rsidRDefault="00084AA1">
      <w:pPr>
        <w:jc w:val="both"/>
        <w:rPr>
          <w:rFonts w:ascii="Arial" w:hAnsi="Arial"/>
          <w:sz w:val="24"/>
        </w:rPr>
      </w:pPr>
    </w:p>
    <w:p w:rsidR="00000000" w:rsidRDefault="00084AA1">
      <w:pPr>
        <w:ind w:left="1418" w:hanging="1418"/>
        <w:jc w:val="both"/>
        <w:rPr>
          <w:rFonts w:ascii="Arial" w:hAnsi="Arial"/>
          <w:sz w:val="24"/>
        </w:rPr>
      </w:pPr>
      <w:r>
        <w:rPr>
          <w:rFonts w:ascii="Arial" w:hAnsi="Arial"/>
          <w:b/>
          <w:sz w:val="24"/>
        </w:rPr>
        <w:t>*    Art. 3</w:t>
      </w:r>
      <w:r>
        <w:rPr>
          <w:rFonts w:ascii="Arial" w:hAnsi="Arial"/>
          <w:b/>
          <w:sz w:val="24"/>
        </w:rPr>
        <w:sym w:font="Symbol" w:char="F0B0"/>
      </w:r>
      <w:r>
        <w:rPr>
          <w:rFonts w:ascii="Arial" w:hAnsi="Arial"/>
          <w:b/>
          <w:sz w:val="24"/>
        </w:rPr>
        <w:t xml:space="preserve">.- </w:t>
      </w:r>
      <w:r>
        <w:rPr>
          <w:rFonts w:ascii="Arial" w:hAnsi="Arial"/>
          <w:sz w:val="24"/>
        </w:rPr>
        <w:t xml:space="preserve">En caso que el monto total de las solicitudes de proyecto supere al total asignado al Departamento, deberá procurarse que ningún proyecto reciba más del treinta por ciento (30 </w:t>
      </w:r>
      <w:r>
        <w:rPr>
          <w:rFonts w:ascii="Arial" w:hAnsi="Arial"/>
          <w:sz w:val="24"/>
        </w:rPr>
        <w:sym w:font="Symbol" w:char="F025"/>
      </w:r>
      <w:r>
        <w:rPr>
          <w:rFonts w:ascii="Arial" w:hAnsi="Arial"/>
          <w:sz w:val="24"/>
        </w:rPr>
        <w:t>) del monto asignado a PGI.-</w:t>
      </w:r>
    </w:p>
    <w:p w:rsidR="00000000" w:rsidRDefault="00084AA1">
      <w:pPr>
        <w:ind w:left="1418" w:hanging="1418"/>
        <w:jc w:val="both"/>
      </w:pPr>
    </w:p>
    <w:p w:rsidR="00000000" w:rsidRDefault="00084AA1">
      <w:pPr>
        <w:ind w:left="1418" w:hanging="1418"/>
        <w:jc w:val="both"/>
        <w:rPr>
          <w:rFonts w:ascii="Arial" w:hAnsi="Arial"/>
          <w:sz w:val="24"/>
        </w:rPr>
      </w:pPr>
      <w:r>
        <w:rPr>
          <w:rFonts w:ascii="Arial" w:hAnsi="Arial"/>
          <w:b/>
          <w:sz w:val="24"/>
        </w:rPr>
        <w:t>*   Art. 4</w:t>
      </w:r>
      <w:r>
        <w:rPr>
          <w:rFonts w:ascii="Arial" w:hAnsi="Arial"/>
          <w:b/>
          <w:sz w:val="24"/>
        </w:rPr>
        <w:sym w:font="Symbol" w:char="F0B0"/>
      </w:r>
      <w:r>
        <w:rPr>
          <w:rFonts w:ascii="Arial" w:hAnsi="Arial"/>
          <w:b/>
          <w:sz w:val="24"/>
        </w:rPr>
        <w:t xml:space="preserve">.- </w:t>
      </w:r>
      <w:r>
        <w:rPr>
          <w:rFonts w:ascii="Arial" w:hAnsi="Arial"/>
          <w:sz w:val="24"/>
        </w:rPr>
        <w:t>Se define como Proyecto Promocional a aquel que pretenda crear una nueva línea de investigación inexistente hasta el momento en</w:t>
      </w:r>
      <w:r>
        <w:rPr>
          <w:rFonts w:ascii="Arial" w:hAnsi="Arial"/>
          <w:sz w:val="24"/>
        </w:rPr>
        <w:t xml:space="preserve"> el ámbito del Departamento. Estos proyectos no podrán recibir en total más del veinte por ciento (20 </w:t>
      </w:r>
      <w:r>
        <w:rPr>
          <w:rFonts w:ascii="Arial" w:hAnsi="Arial"/>
          <w:sz w:val="24"/>
        </w:rPr>
        <w:sym w:font="Symbol" w:char="F025"/>
      </w:r>
      <w:r>
        <w:rPr>
          <w:rFonts w:ascii="Arial" w:hAnsi="Arial"/>
          <w:sz w:val="24"/>
        </w:rPr>
        <w:t>) del total asignado a PGI.-</w:t>
      </w:r>
    </w:p>
    <w:p w:rsidR="00000000" w:rsidRDefault="00084AA1">
      <w:pPr>
        <w:ind w:left="1418" w:hanging="1418"/>
        <w:jc w:val="both"/>
        <w:rPr>
          <w:rFonts w:ascii="Arial" w:hAnsi="Arial"/>
          <w:sz w:val="24"/>
        </w:rPr>
      </w:pPr>
    </w:p>
    <w:p w:rsidR="00000000" w:rsidRDefault="00084AA1">
      <w:pPr>
        <w:ind w:left="1418" w:hanging="1418"/>
        <w:jc w:val="both"/>
        <w:rPr>
          <w:rFonts w:ascii="Arial" w:hAnsi="Arial"/>
          <w:sz w:val="24"/>
        </w:rPr>
      </w:pPr>
      <w:r>
        <w:rPr>
          <w:rFonts w:ascii="Arial" w:hAnsi="Arial"/>
          <w:b/>
          <w:sz w:val="24"/>
        </w:rPr>
        <w:t>*   Art. 5</w:t>
      </w:r>
      <w:r>
        <w:rPr>
          <w:rFonts w:ascii="Arial" w:hAnsi="Arial"/>
          <w:b/>
          <w:sz w:val="24"/>
        </w:rPr>
        <w:sym w:font="Symbol" w:char="F0B0"/>
      </w:r>
      <w:r>
        <w:rPr>
          <w:rFonts w:ascii="Arial" w:hAnsi="Arial"/>
          <w:b/>
          <w:sz w:val="24"/>
        </w:rPr>
        <w:t>.-</w:t>
      </w:r>
      <w:r>
        <w:rPr>
          <w:rFonts w:ascii="Arial" w:hAnsi="Arial"/>
          <w:sz w:val="24"/>
        </w:rPr>
        <w:t xml:space="preserve"> Una Comisión, designada por el Consejo Departamental e integrada por todos los directores (o un miembro del Grupo de Investigación, designado en su reemplazo), que presentan proyectos de investigación y el Secreta-rio de Investigación y Desarrollo, decidirá sobre las asignaciones presu-puestarias a cada uno de los proyectos. El Secretario de Investigación y Desar</w:t>
      </w:r>
      <w:r>
        <w:rPr>
          <w:rFonts w:ascii="Arial" w:hAnsi="Arial"/>
          <w:sz w:val="24"/>
        </w:rPr>
        <w:t xml:space="preserve">rollo presidirá la reunión y tendrá voz. En caso que la Comisión deba decidir una cuestión por votación y ésta resulte en empate, el Secretario en cuestión podrá emitir voto.- </w:t>
      </w:r>
    </w:p>
    <w:p w:rsidR="00000000" w:rsidRDefault="00084AA1">
      <w:pPr>
        <w:ind w:left="1418" w:hanging="1418"/>
        <w:jc w:val="both"/>
        <w:rPr>
          <w:rFonts w:ascii="Arial" w:hAnsi="Arial"/>
          <w:sz w:val="24"/>
        </w:rPr>
      </w:pPr>
    </w:p>
    <w:p w:rsidR="00000000" w:rsidRDefault="00084AA1">
      <w:pPr>
        <w:ind w:left="1418" w:hanging="1418"/>
        <w:jc w:val="both"/>
        <w:rPr>
          <w:rFonts w:ascii="Arial" w:hAnsi="Arial"/>
          <w:sz w:val="24"/>
        </w:rPr>
      </w:pPr>
      <w:r>
        <w:rPr>
          <w:rFonts w:ascii="Arial" w:hAnsi="Arial"/>
          <w:b/>
          <w:sz w:val="24"/>
        </w:rPr>
        <w:t>*    Art. 6</w:t>
      </w:r>
      <w:r>
        <w:rPr>
          <w:rFonts w:ascii="Arial" w:hAnsi="Arial"/>
          <w:b/>
          <w:sz w:val="24"/>
        </w:rPr>
        <w:sym w:font="Symbol" w:char="F0B0"/>
      </w:r>
      <w:r>
        <w:rPr>
          <w:rFonts w:ascii="Arial" w:hAnsi="Arial"/>
          <w:b/>
          <w:sz w:val="24"/>
        </w:rPr>
        <w:t>.-</w:t>
      </w:r>
      <w:r>
        <w:rPr>
          <w:rFonts w:ascii="Arial" w:hAnsi="Arial"/>
          <w:sz w:val="24"/>
        </w:rPr>
        <w:t xml:space="preserve">  Para elaborar dictámen, la Comisión tendrá en cuenta factores como la producción de los Grupos de Investigación en años anteriores, los montos recibidos, la naturaleza del proyecto, la composición del Grupo de Inves-tigación, el resultado de la evaluación.-</w:t>
      </w:r>
    </w:p>
    <w:p w:rsidR="00000000" w:rsidRDefault="00084AA1">
      <w:pPr>
        <w:ind w:left="1418" w:hanging="1418"/>
        <w:jc w:val="both"/>
        <w:rPr>
          <w:rFonts w:ascii="Arial" w:hAnsi="Arial"/>
          <w:sz w:val="24"/>
        </w:rPr>
      </w:pPr>
    </w:p>
    <w:p w:rsidR="00000000" w:rsidRDefault="00084AA1">
      <w:pPr>
        <w:ind w:left="1418" w:hanging="1418"/>
        <w:jc w:val="both"/>
        <w:rPr>
          <w:rFonts w:ascii="Arial" w:hAnsi="Arial"/>
          <w:sz w:val="24"/>
        </w:rPr>
      </w:pPr>
      <w:r>
        <w:rPr>
          <w:rFonts w:ascii="Arial" w:hAnsi="Arial"/>
          <w:b/>
          <w:sz w:val="24"/>
        </w:rPr>
        <w:t>*     Art. 7</w:t>
      </w:r>
      <w:r>
        <w:rPr>
          <w:rFonts w:ascii="Arial" w:hAnsi="Arial"/>
          <w:b/>
          <w:sz w:val="24"/>
        </w:rPr>
        <w:sym w:font="Symbol" w:char="F0B0"/>
      </w:r>
      <w:r>
        <w:rPr>
          <w:rFonts w:ascii="Arial" w:hAnsi="Arial"/>
          <w:b/>
          <w:sz w:val="24"/>
        </w:rPr>
        <w:t>.-</w:t>
      </w:r>
      <w:r>
        <w:rPr>
          <w:rFonts w:ascii="Arial" w:hAnsi="Arial"/>
          <w:sz w:val="24"/>
        </w:rPr>
        <w:t xml:space="preserve">  Esta Comisión deberá expedirse en un térmi</w:t>
      </w:r>
      <w:r>
        <w:rPr>
          <w:rFonts w:ascii="Arial" w:hAnsi="Arial"/>
          <w:sz w:val="24"/>
        </w:rPr>
        <w:t xml:space="preserve">no no mayor a diez (10) días.-     </w:t>
      </w:r>
    </w:p>
    <w:p w:rsidR="00000000" w:rsidRDefault="00084AA1">
      <w:pPr>
        <w:ind w:left="1418" w:hanging="1418"/>
        <w:jc w:val="both"/>
        <w:rPr>
          <w:rFonts w:ascii="Arial" w:hAnsi="Arial"/>
          <w:sz w:val="24"/>
        </w:rPr>
      </w:pPr>
    </w:p>
    <w:p w:rsidR="00000000" w:rsidRDefault="00084AA1">
      <w:pPr>
        <w:ind w:left="1418" w:hanging="1418"/>
        <w:jc w:val="both"/>
        <w:rPr>
          <w:rFonts w:ascii="Arial" w:hAnsi="Arial"/>
          <w:sz w:val="24"/>
        </w:rPr>
      </w:pPr>
      <w:r>
        <w:rPr>
          <w:rFonts w:ascii="Arial" w:hAnsi="Arial"/>
          <w:b/>
          <w:sz w:val="24"/>
        </w:rPr>
        <w:t>*     Art. 8</w:t>
      </w:r>
      <w:r>
        <w:rPr>
          <w:rFonts w:ascii="Arial" w:hAnsi="Arial"/>
          <w:b/>
          <w:sz w:val="24"/>
        </w:rPr>
        <w:sym w:font="Symbol" w:char="F0B0"/>
      </w:r>
      <w:r>
        <w:rPr>
          <w:rFonts w:ascii="Arial" w:hAnsi="Arial"/>
          <w:b/>
          <w:sz w:val="24"/>
        </w:rPr>
        <w:t xml:space="preserve">.-  </w:t>
      </w:r>
      <w:r>
        <w:rPr>
          <w:rFonts w:ascii="Arial" w:hAnsi="Arial"/>
          <w:sz w:val="24"/>
        </w:rPr>
        <w:t>El dictámen de la Comisión será puesto a consideración del Consejo De-partamental, en la primera reunión ordinaria siguiente a la emisión de dic-tamen.-</w:t>
      </w:r>
    </w:p>
    <w:p w:rsidR="00000000" w:rsidRDefault="00084AA1">
      <w:pPr>
        <w:ind w:left="1418" w:hanging="1418"/>
        <w:jc w:val="both"/>
        <w:rPr>
          <w:rFonts w:ascii="Arial" w:hAnsi="Arial"/>
          <w:sz w:val="24"/>
        </w:rPr>
      </w:pPr>
    </w:p>
    <w:p w:rsidR="00000000" w:rsidRDefault="00084AA1">
      <w:pPr>
        <w:tabs>
          <w:tab w:val="left" w:pos="851"/>
          <w:tab w:val="left" w:pos="8647"/>
        </w:tabs>
        <w:ind w:left="1418" w:hanging="1418"/>
        <w:jc w:val="center"/>
        <w:rPr>
          <w:rFonts w:ascii="Arial" w:hAnsi="Arial"/>
          <w:sz w:val="24"/>
        </w:rPr>
      </w:pPr>
      <w:r>
        <w:rPr>
          <w:rFonts w:ascii="Arial" w:hAnsi="Arial"/>
          <w:sz w:val="24"/>
        </w:rPr>
        <w:t>***********************************************************************************</w:t>
      </w:r>
    </w:p>
    <w:sectPr w:rsidR="00000000">
      <w:pgSz w:w="11907" w:h="16834" w:code="9"/>
      <w:pgMar w:top="3119" w:right="567" w:bottom="113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4AA1"/>
    <w:rsid w:val="00084AA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paragraph" w:styleId="Ttulo1">
    <w:name w:val="heading 1"/>
    <w:basedOn w:val="Normal"/>
    <w:next w:val="Normal"/>
    <w:qFormat/>
    <w:pPr>
      <w:keepNext/>
      <w:spacing w:before="240" w:after="60"/>
      <w:outlineLvl w:val="0"/>
    </w:pPr>
    <w:rPr>
      <w:rFonts w:ascii="Arial" w:hAnsi="Arial"/>
      <w:b/>
      <w:kern w:val="28"/>
      <w:sz w:val="2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semiHidden/>
    <w:pPr>
      <w:ind w:left="283" w:hanging="283"/>
    </w:pPr>
  </w:style>
  <w:style w:type="paragraph" w:styleId="Textoindependiente">
    <w:name w:val="Body Text"/>
    <w:basedOn w:val="Normal"/>
    <w:semiHidden/>
    <w:pPr>
      <w:spacing w:after="1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1764</Characters>
  <Application>Microsoft Office Word</Application>
  <DocSecurity>0</DocSecurity>
  <Lines>14</Lines>
  <Paragraphs>4</Paragraphs>
  <ScaleCrop>false</ScaleCrop>
  <HeadingPairs>
    <vt:vector size="2" baseType="variant">
      <vt:variant>
        <vt:lpstr>Anexo  I   *   CDCC-002/96</vt:lpstr>
      </vt:variant>
      <vt:variant>
        <vt:i4>0</vt:i4>
      </vt:variant>
    </vt:vector>
  </HeadingPairs>
  <Company>Universidad Nacional del Sur</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   *   CDCC-002/96</dc:title>
  <dc:subject/>
  <dc:creator>Dpto. de Cs. de la Computació</dc:creator>
  <cp:keywords/>
  <dc:description/>
  <cp:lastModifiedBy>Keith</cp:lastModifiedBy>
  <cp:revision>2</cp:revision>
  <cp:lastPrinted>1996-04-09T23:28:00Z</cp:lastPrinted>
  <dcterms:created xsi:type="dcterms:W3CDTF">2025-07-05T23:42:00Z</dcterms:created>
  <dcterms:modified xsi:type="dcterms:W3CDTF">2025-07-05T23:42:00Z</dcterms:modified>
</cp:coreProperties>
</file>