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104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104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1044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CDCC-044/98</w:t>
      </w: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331044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nota presentada por la señora Magister Silvia Mabel Castro, en la cual expresa su deseo de proceder a la donación de material, adquirido con fondos del  proyecto de investigación </w:t>
      </w:r>
      <w:r>
        <w:rPr>
          <w:rFonts w:ascii="Arial" w:hAnsi="Arial" w:cs="Arial"/>
          <w:b/>
          <w:bCs/>
          <w:sz w:val="24"/>
          <w:szCs w:val="24"/>
        </w:rPr>
        <w:t xml:space="preserve">“Visualización de Datos Trivaluados: Modelamiento </w:t>
      </w:r>
      <w:r>
        <w:rPr>
          <w:rFonts w:ascii="Arial" w:hAnsi="Arial" w:cs="Arial"/>
          <w:b/>
          <w:bCs/>
          <w:sz w:val="24"/>
          <w:szCs w:val="24"/>
        </w:rPr>
        <w:t>y Re</w:t>
      </w:r>
      <w:r>
        <w:rPr>
          <w:rFonts w:ascii="Arial" w:hAnsi="Arial" w:cs="Arial"/>
          <w:b/>
          <w:bCs/>
          <w:sz w:val="24"/>
          <w:szCs w:val="24"/>
          <w:u w:val="single"/>
        </w:rPr>
        <w:t>n</w:t>
      </w:r>
      <w:r>
        <w:rPr>
          <w:rFonts w:ascii="Arial" w:hAnsi="Arial" w:cs="Arial"/>
          <w:b/>
          <w:bCs/>
          <w:sz w:val="24"/>
          <w:szCs w:val="24"/>
        </w:rPr>
        <w:t xml:space="preserve"> dering” </w:t>
      </w:r>
      <w:r>
        <w:rPr>
          <w:rFonts w:ascii="Arial" w:hAnsi="Arial" w:cs="Arial"/>
          <w:sz w:val="24"/>
          <w:szCs w:val="24"/>
        </w:rPr>
        <w:t>del cual es directora; y</w:t>
      </w:r>
    </w:p>
    <w:p w:rsidR="00000000" w:rsidRDefault="00331044">
      <w:pPr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331044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disposiciones vigentes sobre el particular, confieren a los Conse-jos Departamentales la facultad de aceptar los elementos que se reciban en carácter de donación;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331044">
      <w:pPr>
        <w:rPr>
          <w:rFonts w:ascii="Arial" w:hAnsi="Arial" w:cs="Arial"/>
          <w:sz w:val="24"/>
          <w:szCs w:val="24"/>
        </w:rPr>
      </w:pPr>
    </w:p>
    <w:p w:rsidR="00000000" w:rsidRDefault="00331044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</w:t>
      </w:r>
      <w:r>
        <w:rPr>
          <w:rFonts w:ascii="Arial" w:hAnsi="Arial" w:cs="Arial"/>
          <w:b/>
          <w:bCs/>
          <w:sz w:val="24"/>
          <w:szCs w:val="24"/>
        </w:rPr>
        <w:t>amental de Ciencias de la Computación en su reu-nión de fecha 08 de julio de 1998</w:t>
      </w:r>
    </w:p>
    <w:p w:rsidR="00000000" w:rsidRDefault="0033104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Aceptar la donación del bienes que a continuació</w:t>
      </w:r>
      <w:r>
        <w:rPr>
          <w:rFonts w:ascii="Arial" w:hAnsi="Arial" w:cs="Arial"/>
          <w:sz w:val="24"/>
          <w:szCs w:val="24"/>
        </w:rPr>
        <w:t xml:space="preserve">n se detallan, adquirido con fondos del Proyecto de Investigación </w:t>
      </w:r>
      <w:r>
        <w:rPr>
          <w:rFonts w:ascii="Arial" w:hAnsi="Arial" w:cs="Arial"/>
          <w:b/>
          <w:bCs/>
          <w:sz w:val="24"/>
          <w:szCs w:val="24"/>
        </w:rPr>
        <w:t>“Visualización de Datos Trivaluados: Modela-miento y Rendering”</w:t>
      </w:r>
      <w:r>
        <w:rPr>
          <w:rFonts w:ascii="Arial" w:hAnsi="Arial" w:cs="Arial"/>
          <w:sz w:val="24"/>
          <w:szCs w:val="24"/>
        </w:rPr>
        <w:t>, del cual es directora la Magister Silvia Mabel Castro:</w:t>
      </w:r>
    </w:p>
    <w:p w:rsidR="00000000" w:rsidRDefault="00331044">
      <w:pPr>
        <w:ind w:right="-29"/>
        <w:jc w:val="both"/>
        <w:rPr>
          <w:rFonts w:ascii="Arial" w:hAnsi="Arial" w:cs="Arial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“Computational Geometry: Algorithms and Aplicat</w:t>
      </w:r>
      <w:r>
        <w:rPr>
          <w:rFonts w:ascii="BankGothic Lt BT" w:hAnsi="BankGothic Lt BT" w:cs="BankGothic Lt BT"/>
          <w:sz w:val="28"/>
          <w:szCs w:val="28"/>
        </w:rPr>
        <w:t>ions”,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Berg, M. et al.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$ 60,95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“Computational Geometry: An Introduc-tion”,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Preparata, F., Shamos, R.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$ 32,95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“Computer Visualization: Graphics Techni-ques for Sc. and Eng. Analysis”,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Gallagher, R.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$ 79,95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“Concurrent Programming in Java”,</w:t>
      </w:r>
      <w:r>
        <w:rPr>
          <w:rFonts w:ascii="Arial" w:hAnsi="Arial" w:cs="Arial"/>
          <w:sz w:val="24"/>
          <w:szCs w:val="24"/>
        </w:rPr>
        <w:t xml:space="preserve"> Lea, D.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$ 32,25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“Designing the User Interface: Strategies for Effective Human-Computer Interaction”,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Schneiderman, B.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</w:t>
      </w:r>
      <w:r>
        <w:rPr>
          <w:rFonts w:ascii="Arial" w:hAnsi="Arial" w:cs="Arial"/>
          <w:b/>
          <w:bCs/>
          <w:i/>
          <w:iCs/>
          <w:sz w:val="24"/>
          <w:szCs w:val="24"/>
        </w:rPr>
        <w:t>44,95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“Fractals for the Classroom: Introduction to Fractals and Chaos”,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Peitgen, H.O., Jürkens, H., Saupe, D. </w:t>
      </w:r>
      <w:r>
        <w:rPr>
          <w:rFonts w:ascii="Arial" w:hAnsi="Arial" w:cs="Arial"/>
          <w:i/>
          <w:iCs/>
          <w:sz w:val="24"/>
          <w:szCs w:val="24"/>
        </w:rPr>
        <w:t xml:space="preserve">* Valor: </w:t>
      </w:r>
    </w:p>
    <w:p w:rsidR="00000000" w:rsidRDefault="0033104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104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104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1044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///CDCC-044/98</w:t>
      </w: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$ 39,95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</w:t>
      </w:r>
      <w:r>
        <w:rPr>
          <w:rFonts w:ascii="BankGothic Lt BT" w:hAnsi="BankGothic Lt BT" w:cs="BankGothic Lt BT"/>
          <w:sz w:val="28"/>
          <w:szCs w:val="28"/>
        </w:rPr>
        <w:t>Graphic Java: Mastering the AWT”,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Geary, G., McClellan, A.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$ 39,96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tabs>
          <w:tab w:val="left" w:pos="426"/>
        </w:tabs>
        <w:ind w:left="36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“Graphics and Robotics”,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Strasser, W., Wahl, F.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$ 64,95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“Human-Computer Interaction”,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Preece, J.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Va-lor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$ 45,95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“Interactive Computer Graphics: Atop-Down Approach with OpenGL”,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Angel, E.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$ 50,95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“Java for 3D and VMRL Worlds”,</w:t>
      </w:r>
      <w:r>
        <w:rPr>
          <w:rFonts w:ascii="Arial" w:hAnsi="Arial" w:cs="Arial"/>
          <w:sz w:val="24"/>
          <w:szCs w:val="24"/>
        </w:rPr>
        <w:t xml:space="preserve"> Lea, D. et al.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$ 36,00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“Jim Blinn"s Corner: A Trip</w:t>
      </w:r>
      <w:r>
        <w:rPr>
          <w:rFonts w:ascii="BankGothic Lt BT" w:hAnsi="BankGothic Lt BT" w:cs="BankGothic Lt BT"/>
          <w:sz w:val="28"/>
          <w:szCs w:val="28"/>
        </w:rPr>
        <w:t xml:space="preserve"> Down the Gra-phics Pipeline”,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Blinn, J.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$ 23,96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“Late Night VRML 2.0 with Java”,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Roehl, B. et al.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$ 35,99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“Numerical Recipies: The Art of Scientific Computing” (en CD),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Press, W. et al.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$ 89,95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“OpenGL Programming Guide: The Official Guide to Learning OpenGL”,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Woo, M., Neider, J., Davis, T.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$ 46,95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“OpenGL Superbible: The complete Guide to OpenGL Programming for Window</w:t>
      </w:r>
      <w:r>
        <w:rPr>
          <w:rFonts w:ascii="BankGothic Lt BT" w:hAnsi="BankGothic Lt BT" w:cs="BankGothic Lt BT"/>
          <w:sz w:val="28"/>
          <w:szCs w:val="28"/>
        </w:rPr>
        <w:t>a NT and Windows 95”,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Wright, R., Sweet, M.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$ 52,00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“Principles of Digital Image Synthesis” (2 volúmenes),</w:t>
      </w:r>
      <w:r>
        <w:rPr>
          <w:rFonts w:ascii="Arial" w:hAnsi="Arial" w:cs="Arial"/>
          <w:sz w:val="24"/>
          <w:szCs w:val="24"/>
        </w:rPr>
        <w:t xml:space="preserve"> Glassner, A.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$ 98,95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“Surface Fitting and Multiresolution Methods” (Vol II),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z w:val="24"/>
          <w:szCs w:val="24"/>
        </w:rPr>
        <w:t xml:space="preserve"> Mehaute, A. et al.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$ 45,00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“The Java 3D API Specification”,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Sowizral, H., Rushforth, K., Deering, M.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$ 32,25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“The Java Language Specification”,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Gosling, J.,</w:t>
      </w:r>
    </w:p>
    <w:p w:rsidR="00000000" w:rsidRDefault="0033104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1044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331044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</w:t>
      </w:r>
      <w:r>
        <w:rPr>
          <w:b/>
          <w:bCs/>
          <w:color w:val="000080"/>
        </w:rPr>
        <w:t>o de los Municipios”</w:t>
      </w: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///CDCC-044/98</w:t>
      </w: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ind w:left="360" w:right="-29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Joy,B., Steele, G.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$ 29,50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“The Java Programming Language” 2</w:t>
      </w:r>
      <w:r>
        <w:rPr>
          <w:rFonts w:ascii="BankGothic Lt BT" w:hAnsi="BankGothic Lt BT" w:cs="BankGothic Lt BT"/>
          <w:sz w:val="28"/>
          <w:szCs w:val="28"/>
          <w:vertAlign w:val="superscript"/>
        </w:rPr>
        <w:t>nd</w:t>
      </w:r>
      <w:r>
        <w:rPr>
          <w:rFonts w:ascii="BankGothic Lt BT" w:hAnsi="BankGothic Lt BT" w:cs="BankGothic Lt BT"/>
          <w:sz w:val="28"/>
          <w:szCs w:val="28"/>
        </w:rPr>
        <w:t xml:space="preserve"> edi-tion,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Arnold, K., Gosling, J.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$ 31,25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</w:t>
      </w:r>
      <w:r>
        <w:rPr>
          <w:rFonts w:ascii="BankGothic Lt BT" w:hAnsi="BankGothic Lt BT" w:cs="BankGothic Lt BT"/>
          <w:sz w:val="28"/>
          <w:szCs w:val="28"/>
        </w:rPr>
        <w:t>The Visualization Toolkit: An Object-Oriented Approach to 3D Graphics”,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Schroeder, W., Martín, K., Lorensen, B.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$ 59,95</w:t>
      </w:r>
      <w:r>
        <w:rPr>
          <w:rFonts w:ascii="Arial" w:hAnsi="Arial" w:cs="Arial"/>
          <w:sz w:val="24"/>
          <w:szCs w:val="24"/>
        </w:rPr>
        <w:t xml:space="preserve">   y</w:t>
      </w:r>
    </w:p>
    <w:p w:rsidR="00000000" w:rsidRDefault="00331044">
      <w:pPr>
        <w:ind w:left="72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0"/>
        </w:numPr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(1) ejemplar de </w:t>
      </w:r>
      <w:r>
        <w:rPr>
          <w:rFonts w:ascii="BankGothic Lt BT" w:hAnsi="BankGothic Lt BT" w:cs="BankGothic Lt BT"/>
          <w:sz w:val="28"/>
          <w:szCs w:val="28"/>
        </w:rPr>
        <w:t>“Visualization and Mathematics: Experi-ments, Simulations and Environments”,</w:t>
      </w:r>
      <w:r>
        <w:rPr>
          <w:rFonts w:ascii="Arial" w:hAnsi="Arial" w:cs="Arial"/>
          <w:sz w:val="24"/>
          <w:szCs w:val="24"/>
        </w:rPr>
        <w:t xml:space="preserve"> Hege, H. CH., Polthier</w:t>
      </w:r>
      <w:r>
        <w:rPr>
          <w:rFonts w:ascii="Arial" w:hAnsi="Arial" w:cs="Arial"/>
          <w:sz w:val="24"/>
          <w:szCs w:val="24"/>
        </w:rPr>
        <w:t>, K.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$ 99,00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1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(1) unidad lectora CD-Rom, S/N 090617T30A8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$ 400,00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331044">
      <w:pPr>
        <w:tabs>
          <w:tab w:val="left" w:pos="426"/>
        </w:tabs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1"/>
        </w:numPr>
        <w:tabs>
          <w:tab w:val="clear" w:pos="360"/>
          <w:tab w:val="left" w:pos="426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(1) grabadora CD HP Ext. HP7200, S/N HU811K2254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$ 759,00 </w:t>
      </w:r>
      <w:r>
        <w:rPr>
          <w:rFonts w:ascii="Arial" w:hAnsi="Arial" w:cs="Arial"/>
          <w:sz w:val="24"/>
          <w:szCs w:val="24"/>
        </w:rPr>
        <w:t>;</w:t>
      </w:r>
    </w:p>
    <w:p w:rsidR="00000000" w:rsidRDefault="00331044">
      <w:pPr>
        <w:ind w:left="1080"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numPr>
          <w:ilvl w:val="0"/>
          <w:numId w:val="1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(1) memoria EDO SIMM, 32 Mb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$ 80,00</w:t>
      </w:r>
      <w:r>
        <w:rPr>
          <w:rFonts w:ascii="Arial" w:hAnsi="Arial" w:cs="Arial"/>
          <w:sz w:val="24"/>
          <w:szCs w:val="24"/>
        </w:rPr>
        <w:t xml:space="preserve">    y</w:t>
      </w: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numPr>
          <w:ilvl w:val="0"/>
          <w:numId w:val="1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(1) moden/fax comp. port., S/N F806030</w:t>
      </w:r>
      <w:r>
        <w:rPr>
          <w:rFonts w:ascii="BankGothic Lt BT" w:hAnsi="BankGothic Lt BT" w:cs="BankGothic Lt BT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$ 280,00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Incorporar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patrimonio de la Universidad Nacional del Sur los elementos  mencionados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 xml:space="preserve">), a partir del día de </w:t>
      </w:r>
      <w:r>
        <w:rPr>
          <w:rFonts w:ascii="Arial" w:hAnsi="Arial" w:cs="Arial"/>
          <w:sz w:val="24"/>
          <w:szCs w:val="24"/>
        </w:rPr>
        <w:t>la fecha de la presente resolución.-</w:t>
      </w:r>
    </w:p>
    <w:p w:rsidR="00000000" w:rsidRDefault="00331044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Resolver que el material al cual se hace referencia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hasta tanto no finalice el respectivo proyecto, estará</w:t>
      </w:r>
      <w:r>
        <w:rPr>
          <w:rFonts w:ascii="Arial" w:hAnsi="Arial" w:cs="Arial"/>
          <w:sz w:val="24"/>
          <w:szCs w:val="24"/>
        </w:rPr>
        <w:t xml:space="preserve"> bajo la entera responsabilidad de la directora del mismo.-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tomen conocimiento el Consejo Universitario y la Secretaría General de Ciencia y Tecnología; pase a la Dirección General de Econo</w:t>
      </w:r>
      <w:r>
        <w:rPr>
          <w:rFonts w:ascii="Arial" w:hAnsi="Arial" w:cs="Arial"/>
          <w:sz w:val="24"/>
          <w:szCs w:val="24"/>
        </w:rPr>
        <w:t>mía y Finanzas a los fines que corresponda; cumplido, archívese.------------------------------------</w:t>
      </w: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Expte. D.CC. 1088/96</w:t>
      </w: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331044">
      <w:pPr>
        <w:jc w:val="both"/>
        <w:rPr>
          <w:rFonts w:ascii="Arial" w:hAnsi="Arial" w:cs="Arial"/>
          <w:sz w:val="24"/>
          <w:szCs w:val="24"/>
        </w:rPr>
      </w:pPr>
    </w:p>
    <w:p w:rsidR="00000000" w:rsidRDefault="00331044">
      <w:pPr>
        <w:ind w:right="-29"/>
        <w:jc w:val="both"/>
        <w:rPr>
          <w:b/>
          <w:bCs/>
        </w:rPr>
      </w:pP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3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12B42D4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2DE61651"/>
    <w:multiLevelType w:val="singleLevel"/>
    <w:tmpl w:val="AD3EBD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800000"/>
      </w:rPr>
    </w:lvl>
  </w:abstractNum>
  <w:abstractNum w:abstractNumId="3">
    <w:nsid w:val="42AD2B3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5982122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B5A4F5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6B990B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DC743E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4A64E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7B194F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E4749D6"/>
    <w:multiLevelType w:val="singleLevel"/>
    <w:tmpl w:val="7146127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bCs/>
        <w:i w:val="0"/>
        <w:iCs w:val="0"/>
        <w:color w:val="00808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1044"/>
    <w:rsid w:val="0033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3959</Characters>
  <Application>Microsoft Office Word</Application>
  <DocSecurity>0</DocSecurity>
  <Lines>32</Lines>
  <Paragraphs>9</Paragraphs>
  <ScaleCrop>false</ScaleCrop>
  <Company>Universidad Nacional del Sur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1998-12-17T00:17:00Z</cp:lastPrinted>
  <dcterms:created xsi:type="dcterms:W3CDTF">2025-07-06T01:16:00Z</dcterms:created>
  <dcterms:modified xsi:type="dcterms:W3CDTF">2025-07-06T01:16:00Z</dcterms:modified>
</cp:coreProperties>
</file>