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48FE">
      <w:pPr>
        <w:jc w:val="both"/>
        <w:rPr>
          <w:sz w:val="20"/>
        </w:rPr>
      </w:pPr>
    </w:p>
    <w:p w:rsidR="00000000" w:rsidRDefault="00AB48FE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AB48FE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t>“1998 – Año de los Municipios”</w:t>
      </w:r>
    </w:p>
    <w:p w:rsidR="00000000" w:rsidRDefault="00AB48FE">
      <w:pPr>
        <w:jc w:val="both"/>
        <w:rPr>
          <w:b/>
        </w:rPr>
      </w:pPr>
    </w:p>
    <w:p w:rsidR="00000000" w:rsidRDefault="00AB48FE">
      <w:pPr>
        <w:jc w:val="both"/>
        <w:rPr>
          <w:b/>
        </w:rPr>
      </w:pPr>
    </w:p>
    <w:p w:rsidR="00000000" w:rsidRDefault="00AB48FE">
      <w:pPr>
        <w:jc w:val="both"/>
        <w:rPr>
          <w:b/>
        </w:rPr>
      </w:pPr>
    </w:p>
    <w:p w:rsidR="00000000" w:rsidRDefault="00AB48FE">
      <w:pPr>
        <w:jc w:val="both"/>
        <w:rPr>
          <w:b/>
        </w:rPr>
      </w:pPr>
    </w:p>
    <w:p w:rsidR="00000000" w:rsidRDefault="00AB48FE">
      <w:pPr>
        <w:jc w:val="both"/>
        <w:rPr>
          <w:b/>
        </w:rPr>
      </w:pPr>
    </w:p>
    <w:p w:rsidR="00000000" w:rsidRDefault="00AB48FE">
      <w:pPr>
        <w:pStyle w:val="Ttulo1"/>
      </w:pPr>
      <w:r>
        <w:t>REGISTRADO BAJO N</w:t>
      </w:r>
      <w:r>
        <w:sym w:font="Symbol" w:char="F0B0"/>
      </w:r>
      <w:r>
        <w:t xml:space="preserve">  CDCC-080/98</w:t>
      </w:r>
    </w:p>
    <w:p w:rsidR="00000000" w:rsidRDefault="00AB48FE">
      <w:pPr>
        <w:jc w:val="both"/>
      </w:pPr>
    </w:p>
    <w:p w:rsidR="00000000" w:rsidRDefault="00AB48FE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AB48FE">
      <w:pPr>
        <w:jc w:val="both"/>
      </w:pPr>
    </w:p>
    <w:p w:rsidR="00000000" w:rsidRDefault="00AB48FE">
      <w:pPr>
        <w:jc w:val="both"/>
      </w:pPr>
      <w:r>
        <w:rPr>
          <w:b/>
        </w:rPr>
        <w:t xml:space="preserve">VISTO </w:t>
      </w:r>
      <w:r>
        <w:t>:</w:t>
      </w:r>
    </w:p>
    <w:p w:rsidR="00000000" w:rsidRDefault="00AB48FE">
      <w:pPr>
        <w:rPr>
          <w:lang w:val="en-US"/>
        </w:rPr>
      </w:pPr>
    </w:p>
    <w:p w:rsidR="00000000" w:rsidRDefault="00AB48FE">
      <w:pPr>
        <w:pStyle w:val="Sangra2detindependiente"/>
      </w:pPr>
      <w:r>
        <w:t>Que a partir de 1997 se implementó -en el Departamento de Ciencias de la Com</w:t>
      </w:r>
      <w:r>
        <w:t>putación- un mecanismo de encuesta a los estudiantes, para tener una clara visión desde el punto de vista de los alumnos sobre las catedras;</w:t>
      </w:r>
    </w:p>
    <w:p w:rsidR="00000000" w:rsidRDefault="00AB48FE">
      <w:pPr>
        <w:pStyle w:val="Sangra2detindependiente"/>
      </w:pPr>
      <w:r>
        <w:br/>
        <w:t xml:space="preserve">    </w:t>
      </w:r>
      <w:r>
        <w:tab/>
      </w:r>
      <w:r>
        <w:tab/>
        <w:t>Que el mecanismo implementado en aquella oportunidad, para llevar a ca-bo las encuestas, fue modificado en l</w:t>
      </w:r>
      <w:r>
        <w:t xml:space="preserve">a resolución CDCC-038/98 para aumentar el por-centaje de alumnos encuestados; y </w:t>
      </w:r>
    </w:p>
    <w:p w:rsidR="00000000" w:rsidRDefault="00AB48FE"/>
    <w:p w:rsidR="00000000" w:rsidRDefault="00AB48FE">
      <w:r>
        <w:rPr>
          <w:b/>
        </w:rPr>
        <w:t>CONSIDERANDO</w:t>
      </w:r>
      <w:r>
        <w:t xml:space="preserve"> :</w:t>
      </w:r>
    </w:p>
    <w:p w:rsidR="00000000" w:rsidRDefault="00AB48FE"/>
    <w:p w:rsidR="00000000" w:rsidRDefault="00AB48FE">
      <w:pPr>
        <w:ind w:firstLine="1418"/>
        <w:jc w:val="both"/>
      </w:pPr>
      <w:r>
        <w:t>Que las modificaciones realizadas en la resoluci</w:t>
      </w:r>
      <w:r>
        <w:t>ó</w:t>
      </w:r>
      <w:r>
        <w:t xml:space="preserve">n CDCC-038/98 no tuvie-ron el efecto esperado; </w:t>
      </w:r>
    </w:p>
    <w:p w:rsidR="00000000" w:rsidRDefault="00AB48FE">
      <w:pPr>
        <w:ind w:firstLine="1418"/>
        <w:jc w:val="both"/>
      </w:pPr>
    </w:p>
    <w:p w:rsidR="00000000" w:rsidRDefault="00AB48FE">
      <w:pPr>
        <w:ind w:firstLine="1418"/>
        <w:jc w:val="both"/>
      </w:pPr>
      <w:r>
        <w:t>Que es necesario mejorar la forma práctica en que se recepci</w:t>
      </w:r>
      <w:r>
        <w:t>onan las en-cuestas y al mismo tiempo aumenta</w:t>
      </w:r>
      <w:r>
        <w:t xml:space="preserve">r el porcentaje de alumnos encuestados; </w:t>
      </w:r>
    </w:p>
    <w:p w:rsidR="00000000" w:rsidRDefault="00AB48FE">
      <w:pPr>
        <w:ind w:firstLine="1418"/>
        <w:jc w:val="both"/>
      </w:pPr>
    </w:p>
    <w:p w:rsidR="00000000" w:rsidRDefault="00AB48FE">
      <w:pPr>
        <w:ind w:firstLine="1418"/>
        <w:jc w:val="both"/>
      </w:pPr>
      <w:r>
        <w:t xml:space="preserve">Que es necesario que la información recopilada en las encuestas de cada curso, de cada materia, sea representativa del mismo; </w:t>
      </w:r>
    </w:p>
    <w:p w:rsidR="00000000" w:rsidRDefault="00AB48FE">
      <w:pPr>
        <w:ind w:firstLine="1418"/>
        <w:jc w:val="both"/>
      </w:pPr>
    </w:p>
    <w:p w:rsidR="00000000" w:rsidRDefault="00AB48FE">
      <w:pPr>
        <w:ind w:firstLine="1418"/>
        <w:jc w:val="both"/>
      </w:pPr>
      <w:r>
        <w:t>Que dado lo avanzado del cuatrimestre se</w:t>
      </w:r>
      <w:r>
        <w:t xml:space="preserve"> hace necesario contar con una for</w:t>
      </w:r>
      <w:r>
        <w:t xml:space="preserve">ma efectiva, para llevar a cabo las encuestas; </w:t>
      </w:r>
    </w:p>
    <w:p w:rsidR="00000000" w:rsidRDefault="00AB48FE">
      <w:pPr>
        <w:ind w:firstLine="1418"/>
        <w:jc w:val="both"/>
      </w:pPr>
    </w:p>
    <w:p w:rsidR="00000000" w:rsidRDefault="00AB48FE">
      <w:pPr>
        <w:ind w:firstLine="1418"/>
        <w:jc w:val="both"/>
      </w:pPr>
      <w:r>
        <w:t xml:space="preserve">Que el Consejo Departamental en su reunión extraordinaria de fecha </w:t>
      </w:r>
      <w:r>
        <w:t>0</w:t>
      </w:r>
      <w:r>
        <w:t xml:space="preserve">4 de noviembre de 1998 avaló el proyecto de resolución presentado por el claustro de alum-nos, </w:t>
      </w:r>
    </w:p>
    <w:p w:rsidR="00000000" w:rsidRDefault="00AB48FE">
      <w:pPr>
        <w:ind w:right="-29"/>
        <w:jc w:val="both"/>
      </w:pPr>
    </w:p>
    <w:p w:rsidR="00000000" w:rsidRDefault="00AB48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POR ELLO,</w:t>
      </w:r>
    </w:p>
    <w:p w:rsidR="00000000" w:rsidRDefault="00AB48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ab/>
      </w:r>
    </w:p>
    <w:p w:rsidR="00000000" w:rsidRDefault="00AB48FE">
      <w:pPr>
        <w:pStyle w:val="Sangradetextonormal"/>
        <w:rPr>
          <w:b/>
        </w:rPr>
      </w:pPr>
      <w:r>
        <w:rPr>
          <w:b/>
        </w:rPr>
        <w:t xml:space="preserve">El Consejo Departamental de Ciencias de la Computación en su reu-nión extraordinaria de fecha 04 de noviembre de 1998                        </w:t>
      </w:r>
    </w:p>
    <w:p w:rsidR="00000000" w:rsidRDefault="00AB48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</w:rPr>
      </w:pPr>
    </w:p>
    <w:p w:rsidR="00000000" w:rsidRDefault="00AB48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</w:rPr>
      </w:pPr>
      <w:r>
        <w:rPr>
          <w:b/>
        </w:rPr>
        <w:t>R E S U E L V E :</w:t>
      </w:r>
    </w:p>
    <w:p w:rsidR="00000000" w:rsidRDefault="00AB48FE">
      <w:pPr>
        <w:ind w:right="-29"/>
        <w:jc w:val="both"/>
        <w:rPr>
          <w:b/>
        </w:rPr>
      </w:pPr>
      <w:r>
        <w:rPr>
          <w:b/>
        </w:rPr>
        <w:t xml:space="preserve">                                        </w:t>
      </w:r>
    </w:p>
    <w:p w:rsidR="00000000" w:rsidRDefault="00AB48FE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Derogar la resolución CDCC-038/98 de fec</w:t>
      </w:r>
      <w:r>
        <w:t xml:space="preserve">ha </w:t>
      </w:r>
      <w:r>
        <w:t xml:space="preserve">05 de junio </w:t>
      </w:r>
      <w:r>
        <w:t xml:space="preserve">de 1998.- </w:t>
      </w:r>
    </w:p>
    <w:p w:rsidR="00000000" w:rsidRDefault="00AB48FE">
      <w:pPr>
        <w:jc w:val="both"/>
      </w:pPr>
    </w:p>
    <w:p w:rsidR="00000000" w:rsidRDefault="00AB48FE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Realizar en el ámbito del Departamento de Ciencias de la Computación una  encuesta, que será aplicada a cada curso de cada materia, en el último exámen parcial de cada uno de ellos, de acuerdo a las siguientes normas: </w:t>
      </w:r>
    </w:p>
    <w:p w:rsidR="00000000" w:rsidRDefault="00AB48FE">
      <w:pPr>
        <w:jc w:val="both"/>
      </w:pPr>
    </w:p>
    <w:p w:rsidR="00000000" w:rsidRDefault="00AB48FE">
      <w:pPr>
        <w:pStyle w:val="Textoindependiente"/>
        <w:numPr>
          <w:ilvl w:val="0"/>
          <w:numId w:val="4"/>
        </w:numPr>
        <w:tabs>
          <w:tab w:val="clear" w:pos="360"/>
          <w:tab w:val="num" w:pos="720"/>
        </w:tabs>
        <w:ind w:left="720"/>
      </w:pPr>
      <w:r>
        <w:t>La comisió</w:t>
      </w:r>
      <w:r>
        <w:t>n evaluadora debe asistir a la hora fijada para el examen parcial, al au-la en el que se efectuará el mismo ;</w:t>
      </w:r>
    </w:p>
    <w:p w:rsidR="00000000" w:rsidRDefault="00AB48FE">
      <w:pPr>
        <w:ind w:left="360"/>
        <w:jc w:val="right"/>
        <w:rPr>
          <w:b/>
        </w:rPr>
      </w:pPr>
      <w:r>
        <w:rPr>
          <w:b/>
        </w:rPr>
        <w:t>///</w:t>
      </w:r>
    </w:p>
    <w:p w:rsidR="00000000" w:rsidRDefault="00AB48FE">
      <w:pPr>
        <w:jc w:val="both"/>
        <w:rPr>
          <w:sz w:val="20"/>
        </w:rPr>
      </w:pPr>
    </w:p>
    <w:p w:rsidR="00000000" w:rsidRDefault="00AB48FE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AB48FE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AB48FE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t>“1998 – Año de los Municipios”</w:t>
      </w:r>
    </w:p>
    <w:p w:rsidR="00000000" w:rsidRDefault="00AB48FE">
      <w:pPr>
        <w:jc w:val="both"/>
        <w:rPr>
          <w:b/>
        </w:rPr>
      </w:pPr>
    </w:p>
    <w:p w:rsidR="00000000" w:rsidRDefault="00AB48FE">
      <w:pPr>
        <w:jc w:val="both"/>
        <w:rPr>
          <w:b/>
        </w:rPr>
      </w:pPr>
    </w:p>
    <w:p w:rsidR="00000000" w:rsidRDefault="00AB48FE">
      <w:pPr>
        <w:jc w:val="both"/>
        <w:rPr>
          <w:b/>
        </w:rPr>
      </w:pPr>
    </w:p>
    <w:p w:rsidR="00000000" w:rsidRDefault="00AB48FE">
      <w:pPr>
        <w:jc w:val="both"/>
        <w:rPr>
          <w:b/>
        </w:rPr>
      </w:pPr>
    </w:p>
    <w:p w:rsidR="00000000" w:rsidRDefault="00AB48FE">
      <w:pPr>
        <w:jc w:val="both"/>
        <w:rPr>
          <w:b/>
        </w:rPr>
      </w:pPr>
    </w:p>
    <w:p w:rsidR="00000000" w:rsidRDefault="00AB48FE">
      <w:pPr>
        <w:pStyle w:val="Ttulo1"/>
      </w:pPr>
      <w:r>
        <w:t>///CDCC-080/98</w:t>
      </w:r>
    </w:p>
    <w:p w:rsidR="00000000" w:rsidRDefault="00AB48FE"/>
    <w:p w:rsidR="00000000" w:rsidRDefault="00AB48FE">
      <w:pPr>
        <w:pStyle w:val="Textoindependiente"/>
        <w:numPr>
          <w:ilvl w:val="0"/>
          <w:numId w:val="4"/>
        </w:numPr>
        <w:tabs>
          <w:tab w:val="clear" w:pos="360"/>
          <w:tab w:val="num" w:pos="720"/>
          <w:tab w:val="right" w:pos="993"/>
          <w:tab w:val="right" w:pos="1134"/>
          <w:tab w:val="left" w:pos="1276"/>
        </w:tabs>
        <w:ind w:left="720"/>
      </w:pPr>
      <w:r>
        <w:t>Se permitirá que los alumnos realicen la encuesta en la primera media hora de</w:t>
      </w:r>
      <w:r>
        <w:t>l</w:t>
      </w:r>
      <w:r>
        <w:t xml:space="preserve"> ho</w:t>
      </w:r>
      <w:r>
        <w:t>rario a</w:t>
      </w:r>
      <w:r>
        <w:t>signado al examen parcial</w:t>
      </w:r>
      <w:r>
        <w:t xml:space="preserve">. </w:t>
      </w:r>
      <w:r>
        <w:t xml:space="preserve">Los alumnos podrán también llevar completo el formulario de encuestas, </w:t>
      </w:r>
      <w:r>
        <w:t>que estará disponible previamente y sólo entregarlo a la Co</w:t>
      </w:r>
      <w:r>
        <w:t xml:space="preserve">misión encargada ; </w:t>
      </w:r>
    </w:p>
    <w:p w:rsidR="00000000" w:rsidRDefault="00AB48FE">
      <w:pPr>
        <w:ind w:left="1069" w:firstLine="390"/>
        <w:jc w:val="both"/>
      </w:pPr>
    </w:p>
    <w:p w:rsidR="00000000" w:rsidRDefault="00AB48FE">
      <w:pPr>
        <w:pStyle w:val="Textoindependiente"/>
        <w:numPr>
          <w:ilvl w:val="0"/>
          <w:numId w:val="4"/>
        </w:numPr>
        <w:tabs>
          <w:tab w:val="clear" w:pos="360"/>
          <w:tab w:val="num" w:pos="720"/>
        </w:tabs>
        <w:ind w:left="720"/>
      </w:pPr>
      <w:r>
        <w:t>Una vez recopilados los formularios de encuestas se procederá a la realizac</w:t>
      </w:r>
      <w:r>
        <w:t xml:space="preserve">ión del examen parcial.- </w:t>
      </w:r>
    </w:p>
    <w:p w:rsidR="00000000" w:rsidRDefault="00AB48FE">
      <w:pPr>
        <w:jc w:val="both"/>
      </w:pPr>
    </w:p>
    <w:p w:rsidR="00000000" w:rsidRDefault="00AB48FE">
      <w:pPr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De no ser posible el cumplimento </w:t>
      </w:r>
      <w:r>
        <w:t>de lo pautado en el articulo anterior</w:t>
      </w:r>
      <w:r>
        <w:t xml:space="preserve"> en a</w:t>
      </w:r>
      <w:r>
        <w:t>l</w:t>
      </w:r>
      <w:r>
        <w:t>gún cur</w:t>
      </w:r>
      <w:r>
        <w:t>so, queda a cargo de la unidad académica fijar una fecha para la recepción de las encuestas cumplimentadas por los alumnos de la cát</w:t>
      </w:r>
      <w:r>
        <w:t>edra involucrada.-</w:t>
      </w:r>
    </w:p>
    <w:p w:rsidR="00000000" w:rsidRDefault="00AB48FE">
      <w:pPr>
        <w:jc w:val="both"/>
      </w:pPr>
    </w:p>
    <w:p w:rsidR="00000000" w:rsidRDefault="00AB48FE">
      <w:pPr>
        <w:jc w:val="both"/>
      </w:pPr>
      <w:r>
        <w:rPr>
          <w:b/>
        </w:rPr>
        <w:t>Art. 4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conocimiento del</w:t>
      </w:r>
      <w:r>
        <w:t xml:space="preserve"> Consejo Superior Univer</w:t>
      </w:r>
      <w:r>
        <w:t>si</w:t>
      </w:r>
      <w:r>
        <w:t>-</w:t>
      </w:r>
      <w:r>
        <w:t>ta</w:t>
      </w:r>
      <w:r>
        <w:t xml:space="preserve">rio; </w:t>
      </w:r>
      <w:r>
        <w:t>tome razón la Secretaría General Académica; dese a publicidad por inter</w:t>
      </w:r>
      <w:r>
        <w:t>medio de la Dirección General de Prensa y Ceremonial; cumplido, archíves</w:t>
      </w:r>
      <w:r>
        <w:t>e.---------------</w:t>
      </w:r>
      <w:r>
        <w:t>--------------</w:t>
      </w:r>
    </w:p>
    <w:p w:rsidR="00000000" w:rsidRDefault="00AB48FE">
      <w:pPr>
        <w:jc w:val="both"/>
        <w:rPr>
          <w:lang w:val="en-US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7B57"/>
    <w:multiLevelType w:val="singleLevel"/>
    <w:tmpl w:val="88BACEB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/>
        <w:sz w:val="24"/>
      </w:rPr>
    </w:lvl>
  </w:abstractNum>
  <w:abstractNum w:abstractNumId="1">
    <w:nsid w:val="19A7403D"/>
    <w:multiLevelType w:val="singleLevel"/>
    <w:tmpl w:val="88BACEB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/>
        <w:sz w:val="24"/>
      </w:rPr>
    </w:lvl>
  </w:abstractNum>
  <w:abstractNum w:abstractNumId="2">
    <w:nsid w:val="1A7A71A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69E37E5A"/>
    <w:multiLevelType w:val="singleLevel"/>
    <w:tmpl w:val="88BACEB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/>
        <w:sz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48FE"/>
    <w:rsid w:val="00AB4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Sangradetextonormal">
    <w:name w:val="Body Text Indent"/>
    <w:basedOn w:val="Normal"/>
    <w:semiHidden/>
    <w:pPr>
      <w:ind w:firstLine="1418"/>
    </w:pPr>
  </w:style>
  <w:style w:type="paragraph" w:styleId="Sangra2detindependiente">
    <w:name w:val="Body Text Indent 2"/>
    <w:basedOn w:val="Normal"/>
    <w:semiHidden/>
    <w:pPr>
      <w:ind w:firstLine="1418"/>
      <w:jc w:val="both"/>
    </w:pPr>
  </w:style>
  <w:style w:type="paragraph" w:styleId="Textoindependiente">
    <w:name w:val="Body Text"/>
    <w:basedOn w:val="Normal"/>
    <w:semiHidden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dcterms:created xsi:type="dcterms:W3CDTF">2025-07-06T01:22:00Z</dcterms:created>
  <dcterms:modified xsi:type="dcterms:W3CDTF">2025-07-06T01:22:00Z</dcterms:modified>
</cp:coreProperties>
</file>