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3F98">
      <w:pPr>
        <w:pStyle w:val="Ttulo3"/>
      </w:pPr>
      <w:r>
        <w:rPr>
          <w:highlight w:val="yellow"/>
        </w:rPr>
        <w:t>Expte. R 1775/98</w:t>
      </w: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color w:val="000080"/>
          <w:szCs w:val="20"/>
          <w:lang w:val="es-AR"/>
        </w:rPr>
      </w:pPr>
    </w:p>
    <w:p w:rsidR="00000000" w:rsidRDefault="00543F98">
      <w:pPr>
        <w:autoSpaceDE w:val="0"/>
        <w:autoSpaceDN w:val="0"/>
        <w:adjustRightInd w:val="0"/>
        <w:jc w:val="center"/>
        <w:rPr>
          <w:b/>
          <w:bCs/>
          <w:sz w:val="28"/>
        </w:rPr>
      </w:pPr>
      <w:r>
        <w:rPr>
          <w:b/>
          <w:bCs/>
          <w:color w:val="000080"/>
          <w:sz w:val="28"/>
          <w:szCs w:val="20"/>
          <w:lang w:val="es-AR"/>
        </w:rPr>
        <w:t>ACTA</w:t>
      </w:r>
    </w:p>
    <w:p w:rsidR="00000000" w:rsidRDefault="00543F98">
      <w:pPr>
        <w:autoSpaceDE w:val="0"/>
        <w:autoSpaceDN w:val="0"/>
        <w:adjustRightInd w:val="0"/>
        <w:rPr>
          <w:color w:val="000000"/>
          <w:sz w:val="20"/>
          <w:szCs w:val="20"/>
          <w:lang w:val="es-AR"/>
        </w:rPr>
      </w:pPr>
    </w:p>
    <w:p w:rsidR="00000000" w:rsidRDefault="00543F98">
      <w:pPr>
        <w:autoSpaceDE w:val="0"/>
        <w:autoSpaceDN w:val="0"/>
        <w:adjustRightInd w:val="0"/>
        <w:rPr>
          <w:color w:val="000000"/>
          <w:sz w:val="2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En Bahía Blanca, a los 29 días del mes de agosto y siendo las 10:30 horas, en instalaciones del Departamento de Ciencias de la Computación se reúne el Colegio Electoral a fin de elegir Director-Decano de dicha Unidad Académic</w:t>
      </w:r>
      <w:r>
        <w:rPr>
          <w:color w:val="000000"/>
          <w:szCs w:val="20"/>
          <w:lang w:val="es-AR"/>
        </w:rPr>
        <w:t xml:space="preserve">a por el período Septiembre 2001 a Septiembre 2004, de acuerdo a la convocatoria efectuada por resolución </w:t>
      </w:r>
      <w:r>
        <w:rPr>
          <w:b/>
          <w:bCs/>
          <w:color w:val="000000"/>
          <w:szCs w:val="20"/>
          <w:lang w:val="es-AR"/>
        </w:rPr>
        <w:t>CDCC-</w:t>
      </w:r>
      <w:r>
        <w:rPr>
          <w:color w:val="000000"/>
          <w:szCs w:val="20"/>
          <w:lang w:val="es-AR"/>
        </w:rPr>
        <w:t>.</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En primer lugar se procede a tomar lista de los presentes, convocados de acuerdo a los resultados del acto eleccionario del día 29 de Junio de</w:t>
      </w:r>
      <w:r>
        <w:rPr>
          <w:color w:val="000000"/>
          <w:szCs w:val="20"/>
          <w:lang w:val="es-AR"/>
        </w:rPr>
        <w:t xml:space="preserve"> 2001</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rPr>
          <w:color w:val="000000"/>
          <w:szCs w:val="20"/>
          <w:lang w:val="es-AR"/>
        </w:rPr>
      </w:pPr>
      <w:r>
        <w:rPr>
          <w:color w:val="000000"/>
          <w:szCs w:val="20"/>
          <w:lang w:val="es-AR"/>
        </w:rPr>
        <w:t xml:space="preserve">Se hallan presentes: </w:t>
      </w:r>
    </w:p>
    <w:p w:rsidR="00000000" w:rsidRDefault="00543F98">
      <w:pPr>
        <w:autoSpaceDE w:val="0"/>
        <w:autoSpaceDN w:val="0"/>
        <w:adjustRightInd w:val="0"/>
        <w:rPr>
          <w:color w:val="000080"/>
          <w:szCs w:val="20"/>
          <w:lang w:val="es-AR"/>
        </w:rPr>
      </w:pPr>
    </w:p>
    <w:p w:rsidR="00000000" w:rsidRDefault="00543F98">
      <w:pPr>
        <w:autoSpaceDE w:val="0"/>
        <w:autoSpaceDN w:val="0"/>
        <w:adjustRightInd w:val="0"/>
        <w:rPr>
          <w:color w:val="000000"/>
          <w:szCs w:val="20"/>
          <w:lang w:val="es-AR"/>
        </w:rPr>
      </w:pPr>
      <w:r>
        <w:rPr>
          <w:color w:val="000080"/>
          <w:szCs w:val="20"/>
          <w:lang w:val="es-AR"/>
        </w:rPr>
        <w:t>Profesores</w:t>
      </w:r>
    </w:p>
    <w:p w:rsidR="00000000" w:rsidRDefault="00543F98">
      <w:pPr>
        <w:autoSpaceDE w:val="0"/>
        <w:autoSpaceDN w:val="0"/>
        <w:adjustRightInd w:val="0"/>
        <w:rPr>
          <w:color w:val="000080"/>
          <w:szCs w:val="20"/>
          <w:lang w:val="es-AR"/>
        </w:rPr>
      </w:pPr>
    </w:p>
    <w:tbl>
      <w:tblPr>
        <w:tblW w:w="0" w:type="auto"/>
        <w:tblLayout w:type="fixed"/>
        <w:tblCellMar>
          <w:left w:w="70" w:type="dxa"/>
          <w:right w:w="70" w:type="dxa"/>
        </w:tblCellMar>
        <w:tblLook w:val="0000"/>
      </w:tblPr>
      <w:tblGrid>
        <w:gridCol w:w="4747"/>
      </w:tblGrid>
      <w:tr w:rsidR="00000000">
        <w:tblPrEx>
          <w:tblCellMar>
            <w:top w:w="0" w:type="dxa"/>
            <w:bottom w:w="0" w:type="dxa"/>
          </w:tblCellMar>
        </w:tblPrEx>
        <w:tc>
          <w:tcPr>
            <w:tcW w:w="4747" w:type="dxa"/>
          </w:tcPr>
          <w:p w:rsidR="00000000" w:rsidRDefault="00543F98">
            <w:pPr>
              <w:rPr>
                <w:sz w:val="22"/>
                <w:lang w:val="es-AR"/>
              </w:rPr>
            </w:pPr>
            <w:r>
              <w:rPr>
                <w:sz w:val="22"/>
                <w:lang w:val="es-AR"/>
              </w:rPr>
              <w:t>1.- ARDENGHI,  Jorge R.</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2.- RUEDA, Sonia</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3.- GARCIA, Alejandro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4.- SEÑAS, Iris Perla</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5.- CASTRO, Silvia</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6.- GARCIA, Rafael</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7.- CHESÑEVAR, Carlos</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 xml:space="preserve">8.- MORONI, Norma </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9.- FALAPPA, Marcelo A.</w:t>
            </w:r>
          </w:p>
        </w:tc>
      </w:tr>
    </w:tbl>
    <w:p w:rsidR="00000000" w:rsidRDefault="00543F98">
      <w:pPr>
        <w:autoSpaceDE w:val="0"/>
        <w:autoSpaceDN w:val="0"/>
        <w:adjustRightInd w:val="0"/>
        <w:rPr>
          <w:color w:val="000000"/>
          <w:szCs w:val="20"/>
          <w:lang w:val="es-AR"/>
        </w:rPr>
      </w:pPr>
    </w:p>
    <w:p w:rsidR="00000000" w:rsidRDefault="00543F98">
      <w:pPr>
        <w:autoSpaceDE w:val="0"/>
        <w:autoSpaceDN w:val="0"/>
        <w:adjustRightInd w:val="0"/>
        <w:rPr>
          <w:color w:val="000080"/>
          <w:szCs w:val="20"/>
          <w:lang w:val="es-AR"/>
        </w:rPr>
      </w:pPr>
      <w:r>
        <w:rPr>
          <w:color w:val="000080"/>
          <w:szCs w:val="20"/>
          <w:lang w:val="es-AR"/>
        </w:rPr>
        <w:t>Auxiliares</w:t>
      </w:r>
    </w:p>
    <w:p w:rsidR="00000000" w:rsidRDefault="00543F98">
      <w:pPr>
        <w:autoSpaceDE w:val="0"/>
        <w:autoSpaceDN w:val="0"/>
        <w:adjustRightInd w:val="0"/>
        <w:rPr>
          <w:color w:val="000080"/>
          <w:szCs w:val="20"/>
          <w:lang w:val="es-AR"/>
        </w:rPr>
      </w:pPr>
    </w:p>
    <w:tbl>
      <w:tblPr>
        <w:tblW w:w="0" w:type="auto"/>
        <w:tblLayout w:type="fixed"/>
        <w:tblCellMar>
          <w:left w:w="70" w:type="dxa"/>
          <w:right w:w="70" w:type="dxa"/>
        </w:tblCellMar>
        <w:tblLook w:val="0000"/>
      </w:tblPr>
      <w:tblGrid>
        <w:gridCol w:w="4747"/>
      </w:tblGrid>
      <w:tr w:rsidR="00000000">
        <w:tblPrEx>
          <w:tblCellMar>
            <w:top w:w="0" w:type="dxa"/>
            <w:bottom w:w="0" w:type="dxa"/>
          </w:tblCellMar>
        </w:tblPrEx>
        <w:tc>
          <w:tcPr>
            <w:tcW w:w="4747" w:type="dxa"/>
          </w:tcPr>
          <w:p w:rsidR="00000000" w:rsidRDefault="00543F98">
            <w:pPr>
              <w:rPr>
                <w:sz w:val="22"/>
                <w:lang w:val="es-AR"/>
              </w:rPr>
            </w:pPr>
            <w:r>
              <w:rPr>
                <w:sz w:val="22"/>
                <w:lang w:val="es-AR"/>
              </w:rPr>
              <w:t>1. S</w:t>
            </w:r>
            <w:r>
              <w:rPr>
                <w:sz w:val="22"/>
                <w:lang w:val="es-AR"/>
              </w:rPr>
              <w:t>ANCHEZ, Marisa</w:t>
            </w:r>
          </w:p>
        </w:tc>
      </w:tr>
      <w:tr w:rsidR="00000000">
        <w:tblPrEx>
          <w:tblCellMar>
            <w:top w:w="0" w:type="dxa"/>
            <w:bottom w:w="0" w:type="dxa"/>
          </w:tblCellMar>
        </w:tblPrEx>
        <w:trPr>
          <w:trHeight w:val="385"/>
        </w:trPr>
        <w:tc>
          <w:tcPr>
            <w:tcW w:w="4747" w:type="dxa"/>
          </w:tcPr>
          <w:p w:rsidR="00000000" w:rsidRDefault="00543F98">
            <w:pPr>
              <w:rPr>
                <w:sz w:val="22"/>
                <w:lang w:val="es-AR"/>
              </w:rPr>
            </w:pPr>
            <w:r>
              <w:rPr>
                <w:sz w:val="22"/>
                <w:lang w:val="es-AR"/>
              </w:rPr>
              <w:t>2.- DI LUCA, Sandra</w:t>
            </w:r>
          </w:p>
        </w:tc>
      </w:tr>
    </w:tbl>
    <w:p w:rsidR="00000000" w:rsidRDefault="00543F98">
      <w:pPr>
        <w:autoSpaceDE w:val="0"/>
        <w:autoSpaceDN w:val="0"/>
        <w:adjustRightInd w:val="0"/>
        <w:rPr>
          <w:color w:val="000080"/>
          <w:szCs w:val="20"/>
          <w:lang w:val="es-AR"/>
        </w:rPr>
      </w:pPr>
    </w:p>
    <w:p w:rsidR="00000000" w:rsidRDefault="00543F98">
      <w:pPr>
        <w:autoSpaceDE w:val="0"/>
        <w:autoSpaceDN w:val="0"/>
        <w:adjustRightInd w:val="0"/>
        <w:rPr>
          <w:color w:val="000080"/>
          <w:szCs w:val="20"/>
          <w:lang w:val="es-AR"/>
        </w:rPr>
      </w:pPr>
      <w:r>
        <w:rPr>
          <w:color w:val="000080"/>
          <w:szCs w:val="20"/>
          <w:lang w:val="es-AR"/>
        </w:rPr>
        <w:t>Alumnos</w:t>
      </w:r>
    </w:p>
    <w:p w:rsidR="00000000" w:rsidRDefault="00543F98">
      <w:pPr>
        <w:autoSpaceDE w:val="0"/>
        <w:autoSpaceDN w:val="0"/>
        <w:adjustRightInd w:val="0"/>
        <w:rPr>
          <w:color w:val="000000"/>
          <w:szCs w:val="20"/>
          <w:lang w:val="es-AR"/>
        </w:rPr>
      </w:pPr>
    </w:p>
    <w:tbl>
      <w:tblPr>
        <w:tblW w:w="0" w:type="auto"/>
        <w:tblLayout w:type="fixed"/>
        <w:tblCellMar>
          <w:left w:w="70" w:type="dxa"/>
          <w:right w:w="70" w:type="dxa"/>
        </w:tblCellMar>
        <w:tblLook w:val="0000"/>
      </w:tblPr>
      <w:tblGrid>
        <w:gridCol w:w="4747"/>
      </w:tblGrid>
      <w:tr w:rsidR="00000000">
        <w:tblPrEx>
          <w:tblCellMar>
            <w:top w:w="0" w:type="dxa"/>
            <w:bottom w:w="0" w:type="dxa"/>
          </w:tblCellMar>
        </w:tblPrEx>
        <w:tc>
          <w:tcPr>
            <w:tcW w:w="4747" w:type="dxa"/>
          </w:tcPr>
          <w:p w:rsidR="00000000" w:rsidRDefault="00543F98">
            <w:pPr>
              <w:rPr>
                <w:sz w:val="22"/>
                <w:lang w:val="es-AR"/>
              </w:rPr>
            </w:pPr>
            <w:r>
              <w:rPr>
                <w:sz w:val="22"/>
                <w:lang w:val="es-AR"/>
              </w:rPr>
              <w:t>1.- ETCHEVERRY, Diego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2.- MARTINEZ, Fernando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3.- CASTELLUCCI, Darío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4.- MIRANDA, Rodrigo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5.- ARAVENA, Marcelo</w:t>
            </w:r>
          </w:p>
        </w:tc>
      </w:tr>
      <w:tr w:rsidR="00000000">
        <w:tblPrEx>
          <w:tblCellMar>
            <w:top w:w="0" w:type="dxa"/>
            <w:bottom w:w="0" w:type="dxa"/>
          </w:tblCellMar>
        </w:tblPrEx>
        <w:tc>
          <w:tcPr>
            <w:tcW w:w="4747" w:type="dxa"/>
          </w:tcPr>
          <w:p w:rsidR="00000000" w:rsidRDefault="00543F98">
            <w:pPr>
              <w:rPr>
                <w:sz w:val="22"/>
                <w:lang w:val="es-AR"/>
              </w:rPr>
            </w:pPr>
            <w:r>
              <w:rPr>
                <w:sz w:val="22"/>
                <w:lang w:val="es-AR"/>
              </w:rPr>
              <w:t>6.- CAAMAÑO, Octavio</w:t>
            </w:r>
          </w:p>
        </w:tc>
      </w:tr>
    </w:tbl>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Se procede a elegir Presidente y Secretario del Colegio Electoral, resu</w:t>
      </w:r>
      <w:r>
        <w:rPr>
          <w:color w:val="000000"/>
          <w:szCs w:val="20"/>
          <w:lang w:val="es-AR"/>
        </w:rPr>
        <w:t>ltando elegidas la Mg. Perla Señas y la Lic. Sonia Rueda, respectivamente. La Mg. Perla Señas declara constituido entonces el Colegio Electoral.</w:t>
      </w:r>
    </w:p>
    <w:p w:rsidR="00000000" w:rsidRDefault="00543F98">
      <w:pPr>
        <w:autoSpaceDE w:val="0"/>
        <w:autoSpaceDN w:val="0"/>
        <w:adjustRightInd w:val="0"/>
        <w:rPr>
          <w:color w:val="000000"/>
          <w:szCs w:val="20"/>
          <w:lang w:val="es-AR"/>
        </w:rPr>
      </w:pPr>
    </w:p>
    <w:p w:rsidR="00000000" w:rsidRDefault="00543F98">
      <w:pPr>
        <w:pStyle w:val="Textoindependiente"/>
      </w:pPr>
      <w:r>
        <w:t xml:space="preserve">Se procede a dar lectura a los artículos 58º, 70º y 72º del Estatuto de la Universidad Nacional del Sur y los </w:t>
      </w:r>
      <w:r>
        <w:t>artículos 3º, 4º, 5º, 6º y 7º de Reglamento de Funcionamiento de los Colegios Electorales. La Mg. Perla Señas indica que es el momento de proponer a los candidatos para el cargo de Director Decano.</w:t>
      </w:r>
    </w:p>
    <w:p w:rsidR="00000000" w:rsidRDefault="00543F98">
      <w:pPr>
        <w:autoSpaceDE w:val="0"/>
        <w:autoSpaceDN w:val="0"/>
        <w:adjustRightInd w:val="0"/>
        <w:jc w:val="both"/>
        <w:rPr>
          <w:b/>
          <w:bCs/>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El Mg. Jorge Ardenghi propone como candidato para cumplir</w:t>
      </w:r>
      <w:r>
        <w:rPr>
          <w:color w:val="000000"/>
          <w:szCs w:val="20"/>
          <w:lang w:val="es-AR"/>
        </w:rPr>
        <w:t xml:space="preserve"> las funciones de Director-Decano para el próximo período, al  Dr. Guillermo Ricardo Simari.  El Mg. Jorge Ardenghi fundamenta su </w:t>
      </w:r>
    </w:p>
    <w:p w:rsidR="00000000" w:rsidRDefault="00543F98">
      <w:pPr>
        <w:autoSpaceDE w:val="0"/>
        <w:autoSpaceDN w:val="0"/>
        <w:adjustRightInd w:val="0"/>
        <w:jc w:val="right"/>
        <w:rPr>
          <w:b/>
          <w:bCs/>
          <w:color w:val="000000"/>
          <w:szCs w:val="20"/>
          <w:lang w:val="es-AR"/>
        </w:rPr>
      </w:pPr>
      <w:r>
        <w:rPr>
          <w:b/>
          <w:bCs/>
          <w:color w:val="000000"/>
          <w:szCs w:val="20"/>
          <w:lang w:val="es-AR"/>
        </w:rPr>
        <w:t>///</w:t>
      </w:r>
    </w:p>
    <w:p w:rsidR="00000000" w:rsidRDefault="00543F98">
      <w:pPr>
        <w:pStyle w:val="Ttulo3"/>
      </w:pPr>
      <w:r>
        <w:rPr>
          <w:highlight w:val="yellow"/>
        </w:rPr>
        <w:lastRenderedPageBreak/>
        <w:t>Expte. R 1775/98</w:t>
      </w: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autoSpaceDE w:val="0"/>
        <w:autoSpaceDN w:val="0"/>
        <w:adjustRightInd w:val="0"/>
        <w:jc w:val="center"/>
        <w:rPr>
          <w:b/>
          <w:bCs/>
          <w:color w:val="000080"/>
          <w:szCs w:val="20"/>
          <w:lang w:val="es-AR"/>
        </w:rPr>
      </w:pPr>
    </w:p>
    <w:p w:rsidR="00000000" w:rsidRDefault="00543F98">
      <w:pPr>
        <w:jc w:val="both"/>
        <w:rPr>
          <w:rFonts w:ascii="Arial" w:hAnsi="Arial"/>
          <w:b/>
          <w:sz w:val="16"/>
        </w:rPr>
      </w:pPr>
      <w:r>
        <w:rPr>
          <w:rFonts w:ascii="Arial" w:hAnsi="Arial"/>
          <w:b/>
        </w:rPr>
        <w:t>///</w:t>
      </w:r>
      <w:r>
        <w:rPr>
          <w:rFonts w:ascii="Arial" w:hAnsi="Arial"/>
          <w:b/>
          <w:sz w:val="16"/>
        </w:rPr>
        <w:t>Acta reunión Colegio Electoral - 29 de agosto de 2001</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 xml:space="preserve">  propuesta en  los antecedentes  profe</w:t>
      </w:r>
      <w:r>
        <w:rPr>
          <w:color w:val="000000"/>
          <w:szCs w:val="20"/>
          <w:lang w:val="es-AR"/>
        </w:rPr>
        <w:t>sionales,  académicos  y  científicos del Dr. Simari,  como así también en su intensa participación en la creación de la Licenciatura en Ciencias de la Computación, en la posterior creación del Departamento de Ciencias de la Computación y en la conformació</w:t>
      </w:r>
      <w:r>
        <w:rPr>
          <w:color w:val="000000"/>
          <w:szCs w:val="20"/>
          <w:lang w:val="es-AR"/>
        </w:rPr>
        <w:t>n de los programas de Magister y Doctorado de esta Unidad Académica.</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No escuchándose otras postulaciones, se procede a la votación secreta. La Lic. Sonia Rueda  lee uno a uno los nombres de los presentes, depositándose los votos en la urna habilitada a ta</w:t>
      </w:r>
      <w:r>
        <w:rPr>
          <w:color w:val="000000"/>
          <w:szCs w:val="20"/>
          <w:lang w:val="es-AR"/>
        </w:rPr>
        <w:t>l efecto. Terminada la votación y en presencia del Colegio, se procede a abrir la urna y a efectuar el recuento de los votos, el que arroja un total de 11 votos para el Dr. Simari y 6 votos en blanco.</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color w:val="000000"/>
          <w:szCs w:val="20"/>
          <w:lang w:val="es-AR"/>
        </w:rPr>
      </w:pPr>
      <w:r>
        <w:rPr>
          <w:color w:val="000000"/>
          <w:szCs w:val="20"/>
          <w:lang w:val="es-AR"/>
        </w:rPr>
        <w:t>La Mg. Perla Señas proclama al Dr. Guillermo Ricardo S</w:t>
      </w:r>
      <w:r>
        <w:rPr>
          <w:color w:val="000000"/>
          <w:szCs w:val="20"/>
          <w:lang w:val="es-AR"/>
        </w:rPr>
        <w:t>imari como Director Decano del Departamento de Ciencias de la Computación para el período Septiembre 2001 a Septiembre 2004.</w:t>
      </w:r>
    </w:p>
    <w:p w:rsidR="00000000" w:rsidRDefault="00543F98">
      <w:pPr>
        <w:autoSpaceDE w:val="0"/>
        <w:autoSpaceDN w:val="0"/>
        <w:adjustRightInd w:val="0"/>
        <w:jc w:val="both"/>
        <w:rPr>
          <w:color w:val="000000"/>
          <w:szCs w:val="20"/>
          <w:lang w:val="es-AR"/>
        </w:rPr>
      </w:pPr>
    </w:p>
    <w:p w:rsidR="00000000" w:rsidRDefault="00543F98">
      <w:pPr>
        <w:autoSpaceDE w:val="0"/>
        <w:autoSpaceDN w:val="0"/>
        <w:adjustRightInd w:val="0"/>
        <w:jc w:val="both"/>
        <w:rPr>
          <w:rFonts w:ascii="Courier New" w:hAnsi="Courier New" w:cs="Courier New"/>
          <w:color w:val="000000"/>
          <w:szCs w:val="20"/>
          <w:lang w:val="es-AR"/>
        </w:rPr>
      </w:pPr>
      <w:r>
        <w:rPr>
          <w:color w:val="000000"/>
          <w:szCs w:val="20"/>
          <w:lang w:val="es-AR"/>
        </w:rPr>
        <w:t>Siendo las 11:30 hs. y terminado el Acto para el que fuera convocado el Colegio Electoral del Departamento de Ciencias de la Compu</w:t>
      </w:r>
      <w:r>
        <w:rPr>
          <w:color w:val="000000"/>
          <w:szCs w:val="20"/>
          <w:lang w:val="es-AR"/>
        </w:rPr>
        <w:t>tación, el mismo se considera disuelto, de acuerdo a lo dispuesto la reglamentación vigente.</w:t>
      </w:r>
    </w:p>
    <w:p w:rsidR="00000000" w:rsidRDefault="00543F98">
      <w:pPr>
        <w:autoSpaceDE w:val="0"/>
        <w:autoSpaceDN w:val="0"/>
        <w:adjustRightInd w:val="0"/>
        <w:rPr>
          <w:rFonts w:ascii="Courier New" w:hAnsi="Courier New" w:cs="Courier New"/>
          <w:color w:val="000000"/>
          <w:szCs w:val="20"/>
          <w:lang w:val="es-AR"/>
        </w:rPr>
      </w:pPr>
    </w:p>
    <w:sectPr w:rsidR="00000000">
      <w:pgSz w:w="11907" w:h="16840" w:code="9"/>
      <w:pgMar w:top="284"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23D31"/>
    <w:multiLevelType w:val="singleLevel"/>
    <w:tmpl w:val="7AA22BA4"/>
    <w:lvl w:ilvl="0">
      <w:start w:val="1"/>
      <w:numFmt w:val="lowerLetter"/>
      <w:lvlText w:val="%1)"/>
      <w:lvlJc w:val="left"/>
      <w:pPr>
        <w:tabs>
          <w:tab w:val="num" w:pos="1035"/>
        </w:tabs>
        <w:ind w:left="10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3F98"/>
    <w:rsid w:val="00543F9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3">
    <w:name w:val="heading 3"/>
    <w:basedOn w:val="Normal"/>
    <w:next w:val="Normal"/>
    <w:qFormat/>
    <w:pPr>
      <w:keepNext/>
      <w:autoSpaceDE w:val="0"/>
      <w:autoSpaceDN w:val="0"/>
      <w:jc w:val="right"/>
      <w:outlineLvl w:val="2"/>
    </w:pPr>
    <w:rPr>
      <w:rFonts w:ascii="Arial" w:hAnsi="Arial" w:cs="Arial"/>
      <w:b/>
      <w:bCs/>
      <w:sz w:val="22"/>
      <w:szCs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autoSpaceDE w:val="0"/>
      <w:autoSpaceDN w:val="0"/>
      <w:adjustRightInd w:val="0"/>
      <w:jc w:val="center"/>
    </w:pPr>
    <w:rPr>
      <w:b/>
      <w:bCs/>
      <w:color w:val="000000"/>
      <w:sz w:val="28"/>
      <w:szCs w:val="20"/>
      <w:lang w:val="es-AR"/>
    </w:rPr>
  </w:style>
  <w:style w:type="paragraph" w:styleId="Textoindependiente">
    <w:name w:val="Body Text"/>
    <w:basedOn w:val="Normal"/>
    <w:semiHidden/>
    <w:pPr>
      <w:autoSpaceDE w:val="0"/>
      <w:autoSpaceDN w:val="0"/>
      <w:adjustRightInd w:val="0"/>
      <w:jc w:val="both"/>
    </w:pPr>
    <w:rPr>
      <w:color w:val="000000"/>
      <w:szCs w:val="20"/>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ACTA</vt:lpstr>
    </vt:vector>
  </TitlesOfParts>
  <Company>Starfleet</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dc:title>
  <dc:subject/>
  <dc:creator>Katherine Janeway</dc:creator>
  <cp:keywords/>
  <dc:description/>
  <cp:lastModifiedBy>Keith</cp:lastModifiedBy>
  <cp:revision>2</cp:revision>
  <cp:lastPrinted>2001-09-05T12:46:00Z</cp:lastPrinted>
  <dcterms:created xsi:type="dcterms:W3CDTF">2025-07-06T03:11:00Z</dcterms:created>
  <dcterms:modified xsi:type="dcterms:W3CDTF">2025-07-06T03:11:00Z</dcterms:modified>
</cp:coreProperties>
</file>