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2630">
      <w:pPr>
        <w:pStyle w:val="Ttulo3"/>
      </w:pPr>
      <w:r>
        <w:rPr>
          <w:highlight w:val="yellow"/>
        </w:rPr>
        <w:t>Expte. R 1775/98</w:t>
      </w: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CECC-1/2001</w:t>
      </w: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BAHIA BLANCA, </w:t>
      </w: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 dispuesto por resolución CU-222/91, en sus ARTICULOS 58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70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y 72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(Estatuto de la Univ</w:t>
      </w:r>
      <w:r>
        <w:rPr>
          <w:rFonts w:ascii="Arial" w:hAnsi="Arial" w:cs="Arial"/>
          <w:sz w:val="24"/>
          <w:szCs w:val="24"/>
          <w:lang w:val="es-AR"/>
        </w:rPr>
        <w:t>ersidad Nacional delSur) y el Reglamento para el funciona-miento de los Colegios Electorales (resolución CU-149/89 y Anexo Único);</w:t>
      </w: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con fecha 24 de agosto de 2001 la Junta Electoral procedió a procla-mar los candidatos electos que integrarían los Cuerp</w:t>
      </w:r>
      <w:r>
        <w:rPr>
          <w:rFonts w:ascii="Arial" w:hAnsi="Arial" w:cs="Arial"/>
          <w:sz w:val="24"/>
          <w:szCs w:val="24"/>
        </w:rPr>
        <w:t>os Colegiados de gobierno de la Universidad Nacional del Sur; y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el acto mencionado se proclamó a los representantes elegidos en el comicio realizado el día 29 de junio de 2001 para integrar el Colegio Electoral del De-partamento de C</w:t>
      </w:r>
      <w:r>
        <w:rPr>
          <w:rFonts w:ascii="Arial" w:hAnsi="Arial" w:cs="Arial"/>
          <w:sz w:val="24"/>
          <w:szCs w:val="24"/>
          <w:lang w:val="es-AR"/>
        </w:rPr>
        <w:t>iencias de la Computación;</w:t>
      </w: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Consejo Departamental convocó al cuerpo citado para el día 29 de agosto de 2001 a las 10:30 horas (resoluciön CDCC-102/01);</w:t>
      </w: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en su sesión del día veintinueve del mes de agosto del año dos mil uno el Colegio Electoral </w:t>
      </w:r>
      <w:r>
        <w:rPr>
          <w:rFonts w:ascii="Arial" w:hAnsi="Arial" w:cs="Arial"/>
          <w:sz w:val="24"/>
          <w:szCs w:val="24"/>
          <w:lang w:val="es-AR"/>
        </w:rPr>
        <w:t>eligió al Doctor Guillermo Ricardo Simari para desempeñar el cargo de Director Decano del Departamento de Ciencias de la Computación por un nue-vo período, según se desprende del Acta que se adjunta a la presente resolución;</w:t>
      </w: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por resolución R-691/95 se</w:t>
      </w:r>
      <w:r>
        <w:rPr>
          <w:rFonts w:ascii="Arial" w:hAnsi="Arial" w:cs="Arial"/>
          <w:sz w:val="24"/>
          <w:szCs w:val="24"/>
          <w:lang w:val="es-AR"/>
        </w:rPr>
        <w:t xml:space="preserve"> dispone la fecha de asunción de los Di-rectores Decanos;              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000000" w:rsidRDefault="007F26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7F263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 Departamento de Ciencias de la Computación, en uso de las atribuciones que le confiere el ARTICULO 7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 el funcionamiento del Cuerpo;</w:t>
      </w:r>
    </w:p>
    <w:p w:rsidR="00000000" w:rsidRDefault="007F26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7F2630">
      <w:pPr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 E S U E L V E :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al señor </w:t>
      </w:r>
      <w:r>
        <w:rPr>
          <w:rFonts w:ascii="Arial" w:hAnsi="Arial" w:cs="Arial"/>
          <w:b/>
          <w:bCs/>
          <w:sz w:val="24"/>
          <w:szCs w:val="24"/>
          <w:lang w:val="es-AR"/>
        </w:rPr>
        <w:t>Doctor Guillermo Ricardo SIMARI</w:t>
      </w:r>
      <w:r>
        <w:rPr>
          <w:rFonts w:ascii="Arial" w:hAnsi="Arial" w:cs="Arial"/>
          <w:sz w:val="24"/>
          <w:szCs w:val="24"/>
          <w:lang w:val="es-AR"/>
        </w:rPr>
        <w:t xml:space="preserve"> (L. E. 05.084.805 – Leg. 2804) en el cargo de Director Decano del Departame</w:t>
      </w:r>
      <w:r>
        <w:rPr>
          <w:rFonts w:ascii="Arial" w:hAnsi="Arial" w:cs="Arial"/>
          <w:sz w:val="24"/>
          <w:szCs w:val="24"/>
          <w:lang w:val="es-AR"/>
        </w:rPr>
        <w:t>nto de Ciencias de la Computación de la Universidad Nacional del Sur, por el término de tres (3) años, a partir de la fecha que resulte de la aplicación de la resolución R-691/95.-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Regístrese; comuní</w:t>
      </w:r>
      <w:r>
        <w:rPr>
          <w:rFonts w:ascii="Arial" w:hAnsi="Arial" w:cs="Arial"/>
          <w:sz w:val="24"/>
          <w:szCs w:val="24"/>
          <w:lang w:val="es-AR"/>
        </w:rPr>
        <w:t>quese; pase a conocimiento del Rectorado, Consejo Unive</w:t>
      </w:r>
      <w:r>
        <w:rPr>
          <w:rFonts w:ascii="Arial" w:hAnsi="Arial" w:cs="Arial"/>
          <w:sz w:val="24"/>
          <w:szCs w:val="24"/>
          <w:u w:val="single"/>
          <w:lang w:val="es-AR"/>
        </w:rPr>
        <w:t xml:space="preserve">r </w:t>
      </w:r>
    </w:p>
    <w:p w:rsidR="00000000" w:rsidRDefault="007F263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>sitario y Consejo Departamental de Ciencias de la Computación;  tomen razón el Boletín</w:t>
      </w:r>
    </w:p>
    <w:p w:rsidR="00000000" w:rsidRDefault="007F2630">
      <w:pPr>
        <w:jc w:val="righ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00000" w:rsidRDefault="007F2630">
      <w:pPr>
        <w:jc w:val="righ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///</w:t>
      </w:r>
    </w:p>
    <w:p w:rsidR="00000000" w:rsidRDefault="007F2630">
      <w:pPr>
        <w:pStyle w:val="Ttulo3"/>
      </w:pPr>
      <w:r>
        <w:rPr>
          <w:highlight w:val="yellow"/>
        </w:rPr>
        <w:t>Expte. R 1775/98</w:t>
      </w: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sz w:val="24"/>
          <w:szCs w:val="24"/>
        </w:rPr>
      </w:pPr>
    </w:p>
    <w:p w:rsidR="00000000" w:rsidRDefault="007F26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///CECC-1/2001</w:t>
      </w:r>
    </w:p>
    <w:p w:rsidR="00000000" w:rsidRDefault="007F2630">
      <w:pPr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pStyle w:val="Textoindependiente"/>
      </w:pPr>
      <w:r>
        <w:t>tín Oficial y la Dirección de Prensa y Ceremonial; cumplido, archí</w:t>
      </w:r>
      <w:r>
        <w:t>vese.-----------------------</w:t>
      </w:r>
    </w:p>
    <w:p w:rsidR="00000000" w:rsidRDefault="007F263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F2630">
      <w:pPr>
        <w:pStyle w:val="Ttulo2"/>
      </w:pPr>
    </w:p>
    <w:p w:rsidR="00000000" w:rsidRDefault="007F2630"/>
    <w:p w:rsidR="00000000" w:rsidRDefault="007F2630"/>
    <w:tbl>
      <w:tblPr>
        <w:tblW w:w="0" w:type="auto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04"/>
        <w:gridCol w:w="48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F2630">
            <w:pPr>
              <w:pStyle w:val="Ttulo2"/>
            </w:pPr>
            <w:r>
              <w:t>Sonia V. Rueda</w:t>
            </w:r>
          </w:p>
          <w:p w:rsidR="00000000" w:rsidRDefault="007F2630">
            <w:pPr>
              <w:pStyle w:val="Ttulo2"/>
              <w:rPr>
                <w:b w:val="0"/>
                <w:bCs w:val="0"/>
              </w:rPr>
            </w:pPr>
            <w:r>
              <w:rPr>
                <w:b w:val="0"/>
                <w:bCs w:val="0"/>
                <w:i w:val="0"/>
                <w:iCs w:val="0"/>
              </w:rPr>
              <w:t>Secretario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F2630">
            <w:pPr>
              <w:jc w:val="center"/>
              <w:rPr>
                <w:rFonts w:ascii="Tahoma" w:hAnsi="Tahoma" w:cs="Tahoma"/>
                <w:b/>
                <w:bCs/>
                <w:i/>
                <w:iCs/>
                <w:lang w:val="es-AR"/>
              </w:rPr>
            </w:pPr>
            <w:r>
              <w:rPr>
                <w:rFonts w:ascii="Tahoma" w:hAnsi="Tahoma" w:cs="Tahoma"/>
                <w:b/>
                <w:bCs/>
                <w:i/>
                <w:iCs/>
              </w:rPr>
              <w:t>Iris P. Señas</w:t>
            </w:r>
          </w:p>
          <w:p w:rsidR="00000000" w:rsidRDefault="007F2630">
            <w:pPr>
              <w:jc w:val="center"/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Presidente</w:t>
            </w:r>
          </w:p>
        </w:tc>
      </w:tr>
    </w:tbl>
    <w:p w:rsidR="00000000" w:rsidRDefault="007F2630">
      <w:pPr>
        <w:rPr>
          <w:rFonts w:ascii="Tahoma" w:hAnsi="Tahoma" w:cs="Tahoma"/>
          <w:i/>
          <w:iCs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2630"/>
    <w:rsid w:val="007F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S Sans Serif" w:hAnsi="MS Sans Serif" w:cs="MS Sans Serif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MS Sans Serif" w:hAnsi="MS Sans Serif" w:cs="MS Sans Serif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MS Sans Serif" w:hAnsi="MS Sans Serif" w:cs="MS Sans Serif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Company>U.N.S.DCC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dc:description/>
  <cp:lastModifiedBy>Keith</cp:lastModifiedBy>
  <cp:revision>2</cp:revision>
  <cp:lastPrinted>2001-09-13T16:34:00Z</cp:lastPrinted>
  <dcterms:created xsi:type="dcterms:W3CDTF">2025-07-06T03:11:00Z</dcterms:created>
  <dcterms:modified xsi:type="dcterms:W3CDTF">2025-07-06T03:11:00Z</dcterms:modified>
</cp:coreProperties>
</file>