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jc w:val="both"/>
        <w:rPr>
          <w:rFonts w:ascii="Arial" w:hAnsi="Arial"/>
        </w:rPr>
      </w:pPr>
    </w:p>
    <w:p w:rsidR="00000000" w:rsidRDefault="000E72DB">
      <w:pPr>
        <w:pStyle w:val="Ttulo1"/>
      </w:pPr>
      <w:r>
        <w:t>REGISTRADO BAJO Nº  CDCC-079/01</w:t>
      </w: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DCC-012/01, DCC-013/01, DCC-014/01, DCC-015/01 y DCC-017/01, emanadas de la Dirección del Departamento de Ciencias de la Computa-ción; y</w:t>
      </w:r>
    </w:p>
    <w:p w:rsidR="00000000" w:rsidRDefault="000E72D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E72D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E72DB">
      <w:pPr>
        <w:jc w:val="both"/>
        <w:rPr>
          <w:rFonts w:ascii="Arial" w:hAnsi="Arial"/>
          <w:b/>
          <w:sz w:val="24"/>
        </w:rPr>
      </w:pPr>
    </w:p>
    <w:p w:rsidR="00000000" w:rsidRDefault="000E72D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</w:t>
      </w:r>
      <w:r>
        <w:rPr>
          <w:rFonts w:ascii="Arial" w:hAnsi="Arial"/>
          <w:sz w:val="24"/>
        </w:rPr>
        <w:t xml:space="preserve"> asumirse por razones de fuerza mayor;</w:t>
      </w: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04 de julio de 2001                        </w:t>
      </w:r>
    </w:p>
    <w:p w:rsidR="00000000" w:rsidRDefault="000E72DB">
      <w:pPr>
        <w:jc w:val="both"/>
        <w:rPr>
          <w:rFonts w:ascii="Arial" w:hAnsi="Arial"/>
          <w:b/>
          <w:sz w:val="24"/>
        </w:rPr>
      </w:pPr>
    </w:p>
    <w:p w:rsidR="00000000" w:rsidRDefault="000E72D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E72DB">
      <w:pPr>
        <w:jc w:val="both"/>
        <w:rPr>
          <w:rFonts w:ascii="Arial" w:hAnsi="Arial"/>
          <w:b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 la Dirección</w:t>
      </w:r>
      <w:r>
        <w:rPr>
          <w:rFonts w:ascii="Arial" w:hAnsi="Arial"/>
          <w:sz w:val="24"/>
        </w:rPr>
        <w:t xml:space="preserve">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indica a continuación: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DCC-012/01 – Designación señor Leonardo Julio Dino de – Matteis</w:t>
      </w:r>
      <w:r>
        <w:rPr>
          <w:rFonts w:ascii="Arial" w:hAnsi="Arial"/>
        </w:rPr>
        <w:t xml:space="preserve"> * </w:t>
      </w:r>
      <w:r>
        <w:rPr>
          <w:rFonts w:ascii="Arial" w:hAnsi="Arial"/>
          <w:sz w:val="24"/>
        </w:rPr>
        <w:t>expte. D.CC. 1026/</w:t>
      </w: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2"/>
        </w:rPr>
        <w:t xml:space="preserve">                           </w:t>
      </w:r>
      <w:r>
        <w:rPr>
          <w:rFonts w:ascii="Arial" w:hAnsi="Arial"/>
          <w:sz w:val="24"/>
        </w:rPr>
        <w:t>/95  ;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DCC-013/01 – Designación señorita Natalia Luz </w:t>
      </w:r>
      <w:r>
        <w:rPr>
          <w:rFonts w:ascii="Arial" w:hAnsi="Arial"/>
          <w:sz w:val="24"/>
        </w:rPr>
        <w:t>Weinbach - expte. D.CC. 1301/01  ;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ind w:right="-91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DCC-014/01 – Designación señor Diego Daniel Etcheverry - expte. D.CC. 0760/98  ;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DCC-015/01 – Designación señor Walter Marcelo Grandinetti - expte. D.CC. 1402/00</w:t>
      </w:r>
      <w:r>
        <w:rPr>
          <w:rFonts w:ascii="Arial" w:hAnsi="Arial"/>
          <w:b/>
          <w:sz w:val="24"/>
        </w:rPr>
        <w:t xml:space="preserve">   y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DCC-017/01 – Renuncia señor Diego Oscar Scarpa - exp</w:t>
      </w:r>
      <w:r>
        <w:rPr>
          <w:rFonts w:ascii="Arial" w:hAnsi="Arial"/>
          <w:sz w:val="24"/>
        </w:rPr>
        <w:t xml:space="preserve">te. D.CC. 2426/99.- </w:t>
      </w:r>
    </w:p>
    <w:p w:rsidR="00000000" w:rsidRDefault="000E72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E72D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p w:rsidR="00000000" w:rsidRDefault="000E72D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2DB"/>
    <w:rsid w:val="000E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2001-07-05T17:06:00Z</cp:lastPrinted>
  <dcterms:created xsi:type="dcterms:W3CDTF">2025-07-06T03:06:00Z</dcterms:created>
  <dcterms:modified xsi:type="dcterms:W3CDTF">2025-07-06T03:06:00Z</dcterms:modified>
</cp:coreProperties>
</file>