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4A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Visto  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reglamentación de rectorado 749 del 11 de Octubre de 2001 y  que la resolución CU-190/90 que establece que los consejos departamentales instrumentarán un sistema de control permanente de servicios de su personal.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Considerando 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dictamen de </w:t>
      </w:r>
      <w:r>
        <w:rPr>
          <w:rFonts w:ascii="Arial" w:hAnsi="Arial" w:cs="Arial"/>
          <w:sz w:val="24"/>
        </w:rPr>
        <w:t>la Comisión de Interpretación y Reglamento proponiendo que todo el personal docente del Departamento de Ciencias e Ingeniería de la Computación firme mensualmente una planilla donde declare que la prestación de servicios fue cumplida.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Por ello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Consejo</w:t>
      </w:r>
      <w:r>
        <w:rPr>
          <w:rFonts w:ascii="Arial" w:hAnsi="Arial" w:cs="Arial"/>
          <w:sz w:val="24"/>
        </w:rPr>
        <w:t xml:space="preserve"> Departamental de Ciencias e Ingeniería de la Computación, en su reunión del 19 de diciembre de 2001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RESUELVE</w:t>
      </w:r>
    </w:p>
    <w:p w:rsidR="00000000" w:rsidRDefault="00F04ACD">
      <w:pPr>
        <w:jc w:val="both"/>
        <w:rPr>
          <w:rFonts w:ascii="Arial" w:hAnsi="Arial" w:cs="Arial"/>
          <w:sz w:val="24"/>
        </w:rPr>
      </w:pPr>
    </w:p>
    <w:p w:rsidR="00000000" w:rsidRDefault="00F04ACD">
      <w:pPr>
        <w:pStyle w:val="Textoindependiente2"/>
      </w:pPr>
      <w:r>
        <w:t>Artículo 1. Establecer que todo el personal docente de esta unidad académica deberá firmar mensualmente una planilla en la que declare haber cum</w:t>
      </w:r>
      <w:r>
        <w:t>plido con la prestación de servicios. Dicha planilla estará a disposición del personal en las dependencias de DCC y deberá ser firmada por el personal, antes que venza el plazo de presentación de la planilla remitido por la Dirección General de Personal.</w:t>
      </w: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Departamento de Ciencias e Ingeniería de la Computación</w:t>
      </w:r>
    </w:p>
    <w:p w:rsidR="00000000" w:rsidRDefault="00F04ACD">
      <w:pPr>
        <w:jc w:val="center"/>
        <w:rPr>
          <w:b/>
          <w:sz w:val="32"/>
          <w:szCs w:val="32"/>
        </w:rPr>
      </w:pPr>
    </w:p>
    <w:p w:rsidR="00000000" w:rsidRDefault="00F04ACD">
      <w:pPr>
        <w:jc w:val="both"/>
        <w:rPr>
          <w:b/>
          <w:sz w:val="24"/>
        </w:rPr>
      </w:pPr>
      <w:r>
        <w:rPr>
          <w:b/>
          <w:sz w:val="24"/>
        </w:rPr>
        <w:t xml:space="preserve">Listado de personal para la certificación de servicios  </w:t>
      </w:r>
      <w:r>
        <w:rPr>
          <w:b/>
          <w:sz w:val="24"/>
        </w:rPr>
        <w:tab/>
        <w:t>Mes _______     Año _______</w:t>
      </w:r>
    </w:p>
    <w:p w:rsidR="00000000" w:rsidRDefault="00F04ACD">
      <w:pPr>
        <w:ind w:left="4956" w:firstLine="708"/>
        <w:rPr>
          <w:b/>
          <w:sz w:val="24"/>
        </w:rPr>
      </w:pPr>
    </w:p>
    <w:p w:rsidR="00000000" w:rsidRDefault="00F04ACD">
      <w:pPr>
        <w:ind w:left="4956" w:firstLine="708"/>
        <w:rPr>
          <w:b/>
          <w:sz w:val="24"/>
        </w:rPr>
      </w:pPr>
      <w:r>
        <w:rPr>
          <w:b/>
          <w:sz w:val="24"/>
        </w:rPr>
        <w:t>Liquidación Número _______</w:t>
      </w:r>
    </w:p>
    <w:p w:rsidR="00000000" w:rsidRDefault="00F04ACD">
      <w:pPr>
        <w:jc w:val="both"/>
        <w:rPr>
          <w:sz w:val="24"/>
        </w:rPr>
      </w:pPr>
    </w:p>
    <w:p w:rsidR="00000000" w:rsidRDefault="00F04AC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3"/>
        <w:gridCol w:w="2420"/>
        <w:gridCol w:w="650"/>
        <w:gridCol w:w="2145"/>
        <w:gridCol w:w="291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Legajo</w:t>
            </w: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Nombre</w:t>
            </w: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Cat.</w:t>
            </w: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Firma</w:t>
            </w: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Observaciones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23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42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650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145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  <w:tc>
          <w:tcPr>
            <w:tcW w:w="2916" w:type="dxa"/>
          </w:tcPr>
          <w:p w:rsidR="00000000" w:rsidRDefault="00F04ACD">
            <w:pPr>
              <w:jc w:val="both"/>
              <w:rPr>
                <w:sz w:val="36"/>
              </w:rPr>
            </w:pPr>
          </w:p>
        </w:tc>
      </w:tr>
    </w:tbl>
    <w:p w:rsidR="00000000" w:rsidRDefault="00F04ACD">
      <w:pPr>
        <w:jc w:val="both"/>
        <w:rPr>
          <w:sz w:val="24"/>
        </w:rPr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p w:rsidR="00000000" w:rsidRDefault="00F04ACD">
      <w:pPr>
        <w:pStyle w:val="Textoindependiente2"/>
      </w:pPr>
    </w:p>
    <w:sectPr w:rsidR="00000000">
      <w:pgSz w:w="12240" w:h="15840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4ACD"/>
    <w:rsid w:val="00F0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sz w:val="24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Dictamen de la comisión de Interpretación y Reglamento  </vt:lpstr>
    </vt:vector>
  </TitlesOfParts>
  <Company>Universidad Nacional del Sur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 la comisión de Interpretación y Reglamento  </dc:title>
  <dc:subject/>
  <dc:creator>Alejandro J. García</dc:creator>
  <cp:keywords/>
  <cp:lastModifiedBy>Keith</cp:lastModifiedBy>
  <cp:revision>2</cp:revision>
  <dcterms:created xsi:type="dcterms:W3CDTF">2025-07-06T03:09:00Z</dcterms:created>
  <dcterms:modified xsi:type="dcterms:W3CDTF">2025-07-06T03:09:00Z</dcterms:modified>
</cp:coreProperties>
</file>