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22E">
      <w:pPr>
        <w:pStyle w:val="Ttulo1"/>
        <w:jc w:val="right"/>
        <w:rPr>
          <w:rFonts w:cs="Arial"/>
          <w:b/>
          <w:bCs/>
          <w:sz w:val="22"/>
          <w:lang w:val="es-ES_tradnl"/>
        </w:rPr>
      </w:pPr>
      <w:r>
        <w:rPr>
          <w:rFonts w:cs="Arial"/>
          <w:b/>
          <w:bCs/>
          <w:sz w:val="22"/>
          <w:highlight w:val="yellow"/>
          <w:lang w:val="es-ES_tradnl"/>
        </w:rPr>
        <w:t>Expte. D.CC. 1558/01</w:t>
      </w:r>
    </w:p>
    <w:p w:rsidR="00000000" w:rsidRDefault="0024422E">
      <w:pPr>
        <w:rPr>
          <w:rFonts w:ascii="Arial" w:hAnsi="Arial" w:cs="Arial"/>
          <w:sz w:val="22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DCC-030/01</w:t>
      </w:r>
      <w:r>
        <w:rPr>
          <w:rFonts w:ascii="Arial" w:hAnsi="Arial" w:cs="Arial"/>
          <w:sz w:val="24"/>
          <w:lang w:val="es-ES_tradnl"/>
        </w:rPr>
        <w:t xml:space="preserve">                    </w:t>
      </w:r>
    </w:p>
    <w:p w:rsidR="00000000" w:rsidRDefault="0024422E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</w:t>
      </w:r>
    </w:p>
    <w:p w:rsidR="00000000" w:rsidRDefault="0024422E">
      <w:pPr>
        <w:ind w:firstLine="5670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BAHIA BLANCA,</w:t>
      </w:r>
      <w:r>
        <w:rPr>
          <w:rFonts w:ascii="Arial" w:hAnsi="Arial" w:cs="Arial"/>
          <w:sz w:val="24"/>
          <w:lang w:val="es-ES_tradnl"/>
        </w:rPr>
        <w:t xml:space="preserve"> </w:t>
      </w: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:</w:t>
      </w:r>
    </w:p>
    <w:p w:rsidR="00000000" w:rsidRDefault="0024422E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2442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DCC-026/01 y DCC-027/01 en la cuales se establece la distribución de los pagos de $ 8.750.- y $ 5.250.-, efectua</w:t>
      </w:r>
      <w:r>
        <w:rPr>
          <w:rFonts w:ascii="Arial" w:hAnsi="Arial"/>
          <w:sz w:val="24"/>
          <w:lang w:val="es-AR"/>
        </w:rPr>
        <w:t>dos por el Banco de la Provin-cia de Buenos Aires, en concepto de los C</w:t>
      </w:r>
      <w:r>
        <w:rPr>
          <w:rFonts w:ascii="Arial" w:hAnsi="Arial" w:cs="Arial"/>
          <w:sz w:val="24"/>
          <w:lang w:val="es-AR"/>
        </w:rPr>
        <w:t>ursos de Capacitación dictados por el Depar-tamento de Ciencias de la Computación, en el marco del Convenio de Asistencia Técni-ca aprobado por resolución CSU-432/01; y</w:t>
      </w:r>
    </w:p>
    <w:p w:rsidR="00000000" w:rsidRDefault="002442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: </w:t>
      </w:r>
    </w:p>
    <w:p w:rsidR="00000000" w:rsidRDefault="0024422E">
      <w:pPr>
        <w:rPr>
          <w:lang w:val="es-AR"/>
        </w:rPr>
      </w:pPr>
    </w:p>
    <w:p w:rsidR="00000000" w:rsidRDefault="0024422E">
      <w:pPr>
        <w:pStyle w:val="Ttulo4"/>
        <w:ind w:left="0" w:firstLine="1418"/>
        <w:rPr>
          <w:rFonts w:ascii="Arial" w:hAnsi="Arial"/>
        </w:rPr>
      </w:pPr>
      <w:r>
        <w:rPr>
          <w:rFonts w:ascii="Arial" w:hAnsi="Arial"/>
        </w:rPr>
        <w:t>Que los docentes afectados al dictado de dichos cursos deben recibir una asignación complementaria única correspondiente al período vinculado a cada pago;</w:t>
      </w:r>
    </w:p>
    <w:p w:rsidR="00000000" w:rsidRDefault="0024422E">
      <w:pPr>
        <w:ind w:firstLine="1418"/>
        <w:rPr>
          <w:lang w:val="es-AR"/>
        </w:rPr>
      </w:pPr>
    </w:p>
    <w:p w:rsidR="00000000" w:rsidRDefault="0024422E">
      <w:pPr>
        <w:pStyle w:val="Sangradetextonormal"/>
      </w:pPr>
      <w:r>
        <w:t>Que las liquidaciones de los montos establecidos, en las resoluciones DC C-026/01 y DCC-027/01, de</w:t>
      </w:r>
      <w:r>
        <w:t>ben incluir la parte proporcional que corresponde al sueldo anual complementario;</w:t>
      </w:r>
    </w:p>
    <w:p w:rsidR="00000000" w:rsidRDefault="0024422E">
      <w:pPr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24422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4422E">
      <w:pPr>
        <w:pStyle w:val="Ttulo2"/>
        <w:ind w:firstLine="1418"/>
        <w:jc w:val="both"/>
        <w:rPr>
          <w:lang w:val="es-AR"/>
        </w:rPr>
      </w:pPr>
      <w:r>
        <w:rPr>
          <w:lang w:val="es-AR"/>
        </w:rPr>
        <w:t>El Director Decano del Departamento de Ciencias de la Computación en uso de las atribuciones que le confiere el ARTÍCULO 76</w:t>
      </w:r>
      <w:r>
        <w:sym w:font="Symbol" w:char="F0B0"/>
      </w:r>
      <w:r>
        <w:rPr>
          <w:lang w:val="es-AR"/>
        </w:rPr>
        <w:t>, inc. h) del Estatuto de la Universi</w:t>
      </w:r>
      <w:r>
        <w:rPr>
          <w:lang w:val="es-AR"/>
        </w:rPr>
        <w:t>dad Nacional del Sur</w:t>
      </w:r>
    </w:p>
    <w:p w:rsidR="00000000" w:rsidRDefault="0024422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2442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442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Modificar el Art. 1º) de las resoluciones DCC-026/01 y DCC-027/01, en lo que se refiere a la liquidación de las remuneraciones a los docentes a cargo de los Cursos de Capacitación, dictados para el person</w:t>
      </w:r>
      <w:r>
        <w:rPr>
          <w:rFonts w:ascii="Arial" w:hAnsi="Arial"/>
          <w:sz w:val="24"/>
          <w:lang w:val="es-AR"/>
        </w:rPr>
        <w:t xml:space="preserve">al del Banco de la Provincia de Buenos Aires, por </w:t>
      </w:r>
      <w:r>
        <w:rPr>
          <w:rFonts w:ascii="Arial" w:hAnsi="Arial" w:cs="Arial"/>
          <w:sz w:val="24"/>
          <w:lang w:val="es-AR"/>
        </w:rPr>
        <w:t>el Departamento de Ciencias de la Computación.-</w:t>
      </w:r>
    </w:p>
    <w:p w:rsidR="00000000" w:rsidRDefault="0024422E">
      <w:pPr>
        <w:rPr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Determinar que los docentes especificados en el </w:t>
      </w:r>
      <w:r>
        <w:rPr>
          <w:rFonts w:ascii="Arial" w:hAnsi="Arial"/>
          <w:b/>
          <w:bCs/>
          <w:sz w:val="24"/>
          <w:lang w:val="es-AR"/>
        </w:rPr>
        <w:t>Anexo I</w:t>
      </w:r>
      <w:r>
        <w:rPr>
          <w:rFonts w:ascii="Arial" w:hAnsi="Arial"/>
          <w:sz w:val="24"/>
          <w:lang w:val="es-AR"/>
        </w:rPr>
        <w:t xml:space="preserve"> de la presente reso-lución, percibirán una asignación complementaria única correspondiente</w:t>
      </w:r>
      <w:r>
        <w:rPr>
          <w:rFonts w:ascii="Arial" w:hAnsi="Arial"/>
          <w:sz w:val="24"/>
          <w:lang w:val="es-AR"/>
        </w:rPr>
        <w:t xml:space="preserve"> a los cursos de capacitación dictados para el Banco de la Provincia de Buenos Aires, en el período co</w:t>
      </w:r>
      <w:r>
        <w:rPr>
          <w:rFonts w:ascii="Arial" w:hAnsi="Arial"/>
          <w:sz w:val="24"/>
          <w:u w:val="single"/>
          <w:lang w:val="es-AR"/>
        </w:rPr>
        <w:t>m</w:t>
      </w:r>
      <w:r>
        <w:rPr>
          <w:rFonts w:ascii="Arial" w:hAnsi="Arial"/>
          <w:sz w:val="24"/>
          <w:lang w:val="es-AR"/>
        </w:rPr>
        <w:t xml:space="preserve"> prendido entre el 3 de septiembre y el 5 de octubre de 2001, en el marco del Reglamen-to para la Prestación de Servicios Externos de la Universidad Naci</w:t>
      </w:r>
      <w:r>
        <w:rPr>
          <w:rFonts w:ascii="Arial" w:hAnsi="Arial"/>
          <w:sz w:val="24"/>
          <w:lang w:val="es-AR"/>
        </w:rPr>
        <w:t>onal del Sur (Resolu-ción CU-245/93).-</w:t>
      </w: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Determinar que los docentes especificados en el </w:t>
      </w:r>
      <w:r>
        <w:rPr>
          <w:rFonts w:ascii="Arial" w:hAnsi="Arial"/>
          <w:b/>
          <w:bCs/>
          <w:sz w:val="24"/>
          <w:lang w:val="es-AR"/>
        </w:rPr>
        <w:t>Anexo II</w:t>
      </w:r>
      <w:r>
        <w:rPr>
          <w:rFonts w:ascii="Arial" w:hAnsi="Arial"/>
          <w:sz w:val="24"/>
          <w:lang w:val="es-AR"/>
        </w:rPr>
        <w:t xml:space="preserve"> de la presente reso-lución, percibirán una asignación complementaria única correspondiente a los cursos de capacitación dictados para el Banco de la</w:t>
      </w:r>
      <w:r>
        <w:rPr>
          <w:rFonts w:ascii="Arial" w:hAnsi="Arial"/>
          <w:sz w:val="24"/>
          <w:lang w:val="es-AR"/>
        </w:rPr>
        <w:t xml:space="preserve"> Provincia de Buenos Aires, en el período co</w:t>
      </w:r>
      <w:r>
        <w:rPr>
          <w:rFonts w:ascii="Arial" w:hAnsi="Arial"/>
          <w:sz w:val="24"/>
          <w:u w:val="single"/>
          <w:lang w:val="es-AR"/>
        </w:rPr>
        <w:t>m</w:t>
      </w:r>
      <w:r>
        <w:rPr>
          <w:rFonts w:ascii="Arial" w:hAnsi="Arial"/>
          <w:sz w:val="24"/>
          <w:lang w:val="es-AR"/>
        </w:rPr>
        <w:t xml:space="preserve"> prendido entre el 8 de octubre y el 26 de octubre de 2001, en el marco del Reglamento para la Prestación de servicios Externos de la Universidad Nacional del Sur (Resolución CU-245/93).-</w:t>
      </w:r>
    </w:p>
    <w:p w:rsidR="00000000" w:rsidRDefault="0024422E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24422E">
      <w:pPr>
        <w:pStyle w:val="Ttulo1"/>
        <w:jc w:val="right"/>
        <w:rPr>
          <w:rFonts w:cs="Arial"/>
          <w:b/>
          <w:bCs/>
          <w:sz w:val="22"/>
          <w:lang w:val="es-ES_tradnl"/>
        </w:rPr>
      </w:pPr>
      <w:r>
        <w:rPr>
          <w:rFonts w:cs="Arial"/>
          <w:b/>
          <w:bCs/>
          <w:sz w:val="22"/>
          <w:highlight w:val="yellow"/>
          <w:lang w:val="es-ES_tradnl"/>
        </w:rPr>
        <w:lastRenderedPageBreak/>
        <w:t>Expte. D.CC. 1558/0</w:t>
      </w:r>
      <w:r>
        <w:rPr>
          <w:rFonts w:cs="Arial"/>
          <w:b/>
          <w:bCs/>
          <w:sz w:val="22"/>
          <w:highlight w:val="yellow"/>
          <w:lang w:val="es-ES_tradnl"/>
        </w:rPr>
        <w:t>1</w:t>
      </w: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///DCC-030/01</w:t>
      </w:r>
      <w:r>
        <w:rPr>
          <w:rFonts w:ascii="Arial" w:hAnsi="Arial" w:cs="Arial"/>
          <w:sz w:val="24"/>
          <w:lang w:val="es-ES_tradnl"/>
        </w:rPr>
        <w:t xml:space="preserve">                    </w:t>
      </w:r>
    </w:p>
    <w:p w:rsidR="00000000" w:rsidRDefault="0024422E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442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que las retribuciones a las que se hace mención en los </w:t>
      </w:r>
      <w:r>
        <w:rPr>
          <w:rFonts w:ascii="Arial" w:hAnsi="Arial"/>
          <w:b/>
          <w:bCs/>
          <w:sz w:val="24"/>
          <w:lang w:val="es-AR"/>
        </w:rPr>
        <w:t xml:space="preserve">Anexos I </w:t>
      </w:r>
      <w:r>
        <w:rPr>
          <w:rFonts w:ascii="Arial" w:hAnsi="Arial"/>
          <w:sz w:val="24"/>
          <w:lang w:val="es-AR"/>
        </w:rPr>
        <w:t>y</w:t>
      </w:r>
      <w:r>
        <w:rPr>
          <w:rFonts w:ascii="Arial" w:hAnsi="Arial"/>
          <w:b/>
          <w:bCs/>
          <w:sz w:val="24"/>
          <w:lang w:val="es-AR"/>
        </w:rPr>
        <w:t xml:space="preserve"> II</w:t>
      </w:r>
      <w:r>
        <w:rPr>
          <w:rFonts w:ascii="Arial" w:hAnsi="Arial"/>
          <w:sz w:val="24"/>
          <w:lang w:val="es-AR"/>
        </w:rPr>
        <w:t>, de la presente resolución incluyen el sueldo anual complementario y estarán sujeta a los descuentos estipulados por Ley.</w:t>
      </w:r>
      <w:r>
        <w:rPr>
          <w:rFonts w:ascii="Arial" w:hAnsi="Arial"/>
          <w:sz w:val="24"/>
          <w:lang w:val="es-AR"/>
        </w:rPr>
        <w:t xml:space="preserve">- </w:t>
      </w:r>
    </w:p>
    <w:p w:rsidR="00000000" w:rsidRDefault="0024422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Fundación de la Universidad Nacional del Sur, la Direc</w:t>
      </w:r>
      <w:r>
        <w:rPr>
          <w:rFonts w:ascii="Arial" w:hAnsi="Arial"/>
          <w:sz w:val="24"/>
          <w:lang w:val="es-AR"/>
        </w:rPr>
        <w:t>ción General de Personal y la Secretaría General Académica; cumplido, archívese.-------------</w:t>
      </w: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4422E">
      <w:pPr>
        <w:pStyle w:val="Ttulo1"/>
        <w:jc w:val="right"/>
        <w:rPr>
          <w:rFonts w:cs="Arial"/>
          <w:b/>
          <w:bCs/>
          <w:sz w:val="22"/>
          <w:lang w:val="es-ES_tradnl"/>
        </w:rPr>
      </w:pPr>
      <w:r>
        <w:rPr>
          <w:rFonts w:cs="Arial"/>
          <w:b/>
          <w:bCs/>
          <w:sz w:val="22"/>
          <w:highlight w:val="yellow"/>
          <w:lang w:val="es-ES_tradnl"/>
        </w:rPr>
        <w:lastRenderedPageBreak/>
        <w:t>Expte. D.CC. 1558/01</w:t>
      </w: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///DCC-030/01</w:t>
      </w:r>
      <w:r>
        <w:rPr>
          <w:rFonts w:ascii="Arial" w:hAnsi="Arial" w:cs="Arial"/>
          <w:sz w:val="24"/>
          <w:lang w:val="es-ES_tradnl"/>
        </w:rPr>
        <w:t xml:space="preserve">                    </w:t>
      </w: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pStyle w:val="Ttulo2"/>
        <w:rPr>
          <w:bCs/>
        </w:rPr>
      </w:pPr>
      <w:r>
        <w:rPr>
          <w:bCs/>
        </w:rPr>
        <w:t>ANEXO I – DCC-030/01</w:t>
      </w:r>
    </w:p>
    <w:p w:rsidR="00000000" w:rsidRDefault="0024422E">
      <w:pPr>
        <w:tabs>
          <w:tab w:val="left" w:pos="5670"/>
        </w:tabs>
        <w:jc w:val="center"/>
        <w:rPr>
          <w:rFonts w:ascii="Arial" w:hAnsi="Arial"/>
          <w:sz w:val="24"/>
        </w:rPr>
      </w:pPr>
    </w:p>
    <w:p w:rsidR="00000000" w:rsidRDefault="0024422E">
      <w:pPr>
        <w:pStyle w:val="Textoindependiente2"/>
        <w:ind w:firstLine="1418"/>
        <w:jc w:val="both"/>
      </w:pPr>
      <w:r>
        <w:t>Asignaciones complementarias correspond</w:t>
      </w:r>
      <w:r>
        <w:t>ientes a los Cursos de Capacit</w:t>
      </w:r>
      <w:r>
        <w:rPr>
          <w:u w:val="single"/>
        </w:rPr>
        <w:t>a</w:t>
      </w:r>
      <w:r>
        <w:t xml:space="preserve"> ción dictados para el Banco de la Provincia de Buenos Aires, en el período comprendi-do entre el 3 de septiembre y el 5 de octubre de 2001:</w:t>
      </w:r>
    </w:p>
    <w:p w:rsidR="00000000" w:rsidRDefault="0024422E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</w:p>
    <w:tbl>
      <w:tblPr>
        <w:tblW w:w="0" w:type="auto"/>
        <w:jc w:val="center"/>
        <w:tblInd w:w="-1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4"/>
        <w:gridCol w:w="1859"/>
        <w:gridCol w:w="1447"/>
        <w:gridCol w:w="918"/>
        <w:gridCol w:w="925"/>
        <w:gridCol w:w="52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</w:tcPr>
          <w:p w:rsidR="00000000" w:rsidRDefault="0024422E">
            <w:pPr>
              <w:jc w:val="center"/>
              <w:rPr>
                <w:rFonts w:ascii="Sylfaen" w:hAnsi="Sylfaen"/>
                <w:bCs/>
                <w:iCs/>
                <w:color w:val="0000FF"/>
                <w:sz w:val="8"/>
                <w:lang w:val="es-AR"/>
              </w:rPr>
            </w:pPr>
          </w:p>
          <w:p w:rsidR="00000000" w:rsidRDefault="0024422E">
            <w:pPr>
              <w:pStyle w:val="Ttulo6"/>
            </w:pPr>
            <w:r>
              <w:t>Nombre y Apellido</w:t>
            </w:r>
          </w:p>
          <w:p w:rsidR="00000000" w:rsidRDefault="0024422E">
            <w:pPr>
              <w:rPr>
                <w:sz w:val="8"/>
                <w:lang w:val="es-AR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single" w:sz="12" w:space="0" w:color="0000FF"/>
              <w:right w:val="single" w:sz="12" w:space="0" w:color="0000FF"/>
            </w:tcBorders>
          </w:tcPr>
          <w:p w:rsidR="00000000" w:rsidRDefault="0024422E">
            <w:pPr>
              <w:jc w:val="center"/>
              <w:rPr>
                <w:rFonts w:ascii="Sylfaen" w:hAnsi="Sylfaen"/>
                <w:bCs/>
                <w:iCs/>
                <w:color w:val="0000FF"/>
                <w:sz w:val="8"/>
                <w:lang w:val="es-AR"/>
              </w:rPr>
            </w:pPr>
          </w:p>
          <w:p w:rsidR="00000000" w:rsidRDefault="0024422E">
            <w:pPr>
              <w:jc w:val="center"/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</w:pPr>
            <w:r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  <w:t>Legajo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</w:tcPr>
          <w:p w:rsidR="00000000" w:rsidRDefault="0024422E">
            <w:pPr>
              <w:pStyle w:val="Ttulo1"/>
              <w:ind w:firstLine="0"/>
              <w:jc w:val="center"/>
              <w:rPr>
                <w:rFonts w:ascii="Sylfaen" w:hAnsi="Sylfaen"/>
                <w:bCs/>
                <w:iCs/>
                <w:color w:val="0000FF"/>
                <w:sz w:val="8"/>
                <w:lang w:val="es-AR"/>
              </w:rPr>
            </w:pPr>
          </w:p>
          <w:p w:rsidR="00000000" w:rsidRDefault="0024422E">
            <w:pPr>
              <w:pStyle w:val="Ttulo1"/>
              <w:ind w:firstLine="0"/>
              <w:jc w:val="center"/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</w:pPr>
            <w:r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  <w:t>Monto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trHeight w:val="90"/>
          <w:jc w:val="center"/>
        </w:trPr>
        <w:tc>
          <w:tcPr>
            <w:tcW w:w="4223" w:type="dxa"/>
            <w:gridSpan w:val="2"/>
            <w:tcBorders>
              <w:top w:val="single" w:sz="12" w:space="0" w:color="0000FF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pStyle w:val="Ttulo5"/>
              <w:spacing w:line="360" w:lineRule="auto"/>
              <w:rPr>
                <w:rFonts w:ascii="Tahoma" w:hAnsi="Tahoma"/>
                <w:b/>
                <w:i/>
                <w:smallCaps/>
              </w:rPr>
            </w:pPr>
            <w:r>
              <w:rPr>
                <w:rFonts w:ascii="Tahoma" w:hAnsi="Tahoma"/>
                <w:b/>
                <w:i/>
                <w:smallCaps/>
              </w:rPr>
              <w:t>Norma Elisa Moroni</w:t>
            </w:r>
          </w:p>
        </w:tc>
        <w:tc>
          <w:tcPr>
            <w:tcW w:w="1447" w:type="dxa"/>
            <w:tcBorders>
              <w:top w:val="single" w:sz="12" w:space="0" w:color="0000FF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3783</w:t>
            </w:r>
          </w:p>
        </w:tc>
        <w:tc>
          <w:tcPr>
            <w:tcW w:w="1843" w:type="dxa"/>
            <w:gridSpan w:val="2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Silvia Mab</w:t>
            </w: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el Castro</w:t>
            </w: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4992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nil"/>
              <w:right w:val="single" w:sz="4" w:space="0" w:color="999999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Pablo Rubén Fillottrani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7276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Ignacio Ponzoni</w:t>
            </w: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8447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Alejandro Germán Stankevicius</w:t>
            </w: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8755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Marcela Capobianco</w:t>
            </w: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9042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Javier Echaiz</w:t>
            </w: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9334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Rafael Benjamín García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3244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 xml:space="preserve">$  </w:t>
            </w: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 xml:space="preserve">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Iris Perla Señas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4633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Sandra  Diluca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6922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María Mercedes Vitturini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7222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Sergio Pablo Martig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7225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Carlos Iván Chesñevar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7523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Alejandro Javier García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7815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Marisa Analía S</w:t>
            </w: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ánchez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7953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trHeight w:val="90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Marcelo Alejandro Falappa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8179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Diego César Martínez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8746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María Laura Cobo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8933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</w:tbl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center"/>
        <w:rPr>
          <w:rFonts w:ascii="Arial" w:hAnsi="Arial" w:cs="Arial"/>
          <w:b/>
          <w:bCs/>
          <w:color w:val="800080"/>
          <w:sz w:val="24"/>
          <w:lang w:val="es-AR"/>
        </w:rPr>
      </w:pPr>
      <w:r>
        <w:rPr>
          <w:rFonts w:ascii="Arial" w:hAnsi="Arial" w:cs="Arial"/>
          <w:b/>
          <w:bCs/>
          <w:color w:val="800080"/>
          <w:sz w:val="24"/>
          <w:lang w:val="es-AR"/>
        </w:rPr>
        <w:t>******************************************************************************************</w:t>
      </w: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pStyle w:val="Ttulo1"/>
        <w:jc w:val="right"/>
        <w:rPr>
          <w:rFonts w:cs="Arial"/>
          <w:b/>
          <w:bCs/>
          <w:sz w:val="22"/>
          <w:lang w:val="es-ES_tradnl"/>
        </w:rPr>
      </w:pPr>
      <w:r>
        <w:rPr>
          <w:rFonts w:cs="Arial"/>
          <w:b/>
          <w:bCs/>
          <w:sz w:val="22"/>
          <w:highlight w:val="yellow"/>
          <w:lang w:val="es-ES_tradnl"/>
        </w:rPr>
        <w:lastRenderedPageBreak/>
        <w:t>Expte. D.CC. 1</w:t>
      </w:r>
      <w:r>
        <w:rPr>
          <w:rFonts w:cs="Arial"/>
          <w:b/>
          <w:bCs/>
          <w:sz w:val="22"/>
          <w:highlight w:val="yellow"/>
          <w:lang w:val="es-ES_tradnl"/>
        </w:rPr>
        <w:t>558/01</w:t>
      </w: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  <w:lang w:val="es-ES_tradnl"/>
        </w:rPr>
      </w:pPr>
    </w:p>
    <w:p w:rsidR="00000000" w:rsidRDefault="0024422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///DCC-030/01</w:t>
      </w:r>
      <w:r>
        <w:rPr>
          <w:rFonts w:ascii="Arial" w:hAnsi="Arial" w:cs="Arial"/>
          <w:sz w:val="24"/>
        </w:rPr>
        <w:t xml:space="preserve">                    </w:t>
      </w:r>
    </w:p>
    <w:p w:rsidR="00000000" w:rsidRDefault="0024422E">
      <w:pPr>
        <w:rPr>
          <w:rFonts w:ascii="Arial" w:hAnsi="Arial" w:cs="Arial"/>
          <w:sz w:val="24"/>
        </w:rPr>
      </w:pPr>
    </w:p>
    <w:p w:rsidR="00000000" w:rsidRDefault="0024422E">
      <w:pPr>
        <w:pStyle w:val="Ttulo2"/>
        <w:rPr>
          <w:bCs/>
          <w:lang w:val="es-ES_tradnl"/>
        </w:rPr>
      </w:pPr>
      <w:r>
        <w:rPr>
          <w:bCs/>
          <w:lang w:val="es-ES_tradnl"/>
        </w:rPr>
        <w:t>ANEXO II – DCC-030/01</w:t>
      </w:r>
    </w:p>
    <w:p w:rsidR="00000000" w:rsidRDefault="0024422E">
      <w:pPr>
        <w:tabs>
          <w:tab w:val="left" w:pos="5670"/>
        </w:tabs>
        <w:jc w:val="center"/>
        <w:rPr>
          <w:rFonts w:ascii="Arial" w:hAnsi="Arial"/>
          <w:sz w:val="24"/>
          <w:lang w:val="es-ES_tradnl"/>
        </w:rPr>
      </w:pPr>
    </w:p>
    <w:p w:rsidR="00000000" w:rsidRDefault="0024422E">
      <w:pPr>
        <w:pStyle w:val="Textoindependiente2"/>
        <w:ind w:firstLine="1418"/>
        <w:jc w:val="both"/>
      </w:pPr>
      <w:r>
        <w:t>Asignaciones complementarias correspondientes a los Cursos de Capacit</w:t>
      </w:r>
      <w:r>
        <w:rPr>
          <w:u w:val="single"/>
        </w:rPr>
        <w:t>a</w:t>
      </w:r>
      <w:r>
        <w:t xml:space="preserve"> ción dictados para el Banco de la Provincia de Buenos Aires, en el período comprendi-do entre el 8 de octubre y e</w:t>
      </w:r>
      <w:r>
        <w:t>l 26 de octubre de 2001:</w:t>
      </w:r>
    </w:p>
    <w:p w:rsidR="00000000" w:rsidRDefault="0024422E">
      <w:pPr>
        <w:pStyle w:val="Textoindependiente2"/>
        <w:rPr>
          <w:rFonts w:ascii="Times New Roman" w:hAnsi="Times New Roman"/>
        </w:rPr>
      </w:pPr>
    </w:p>
    <w:tbl>
      <w:tblPr>
        <w:tblW w:w="0" w:type="auto"/>
        <w:jc w:val="center"/>
        <w:tblInd w:w="-1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4"/>
        <w:gridCol w:w="1859"/>
        <w:gridCol w:w="1447"/>
        <w:gridCol w:w="918"/>
        <w:gridCol w:w="925"/>
        <w:gridCol w:w="52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</w:tcPr>
          <w:p w:rsidR="00000000" w:rsidRDefault="0024422E">
            <w:pPr>
              <w:jc w:val="center"/>
              <w:rPr>
                <w:rFonts w:ascii="Sylfaen" w:hAnsi="Sylfaen"/>
                <w:bCs/>
                <w:iCs/>
                <w:color w:val="0000FF"/>
                <w:sz w:val="8"/>
                <w:lang w:val="es-AR"/>
              </w:rPr>
            </w:pPr>
          </w:p>
          <w:p w:rsidR="00000000" w:rsidRDefault="0024422E">
            <w:pPr>
              <w:pStyle w:val="Ttulo6"/>
            </w:pPr>
            <w:r>
              <w:t>Nombre y Apellido</w:t>
            </w:r>
          </w:p>
          <w:p w:rsidR="00000000" w:rsidRDefault="0024422E">
            <w:pPr>
              <w:rPr>
                <w:sz w:val="8"/>
                <w:lang w:val="es-AR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single" w:sz="12" w:space="0" w:color="0000FF"/>
              <w:right w:val="single" w:sz="12" w:space="0" w:color="0000FF"/>
            </w:tcBorders>
          </w:tcPr>
          <w:p w:rsidR="00000000" w:rsidRDefault="0024422E">
            <w:pPr>
              <w:jc w:val="center"/>
              <w:rPr>
                <w:rFonts w:ascii="Sylfaen" w:hAnsi="Sylfaen"/>
                <w:bCs/>
                <w:iCs/>
                <w:color w:val="0000FF"/>
                <w:sz w:val="8"/>
                <w:lang w:val="es-AR"/>
              </w:rPr>
            </w:pPr>
          </w:p>
          <w:p w:rsidR="00000000" w:rsidRDefault="0024422E">
            <w:pPr>
              <w:jc w:val="center"/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</w:pPr>
            <w:r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  <w:t>Legajo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</w:tcPr>
          <w:p w:rsidR="00000000" w:rsidRDefault="0024422E">
            <w:pPr>
              <w:pStyle w:val="Ttulo1"/>
              <w:ind w:firstLine="0"/>
              <w:jc w:val="center"/>
              <w:rPr>
                <w:rFonts w:ascii="Sylfaen" w:hAnsi="Sylfaen"/>
                <w:bCs/>
                <w:iCs/>
                <w:color w:val="0000FF"/>
                <w:sz w:val="8"/>
                <w:lang w:val="es-AR"/>
              </w:rPr>
            </w:pPr>
          </w:p>
          <w:p w:rsidR="00000000" w:rsidRDefault="0024422E">
            <w:pPr>
              <w:pStyle w:val="Ttulo1"/>
              <w:ind w:firstLine="0"/>
              <w:jc w:val="center"/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</w:pPr>
            <w:r>
              <w:rPr>
                <w:rFonts w:ascii="Sylfaen" w:hAnsi="Sylfaen"/>
                <w:b/>
                <w:i/>
                <w:color w:val="0000FF"/>
                <w:sz w:val="28"/>
                <w:lang w:val="es-AR"/>
              </w:rPr>
              <w:t>Monto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Iris Perla Señas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4633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Alejandro Javier García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7815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trHeight w:val="90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Marcelo Alejandro Falappa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8179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435,50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Rafael Benjamín García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3244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Sandra  Marisa Di luca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6922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María Mercedes Vitturini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7222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Sergio Pablo Martig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7225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Carlos Iván Chesñevar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7523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Marisa Analía Sánchez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7953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Diego César Martínez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8746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gridAfter w:val="2"/>
          <w:wAfter w:w="2364" w:type="dxa"/>
          <w:jc w:val="center"/>
        </w:trPr>
        <w:tc>
          <w:tcPr>
            <w:tcW w:w="4223" w:type="dxa"/>
            <w:gridSpan w:val="2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María Laura Cobo</w:t>
            </w:r>
          </w:p>
        </w:tc>
        <w:tc>
          <w:tcPr>
            <w:tcW w:w="1447" w:type="dxa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8933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364" w:type="dxa"/>
          <w:jc w:val="center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both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 xml:space="preserve">Marcela </w:t>
            </w: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Capobianco</w:t>
            </w:r>
          </w:p>
        </w:tc>
        <w:tc>
          <w:tcPr>
            <w:tcW w:w="1446" w:type="dxa"/>
            <w:gridSpan w:val="2"/>
            <w:tcBorders>
              <w:top w:val="nil"/>
              <w:left w:val="single" w:sz="12" w:space="0" w:color="0000FF"/>
              <w:bottom w:val="nil"/>
              <w:right w:val="single" w:sz="12" w:space="0" w:color="0000FF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9042</w:t>
            </w:r>
          </w:p>
        </w:tc>
        <w:tc>
          <w:tcPr>
            <w:tcW w:w="1843" w:type="dxa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000000" w:rsidRDefault="0024422E">
            <w:pPr>
              <w:spacing w:line="360" w:lineRule="auto"/>
              <w:jc w:val="center"/>
              <w:rPr>
                <w:rFonts w:ascii="Tahoma" w:hAnsi="Tahoma"/>
                <w:b/>
                <w:i/>
                <w:smallCaps/>
                <w:sz w:val="24"/>
                <w:lang w:val="es-AR"/>
              </w:rPr>
            </w:pPr>
            <w:r>
              <w:rPr>
                <w:rFonts w:ascii="Tahoma" w:hAnsi="Tahoma"/>
                <w:b/>
                <w:i/>
                <w:smallCaps/>
                <w:sz w:val="24"/>
                <w:lang w:val="es-AR"/>
              </w:rPr>
              <w:t>$    218,00</w:t>
            </w:r>
          </w:p>
        </w:tc>
      </w:tr>
    </w:tbl>
    <w:p w:rsidR="00000000" w:rsidRDefault="002442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4422E">
      <w:pPr>
        <w:jc w:val="center"/>
        <w:rPr>
          <w:rFonts w:ascii="Arial" w:hAnsi="Arial" w:cs="Arial"/>
          <w:b/>
          <w:bCs/>
          <w:color w:val="800080"/>
          <w:sz w:val="24"/>
          <w:lang w:val="es-AR"/>
        </w:rPr>
      </w:pPr>
      <w:r>
        <w:rPr>
          <w:rFonts w:ascii="Arial" w:hAnsi="Arial" w:cs="Arial"/>
          <w:b/>
          <w:bCs/>
          <w:color w:val="800080"/>
          <w:sz w:val="24"/>
          <w:lang w:val="es-AR"/>
        </w:rPr>
        <w:t>******************************************************************************************</w:t>
      </w:r>
    </w:p>
    <w:p w:rsidR="00000000" w:rsidRDefault="0024422E">
      <w:pPr>
        <w:pStyle w:val="Textoindependiente2"/>
        <w:rPr>
          <w:rFonts w:ascii="Times New Roman" w:hAnsi="Times New Roman"/>
        </w:rPr>
      </w:pPr>
    </w:p>
    <w:p w:rsidR="00000000" w:rsidRDefault="0024422E">
      <w:pPr>
        <w:pStyle w:val="Textoindependiente2"/>
        <w:rPr>
          <w:rFonts w:ascii="Times New Roman" w:hAnsi="Times New Roman"/>
        </w:rPr>
      </w:pPr>
    </w:p>
    <w:p w:rsidR="00000000" w:rsidRDefault="0024422E">
      <w:pPr>
        <w:pStyle w:val="Textoindependiente2"/>
        <w:rPr>
          <w:rFonts w:ascii="Times New Roman" w:hAnsi="Times New Roman"/>
        </w:rPr>
      </w:pPr>
    </w:p>
    <w:p w:rsidR="00000000" w:rsidRDefault="0024422E">
      <w:pPr>
        <w:pStyle w:val="Textoindependiente2"/>
        <w:rPr>
          <w:rFonts w:ascii="Times New Roman" w:hAnsi="Times New Roman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22E"/>
    <w:rsid w:val="0024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5670"/>
      </w:tabs>
      <w:ind w:left="1440"/>
      <w:jc w:val="both"/>
      <w:outlineLvl w:val="3"/>
    </w:pPr>
    <w:rPr>
      <w:sz w:val="24"/>
      <w:lang w:val="es-AR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  <w:lang w:val="es-AR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Sylfaen" w:hAnsi="Sylfaen"/>
      <w:b/>
      <w:i/>
      <w:color w:val="0000FF"/>
      <w:sz w:val="28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semiHidden/>
    <w:pPr>
      <w:tabs>
        <w:tab w:val="left" w:pos="5670"/>
      </w:tabs>
    </w:pPr>
    <w:rPr>
      <w:rFonts w:ascii="Arial" w:hAnsi="Arial"/>
      <w:sz w:val="24"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2001-11-27T19:17:00Z</cp:lastPrinted>
  <dcterms:created xsi:type="dcterms:W3CDTF">2025-07-06T03:12:00Z</dcterms:created>
  <dcterms:modified xsi:type="dcterms:W3CDTF">2025-07-06T03:12:00Z</dcterms:modified>
</cp:coreProperties>
</file>